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6F90D">
      <w:pPr>
        <w:pStyle w:val="7"/>
        <w:ind w:firstLine="0"/>
        <w:jc w:val="both"/>
        <w:rPr>
          <w:rFonts w:hint="default" w:ascii="Times New Roman" w:hAnsi="Times New Roman" w:eastAsia="黑体" w:cs="Times New Roman"/>
          <w:b/>
          <w:color w:val="auto"/>
          <w:kern w:val="2"/>
          <w:sz w:val="52"/>
          <w:szCs w:val="52"/>
          <w:highlight w:val="none"/>
        </w:rPr>
      </w:pPr>
      <w:r>
        <w:rPr>
          <w:rFonts w:hint="default" w:ascii="Times New Roman" w:hAnsi="Times New Roman" w:eastAsia="黑体" w:cs="Times New Roman"/>
          <w:b/>
          <w:color w:val="auto"/>
          <w:kern w:val="2"/>
          <w:sz w:val="52"/>
          <w:szCs w:val="52"/>
          <w:highlight w:val="none"/>
        </w:rPr>
        <w:t xml:space="preserve">                                                                                                                                                                                                                                                                                                                                                                                                                                </w:t>
      </w:r>
    </w:p>
    <w:p w14:paraId="454BAB72">
      <w:pPr>
        <w:pStyle w:val="7"/>
        <w:keepNext w:val="0"/>
        <w:keepLines w:val="0"/>
        <w:pageBreakBefore w:val="0"/>
        <w:widowControl w:val="0"/>
        <w:kinsoku/>
        <w:wordWrap/>
        <w:overflowPunct/>
        <w:topLinePunct w:val="0"/>
        <w:autoSpaceDE/>
        <w:autoSpaceDN/>
        <w:bidi w:val="0"/>
        <w:adjustRightInd/>
        <w:snapToGrid/>
        <w:spacing w:before="313" w:beforeLines="100"/>
        <w:ind w:firstLine="0"/>
        <w:jc w:val="center"/>
        <w:textAlignment w:val="auto"/>
        <w:rPr>
          <w:rFonts w:hint="default" w:ascii="Times New Roman" w:hAnsi="Times New Roman" w:eastAsia="黑体" w:cs="Times New Roman"/>
          <w:b w:val="0"/>
          <w:bCs/>
          <w:color w:val="auto"/>
          <w:kern w:val="2"/>
          <w:sz w:val="52"/>
          <w:szCs w:val="52"/>
          <w:highlight w:val="none"/>
        </w:rPr>
      </w:pPr>
      <w:r>
        <w:rPr>
          <w:rFonts w:hint="default" w:ascii="Times New Roman" w:hAnsi="Times New Roman" w:eastAsia="黑体" w:cs="Times New Roman"/>
          <w:b w:val="0"/>
          <w:bCs/>
          <w:color w:val="auto"/>
          <w:kern w:val="2"/>
          <w:sz w:val="52"/>
          <w:szCs w:val="52"/>
          <w:highlight w:val="none"/>
        </w:rPr>
        <w:t>广西百晟工程咨询有限公司</w:t>
      </w:r>
    </w:p>
    <w:p w14:paraId="70035DBA">
      <w:pPr>
        <w:pStyle w:val="11"/>
        <w:spacing w:line="2000" w:lineRule="exact"/>
        <w:jc w:val="center"/>
        <w:rPr>
          <w:rFonts w:hint="default" w:ascii="Times New Roman" w:hAnsi="Times New Roman" w:eastAsia="黑体" w:cs="Times New Roman"/>
          <w:b w:val="0"/>
          <w:bCs/>
          <w:color w:val="auto"/>
          <w:sz w:val="72"/>
          <w:szCs w:val="72"/>
          <w:highlight w:val="none"/>
        </w:rPr>
      </w:pPr>
      <w:r>
        <w:rPr>
          <w:rFonts w:hint="default" w:ascii="Times New Roman" w:hAnsi="Times New Roman" w:eastAsia="黑体" w:cs="Times New Roman"/>
          <w:b w:val="0"/>
          <w:bCs/>
          <w:color w:val="auto"/>
          <w:sz w:val="72"/>
          <w:szCs w:val="72"/>
          <w:highlight w:val="none"/>
          <w:lang w:eastAsia="zh-CN"/>
        </w:rPr>
        <w:t>竞争性磋商</w:t>
      </w:r>
      <w:r>
        <w:rPr>
          <w:rFonts w:hint="default" w:ascii="Times New Roman" w:hAnsi="Times New Roman" w:eastAsia="黑体" w:cs="Times New Roman"/>
          <w:b w:val="0"/>
          <w:bCs/>
          <w:color w:val="auto"/>
          <w:sz w:val="72"/>
          <w:szCs w:val="72"/>
          <w:highlight w:val="none"/>
        </w:rPr>
        <w:t>文件</w:t>
      </w:r>
    </w:p>
    <w:p w14:paraId="19C85910">
      <w:pPr>
        <w:pStyle w:val="7"/>
        <w:keepNext w:val="0"/>
        <w:keepLines w:val="0"/>
        <w:pageBreakBefore w:val="0"/>
        <w:widowControl w:val="0"/>
        <w:kinsoku/>
        <w:wordWrap/>
        <w:overflowPunct/>
        <w:topLinePunct w:val="0"/>
        <w:autoSpaceDE/>
        <w:autoSpaceDN/>
        <w:bidi w:val="0"/>
        <w:adjustRightInd/>
        <w:snapToGrid/>
        <w:spacing w:before="313" w:beforeLines="100"/>
        <w:ind w:firstLine="0"/>
        <w:jc w:val="center"/>
        <w:textAlignment w:val="auto"/>
        <w:rPr>
          <w:rFonts w:hint="default" w:ascii="Times New Roman" w:hAnsi="Times New Roman" w:eastAsia="黑体" w:cs="Times New Roman"/>
          <w:b w:val="0"/>
          <w:bCs/>
          <w:color w:val="auto"/>
          <w:kern w:val="2"/>
          <w:sz w:val="44"/>
          <w:szCs w:val="44"/>
          <w:highlight w:val="none"/>
        </w:rPr>
      </w:pPr>
      <w:r>
        <w:rPr>
          <w:rFonts w:hint="default" w:ascii="Times New Roman" w:hAnsi="Times New Roman" w:eastAsia="黑体" w:cs="Times New Roman"/>
          <w:b w:val="0"/>
          <w:bCs/>
          <w:color w:val="auto"/>
          <w:kern w:val="2"/>
          <w:sz w:val="44"/>
          <w:szCs w:val="44"/>
          <w:highlight w:val="none"/>
        </w:rPr>
        <w:t>（全流程电子化评标）</w:t>
      </w:r>
    </w:p>
    <w:p w14:paraId="598704A3">
      <w:pPr>
        <w:pStyle w:val="7"/>
        <w:rPr>
          <w:rFonts w:hint="default" w:ascii="Times New Roman" w:hAnsi="Times New Roman" w:eastAsia="仿宋_GB2312" w:cs="Times New Roman"/>
          <w:b w:val="0"/>
          <w:bCs/>
          <w:color w:val="auto"/>
          <w:szCs w:val="21"/>
          <w:highlight w:val="none"/>
        </w:rPr>
      </w:pPr>
    </w:p>
    <w:p w14:paraId="20437036">
      <w:pPr>
        <w:spacing w:line="600" w:lineRule="auto"/>
        <w:ind w:firstLine="840" w:firstLineChars="300"/>
        <w:rPr>
          <w:rFonts w:hint="eastAsia" w:ascii="黑体" w:hAnsi="黑体" w:eastAsia="黑体" w:cs="黑体"/>
          <w:b w:val="0"/>
          <w:bCs/>
          <w:color w:val="auto"/>
          <w:sz w:val="28"/>
          <w:szCs w:val="28"/>
          <w:highlight w:val="none"/>
        </w:rPr>
      </w:pPr>
    </w:p>
    <w:p w14:paraId="49CE9B12">
      <w:pPr>
        <w:spacing w:line="600" w:lineRule="auto"/>
        <w:ind w:firstLine="840" w:firstLineChars="300"/>
        <w:rPr>
          <w:rFonts w:hint="eastAsia" w:ascii="黑体" w:hAnsi="黑体" w:eastAsia="黑体" w:cs="黑体"/>
          <w:b w:val="0"/>
          <w:bCs/>
          <w:color w:val="auto"/>
          <w:sz w:val="28"/>
          <w:szCs w:val="28"/>
          <w:highlight w:val="none"/>
        </w:rPr>
      </w:pPr>
    </w:p>
    <w:p w14:paraId="6FF3CB5A">
      <w:pPr>
        <w:spacing w:line="600" w:lineRule="auto"/>
        <w:ind w:firstLine="1120" w:firstLineChars="400"/>
        <w:rPr>
          <w:rFonts w:hint="eastAsia" w:ascii="黑体" w:hAnsi="黑体" w:eastAsia="黑体" w:cs="黑体"/>
          <w:b w:val="0"/>
          <w:bCs/>
          <w:color w:val="auto"/>
          <w:sz w:val="28"/>
          <w:szCs w:val="28"/>
          <w:highlight w:val="none"/>
          <w:lang w:eastAsia="zh-CN"/>
        </w:rPr>
      </w:pPr>
      <w:r>
        <w:rPr>
          <w:rFonts w:hint="eastAsia" w:ascii="黑体" w:hAnsi="黑体" w:eastAsia="黑体" w:cs="黑体"/>
          <w:b w:val="0"/>
          <w:bCs/>
          <w:color w:val="auto"/>
          <w:sz w:val="28"/>
          <w:szCs w:val="28"/>
          <w:highlight w:val="none"/>
        </w:rPr>
        <w:t>项目名称：</w:t>
      </w:r>
      <w:r>
        <w:rPr>
          <w:rFonts w:hint="eastAsia" w:ascii="黑体" w:hAnsi="黑体" w:eastAsia="黑体" w:cs="黑体"/>
          <w:b w:val="0"/>
          <w:bCs/>
          <w:color w:val="auto"/>
          <w:sz w:val="28"/>
          <w:szCs w:val="28"/>
          <w:highlight w:val="none"/>
          <w:lang w:eastAsia="zh-CN"/>
        </w:rPr>
        <w:t>大新县2026年以工代赈示范工程—雷平镇安平村以工代赈产业配套基础设施工程（2标）</w:t>
      </w:r>
    </w:p>
    <w:p w14:paraId="1E44006F">
      <w:pPr>
        <w:spacing w:line="600" w:lineRule="auto"/>
        <w:ind w:firstLine="1120" w:firstLineChars="400"/>
        <w:jc w:val="left"/>
        <w:rPr>
          <w:rFonts w:hint="eastAsia" w:ascii="黑体" w:hAnsi="黑体" w:eastAsia="黑体" w:cs="黑体"/>
          <w:b w:val="0"/>
          <w:bCs/>
          <w:color w:val="auto"/>
          <w:sz w:val="28"/>
          <w:szCs w:val="28"/>
          <w:highlight w:val="none"/>
          <w:lang w:eastAsia="zh-CN"/>
        </w:rPr>
      </w:pPr>
      <w:r>
        <w:rPr>
          <w:rFonts w:hint="eastAsia" w:ascii="黑体" w:hAnsi="黑体" w:eastAsia="黑体" w:cs="黑体"/>
          <w:b w:val="0"/>
          <w:bCs/>
          <w:color w:val="auto"/>
          <w:sz w:val="28"/>
          <w:szCs w:val="28"/>
          <w:highlight w:val="none"/>
        </w:rPr>
        <w:t>项目编号：CZZC2026-C2-240075-GXBS</w:t>
      </w:r>
    </w:p>
    <w:p w14:paraId="460FE96A">
      <w:pPr>
        <w:spacing w:line="720" w:lineRule="auto"/>
        <w:jc w:val="left"/>
        <w:rPr>
          <w:rFonts w:hint="eastAsia" w:ascii="黑体" w:hAnsi="黑体" w:eastAsia="黑体" w:cs="黑体"/>
          <w:b w:val="0"/>
          <w:bCs/>
          <w:color w:val="auto"/>
          <w:sz w:val="32"/>
          <w:szCs w:val="32"/>
          <w:highlight w:val="none"/>
        </w:rPr>
      </w:pPr>
    </w:p>
    <w:p w14:paraId="2398232D">
      <w:pPr>
        <w:pStyle w:val="7"/>
        <w:rPr>
          <w:rFonts w:hint="eastAsia" w:ascii="黑体" w:hAnsi="黑体" w:eastAsia="黑体" w:cs="黑体"/>
          <w:b w:val="0"/>
          <w:bCs/>
          <w:color w:val="auto"/>
          <w:sz w:val="32"/>
          <w:szCs w:val="32"/>
          <w:highlight w:val="none"/>
        </w:rPr>
      </w:pPr>
    </w:p>
    <w:p w14:paraId="211BE1A1">
      <w:pPr>
        <w:spacing w:line="360" w:lineRule="auto"/>
        <w:ind w:firstLine="1400" w:firstLineChars="500"/>
        <w:rPr>
          <w:rFonts w:hint="eastAsia" w:ascii="黑体" w:hAnsi="黑体" w:eastAsia="黑体" w:cs="黑体"/>
          <w:b w:val="0"/>
          <w:bCs/>
          <w:color w:val="auto"/>
          <w:sz w:val="28"/>
          <w:szCs w:val="28"/>
          <w:highlight w:val="none"/>
          <w:lang w:eastAsia="zh-CN"/>
        </w:rPr>
      </w:pPr>
      <w:r>
        <w:rPr>
          <w:rFonts w:hint="eastAsia" w:ascii="黑体" w:hAnsi="黑体" w:eastAsia="黑体" w:cs="黑体"/>
          <w:b w:val="0"/>
          <w:bCs/>
          <w:color w:val="auto"/>
          <w:sz w:val="28"/>
          <w:szCs w:val="28"/>
          <w:highlight w:val="none"/>
        </w:rPr>
        <w:t xml:space="preserve">采 购 </w:t>
      </w:r>
      <w:r>
        <w:rPr>
          <w:rFonts w:hint="eastAsia" w:ascii="黑体" w:hAnsi="黑体" w:eastAsia="黑体" w:cs="黑体"/>
          <w:b w:val="0"/>
          <w:bCs/>
          <w:color w:val="auto"/>
          <w:sz w:val="28"/>
          <w:szCs w:val="28"/>
          <w:highlight w:val="none"/>
          <w:lang w:val="en-US" w:eastAsia="zh-CN"/>
        </w:rPr>
        <w:t>人</w:t>
      </w:r>
      <w:r>
        <w:rPr>
          <w:rFonts w:hint="eastAsia" w:ascii="黑体" w:hAnsi="黑体" w:eastAsia="黑体" w:cs="黑体"/>
          <w:b w:val="0"/>
          <w:bCs/>
          <w:color w:val="auto"/>
          <w:sz w:val="28"/>
          <w:szCs w:val="28"/>
          <w:highlight w:val="none"/>
        </w:rPr>
        <w:t>：</w:t>
      </w:r>
      <w:r>
        <w:rPr>
          <w:rFonts w:hint="eastAsia" w:ascii="黑体" w:hAnsi="黑体" w:eastAsia="黑体" w:cs="黑体"/>
          <w:b w:val="0"/>
          <w:bCs/>
          <w:color w:val="auto"/>
          <w:sz w:val="28"/>
          <w:szCs w:val="28"/>
          <w:highlight w:val="none"/>
          <w:lang w:eastAsia="zh-CN"/>
        </w:rPr>
        <w:t>大新县发展和改革局</w:t>
      </w:r>
    </w:p>
    <w:p w14:paraId="0DF6D9C6">
      <w:pPr>
        <w:spacing w:line="360" w:lineRule="auto"/>
        <w:ind w:firstLine="1400" w:firstLineChars="500"/>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 xml:space="preserve">采购代理机构：广西百晟工程咨询有限公司 </w:t>
      </w:r>
    </w:p>
    <w:p w14:paraId="58732B7E">
      <w:pPr>
        <w:spacing w:line="360" w:lineRule="auto"/>
        <w:ind w:firstLine="3360" w:firstLineChars="1200"/>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28"/>
          <w:szCs w:val="28"/>
          <w:highlight w:val="none"/>
        </w:rPr>
        <w:t>202</w:t>
      </w:r>
      <w:r>
        <w:rPr>
          <w:rFonts w:hint="eastAsia" w:ascii="黑体" w:hAnsi="黑体" w:eastAsia="黑体" w:cs="黑体"/>
          <w:b w:val="0"/>
          <w:bCs/>
          <w:color w:val="auto"/>
          <w:sz w:val="28"/>
          <w:szCs w:val="28"/>
          <w:highlight w:val="none"/>
          <w:lang w:val="en-US" w:eastAsia="zh-CN"/>
        </w:rPr>
        <w:t>6</w:t>
      </w:r>
      <w:r>
        <w:rPr>
          <w:rFonts w:hint="eastAsia" w:ascii="黑体" w:hAnsi="黑体" w:eastAsia="黑体" w:cs="黑体"/>
          <w:b w:val="0"/>
          <w:bCs/>
          <w:color w:val="auto"/>
          <w:sz w:val="28"/>
          <w:szCs w:val="28"/>
          <w:highlight w:val="none"/>
        </w:rPr>
        <w:t>年</w:t>
      </w:r>
      <w:r>
        <w:rPr>
          <w:rFonts w:hint="eastAsia" w:ascii="黑体" w:hAnsi="黑体" w:eastAsia="黑体" w:cs="黑体"/>
          <w:b w:val="0"/>
          <w:bCs/>
          <w:color w:val="auto"/>
          <w:sz w:val="28"/>
          <w:szCs w:val="28"/>
          <w:highlight w:val="none"/>
          <w:lang w:val="en-US" w:eastAsia="zh-CN"/>
        </w:rPr>
        <w:t>7</w:t>
      </w:r>
      <w:r>
        <w:rPr>
          <w:rFonts w:hint="eastAsia" w:ascii="黑体" w:hAnsi="黑体" w:eastAsia="黑体" w:cs="黑体"/>
          <w:b w:val="0"/>
          <w:bCs/>
          <w:color w:val="auto"/>
          <w:sz w:val="28"/>
          <w:szCs w:val="28"/>
          <w:highlight w:val="none"/>
        </w:rPr>
        <w:t>月</w:t>
      </w:r>
      <w:r>
        <w:rPr>
          <w:rFonts w:hint="eastAsia" w:ascii="黑体" w:hAnsi="黑体" w:eastAsia="黑体" w:cs="黑体"/>
          <w:b w:val="0"/>
          <w:bCs/>
          <w:color w:val="auto"/>
          <w:sz w:val="28"/>
          <w:szCs w:val="28"/>
          <w:highlight w:val="none"/>
          <w:lang w:val="en-US" w:eastAsia="zh-CN"/>
        </w:rPr>
        <w:t>3日</w:t>
      </w:r>
    </w:p>
    <w:p w14:paraId="65DA0774">
      <w:pP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br w:type="page"/>
      </w:r>
    </w:p>
    <w:p w14:paraId="7F8F5CA7">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53A0F659">
      <w:pPr>
        <w:spacing w:line="400" w:lineRule="exact"/>
        <w:jc w:val="center"/>
        <w:rPr>
          <w:rFonts w:hint="eastAsia" w:ascii="宋体" w:hAnsi="宋体" w:eastAsia="宋体" w:cs="宋体"/>
          <w:b/>
          <w:color w:val="auto"/>
          <w:sz w:val="44"/>
          <w:szCs w:val="44"/>
          <w:highlight w:val="none"/>
        </w:rPr>
      </w:pPr>
    </w:p>
    <w:p w14:paraId="26E59581">
      <w:pPr>
        <w:pStyle w:val="16"/>
        <w:keepNext w:val="0"/>
        <w:keepLines w:val="0"/>
        <w:pageBreakBefore w:val="0"/>
        <w:widowControl w:val="0"/>
        <w:tabs>
          <w:tab w:val="right" w:leader="dot" w:pos="9077"/>
        </w:tabs>
        <w:kinsoku/>
        <w:wordWrap/>
        <w:overflowPunct/>
        <w:topLinePunct w:val="0"/>
        <w:autoSpaceDE/>
        <w:autoSpaceDN/>
        <w:bidi w:val="0"/>
        <w:adjustRightInd/>
        <w:snapToGrid/>
        <w:spacing w:line="500" w:lineRule="exact"/>
        <w:textAlignment w:val="auto"/>
        <w:rPr>
          <w:color w:val="auto"/>
          <w:sz w:val="28"/>
          <w:szCs w:val="28"/>
          <w:highlight w:val="none"/>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TOC \o "1-3" \h \z \u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_Toc28634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第一章 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_Toc28634 \h </w:instrText>
      </w:r>
      <w:r>
        <w:rPr>
          <w:color w:val="auto"/>
          <w:sz w:val="28"/>
          <w:szCs w:val="28"/>
          <w:highlight w:val="none"/>
        </w:rPr>
        <w:fldChar w:fldCharType="separate"/>
      </w:r>
      <w:r>
        <w:rPr>
          <w:color w:val="auto"/>
          <w:sz w:val="28"/>
          <w:szCs w:val="28"/>
          <w:highlight w:val="none"/>
        </w:rPr>
        <w:t>- 1 -</w:t>
      </w:r>
      <w:r>
        <w:rPr>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B96C985">
      <w:pPr>
        <w:pStyle w:val="16"/>
        <w:keepNext w:val="0"/>
        <w:keepLines w:val="0"/>
        <w:pageBreakBefore w:val="0"/>
        <w:widowControl w:val="0"/>
        <w:tabs>
          <w:tab w:val="right" w:leader="dot" w:pos="9077"/>
        </w:tabs>
        <w:kinsoku/>
        <w:wordWrap/>
        <w:overflowPunct/>
        <w:topLinePunct w:val="0"/>
        <w:autoSpaceDE/>
        <w:autoSpaceDN/>
        <w:bidi w:val="0"/>
        <w:adjustRightInd/>
        <w:snapToGrid/>
        <w:spacing w:line="500" w:lineRule="exact"/>
        <w:textAlignment w:val="auto"/>
        <w:rPr>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_Toc17522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val="0"/>
          <w:color w:val="auto"/>
          <w:sz w:val="28"/>
          <w:szCs w:val="28"/>
          <w:highlight w:val="none"/>
        </w:rPr>
        <w:t>第二章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_Toc17522 \h </w:instrText>
      </w:r>
      <w:r>
        <w:rPr>
          <w:color w:val="auto"/>
          <w:sz w:val="28"/>
          <w:szCs w:val="28"/>
          <w:highlight w:val="none"/>
        </w:rPr>
        <w:fldChar w:fldCharType="separate"/>
      </w:r>
      <w:r>
        <w:rPr>
          <w:color w:val="auto"/>
          <w:sz w:val="28"/>
          <w:szCs w:val="28"/>
          <w:highlight w:val="none"/>
        </w:rPr>
        <w:t>- 5 -</w:t>
      </w:r>
      <w:r>
        <w:rPr>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5DC07660">
      <w:pPr>
        <w:pStyle w:val="16"/>
        <w:keepNext w:val="0"/>
        <w:keepLines w:val="0"/>
        <w:pageBreakBefore w:val="0"/>
        <w:widowControl w:val="0"/>
        <w:tabs>
          <w:tab w:val="right" w:leader="dot" w:pos="9077"/>
        </w:tabs>
        <w:kinsoku/>
        <w:wordWrap/>
        <w:overflowPunct/>
        <w:topLinePunct w:val="0"/>
        <w:autoSpaceDE/>
        <w:autoSpaceDN/>
        <w:bidi w:val="0"/>
        <w:adjustRightInd/>
        <w:snapToGrid/>
        <w:spacing w:line="500" w:lineRule="exact"/>
        <w:textAlignment w:val="auto"/>
        <w:rPr>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_Toc16161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val="0"/>
          <w:color w:val="auto"/>
          <w:sz w:val="28"/>
          <w:szCs w:val="28"/>
          <w:highlight w:val="none"/>
        </w:rPr>
        <w:t>第</w:t>
      </w:r>
      <w:r>
        <w:rPr>
          <w:rFonts w:hint="eastAsia" w:ascii="宋体" w:hAnsi="宋体" w:eastAsia="宋体" w:cs="宋体"/>
          <w:bCs w:val="0"/>
          <w:color w:val="auto"/>
          <w:sz w:val="28"/>
          <w:szCs w:val="28"/>
          <w:highlight w:val="none"/>
          <w:lang w:val="en-US" w:eastAsia="zh-CN"/>
        </w:rPr>
        <w:t>三</w:t>
      </w:r>
      <w:r>
        <w:rPr>
          <w:rFonts w:hint="eastAsia" w:ascii="宋体" w:hAnsi="宋体" w:eastAsia="宋体" w:cs="宋体"/>
          <w:bCs w:val="0"/>
          <w:color w:val="auto"/>
          <w:sz w:val="28"/>
          <w:szCs w:val="28"/>
          <w:highlight w:val="none"/>
        </w:rPr>
        <w:t>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_Toc16161 \h </w:instrText>
      </w:r>
      <w:r>
        <w:rPr>
          <w:color w:val="auto"/>
          <w:sz w:val="28"/>
          <w:szCs w:val="28"/>
          <w:highlight w:val="none"/>
        </w:rPr>
        <w:fldChar w:fldCharType="separate"/>
      </w:r>
      <w:r>
        <w:rPr>
          <w:color w:val="auto"/>
          <w:sz w:val="28"/>
          <w:szCs w:val="28"/>
          <w:highlight w:val="none"/>
        </w:rPr>
        <w:t>- 8 -</w:t>
      </w:r>
      <w:r>
        <w:rPr>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C051216">
      <w:pPr>
        <w:pStyle w:val="16"/>
        <w:keepNext w:val="0"/>
        <w:keepLines w:val="0"/>
        <w:pageBreakBefore w:val="0"/>
        <w:widowControl w:val="0"/>
        <w:tabs>
          <w:tab w:val="right" w:leader="dot" w:pos="9077"/>
        </w:tabs>
        <w:kinsoku/>
        <w:wordWrap/>
        <w:overflowPunct/>
        <w:topLinePunct w:val="0"/>
        <w:autoSpaceDE/>
        <w:autoSpaceDN/>
        <w:bidi w:val="0"/>
        <w:adjustRightInd/>
        <w:snapToGrid/>
        <w:spacing w:line="500" w:lineRule="exact"/>
        <w:textAlignment w:val="auto"/>
        <w:rPr>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_Toc24931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eastAsia="zh-CN"/>
        </w:rPr>
        <w:t>第四章</w:t>
      </w:r>
      <w:r>
        <w:rPr>
          <w:rFonts w:hint="eastAsia" w:ascii="宋体" w:hAnsi="宋体" w:eastAsia="宋体" w:cs="宋体"/>
          <w:color w:val="auto"/>
          <w:sz w:val="28"/>
          <w:szCs w:val="28"/>
          <w:highlight w:val="none"/>
        </w:rPr>
        <w:t xml:space="preserve"> 图纸</w:t>
      </w:r>
      <w:r>
        <w:rPr>
          <w:rFonts w:hint="eastAsia" w:ascii="宋体" w:hAnsi="宋体" w:eastAsia="宋体" w:cs="宋体"/>
          <w:color w:val="auto"/>
          <w:sz w:val="28"/>
          <w:szCs w:val="28"/>
          <w:highlight w:val="none"/>
          <w:lang w:val="en-US" w:eastAsia="zh-CN"/>
        </w:rPr>
        <w:t>及</w:t>
      </w:r>
      <w:r>
        <w:rPr>
          <w:rFonts w:hint="eastAsia" w:ascii="宋体" w:hAnsi="宋体" w:eastAsia="宋体" w:cs="宋体"/>
          <w:color w:val="auto"/>
          <w:sz w:val="28"/>
          <w:szCs w:val="28"/>
          <w:highlight w:val="none"/>
        </w:rPr>
        <w:t>工程量清单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_Toc24931 \h </w:instrText>
      </w:r>
      <w:r>
        <w:rPr>
          <w:color w:val="auto"/>
          <w:sz w:val="28"/>
          <w:szCs w:val="28"/>
          <w:highlight w:val="none"/>
        </w:rPr>
        <w:fldChar w:fldCharType="separate"/>
      </w:r>
      <w:r>
        <w:rPr>
          <w:color w:val="auto"/>
          <w:sz w:val="28"/>
          <w:szCs w:val="28"/>
          <w:highlight w:val="none"/>
        </w:rPr>
        <w:t>- 31 -</w:t>
      </w:r>
      <w:r>
        <w:rPr>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D34038E">
      <w:pPr>
        <w:pStyle w:val="16"/>
        <w:keepNext w:val="0"/>
        <w:keepLines w:val="0"/>
        <w:pageBreakBefore w:val="0"/>
        <w:widowControl w:val="0"/>
        <w:tabs>
          <w:tab w:val="right" w:leader="dot" w:pos="9077"/>
        </w:tabs>
        <w:kinsoku/>
        <w:wordWrap/>
        <w:overflowPunct/>
        <w:topLinePunct w:val="0"/>
        <w:autoSpaceDE/>
        <w:autoSpaceDN/>
        <w:bidi w:val="0"/>
        <w:adjustRightInd/>
        <w:snapToGrid/>
        <w:spacing w:line="500" w:lineRule="exact"/>
        <w:textAlignment w:val="auto"/>
        <w:rPr>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_Toc6924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eastAsia="zh-CN"/>
        </w:rPr>
        <w:t>第五章</w:t>
      </w:r>
      <w:r>
        <w:rPr>
          <w:rFonts w:hint="eastAsia" w:ascii="宋体" w:hAnsi="宋体" w:eastAsia="宋体" w:cs="宋体"/>
          <w:color w:val="auto"/>
          <w:sz w:val="28"/>
          <w:szCs w:val="28"/>
          <w:highlight w:val="none"/>
        </w:rPr>
        <w:t xml:space="preserve">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_Toc6924 \h </w:instrText>
      </w:r>
      <w:r>
        <w:rPr>
          <w:color w:val="auto"/>
          <w:sz w:val="28"/>
          <w:szCs w:val="28"/>
          <w:highlight w:val="none"/>
        </w:rPr>
        <w:fldChar w:fldCharType="separate"/>
      </w:r>
      <w:r>
        <w:rPr>
          <w:color w:val="auto"/>
          <w:sz w:val="28"/>
          <w:szCs w:val="28"/>
          <w:highlight w:val="none"/>
        </w:rPr>
        <w:t>- 32 -</w:t>
      </w:r>
      <w:r>
        <w:rPr>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59BCE8A">
      <w:pPr>
        <w:pStyle w:val="17"/>
        <w:keepNext w:val="0"/>
        <w:keepLines w:val="0"/>
        <w:pageBreakBefore w:val="0"/>
        <w:widowControl w:val="0"/>
        <w:tabs>
          <w:tab w:val="right" w:leader="dot" w:pos="9077"/>
          <w:tab w:val="clear" w:pos="8296"/>
        </w:tabs>
        <w:kinsoku/>
        <w:wordWrap/>
        <w:overflowPunct/>
        <w:topLinePunct w:val="0"/>
        <w:autoSpaceDE/>
        <w:autoSpaceDN/>
        <w:bidi w:val="0"/>
        <w:adjustRightInd/>
        <w:snapToGrid/>
        <w:spacing w:line="500" w:lineRule="exact"/>
        <w:textAlignment w:val="auto"/>
        <w:rPr>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_Toc15217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val="0"/>
          <w:color w:val="auto"/>
          <w:sz w:val="28"/>
          <w:szCs w:val="28"/>
          <w:highlight w:val="none"/>
        </w:rPr>
        <w:t>第一节 评审程序和评审方法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_Toc15217 \h </w:instrText>
      </w:r>
      <w:r>
        <w:rPr>
          <w:color w:val="auto"/>
          <w:sz w:val="28"/>
          <w:szCs w:val="28"/>
          <w:highlight w:val="none"/>
        </w:rPr>
        <w:fldChar w:fldCharType="separate"/>
      </w:r>
      <w:r>
        <w:rPr>
          <w:color w:val="auto"/>
          <w:sz w:val="28"/>
          <w:szCs w:val="28"/>
          <w:highlight w:val="none"/>
        </w:rPr>
        <w:t>- 32 -</w:t>
      </w:r>
      <w:r>
        <w:rPr>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10B52E9">
      <w:pPr>
        <w:pStyle w:val="17"/>
        <w:keepNext w:val="0"/>
        <w:keepLines w:val="0"/>
        <w:pageBreakBefore w:val="0"/>
        <w:widowControl w:val="0"/>
        <w:tabs>
          <w:tab w:val="right" w:leader="dot" w:pos="9077"/>
          <w:tab w:val="clear" w:pos="8296"/>
        </w:tabs>
        <w:kinsoku/>
        <w:wordWrap/>
        <w:overflowPunct/>
        <w:topLinePunct w:val="0"/>
        <w:autoSpaceDE/>
        <w:autoSpaceDN/>
        <w:bidi w:val="0"/>
        <w:adjustRightInd/>
        <w:snapToGrid/>
        <w:spacing w:line="500" w:lineRule="exact"/>
        <w:textAlignment w:val="auto"/>
        <w:rPr>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_Toc28561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val="0"/>
          <w:color w:val="auto"/>
          <w:sz w:val="28"/>
          <w:szCs w:val="28"/>
          <w:highlight w:val="none"/>
        </w:rPr>
        <w:t>第</w:t>
      </w:r>
      <w:r>
        <w:rPr>
          <w:rFonts w:hint="eastAsia" w:ascii="宋体" w:hAnsi="宋体" w:eastAsia="宋体" w:cs="宋体"/>
          <w:bCs w:val="0"/>
          <w:color w:val="auto"/>
          <w:sz w:val="28"/>
          <w:szCs w:val="28"/>
          <w:highlight w:val="none"/>
          <w:lang w:eastAsia="zh-CN"/>
        </w:rPr>
        <w:t>二</w:t>
      </w:r>
      <w:r>
        <w:rPr>
          <w:rFonts w:hint="eastAsia" w:ascii="宋体" w:hAnsi="宋体" w:eastAsia="宋体" w:cs="宋体"/>
          <w:bCs w:val="0"/>
          <w:color w:val="auto"/>
          <w:sz w:val="28"/>
          <w:szCs w:val="28"/>
          <w:highlight w:val="none"/>
        </w:rPr>
        <w:t xml:space="preserve">节 </w:t>
      </w:r>
      <w:r>
        <w:rPr>
          <w:rFonts w:hint="eastAsia" w:ascii="宋体" w:hAnsi="宋体" w:eastAsia="宋体" w:cs="宋体"/>
          <w:bCs w:val="0"/>
          <w:color w:val="auto"/>
          <w:sz w:val="28"/>
          <w:szCs w:val="28"/>
          <w:highlight w:val="none"/>
          <w:lang w:eastAsia="zh-CN"/>
        </w:rPr>
        <w:t>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_Toc28561 \h </w:instrText>
      </w:r>
      <w:r>
        <w:rPr>
          <w:color w:val="auto"/>
          <w:sz w:val="28"/>
          <w:szCs w:val="28"/>
          <w:highlight w:val="none"/>
        </w:rPr>
        <w:fldChar w:fldCharType="separate"/>
      </w:r>
      <w:r>
        <w:rPr>
          <w:color w:val="auto"/>
          <w:sz w:val="28"/>
          <w:szCs w:val="28"/>
          <w:highlight w:val="none"/>
        </w:rPr>
        <w:t>- 36 -</w:t>
      </w:r>
      <w:r>
        <w:rPr>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72A24C3">
      <w:pPr>
        <w:pStyle w:val="16"/>
        <w:keepNext w:val="0"/>
        <w:keepLines w:val="0"/>
        <w:pageBreakBefore w:val="0"/>
        <w:widowControl w:val="0"/>
        <w:tabs>
          <w:tab w:val="right" w:leader="dot" w:pos="9077"/>
        </w:tabs>
        <w:kinsoku/>
        <w:wordWrap/>
        <w:overflowPunct/>
        <w:topLinePunct w:val="0"/>
        <w:autoSpaceDE/>
        <w:autoSpaceDN/>
        <w:bidi w:val="0"/>
        <w:adjustRightInd/>
        <w:snapToGrid/>
        <w:spacing w:line="500" w:lineRule="exact"/>
        <w:textAlignment w:val="auto"/>
        <w:rPr>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_Toc23287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eastAsia="zh-CN"/>
        </w:rPr>
        <w:t>第六章</w:t>
      </w:r>
      <w:r>
        <w:rPr>
          <w:rFonts w:hint="eastAsia" w:ascii="宋体" w:hAnsi="宋体" w:eastAsia="宋体" w:cs="宋体"/>
          <w:color w:val="auto"/>
          <w:sz w:val="28"/>
          <w:szCs w:val="28"/>
          <w:highlight w:val="none"/>
        </w:rPr>
        <w:t xml:space="preserve">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_Toc23287 \h </w:instrText>
      </w:r>
      <w:r>
        <w:rPr>
          <w:color w:val="auto"/>
          <w:sz w:val="28"/>
          <w:szCs w:val="28"/>
          <w:highlight w:val="none"/>
        </w:rPr>
        <w:fldChar w:fldCharType="separate"/>
      </w:r>
      <w:r>
        <w:rPr>
          <w:color w:val="auto"/>
          <w:sz w:val="28"/>
          <w:szCs w:val="28"/>
          <w:highlight w:val="none"/>
        </w:rPr>
        <w:t>- 42 -</w:t>
      </w:r>
      <w:r>
        <w:rPr>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1226161">
      <w:pPr>
        <w:pStyle w:val="16"/>
        <w:keepNext w:val="0"/>
        <w:keepLines w:val="0"/>
        <w:pageBreakBefore w:val="0"/>
        <w:widowControl w:val="0"/>
        <w:tabs>
          <w:tab w:val="right" w:leader="dot" w:pos="9077"/>
        </w:tabs>
        <w:kinsoku/>
        <w:wordWrap/>
        <w:overflowPunct/>
        <w:topLinePunct w:val="0"/>
        <w:autoSpaceDE/>
        <w:autoSpaceDN/>
        <w:bidi w:val="0"/>
        <w:adjustRightInd/>
        <w:snapToGrid/>
        <w:spacing w:line="500" w:lineRule="exact"/>
        <w:textAlignment w:val="auto"/>
        <w:rPr>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_Toc236 </w:instrText>
      </w:r>
      <w:r>
        <w:rPr>
          <w:rFonts w:hint="eastAsia" w:ascii="宋体" w:hAnsi="宋体" w:eastAsia="宋体" w:cs="宋体"/>
          <w:color w:val="auto"/>
          <w:sz w:val="28"/>
          <w:szCs w:val="28"/>
          <w:highlight w:val="none"/>
        </w:rPr>
        <w:fldChar w:fldCharType="separate"/>
      </w:r>
      <w:r>
        <w:rPr>
          <w:rFonts w:hint="eastAsia" w:ascii="宋体" w:hAnsi="宋体" w:cs="宋体"/>
          <w:color w:val="auto"/>
          <w:sz w:val="28"/>
          <w:szCs w:val="28"/>
          <w:highlight w:val="none"/>
          <w:lang w:val="en-US" w:eastAsia="zh-CN"/>
        </w:rPr>
        <w:t xml:space="preserve">第七章 </w:t>
      </w:r>
      <w:r>
        <w:rPr>
          <w:rFonts w:hint="eastAsia" w:ascii="宋体" w:hAnsi="宋体" w:eastAsia="宋体" w:cs="宋体"/>
          <w:color w:val="auto"/>
          <w:sz w:val="28"/>
          <w:szCs w:val="28"/>
          <w:highlight w:val="none"/>
          <w:lang w:val="en-US" w:eastAsia="zh-CN"/>
        </w:rPr>
        <w:t>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_Toc236 \h </w:instrText>
      </w:r>
      <w:r>
        <w:rPr>
          <w:color w:val="auto"/>
          <w:sz w:val="28"/>
          <w:szCs w:val="28"/>
          <w:highlight w:val="none"/>
        </w:rPr>
        <w:fldChar w:fldCharType="separate"/>
      </w:r>
      <w:r>
        <w:rPr>
          <w:color w:val="auto"/>
          <w:sz w:val="28"/>
          <w:szCs w:val="28"/>
          <w:highlight w:val="none"/>
        </w:rPr>
        <w:t>- 69 -</w:t>
      </w:r>
      <w:r>
        <w:rPr>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A166A3B">
      <w:pPr>
        <w:pStyle w:val="17"/>
        <w:keepNext w:val="0"/>
        <w:keepLines w:val="0"/>
        <w:pageBreakBefore w:val="0"/>
        <w:widowControl w:val="0"/>
        <w:tabs>
          <w:tab w:val="right" w:leader="dot" w:pos="9077"/>
          <w:tab w:val="clear" w:pos="8296"/>
        </w:tabs>
        <w:kinsoku/>
        <w:wordWrap/>
        <w:overflowPunct/>
        <w:topLinePunct w:val="0"/>
        <w:autoSpaceDE/>
        <w:autoSpaceDN/>
        <w:bidi w:val="0"/>
        <w:adjustRightInd/>
        <w:snapToGrid/>
        <w:spacing w:line="500" w:lineRule="exact"/>
        <w:textAlignment w:val="auto"/>
        <w:rPr>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_Toc5705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第一部分</w:t>
      </w:r>
      <w:r>
        <w:rPr>
          <w:rFonts w:hint="eastAsia" w:ascii="宋体" w:hAnsi="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合同协议书</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_Toc5705 \h </w:instrText>
      </w:r>
      <w:r>
        <w:rPr>
          <w:color w:val="auto"/>
          <w:sz w:val="28"/>
          <w:szCs w:val="28"/>
          <w:highlight w:val="none"/>
        </w:rPr>
        <w:fldChar w:fldCharType="separate"/>
      </w:r>
      <w:r>
        <w:rPr>
          <w:color w:val="auto"/>
          <w:sz w:val="28"/>
          <w:szCs w:val="28"/>
          <w:highlight w:val="none"/>
        </w:rPr>
        <w:t>- 71 -</w:t>
      </w:r>
      <w:r>
        <w:rPr>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A4F0853">
      <w:pPr>
        <w:pStyle w:val="17"/>
        <w:keepNext w:val="0"/>
        <w:keepLines w:val="0"/>
        <w:pageBreakBefore w:val="0"/>
        <w:widowControl w:val="0"/>
        <w:tabs>
          <w:tab w:val="right" w:leader="dot" w:pos="9077"/>
          <w:tab w:val="clear" w:pos="8296"/>
        </w:tabs>
        <w:kinsoku/>
        <w:wordWrap/>
        <w:overflowPunct/>
        <w:topLinePunct w:val="0"/>
        <w:autoSpaceDE/>
        <w:autoSpaceDN/>
        <w:bidi w:val="0"/>
        <w:adjustRightInd/>
        <w:snapToGrid/>
        <w:spacing w:line="500" w:lineRule="exact"/>
        <w:textAlignment w:val="auto"/>
        <w:rPr>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_Toc30075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kern w:val="44"/>
          <w:sz w:val="28"/>
          <w:szCs w:val="28"/>
          <w:highlight w:val="none"/>
          <w:lang w:val="en-US" w:eastAsia="zh-CN" w:bidi="ar-SA"/>
        </w:rPr>
        <w:t>第二部分</w:t>
      </w:r>
      <w:r>
        <w:rPr>
          <w:rFonts w:hint="eastAsia" w:ascii="宋体" w:hAnsi="宋体" w:cs="宋体"/>
          <w:bCs/>
          <w:color w:val="auto"/>
          <w:kern w:val="44"/>
          <w:sz w:val="28"/>
          <w:szCs w:val="28"/>
          <w:highlight w:val="none"/>
          <w:lang w:val="en-US" w:eastAsia="zh-CN" w:bidi="ar-SA"/>
        </w:rPr>
        <w:t xml:space="preserve"> </w:t>
      </w:r>
      <w:r>
        <w:rPr>
          <w:rFonts w:hint="eastAsia" w:ascii="宋体" w:hAnsi="宋体" w:eastAsia="宋体" w:cs="宋体"/>
          <w:color w:val="auto"/>
          <w:kern w:val="44"/>
          <w:sz w:val="28"/>
          <w:szCs w:val="28"/>
          <w:highlight w:val="none"/>
        </w:rPr>
        <w:t>通用合同条款</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_Toc30075 \h </w:instrText>
      </w:r>
      <w:r>
        <w:rPr>
          <w:color w:val="auto"/>
          <w:sz w:val="28"/>
          <w:szCs w:val="28"/>
          <w:highlight w:val="none"/>
        </w:rPr>
        <w:fldChar w:fldCharType="separate"/>
      </w:r>
      <w:r>
        <w:rPr>
          <w:color w:val="auto"/>
          <w:sz w:val="28"/>
          <w:szCs w:val="28"/>
          <w:highlight w:val="none"/>
        </w:rPr>
        <w:t>- 74 -</w:t>
      </w:r>
      <w:r>
        <w:rPr>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E966FD2">
      <w:pPr>
        <w:pStyle w:val="17"/>
        <w:keepNext w:val="0"/>
        <w:keepLines w:val="0"/>
        <w:pageBreakBefore w:val="0"/>
        <w:widowControl w:val="0"/>
        <w:tabs>
          <w:tab w:val="right" w:leader="dot" w:pos="9077"/>
          <w:tab w:val="clear" w:pos="8296"/>
        </w:tabs>
        <w:kinsoku/>
        <w:wordWrap/>
        <w:overflowPunct/>
        <w:topLinePunct w:val="0"/>
        <w:autoSpaceDE/>
        <w:autoSpaceDN/>
        <w:bidi w:val="0"/>
        <w:adjustRightInd/>
        <w:snapToGrid/>
        <w:spacing w:line="500" w:lineRule="exact"/>
        <w:textAlignment w:val="auto"/>
        <w:rPr>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_Toc11722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kern w:val="44"/>
          <w:sz w:val="28"/>
          <w:szCs w:val="28"/>
          <w:highlight w:val="none"/>
        </w:rPr>
        <w:t>第三部分</w:t>
      </w:r>
      <w:r>
        <w:rPr>
          <w:rFonts w:hint="eastAsia" w:ascii="宋体" w:hAnsi="宋体" w:eastAsia="宋体" w:cs="宋体"/>
          <w:bCs/>
          <w:color w:val="auto"/>
          <w:kern w:val="44"/>
          <w:sz w:val="28"/>
          <w:szCs w:val="28"/>
          <w:highlight w:val="none"/>
          <w:lang w:val="en-US" w:eastAsia="zh-CN"/>
        </w:rPr>
        <w:t xml:space="preserve"> </w:t>
      </w:r>
      <w:r>
        <w:rPr>
          <w:rFonts w:hint="eastAsia" w:ascii="宋体" w:hAnsi="宋体" w:eastAsia="宋体" w:cs="宋体"/>
          <w:bCs/>
          <w:color w:val="auto"/>
          <w:kern w:val="44"/>
          <w:sz w:val="28"/>
          <w:szCs w:val="28"/>
          <w:highlight w:val="none"/>
        </w:rPr>
        <w:t>专用合同条款</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_Toc11722 \h </w:instrText>
      </w:r>
      <w:r>
        <w:rPr>
          <w:color w:val="auto"/>
          <w:sz w:val="28"/>
          <w:szCs w:val="28"/>
          <w:highlight w:val="none"/>
        </w:rPr>
        <w:fldChar w:fldCharType="separate"/>
      </w:r>
      <w:r>
        <w:rPr>
          <w:color w:val="auto"/>
          <w:sz w:val="28"/>
          <w:szCs w:val="28"/>
          <w:highlight w:val="none"/>
        </w:rPr>
        <w:t>- 75 -</w:t>
      </w:r>
      <w:r>
        <w:rPr>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4AA5A82">
      <w:pPr>
        <w:pStyle w:val="16"/>
        <w:keepNext w:val="0"/>
        <w:keepLines w:val="0"/>
        <w:pageBreakBefore w:val="0"/>
        <w:widowControl w:val="0"/>
        <w:tabs>
          <w:tab w:val="right" w:leader="dot" w:pos="9077"/>
        </w:tabs>
        <w:kinsoku/>
        <w:wordWrap/>
        <w:overflowPunct/>
        <w:topLinePunct w:val="0"/>
        <w:autoSpaceDE/>
        <w:autoSpaceDN/>
        <w:bidi w:val="0"/>
        <w:adjustRightInd/>
        <w:snapToGrid/>
        <w:spacing w:line="500" w:lineRule="exact"/>
        <w:textAlignment w:val="auto"/>
        <w:rPr>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_Toc22676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val="0"/>
          <w:color w:val="auto"/>
          <w:sz w:val="28"/>
          <w:szCs w:val="28"/>
          <w:highlight w:val="none"/>
          <w:lang w:eastAsia="zh-CN"/>
        </w:rPr>
        <w:t>第八章</w:t>
      </w:r>
      <w:r>
        <w:rPr>
          <w:rFonts w:hint="eastAsia" w:ascii="宋体" w:hAnsi="宋体" w:eastAsia="宋体" w:cs="宋体"/>
          <w:bCs w:val="0"/>
          <w:color w:val="auto"/>
          <w:sz w:val="28"/>
          <w:szCs w:val="28"/>
          <w:highlight w:val="none"/>
        </w:rPr>
        <w:t xml:space="preserve"> 质疑、投诉材料格式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_Toc22676 \h </w:instrText>
      </w:r>
      <w:r>
        <w:rPr>
          <w:color w:val="auto"/>
          <w:sz w:val="28"/>
          <w:szCs w:val="28"/>
          <w:highlight w:val="none"/>
        </w:rPr>
        <w:fldChar w:fldCharType="separate"/>
      </w:r>
      <w:r>
        <w:rPr>
          <w:color w:val="auto"/>
          <w:sz w:val="28"/>
          <w:szCs w:val="28"/>
          <w:highlight w:val="none"/>
        </w:rPr>
        <w:t>- 118 -</w:t>
      </w:r>
      <w:r>
        <w:rPr>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940A454">
      <w:pPr>
        <w:pStyle w:val="17"/>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end"/>
      </w:r>
    </w:p>
    <w:p w14:paraId="7B1CD789">
      <w:pPr>
        <w:spacing w:line="400" w:lineRule="exact"/>
        <w:jc w:val="left"/>
        <w:rPr>
          <w:rFonts w:hint="eastAsia" w:ascii="宋体" w:hAnsi="宋体" w:eastAsia="宋体" w:cs="宋体"/>
          <w:b/>
          <w:color w:val="auto"/>
          <w:sz w:val="32"/>
          <w:szCs w:val="32"/>
          <w:highlight w:val="none"/>
        </w:rPr>
      </w:pPr>
    </w:p>
    <w:p w14:paraId="651C33B4">
      <w:pPr>
        <w:spacing w:line="400" w:lineRule="exact"/>
        <w:jc w:val="center"/>
        <w:rPr>
          <w:rFonts w:hint="eastAsia" w:ascii="宋体" w:hAnsi="宋体" w:eastAsia="宋体" w:cs="宋体"/>
          <w:b/>
          <w:color w:val="auto"/>
          <w:sz w:val="32"/>
          <w:szCs w:val="32"/>
          <w:highlight w:val="none"/>
        </w:rPr>
      </w:pPr>
    </w:p>
    <w:p w14:paraId="078DF236">
      <w:pPr>
        <w:spacing w:line="400" w:lineRule="exact"/>
        <w:jc w:val="center"/>
        <w:rPr>
          <w:rFonts w:hint="eastAsia" w:ascii="宋体" w:hAnsi="宋体" w:eastAsia="宋体" w:cs="宋体"/>
          <w:b/>
          <w:color w:val="auto"/>
          <w:sz w:val="32"/>
          <w:szCs w:val="32"/>
          <w:highlight w:val="none"/>
        </w:rPr>
      </w:pPr>
    </w:p>
    <w:p w14:paraId="14519E7C">
      <w:pPr>
        <w:spacing w:line="400" w:lineRule="exact"/>
        <w:jc w:val="center"/>
        <w:rPr>
          <w:rFonts w:hint="eastAsia" w:ascii="宋体" w:hAnsi="宋体" w:eastAsia="宋体" w:cs="宋体"/>
          <w:b/>
          <w:color w:val="auto"/>
          <w:sz w:val="32"/>
          <w:szCs w:val="32"/>
          <w:highlight w:val="none"/>
        </w:rPr>
      </w:pPr>
    </w:p>
    <w:p w14:paraId="32E104F7">
      <w:pPr>
        <w:spacing w:line="400" w:lineRule="exact"/>
        <w:jc w:val="center"/>
        <w:rPr>
          <w:rFonts w:hint="eastAsia" w:ascii="宋体" w:hAnsi="宋体" w:eastAsia="宋体" w:cs="宋体"/>
          <w:b/>
          <w:color w:val="auto"/>
          <w:sz w:val="32"/>
          <w:szCs w:val="32"/>
          <w:highlight w:val="none"/>
        </w:rPr>
      </w:pPr>
    </w:p>
    <w:p w14:paraId="263D7D58">
      <w:pPr>
        <w:spacing w:line="400" w:lineRule="exact"/>
        <w:rPr>
          <w:rFonts w:hint="eastAsia" w:ascii="宋体" w:hAnsi="宋体" w:eastAsia="宋体" w:cs="宋体"/>
          <w:b/>
          <w:color w:val="auto"/>
          <w:sz w:val="32"/>
          <w:szCs w:val="32"/>
          <w:highlight w:val="none"/>
        </w:rPr>
        <w:sectPr>
          <w:headerReference r:id="rId4" w:type="first"/>
          <w:footerReference r:id="rId6" w:type="first"/>
          <w:headerReference r:id="rId3" w:type="default"/>
          <w:footerReference r:id="rId5" w:type="default"/>
          <w:pgSz w:w="11911" w:h="16838"/>
          <w:pgMar w:top="1417" w:right="1417" w:bottom="1134" w:left="1417" w:header="720" w:footer="720" w:gutter="0"/>
          <w:pgBorders>
            <w:top w:val="none" w:sz="0" w:space="0"/>
            <w:left w:val="none" w:sz="0" w:space="0"/>
            <w:bottom w:val="none" w:sz="0" w:space="0"/>
            <w:right w:val="none" w:sz="0" w:space="0"/>
          </w:pgBorders>
          <w:pgNumType w:start="0"/>
          <w:cols w:space="0" w:num="1"/>
          <w:rtlGutter w:val="0"/>
          <w:docGrid w:linePitch="312" w:charSpace="0"/>
        </w:sectPr>
      </w:pPr>
    </w:p>
    <w:p w14:paraId="25458305">
      <w:pPr>
        <w:pStyle w:val="2"/>
        <w:spacing w:line="400" w:lineRule="exact"/>
        <w:jc w:val="center"/>
        <w:rPr>
          <w:rFonts w:hint="eastAsia" w:ascii="宋体" w:hAnsi="宋体" w:eastAsia="宋体" w:cs="宋体"/>
          <w:color w:val="auto"/>
          <w:sz w:val="36"/>
          <w:szCs w:val="36"/>
          <w:highlight w:val="none"/>
        </w:rPr>
      </w:pPr>
      <w:bookmarkStart w:id="0" w:name="_Toc2685"/>
      <w:bookmarkStart w:id="1" w:name="_Toc28634"/>
      <w:r>
        <w:rPr>
          <w:rFonts w:hint="eastAsia" w:ascii="宋体" w:hAnsi="宋体" w:eastAsia="宋体" w:cs="宋体"/>
          <w:bCs/>
          <w:color w:val="auto"/>
          <w:sz w:val="36"/>
          <w:szCs w:val="36"/>
          <w:highlight w:val="none"/>
          <w:lang w:val="en-US" w:eastAsia="zh-CN"/>
        </w:rPr>
        <mc:AlternateContent>
          <mc:Choice Requires="wps">
            <w:drawing>
              <wp:anchor distT="0" distB="0" distL="114300" distR="114300" simplePos="0" relativeHeight="251659264" behindDoc="0" locked="0" layoutInCell="1" allowOverlap="1">
                <wp:simplePos x="0" y="0"/>
                <wp:positionH relativeFrom="column">
                  <wp:posOffset>-234315</wp:posOffset>
                </wp:positionH>
                <wp:positionV relativeFrom="paragraph">
                  <wp:posOffset>621665</wp:posOffset>
                </wp:positionV>
                <wp:extent cx="5970270" cy="1256030"/>
                <wp:effectExtent l="0" t="0" r="11430" b="1270"/>
                <wp:wrapNone/>
                <wp:docPr id="3" name="文本框 3"/>
                <wp:cNvGraphicFramePr/>
                <a:graphic xmlns:a="http://schemas.openxmlformats.org/drawingml/2006/main">
                  <a:graphicData uri="http://schemas.microsoft.com/office/word/2010/wordprocessingShape">
                    <wps:wsp>
                      <wps:cNvSpPr txBox="1"/>
                      <wps:spPr>
                        <a:xfrm>
                          <a:off x="0" y="0"/>
                          <a:ext cx="5970270" cy="1256030"/>
                        </a:xfrm>
                        <a:prstGeom prst="rect">
                          <a:avLst/>
                        </a:prstGeom>
                        <a:solidFill>
                          <a:srgbClr val="FFFFFF"/>
                        </a:solidFill>
                        <a:ln>
                          <a:noFill/>
                        </a:ln>
                      </wps:spPr>
                      <wps:txbx>
                        <w:txbxContent>
                          <w:p w14:paraId="2BA725D5">
                            <w:pPr>
                              <w:pBdr>
                                <w:top w:val="single" w:color="auto" w:sz="4" w:space="1"/>
                                <w:left w:val="single" w:color="auto" w:sz="4" w:space="4"/>
                                <w:bottom w:val="single" w:color="auto" w:sz="4" w:space="1"/>
                                <w:right w:val="single" w:color="auto" w:sz="4" w:space="4"/>
                              </w:pBdr>
                              <w:spacing w:line="360" w:lineRule="auto"/>
                              <w:rPr>
                                <w:rFonts w:ascii="宋体" w:hAnsi="宋体"/>
                                <w:color w:val="000000"/>
                                <w:szCs w:val="21"/>
                              </w:rPr>
                            </w:pPr>
                            <w:r>
                              <w:rPr>
                                <w:rFonts w:hint="eastAsia" w:ascii="宋体" w:hAnsi="宋体"/>
                                <w:color w:val="000000"/>
                                <w:szCs w:val="21"/>
                              </w:rPr>
                              <w:t>项目概况</w:t>
                            </w:r>
                          </w:p>
                          <w:p w14:paraId="7FA1EE66">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firstLine="420" w:firstLineChars="200"/>
                              <w:textAlignment w:val="auto"/>
                              <w:rPr>
                                <w:rFonts w:ascii="宋体" w:hAnsi="宋体"/>
                                <w:color w:val="000000"/>
                                <w:szCs w:val="21"/>
                              </w:rPr>
                            </w:pPr>
                            <w:r>
                              <w:rPr>
                                <w:rFonts w:hint="eastAsia" w:ascii="宋体" w:hAnsi="宋体"/>
                                <w:color w:val="000000"/>
                                <w:szCs w:val="21"/>
                                <w:u w:val="single"/>
                                <w:lang w:val="en-US" w:eastAsia="zh-CN"/>
                              </w:rPr>
                              <w:t>大新县2026年以工代赈示范工程—雷平镇安平村以工代赈产业配套基础设施工程（2标）</w:t>
                            </w:r>
                            <w:r>
                              <w:rPr>
                                <w:rFonts w:hint="eastAsia" w:ascii="宋体" w:hAnsi="宋体"/>
                                <w:color w:val="000000"/>
                                <w:szCs w:val="21"/>
                              </w:rPr>
                              <w:t>采购项目的潜在供应商应在</w:t>
                            </w:r>
                            <w:r>
                              <w:rPr>
                                <w:rFonts w:hint="eastAsia" w:ascii="宋体" w:hAnsi="宋体"/>
                                <w:color w:val="000000"/>
                                <w:szCs w:val="21"/>
                                <w:u w:val="single"/>
                              </w:rPr>
                              <w:t>广西政府采购云平台（https://www.gcy.zfcg.gxzf.gov.cn/）</w:t>
                            </w:r>
                            <w:r>
                              <w:rPr>
                                <w:rFonts w:hint="eastAsia" w:ascii="宋体" w:hAnsi="宋体" w:eastAsia="宋体" w:cs="宋体"/>
                                <w:snapToGrid w:val="0"/>
                                <w:sz w:val="21"/>
                                <w:szCs w:val="21"/>
                              </w:rPr>
                              <w:t>获取（下载）</w:t>
                            </w:r>
                            <w:r>
                              <w:rPr>
                                <w:rFonts w:hint="eastAsia" w:ascii="宋体" w:hAnsi="宋体"/>
                                <w:color w:val="000000"/>
                                <w:szCs w:val="21"/>
                              </w:rPr>
                              <w:t>竞争性磋商文件，并于</w:t>
                            </w:r>
                            <w:r>
                              <w:rPr>
                                <w:rFonts w:hint="eastAsia" w:ascii="宋体" w:hAnsi="宋体" w:cs="宋体"/>
                                <w:bCs/>
                                <w:color w:val="000000"/>
                                <w:szCs w:val="21"/>
                                <w:highlight w:val="none"/>
                                <w:u w:val="single"/>
                                <w:lang w:eastAsia="zh-CN"/>
                              </w:rPr>
                              <w:t>202</w:t>
                            </w:r>
                            <w:r>
                              <w:rPr>
                                <w:rFonts w:hint="eastAsia" w:ascii="宋体" w:hAnsi="宋体" w:cs="宋体"/>
                                <w:bCs/>
                                <w:color w:val="000000"/>
                                <w:szCs w:val="21"/>
                                <w:highlight w:val="none"/>
                                <w:u w:val="single"/>
                                <w:lang w:val="en-US" w:eastAsia="zh-CN"/>
                              </w:rPr>
                              <w:t>6</w:t>
                            </w:r>
                            <w:r>
                              <w:rPr>
                                <w:rFonts w:hint="eastAsia" w:ascii="宋体" w:hAnsi="宋体" w:eastAsia="宋体" w:cs="宋体"/>
                                <w:bCs/>
                                <w:color w:val="000000"/>
                                <w:szCs w:val="21"/>
                                <w:highlight w:val="none"/>
                                <w:u w:val="single"/>
                                <w:lang w:eastAsia="zh-CN"/>
                              </w:rPr>
                              <w:t>年</w:t>
                            </w:r>
                            <w:r>
                              <w:rPr>
                                <w:rFonts w:hint="eastAsia" w:ascii="宋体" w:hAnsi="宋体" w:cs="宋体"/>
                                <w:bCs/>
                                <w:color w:val="000000"/>
                                <w:szCs w:val="21"/>
                                <w:highlight w:val="none"/>
                                <w:u w:val="single"/>
                                <w:lang w:val="en-US" w:eastAsia="zh-CN"/>
                              </w:rPr>
                              <w:t>7</w:t>
                            </w:r>
                            <w:r>
                              <w:rPr>
                                <w:rFonts w:hint="eastAsia" w:ascii="宋体" w:hAnsi="宋体" w:eastAsia="宋体" w:cs="宋体"/>
                                <w:bCs/>
                                <w:color w:val="000000"/>
                                <w:szCs w:val="21"/>
                                <w:highlight w:val="none"/>
                                <w:u w:val="single"/>
                                <w:lang w:eastAsia="zh-CN"/>
                              </w:rPr>
                              <w:t>月</w:t>
                            </w:r>
                            <w:r>
                              <w:rPr>
                                <w:rFonts w:hint="eastAsia" w:ascii="宋体" w:hAnsi="宋体" w:cs="宋体"/>
                                <w:bCs/>
                                <w:color w:val="000000"/>
                                <w:szCs w:val="21"/>
                                <w:highlight w:val="none"/>
                                <w:u w:val="single"/>
                                <w:lang w:val="en-US" w:eastAsia="zh-CN"/>
                              </w:rPr>
                              <w:t>15</w:t>
                            </w:r>
                            <w:r>
                              <w:rPr>
                                <w:rFonts w:hint="eastAsia" w:ascii="宋体" w:hAnsi="宋体" w:eastAsia="宋体" w:cs="宋体"/>
                                <w:bCs/>
                                <w:color w:val="000000"/>
                                <w:szCs w:val="21"/>
                                <w:highlight w:val="none"/>
                                <w:u w:val="single"/>
                                <w:lang w:eastAsia="zh-CN"/>
                              </w:rPr>
                              <w:t>日</w:t>
                            </w:r>
                            <w:r>
                              <w:rPr>
                                <w:rFonts w:hint="eastAsia" w:ascii="宋体" w:hAnsi="宋体" w:cs="宋体"/>
                                <w:bCs/>
                                <w:color w:val="000000"/>
                                <w:szCs w:val="21"/>
                                <w:highlight w:val="none"/>
                                <w:u w:val="single"/>
                                <w:lang w:val="en-US" w:eastAsia="zh-CN"/>
                              </w:rPr>
                              <w:t>15</w:t>
                            </w:r>
                            <w:r>
                              <w:rPr>
                                <w:rFonts w:hint="eastAsia" w:ascii="宋体" w:hAnsi="宋体" w:eastAsia="宋体" w:cs="宋体"/>
                                <w:bCs/>
                                <w:color w:val="000000"/>
                                <w:szCs w:val="21"/>
                                <w:highlight w:val="none"/>
                                <w:u w:val="single"/>
                                <w:lang w:eastAsia="zh-CN"/>
                              </w:rPr>
                              <w:t>：</w:t>
                            </w:r>
                            <w:r>
                              <w:rPr>
                                <w:rFonts w:hint="eastAsia" w:ascii="宋体" w:hAnsi="宋体" w:cs="宋体"/>
                                <w:bCs/>
                                <w:color w:val="000000"/>
                                <w:szCs w:val="21"/>
                                <w:highlight w:val="none"/>
                                <w:u w:val="single"/>
                                <w:lang w:val="en-US" w:eastAsia="zh-CN"/>
                              </w:rPr>
                              <w:t>0</w:t>
                            </w:r>
                            <w:r>
                              <w:rPr>
                                <w:rFonts w:hint="eastAsia" w:ascii="宋体" w:hAnsi="宋体" w:eastAsia="宋体" w:cs="宋体"/>
                                <w:bCs/>
                                <w:color w:val="000000"/>
                                <w:szCs w:val="21"/>
                                <w:highlight w:val="none"/>
                                <w:u w:val="single"/>
                                <w:lang w:eastAsia="zh-CN"/>
                              </w:rPr>
                              <w:t>0</w:t>
                            </w:r>
                            <w:r>
                              <w:rPr>
                                <w:rFonts w:hint="eastAsia" w:ascii="宋体" w:hAnsi="宋体"/>
                                <w:bCs/>
                                <w:color w:val="000000"/>
                                <w:szCs w:val="21"/>
                              </w:rPr>
                              <w:t>（北京时间）前提交响应</w:t>
                            </w:r>
                            <w:r>
                              <w:rPr>
                                <w:rFonts w:ascii="宋体" w:hAnsi="宋体"/>
                                <w:bCs/>
                                <w:color w:val="000000"/>
                                <w:szCs w:val="21"/>
                              </w:rPr>
                              <w:t>文件</w:t>
                            </w:r>
                            <w:r>
                              <w:rPr>
                                <w:rFonts w:hint="eastAsia" w:ascii="宋体" w:hAnsi="宋体"/>
                                <w:color w:val="000000"/>
                                <w:szCs w:val="21"/>
                              </w:rPr>
                              <w:t>。</w:t>
                            </w:r>
                          </w:p>
                          <w:p w14:paraId="2718B2ED"/>
                        </w:txbxContent>
                      </wps:txbx>
                      <wps:bodyPr upright="1"/>
                    </wps:wsp>
                  </a:graphicData>
                </a:graphic>
              </wp:anchor>
            </w:drawing>
          </mc:Choice>
          <mc:Fallback>
            <w:pict>
              <v:shape id="_x0000_s1026" o:spid="_x0000_s1026" o:spt="202" type="#_x0000_t202" style="position:absolute;left:0pt;margin-left:-18.45pt;margin-top:48.95pt;height:98.9pt;width:470.1pt;z-index:251659264;mso-width-relative:page;mso-height-relative:page;" fillcolor="#FFFFFF" filled="t" stroked="f" coordsize="21600,21600" o:gfxdata="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2aDeo2QAAAAoBAAAPAAAAAAAAAAEAIAAAACIAAABkcnMvZG93bnJl&#10;di54bWxQSwECFAAUAAAACACHTuJAgmc7gMMBAAB4AwAADgAAAAAAAAABACAAAAAoAQAAZHJzL2Uy&#10;b0RvYy54bWxQSwUGAAAAAAYABgBZAQAAXQUAAAAA&#10;">
                <v:fill on="t" focussize="0,0"/>
                <v:stroke on="f"/>
                <v:imagedata o:title=""/>
                <o:lock v:ext="edit" aspectratio="f"/>
                <v:textbox>
                  <w:txbxContent>
                    <w:p w14:paraId="2BA725D5">
                      <w:pPr>
                        <w:pBdr>
                          <w:top w:val="single" w:color="auto" w:sz="4" w:space="1"/>
                          <w:left w:val="single" w:color="auto" w:sz="4" w:space="4"/>
                          <w:bottom w:val="single" w:color="auto" w:sz="4" w:space="1"/>
                          <w:right w:val="single" w:color="auto" w:sz="4" w:space="4"/>
                        </w:pBdr>
                        <w:spacing w:line="360" w:lineRule="auto"/>
                        <w:rPr>
                          <w:rFonts w:ascii="宋体" w:hAnsi="宋体"/>
                          <w:color w:val="000000"/>
                          <w:szCs w:val="21"/>
                        </w:rPr>
                      </w:pPr>
                      <w:r>
                        <w:rPr>
                          <w:rFonts w:hint="eastAsia" w:ascii="宋体" w:hAnsi="宋体"/>
                          <w:color w:val="000000"/>
                          <w:szCs w:val="21"/>
                        </w:rPr>
                        <w:t>项目概况</w:t>
                      </w:r>
                    </w:p>
                    <w:p w14:paraId="7FA1EE66">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firstLine="420" w:firstLineChars="200"/>
                        <w:textAlignment w:val="auto"/>
                        <w:rPr>
                          <w:rFonts w:ascii="宋体" w:hAnsi="宋体"/>
                          <w:color w:val="000000"/>
                          <w:szCs w:val="21"/>
                        </w:rPr>
                      </w:pPr>
                      <w:r>
                        <w:rPr>
                          <w:rFonts w:hint="eastAsia" w:ascii="宋体" w:hAnsi="宋体"/>
                          <w:color w:val="000000"/>
                          <w:szCs w:val="21"/>
                          <w:u w:val="single"/>
                          <w:lang w:val="en-US" w:eastAsia="zh-CN"/>
                        </w:rPr>
                        <w:t>大新县2026年以工代赈示范工程—雷平镇安平村以工代赈产业配套基础设施工程（2标）</w:t>
                      </w:r>
                      <w:r>
                        <w:rPr>
                          <w:rFonts w:hint="eastAsia" w:ascii="宋体" w:hAnsi="宋体"/>
                          <w:color w:val="000000"/>
                          <w:szCs w:val="21"/>
                        </w:rPr>
                        <w:t>采购项目的潜在供应商应在</w:t>
                      </w:r>
                      <w:r>
                        <w:rPr>
                          <w:rFonts w:hint="eastAsia" w:ascii="宋体" w:hAnsi="宋体"/>
                          <w:color w:val="000000"/>
                          <w:szCs w:val="21"/>
                          <w:u w:val="single"/>
                        </w:rPr>
                        <w:t>广西政府采购云平台（https://www.gcy.zfcg.gxzf.gov.cn/）</w:t>
                      </w:r>
                      <w:r>
                        <w:rPr>
                          <w:rFonts w:hint="eastAsia" w:ascii="宋体" w:hAnsi="宋体" w:eastAsia="宋体" w:cs="宋体"/>
                          <w:snapToGrid w:val="0"/>
                          <w:sz w:val="21"/>
                          <w:szCs w:val="21"/>
                        </w:rPr>
                        <w:t>获取（下载）</w:t>
                      </w:r>
                      <w:r>
                        <w:rPr>
                          <w:rFonts w:hint="eastAsia" w:ascii="宋体" w:hAnsi="宋体"/>
                          <w:color w:val="000000"/>
                          <w:szCs w:val="21"/>
                        </w:rPr>
                        <w:t>竞争性磋商文件，并于</w:t>
                      </w:r>
                      <w:r>
                        <w:rPr>
                          <w:rFonts w:hint="eastAsia" w:ascii="宋体" w:hAnsi="宋体" w:cs="宋体"/>
                          <w:bCs/>
                          <w:color w:val="000000"/>
                          <w:szCs w:val="21"/>
                          <w:highlight w:val="none"/>
                          <w:u w:val="single"/>
                          <w:lang w:eastAsia="zh-CN"/>
                        </w:rPr>
                        <w:t>202</w:t>
                      </w:r>
                      <w:r>
                        <w:rPr>
                          <w:rFonts w:hint="eastAsia" w:ascii="宋体" w:hAnsi="宋体" w:cs="宋体"/>
                          <w:bCs/>
                          <w:color w:val="000000"/>
                          <w:szCs w:val="21"/>
                          <w:highlight w:val="none"/>
                          <w:u w:val="single"/>
                          <w:lang w:val="en-US" w:eastAsia="zh-CN"/>
                        </w:rPr>
                        <w:t>6</w:t>
                      </w:r>
                      <w:r>
                        <w:rPr>
                          <w:rFonts w:hint="eastAsia" w:ascii="宋体" w:hAnsi="宋体" w:eastAsia="宋体" w:cs="宋体"/>
                          <w:bCs/>
                          <w:color w:val="000000"/>
                          <w:szCs w:val="21"/>
                          <w:highlight w:val="none"/>
                          <w:u w:val="single"/>
                          <w:lang w:eastAsia="zh-CN"/>
                        </w:rPr>
                        <w:t>年</w:t>
                      </w:r>
                      <w:r>
                        <w:rPr>
                          <w:rFonts w:hint="eastAsia" w:ascii="宋体" w:hAnsi="宋体" w:cs="宋体"/>
                          <w:bCs/>
                          <w:color w:val="000000"/>
                          <w:szCs w:val="21"/>
                          <w:highlight w:val="none"/>
                          <w:u w:val="single"/>
                          <w:lang w:val="en-US" w:eastAsia="zh-CN"/>
                        </w:rPr>
                        <w:t>7</w:t>
                      </w:r>
                      <w:r>
                        <w:rPr>
                          <w:rFonts w:hint="eastAsia" w:ascii="宋体" w:hAnsi="宋体" w:eastAsia="宋体" w:cs="宋体"/>
                          <w:bCs/>
                          <w:color w:val="000000"/>
                          <w:szCs w:val="21"/>
                          <w:highlight w:val="none"/>
                          <w:u w:val="single"/>
                          <w:lang w:eastAsia="zh-CN"/>
                        </w:rPr>
                        <w:t>月</w:t>
                      </w:r>
                      <w:r>
                        <w:rPr>
                          <w:rFonts w:hint="eastAsia" w:ascii="宋体" w:hAnsi="宋体" w:cs="宋体"/>
                          <w:bCs/>
                          <w:color w:val="000000"/>
                          <w:szCs w:val="21"/>
                          <w:highlight w:val="none"/>
                          <w:u w:val="single"/>
                          <w:lang w:val="en-US" w:eastAsia="zh-CN"/>
                        </w:rPr>
                        <w:t>15</w:t>
                      </w:r>
                      <w:r>
                        <w:rPr>
                          <w:rFonts w:hint="eastAsia" w:ascii="宋体" w:hAnsi="宋体" w:eastAsia="宋体" w:cs="宋体"/>
                          <w:bCs/>
                          <w:color w:val="000000"/>
                          <w:szCs w:val="21"/>
                          <w:highlight w:val="none"/>
                          <w:u w:val="single"/>
                          <w:lang w:eastAsia="zh-CN"/>
                        </w:rPr>
                        <w:t>日</w:t>
                      </w:r>
                      <w:r>
                        <w:rPr>
                          <w:rFonts w:hint="eastAsia" w:ascii="宋体" w:hAnsi="宋体" w:cs="宋体"/>
                          <w:bCs/>
                          <w:color w:val="000000"/>
                          <w:szCs w:val="21"/>
                          <w:highlight w:val="none"/>
                          <w:u w:val="single"/>
                          <w:lang w:val="en-US" w:eastAsia="zh-CN"/>
                        </w:rPr>
                        <w:t>15</w:t>
                      </w:r>
                      <w:r>
                        <w:rPr>
                          <w:rFonts w:hint="eastAsia" w:ascii="宋体" w:hAnsi="宋体" w:eastAsia="宋体" w:cs="宋体"/>
                          <w:bCs/>
                          <w:color w:val="000000"/>
                          <w:szCs w:val="21"/>
                          <w:highlight w:val="none"/>
                          <w:u w:val="single"/>
                          <w:lang w:eastAsia="zh-CN"/>
                        </w:rPr>
                        <w:t>：</w:t>
                      </w:r>
                      <w:r>
                        <w:rPr>
                          <w:rFonts w:hint="eastAsia" w:ascii="宋体" w:hAnsi="宋体" w:cs="宋体"/>
                          <w:bCs/>
                          <w:color w:val="000000"/>
                          <w:szCs w:val="21"/>
                          <w:highlight w:val="none"/>
                          <w:u w:val="single"/>
                          <w:lang w:val="en-US" w:eastAsia="zh-CN"/>
                        </w:rPr>
                        <w:t>0</w:t>
                      </w:r>
                      <w:r>
                        <w:rPr>
                          <w:rFonts w:hint="eastAsia" w:ascii="宋体" w:hAnsi="宋体" w:eastAsia="宋体" w:cs="宋体"/>
                          <w:bCs/>
                          <w:color w:val="000000"/>
                          <w:szCs w:val="21"/>
                          <w:highlight w:val="none"/>
                          <w:u w:val="single"/>
                          <w:lang w:eastAsia="zh-CN"/>
                        </w:rPr>
                        <w:t>0</w:t>
                      </w:r>
                      <w:r>
                        <w:rPr>
                          <w:rFonts w:hint="eastAsia" w:ascii="宋体" w:hAnsi="宋体"/>
                          <w:bCs/>
                          <w:color w:val="000000"/>
                          <w:szCs w:val="21"/>
                        </w:rPr>
                        <w:t>（北京时间）前提交响应</w:t>
                      </w:r>
                      <w:r>
                        <w:rPr>
                          <w:rFonts w:ascii="宋体" w:hAnsi="宋体"/>
                          <w:bCs/>
                          <w:color w:val="000000"/>
                          <w:szCs w:val="21"/>
                        </w:rPr>
                        <w:t>文件</w:t>
                      </w:r>
                      <w:r>
                        <w:rPr>
                          <w:rFonts w:hint="eastAsia" w:ascii="宋体" w:hAnsi="宋体"/>
                          <w:color w:val="000000"/>
                          <w:szCs w:val="21"/>
                        </w:rPr>
                        <w:t>。</w:t>
                      </w:r>
                    </w:p>
                    <w:p w14:paraId="2718B2ED"/>
                  </w:txbxContent>
                </v:textbox>
              </v:shape>
            </w:pict>
          </mc:Fallback>
        </mc:AlternateContent>
      </w:r>
      <w:r>
        <w:rPr>
          <w:rFonts w:hint="eastAsia" w:ascii="宋体" w:hAnsi="宋体" w:eastAsia="宋体" w:cs="宋体"/>
          <w:color w:val="auto"/>
          <w:sz w:val="36"/>
          <w:szCs w:val="36"/>
          <w:highlight w:val="none"/>
        </w:rPr>
        <w:t>第一章 竞争性磋商公告</w:t>
      </w:r>
      <w:bookmarkEnd w:id="0"/>
      <w:bookmarkEnd w:id="1"/>
      <w:bookmarkStart w:id="2" w:name="_Toc35393629"/>
      <w:bookmarkStart w:id="3" w:name="_Toc35393798"/>
      <w:bookmarkStart w:id="4" w:name="_Toc44229878"/>
      <w:bookmarkStart w:id="5" w:name="_Toc28359012"/>
      <w:bookmarkStart w:id="6" w:name="_Toc28359089"/>
      <w:bookmarkStart w:id="7" w:name="_Toc35393623"/>
      <w:bookmarkStart w:id="8" w:name="_Toc35393792"/>
      <w:bookmarkStart w:id="9" w:name="_Toc28359081"/>
      <w:bookmarkStart w:id="10" w:name="_Toc28359004"/>
    </w:p>
    <w:p w14:paraId="46B9DA84">
      <w:pPr>
        <w:pStyle w:val="2"/>
        <w:spacing w:line="400" w:lineRule="exact"/>
        <w:ind w:firstLine="482" w:firstLineChars="200"/>
        <w:rPr>
          <w:rFonts w:hint="eastAsia" w:ascii="宋体" w:hAnsi="宋体" w:eastAsia="宋体" w:cs="宋体"/>
          <w:bCs w:val="0"/>
          <w:color w:val="auto"/>
          <w:sz w:val="24"/>
          <w:szCs w:val="24"/>
          <w:highlight w:val="none"/>
          <w:lang w:eastAsia="zh-CN"/>
        </w:rPr>
      </w:pPr>
    </w:p>
    <w:p w14:paraId="234ED962">
      <w:pPr>
        <w:pStyle w:val="2"/>
        <w:spacing w:line="400" w:lineRule="exact"/>
        <w:ind w:firstLine="482" w:firstLineChars="200"/>
        <w:rPr>
          <w:rFonts w:hint="eastAsia" w:ascii="宋体" w:hAnsi="宋体" w:eastAsia="宋体" w:cs="宋体"/>
          <w:bCs w:val="0"/>
          <w:color w:val="auto"/>
          <w:sz w:val="24"/>
          <w:szCs w:val="24"/>
          <w:highlight w:val="none"/>
          <w:lang w:eastAsia="zh-CN"/>
        </w:rPr>
      </w:pPr>
    </w:p>
    <w:p w14:paraId="2DE2F929">
      <w:pPr>
        <w:spacing w:line="360" w:lineRule="auto"/>
        <w:ind w:firstLine="480" w:firstLineChars="200"/>
        <w:rPr>
          <w:rFonts w:hint="eastAsia" w:ascii="宋体" w:hAnsi="宋体" w:eastAsia="宋体" w:cs="宋体"/>
          <w:bCs/>
          <w:color w:val="auto"/>
          <w:sz w:val="24"/>
          <w:highlight w:val="none"/>
        </w:rPr>
      </w:pPr>
    </w:p>
    <w:p w14:paraId="1F8502C6">
      <w:pPr>
        <w:keepNext w:val="0"/>
        <w:keepLines w:val="0"/>
        <w:pageBreakBefore w:val="0"/>
        <w:widowControl w:val="0"/>
        <w:kinsoku/>
        <w:overflowPunct/>
        <w:topLinePunct w:val="0"/>
        <w:autoSpaceDE/>
        <w:autoSpaceDN/>
        <w:bidi w:val="0"/>
        <w:adjustRightInd/>
        <w:spacing w:line="400" w:lineRule="exact"/>
        <w:ind w:firstLine="482" w:firstLineChars="200"/>
        <w:textAlignment w:val="auto"/>
        <w:rPr>
          <w:rFonts w:hint="eastAsia" w:ascii="宋体" w:hAnsi="宋体" w:eastAsia="宋体" w:cs="宋体"/>
          <w:b/>
          <w:color w:val="auto"/>
          <w:kern w:val="44"/>
          <w:sz w:val="24"/>
          <w:highlight w:val="none"/>
        </w:rPr>
      </w:pPr>
      <w:r>
        <w:rPr>
          <w:rFonts w:hint="eastAsia" w:ascii="宋体" w:hAnsi="宋体" w:eastAsia="宋体" w:cs="宋体"/>
          <w:b/>
          <w:color w:val="auto"/>
          <w:kern w:val="44"/>
          <w:sz w:val="24"/>
          <w:highlight w:val="none"/>
        </w:rPr>
        <w:t>一、项目基本情况</w:t>
      </w:r>
      <w:bookmarkEnd w:id="2"/>
      <w:bookmarkEnd w:id="3"/>
      <w:bookmarkEnd w:id="4"/>
      <w:bookmarkEnd w:id="5"/>
      <w:bookmarkEnd w:id="6"/>
    </w:p>
    <w:p w14:paraId="1D1B7EEC">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项目编号：CZZC2026-C2-240075-GXBS</w:t>
      </w:r>
    </w:p>
    <w:p w14:paraId="454E220D">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项目名称：大新县2026年以工代赈示范工程—雷平镇安平村以工代赈产业配套基础设施工程（2标）</w:t>
      </w:r>
    </w:p>
    <w:p w14:paraId="741BFD7F">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采购方式：竞争性磋商</w:t>
      </w:r>
    </w:p>
    <w:p w14:paraId="65F83194">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预算</w:t>
      </w:r>
      <w:r>
        <w:rPr>
          <w:rFonts w:hint="eastAsia" w:ascii="宋体" w:hAnsi="宋体" w:eastAsia="宋体" w:cs="宋体"/>
          <w:color w:val="auto"/>
          <w:szCs w:val="21"/>
          <w:highlight w:val="none"/>
          <w:lang w:val="en-US" w:eastAsia="zh-CN"/>
        </w:rPr>
        <w:t>总</w:t>
      </w:r>
      <w:r>
        <w:rPr>
          <w:rFonts w:hint="eastAsia" w:ascii="宋体" w:hAnsi="宋体" w:eastAsia="宋体" w:cs="宋体"/>
          <w:color w:val="auto"/>
          <w:szCs w:val="21"/>
          <w:highlight w:val="none"/>
        </w:rPr>
        <w:t>金额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lang w:val="en-US" w:eastAsia="zh-CN"/>
        </w:rPr>
        <w:t>2118967.96</w:t>
      </w:r>
    </w:p>
    <w:p w14:paraId="48C55B9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采购需求：</w:t>
      </w:r>
    </w:p>
    <w:p w14:paraId="37DE25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标项名称：</w:t>
      </w:r>
      <w:r>
        <w:rPr>
          <w:rFonts w:hint="eastAsia" w:ascii="宋体" w:hAnsi="宋体" w:eastAsia="宋体" w:cs="宋体"/>
          <w:color w:val="auto"/>
          <w:szCs w:val="21"/>
          <w:highlight w:val="none"/>
          <w:lang w:val="en-US" w:eastAsia="zh-CN"/>
        </w:rPr>
        <w:t>大新县2026年以工代赈示范工程—雷平镇安平村以工代赈产业配套基础设施工程（2标）</w:t>
      </w:r>
    </w:p>
    <w:p w14:paraId="4834D64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数量：1</w:t>
      </w:r>
    </w:p>
    <w:p w14:paraId="107C67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预算金额（元）：2118967.96</w:t>
      </w:r>
    </w:p>
    <w:p w14:paraId="1091D1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简要规格描述或项目基本概况介绍、用途：建设渠道总长2474m，其中左岸长1222m，右岸长1252m，挡墙墙身高1.5m，顶宽0.5m，底宽0.875m，基础宽1.280m，高0.5m，</w:t>
      </w:r>
      <w:r>
        <w:rPr>
          <w:rFonts w:hint="eastAsia" w:ascii="宋体" w:hAnsi="宋体" w:eastAsia="宋体" w:cs="宋体"/>
          <w:color w:val="auto"/>
          <w:szCs w:val="21"/>
          <w:highlight w:val="none"/>
          <w:lang w:eastAsia="zh-CN"/>
        </w:rPr>
        <w:t>具体内容详见</w:t>
      </w:r>
      <w:r>
        <w:rPr>
          <w:rFonts w:hint="eastAsia" w:ascii="宋体" w:hAnsi="宋体" w:eastAsia="宋体" w:cs="宋体"/>
          <w:color w:val="auto"/>
          <w:szCs w:val="21"/>
          <w:highlight w:val="none"/>
          <w:lang w:val="en-US" w:eastAsia="zh-CN"/>
        </w:rPr>
        <w:t>施工设计图纸及工程量清单。</w:t>
      </w:r>
    </w:p>
    <w:p w14:paraId="1B7105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最高限价（元）：2118967.96</w:t>
      </w:r>
    </w:p>
    <w:p w14:paraId="3260D9D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合同履约期限：工期120日历天</w:t>
      </w:r>
    </w:p>
    <w:p w14:paraId="623828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本标项（否）接受联合体投标</w:t>
      </w:r>
    </w:p>
    <w:p w14:paraId="2A17CA2B">
      <w:pPr>
        <w:keepNext w:val="0"/>
        <w:keepLines w:val="0"/>
        <w:pageBreakBefore w:val="0"/>
        <w:widowControl w:val="0"/>
        <w:kinsoku/>
        <w:overflowPunct/>
        <w:topLinePunct w:val="0"/>
        <w:autoSpaceDE/>
        <w:autoSpaceDN/>
        <w:bidi w:val="0"/>
        <w:adjustRightInd/>
        <w:spacing w:line="400" w:lineRule="exact"/>
        <w:ind w:firstLine="482" w:firstLineChars="200"/>
        <w:textAlignment w:val="auto"/>
        <w:rPr>
          <w:rFonts w:hint="eastAsia" w:ascii="宋体" w:hAnsi="宋体" w:eastAsia="宋体" w:cs="宋体"/>
          <w:bCs/>
          <w:color w:val="auto"/>
          <w:sz w:val="24"/>
          <w:highlight w:val="none"/>
        </w:rPr>
      </w:pPr>
      <w:bookmarkStart w:id="11" w:name="_Toc44229879"/>
      <w:bookmarkStart w:id="12" w:name="_Toc28359013"/>
      <w:bookmarkStart w:id="13" w:name="_Toc35393630"/>
      <w:bookmarkStart w:id="14" w:name="_Toc28359090"/>
      <w:bookmarkStart w:id="15" w:name="_Toc35393799"/>
      <w:r>
        <w:rPr>
          <w:rFonts w:hint="eastAsia" w:ascii="宋体" w:hAnsi="宋体" w:eastAsia="宋体" w:cs="宋体"/>
          <w:b/>
          <w:color w:val="auto"/>
          <w:kern w:val="44"/>
          <w:sz w:val="24"/>
          <w:highlight w:val="none"/>
        </w:rPr>
        <w:t>二、供应商的资格条件</w:t>
      </w:r>
      <w:bookmarkEnd w:id="11"/>
      <w:bookmarkEnd w:id="12"/>
      <w:bookmarkEnd w:id="13"/>
      <w:bookmarkEnd w:id="14"/>
      <w:bookmarkEnd w:id="15"/>
    </w:p>
    <w:p w14:paraId="247AC0B7">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1.满足《中华人民共和国政府采购法》第二十二条规定；</w:t>
      </w:r>
    </w:p>
    <w:p w14:paraId="51770627">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2.落实政府采购政策需满足的资格要求：专门面向</w:t>
      </w:r>
      <w:r>
        <w:rPr>
          <w:rFonts w:hint="eastAsia" w:ascii="宋体" w:hAnsi="宋体" w:eastAsia="宋体" w:cs="宋体"/>
          <w:color w:val="auto"/>
          <w:szCs w:val="21"/>
          <w:highlight w:val="none"/>
          <w:lang w:val="en-US" w:eastAsia="zh-CN"/>
        </w:rPr>
        <w:t>中小企业采购的项目（供应商应为中小微企业、监狱企业、残疾人福利性单位）</w:t>
      </w:r>
    </w:p>
    <w:p w14:paraId="61F60BEE">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rPr>
        <w:t>3.本项目的特定资格要求：</w:t>
      </w:r>
      <w:bookmarkStart w:id="16" w:name="PO_3000001868_PM006_2"/>
      <w:r>
        <w:rPr>
          <w:rFonts w:hint="eastAsia" w:ascii="宋体" w:hAnsi="宋体" w:eastAsia="宋体" w:cs="宋体"/>
          <w:color w:val="auto"/>
          <w:szCs w:val="21"/>
          <w:highlight w:val="none"/>
        </w:rPr>
        <w:t>供应商须具备水利水电工程施工总承包三级及以上或市政公用工程施工总承包三级及以上资质，同时具备省级及以上建设行政主管部门颁发的企业安全生产许可证，并在人员、设备、资金等方面具备相应的施工能力。其中，供应商拟派项目经理须具备</w:t>
      </w:r>
      <w:r>
        <w:rPr>
          <w:rFonts w:hint="eastAsia" w:ascii="宋体" w:hAnsi="宋体" w:eastAsia="宋体" w:cs="宋体"/>
          <w:color w:val="auto"/>
          <w:szCs w:val="21"/>
          <w:highlight w:val="none"/>
          <w:lang w:eastAsia="zh-CN"/>
        </w:rPr>
        <w:t>水利水电工程专业二级及以上或市政公用工程专业二级及以上注册建造师执业资格</w:t>
      </w:r>
      <w:r>
        <w:rPr>
          <w:rFonts w:hint="eastAsia" w:ascii="宋体" w:hAnsi="宋体" w:eastAsia="宋体" w:cs="宋体"/>
          <w:color w:val="auto"/>
          <w:szCs w:val="21"/>
          <w:highlight w:val="none"/>
        </w:rPr>
        <w:t>，具备有效的安全生产考核合格证书（B 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本项目不接受有在建、已中标（成交）未开工或已列为其他项目中标候选人第一名的建造师作为项目经理</w:t>
      </w:r>
      <w:r>
        <w:rPr>
          <w:rFonts w:hint="eastAsia" w:ascii="宋体" w:hAnsi="宋体" w:eastAsia="宋体" w:cs="宋体"/>
          <w:color w:val="auto"/>
          <w:szCs w:val="21"/>
          <w:highlight w:val="none"/>
          <w:lang w:eastAsia="zh-CN"/>
        </w:rPr>
        <w:t>。</w:t>
      </w:r>
    </w:p>
    <w:bookmarkEnd w:id="16"/>
    <w:p w14:paraId="663A98D6">
      <w:pPr>
        <w:keepNext w:val="0"/>
        <w:keepLines w:val="0"/>
        <w:pageBreakBefore w:val="0"/>
        <w:widowControl w:val="0"/>
        <w:kinsoku/>
        <w:overflowPunct/>
        <w:topLinePunct w:val="0"/>
        <w:autoSpaceDE/>
        <w:autoSpaceDN/>
        <w:bidi w:val="0"/>
        <w:adjustRightInd/>
        <w:spacing w:line="40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三、获取竞争性磋商文件</w:t>
      </w:r>
      <w:bookmarkEnd w:id="7"/>
      <w:bookmarkEnd w:id="8"/>
      <w:bookmarkEnd w:id="9"/>
      <w:bookmarkEnd w:id="10"/>
    </w:p>
    <w:p w14:paraId="65D0F56F">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rPr>
      </w:pPr>
      <w:bookmarkStart w:id="17" w:name="_Toc35393793"/>
      <w:bookmarkStart w:id="18" w:name="_Toc28359005"/>
      <w:bookmarkStart w:id="19" w:name="_Toc35393624"/>
      <w:bookmarkStart w:id="20" w:name="_Toc28359082"/>
      <w:r>
        <w:rPr>
          <w:rFonts w:hint="eastAsia" w:ascii="宋体" w:hAnsi="宋体" w:eastAsia="宋体" w:cs="宋体"/>
          <w:color w:val="auto"/>
          <w:szCs w:val="21"/>
          <w:highlight w:val="none"/>
        </w:rPr>
        <w:t>时间：</w:t>
      </w: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rPr>
        <w:t>至</w:t>
      </w: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日，每天00:00至12:00，12:00至23:59；</w:t>
      </w:r>
    </w:p>
    <w:p w14:paraId="1D47DD06">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地点（网址）：广西政府采购云平台</w:t>
      </w:r>
      <w:r>
        <w:rPr>
          <w:rFonts w:hint="eastAsia" w:ascii="宋体" w:hAnsi="宋体" w:eastAsia="宋体" w:cs="宋体"/>
          <w:color w:val="auto"/>
          <w:szCs w:val="21"/>
          <w:highlight w:val="none"/>
          <w:u w:val="none"/>
          <w:lang w:eastAsia="zh-CN"/>
        </w:rPr>
        <w:t>（https://www.gcy.zfcg.gxzf.gov.cn）</w:t>
      </w:r>
      <w:r>
        <w:rPr>
          <w:rFonts w:hint="eastAsia" w:ascii="宋体" w:hAnsi="宋体" w:eastAsia="宋体" w:cs="宋体"/>
          <w:color w:val="auto"/>
          <w:szCs w:val="21"/>
          <w:highlight w:val="none"/>
        </w:rPr>
        <w:t>线上获取</w:t>
      </w:r>
    </w:p>
    <w:p w14:paraId="10ACA14F">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方式：供应商登录广西政府采购云平台https://www.gcy.zfcg.gxzf.gov.cn/在线申请获取采购文件（进入“项目采购”应用，在获取采购文件菜单中选择项目，申请获取采购文件）。</w:t>
      </w:r>
    </w:p>
    <w:p w14:paraId="0C4A8F2C">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4F25234C">
      <w:pPr>
        <w:keepNext w:val="0"/>
        <w:keepLines w:val="0"/>
        <w:pageBreakBefore w:val="0"/>
        <w:widowControl w:val="0"/>
        <w:kinsoku/>
        <w:overflowPunct/>
        <w:topLinePunct w:val="0"/>
        <w:autoSpaceDE/>
        <w:autoSpaceDN/>
        <w:bidi w:val="0"/>
        <w:adjustRightInd/>
        <w:spacing w:line="40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End w:id="17"/>
      <w:bookmarkEnd w:id="18"/>
      <w:bookmarkEnd w:id="19"/>
      <w:bookmarkEnd w:id="20"/>
      <w:r>
        <w:rPr>
          <w:rFonts w:hint="eastAsia" w:ascii="宋体" w:hAnsi="宋体" w:eastAsia="宋体" w:cs="宋体"/>
          <w:b/>
          <w:bCs/>
          <w:color w:val="auto"/>
          <w:sz w:val="24"/>
          <w:highlight w:val="none"/>
        </w:rPr>
        <w:t>响应文件提交</w:t>
      </w:r>
    </w:p>
    <w:p w14:paraId="2D93A793">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截止时间：</w:t>
      </w: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eastAsia="zh-CN"/>
        </w:rPr>
        <w:t>日</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lang w:eastAsia="zh-CN"/>
        </w:rPr>
        <w:t>0</w:t>
      </w:r>
      <w:r>
        <w:rPr>
          <w:rFonts w:hint="eastAsia" w:ascii="宋体" w:hAnsi="宋体" w:eastAsia="宋体" w:cs="宋体"/>
          <w:color w:val="auto"/>
          <w:szCs w:val="21"/>
          <w:highlight w:val="none"/>
        </w:rPr>
        <w:t>（北京时间）</w:t>
      </w:r>
    </w:p>
    <w:p w14:paraId="7EA8370D">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地点（网址）：请登录广西政府采购云平台投标客户端投标</w:t>
      </w:r>
    </w:p>
    <w:p w14:paraId="750BA153">
      <w:pPr>
        <w:keepNext w:val="0"/>
        <w:keepLines w:val="0"/>
        <w:pageBreakBefore w:val="0"/>
        <w:widowControl w:val="0"/>
        <w:kinsoku/>
        <w:overflowPunct/>
        <w:topLinePunct w:val="0"/>
        <w:autoSpaceDE/>
        <w:autoSpaceDN/>
        <w:bidi w:val="0"/>
        <w:adjustRightInd/>
        <w:spacing w:line="40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五、开启（首次响应文件开启时间）</w:t>
      </w:r>
    </w:p>
    <w:p w14:paraId="2D2C5C99">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szCs w:val="21"/>
          <w:highlight w:val="none"/>
          <w:u w:val="none"/>
        </w:rPr>
      </w:pPr>
      <w:r>
        <w:rPr>
          <w:rFonts w:hint="eastAsia" w:ascii="宋体" w:hAnsi="宋体" w:eastAsia="宋体" w:cs="宋体"/>
          <w:bCs/>
          <w:color w:val="auto"/>
          <w:szCs w:val="21"/>
          <w:highlight w:val="none"/>
          <w:u w:val="none"/>
        </w:rPr>
        <w:t>开启时间：</w:t>
      </w: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eastAsia="zh-CN"/>
        </w:rPr>
        <w:t>日</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lang w:eastAsia="zh-CN"/>
        </w:rPr>
        <w:t>0</w:t>
      </w:r>
      <w:r>
        <w:rPr>
          <w:rFonts w:hint="eastAsia" w:ascii="宋体" w:hAnsi="宋体" w:eastAsia="宋体" w:cs="宋体"/>
          <w:color w:val="auto"/>
          <w:szCs w:val="21"/>
          <w:highlight w:val="none"/>
        </w:rPr>
        <w:t>（北京时间））</w:t>
      </w:r>
    </w:p>
    <w:p w14:paraId="0828354B">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szCs w:val="21"/>
          <w:highlight w:val="none"/>
          <w:u w:val="none"/>
        </w:rPr>
      </w:pPr>
      <w:r>
        <w:rPr>
          <w:rFonts w:hint="eastAsia" w:ascii="宋体" w:hAnsi="宋体" w:eastAsia="宋体" w:cs="宋体"/>
          <w:color w:val="auto"/>
          <w:szCs w:val="21"/>
          <w:highlight w:val="none"/>
          <w:u w:val="none"/>
          <w:lang w:eastAsia="zh-CN"/>
        </w:rPr>
        <w:t>地点：广西政府采购云平台（https://www.gcy.zfcg.gxzf.gov.cn）</w:t>
      </w:r>
    </w:p>
    <w:p w14:paraId="1132BB2D">
      <w:pPr>
        <w:keepNext w:val="0"/>
        <w:keepLines w:val="0"/>
        <w:pageBreakBefore w:val="0"/>
        <w:widowControl w:val="0"/>
        <w:kinsoku/>
        <w:overflowPunct/>
        <w:topLinePunct w:val="0"/>
        <w:autoSpaceDE/>
        <w:autoSpaceDN/>
        <w:bidi w:val="0"/>
        <w:adjustRightInd/>
        <w:spacing w:line="400" w:lineRule="exact"/>
        <w:ind w:firstLine="482" w:firstLineChars="200"/>
        <w:textAlignment w:val="auto"/>
        <w:rPr>
          <w:rFonts w:hint="eastAsia" w:ascii="宋体" w:hAnsi="宋体" w:eastAsia="宋体" w:cs="宋体"/>
          <w:b/>
          <w:bCs/>
          <w:color w:val="auto"/>
          <w:sz w:val="24"/>
          <w:highlight w:val="none"/>
        </w:rPr>
      </w:pPr>
      <w:bookmarkStart w:id="21" w:name="_Toc35393794"/>
      <w:bookmarkStart w:id="22" w:name="_Toc28359007"/>
      <w:bookmarkStart w:id="23" w:name="_Toc35393625"/>
      <w:bookmarkStart w:id="24" w:name="_Toc28359084"/>
      <w:r>
        <w:rPr>
          <w:rFonts w:hint="eastAsia" w:ascii="宋体" w:hAnsi="宋体" w:eastAsia="宋体" w:cs="宋体"/>
          <w:b/>
          <w:bCs/>
          <w:color w:val="auto"/>
          <w:sz w:val="24"/>
          <w:highlight w:val="none"/>
        </w:rPr>
        <w:t>六、公告期限</w:t>
      </w:r>
      <w:bookmarkEnd w:id="21"/>
      <w:bookmarkEnd w:id="22"/>
      <w:bookmarkEnd w:id="23"/>
      <w:bookmarkEnd w:id="24"/>
    </w:p>
    <w:p w14:paraId="2251F3D7">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70603050">
      <w:pPr>
        <w:keepNext w:val="0"/>
        <w:keepLines w:val="0"/>
        <w:pageBreakBefore w:val="0"/>
        <w:widowControl w:val="0"/>
        <w:kinsoku/>
        <w:overflowPunct/>
        <w:topLinePunct w:val="0"/>
        <w:autoSpaceDE/>
        <w:autoSpaceDN/>
        <w:bidi w:val="0"/>
        <w:adjustRightInd/>
        <w:spacing w:line="400" w:lineRule="exact"/>
        <w:ind w:firstLine="482" w:firstLineChars="200"/>
        <w:textAlignment w:val="auto"/>
        <w:rPr>
          <w:rFonts w:hint="eastAsia" w:ascii="宋体" w:hAnsi="宋体" w:eastAsia="宋体" w:cs="宋体"/>
          <w:b/>
          <w:bCs/>
          <w:color w:val="auto"/>
          <w:sz w:val="24"/>
          <w:highlight w:val="none"/>
        </w:rPr>
      </w:pPr>
      <w:bookmarkStart w:id="25" w:name="_Toc35393626"/>
      <w:bookmarkStart w:id="26" w:name="_Toc35393795"/>
      <w:r>
        <w:rPr>
          <w:rFonts w:hint="eastAsia" w:ascii="宋体" w:hAnsi="宋体" w:eastAsia="宋体" w:cs="宋体"/>
          <w:b/>
          <w:bCs/>
          <w:color w:val="auto"/>
          <w:sz w:val="24"/>
          <w:highlight w:val="none"/>
        </w:rPr>
        <w:t>七、其他补充事宜</w:t>
      </w:r>
      <w:bookmarkEnd w:id="25"/>
      <w:bookmarkEnd w:id="26"/>
    </w:p>
    <w:p w14:paraId="01A83DCB">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1.磋商保证金：本项目不收取磋商保证金。</w:t>
      </w:r>
    </w:p>
    <w:p w14:paraId="489ECA45">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2.采购意向公开链接：http://www.ccgp-guangxi.gov.cn/site/detail?parentId=66485&amp;articleId=uolNwh57rQpFEnQK7avOSA==。</w:t>
      </w:r>
    </w:p>
    <w:p w14:paraId="6186B0DF">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lang w:val="en-US" w:eastAsia="zh-CN"/>
        </w:rPr>
      </w:pPr>
      <w:bookmarkStart w:id="27" w:name="_Hlk37429585"/>
      <w:r>
        <w:rPr>
          <w:rFonts w:hint="eastAsia" w:ascii="宋体" w:hAnsi="宋体" w:eastAsia="宋体" w:cs="宋体"/>
          <w:color w:val="auto"/>
          <w:kern w:val="0"/>
          <w:szCs w:val="21"/>
          <w:highlight w:val="none"/>
          <w:lang w:val="en-US" w:eastAsia="zh-CN"/>
        </w:rPr>
        <w:t>3.</w:t>
      </w:r>
      <w:bookmarkStart w:id="28" w:name="_Hlk37429595"/>
      <w:r>
        <w:rPr>
          <w:rFonts w:hint="eastAsia" w:ascii="宋体" w:hAnsi="宋体" w:eastAsia="宋体" w:cs="宋体"/>
          <w:color w:val="auto"/>
          <w:kern w:val="0"/>
          <w:szCs w:val="21"/>
          <w:highlight w:val="none"/>
          <w:lang w:val="en-US" w:eastAsia="zh-CN"/>
        </w:rPr>
        <w:t>网上查询地址</w:t>
      </w:r>
      <w:bookmarkEnd w:id="27"/>
      <w:bookmarkEnd w:id="28"/>
      <w:bookmarkStart w:id="29" w:name="_Hlk37429674"/>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szCs w:val="21"/>
          <w:highlight w:val="none"/>
        </w:rPr>
        <w:t>中国政府采购网、广西壮族自治区政府采购网、全国公共资源交易平台（广西.崇左）</w:t>
      </w:r>
      <w:r>
        <w:rPr>
          <w:rFonts w:hint="eastAsia" w:ascii="宋体" w:hAnsi="宋体" w:eastAsia="宋体" w:cs="宋体"/>
          <w:color w:val="auto"/>
          <w:szCs w:val="21"/>
          <w:highlight w:val="none"/>
          <w:lang w:eastAsia="zh-CN"/>
        </w:rPr>
        <w:t>。</w:t>
      </w:r>
      <w:r>
        <w:rPr>
          <w:rFonts w:hint="eastAsia" w:ascii="宋体" w:hAnsi="宋体" w:eastAsia="宋体" w:cs="宋体"/>
          <w:color w:val="auto"/>
          <w:kern w:val="0"/>
          <w:szCs w:val="21"/>
          <w:highlight w:val="none"/>
          <w:lang w:val="en-US" w:eastAsia="zh-CN"/>
        </w:rPr>
        <w:t xml:space="preserve"> </w:t>
      </w:r>
    </w:p>
    <w:p w14:paraId="4C2D3B21">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4.本项目需要落实的政府采购政策</w:t>
      </w:r>
    </w:p>
    <w:p w14:paraId="2BF183ED">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（1）政府采购促进中小企业发展。</w:t>
      </w:r>
    </w:p>
    <w:p w14:paraId="0D4D83D2">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（2）政府采购支持采用本国产品的政策。</w:t>
      </w:r>
    </w:p>
    <w:p w14:paraId="43BE557F">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政府采购促进残疾人就业政策。</w:t>
      </w:r>
    </w:p>
    <w:p w14:paraId="2AF08883">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）政府采购支持监狱企业发展。</w:t>
      </w:r>
      <w:bookmarkEnd w:id="29"/>
    </w:p>
    <w:p w14:paraId="09ED3598">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5）落实国家以工代赈政策。</w:t>
      </w:r>
    </w:p>
    <w:p w14:paraId="686EB459">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7F9001F3">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3BDB6F3">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.对在“信用中国”网站</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www.creditchina.gov.cn</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 xml:space="preserve"> 、中国政府采购网</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www.ccgp.gov.cn</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被列入失信被执行人、重大税收违法案件当事人名单、政府采购严重违法失信行为记录名单及其他不符合《中华人民共和国政府采购法》第二十二条规定条件的供应商，不得参与政府采购活动。</w:t>
      </w:r>
    </w:p>
    <w:p w14:paraId="7C240A6A">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8.在线竞标响应（电子投标）说明</w:t>
      </w:r>
    </w:p>
    <w:p w14:paraId="49A396D7">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本项目为全流程电子化采购项目，通过广西政府采购云平台（https://www.gcy.zfcg.gxzf.gov.cn）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r>
        <w:rPr>
          <w:rFonts w:hint="eastAsia" w:ascii="宋体" w:hAnsi="宋体" w:eastAsia="宋体" w:cs="宋体"/>
          <w:color w:val="auto"/>
          <w:kern w:val="0"/>
          <w:szCs w:val="21"/>
          <w:highlight w:val="none"/>
          <w:lang w:val="en-US" w:eastAsia="zh-CN"/>
        </w:rPr>
        <w:br w:type="textWrapping"/>
      </w:r>
      <w:r>
        <w:rPr>
          <w:rFonts w:hint="eastAsia" w:ascii="宋体" w:hAnsi="宋体" w:eastAsia="宋体" w:cs="宋体"/>
          <w:color w:val="auto"/>
          <w:kern w:val="0"/>
          <w:szCs w:val="21"/>
          <w:highlight w:val="none"/>
          <w:lang w:val="en-US" w:eastAsia="zh-CN"/>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95763）。</w:t>
      </w:r>
      <w:r>
        <w:rPr>
          <w:rFonts w:hint="eastAsia" w:ascii="宋体" w:hAnsi="宋体" w:eastAsia="宋体" w:cs="宋体"/>
          <w:color w:val="auto"/>
          <w:kern w:val="0"/>
          <w:szCs w:val="21"/>
          <w:highlight w:val="none"/>
          <w:lang w:val="en-US" w:eastAsia="zh-CN"/>
        </w:rPr>
        <w:br w:type="textWrapping"/>
      </w:r>
      <w:r>
        <w:rPr>
          <w:rFonts w:hint="eastAsia" w:ascii="宋体" w:hAnsi="宋体" w:eastAsia="宋体" w:cs="宋体"/>
          <w:color w:val="auto"/>
          <w:kern w:val="0"/>
          <w:szCs w:val="21"/>
          <w:highlight w:val="none"/>
          <w:lang w:val="en-US" w:eastAsia="zh-CN"/>
        </w:rPr>
        <w:t>（3）CA证书在线解密：首次响应文件开启时，需携带制作响应文件时用来加密的有效数字证书（CA认证）登录广西政府采购云平台电子开标大厅现场按规定时间对加密的响应文件进行解密，否则后果自负。</w:t>
      </w:r>
      <w:r>
        <w:rPr>
          <w:rFonts w:hint="eastAsia" w:ascii="宋体" w:hAnsi="宋体" w:eastAsia="宋体" w:cs="宋体"/>
          <w:color w:val="auto"/>
          <w:kern w:val="0"/>
          <w:szCs w:val="21"/>
          <w:highlight w:val="none"/>
          <w:lang w:val="en-US" w:eastAsia="zh-CN"/>
        </w:rPr>
        <w:br w:type="textWrapping"/>
      </w:r>
      <w:r>
        <w:rPr>
          <w:rFonts w:hint="eastAsia" w:ascii="宋体" w:hAnsi="宋体" w:eastAsia="宋体" w:cs="宋体"/>
          <w:color w:val="auto"/>
          <w:kern w:val="0"/>
          <w:szCs w:val="21"/>
          <w:highlight w:val="none"/>
          <w:lang w:val="en-US" w:eastAsia="zh-CN"/>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在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宋体" w:hAnsi="宋体" w:eastAsia="宋体" w:cs="宋体"/>
          <w:color w:val="auto"/>
          <w:kern w:val="0"/>
          <w:szCs w:val="21"/>
          <w:highlight w:val="none"/>
          <w:lang w:val="en-US" w:eastAsia="zh-CN"/>
        </w:rPr>
        <w:br w:type="textWrapping"/>
      </w:r>
      <w:r>
        <w:rPr>
          <w:rFonts w:hint="eastAsia" w:ascii="宋体" w:hAnsi="宋体" w:eastAsia="宋体" w:cs="宋体"/>
          <w:color w:val="auto"/>
          <w:kern w:val="0"/>
          <w:szCs w:val="21"/>
          <w:highlight w:val="none"/>
          <w:lang w:val="en-US" w:eastAsia="zh-CN"/>
        </w:rPr>
        <w:t xml:space="preserve">（4）供应商需要在具备摄像头及语音功能且互联网网络状况良好的电脑登录广西政府采购云平台远程开标大厅参与本次磋商，否则后果自负。 </w:t>
      </w:r>
    </w:p>
    <w:p w14:paraId="5912CF5C">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9.根据《崇左市财政局关于进一步做好线上“政采贷”融资业务工作的通知》（ 崇财采〔2023〕10号） ，供应商可凭中标通知书、政府采购合同，通过中征应收账款融资服务平台向银行在线申请“政采贷”融资。（具体详见采购文件中关于“政采贷”相关信息）。</w:t>
      </w:r>
    </w:p>
    <w:p w14:paraId="2AE48997">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本项目按照崇左市财政局关于推行政府采购领域信用承诺制度的通知的要求。为减少供应商参与政府采购活动所需提供的材料，供应商在参与崇左市政府采购活动时，可对《中华人民共和国政府采购法实施条例》第十七条第一款第（一）项至第（四）项所要求提供的相关材料进行简化。简化后，供应商只需以书面形式提供信用承诺函（格式详见附件），即可替代以下资质材料：（一）法人或者其他组织的营业执照等证明文件，自然人的身份证明；（二）财务状况报告；（三）依法缴纳税收和社会保障资金相关证明材料；（四）有履行合同所必需的设备和专业技术能力相关证明材料；（五）参加政府采购活动前3年内在经营活动中没有重大违法记录相关证明材料。</w:t>
      </w:r>
    </w:p>
    <w:p w14:paraId="748DB237">
      <w:pPr>
        <w:pStyle w:val="25"/>
        <w:keepNext w:val="0"/>
        <w:keepLines w:val="0"/>
        <w:pageBreakBefore w:val="0"/>
        <w:widowControl w:val="0"/>
        <w:kinsoku/>
        <w:overflowPunct/>
        <w:topLinePunct w:val="0"/>
        <w:autoSpaceDE/>
        <w:autoSpaceDN/>
        <w:bidi w:val="0"/>
        <w:adjustRightInd/>
        <w:spacing w:line="400" w:lineRule="exac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11.评标说明：本项目为远程异地全流程电子评标，评标主会场地址：崇左市公共资源交易中心五层评标区（崇左市江州区石景林路）；评标分会场地址：广西百晟工程咨询有限公司</w:t>
      </w:r>
      <w:r>
        <w:rPr>
          <w:rFonts w:hint="eastAsia" w:ascii="宋体" w:hAnsi="宋体" w:cs="宋体"/>
          <w:color w:val="auto"/>
          <w:kern w:val="0"/>
          <w:sz w:val="21"/>
          <w:szCs w:val="21"/>
          <w:highlight w:val="none"/>
          <w:lang w:val="en-US" w:eastAsia="zh-CN" w:bidi="ar-SA"/>
        </w:rPr>
        <w:t>四</w:t>
      </w:r>
      <w:r>
        <w:rPr>
          <w:rFonts w:hint="eastAsia" w:ascii="宋体" w:hAnsi="宋体" w:eastAsia="宋体" w:cs="宋体"/>
          <w:color w:val="auto"/>
          <w:kern w:val="0"/>
          <w:sz w:val="21"/>
          <w:szCs w:val="21"/>
          <w:highlight w:val="none"/>
          <w:lang w:val="en-US" w:eastAsia="zh-CN" w:bidi="ar-SA"/>
        </w:rPr>
        <w:t>楼评标室</w:t>
      </w:r>
      <w:r>
        <w:rPr>
          <w:rFonts w:hint="eastAsia" w:ascii="宋体"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百色市右江区江滨二路3号（恒升水岸花园）D栋D1号</w:t>
      </w:r>
      <w:r>
        <w:rPr>
          <w:rFonts w:hint="eastAsia" w:ascii="宋体"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，0776-2815066。</w:t>
      </w:r>
    </w:p>
    <w:p w14:paraId="75083435">
      <w:pPr>
        <w:keepNext w:val="0"/>
        <w:keepLines w:val="0"/>
        <w:pageBreakBefore w:val="0"/>
        <w:widowControl w:val="0"/>
        <w:kinsoku/>
        <w:overflowPunct/>
        <w:topLinePunct w:val="0"/>
        <w:autoSpaceDE/>
        <w:autoSpaceDN/>
        <w:bidi w:val="0"/>
        <w:adjustRightInd/>
        <w:spacing w:line="400" w:lineRule="exact"/>
        <w:textAlignment w:val="auto"/>
        <w:rPr>
          <w:rFonts w:hint="eastAsia" w:ascii="宋体" w:hAnsi="宋体" w:eastAsia="宋体" w:cs="宋体"/>
          <w:bCs/>
          <w:color w:val="auto"/>
          <w:sz w:val="24"/>
          <w:highlight w:val="none"/>
        </w:rPr>
      </w:pPr>
      <w:r>
        <w:rPr>
          <w:rFonts w:hint="eastAsia" w:ascii="宋体" w:hAnsi="宋体" w:eastAsia="宋体" w:cs="宋体"/>
          <w:b/>
          <w:color w:val="auto"/>
          <w:kern w:val="44"/>
          <w:sz w:val="24"/>
          <w:highlight w:val="none"/>
        </w:rPr>
        <w:t>八、凡对本次采购提出询问，请按以下方式联系</w:t>
      </w:r>
    </w:p>
    <w:p w14:paraId="088A7F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eastAsia="zh-CN"/>
        </w:rPr>
        <w:t>1.采购人信息</w:t>
      </w:r>
    </w:p>
    <w:p w14:paraId="280002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eastAsia="zh-CN"/>
        </w:rPr>
        <w:t>名</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eastAsia="zh-CN"/>
        </w:rPr>
        <w:t>称：大新县发展和改革局</w:t>
      </w:r>
    </w:p>
    <w:p w14:paraId="7075E9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地  址：大新县桃城镇安平大道160号财政大楼8楼</w:t>
      </w:r>
    </w:p>
    <w:p w14:paraId="38502F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项目联系人：梁工</w:t>
      </w:r>
    </w:p>
    <w:p w14:paraId="419338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eastAsia="zh-CN"/>
        </w:rPr>
        <w:t>联系电话：</w:t>
      </w:r>
      <w:r>
        <w:rPr>
          <w:rFonts w:hint="eastAsia" w:ascii="宋体" w:hAnsi="宋体" w:eastAsia="宋体" w:cs="宋体"/>
          <w:color w:val="auto"/>
          <w:sz w:val="21"/>
          <w:szCs w:val="21"/>
          <w:highlight w:val="none"/>
          <w:u w:val="none"/>
          <w:lang w:val="en-US" w:eastAsia="zh-CN"/>
        </w:rPr>
        <w:t xml:space="preserve">0771-3625799 </w:t>
      </w:r>
    </w:p>
    <w:p w14:paraId="55661F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eastAsia="zh-CN"/>
        </w:rPr>
        <w:t>2.采购代理机构信息</w:t>
      </w:r>
    </w:p>
    <w:p w14:paraId="369C01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eastAsia="zh-CN"/>
        </w:rPr>
        <w:t>名</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eastAsia="zh-CN"/>
        </w:rPr>
        <w:t>称：广西百晟工程咨询有限公司</w:t>
      </w:r>
    </w:p>
    <w:p w14:paraId="0D5C4B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eastAsia="zh-CN"/>
        </w:rPr>
        <w:t>地</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eastAsia="zh-CN"/>
        </w:rPr>
        <w:t>址：百色市右江区江滨二路3号（恒升水岸花园）D栋D1号</w:t>
      </w:r>
    </w:p>
    <w:p w14:paraId="788661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eastAsia="zh-CN"/>
        </w:rPr>
        <w:t>联系电话：0776-2815066</w:t>
      </w:r>
      <w:r>
        <w:rPr>
          <w:rFonts w:hint="eastAsia" w:ascii="宋体" w:hAnsi="宋体" w:eastAsia="宋体" w:cs="宋体"/>
          <w:color w:val="auto"/>
          <w:sz w:val="21"/>
          <w:szCs w:val="21"/>
          <w:highlight w:val="none"/>
          <w:u w:val="none"/>
          <w:lang w:val="en-US" w:eastAsia="zh-CN"/>
        </w:rPr>
        <w:t xml:space="preserve"> </w:t>
      </w:r>
    </w:p>
    <w:p w14:paraId="1453CD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eastAsia="zh-CN"/>
        </w:rPr>
        <w:t>3.项目联系方式</w:t>
      </w:r>
    </w:p>
    <w:p w14:paraId="223780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eastAsia="zh-CN"/>
        </w:rPr>
        <w:t>项目联系人：</w:t>
      </w:r>
      <w:r>
        <w:rPr>
          <w:rFonts w:hint="eastAsia" w:ascii="宋体" w:hAnsi="宋体" w:eastAsia="宋体" w:cs="宋体"/>
          <w:color w:val="auto"/>
          <w:sz w:val="21"/>
          <w:szCs w:val="21"/>
          <w:highlight w:val="none"/>
          <w:u w:val="none"/>
          <w:lang w:val="en-US" w:eastAsia="zh-CN"/>
        </w:rPr>
        <w:t>苏工</w:t>
      </w:r>
    </w:p>
    <w:p w14:paraId="4CEB3F8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eastAsia="zh-CN"/>
        </w:rPr>
        <w:t>电</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eastAsia="zh-CN"/>
        </w:rPr>
        <w:t>话：</w:t>
      </w:r>
      <w:r>
        <w:rPr>
          <w:rFonts w:hint="eastAsia" w:ascii="宋体" w:hAnsi="宋体" w:eastAsia="宋体" w:cs="宋体"/>
          <w:color w:val="auto"/>
          <w:sz w:val="21"/>
          <w:szCs w:val="21"/>
          <w:highlight w:val="none"/>
          <w:u w:val="none"/>
          <w:lang w:val="en-US" w:eastAsia="zh-CN"/>
        </w:rPr>
        <w:t>19107768837</w:t>
      </w:r>
    </w:p>
    <w:p w14:paraId="0826EADE">
      <w:pPr>
        <w:pStyle w:val="8"/>
        <w:keepNext w:val="0"/>
        <w:keepLines w:val="0"/>
        <w:pageBreakBefore w:val="0"/>
        <w:widowControl w:val="0"/>
        <w:kinsoku/>
        <w:overflowPunct/>
        <w:topLinePunct w:val="0"/>
        <w:autoSpaceDE/>
        <w:autoSpaceDN/>
        <w:bidi w:val="0"/>
        <w:adjustRightInd/>
        <w:spacing w:line="400" w:lineRule="exact"/>
        <w:ind w:firstLine="420" w:firstLineChars="200"/>
        <w:jc w:val="right"/>
        <w:textAlignment w:val="auto"/>
        <w:rPr>
          <w:rFonts w:hint="eastAsia" w:ascii="宋体" w:hAnsi="宋体" w:eastAsia="宋体" w:cs="宋体"/>
          <w:color w:val="auto"/>
          <w:szCs w:val="21"/>
          <w:highlight w:val="none"/>
          <w:u w:val="single"/>
          <w:lang w:eastAsia="zh-CN"/>
        </w:rPr>
      </w:pPr>
      <w:bookmarkStart w:id="30" w:name="PO_3000001868_PM031_2"/>
    </w:p>
    <w:bookmarkEnd w:id="30"/>
    <w:p w14:paraId="2EBE3D3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eastAsia="zh-CN"/>
        </w:rPr>
        <w:t>广西百晟工程咨询有限公司</w:t>
      </w:r>
    </w:p>
    <w:p w14:paraId="741B7EA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u w:val="none"/>
        </w:rPr>
        <w:sectPr>
          <w:footerReference r:id="rId7" w:type="default"/>
          <w:pgSz w:w="11911" w:h="16838"/>
          <w:pgMar w:top="1417" w:right="1417" w:bottom="1134" w:left="1417" w:header="720" w:footer="720" w:gutter="0"/>
          <w:pgBorders>
            <w:top w:val="none" w:sz="0" w:space="0"/>
            <w:left w:val="none" w:sz="0" w:space="0"/>
            <w:bottom w:val="none" w:sz="0" w:space="0"/>
            <w:right w:val="none" w:sz="0" w:space="0"/>
          </w:pgBorders>
          <w:pgNumType w:fmt="numberInDash" w:start="1"/>
          <w:cols w:space="0" w:num="1"/>
          <w:rtlGutter w:val="0"/>
          <w:docGrid w:linePitch="0" w:charSpace="0"/>
        </w:sectPr>
      </w:pPr>
      <w:r>
        <w:rPr>
          <w:rFonts w:hint="eastAsia" w:ascii="宋体" w:hAnsi="宋体" w:eastAsia="宋体" w:cs="宋体"/>
          <w:color w:val="auto"/>
          <w:sz w:val="21"/>
          <w:szCs w:val="21"/>
          <w:highlight w:val="none"/>
          <w:u w:val="none"/>
          <w:lang w:val="en-US" w:eastAsia="zh-CN"/>
        </w:rPr>
        <w:t xml:space="preserve">                                           2026年</w:t>
      </w:r>
      <w:r>
        <w:rPr>
          <w:rFonts w:hint="eastAsia" w:ascii="宋体" w:hAnsi="宋体" w:cs="宋体"/>
          <w:color w:val="auto"/>
          <w:sz w:val="21"/>
          <w:szCs w:val="21"/>
          <w:highlight w:val="none"/>
          <w:u w:val="none"/>
          <w:lang w:val="en-US" w:eastAsia="zh-CN"/>
        </w:rPr>
        <w:t>7</w:t>
      </w:r>
      <w:r>
        <w:rPr>
          <w:rFonts w:hint="eastAsia" w:ascii="宋体" w:hAnsi="宋体" w:eastAsia="宋体" w:cs="宋体"/>
          <w:color w:val="auto"/>
          <w:sz w:val="21"/>
          <w:szCs w:val="21"/>
          <w:highlight w:val="none"/>
          <w:u w:val="none"/>
          <w:lang w:val="en-US" w:eastAsia="zh-CN"/>
        </w:rPr>
        <w:t>月</w:t>
      </w:r>
      <w:r>
        <w:rPr>
          <w:rFonts w:hint="eastAsia" w:ascii="宋体" w:hAnsi="宋体" w:cs="宋体"/>
          <w:color w:val="auto"/>
          <w:sz w:val="21"/>
          <w:szCs w:val="21"/>
          <w:highlight w:val="none"/>
          <w:u w:val="none"/>
          <w:lang w:val="en-US" w:eastAsia="zh-CN"/>
        </w:rPr>
        <w:t>3</w:t>
      </w:r>
      <w:r>
        <w:rPr>
          <w:rFonts w:hint="eastAsia" w:ascii="宋体" w:hAnsi="宋体" w:eastAsia="宋体" w:cs="宋体"/>
          <w:color w:val="auto"/>
          <w:sz w:val="21"/>
          <w:szCs w:val="21"/>
          <w:highlight w:val="none"/>
          <w:u w:val="none"/>
          <w:lang w:val="en-US" w:eastAsia="zh-CN"/>
        </w:rPr>
        <w:t>日</w:t>
      </w:r>
    </w:p>
    <w:p w14:paraId="72124349">
      <w:pPr>
        <w:pStyle w:val="2"/>
        <w:jc w:val="center"/>
        <w:rPr>
          <w:rFonts w:hint="eastAsia" w:ascii="宋体" w:hAnsi="宋体" w:eastAsia="宋体" w:cs="宋体"/>
          <w:color w:val="auto"/>
          <w:highlight w:val="none"/>
        </w:rPr>
      </w:pPr>
      <w:bookmarkStart w:id="31" w:name="_Toc17522"/>
      <w:bookmarkStart w:id="32" w:name="_Toc22168"/>
      <w:bookmarkStart w:id="33" w:name="_Toc11837"/>
      <w:r>
        <w:rPr>
          <w:rFonts w:hint="eastAsia" w:ascii="宋体" w:hAnsi="宋体" w:eastAsia="宋体" w:cs="宋体"/>
          <w:bCs w:val="0"/>
          <w:color w:val="auto"/>
          <w:sz w:val="32"/>
          <w:szCs w:val="32"/>
          <w:highlight w:val="none"/>
        </w:rPr>
        <w:t>第二章 采购需求</w:t>
      </w:r>
      <w:bookmarkEnd w:id="31"/>
      <w:bookmarkEnd w:id="32"/>
      <w:bookmarkEnd w:id="33"/>
    </w:p>
    <w:p w14:paraId="35149B12">
      <w:pPr>
        <w:spacing w:line="4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27AB39F3">
      <w:pPr>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1. 为落实政府采购政策需满足的要求</w:t>
      </w:r>
    </w:p>
    <w:p w14:paraId="5A3FE717">
      <w:pPr>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（1）竞争性磋商文件所称中小企业必须符合《政府采购促进中小企业发展管理办法》（财库〔2020〕46号）的规定。</w:t>
      </w:r>
    </w:p>
    <w:p w14:paraId="1D43A9F2">
      <w:pPr>
        <w:spacing w:line="420" w:lineRule="exact"/>
        <w:ind w:firstLine="413" w:firstLineChars="19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2.“实质性要求”是指采购需求中带“▲”的条款或者不能负偏离的条款或者已经指明不满足按响应文件</w:t>
      </w:r>
      <w:r>
        <w:rPr>
          <w:rFonts w:hint="eastAsia" w:ascii="宋体" w:hAnsi="宋体" w:cs="宋体"/>
          <w:b/>
          <w:bCs/>
          <w:color w:val="auto"/>
          <w:szCs w:val="21"/>
          <w:highlight w:val="none"/>
          <w:lang w:eastAsia="zh-CN"/>
        </w:rPr>
        <w:t>做</w:t>
      </w:r>
      <w:r>
        <w:rPr>
          <w:rFonts w:hint="eastAsia" w:ascii="宋体" w:hAnsi="宋体" w:eastAsia="宋体" w:cs="宋体"/>
          <w:b/>
          <w:bCs/>
          <w:color w:val="auto"/>
          <w:szCs w:val="21"/>
          <w:highlight w:val="none"/>
        </w:rPr>
        <w:t>无效处理的条款。</w:t>
      </w:r>
    </w:p>
    <w:p w14:paraId="3EB6D780">
      <w:pPr>
        <w:pStyle w:val="8"/>
        <w:spacing w:line="42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 供应商必须自行为其竞</w:t>
      </w:r>
      <w:r>
        <w:rPr>
          <w:rFonts w:hint="eastAsia" w:ascii="宋体" w:hAnsi="宋体" w:cs="宋体"/>
          <w:color w:val="auto"/>
          <w:szCs w:val="21"/>
          <w:highlight w:val="none"/>
          <w:lang w:val="en-US" w:eastAsia="zh-CN"/>
        </w:rPr>
        <w:t>标。</w:t>
      </w:r>
    </w:p>
    <w:p w14:paraId="023DE5DA">
      <w:pPr>
        <w:pStyle w:val="8"/>
        <w:spacing w:line="420" w:lineRule="exact"/>
        <w:ind w:firstLine="422" w:firstLineChars="200"/>
        <w:rPr>
          <w:rFonts w:hint="eastAsia" w:ascii="宋体" w:hAnsi="宋体" w:eastAsia="宋体" w:cs="宋体"/>
          <w:b/>
          <w:bCs/>
          <w:color w:val="auto"/>
          <w:sz w:val="24"/>
          <w:highlight w:val="none"/>
        </w:rPr>
      </w:pPr>
      <w:r>
        <w:rPr>
          <w:rFonts w:hint="eastAsia" w:ascii="宋体" w:hAnsi="宋体" w:eastAsia="宋体" w:cs="宋体"/>
          <w:b/>
          <w:bCs/>
          <w:color w:val="auto"/>
          <w:szCs w:val="21"/>
          <w:highlight w:val="none"/>
        </w:rPr>
        <w:br w:type="page"/>
      </w:r>
    </w:p>
    <w:tbl>
      <w:tblPr>
        <w:tblStyle w:val="19"/>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1779"/>
        <w:gridCol w:w="717"/>
        <w:gridCol w:w="2266"/>
        <w:gridCol w:w="4269"/>
      </w:tblGrid>
      <w:tr w14:paraId="30F35B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10121" w:type="dxa"/>
            <w:gridSpan w:val="6"/>
            <w:tcBorders>
              <w:top w:val="single" w:color="auto" w:sz="4" w:space="0"/>
              <w:left w:val="single" w:color="auto" w:sz="4" w:space="0"/>
              <w:right w:val="single" w:color="auto" w:sz="4" w:space="0"/>
            </w:tcBorders>
            <w:noWrap w:val="0"/>
            <w:vAlign w:val="center"/>
          </w:tcPr>
          <w:p w14:paraId="609BE86F">
            <w:pPr>
              <w:spacing w:line="3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32"/>
                <w:szCs w:val="32"/>
                <w:highlight w:val="none"/>
              </w:rPr>
              <w:t>采购需求一览表</w:t>
            </w:r>
          </w:p>
        </w:tc>
      </w:tr>
      <w:tr w14:paraId="3B2A52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6" w:hRule="atLeast"/>
          <w:jc w:val="center"/>
        </w:trPr>
        <w:tc>
          <w:tcPr>
            <w:tcW w:w="545" w:type="dxa"/>
            <w:vMerge w:val="restart"/>
            <w:tcBorders>
              <w:top w:val="single" w:color="auto" w:sz="4" w:space="0"/>
              <w:left w:val="single" w:color="auto" w:sz="4" w:space="0"/>
              <w:right w:val="single" w:color="auto" w:sz="4" w:space="0"/>
            </w:tcBorders>
            <w:noWrap w:val="0"/>
            <w:vAlign w:val="top"/>
          </w:tcPr>
          <w:p w14:paraId="6DCCE800">
            <w:pPr>
              <w:jc w:val="center"/>
              <w:rPr>
                <w:rFonts w:hint="eastAsia" w:ascii="宋体" w:hAnsi="宋体" w:eastAsia="宋体" w:cs="宋体"/>
                <w:color w:val="auto"/>
                <w:highlight w:val="none"/>
              </w:rPr>
            </w:pPr>
          </w:p>
          <w:p w14:paraId="73FDFE88">
            <w:pPr>
              <w:jc w:val="center"/>
              <w:rPr>
                <w:rFonts w:hint="eastAsia" w:ascii="宋体" w:hAnsi="宋体" w:eastAsia="宋体" w:cs="宋体"/>
                <w:color w:val="auto"/>
                <w:sz w:val="24"/>
                <w:highlight w:val="none"/>
              </w:rPr>
            </w:pPr>
            <w:r>
              <w:rPr>
                <w:rFonts w:hint="eastAsia" w:ascii="宋体" w:hAnsi="宋体" w:eastAsia="宋体" w:cs="宋体"/>
                <w:color w:val="auto"/>
                <w:highlight w:val="none"/>
              </w:rPr>
              <w:t>采购清单及技术参数</w:t>
            </w:r>
          </w:p>
        </w:tc>
        <w:tc>
          <w:tcPr>
            <w:tcW w:w="54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0A095F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278595B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标的</w:t>
            </w:r>
            <w:r>
              <w:rPr>
                <w:rFonts w:hint="eastAsia" w:ascii="宋体" w:hAnsi="宋体" w:eastAsia="宋体" w:cs="宋体"/>
                <w:color w:val="auto"/>
                <w:szCs w:val="21"/>
                <w:highlight w:val="none"/>
              </w:rPr>
              <w:t>名称</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5DBF990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2266" w:type="dxa"/>
            <w:tcBorders>
              <w:top w:val="single" w:color="auto" w:sz="4" w:space="0"/>
              <w:left w:val="single" w:color="auto" w:sz="4" w:space="0"/>
              <w:bottom w:val="single" w:color="auto" w:sz="4" w:space="0"/>
              <w:right w:val="single" w:color="auto" w:sz="4" w:space="0"/>
            </w:tcBorders>
            <w:noWrap w:val="0"/>
            <w:vAlign w:val="center"/>
          </w:tcPr>
          <w:p w14:paraId="0BE3435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中小企业划分标准所属行业名称（行业名称及划分见本章附件</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w:t>
            </w:r>
          </w:p>
        </w:tc>
        <w:tc>
          <w:tcPr>
            <w:tcW w:w="4269" w:type="dxa"/>
            <w:tcBorders>
              <w:top w:val="single" w:color="auto" w:sz="4" w:space="0"/>
              <w:left w:val="single" w:color="auto" w:sz="4" w:space="0"/>
              <w:bottom w:val="single" w:color="auto" w:sz="4" w:space="0"/>
              <w:right w:val="single" w:color="auto" w:sz="4" w:space="0"/>
            </w:tcBorders>
            <w:noWrap w:val="0"/>
            <w:vAlign w:val="center"/>
          </w:tcPr>
          <w:p w14:paraId="055CDA3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采购内容</w:t>
            </w:r>
          </w:p>
        </w:tc>
      </w:tr>
      <w:tr w14:paraId="3FF35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44" w:hRule="atLeast"/>
          <w:jc w:val="center"/>
        </w:trPr>
        <w:tc>
          <w:tcPr>
            <w:tcW w:w="545" w:type="dxa"/>
            <w:vMerge w:val="continue"/>
            <w:tcBorders>
              <w:left w:val="single" w:color="auto" w:sz="4" w:space="0"/>
              <w:right w:val="single" w:color="auto" w:sz="4" w:space="0"/>
            </w:tcBorders>
            <w:noWrap w:val="0"/>
            <w:vAlign w:val="top"/>
          </w:tcPr>
          <w:p w14:paraId="279F9D3D">
            <w:pPr>
              <w:spacing w:line="240" w:lineRule="exact"/>
              <w:jc w:val="center"/>
              <w:rPr>
                <w:rFonts w:hint="eastAsia" w:ascii="宋体" w:hAnsi="宋体" w:eastAsia="宋体" w:cs="宋体"/>
                <w:b/>
                <w:bCs/>
                <w:color w:val="auto"/>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49C82EE0">
            <w:pPr>
              <w:spacing w:line="2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722144CA">
            <w:pPr>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color w:val="auto"/>
                <w:highlight w:val="none"/>
                <w:lang w:val="en-US" w:eastAsia="zh-CN"/>
              </w:rPr>
              <w:t>大新县2026年以工代赈示范工程—雷平镇安平村以工代赈产业配套基础设施工程（2标）</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353A1984">
            <w:pPr>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项</w:t>
            </w:r>
          </w:p>
        </w:tc>
        <w:tc>
          <w:tcPr>
            <w:tcW w:w="2266" w:type="dxa"/>
            <w:tcBorders>
              <w:top w:val="single" w:color="auto" w:sz="4" w:space="0"/>
              <w:left w:val="single" w:color="auto" w:sz="4" w:space="0"/>
              <w:bottom w:val="single" w:color="auto" w:sz="4" w:space="0"/>
              <w:right w:val="single" w:color="auto" w:sz="4" w:space="0"/>
            </w:tcBorders>
            <w:noWrap w:val="0"/>
            <w:vAlign w:val="center"/>
          </w:tcPr>
          <w:p w14:paraId="343A60E1">
            <w:pPr>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建筑业</w:t>
            </w:r>
          </w:p>
        </w:tc>
        <w:tc>
          <w:tcPr>
            <w:tcW w:w="4269" w:type="dxa"/>
            <w:tcBorders>
              <w:top w:val="single" w:color="auto" w:sz="4" w:space="0"/>
              <w:left w:val="single" w:color="auto" w:sz="4" w:space="0"/>
              <w:bottom w:val="single" w:color="auto" w:sz="4" w:space="0"/>
              <w:right w:val="single" w:color="auto" w:sz="4" w:space="0"/>
            </w:tcBorders>
            <w:noWrap w:val="0"/>
            <w:vAlign w:val="center"/>
          </w:tcPr>
          <w:p w14:paraId="43B95B81">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建设</w:t>
            </w:r>
            <w:r>
              <w:rPr>
                <w:rFonts w:hint="eastAsia" w:ascii="宋体" w:hAnsi="宋体" w:eastAsia="宋体" w:cs="宋体"/>
                <w:color w:val="auto"/>
                <w:highlight w:val="none"/>
                <w:lang w:val="en-US" w:eastAsia="zh-CN"/>
              </w:rPr>
              <w:t>渠道总长2474m，其中左岸长1222m，右岸长1252m，挡墙墙身高1.5m，顶宽0.5m，底宽0.875m，基础宽1.280m，高0.5m</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Cs w:val="21"/>
                <w:highlight w:val="none"/>
                <w:lang w:eastAsia="zh-CN"/>
              </w:rPr>
              <w:t>具体内容详见</w:t>
            </w:r>
            <w:r>
              <w:rPr>
                <w:rFonts w:hint="eastAsia" w:ascii="宋体" w:hAnsi="宋体" w:eastAsia="宋体" w:cs="宋体"/>
                <w:color w:val="auto"/>
                <w:szCs w:val="21"/>
                <w:highlight w:val="none"/>
                <w:lang w:val="en-US" w:eastAsia="zh-CN"/>
              </w:rPr>
              <w:t>施工设计图纸及工程量清单。</w:t>
            </w:r>
          </w:p>
          <w:p w14:paraId="52DAB6E8">
            <w:pPr>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p>
        </w:tc>
      </w:tr>
      <w:tr w14:paraId="3FB4DC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65CECB27">
            <w:pPr>
              <w:jc w:val="center"/>
              <w:rPr>
                <w:rFonts w:hint="eastAsia" w:ascii="宋体" w:hAnsi="宋体" w:eastAsia="宋体" w:cs="宋体"/>
                <w:color w:val="auto"/>
                <w:highlight w:val="none"/>
              </w:rPr>
            </w:pPr>
            <w:r>
              <w:rPr>
                <w:rFonts w:hint="eastAsia" w:ascii="宋体" w:hAnsi="宋体" w:eastAsia="宋体" w:cs="宋体"/>
                <w:color w:val="auto"/>
                <w:highlight w:val="none"/>
              </w:rPr>
              <w:t>商务条款</w:t>
            </w:r>
          </w:p>
        </w:tc>
        <w:tc>
          <w:tcPr>
            <w:tcW w:w="9576" w:type="dxa"/>
            <w:gridSpan w:val="5"/>
            <w:tcBorders>
              <w:top w:val="single" w:color="auto" w:sz="4" w:space="0"/>
              <w:left w:val="single" w:color="auto" w:sz="4" w:space="0"/>
              <w:bottom w:val="single" w:color="auto" w:sz="4" w:space="0"/>
              <w:right w:val="single" w:color="auto" w:sz="4" w:space="0"/>
            </w:tcBorders>
            <w:noWrap w:val="0"/>
            <w:vAlign w:val="top"/>
          </w:tcPr>
          <w:p w14:paraId="3D2A7DEA">
            <w:pPr>
              <w:widowControl/>
              <w:shd w:val="clear" w:color="auto" w:fill="FFFFFF"/>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一、合同签订期：</w:t>
            </w:r>
            <w:r>
              <w:rPr>
                <w:rFonts w:hint="eastAsia" w:ascii="宋体" w:hAnsi="宋体" w:eastAsia="宋体" w:cs="宋体"/>
                <w:color w:val="auto"/>
                <w:highlight w:val="none"/>
                <w:lang w:eastAsia="zh-CN"/>
              </w:rPr>
              <w:t>自成交通知书发出之日起</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5日内，因不可抗力原因延迟签订合同的，自不可抗力事由消除之日起5个工作日内完成合同签订事宜</w:t>
            </w:r>
            <w:r>
              <w:rPr>
                <w:rFonts w:hint="eastAsia" w:ascii="宋体" w:hAnsi="宋体" w:eastAsia="宋体" w:cs="宋体"/>
                <w:color w:val="auto"/>
                <w:highlight w:val="none"/>
              </w:rPr>
              <w:t>。</w:t>
            </w:r>
          </w:p>
          <w:p w14:paraId="0E9BFA52">
            <w:pPr>
              <w:widowControl/>
              <w:shd w:val="clear" w:color="auto" w:fill="FFFFFF"/>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▲二、</w:t>
            </w:r>
            <w:r>
              <w:rPr>
                <w:rFonts w:hint="eastAsia" w:ascii="宋体" w:hAnsi="宋体" w:eastAsia="宋体" w:cs="宋体"/>
                <w:color w:val="auto"/>
                <w:highlight w:val="none"/>
                <w:lang w:eastAsia="zh-CN"/>
              </w:rPr>
              <w:t>合同履行期限</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工期</w:t>
            </w:r>
            <w:r>
              <w:rPr>
                <w:rFonts w:hint="eastAsia" w:ascii="宋体" w:hAnsi="宋体" w:eastAsia="宋体" w:cs="宋体"/>
                <w:color w:val="auto"/>
                <w:highlight w:val="none"/>
                <w:lang w:val="en-US" w:eastAsia="zh-CN"/>
              </w:rPr>
              <w:t>120</w:t>
            </w:r>
            <w:r>
              <w:rPr>
                <w:rFonts w:hint="eastAsia" w:ascii="宋体" w:hAnsi="宋体" w:eastAsia="宋体" w:cs="宋体"/>
                <w:color w:val="auto"/>
                <w:highlight w:val="none"/>
                <w:lang w:eastAsia="zh-CN"/>
              </w:rPr>
              <w:t>日历天</w:t>
            </w:r>
          </w:p>
          <w:p w14:paraId="3AD43935">
            <w:pPr>
              <w:widowControl/>
              <w:shd w:val="clear" w:color="auto" w:fill="FFFFFF"/>
              <w:tabs>
                <w:tab w:val="left" w:pos="4769"/>
              </w:tabs>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三、建设地点：</w:t>
            </w:r>
            <w:r>
              <w:rPr>
                <w:rFonts w:hint="eastAsia" w:ascii="宋体" w:hAnsi="宋体" w:eastAsia="宋体" w:cs="宋体"/>
                <w:color w:val="auto"/>
                <w:szCs w:val="21"/>
                <w:highlight w:val="none"/>
                <w:lang w:eastAsia="zh-CN"/>
              </w:rPr>
              <w:t>大新县雷平镇安平村</w:t>
            </w:r>
          </w:p>
          <w:p w14:paraId="22715F7F">
            <w:pPr>
              <w:widowControl/>
              <w:shd w:val="clear" w:color="auto" w:fill="FFFFFF"/>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en-US" w:eastAsia="zh-CN"/>
              </w:rPr>
              <w:t>质量要求</w:t>
            </w:r>
            <w:r>
              <w:rPr>
                <w:rFonts w:hint="eastAsia" w:ascii="宋体" w:hAnsi="宋体" w:eastAsia="宋体" w:cs="宋体"/>
                <w:color w:val="auto"/>
                <w:highlight w:val="none"/>
              </w:rPr>
              <w:t>：达到国家施工验收规范合格标准。</w:t>
            </w:r>
          </w:p>
          <w:p w14:paraId="1E297EC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rPr>
              <w:t>、其他要求：</w:t>
            </w:r>
          </w:p>
          <w:p w14:paraId="5141E258">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▲1.付款方式</w:t>
            </w:r>
            <w:r>
              <w:rPr>
                <w:rFonts w:hint="eastAsia" w:ascii="宋体" w:hAnsi="宋体" w:cs="宋体"/>
                <w:color w:val="auto"/>
                <w:highlight w:val="none"/>
                <w:lang w:eastAsia="zh-CN"/>
              </w:rPr>
              <w:t>：</w:t>
            </w:r>
            <w:r>
              <w:rPr>
                <w:rFonts w:hint="eastAsia" w:ascii="宋体" w:hAnsi="宋体" w:eastAsia="宋体" w:cs="宋体"/>
                <w:color w:val="auto"/>
                <w:sz w:val="21"/>
                <w:szCs w:val="21"/>
                <w:highlight w:val="none"/>
              </w:rPr>
              <w:t>工程项目施工设备进场施工后，可拨付合同价款的30%作为预付款；合同内进度款支付限额为已完成工程量的90%，工程变更部分进度款支付限额为已完成工程量的70%；第二次付款时按工程进度支付并抵扣预付款；工程竣工验收合格后，工程款支付至合同价款的</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审计结算后，拨付至全部价款的97%</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建设单位按价款结算总额的3%预留工程质量保证金</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保修期为贰年整</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保修期满后结清。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所有款项发包人应当在收到承包人开具的</w:t>
            </w:r>
            <w:r>
              <w:rPr>
                <w:rFonts w:hint="eastAsia" w:ascii="宋体" w:hAnsi="宋体" w:cs="宋体"/>
                <w:color w:val="auto"/>
                <w:sz w:val="21"/>
                <w:szCs w:val="21"/>
                <w:highlight w:val="none"/>
                <w:lang w:val="en-US" w:eastAsia="zh-CN"/>
              </w:rPr>
              <w:t>合法有效</w:t>
            </w:r>
            <w:r>
              <w:rPr>
                <w:rFonts w:hint="eastAsia" w:ascii="宋体" w:hAnsi="宋体" w:eastAsia="宋体" w:cs="宋体"/>
                <w:color w:val="auto"/>
                <w:sz w:val="21"/>
                <w:szCs w:val="21"/>
                <w:highlight w:val="none"/>
              </w:rPr>
              <w:t>发票之日起</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个工作日内将资金支付到合同约定的承包人账户，实际支付款项以届时县财政资金支付能力为准</w:t>
            </w:r>
            <w:r>
              <w:rPr>
                <w:rFonts w:hint="eastAsia" w:ascii="宋体" w:hAnsi="宋体" w:eastAsia="宋体" w:cs="宋体"/>
                <w:color w:val="auto"/>
                <w:sz w:val="21"/>
                <w:szCs w:val="21"/>
                <w:highlight w:val="none"/>
              </w:rPr>
              <w:t>。</w:t>
            </w:r>
          </w:p>
          <w:p w14:paraId="3F05AAE8">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注：在每次拨付款项前，</w:t>
            </w:r>
            <w:r>
              <w:rPr>
                <w:rFonts w:hint="eastAsia" w:ascii="宋体" w:hAnsi="宋体" w:eastAsia="宋体" w:cs="宋体"/>
                <w:color w:val="auto"/>
                <w:highlight w:val="none"/>
                <w:lang w:val="en-US" w:eastAsia="zh-CN"/>
              </w:rPr>
              <w:t>发包人</w:t>
            </w:r>
            <w:r>
              <w:rPr>
                <w:rFonts w:hint="eastAsia" w:ascii="宋体" w:hAnsi="宋体" w:eastAsia="宋体" w:cs="宋体"/>
                <w:color w:val="auto"/>
                <w:highlight w:val="none"/>
                <w:lang w:eastAsia="zh-CN"/>
              </w:rPr>
              <w:t>在</w:t>
            </w:r>
            <w:r>
              <w:rPr>
                <w:rFonts w:hint="eastAsia" w:ascii="宋体" w:hAnsi="宋体" w:eastAsia="宋体" w:cs="宋体"/>
                <w:color w:val="auto"/>
                <w:highlight w:val="none"/>
                <w:lang w:val="en-US" w:eastAsia="zh-CN"/>
              </w:rPr>
              <w:t>承包</w:t>
            </w:r>
            <w:r>
              <w:rPr>
                <w:rFonts w:hint="eastAsia" w:ascii="宋体" w:hAnsi="宋体" w:eastAsia="宋体" w:cs="宋体"/>
                <w:color w:val="auto"/>
                <w:highlight w:val="none"/>
                <w:lang w:eastAsia="zh-CN"/>
              </w:rPr>
              <w:t>人开具等额发票30日内支付</w:t>
            </w:r>
            <w:r>
              <w:rPr>
                <w:rFonts w:hint="eastAsia" w:ascii="宋体" w:hAnsi="宋体" w:eastAsia="宋体" w:cs="宋体"/>
                <w:color w:val="auto"/>
                <w:highlight w:val="none"/>
                <w:lang w:val="en-US" w:eastAsia="zh-CN"/>
              </w:rPr>
              <w:t>相应款项</w:t>
            </w:r>
            <w:r>
              <w:rPr>
                <w:rFonts w:hint="eastAsia" w:ascii="宋体" w:hAnsi="宋体" w:eastAsia="宋体" w:cs="宋体"/>
                <w:color w:val="auto"/>
                <w:highlight w:val="none"/>
                <w:lang w:eastAsia="zh-CN"/>
              </w:rPr>
              <w:t>。</w:t>
            </w:r>
          </w:p>
          <w:p w14:paraId="0B4C947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eastAsia="zh-CN"/>
              </w:rPr>
              <w:t>2.</w:t>
            </w:r>
            <w:r>
              <w:rPr>
                <w:rFonts w:hint="eastAsia" w:ascii="宋体" w:hAnsi="宋体" w:eastAsia="宋体" w:cs="宋体"/>
                <w:color w:val="auto"/>
                <w:highlight w:val="none"/>
              </w:rPr>
              <w:t>支付方式：银行转账支付。</w:t>
            </w:r>
          </w:p>
          <w:p w14:paraId="2C868021">
            <w:pPr>
              <w:spacing w:line="360" w:lineRule="auto"/>
              <w:rPr>
                <w:rFonts w:hint="eastAsia" w:ascii="宋体" w:hAnsi="宋体" w:eastAsia="宋体" w:cs="宋体"/>
                <w:b/>
                <w:bCs/>
                <w:color w:val="auto"/>
                <w:highlight w:val="none"/>
              </w:rPr>
            </w:pPr>
            <w:r>
              <w:rPr>
                <w:rFonts w:hint="eastAsia" w:ascii="宋体" w:hAnsi="宋体" w:eastAsia="宋体" w:cs="宋体"/>
                <w:color w:val="auto"/>
                <w:highlight w:val="none"/>
              </w:rPr>
              <w:t>▲</w:t>
            </w:r>
            <w:r>
              <w:rPr>
                <w:rFonts w:hint="eastAsia" w:ascii="宋体" w:hAnsi="宋体" w:eastAsia="宋体" w:cs="宋体"/>
                <w:b/>
                <w:bCs/>
                <w:color w:val="auto"/>
                <w:highlight w:val="none"/>
              </w:rPr>
              <w:t>3</w:t>
            </w:r>
            <w:r>
              <w:rPr>
                <w:rFonts w:hint="eastAsia" w:ascii="宋体" w:hAnsi="宋体" w:cs="宋体"/>
                <w:b/>
                <w:bCs/>
                <w:color w:val="auto"/>
                <w:highlight w:val="none"/>
                <w:lang w:val="en-US" w:eastAsia="zh-CN"/>
              </w:rPr>
              <w:t>.</w:t>
            </w:r>
            <w:r>
              <w:rPr>
                <w:rFonts w:hint="eastAsia" w:ascii="宋体" w:hAnsi="宋体" w:eastAsia="宋体" w:cs="宋体"/>
                <w:b/>
                <w:bCs/>
                <w:color w:val="auto"/>
                <w:highlight w:val="none"/>
              </w:rPr>
              <w:t>报价要求：</w:t>
            </w:r>
          </w:p>
          <w:p w14:paraId="0E4DD230">
            <w:pPr>
              <w:spacing w:line="360" w:lineRule="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供应商应认真填写工程量清单中所列的所有各细目的单价和合价，填写工程量清单时应注意</w:t>
            </w:r>
            <w:r>
              <w:rPr>
                <w:rFonts w:hint="eastAsia" w:ascii="宋体" w:hAnsi="宋体" w:eastAsia="宋体" w:cs="宋体"/>
                <w:b/>
                <w:bCs/>
                <w:color w:val="auto"/>
                <w:highlight w:val="none"/>
                <w:lang w:eastAsia="zh-CN"/>
              </w:rPr>
              <w:t>：</w:t>
            </w:r>
          </w:p>
          <w:p w14:paraId="72FC822C">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A.</w:t>
            </w:r>
            <w:r>
              <w:rPr>
                <w:rFonts w:hint="eastAsia" w:ascii="宋体" w:hAnsi="宋体" w:eastAsia="宋体" w:cs="宋体"/>
                <w:b/>
                <w:bCs/>
                <w:color w:val="auto"/>
                <w:highlight w:val="none"/>
              </w:rPr>
              <w:t>有工程数量的应报单价和合价。</w:t>
            </w:r>
          </w:p>
          <w:p w14:paraId="4362939F">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B.</w:t>
            </w:r>
            <w:r>
              <w:rPr>
                <w:rFonts w:hint="eastAsia" w:ascii="宋体" w:hAnsi="宋体" w:eastAsia="宋体" w:cs="宋体"/>
                <w:b/>
                <w:bCs/>
                <w:color w:val="auto"/>
                <w:highlight w:val="none"/>
              </w:rPr>
              <w:t>供应商应按采购人提供的工程量清单中列出的工程项目和工程量填报单价和合价。每一项目只允许有一个报价任何有选择的报价将不予接受。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p>
          <w:p w14:paraId="3F9BC517">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C.</w:t>
            </w:r>
            <w:r>
              <w:rPr>
                <w:rFonts w:hint="eastAsia" w:ascii="宋体" w:hAnsi="宋体" w:eastAsia="宋体" w:cs="宋体"/>
                <w:b/>
                <w:bCs/>
                <w:color w:val="auto"/>
                <w:highlight w:val="none"/>
              </w:rPr>
              <w:t>投标供应商在进行工程量清单报价时</w:t>
            </w:r>
            <w:r>
              <w:rPr>
                <w:rFonts w:hint="eastAsia" w:ascii="宋体" w:hAnsi="宋体" w:eastAsia="宋体" w:cs="宋体"/>
                <w:b/>
                <w:bCs/>
                <w:color w:val="auto"/>
                <w:highlight w:val="none"/>
                <w:lang w:eastAsia="zh-CN"/>
              </w:rPr>
              <w:t>必须</w:t>
            </w:r>
            <w:r>
              <w:rPr>
                <w:rFonts w:hint="eastAsia" w:ascii="宋体" w:hAnsi="宋体" w:eastAsia="宋体" w:cs="宋体"/>
                <w:b/>
                <w:bCs/>
                <w:color w:val="auto"/>
                <w:highlight w:val="none"/>
              </w:rPr>
              <w:t>均衡报价，不能对个别工程量部分倾斜报价，否则竞标无效。</w:t>
            </w:r>
          </w:p>
          <w:p w14:paraId="5DD73F4A">
            <w:pPr>
              <w:spacing w:line="360" w:lineRule="auto"/>
              <w:rPr>
                <w:rFonts w:hint="eastAsia" w:ascii="宋体" w:hAnsi="宋体" w:eastAsia="宋体" w:cs="宋体"/>
                <w:color w:val="auto"/>
                <w:highlight w:val="none"/>
              </w:rPr>
            </w:pP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最后报价与首次报价不一致的，须上传与最后报价一致的已标价工程量清单作为附件，否则报价无效，视同放弃报价权利退出</w:t>
            </w:r>
            <w:r>
              <w:rPr>
                <w:rFonts w:hint="eastAsia" w:ascii="宋体" w:hAnsi="宋体" w:eastAsia="宋体" w:cs="宋体"/>
                <w:b/>
                <w:bCs/>
                <w:color w:val="auto"/>
                <w:highlight w:val="none"/>
                <w:lang w:eastAsia="zh-CN"/>
              </w:rPr>
              <w:t>采购活动</w:t>
            </w:r>
            <w:r>
              <w:rPr>
                <w:rFonts w:hint="eastAsia" w:ascii="宋体" w:hAnsi="宋体" w:eastAsia="宋体" w:cs="宋体"/>
                <w:b/>
                <w:bCs/>
                <w:color w:val="auto"/>
                <w:highlight w:val="none"/>
              </w:rPr>
              <w:t>。</w:t>
            </w:r>
          </w:p>
        </w:tc>
      </w:tr>
    </w:tbl>
    <w:p w14:paraId="6371C390">
      <w:pPr>
        <w:pStyle w:val="11"/>
        <w:jc w:val="left"/>
        <w:rPr>
          <w:rFonts w:hint="eastAsia" w:ascii="宋体" w:hAnsi="宋体" w:eastAsia="宋体" w:cs="宋体"/>
          <w:color w:val="auto"/>
          <w:sz w:val="32"/>
          <w:szCs w:val="32"/>
          <w:highlight w:val="none"/>
        </w:rPr>
      </w:pPr>
      <w:r>
        <w:rPr>
          <w:rFonts w:hint="eastAsia" w:ascii="宋体" w:hAnsi="宋体" w:eastAsia="宋体" w:cs="宋体"/>
          <w:color w:val="auto"/>
          <w:highlight w:val="none"/>
        </w:rPr>
        <w:br w:type="page"/>
      </w:r>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1</w:t>
      </w:r>
      <w:r>
        <w:rPr>
          <w:rFonts w:hint="eastAsia" w:ascii="宋体" w:hAnsi="宋体" w:eastAsia="宋体" w:cs="宋体"/>
          <w:color w:val="auto"/>
          <w:sz w:val="32"/>
          <w:szCs w:val="32"/>
          <w:highlight w:val="none"/>
        </w:rPr>
        <w:t>：</w:t>
      </w:r>
    </w:p>
    <w:p w14:paraId="13F4194A">
      <w:pPr>
        <w:spacing w:line="528" w:lineRule="exact"/>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中小微企业划型标准</w:t>
      </w:r>
    </w:p>
    <w:tbl>
      <w:tblPr>
        <w:tblStyle w:val="19"/>
        <w:tblW w:w="9558" w:type="dxa"/>
        <w:tblInd w:w="0" w:type="dxa"/>
        <w:tblLayout w:type="fixed"/>
        <w:tblCellMar>
          <w:top w:w="0" w:type="dxa"/>
          <w:left w:w="108" w:type="dxa"/>
          <w:bottom w:w="0" w:type="dxa"/>
          <w:right w:w="108" w:type="dxa"/>
        </w:tblCellMar>
      </w:tblPr>
      <w:tblGrid>
        <w:gridCol w:w="1998"/>
        <w:gridCol w:w="1997"/>
        <w:gridCol w:w="856"/>
        <w:gridCol w:w="1854"/>
        <w:gridCol w:w="1712"/>
        <w:gridCol w:w="1141"/>
      </w:tblGrid>
      <w:tr w14:paraId="1A010E7B">
        <w:tblPrEx>
          <w:tblCellMar>
            <w:top w:w="0" w:type="dxa"/>
            <w:left w:w="108" w:type="dxa"/>
            <w:bottom w:w="0" w:type="dxa"/>
            <w:right w:w="108" w:type="dxa"/>
          </w:tblCellMar>
        </w:tblPrEx>
        <w:trPr>
          <w:trHeight w:val="869"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38BF335E">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行业名称</w:t>
            </w:r>
          </w:p>
        </w:tc>
        <w:tc>
          <w:tcPr>
            <w:tcW w:w="1997" w:type="dxa"/>
            <w:tcBorders>
              <w:top w:val="single" w:color="auto" w:sz="4" w:space="0"/>
              <w:left w:val="nil"/>
              <w:bottom w:val="single" w:color="auto" w:sz="4" w:space="0"/>
              <w:right w:val="single" w:color="auto" w:sz="4" w:space="0"/>
            </w:tcBorders>
            <w:noWrap w:val="0"/>
            <w:vAlign w:val="center"/>
          </w:tcPr>
          <w:p w14:paraId="0D0BFAA6">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指标名称</w:t>
            </w:r>
          </w:p>
        </w:tc>
        <w:tc>
          <w:tcPr>
            <w:tcW w:w="856" w:type="dxa"/>
            <w:tcBorders>
              <w:top w:val="single" w:color="auto" w:sz="4" w:space="0"/>
              <w:left w:val="nil"/>
              <w:bottom w:val="single" w:color="auto" w:sz="4" w:space="0"/>
              <w:right w:val="single" w:color="auto" w:sz="4" w:space="0"/>
            </w:tcBorders>
            <w:noWrap w:val="0"/>
            <w:vAlign w:val="center"/>
          </w:tcPr>
          <w:p w14:paraId="6B9D1AAC">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计量单位</w:t>
            </w:r>
          </w:p>
        </w:tc>
        <w:tc>
          <w:tcPr>
            <w:tcW w:w="1854" w:type="dxa"/>
            <w:tcBorders>
              <w:top w:val="single" w:color="auto" w:sz="4" w:space="0"/>
              <w:left w:val="nil"/>
              <w:bottom w:val="single" w:color="auto" w:sz="4" w:space="0"/>
              <w:right w:val="single" w:color="auto" w:sz="4" w:space="0"/>
            </w:tcBorders>
            <w:noWrap w:val="0"/>
            <w:vAlign w:val="center"/>
          </w:tcPr>
          <w:p w14:paraId="558960C9">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中型</w:t>
            </w:r>
          </w:p>
        </w:tc>
        <w:tc>
          <w:tcPr>
            <w:tcW w:w="1712" w:type="dxa"/>
            <w:tcBorders>
              <w:top w:val="single" w:color="auto" w:sz="4" w:space="0"/>
              <w:left w:val="nil"/>
              <w:bottom w:val="single" w:color="auto" w:sz="4" w:space="0"/>
              <w:right w:val="single" w:color="auto" w:sz="4" w:space="0"/>
            </w:tcBorders>
            <w:noWrap w:val="0"/>
            <w:vAlign w:val="center"/>
          </w:tcPr>
          <w:p w14:paraId="5F4CD830">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小型</w:t>
            </w:r>
          </w:p>
        </w:tc>
        <w:tc>
          <w:tcPr>
            <w:tcW w:w="1141" w:type="dxa"/>
            <w:tcBorders>
              <w:top w:val="single" w:color="auto" w:sz="4" w:space="0"/>
              <w:left w:val="nil"/>
              <w:bottom w:val="single" w:color="auto" w:sz="4" w:space="0"/>
              <w:right w:val="single" w:color="auto" w:sz="4" w:space="0"/>
            </w:tcBorders>
            <w:noWrap w:val="0"/>
            <w:vAlign w:val="center"/>
          </w:tcPr>
          <w:p w14:paraId="0FF8C620">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微型</w:t>
            </w:r>
          </w:p>
        </w:tc>
      </w:tr>
      <w:tr w14:paraId="390E11FE">
        <w:tblPrEx>
          <w:tblCellMar>
            <w:top w:w="0" w:type="dxa"/>
            <w:left w:w="108" w:type="dxa"/>
            <w:bottom w:w="0" w:type="dxa"/>
            <w:right w:w="108" w:type="dxa"/>
          </w:tblCellMar>
        </w:tblPrEx>
        <w:trPr>
          <w:trHeight w:val="339" w:hRule="atLeast"/>
        </w:trPr>
        <w:tc>
          <w:tcPr>
            <w:tcW w:w="1998" w:type="dxa"/>
            <w:tcBorders>
              <w:top w:val="nil"/>
              <w:left w:val="single" w:color="auto" w:sz="4" w:space="0"/>
              <w:bottom w:val="single" w:color="auto" w:sz="4" w:space="0"/>
              <w:right w:val="single" w:color="auto" w:sz="4" w:space="0"/>
            </w:tcBorders>
            <w:noWrap w:val="0"/>
            <w:vAlign w:val="center"/>
          </w:tcPr>
          <w:p w14:paraId="1E584D43">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农、林、牧、渔</w:t>
            </w:r>
          </w:p>
        </w:tc>
        <w:tc>
          <w:tcPr>
            <w:tcW w:w="1997" w:type="dxa"/>
            <w:tcBorders>
              <w:top w:val="nil"/>
              <w:left w:val="nil"/>
              <w:bottom w:val="single" w:color="auto" w:sz="4" w:space="0"/>
              <w:right w:val="single" w:color="auto" w:sz="4" w:space="0"/>
            </w:tcBorders>
            <w:noWrap w:val="0"/>
            <w:vAlign w:val="center"/>
          </w:tcPr>
          <w:p w14:paraId="4056955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56" w:type="dxa"/>
            <w:tcBorders>
              <w:top w:val="nil"/>
              <w:left w:val="nil"/>
              <w:bottom w:val="single" w:color="auto" w:sz="4" w:space="0"/>
              <w:right w:val="single" w:color="auto" w:sz="4" w:space="0"/>
            </w:tcBorders>
            <w:noWrap w:val="0"/>
            <w:vAlign w:val="center"/>
          </w:tcPr>
          <w:p w14:paraId="41D38AB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593DB75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20000</w:t>
            </w:r>
          </w:p>
        </w:tc>
        <w:tc>
          <w:tcPr>
            <w:tcW w:w="1712" w:type="dxa"/>
            <w:tcBorders>
              <w:top w:val="nil"/>
              <w:left w:val="nil"/>
              <w:bottom w:val="single" w:color="auto" w:sz="4" w:space="0"/>
              <w:right w:val="single" w:color="auto" w:sz="4" w:space="0"/>
            </w:tcBorders>
            <w:noWrap w:val="0"/>
            <w:vAlign w:val="center"/>
          </w:tcPr>
          <w:p w14:paraId="002C0EE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500</w:t>
            </w:r>
          </w:p>
        </w:tc>
        <w:tc>
          <w:tcPr>
            <w:tcW w:w="1141" w:type="dxa"/>
            <w:tcBorders>
              <w:top w:val="nil"/>
              <w:left w:val="nil"/>
              <w:bottom w:val="single" w:color="auto" w:sz="4" w:space="0"/>
              <w:right w:val="single" w:color="auto" w:sz="4" w:space="0"/>
            </w:tcBorders>
            <w:noWrap w:val="0"/>
            <w:vAlign w:val="center"/>
          </w:tcPr>
          <w:p w14:paraId="0D1D8D5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w:t>
            </w:r>
          </w:p>
        </w:tc>
      </w:tr>
      <w:tr w14:paraId="6997F21A">
        <w:tblPrEx>
          <w:tblCellMar>
            <w:top w:w="0" w:type="dxa"/>
            <w:left w:w="108" w:type="dxa"/>
            <w:bottom w:w="0" w:type="dxa"/>
            <w:right w:w="108" w:type="dxa"/>
          </w:tblCellMar>
        </w:tblPrEx>
        <w:trPr>
          <w:trHeight w:val="339" w:hRule="atLeast"/>
        </w:trPr>
        <w:tc>
          <w:tcPr>
            <w:tcW w:w="1998" w:type="dxa"/>
            <w:vMerge w:val="restart"/>
            <w:tcBorders>
              <w:top w:val="nil"/>
              <w:left w:val="single" w:color="auto" w:sz="4" w:space="0"/>
              <w:bottom w:val="single" w:color="auto" w:sz="4" w:space="0"/>
              <w:right w:val="single" w:color="auto" w:sz="4" w:space="0"/>
            </w:tcBorders>
            <w:noWrap w:val="0"/>
            <w:vAlign w:val="center"/>
          </w:tcPr>
          <w:p w14:paraId="2879D1DB">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工业</w:t>
            </w:r>
          </w:p>
        </w:tc>
        <w:tc>
          <w:tcPr>
            <w:tcW w:w="1997" w:type="dxa"/>
            <w:tcBorders>
              <w:top w:val="nil"/>
              <w:left w:val="nil"/>
              <w:bottom w:val="single" w:color="auto" w:sz="4" w:space="0"/>
              <w:right w:val="single" w:color="auto" w:sz="4" w:space="0"/>
            </w:tcBorders>
            <w:noWrap w:val="0"/>
            <w:vAlign w:val="center"/>
          </w:tcPr>
          <w:p w14:paraId="370F7F7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56" w:type="dxa"/>
            <w:tcBorders>
              <w:top w:val="nil"/>
              <w:left w:val="nil"/>
              <w:bottom w:val="single" w:color="auto" w:sz="4" w:space="0"/>
              <w:right w:val="single" w:color="auto" w:sz="4" w:space="0"/>
            </w:tcBorders>
            <w:noWrap w:val="0"/>
            <w:vAlign w:val="center"/>
          </w:tcPr>
          <w:p w14:paraId="6834EDF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54" w:type="dxa"/>
            <w:tcBorders>
              <w:top w:val="nil"/>
              <w:left w:val="nil"/>
              <w:bottom w:val="single" w:color="auto" w:sz="4" w:space="0"/>
              <w:right w:val="single" w:color="auto" w:sz="4" w:space="0"/>
            </w:tcBorders>
            <w:noWrap w:val="0"/>
            <w:vAlign w:val="center"/>
          </w:tcPr>
          <w:p w14:paraId="4C752FD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1712" w:type="dxa"/>
            <w:tcBorders>
              <w:top w:val="nil"/>
              <w:left w:val="nil"/>
              <w:bottom w:val="single" w:color="auto" w:sz="4" w:space="0"/>
              <w:right w:val="single" w:color="auto" w:sz="4" w:space="0"/>
            </w:tcBorders>
            <w:noWrap w:val="0"/>
            <w:vAlign w:val="center"/>
          </w:tcPr>
          <w:p w14:paraId="333D52C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1141" w:type="dxa"/>
            <w:tcBorders>
              <w:top w:val="nil"/>
              <w:left w:val="nil"/>
              <w:bottom w:val="single" w:color="auto" w:sz="4" w:space="0"/>
              <w:right w:val="single" w:color="auto" w:sz="4" w:space="0"/>
            </w:tcBorders>
            <w:noWrap w:val="0"/>
            <w:vAlign w:val="center"/>
          </w:tcPr>
          <w:p w14:paraId="5C3DE3A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w:t>
            </w:r>
          </w:p>
        </w:tc>
      </w:tr>
      <w:tr w14:paraId="144EB7FC">
        <w:tblPrEx>
          <w:tblCellMar>
            <w:top w:w="0" w:type="dxa"/>
            <w:left w:w="108" w:type="dxa"/>
            <w:bottom w:w="0" w:type="dxa"/>
            <w:right w:w="108" w:type="dxa"/>
          </w:tblCellMar>
        </w:tblPrEx>
        <w:trPr>
          <w:trHeight w:val="339" w:hRule="atLeast"/>
        </w:trPr>
        <w:tc>
          <w:tcPr>
            <w:tcW w:w="1998" w:type="dxa"/>
            <w:vMerge w:val="continue"/>
            <w:tcBorders>
              <w:top w:val="nil"/>
              <w:left w:val="single" w:color="auto" w:sz="4" w:space="0"/>
              <w:bottom w:val="single" w:color="auto" w:sz="4" w:space="0"/>
              <w:right w:val="single" w:color="auto" w:sz="4" w:space="0"/>
            </w:tcBorders>
            <w:noWrap w:val="0"/>
            <w:vAlign w:val="center"/>
          </w:tcPr>
          <w:p w14:paraId="0A29ED7E">
            <w:pPr>
              <w:widowControl/>
              <w:jc w:val="center"/>
              <w:rPr>
                <w:rFonts w:hint="eastAsia" w:ascii="宋体" w:hAnsi="宋体" w:eastAsia="宋体" w:cs="宋体"/>
                <w:b/>
                <w:bCs/>
                <w:color w:val="auto"/>
                <w:kern w:val="0"/>
                <w:sz w:val="21"/>
                <w:szCs w:val="21"/>
                <w:highlight w:val="none"/>
              </w:rPr>
            </w:pPr>
          </w:p>
        </w:tc>
        <w:tc>
          <w:tcPr>
            <w:tcW w:w="1997" w:type="dxa"/>
            <w:tcBorders>
              <w:top w:val="nil"/>
              <w:left w:val="nil"/>
              <w:bottom w:val="single" w:color="auto" w:sz="4" w:space="0"/>
              <w:right w:val="single" w:color="auto" w:sz="4" w:space="0"/>
            </w:tcBorders>
            <w:noWrap w:val="0"/>
            <w:vAlign w:val="center"/>
          </w:tcPr>
          <w:p w14:paraId="444EE49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56" w:type="dxa"/>
            <w:tcBorders>
              <w:top w:val="nil"/>
              <w:left w:val="nil"/>
              <w:bottom w:val="single" w:color="auto" w:sz="4" w:space="0"/>
              <w:right w:val="single" w:color="auto" w:sz="4" w:space="0"/>
            </w:tcBorders>
            <w:noWrap w:val="0"/>
            <w:vAlign w:val="center"/>
          </w:tcPr>
          <w:p w14:paraId="3C34BAA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5C9D32B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40000</w:t>
            </w:r>
          </w:p>
        </w:tc>
        <w:tc>
          <w:tcPr>
            <w:tcW w:w="1712" w:type="dxa"/>
            <w:tcBorders>
              <w:top w:val="nil"/>
              <w:left w:val="nil"/>
              <w:bottom w:val="single" w:color="auto" w:sz="4" w:space="0"/>
              <w:right w:val="single" w:color="auto" w:sz="4" w:space="0"/>
            </w:tcBorders>
            <w:noWrap w:val="0"/>
            <w:vAlign w:val="center"/>
          </w:tcPr>
          <w:p w14:paraId="25A4708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w:t>
            </w:r>
          </w:p>
        </w:tc>
        <w:tc>
          <w:tcPr>
            <w:tcW w:w="1141" w:type="dxa"/>
            <w:tcBorders>
              <w:top w:val="nil"/>
              <w:left w:val="nil"/>
              <w:bottom w:val="single" w:color="auto" w:sz="4" w:space="0"/>
              <w:right w:val="single" w:color="auto" w:sz="4" w:space="0"/>
            </w:tcBorders>
            <w:noWrap w:val="0"/>
            <w:vAlign w:val="center"/>
          </w:tcPr>
          <w:p w14:paraId="7C52725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r>
      <w:tr w14:paraId="7B3BCD6F">
        <w:tblPrEx>
          <w:tblCellMar>
            <w:top w:w="0" w:type="dxa"/>
            <w:left w:w="108" w:type="dxa"/>
            <w:bottom w:w="0" w:type="dxa"/>
            <w:right w:w="108" w:type="dxa"/>
          </w:tblCellMar>
        </w:tblPrEx>
        <w:trPr>
          <w:trHeight w:val="339" w:hRule="atLeast"/>
        </w:trPr>
        <w:tc>
          <w:tcPr>
            <w:tcW w:w="1998" w:type="dxa"/>
            <w:vMerge w:val="restart"/>
            <w:tcBorders>
              <w:top w:val="nil"/>
              <w:left w:val="single" w:color="auto" w:sz="4" w:space="0"/>
              <w:bottom w:val="single" w:color="auto" w:sz="4" w:space="0"/>
              <w:right w:val="single" w:color="auto" w:sz="4" w:space="0"/>
            </w:tcBorders>
            <w:noWrap w:val="0"/>
            <w:vAlign w:val="center"/>
          </w:tcPr>
          <w:p w14:paraId="60857C6A">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建筑业</w:t>
            </w:r>
          </w:p>
        </w:tc>
        <w:tc>
          <w:tcPr>
            <w:tcW w:w="1997" w:type="dxa"/>
            <w:tcBorders>
              <w:top w:val="nil"/>
              <w:left w:val="nil"/>
              <w:bottom w:val="single" w:color="auto" w:sz="4" w:space="0"/>
              <w:right w:val="single" w:color="auto" w:sz="4" w:space="0"/>
            </w:tcBorders>
            <w:noWrap w:val="0"/>
            <w:vAlign w:val="center"/>
          </w:tcPr>
          <w:p w14:paraId="0C9D2EE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56" w:type="dxa"/>
            <w:tcBorders>
              <w:top w:val="nil"/>
              <w:left w:val="nil"/>
              <w:bottom w:val="single" w:color="auto" w:sz="4" w:space="0"/>
              <w:right w:val="single" w:color="auto" w:sz="4" w:space="0"/>
            </w:tcBorders>
            <w:noWrap w:val="0"/>
            <w:vAlign w:val="center"/>
          </w:tcPr>
          <w:p w14:paraId="288D24B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13032A0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80000</w:t>
            </w:r>
          </w:p>
        </w:tc>
        <w:tc>
          <w:tcPr>
            <w:tcW w:w="1712" w:type="dxa"/>
            <w:tcBorders>
              <w:top w:val="nil"/>
              <w:left w:val="nil"/>
              <w:bottom w:val="single" w:color="auto" w:sz="4" w:space="0"/>
              <w:right w:val="single" w:color="auto" w:sz="4" w:space="0"/>
            </w:tcBorders>
            <w:noWrap w:val="0"/>
            <w:vAlign w:val="center"/>
          </w:tcPr>
          <w:p w14:paraId="4CA499E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6000</w:t>
            </w:r>
          </w:p>
        </w:tc>
        <w:tc>
          <w:tcPr>
            <w:tcW w:w="1141" w:type="dxa"/>
            <w:tcBorders>
              <w:top w:val="nil"/>
              <w:left w:val="nil"/>
              <w:bottom w:val="single" w:color="auto" w:sz="4" w:space="0"/>
              <w:right w:val="single" w:color="auto" w:sz="4" w:space="0"/>
            </w:tcBorders>
            <w:noWrap w:val="0"/>
            <w:vAlign w:val="center"/>
          </w:tcPr>
          <w:p w14:paraId="1FA9AD9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r>
      <w:tr w14:paraId="33E8258C">
        <w:tblPrEx>
          <w:tblCellMar>
            <w:top w:w="0" w:type="dxa"/>
            <w:left w:w="108" w:type="dxa"/>
            <w:bottom w:w="0" w:type="dxa"/>
            <w:right w:w="108" w:type="dxa"/>
          </w:tblCellMar>
        </w:tblPrEx>
        <w:trPr>
          <w:trHeight w:val="339" w:hRule="atLeast"/>
        </w:trPr>
        <w:tc>
          <w:tcPr>
            <w:tcW w:w="1998" w:type="dxa"/>
            <w:vMerge w:val="continue"/>
            <w:tcBorders>
              <w:top w:val="nil"/>
              <w:left w:val="single" w:color="auto" w:sz="4" w:space="0"/>
              <w:bottom w:val="single" w:color="auto" w:sz="4" w:space="0"/>
              <w:right w:val="single" w:color="auto" w:sz="4" w:space="0"/>
            </w:tcBorders>
            <w:noWrap w:val="0"/>
            <w:vAlign w:val="center"/>
          </w:tcPr>
          <w:p w14:paraId="1C13303E">
            <w:pPr>
              <w:widowControl/>
              <w:jc w:val="center"/>
              <w:rPr>
                <w:rFonts w:hint="eastAsia" w:ascii="宋体" w:hAnsi="宋体" w:eastAsia="宋体" w:cs="宋体"/>
                <w:b/>
                <w:bCs/>
                <w:color w:val="auto"/>
                <w:kern w:val="0"/>
                <w:sz w:val="21"/>
                <w:szCs w:val="21"/>
                <w:highlight w:val="none"/>
              </w:rPr>
            </w:pPr>
          </w:p>
        </w:tc>
        <w:tc>
          <w:tcPr>
            <w:tcW w:w="1997" w:type="dxa"/>
            <w:tcBorders>
              <w:top w:val="nil"/>
              <w:left w:val="nil"/>
              <w:bottom w:val="single" w:color="auto" w:sz="4" w:space="0"/>
              <w:right w:val="single" w:color="auto" w:sz="4" w:space="0"/>
            </w:tcBorders>
            <w:noWrap w:val="0"/>
            <w:vAlign w:val="center"/>
          </w:tcPr>
          <w:p w14:paraId="38408A1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56" w:type="dxa"/>
            <w:tcBorders>
              <w:top w:val="nil"/>
              <w:left w:val="nil"/>
              <w:bottom w:val="single" w:color="auto" w:sz="4" w:space="0"/>
              <w:right w:val="single" w:color="auto" w:sz="4" w:space="0"/>
            </w:tcBorders>
            <w:noWrap w:val="0"/>
            <w:vAlign w:val="center"/>
          </w:tcPr>
          <w:p w14:paraId="15BCD19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12BE23F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80000</w:t>
            </w:r>
          </w:p>
        </w:tc>
        <w:tc>
          <w:tcPr>
            <w:tcW w:w="1712" w:type="dxa"/>
            <w:tcBorders>
              <w:top w:val="nil"/>
              <w:left w:val="nil"/>
              <w:bottom w:val="single" w:color="auto" w:sz="4" w:space="0"/>
              <w:right w:val="single" w:color="auto" w:sz="4" w:space="0"/>
            </w:tcBorders>
            <w:noWrap w:val="0"/>
            <w:vAlign w:val="center"/>
          </w:tcPr>
          <w:p w14:paraId="1D42274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5000</w:t>
            </w:r>
          </w:p>
        </w:tc>
        <w:tc>
          <w:tcPr>
            <w:tcW w:w="1141" w:type="dxa"/>
            <w:tcBorders>
              <w:top w:val="nil"/>
              <w:left w:val="nil"/>
              <w:bottom w:val="single" w:color="auto" w:sz="4" w:space="0"/>
              <w:right w:val="single" w:color="auto" w:sz="4" w:space="0"/>
            </w:tcBorders>
            <w:noWrap w:val="0"/>
            <w:vAlign w:val="center"/>
          </w:tcPr>
          <w:p w14:paraId="0D84889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r>
      <w:tr w14:paraId="176C70A6">
        <w:tblPrEx>
          <w:tblCellMar>
            <w:top w:w="0" w:type="dxa"/>
            <w:left w:w="108" w:type="dxa"/>
            <w:bottom w:w="0" w:type="dxa"/>
            <w:right w:w="108" w:type="dxa"/>
          </w:tblCellMar>
        </w:tblPrEx>
        <w:trPr>
          <w:trHeight w:val="339" w:hRule="atLeast"/>
        </w:trPr>
        <w:tc>
          <w:tcPr>
            <w:tcW w:w="1998" w:type="dxa"/>
            <w:vMerge w:val="restart"/>
            <w:tcBorders>
              <w:top w:val="nil"/>
              <w:left w:val="single" w:color="auto" w:sz="4" w:space="0"/>
              <w:bottom w:val="single" w:color="auto" w:sz="4" w:space="0"/>
              <w:right w:val="single" w:color="auto" w:sz="4" w:space="0"/>
            </w:tcBorders>
            <w:noWrap w:val="0"/>
            <w:vAlign w:val="center"/>
          </w:tcPr>
          <w:p w14:paraId="106EAC50">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批发业</w:t>
            </w:r>
          </w:p>
        </w:tc>
        <w:tc>
          <w:tcPr>
            <w:tcW w:w="1997" w:type="dxa"/>
            <w:tcBorders>
              <w:top w:val="nil"/>
              <w:left w:val="nil"/>
              <w:bottom w:val="single" w:color="auto" w:sz="4" w:space="0"/>
              <w:right w:val="single" w:color="auto" w:sz="4" w:space="0"/>
            </w:tcBorders>
            <w:noWrap w:val="0"/>
            <w:vAlign w:val="center"/>
          </w:tcPr>
          <w:p w14:paraId="36B4607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56" w:type="dxa"/>
            <w:tcBorders>
              <w:top w:val="nil"/>
              <w:left w:val="nil"/>
              <w:bottom w:val="single" w:color="auto" w:sz="4" w:space="0"/>
              <w:right w:val="single" w:color="auto" w:sz="4" w:space="0"/>
            </w:tcBorders>
            <w:noWrap w:val="0"/>
            <w:vAlign w:val="center"/>
          </w:tcPr>
          <w:p w14:paraId="0FAFCDC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54" w:type="dxa"/>
            <w:tcBorders>
              <w:top w:val="nil"/>
              <w:left w:val="nil"/>
              <w:bottom w:val="single" w:color="auto" w:sz="4" w:space="0"/>
              <w:right w:val="single" w:color="auto" w:sz="4" w:space="0"/>
            </w:tcBorders>
            <w:noWrap w:val="0"/>
            <w:vAlign w:val="center"/>
          </w:tcPr>
          <w:p w14:paraId="752E2E6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w:t>
            </w:r>
          </w:p>
        </w:tc>
        <w:tc>
          <w:tcPr>
            <w:tcW w:w="1712" w:type="dxa"/>
            <w:tcBorders>
              <w:top w:val="nil"/>
              <w:left w:val="nil"/>
              <w:bottom w:val="single" w:color="auto" w:sz="4" w:space="0"/>
              <w:right w:val="single" w:color="auto" w:sz="4" w:space="0"/>
            </w:tcBorders>
            <w:noWrap w:val="0"/>
            <w:vAlign w:val="center"/>
          </w:tcPr>
          <w:p w14:paraId="063194B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w:t>
            </w:r>
          </w:p>
        </w:tc>
        <w:tc>
          <w:tcPr>
            <w:tcW w:w="1141" w:type="dxa"/>
            <w:tcBorders>
              <w:top w:val="nil"/>
              <w:left w:val="nil"/>
              <w:bottom w:val="single" w:color="auto" w:sz="4" w:space="0"/>
              <w:right w:val="single" w:color="auto" w:sz="4" w:space="0"/>
            </w:tcBorders>
            <w:noWrap w:val="0"/>
            <w:vAlign w:val="center"/>
          </w:tcPr>
          <w:p w14:paraId="428472F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w:t>
            </w:r>
          </w:p>
        </w:tc>
      </w:tr>
      <w:tr w14:paraId="4C85B781">
        <w:tblPrEx>
          <w:tblCellMar>
            <w:top w:w="0" w:type="dxa"/>
            <w:left w:w="108" w:type="dxa"/>
            <w:bottom w:w="0" w:type="dxa"/>
            <w:right w:w="108" w:type="dxa"/>
          </w:tblCellMar>
        </w:tblPrEx>
        <w:trPr>
          <w:trHeight w:val="339" w:hRule="atLeast"/>
        </w:trPr>
        <w:tc>
          <w:tcPr>
            <w:tcW w:w="1998" w:type="dxa"/>
            <w:vMerge w:val="continue"/>
            <w:tcBorders>
              <w:top w:val="nil"/>
              <w:left w:val="single" w:color="auto" w:sz="4" w:space="0"/>
              <w:bottom w:val="single" w:color="auto" w:sz="4" w:space="0"/>
              <w:right w:val="single" w:color="auto" w:sz="4" w:space="0"/>
            </w:tcBorders>
            <w:noWrap w:val="0"/>
            <w:vAlign w:val="center"/>
          </w:tcPr>
          <w:p w14:paraId="1CBD0BE1">
            <w:pPr>
              <w:widowControl/>
              <w:jc w:val="center"/>
              <w:rPr>
                <w:rFonts w:hint="eastAsia" w:ascii="宋体" w:hAnsi="宋体" w:eastAsia="宋体" w:cs="宋体"/>
                <w:b/>
                <w:bCs/>
                <w:color w:val="auto"/>
                <w:kern w:val="0"/>
                <w:sz w:val="21"/>
                <w:szCs w:val="21"/>
                <w:highlight w:val="none"/>
              </w:rPr>
            </w:pPr>
          </w:p>
        </w:tc>
        <w:tc>
          <w:tcPr>
            <w:tcW w:w="1997" w:type="dxa"/>
            <w:tcBorders>
              <w:top w:val="nil"/>
              <w:left w:val="nil"/>
              <w:bottom w:val="single" w:color="auto" w:sz="4" w:space="0"/>
              <w:right w:val="single" w:color="auto" w:sz="4" w:space="0"/>
            </w:tcBorders>
            <w:noWrap w:val="0"/>
            <w:vAlign w:val="center"/>
          </w:tcPr>
          <w:p w14:paraId="722B4B6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56" w:type="dxa"/>
            <w:tcBorders>
              <w:top w:val="nil"/>
              <w:left w:val="nil"/>
              <w:bottom w:val="single" w:color="auto" w:sz="4" w:space="0"/>
              <w:right w:val="single" w:color="auto" w:sz="4" w:space="0"/>
            </w:tcBorders>
            <w:noWrap w:val="0"/>
            <w:vAlign w:val="center"/>
          </w:tcPr>
          <w:p w14:paraId="576AA1B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056970B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40000</w:t>
            </w:r>
          </w:p>
        </w:tc>
        <w:tc>
          <w:tcPr>
            <w:tcW w:w="1712" w:type="dxa"/>
            <w:tcBorders>
              <w:top w:val="nil"/>
              <w:left w:val="nil"/>
              <w:bottom w:val="single" w:color="auto" w:sz="4" w:space="0"/>
              <w:right w:val="single" w:color="auto" w:sz="4" w:space="0"/>
            </w:tcBorders>
            <w:noWrap w:val="0"/>
            <w:vAlign w:val="center"/>
          </w:tcPr>
          <w:p w14:paraId="3A62746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5000</w:t>
            </w:r>
          </w:p>
        </w:tc>
        <w:tc>
          <w:tcPr>
            <w:tcW w:w="1141" w:type="dxa"/>
            <w:tcBorders>
              <w:top w:val="nil"/>
              <w:left w:val="nil"/>
              <w:bottom w:val="single" w:color="auto" w:sz="4" w:space="0"/>
              <w:right w:val="single" w:color="auto" w:sz="4" w:space="0"/>
            </w:tcBorders>
            <w:noWrap w:val="0"/>
            <w:vAlign w:val="center"/>
          </w:tcPr>
          <w:p w14:paraId="50FB91E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r>
      <w:tr w14:paraId="29748B62">
        <w:tblPrEx>
          <w:tblCellMar>
            <w:top w:w="0" w:type="dxa"/>
            <w:left w:w="108" w:type="dxa"/>
            <w:bottom w:w="0" w:type="dxa"/>
            <w:right w:w="108" w:type="dxa"/>
          </w:tblCellMar>
        </w:tblPrEx>
        <w:trPr>
          <w:trHeight w:val="339" w:hRule="atLeast"/>
        </w:trPr>
        <w:tc>
          <w:tcPr>
            <w:tcW w:w="1998" w:type="dxa"/>
            <w:vMerge w:val="restart"/>
            <w:tcBorders>
              <w:top w:val="nil"/>
              <w:left w:val="single" w:color="auto" w:sz="4" w:space="0"/>
              <w:bottom w:val="single" w:color="auto" w:sz="4" w:space="0"/>
              <w:right w:val="single" w:color="auto" w:sz="4" w:space="0"/>
            </w:tcBorders>
            <w:noWrap w:val="0"/>
            <w:vAlign w:val="center"/>
          </w:tcPr>
          <w:p w14:paraId="787193FE">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零售业</w:t>
            </w:r>
          </w:p>
        </w:tc>
        <w:tc>
          <w:tcPr>
            <w:tcW w:w="1997" w:type="dxa"/>
            <w:tcBorders>
              <w:top w:val="nil"/>
              <w:left w:val="nil"/>
              <w:bottom w:val="single" w:color="auto" w:sz="4" w:space="0"/>
              <w:right w:val="single" w:color="auto" w:sz="4" w:space="0"/>
            </w:tcBorders>
            <w:noWrap w:val="0"/>
            <w:vAlign w:val="center"/>
          </w:tcPr>
          <w:p w14:paraId="5ECFA0F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56" w:type="dxa"/>
            <w:tcBorders>
              <w:top w:val="nil"/>
              <w:left w:val="nil"/>
              <w:bottom w:val="single" w:color="auto" w:sz="4" w:space="0"/>
              <w:right w:val="single" w:color="auto" w:sz="4" w:space="0"/>
            </w:tcBorders>
            <w:noWrap w:val="0"/>
            <w:vAlign w:val="center"/>
          </w:tcPr>
          <w:p w14:paraId="01ADD3D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54" w:type="dxa"/>
            <w:tcBorders>
              <w:top w:val="nil"/>
              <w:left w:val="nil"/>
              <w:bottom w:val="single" w:color="auto" w:sz="4" w:space="0"/>
              <w:right w:val="single" w:color="auto" w:sz="4" w:space="0"/>
            </w:tcBorders>
            <w:noWrap w:val="0"/>
            <w:vAlign w:val="center"/>
          </w:tcPr>
          <w:p w14:paraId="79089D2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1712" w:type="dxa"/>
            <w:tcBorders>
              <w:top w:val="nil"/>
              <w:left w:val="nil"/>
              <w:bottom w:val="single" w:color="auto" w:sz="4" w:space="0"/>
              <w:right w:val="single" w:color="auto" w:sz="4" w:space="0"/>
            </w:tcBorders>
            <w:noWrap w:val="0"/>
            <w:vAlign w:val="center"/>
          </w:tcPr>
          <w:p w14:paraId="2E27AA7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w:t>
            </w:r>
          </w:p>
        </w:tc>
        <w:tc>
          <w:tcPr>
            <w:tcW w:w="1141" w:type="dxa"/>
            <w:tcBorders>
              <w:top w:val="nil"/>
              <w:left w:val="nil"/>
              <w:bottom w:val="single" w:color="auto" w:sz="4" w:space="0"/>
              <w:right w:val="single" w:color="auto" w:sz="4" w:space="0"/>
            </w:tcBorders>
            <w:noWrap w:val="0"/>
            <w:vAlign w:val="center"/>
          </w:tcPr>
          <w:p w14:paraId="4745DD9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w:t>
            </w:r>
          </w:p>
        </w:tc>
      </w:tr>
      <w:tr w14:paraId="2669F24A">
        <w:tblPrEx>
          <w:tblCellMar>
            <w:top w:w="0" w:type="dxa"/>
            <w:left w:w="108" w:type="dxa"/>
            <w:bottom w:w="0" w:type="dxa"/>
            <w:right w:w="108" w:type="dxa"/>
          </w:tblCellMar>
        </w:tblPrEx>
        <w:trPr>
          <w:trHeight w:val="339" w:hRule="atLeast"/>
        </w:trPr>
        <w:tc>
          <w:tcPr>
            <w:tcW w:w="1998" w:type="dxa"/>
            <w:vMerge w:val="continue"/>
            <w:tcBorders>
              <w:top w:val="nil"/>
              <w:left w:val="single" w:color="auto" w:sz="4" w:space="0"/>
              <w:bottom w:val="single" w:color="auto" w:sz="4" w:space="0"/>
              <w:right w:val="single" w:color="auto" w:sz="4" w:space="0"/>
            </w:tcBorders>
            <w:noWrap w:val="0"/>
            <w:vAlign w:val="center"/>
          </w:tcPr>
          <w:p w14:paraId="6A128230">
            <w:pPr>
              <w:widowControl/>
              <w:jc w:val="center"/>
              <w:rPr>
                <w:rFonts w:hint="eastAsia" w:ascii="宋体" w:hAnsi="宋体" w:eastAsia="宋体" w:cs="宋体"/>
                <w:b/>
                <w:bCs/>
                <w:color w:val="auto"/>
                <w:kern w:val="0"/>
                <w:sz w:val="21"/>
                <w:szCs w:val="21"/>
                <w:highlight w:val="none"/>
              </w:rPr>
            </w:pPr>
          </w:p>
        </w:tc>
        <w:tc>
          <w:tcPr>
            <w:tcW w:w="1997" w:type="dxa"/>
            <w:tcBorders>
              <w:top w:val="nil"/>
              <w:left w:val="nil"/>
              <w:bottom w:val="single" w:color="auto" w:sz="4" w:space="0"/>
              <w:right w:val="single" w:color="auto" w:sz="4" w:space="0"/>
            </w:tcBorders>
            <w:noWrap w:val="0"/>
            <w:vAlign w:val="center"/>
          </w:tcPr>
          <w:p w14:paraId="77346F3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56" w:type="dxa"/>
            <w:tcBorders>
              <w:top w:val="nil"/>
              <w:left w:val="nil"/>
              <w:bottom w:val="single" w:color="auto" w:sz="4" w:space="0"/>
              <w:right w:val="single" w:color="auto" w:sz="4" w:space="0"/>
            </w:tcBorders>
            <w:noWrap w:val="0"/>
            <w:vAlign w:val="center"/>
          </w:tcPr>
          <w:p w14:paraId="594D2E1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7B37AB1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20000</w:t>
            </w:r>
          </w:p>
        </w:tc>
        <w:tc>
          <w:tcPr>
            <w:tcW w:w="1712" w:type="dxa"/>
            <w:tcBorders>
              <w:top w:val="nil"/>
              <w:left w:val="nil"/>
              <w:bottom w:val="single" w:color="auto" w:sz="4" w:space="0"/>
              <w:right w:val="single" w:color="auto" w:sz="4" w:space="0"/>
            </w:tcBorders>
            <w:noWrap w:val="0"/>
            <w:vAlign w:val="center"/>
          </w:tcPr>
          <w:p w14:paraId="2796A54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500</w:t>
            </w:r>
          </w:p>
        </w:tc>
        <w:tc>
          <w:tcPr>
            <w:tcW w:w="1141" w:type="dxa"/>
            <w:tcBorders>
              <w:top w:val="nil"/>
              <w:left w:val="nil"/>
              <w:bottom w:val="single" w:color="auto" w:sz="4" w:space="0"/>
              <w:right w:val="single" w:color="auto" w:sz="4" w:space="0"/>
            </w:tcBorders>
            <w:noWrap w:val="0"/>
            <w:vAlign w:val="center"/>
          </w:tcPr>
          <w:p w14:paraId="5E06D18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54A15BA1">
        <w:tblPrEx>
          <w:tblCellMar>
            <w:top w:w="0" w:type="dxa"/>
            <w:left w:w="108" w:type="dxa"/>
            <w:bottom w:w="0" w:type="dxa"/>
            <w:right w:w="108" w:type="dxa"/>
          </w:tblCellMar>
        </w:tblPrEx>
        <w:trPr>
          <w:trHeight w:val="339" w:hRule="atLeast"/>
        </w:trPr>
        <w:tc>
          <w:tcPr>
            <w:tcW w:w="1998" w:type="dxa"/>
            <w:vMerge w:val="restart"/>
            <w:tcBorders>
              <w:top w:val="nil"/>
              <w:left w:val="single" w:color="auto" w:sz="4" w:space="0"/>
              <w:bottom w:val="single" w:color="auto" w:sz="4" w:space="0"/>
              <w:right w:val="single" w:color="auto" w:sz="4" w:space="0"/>
            </w:tcBorders>
            <w:noWrap w:val="0"/>
            <w:vAlign w:val="center"/>
          </w:tcPr>
          <w:p w14:paraId="3BD59ABE">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交通运输业</w:t>
            </w:r>
          </w:p>
        </w:tc>
        <w:tc>
          <w:tcPr>
            <w:tcW w:w="1997" w:type="dxa"/>
            <w:tcBorders>
              <w:top w:val="nil"/>
              <w:left w:val="nil"/>
              <w:bottom w:val="single" w:color="auto" w:sz="4" w:space="0"/>
              <w:right w:val="single" w:color="auto" w:sz="4" w:space="0"/>
            </w:tcBorders>
            <w:noWrap w:val="0"/>
            <w:vAlign w:val="center"/>
          </w:tcPr>
          <w:p w14:paraId="4BB06E1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56" w:type="dxa"/>
            <w:tcBorders>
              <w:top w:val="nil"/>
              <w:left w:val="nil"/>
              <w:bottom w:val="single" w:color="auto" w:sz="4" w:space="0"/>
              <w:right w:val="single" w:color="auto" w:sz="4" w:space="0"/>
            </w:tcBorders>
            <w:noWrap w:val="0"/>
            <w:vAlign w:val="center"/>
          </w:tcPr>
          <w:p w14:paraId="1C938AE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54" w:type="dxa"/>
            <w:tcBorders>
              <w:top w:val="nil"/>
              <w:left w:val="nil"/>
              <w:bottom w:val="single" w:color="auto" w:sz="4" w:space="0"/>
              <w:right w:val="single" w:color="auto" w:sz="4" w:space="0"/>
            </w:tcBorders>
            <w:noWrap w:val="0"/>
            <w:vAlign w:val="center"/>
          </w:tcPr>
          <w:p w14:paraId="286797C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1712" w:type="dxa"/>
            <w:tcBorders>
              <w:top w:val="nil"/>
              <w:left w:val="nil"/>
              <w:bottom w:val="single" w:color="auto" w:sz="4" w:space="0"/>
              <w:right w:val="single" w:color="auto" w:sz="4" w:space="0"/>
            </w:tcBorders>
            <w:noWrap w:val="0"/>
            <w:vAlign w:val="center"/>
          </w:tcPr>
          <w:p w14:paraId="5F02204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1141" w:type="dxa"/>
            <w:tcBorders>
              <w:top w:val="nil"/>
              <w:left w:val="nil"/>
              <w:bottom w:val="single" w:color="auto" w:sz="4" w:space="0"/>
              <w:right w:val="single" w:color="auto" w:sz="4" w:space="0"/>
            </w:tcBorders>
            <w:noWrap w:val="0"/>
            <w:vAlign w:val="center"/>
          </w:tcPr>
          <w:p w14:paraId="5F6681B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w:t>
            </w:r>
          </w:p>
        </w:tc>
      </w:tr>
      <w:tr w14:paraId="5E927BC3">
        <w:tblPrEx>
          <w:tblCellMar>
            <w:top w:w="0" w:type="dxa"/>
            <w:left w:w="108" w:type="dxa"/>
            <w:bottom w:w="0" w:type="dxa"/>
            <w:right w:w="108" w:type="dxa"/>
          </w:tblCellMar>
        </w:tblPrEx>
        <w:trPr>
          <w:trHeight w:val="339" w:hRule="atLeast"/>
        </w:trPr>
        <w:tc>
          <w:tcPr>
            <w:tcW w:w="1998" w:type="dxa"/>
            <w:vMerge w:val="continue"/>
            <w:tcBorders>
              <w:top w:val="nil"/>
              <w:left w:val="single" w:color="auto" w:sz="4" w:space="0"/>
              <w:bottom w:val="single" w:color="auto" w:sz="4" w:space="0"/>
              <w:right w:val="single" w:color="auto" w:sz="4" w:space="0"/>
            </w:tcBorders>
            <w:noWrap w:val="0"/>
            <w:vAlign w:val="center"/>
          </w:tcPr>
          <w:p w14:paraId="2E80032A">
            <w:pPr>
              <w:widowControl/>
              <w:jc w:val="center"/>
              <w:rPr>
                <w:rFonts w:hint="eastAsia" w:ascii="宋体" w:hAnsi="宋体" w:eastAsia="宋体" w:cs="宋体"/>
                <w:b/>
                <w:bCs/>
                <w:color w:val="auto"/>
                <w:kern w:val="0"/>
                <w:sz w:val="21"/>
                <w:szCs w:val="21"/>
                <w:highlight w:val="none"/>
              </w:rPr>
            </w:pPr>
          </w:p>
        </w:tc>
        <w:tc>
          <w:tcPr>
            <w:tcW w:w="1997" w:type="dxa"/>
            <w:tcBorders>
              <w:top w:val="nil"/>
              <w:left w:val="nil"/>
              <w:bottom w:val="single" w:color="auto" w:sz="4" w:space="0"/>
              <w:right w:val="single" w:color="auto" w:sz="4" w:space="0"/>
            </w:tcBorders>
            <w:noWrap w:val="0"/>
            <w:vAlign w:val="center"/>
          </w:tcPr>
          <w:p w14:paraId="78C930B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56" w:type="dxa"/>
            <w:tcBorders>
              <w:top w:val="nil"/>
              <w:left w:val="nil"/>
              <w:bottom w:val="single" w:color="auto" w:sz="4" w:space="0"/>
              <w:right w:val="single" w:color="auto" w:sz="4" w:space="0"/>
            </w:tcBorders>
            <w:noWrap w:val="0"/>
            <w:vAlign w:val="center"/>
          </w:tcPr>
          <w:p w14:paraId="38E6C3D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09CDA8B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30000</w:t>
            </w:r>
          </w:p>
        </w:tc>
        <w:tc>
          <w:tcPr>
            <w:tcW w:w="1712" w:type="dxa"/>
            <w:tcBorders>
              <w:top w:val="nil"/>
              <w:left w:val="nil"/>
              <w:bottom w:val="single" w:color="auto" w:sz="4" w:space="0"/>
              <w:right w:val="single" w:color="auto" w:sz="4" w:space="0"/>
            </w:tcBorders>
            <w:noWrap w:val="0"/>
            <w:vAlign w:val="center"/>
          </w:tcPr>
          <w:p w14:paraId="6309F7C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3000</w:t>
            </w:r>
          </w:p>
        </w:tc>
        <w:tc>
          <w:tcPr>
            <w:tcW w:w="1141" w:type="dxa"/>
            <w:tcBorders>
              <w:top w:val="nil"/>
              <w:left w:val="nil"/>
              <w:bottom w:val="single" w:color="auto" w:sz="4" w:space="0"/>
              <w:right w:val="single" w:color="auto" w:sz="4" w:space="0"/>
            </w:tcBorders>
            <w:noWrap w:val="0"/>
            <w:vAlign w:val="center"/>
          </w:tcPr>
          <w:p w14:paraId="72B4F09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w:t>
            </w:r>
          </w:p>
        </w:tc>
      </w:tr>
      <w:tr w14:paraId="476B8CA2">
        <w:tblPrEx>
          <w:tblCellMar>
            <w:top w:w="0" w:type="dxa"/>
            <w:left w:w="108" w:type="dxa"/>
            <w:bottom w:w="0" w:type="dxa"/>
            <w:right w:w="108" w:type="dxa"/>
          </w:tblCellMar>
        </w:tblPrEx>
        <w:trPr>
          <w:trHeight w:val="339" w:hRule="atLeast"/>
        </w:trPr>
        <w:tc>
          <w:tcPr>
            <w:tcW w:w="1998" w:type="dxa"/>
            <w:vMerge w:val="restart"/>
            <w:tcBorders>
              <w:top w:val="nil"/>
              <w:left w:val="single" w:color="auto" w:sz="4" w:space="0"/>
              <w:bottom w:val="single" w:color="auto" w:sz="4" w:space="0"/>
              <w:right w:val="single" w:color="auto" w:sz="4" w:space="0"/>
            </w:tcBorders>
            <w:noWrap w:val="0"/>
            <w:vAlign w:val="center"/>
          </w:tcPr>
          <w:p w14:paraId="73D21B0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仓储业</w:t>
            </w:r>
          </w:p>
        </w:tc>
        <w:tc>
          <w:tcPr>
            <w:tcW w:w="1997" w:type="dxa"/>
            <w:tcBorders>
              <w:top w:val="nil"/>
              <w:left w:val="nil"/>
              <w:bottom w:val="single" w:color="auto" w:sz="4" w:space="0"/>
              <w:right w:val="single" w:color="auto" w:sz="4" w:space="0"/>
            </w:tcBorders>
            <w:noWrap w:val="0"/>
            <w:vAlign w:val="center"/>
          </w:tcPr>
          <w:p w14:paraId="2CDF6AC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56" w:type="dxa"/>
            <w:tcBorders>
              <w:top w:val="nil"/>
              <w:left w:val="nil"/>
              <w:bottom w:val="single" w:color="auto" w:sz="4" w:space="0"/>
              <w:right w:val="single" w:color="auto" w:sz="4" w:space="0"/>
            </w:tcBorders>
            <w:noWrap w:val="0"/>
            <w:vAlign w:val="center"/>
          </w:tcPr>
          <w:p w14:paraId="0D4CAEE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54" w:type="dxa"/>
            <w:tcBorders>
              <w:top w:val="nil"/>
              <w:left w:val="nil"/>
              <w:bottom w:val="single" w:color="auto" w:sz="4" w:space="0"/>
              <w:right w:val="single" w:color="auto" w:sz="4" w:space="0"/>
            </w:tcBorders>
            <w:noWrap w:val="0"/>
            <w:vAlign w:val="center"/>
          </w:tcPr>
          <w:p w14:paraId="7F16B06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w:t>
            </w:r>
          </w:p>
        </w:tc>
        <w:tc>
          <w:tcPr>
            <w:tcW w:w="1712" w:type="dxa"/>
            <w:tcBorders>
              <w:top w:val="nil"/>
              <w:left w:val="nil"/>
              <w:bottom w:val="single" w:color="auto" w:sz="4" w:space="0"/>
              <w:right w:val="single" w:color="auto" w:sz="4" w:space="0"/>
            </w:tcBorders>
            <w:noWrap w:val="0"/>
            <w:vAlign w:val="center"/>
          </w:tcPr>
          <w:p w14:paraId="39E697C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c>
          <w:tcPr>
            <w:tcW w:w="1141" w:type="dxa"/>
            <w:tcBorders>
              <w:top w:val="nil"/>
              <w:left w:val="nil"/>
              <w:bottom w:val="single" w:color="auto" w:sz="4" w:space="0"/>
              <w:right w:val="single" w:color="auto" w:sz="4" w:space="0"/>
            </w:tcBorders>
            <w:noWrap w:val="0"/>
            <w:vAlign w:val="center"/>
          </w:tcPr>
          <w:p w14:paraId="4689867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w:t>
            </w:r>
          </w:p>
        </w:tc>
      </w:tr>
      <w:tr w14:paraId="5FEE2207">
        <w:tblPrEx>
          <w:tblCellMar>
            <w:top w:w="0" w:type="dxa"/>
            <w:left w:w="108" w:type="dxa"/>
            <w:bottom w:w="0" w:type="dxa"/>
            <w:right w:w="108" w:type="dxa"/>
          </w:tblCellMar>
        </w:tblPrEx>
        <w:trPr>
          <w:trHeight w:val="339" w:hRule="atLeast"/>
        </w:trPr>
        <w:tc>
          <w:tcPr>
            <w:tcW w:w="1998" w:type="dxa"/>
            <w:vMerge w:val="continue"/>
            <w:tcBorders>
              <w:top w:val="nil"/>
              <w:left w:val="single" w:color="auto" w:sz="4" w:space="0"/>
              <w:bottom w:val="single" w:color="auto" w:sz="4" w:space="0"/>
              <w:right w:val="single" w:color="auto" w:sz="4" w:space="0"/>
            </w:tcBorders>
            <w:noWrap w:val="0"/>
            <w:vAlign w:val="center"/>
          </w:tcPr>
          <w:p w14:paraId="32C8EE3B">
            <w:pPr>
              <w:widowControl/>
              <w:jc w:val="center"/>
              <w:rPr>
                <w:rFonts w:hint="eastAsia" w:ascii="宋体" w:hAnsi="宋体" w:eastAsia="宋体" w:cs="宋体"/>
                <w:b/>
                <w:bCs/>
                <w:color w:val="auto"/>
                <w:kern w:val="0"/>
                <w:sz w:val="21"/>
                <w:szCs w:val="21"/>
                <w:highlight w:val="none"/>
              </w:rPr>
            </w:pPr>
          </w:p>
        </w:tc>
        <w:tc>
          <w:tcPr>
            <w:tcW w:w="1997" w:type="dxa"/>
            <w:tcBorders>
              <w:top w:val="nil"/>
              <w:left w:val="nil"/>
              <w:bottom w:val="single" w:color="auto" w:sz="4" w:space="0"/>
              <w:right w:val="single" w:color="auto" w:sz="4" w:space="0"/>
            </w:tcBorders>
            <w:noWrap w:val="0"/>
            <w:vAlign w:val="center"/>
          </w:tcPr>
          <w:p w14:paraId="111231D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56" w:type="dxa"/>
            <w:tcBorders>
              <w:top w:val="nil"/>
              <w:left w:val="nil"/>
              <w:bottom w:val="single" w:color="auto" w:sz="4" w:space="0"/>
              <w:right w:val="single" w:color="auto" w:sz="4" w:space="0"/>
            </w:tcBorders>
            <w:noWrap w:val="0"/>
            <w:vAlign w:val="center"/>
          </w:tcPr>
          <w:p w14:paraId="07663B9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762CD53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30000</w:t>
            </w:r>
          </w:p>
        </w:tc>
        <w:tc>
          <w:tcPr>
            <w:tcW w:w="1712" w:type="dxa"/>
            <w:tcBorders>
              <w:top w:val="nil"/>
              <w:left w:val="nil"/>
              <w:bottom w:val="single" w:color="auto" w:sz="4" w:space="0"/>
              <w:right w:val="single" w:color="auto" w:sz="4" w:space="0"/>
            </w:tcBorders>
            <w:noWrap w:val="0"/>
            <w:vAlign w:val="center"/>
          </w:tcPr>
          <w:p w14:paraId="7D9B5C0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1141" w:type="dxa"/>
            <w:tcBorders>
              <w:top w:val="nil"/>
              <w:left w:val="nil"/>
              <w:bottom w:val="single" w:color="auto" w:sz="4" w:space="0"/>
              <w:right w:val="single" w:color="auto" w:sz="4" w:space="0"/>
            </w:tcBorders>
            <w:noWrap w:val="0"/>
            <w:vAlign w:val="center"/>
          </w:tcPr>
          <w:p w14:paraId="7DAB00B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1E27C4CE">
        <w:tblPrEx>
          <w:tblCellMar>
            <w:top w:w="0" w:type="dxa"/>
            <w:left w:w="108" w:type="dxa"/>
            <w:bottom w:w="0" w:type="dxa"/>
            <w:right w:w="108" w:type="dxa"/>
          </w:tblCellMar>
        </w:tblPrEx>
        <w:trPr>
          <w:trHeight w:val="339" w:hRule="atLeast"/>
        </w:trPr>
        <w:tc>
          <w:tcPr>
            <w:tcW w:w="1998" w:type="dxa"/>
            <w:vMerge w:val="restart"/>
            <w:tcBorders>
              <w:top w:val="nil"/>
              <w:left w:val="single" w:color="auto" w:sz="4" w:space="0"/>
              <w:bottom w:val="single" w:color="auto" w:sz="4" w:space="0"/>
              <w:right w:val="single" w:color="auto" w:sz="4" w:space="0"/>
            </w:tcBorders>
            <w:noWrap w:val="0"/>
            <w:vAlign w:val="center"/>
          </w:tcPr>
          <w:p w14:paraId="5A0AD3B1">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邮政业</w:t>
            </w:r>
          </w:p>
        </w:tc>
        <w:tc>
          <w:tcPr>
            <w:tcW w:w="1997" w:type="dxa"/>
            <w:tcBorders>
              <w:top w:val="nil"/>
              <w:left w:val="nil"/>
              <w:bottom w:val="single" w:color="auto" w:sz="4" w:space="0"/>
              <w:right w:val="single" w:color="auto" w:sz="4" w:space="0"/>
            </w:tcBorders>
            <w:noWrap w:val="0"/>
            <w:vAlign w:val="center"/>
          </w:tcPr>
          <w:p w14:paraId="196ED63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56" w:type="dxa"/>
            <w:tcBorders>
              <w:top w:val="nil"/>
              <w:left w:val="nil"/>
              <w:bottom w:val="single" w:color="auto" w:sz="4" w:space="0"/>
              <w:right w:val="single" w:color="auto" w:sz="4" w:space="0"/>
            </w:tcBorders>
            <w:noWrap w:val="0"/>
            <w:vAlign w:val="center"/>
          </w:tcPr>
          <w:p w14:paraId="01FC3A8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54" w:type="dxa"/>
            <w:tcBorders>
              <w:top w:val="nil"/>
              <w:left w:val="nil"/>
              <w:bottom w:val="single" w:color="auto" w:sz="4" w:space="0"/>
              <w:right w:val="single" w:color="auto" w:sz="4" w:space="0"/>
            </w:tcBorders>
            <w:noWrap w:val="0"/>
            <w:vAlign w:val="center"/>
          </w:tcPr>
          <w:p w14:paraId="1B7D167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1712" w:type="dxa"/>
            <w:tcBorders>
              <w:top w:val="nil"/>
              <w:left w:val="nil"/>
              <w:bottom w:val="single" w:color="auto" w:sz="4" w:space="0"/>
              <w:right w:val="single" w:color="auto" w:sz="4" w:space="0"/>
            </w:tcBorders>
            <w:noWrap w:val="0"/>
            <w:vAlign w:val="center"/>
          </w:tcPr>
          <w:p w14:paraId="4F31036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1141" w:type="dxa"/>
            <w:tcBorders>
              <w:top w:val="nil"/>
              <w:left w:val="nil"/>
              <w:bottom w:val="single" w:color="auto" w:sz="4" w:space="0"/>
              <w:right w:val="single" w:color="auto" w:sz="4" w:space="0"/>
            </w:tcBorders>
            <w:noWrap w:val="0"/>
            <w:vAlign w:val="center"/>
          </w:tcPr>
          <w:p w14:paraId="39C91DA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w:t>
            </w:r>
          </w:p>
        </w:tc>
      </w:tr>
      <w:tr w14:paraId="1635B801">
        <w:tblPrEx>
          <w:tblCellMar>
            <w:top w:w="0" w:type="dxa"/>
            <w:left w:w="108" w:type="dxa"/>
            <w:bottom w:w="0" w:type="dxa"/>
            <w:right w:w="108" w:type="dxa"/>
          </w:tblCellMar>
        </w:tblPrEx>
        <w:trPr>
          <w:trHeight w:val="339" w:hRule="atLeast"/>
        </w:trPr>
        <w:tc>
          <w:tcPr>
            <w:tcW w:w="1998" w:type="dxa"/>
            <w:vMerge w:val="continue"/>
            <w:tcBorders>
              <w:top w:val="nil"/>
              <w:left w:val="single" w:color="auto" w:sz="4" w:space="0"/>
              <w:bottom w:val="single" w:color="auto" w:sz="4" w:space="0"/>
              <w:right w:val="single" w:color="auto" w:sz="4" w:space="0"/>
            </w:tcBorders>
            <w:noWrap w:val="0"/>
            <w:vAlign w:val="center"/>
          </w:tcPr>
          <w:p w14:paraId="0D8E3AD8">
            <w:pPr>
              <w:widowControl/>
              <w:jc w:val="center"/>
              <w:rPr>
                <w:rFonts w:hint="eastAsia" w:ascii="宋体" w:hAnsi="宋体" w:eastAsia="宋体" w:cs="宋体"/>
                <w:b/>
                <w:bCs/>
                <w:color w:val="auto"/>
                <w:kern w:val="0"/>
                <w:sz w:val="21"/>
                <w:szCs w:val="21"/>
                <w:highlight w:val="none"/>
              </w:rPr>
            </w:pPr>
          </w:p>
        </w:tc>
        <w:tc>
          <w:tcPr>
            <w:tcW w:w="1997" w:type="dxa"/>
            <w:tcBorders>
              <w:top w:val="nil"/>
              <w:left w:val="nil"/>
              <w:bottom w:val="single" w:color="auto" w:sz="4" w:space="0"/>
              <w:right w:val="single" w:color="auto" w:sz="4" w:space="0"/>
            </w:tcBorders>
            <w:noWrap w:val="0"/>
            <w:vAlign w:val="center"/>
          </w:tcPr>
          <w:p w14:paraId="443DACB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56" w:type="dxa"/>
            <w:tcBorders>
              <w:top w:val="nil"/>
              <w:left w:val="nil"/>
              <w:bottom w:val="single" w:color="auto" w:sz="4" w:space="0"/>
              <w:right w:val="single" w:color="auto" w:sz="4" w:space="0"/>
            </w:tcBorders>
            <w:noWrap w:val="0"/>
            <w:vAlign w:val="center"/>
          </w:tcPr>
          <w:p w14:paraId="7248C9E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33D540B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30000</w:t>
            </w:r>
          </w:p>
        </w:tc>
        <w:tc>
          <w:tcPr>
            <w:tcW w:w="1712" w:type="dxa"/>
            <w:tcBorders>
              <w:top w:val="nil"/>
              <w:left w:val="nil"/>
              <w:bottom w:val="single" w:color="auto" w:sz="4" w:space="0"/>
              <w:right w:val="single" w:color="auto" w:sz="4" w:space="0"/>
            </w:tcBorders>
            <w:noWrap w:val="0"/>
            <w:vAlign w:val="center"/>
          </w:tcPr>
          <w:p w14:paraId="18CF9BC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w:t>
            </w:r>
          </w:p>
        </w:tc>
        <w:tc>
          <w:tcPr>
            <w:tcW w:w="1141" w:type="dxa"/>
            <w:tcBorders>
              <w:top w:val="nil"/>
              <w:left w:val="nil"/>
              <w:bottom w:val="single" w:color="auto" w:sz="4" w:space="0"/>
              <w:right w:val="single" w:color="auto" w:sz="4" w:space="0"/>
            </w:tcBorders>
            <w:noWrap w:val="0"/>
            <w:vAlign w:val="center"/>
          </w:tcPr>
          <w:p w14:paraId="0AEA72A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1D005202">
        <w:tblPrEx>
          <w:tblCellMar>
            <w:top w:w="0" w:type="dxa"/>
            <w:left w:w="108" w:type="dxa"/>
            <w:bottom w:w="0" w:type="dxa"/>
            <w:right w:w="108" w:type="dxa"/>
          </w:tblCellMar>
        </w:tblPrEx>
        <w:trPr>
          <w:trHeight w:val="339" w:hRule="atLeast"/>
        </w:trPr>
        <w:tc>
          <w:tcPr>
            <w:tcW w:w="1998" w:type="dxa"/>
            <w:vMerge w:val="restart"/>
            <w:tcBorders>
              <w:top w:val="nil"/>
              <w:left w:val="single" w:color="auto" w:sz="4" w:space="0"/>
              <w:bottom w:val="single" w:color="auto" w:sz="4" w:space="0"/>
              <w:right w:val="single" w:color="auto" w:sz="4" w:space="0"/>
            </w:tcBorders>
            <w:noWrap w:val="0"/>
            <w:vAlign w:val="center"/>
          </w:tcPr>
          <w:p w14:paraId="48F5DF12">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住宿业</w:t>
            </w:r>
          </w:p>
        </w:tc>
        <w:tc>
          <w:tcPr>
            <w:tcW w:w="1997" w:type="dxa"/>
            <w:tcBorders>
              <w:top w:val="nil"/>
              <w:left w:val="nil"/>
              <w:bottom w:val="single" w:color="auto" w:sz="4" w:space="0"/>
              <w:right w:val="single" w:color="auto" w:sz="4" w:space="0"/>
            </w:tcBorders>
            <w:noWrap w:val="0"/>
            <w:vAlign w:val="center"/>
          </w:tcPr>
          <w:p w14:paraId="19DFDBA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56" w:type="dxa"/>
            <w:tcBorders>
              <w:top w:val="nil"/>
              <w:left w:val="nil"/>
              <w:bottom w:val="single" w:color="auto" w:sz="4" w:space="0"/>
              <w:right w:val="single" w:color="auto" w:sz="4" w:space="0"/>
            </w:tcBorders>
            <w:noWrap w:val="0"/>
            <w:vAlign w:val="center"/>
          </w:tcPr>
          <w:p w14:paraId="1C71F51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54" w:type="dxa"/>
            <w:tcBorders>
              <w:top w:val="nil"/>
              <w:left w:val="nil"/>
              <w:bottom w:val="single" w:color="auto" w:sz="4" w:space="0"/>
              <w:right w:val="single" w:color="auto" w:sz="4" w:space="0"/>
            </w:tcBorders>
            <w:noWrap w:val="0"/>
            <w:vAlign w:val="center"/>
          </w:tcPr>
          <w:p w14:paraId="4269832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1712" w:type="dxa"/>
            <w:tcBorders>
              <w:top w:val="nil"/>
              <w:left w:val="nil"/>
              <w:bottom w:val="single" w:color="auto" w:sz="4" w:space="0"/>
              <w:right w:val="single" w:color="auto" w:sz="4" w:space="0"/>
            </w:tcBorders>
            <w:noWrap w:val="0"/>
            <w:vAlign w:val="center"/>
          </w:tcPr>
          <w:p w14:paraId="669AA83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c>
          <w:tcPr>
            <w:tcW w:w="1141" w:type="dxa"/>
            <w:tcBorders>
              <w:top w:val="nil"/>
              <w:left w:val="nil"/>
              <w:bottom w:val="single" w:color="auto" w:sz="4" w:space="0"/>
              <w:right w:val="single" w:color="auto" w:sz="4" w:space="0"/>
            </w:tcBorders>
            <w:noWrap w:val="0"/>
            <w:vAlign w:val="center"/>
          </w:tcPr>
          <w:p w14:paraId="4C93D22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w:t>
            </w:r>
          </w:p>
        </w:tc>
      </w:tr>
      <w:tr w14:paraId="03722AC3">
        <w:tblPrEx>
          <w:tblCellMar>
            <w:top w:w="0" w:type="dxa"/>
            <w:left w:w="108" w:type="dxa"/>
            <w:bottom w:w="0" w:type="dxa"/>
            <w:right w:w="108" w:type="dxa"/>
          </w:tblCellMar>
        </w:tblPrEx>
        <w:trPr>
          <w:trHeight w:val="339" w:hRule="atLeast"/>
        </w:trPr>
        <w:tc>
          <w:tcPr>
            <w:tcW w:w="1998" w:type="dxa"/>
            <w:vMerge w:val="continue"/>
            <w:tcBorders>
              <w:top w:val="nil"/>
              <w:left w:val="single" w:color="auto" w:sz="4" w:space="0"/>
              <w:bottom w:val="single" w:color="auto" w:sz="4" w:space="0"/>
              <w:right w:val="single" w:color="auto" w:sz="4" w:space="0"/>
            </w:tcBorders>
            <w:noWrap w:val="0"/>
            <w:vAlign w:val="center"/>
          </w:tcPr>
          <w:p w14:paraId="68ED0996">
            <w:pPr>
              <w:widowControl/>
              <w:jc w:val="center"/>
              <w:rPr>
                <w:rFonts w:hint="eastAsia" w:ascii="宋体" w:hAnsi="宋体" w:eastAsia="宋体" w:cs="宋体"/>
                <w:b/>
                <w:bCs/>
                <w:color w:val="auto"/>
                <w:kern w:val="0"/>
                <w:sz w:val="21"/>
                <w:szCs w:val="21"/>
                <w:highlight w:val="none"/>
              </w:rPr>
            </w:pPr>
          </w:p>
        </w:tc>
        <w:tc>
          <w:tcPr>
            <w:tcW w:w="1997" w:type="dxa"/>
            <w:tcBorders>
              <w:top w:val="nil"/>
              <w:left w:val="nil"/>
              <w:bottom w:val="single" w:color="auto" w:sz="4" w:space="0"/>
              <w:right w:val="single" w:color="auto" w:sz="4" w:space="0"/>
            </w:tcBorders>
            <w:noWrap w:val="0"/>
            <w:vAlign w:val="center"/>
          </w:tcPr>
          <w:p w14:paraId="5A26703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56" w:type="dxa"/>
            <w:tcBorders>
              <w:top w:val="nil"/>
              <w:left w:val="nil"/>
              <w:bottom w:val="single" w:color="auto" w:sz="4" w:space="0"/>
              <w:right w:val="single" w:color="auto" w:sz="4" w:space="0"/>
            </w:tcBorders>
            <w:noWrap w:val="0"/>
            <w:vAlign w:val="center"/>
          </w:tcPr>
          <w:p w14:paraId="4B79B62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163481E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10000</w:t>
            </w:r>
          </w:p>
        </w:tc>
        <w:tc>
          <w:tcPr>
            <w:tcW w:w="1712" w:type="dxa"/>
            <w:tcBorders>
              <w:top w:val="nil"/>
              <w:left w:val="nil"/>
              <w:bottom w:val="single" w:color="auto" w:sz="4" w:space="0"/>
              <w:right w:val="single" w:color="auto" w:sz="4" w:space="0"/>
            </w:tcBorders>
            <w:noWrap w:val="0"/>
            <w:vAlign w:val="center"/>
          </w:tcPr>
          <w:p w14:paraId="582A171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w:t>
            </w:r>
          </w:p>
        </w:tc>
        <w:tc>
          <w:tcPr>
            <w:tcW w:w="1141" w:type="dxa"/>
            <w:tcBorders>
              <w:top w:val="nil"/>
              <w:left w:val="nil"/>
              <w:bottom w:val="single" w:color="auto" w:sz="4" w:space="0"/>
              <w:right w:val="single" w:color="auto" w:sz="4" w:space="0"/>
            </w:tcBorders>
            <w:noWrap w:val="0"/>
            <w:vAlign w:val="center"/>
          </w:tcPr>
          <w:p w14:paraId="05FACC5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17321571">
        <w:tblPrEx>
          <w:tblCellMar>
            <w:top w:w="0" w:type="dxa"/>
            <w:left w:w="108" w:type="dxa"/>
            <w:bottom w:w="0" w:type="dxa"/>
            <w:right w:w="108" w:type="dxa"/>
          </w:tblCellMar>
        </w:tblPrEx>
        <w:trPr>
          <w:trHeight w:val="339" w:hRule="atLeast"/>
        </w:trPr>
        <w:tc>
          <w:tcPr>
            <w:tcW w:w="1998" w:type="dxa"/>
            <w:vMerge w:val="restart"/>
            <w:tcBorders>
              <w:top w:val="nil"/>
              <w:left w:val="single" w:color="auto" w:sz="4" w:space="0"/>
              <w:bottom w:val="single" w:color="auto" w:sz="4" w:space="0"/>
              <w:right w:val="single" w:color="auto" w:sz="4" w:space="0"/>
            </w:tcBorders>
            <w:noWrap w:val="0"/>
            <w:vAlign w:val="center"/>
          </w:tcPr>
          <w:p w14:paraId="2A7D7132">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餐饮业</w:t>
            </w:r>
          </w:p>
        </w:tc>
        <w:tc>
          <w:tcPr>
            <w:tcW w:w="1997" w:type="dxa"/>
            <w:tcBorders>
              <w:top w:val="nil"/>
              <w:left w:val="nil"/>
              <w:bottom w:val="single" w:color="auto" w:sz="4" w:space="0"/>
              <w:right w:val="single" w:color="auto" w:sz="4" w:space="0"/>
            </w:tcBorders>
            <w:noWrap w:val="0"/>
            <w:vAlign w:val="center"/>
          </w:tcPr>
          <w:p w14:paraId="16AC01B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56" w:type="dxa"/>
            <w:tcBorders>
              <w:top w:val="nil"/>
              <w:left w:val="nil"/>
              <w:bottom w:val="single" w:color="auto" w:sz="4" w:space="0"/>
              <w:right w:val="single" w:color="auto" w:sz="4" w:space="0"/>
            </w:tcBorders>
            <w:noWrap w:val="0"/>
            <w:vAlign w:val="center"/>
          </w:tcPr>
          <w:p w14:paraId="7DE4ED1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54" w:type="dxa"/>
            <w:tcBorders>
              <w:top w:val="nil"/>
              <w:left w:val="nil"/>
              <w:bottom w:val="single" w:color="auto" w:sz="4" w:space="0"/>
              <w:right w:val="single" w:color="auto" w:sz="4" w:space="0"/>
            </w:tcBorders>
            <w:noWrap w:val="0"/>
            <w:vAlign w:val="center"/>
          </w:tcPr>
          <w:p w14:paraId="6729C4A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1712" w:type="dxa"/>
            <w:tcBorders>
              <w:top w:val="nil"/>
              <w:left w:val="nil"/>
              <w:bottom w:val="single" w:color="auto" w:sz="4" w:space="0"/>
              <w:right w:val="single" w:color="auto" w:sz="4" w:space="0"/>
            </w:tcBorders>
            <w:noWrap w:val="0"/>
            <w:vAlign w:val="center"/>
          </w:tcPr>
          <w:p w14:paraId="69FE541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c>
          <w:tcPr>
            <w:tcW w:w="1141" w:type="dxa"/>
            <w:tcBorders>
              <w:top w:val="nil"/>
              <w:left w:val="nil"/>
              <w:bottom w:val="single" w:color="auto" w:sz="4" w:space="0"/>
              <w:right w:val="single" w:color="auto" w:sz="4" w:space="0"/>
            </w:tcBorders>
            <w:noWrap w:val="0"/>
            <w:vAlign w:val="center"/>
          </w:tcPr>
          <w:p w14:paraId="09957DB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w:t>
            </w:r>
          </w:p>
        </w:tc>
      </w:tr>
      <w:tr w14:paraId="2A36B3D0">
        <w:tblPrEx>
          <w:tblCellMar>
            <w:top w:w="0" w:type="dxa"/>
            <w:left w:w="108" w:type="dxa"/>
            <w:bottom w:w="0" w:type="dxa"/>
            <w:right w:w="108" w:type="dxa"/>
          </w:tblCellMar>
        </w:tblPrEx>
        <w:trPr>
          <w:trHeight w:val="339" w:hRule="atLeast"/>
        </w:trPr>
        <w:tc>
          <w:tcPr>
            <w:tcW w:w="1998" w:type="dxa"/>
            <w:vMerge w:val="continue"/>
            <w:tcBorders>
              <w:top w:val="nil"/>
              <w:left w:val="single" w:color="auto" w:sz="4" w:space="0"/>
              <w:bottom w:val="single" w:color="auto" w:sz="4" w:space="0"/>
              <w:right w:val="single" w:color="auto" w:sz="4" w:space="0"/>
            </w:tcBorders>
            <w:noWrap w:val="0"/>
            <w:vAlign w:val="center"/>
          </w:tcPr>
          <w:p w14:paraId="4E99E3E1">
            <w:pPr>
              <w:widowControl/>
              <w:jc w:val="center"/>
              <w:rPr>
                <w:rFonts w:hint="eastAsia" w:ascii="宋体" w:hAnsi="宋体" w:eastAsia="宋体" w:cs="宋体"/>
                <w:b/>
                <w:bCs/>
                <w:color w:val="auto"/>
                <w:kern w:val="0"/>
                <w:sz w:val="21"/>
                <w:szCs w:val="21"/>
                <w:highlight w:val="none"/>
              </w:rPr>
            </w:pPr>
          </w:p>
        </w:tc>
        <w:tc>
          <w:tcPr>
            <w:tcW w:w="1997" w:type="dxa"/>
            <w:tcBorders>
              <w:top w:val="nil"/>
              <w:left w:val="nil"/>
              <w:bottom w:val="single" w:color="auto" w:sz="4" w:space="0"/>
              <w:right w:val="single" w:color="auto" w:sz="4" w:space="0"/>
            </w:tcBorders>
            <w:noWrap w:val="0"/>
            <w:vAlign w:val="center"/>
          </w:tcPr>
          <w:p w14:paraId="79BB11B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56" w:type="dxa"/>
            <w:tcBorders>
              <w:top w:val="nil"/>
              <w:left w:val="nil"/>
              <w:bottom w:val="single" w:color="auto" w:sz="4" w:space="0"/>
              <w:right w:val="single" w:color="auto" w:sz="4" w:space="0"/>
            </w:tcBorders>
            <w:noWrap w:val="0"/>
            <w:vAlign w:val="center"/>
          </w:tcPr>
          <w:p w14:paraId="73991B2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557818B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10000</w:t>
            </w:r>
          </w:p>
        </w:tc>
        <w:tc>
          <w:tcPr>
            <w:tcW w:w="1712" w:type="dxa"/>
            <w:tcBorders>
              <w:top w:val="nil"/>
              <w:left w:val="nil"/>
              <w:bottom w:val="single" w:color="auto" w:sz="4" w:space="0"/>
              <w:right w:val="single" w:color="auto" w:sz="4" w:space="0"/>
            </w:tcBorders>
            <w:noWrap w:val="0"/>
            <w:vAlign w:val="center"/>
          </w:tcPr>
          <w:p w14:paraId="719476C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w:t>
            </w:r>
          </w:p>
        </w:tc>
        <w:tc>
          <w:tcPr>
            <w:tcW w:w="1141" w:type="dxa"/>
            <w:tcBorders>
              <w:top w:val="nil"/>
              <w:left w:val="nil"/>
              <w:bottom w:val="single" w:color="auto" w:sz="4" w:space="0"/>
              <w:right w:val="single" w:color="auto" w:sz="4" w:space="0"/>
            </w:tcBorders>
            <w:noWrap w:val="0"/>
            <w:vAlign w:val="center"/>
          </w:tcPr>
          <w:p w14:paraId="257181D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2E9559ED">
        <w:tblPrEx>
          <w:tblCellMar>
            <w:top w:w="0" w:type="dxa"/>
            <w:left w:w="108" w:type="dxa"/>
            <w:bottom w:w="0" w:type="dxa"/>
            <w:right w:w="108" w:type="dxa"/>
          </w:tblCellMar>
        </w:tblPrEx>
        <w:trPr>
          <w:trHeight w:val="339" w:hRule="atLeast"/>
        </w:trPr>
        <w:tc>
          <w:tcPr>
            <w:tcW w:w="1998" w:type="dxa"/>
            <w:vMerge w:val="restart"/>
            <w:tcBorders>
              <w:top w:val="nil"/>
              <w:left w:val="single" w:color="auto" w:sz="4" w:space="0"/>
              <w:bottom w:val="single" w:color="auto" w:sz="4" w:space="0"/>
              <w:right w:val="single" w:color="auto" w:sz="4" w:space="0"/>
            </w:tcBorders>
            <w:noWrap w:val="0"/>
            <w:vAlign w:val="center"/>
          </w:tcPr>
          <w:p w14:paraId="71B736A0">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信息传输业</w:t>
            </w:r>
          </w:p>
        </w:tc>
        <w:tc>
          <w:tcPr>
            <w:tcW w:w="1997" w:type="dxa"/>
            <w:tcBorders>
              <w:top w:val="nil"/>
              <w:left w:val="nil"/>
              <w:bottom w:val="single" w:color="auto" w:sz="4" w:space="0"/>
              <w:right w:val="single" w:color="auto" w:sz="4" w:space="0"/>
            </w:tcBorders>
            <w:noWrap w:val="0"/>
            <w:vAlign w:val="center"/>
          </w:tcPr>
          <w:p w14:paraId="3BBED4A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56" w:type="dxa"/>
            <w:tcBorders>
              <w:top w:val="nil"/>
              <w:left w:val="nil"/>
              <w:bottom w:val="single" w:color="auto" w:sz="4" w:space="0"/>
              <w:right w:val="single" w:color="auto" w:sz="4" w:space="0"/>
            </w:tcBorders>
            <w:noWrap w:val="0"/>
            <w:vAlign w:val="center"/>
          </w:tcPr>
          <w:p w14:paraId="6E8CE7B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54" w:type="dxa"/>
            <w:tcBorders>
              <w:top w:val="nil"/>
              <w:left w:val="nil"/>
              <w:bottom w:val="single" w:color="auto" w:sz="4" w:space="0"/>
              <w:right w:val="single" w:color="auto" w:sz="4" w:space="0"/>
            </w:tcBorders>
            <w:noWrap w:val="0"/>
            <w:vAlign w:val="center"/>
          </w:tcPr>
          <w:p w14:paraId="449DBC7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w:t>
            </w:r>
          </w:p>
        </w:tc>
        <w:tc>
          <w:tcPr>
            <w:tcW w:w="1712" w:type="dxa"/>
            <w:tcBorders>
              <w:top w:val="nil"/>
              <w:left w:val="nil"/>
              <w:bottom w:val="single" w:color="auto" w:sz="4" w:space="0"/>
              <w:right w:val="single" w:color="auto" w:sz="4" w:space="0"/>
            </w:tcBorders>
            <w:noWrap w:val="0"/>
            <w:vAlign w:val="center"/>
          </w:tcPr>
          <w:p w14:paraId="5AFAAEC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c>
          <w:tcPr>
            <w:tcW w:w="1141" w:type="dxa"/>
            <w:tcBorders>
              <w:top w:val="nil"/>
              <w:left w:val="nil"/>
              <w:bottom w:val="single" w:color="auto" w:sz="4" w:space="0"/>
              <w:right w:val="single" w:color="auto" w:sz="4" w:space="0"/>
            </w:tcBorders>
            <w:noWrap w:val="0"/>
            <w:vAlign w:val="center"/>
          </w:tcPr>
          <w:p w14:paraId="4247FEA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w:t>
            </w:r>
          </w:p>
        </w:tc>
      </w:tr>
      <w:tr w14:paraId="3CABC38E">
        <w:tblPrEx>
          <w:tblCellMar>
            <w:top w:w="0" w:type="dxa"/>
            <w:left w:w="108" w:type="dxa"/>
            <w:bottom w:w="0" w:type="dxa"/>
            <w:right w:w="108" w:type="dxa"/>
          </w:tblCellMar>
        </w:tblPrEx>
        <w:trPr>
          <w:trHeight w:val="339" w:hRule="atLeast"/>
        </w:trPr>
        <w:tc>
          <w:tcPr>
            <w:tcW w:w="1998" w:type="dxa"/>
            <w:vMerge w:val="continue"/>
            <w:tcBorders>
              <w:top w:val="nil"/>
              <w:left w:val="single" w:color="auto" w:sz="4" w:space="0"/>
              <w:bottom w:val="single" w:color="auto" w:sz="4" w:space="0"/>
              <w:right w:val="single" w:color="auto" w:sz="4" w:space="0"/>
            </w:tcBorders>
            <w:noWrap w:val="0"/>
            <w:vAlign w:val="center"/>
          </w:tcPr>
          <w:p w14:paraId="28C81666">
            <w:pPr>
              <w:widowControl/>
              <w:jc w:val="center"/>
              <w:rPr>
                <w:rFonts w:hint="eastAsia" w:ascii="宋体" w:hAnsi="宋体" w:eastAsia="宋体" w:cs="宋体"/>
                <w:b/>
                <w:bCs/>
                <w:color w:val="auto"/>
                <w:kern w:val="0"/>
                <w:sz w:val="21"/>
                <w:szCs w:val="21"/>
                <w:highlight w:val="none"/>
              </w:rPr>
            </w:pPr>
          </w:p>
        </w:tc>
        <w:tc>
          <w:tcPr>
            <w:tcW w:w="1997" w:type="dxa"/>
            <w:tcBorders>
              <w:top w:val="nil"/>
              <w:left w:val="nil"/>
              <w:bottom w:val="single" w:color="auto" w:sz="4" w:space="0"/>
              <w:right w:val="single" w:color="auto" w:sz="4" w:space="0"/>
            </w:tcBorders>
            <w:noWrap w:val="0"/>
            <w:vAlign w:val="center"/>
          </w:tcPr>
          <w:p w14:paraId="63C5644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56" w:type="dxa"/>
            <w:tcBorders>
              <w:top w:val="nil"/>
              <w:left w:val="nil"/>
              <w:bottom w:val="single" w:color="auto" w:sz="4" w:space="0"/>
              <w:right w:val="single" w:color="auto" w:sz="4" w:space="0"/>
            </w:tcBorders>
            <w:noWrap w:val="0"/>
            <w:vAlign w:val="center"/>
          </w:tcPr>
          <w:p w14:paraId="3061ADC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3CCCF2B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100000</w:t>
            </w:r>
          </w:p>
        </w:tc>
        <w:tc>
          <w:tcPr>
            <w:tcW w:w="1712" w:type="dxa"/>
            <w:tcBorders>
              <w:top w:val="nil"/>
              <w:left w:val="nil"/>
              <w:bottom w:val="single" w:color="auto" w:sz="4" w:space="0"/>
              <w:right w:val="single" w:color="auto" w:sz="4" w:space="0"/>
            </w:tcBorders>
            <w:noWrap w:val="0"/>
            <w:vAlign w:val="center"/>
          </w:tcPr>
          <w:p w14:paraId="4B05823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1141" w:type="dxa"/>
            <w:tcBorders>
              <w:top w:val="nil"/>
              <w:left w:val="nil"/>
              <w:bottom w:val="single" w:color="auto" w:sz="4" w:space="0"/>
              <w:right w:val="single" w:color="auto" w:sz="4" w:space="0"/>
            </w:tcBorders>
            <w:noWrap w:val="0"/>
            <w:vAlign w:val="center"/>
          </w:tcPr>
          <w:p w14:paraId="4C7CC4D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5BCD3375">
        <w:tblPrEx>
          <w:tblCellMar>
            <w:top w:w="0" w:type="dxa"/>
            <w:left w:w="108" w:type="dxa"/>
            <w:bottom w:w="0" w:type="dxa"/>
            <w:right w:w="108" w:type="dxa"/>
          </w:tblCellMar>
        </w:tblPrEx>
        <w:trPr>
          <w:trHeight w:val="339" w:hRule="atLeast"/>
        </w:trPr>
        <w:tc>
          <w:tcPr>
            <w:tcW w:w="1998" w:type="dxa"/>
            <w:vMerge w:val="restart"/>
            <w:tcBorders>
              <w:top w:val="nil"/>
              <w:left w:val="single" w:color="auto" w:sz="4" w:space="0"/>
              <w:bottom w:val="single" w:color="auto" w:sz="4" w:space="0"/>
              <w:right w:val="single" w:color="auto" w:sz="4" w:space="0"/>
            </w:tcBorders>
            <w:noWrap w:val="0"/>
            <w:vAlign w:val="center"/>
          </w:tcPr>
          <w:p w14:paraId="4C160AAB">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软件和信息技术服务业</w:t>
            </w:r>
          </w:p>
        </w:tc>
        <w:tc>
          <w:tcPr>
            <w:tcW w:w="1997" w:type="dxa"/>
            <w:tcBorders>
              <w:top w:val="nil"/>
              <w:left w:val="nil"/>
              <w:bottom w:val="single" w:color="auto" w:sz="4" w:space="0"/>
              <w:right w:val="single" w:color="auto" w:sz="4" w:space="0"/>
            </w:tcBorders>
            <w:noWrap w:val="0"/>
            <w:vAlign w:val="center"/>
          </w:tcPr>
          <w:p w14:paraId="45DDA0C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56" w:type="dxa"/>
            <w:tcBorders>
              <w:top w:val="nil"/>
              <w:left w:val="nil"/>
              <w:bottom w:val="single" w:color="auto" w:sz="4" w:space="0"/>
              <w:right w:val="single" w:color="auto" w:sz="4" w:space="0"/>
            </w:tcBorders>
            <w:noWrap w:val="0"/>
            <w:vAlign w:val="center"/>
          </w:tcPr>
          <w:p w14:paraId="515F745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54" w:type="dxa"/>
            <w:tcBorders>
              <w:top w:val="nil"/>
              <w:left w:val="nil"/>
              <w:bottom w:val="single" w:color="auto" w:sz="4" w:space="0"/>
              <w:right w:val="single" w:color="auto" w:sz="4" w:space="0"/>
            </w:tcBorders>
            <w:noWrap w:val="0"/>
            <w:vAlign w:val="center"/>
          </w:tcPr>
          <w:p w14:paraId="5E9E72A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1712" w:type="dxa"/>
            <w:tcBorders>
              <w:top w:val="nil"/>
              <w:left w:val="nil"/>
              <w:bottom w:val="single" w:color="auto" w:sz="4" w:space="0"/>
              <w:right w:val="single" w:color="auto" w:sz="4" w:space="0"/>
            </w:tcBorders>
            <w:noWrap w:val="0"/>
            <w:vAlign w:val="center"/>
          </w:tcPr>
          <w:p w14:paraId="0C2B29B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c>
          <w:tcPr>
            <w:tcW w:w="1141" w:type="dxa"/>
            <w:tcBorders>
              <w:top w:val="nil"/>
              <w:left w:val="nil"/>
              <w:bottom w:val="single" w:color="auto" w:sz="4" w:space="0"/>
              <w:right w:val="single" w:color="auto" w:sz="4" w:space="0"/>
            </w:tcBorders>
            <w:noWrap w:val="0"/>
            <w:vAlign w:val="center"/>
          </w:tcPr>
          <w:p w14:paraId="67220E9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w:t>
            </w:r>
          </w:p>
        </w:tc>
      </w:tr>
      <w:tr w14:paraId="2A4035F0">
        <w:tblPrEx>
          <w:tblCellMar>
            <w:top w:w="0" w:type="dxa"/>
            <w:left w:w="108" w:type="dxa"/>
            <w:bottom w:w="0" w:type="dxa"/>
            <w:right w:w="108" w:type="dxa"/>
          </w:tblCellMar>
        </w:tblPrEx>
        <w:trPr>
          <w:trHeight w:val="339" w:hRule="atLeast"/>
        </w:trPr>
        <w:tc>
          <w:tcPr>
            <w:tcW w:w="1998" w:type="dxa"/>
            <w:vMerge w:val="continue"/>
            <w:tcBorders>
              <w:top w:val="nil"/>
              <w:left w:val="single" w:color="auto" w:sz="4" w:space="0"/>
              <w:bottom w:val="single" w:color="auto" w:sz="4" w:space="0"/>
              <w:right w:val="single" w:color="auto" w:sz="4" w:space="0"/>
            </w:tcBorders>
            <w:noWrap w:val="0"/>
            <w:vAlign w:val="center"/>
          </w:tcPr>
          <w:p w14:paraId="2B4A8C48">
            <w:pPr>
              <w:widowControl/>
              <w:jc w:val="center"/>
              <w:rPr>
                <w:rFonts w:hint="eastAsia" w:ascii="宋体" w:hAnsi="宋体" w:eastAsia="宋体" w:cs="宋体"/>
                <w:b/>
                <w:bCs/>
                <w:color w:val="auto"/>
                <w:kern w:val="0"/>
                <w:sz w:val="21"/>
                <w:szCs w:val="21"/>
                <w:highlight w:val="none"/>
              </w:rPr>
            </w:pPr>
          </w:p>
        </w:tc>
        <w:tc>
          <w:tcPr>
            <w:tcW w:w="1997" w:type="dxa"/>
            <w:tcBorders>
              <w:top w:val="nil"/>
              <w:left w:val="nil"/>
              <w:bottom w:val="single" w:color="auto" w:sz="4" w:space="0"/>
              <w:right w:val="single" w:color="auto" w:sz="4" w:space="0"/>
            </w:tcBorders>
            <w:noWrap w:val="0"/>
            <w:vAlign w:val="center"/>
          </w:tcPr>
          <w:p w14:paraId="76D9F3A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56" w:type="dxa"/>
            <w:tcBorders>
              <w:top w:val="nil"/>
              <w:left w:val="nil"/>
              <w:bottom w:val="single" w:color="auto" w:sz="4" w:space="0"/>
              <w:right w:val="single" w:color="auto" w:sz="4" w:space="0"/>
            </w:tcBorders>
            <w:noWrap w:val="0"/>
            <w:vAlign w:val="center"/>
          </w:tcPr>
          <w:p w14:paraId="3D4DCA1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16341EB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10000</w:t>
            </w:r>
          </w:p>
        </w:tc>
        <w:tc>
          <w:tcPr>
            <w:tcW w:w="1712" w:type="dxa"/>
            <w:tcBorders>
              <w:top w:val="nil"/>
              <w:left w:val="nil"/>
              <w:bottom w:val="single" w:color="auto" w:sz="4" w:space="0"/>
              <w:right w:val="single" w:color="auto" w:sz="4" w:space="0"/>
            </w:tcBorders>
            <w:noWrap w:val="0"/>
            <w:vAlign w:val="center"/>
          </w:tcPr>
          <w:p w14:paraId="66C7A3D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1141" w:type="dxa"/>
            <w:tcBorders>
              <w:top w:val="nil"/>
              <w:left w:val="nil"/>
              <w:bottom w:val="single" w:color="auto" w:sz="4" w:space="0"/>
              <w:right w:val="single" w:color="auto" w:sz="4" w:space="0"/>
            </w:tcBorders>
            <w:noWrap w:val="0"/>
            <w:vAlign w:val="center"/>
          </w:tcPr>
          <w:p w14:paraId="37A3B71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w:t>
            </w:r>
          </w:p>
        </w:tc>
      </w:tr>
      <w:tr w14:paraId="3DBD8B94">
        <w:tblPrEx>
          <w:tblCellMar>
            <w:top w:w="0" w:type="dxa"/>
            <w:left w:w="108" w:type="dxa"/>
            <w:bottom w:w="0" w:type="dxa"/>
            <w:right w:w="108" w:type="dxa"/>
          </w:tblCellMar>
        </w:tblPrEx>
        <w:trPr>
          <w:trHeight w:val="339" w:hRule="atLeast"/>
        </w:trPr>
        <w:tc>
          <w:tcPr>
            <w:tcW w:w="1998" w:type="dxa"/>
            <w:vMerge w:val="restart"/>
            <w:tcBorders>
              <w:top w:val="nil"/>
              <w:left w:val="single" w:color="auto" w:sz="4" w:space="0"/>
              <w:bottom w:val="single" w:color="auto" w:sz="4" w:space="0"/>
              <w:right w:val="single" w:color="auto" w:sz="4" w:space="0"/>
            </w:tcBorders>
            <w:noWrap w:val="0"/>
            <w:vAlign w:val="center"/>
          </w:tcPr>
          <w:p w14:paraId="56B8CCE6">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房地产开发经营</w:t>
            </w:r>
          </w:p>
        </w:tc>
        <w:tc>
          <w:tcPr>
            <w:tcW w:w="1997" w:type="dxa"/>
            <w:tcBorders>
              <w:top w:val="nil"/>
              <w:left w:val="nil"/>
              <w:bottom w:val="single" w:color="auto" w:sz="4" w:space="0"/>
              <w:right w:val="single" w:color="auto" w:sz="4" w:space="0"/>
            </w:tcBorders>
            <w:noWrap w:val="0"/>
            <w:vAlign w:val="center"/>
          </w:tcPr>
          <w:p w14:paraId="6FEAE03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56" w:type="dxa"/>
            <w:tcBorders>
              <w:top w:val="nil"/>
              <w:left w:val="nil"/>
              <w:bottom w:val="single" w:color="auto" w:sz="4" w:space="0"/>
              <w:right w:val="single" w:color="auto" w:sz="4" w:space="0"/>
            </w:tcBorders>
            <w:noWrap w:val="0"/>
            <w:vAlign w:val="center"/>
          </w:tcPr>
          <w:p w14:paraId="6C47200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4E395A0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200000</w:t>
            </w:r>
          </w:p>
        </w:tc>
        <w:tc>
          <w:tcPr>
            <w:tcW w:w="1712" w:type="dxa"/>
            <w:tcBorders>
              <w:top w:val="nil"/>
              <w:left w:val="nil"/>
              <w:bottom w:val="single" w:color="auto" w:sz="4" w:space="0"/>
              <w:right w:val="single" w:color="auto" w:sz="4" w:space="0"/>
            </w:tcBorders>
            <w:noWrap w:val="0"/>
            <w:vAlign w:val="center"/>
          </w:tcPr>
          <w:p w14:paraId="2764082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1141" w:type="dxa"/>
            <w:tcBorders>
              <w:top w:val="nil"/>
              <w:left w:val="nil"/>
              <w:bottom w:val="single" w:color="auto" w:sz="4" w:space="0"/>
              <w:right w:val="single" w:color="auto" w:sz="4" w:space="0"/>
            </w:tcBorders>
            <w:noWrap w:val="0"/>
            <w:vAlign w:val="center"/>
          </w:tcPr>
          <w:p w14:paraId="20DDFCB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7E89530A">
        <w:tblPrEx>
          <w:tblCellMar>
            <w:top w:w="0" w:type="dxa"/>
            <w:left w:w="108" w:type="dxa"/>
            <w:bottom w:w="0" w:type="dxa"/>
            <w:right w:w="108" w:type="dxa"/>
          </w:tblCellMar>
        </w:tblPrEx>
        <w:trPr>
          <w:trHeight w:val="339" w:hRule="atLeast"/>
        </w:trPr>
        <w:tc>
          <w:tcPr>
            <w:tcW w:w="1998" w:type="dxa"/>
            <w:vMerge w:val="continue"/>
            <w:tcBorders>
              <w:top w:val="nil"/>
              <w:left w:val="single" w:color="auto" w:sz="4" w:space="0"/>
              <w:bottom w:val="single" w:color="auto" w:sz="4" w:space="0"/>
              <w:right w:val="single" w:color="auto" w:sz="4" w:space="0"/>
            </w:tcBorders>
            <w:noWrap w:val="0"/>
            <w:vAlign w:val="center"/>
          </w:tcPr>
          <w:p w14:paraId="09762B17">
            <w:pPr>
              <w:widowControl/>
              <w:jc w:val="center"/>
              <w:rPr>
                <w:rFonts w:hint="eastAsia" w:ascii="宋体" w:hAnsi="宋体" w:eastAsia="宋体" w:cs="宋体"/>
                <w:b/>
                <w:bCs/>
                <w:color w:val="auto"/>
                <w:kern w:val="0"/>
                <w:sz w:val="21"/>
                <w:szCs w:val="21"/>
                <w:highlight w:val="none"/>
              </w:rPr>
            </w:pPr>
          </w:p>
        </w:tc>
        <w:tc>
          <w:tcPr>
            <w:tcW w:w="1997" w:type="dxa"/>
            <w:tcBorders>
              <w:top w:val="nil"/>
              <w:left w:val="nil"/>
              <w:bottom w:val="single" w:color="auto" w:sz="4" w:space="0"/>
              <w:right w:val="single" w:color="auto" w:sz="4" w:space="0"/>
            </w:tcBorders>
            <w:noWrap w:val="0"/>
            <w:vAlign w:val="center"/>
          </w:tcPr>
          <w:p w14:paraId="43B865E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56" w:type="dxa"/>
            <w:tcBorders>
              <w:top w:val="nil"/>
              <w:left w:val="nil"/>
              <w:bottom w:val="single" w:color="auto" w:sz="4" w:space="0"/>
              <w:right w:val="single" w:color="auto" w:sz="4" w:space="0"/>
            </w:tcBorders>
            <w:noWrap w:val="0"/>
            <w:vAlign w:val="center"/>
          </w:tcPr>
          <w:p w14:paraId="3090B57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7B35A78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10000</w:t>
            </w:r>
          </w:p>
        </w:tc>
        <w:tc>
          <w:tcPr>
            <w:tcW w:w="1712" w:type="dxa"/>
            <w:tcBorders>
              <w:top w:val="nil"/>
              <w:left w:val="nil"/>
              <w:bottom w:val="single" w:color="auto" w:sz="4" w:space="0"/>
              <w:right w:val="single" w:color="auto" w:sz="4" w:space="0"/>
            </w:tcBorders>
            <w:noWrap w:val="0"/>
            <w:vAlign w:val="center"/>
          </w:tcPr>
          <w:p w14:paraId="754EEEF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5000</w:t>
            </w:r>
          </w:p>
        </w:tc>
        <w:tc>
          <w:tcPr>
            <w:tcW w:w="1141" w:type="dxa"/>
            <w:tcBorders>
              <w:top w:val="nil"/>
              <w:left w:val="nil"/>
              <w:bottom w:val="single" w:color="auto" w:sz="4" w:space="0"/>
              <w:right w:val="single" w:color="auto" w:sz="4" w:space="0"/>
            </w:tcBorders>
            <w:noWrap w:val="0"/>
            <w:vAlign w:val="center"/>
          </w:tcPr>
          <w:p w14:paraId="05292C4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w:t>
            </w:r>
          </w:p>
        </w:tc>
      </w:tr>
      <w:tr w14:paraId="12156482">
        <w:tblPrEx>
          <w:tblCellMar>
            <w:top w:w="0" w:type="dxa"/>
            <w:left w:w="108" w:type="dxa"/>
            <w:bottom w:w="0" w:type="dxa"/>
            <w:right w:w="108" w:type="dxa"/>
          </w:tblCellMar>
        </w:tblPrEx>
        <w:trPr>
          <w:trHeight w:val="339" w:hRule="atLeast"/>
        </w:trPr>
        <w:tc>
          <w:tcPr>
            <w:tcW w:w="1998" w:type="dxa"/>
            <w:vMerge w:val="restart"/>
            <w:tcBorders>
              <w:top w:val="nil"/>
              <w:left w:val="single" w:color="auto" w:sz="4" w:space="0"/>
              <w:bottom w:val="single" w:color="auto" w:sz="4" w:space="0"/>
              <w:right w:val="single" w:color="auto" w:sz="4" w:space="0"/>
            </w:tcBorders>
            <w:noWrap w:val="0"/>
            <w:vAlign w:val="center"/>
          </w:tcPr>
          <w:p w14:paraId="7A332D85">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物业管理</w:t>
            </w:r>
          </w:p>
        </w:tc>
        <w:tc>
          <w:tcPr>
            <w:tcW w:w="1997" w:type="dxa"/>
            <w:tcBorders>
              <w:top w:val="nil"/>
              <w:left w:val="nil"/>
              <w:bottom w:val="single" w:color="auto" w:sz="4" w:space="0"/>
              <w:right w:val="single" w:color="auto" w:sz="4" w:space="0"/>
            </w:tcBorders>
            <w:noWrap w:val="0"/>
            <w:vAlign w:val="center"/>
          </w:tcPr>
          <w:p w14:paraId="39AF77C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56" w:type="dxa"/>
            <w:tcBorders>
              <w:top w:val="nil"/>
              <w:left w:val="nil"/>
              <w:bottom w:val="single" w:color="auto" w:sz="4" w:space="0"/>
              <w:right w:val="single" w:color="auto" w:sz="4" w:space="0"/>
            </w:tcBorders>
            <w:noWrap w:val="0"/>
            <w:vAlign w:val="center"/>
          </w:tcPr>
          <w:p w14:paraId="0C7F955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54" w:type="dxa"/>
            <w:tcBorders>
              <w:top w:val="nil"/>
              <w:left w:val="nil"/>
              <w:bottom w:val="single" w:color="auto" w:sz="4" w:space="0"/>
              <w:right w:val="single" w:color="auto" w:sz="4" w:space="0"/>
            </w:tcBorders>
            <w:noWrap w:val="0"/>
            <w:vAlign w:val="center"/>
          </w:tcPr>
          <w:p w14:paraId="07BFE61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1712" w:type="dxa"/>
            <w:tcBorders>
              <w:top w:val="nil"/>
              <w:left w:val="nil"/>
              <w:bottom w:val="single" w:color="auto" w:sz="4" w:space="0"/>
              <w:right w:val="single" w:color="auto" w:sz="4" w:space="0"/>
            </w:tcBorders>
            <w:noWrap w:val="0"/>
            <w:vAlign w:val="center"/>
          </w:tcPr>
          <w:p w14:paraId="7D1D381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1141" w:type="dxa"/>
            <w:tcBorders>
              <w:top w:val="nil"/>
              <w:left w:val="nil"/>
              <w:bottom w:val="single" w:color="auto" w:sz="4" w:space="0"/>
              <w:right w:val="single" w:color="auto" w:sz="4" w:space="0"/>
            </w:tcBorders>
            <w:noWrap w:val="0"/>
            <w:vAlign w:val="center"/>
          </w:tcPr>
          <w:p w14:paraId="4A93A3D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3100211C">
        <w:tblPrEx>
          <w:tblCellMar>
            <w:top w:w="0" w:type="dxa"/>
            <w:left w:w="108" w:type="dxa"/>
            <w:bottom w:w="0" w:type="dxa"/>
            <w:right w:w="108" w:type="dxa"/>
          </w:tblCellMar>
        </w:tblPrEx>
        <w:trPr>
          <w:trHeight w:val="339" w:hRule="atLeast"/>
        </w:trPr>
        <w:tc>
          <w:tcPr>
            <w:tcW w:w="1998" w:type="dxa"/>
            <w:vMerge w:val="continue"/>
            <w:tcBorders>
              <w:top w:val="nil"/>
              <w:left w:val="single" w:color="auto" w:sz="4" w:space="0"/>
              <w:bottom w:val="single" w:color="auto" w:sz="4" w:space="0"/>
              <w:right w:val="single" w:color="auto" w:sz="4" w:space="0"/>
            </w:tcBorders>
            <w:noWrap w:val="0"/>
            <w:vAlign w:val="center"/>
          </w:tcPr>
          <w:p w14:paraId="7366A177">
            <w:pPr>
              <w:widowControl/>
              <w:jc w:val="center"/>
              <w:rPr>
                <w:rFonts w:hint="eastAsia" w:ascii="宋体" w:hAnsi="宋体" w:eastAsia="宋体" w:cs="宋体"/>
                <w:b/>
                <w:bCs/>
                <w:color w:val="auto"/>
                <w:kern w:val="0"/>
                <w:sz w:val="21"/>
                <w:szCs w:val="21"/>
                <w:highlight w:val="none"/>
              </w:rPr>
            </w:pPr>
          </w:p>
        </w:tc>
        <w:tc>
          <w:tcPr>
            <w:tcW w:w="1997" w:type="dxa"/>
            <w:tcBorders>
              <w:top w:val="nil"/>
              <w:left w:val="nil"/>
              <w:bottom w:val="single" w:color="auto" w:sz="4" w:space="0"/>
              <w:right w:val="single" w:color="auto" w:sz="4" w:space="0"/>
            </w:tcBorders>
            <w:noWrap w:val="0"/>
            <w:vAlign w:val="center"/>
          </w:tcPr>
          <w:p w14:paraId="769800D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56" w:type="dxa"/>
            <w:tcBorders>
              <w:top w:val="nil"/>
              <w:left w:val="nil"/>
              <w:bottom w:val="single" w:color="auto" w:sz="4" w:space="0"/>
              <w:right w:val="single" w:color="auto" w:sz="4" w:space="0"/>
            </w:tcBorders>
            <w:noWrap w:val="0"/>
            <w:vAlign w:val="center"/>
          </w:tcPr>
          <w:p w14:paraId="55AE106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4B60693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5000</w:t>
            </w:r>
          </w:p>
        </w:tc>
        <w:tc>
          <w:tcPr>
            <w:tcW w:w="1712" w:type="dxa"/>
            <w:tcBorders>
              <w:top w:val="nil"/>
              <w:left w:val="nil"/>
              <w:bottom w:val="single" w:color="auto" w:sz="4" w:space="0"/>
              <w:right w:val="single" w:color="auto" w:sz="4" w:space="0"/>
            </w:tcBorders>
            <w:noWrap w:val="0"/>
            <w:vAlign w:val="center"/>
          </w:tcPr>
          <w:p w14:paraId="3169B83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1141" w:type="dxa"/>
            <w:tcBorders>
              <w:top w:val="nil"/>
              <w:left w:val="nil"/>
              <w:bottom w:val="single" w:color="auto" w:sz="4" w:space="0"/>
              <w:right w:val="single" w:color="auto" w:sz="4" w:space="0"/>
            </w:tcBorders>
            <w:noWrap w:val="0"/>
            <w:vAlign w:val="center"/>
          </w:tcPr>
          <w:p w14:paraId="4D5841C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500</w:t>
            </w:r>
          </w:p>
        </w:tc>
      </w:tr>
      <w:tr w14:paraId="5019F2BB">
        <w:tblPrEx>
          <w:tblCellMar>
            <w:top w:w="0" w:type="dxa"/>
            <w:left w:w="108" w:type="dxa"/>
            <w:bottom w:w="0" w:type="dxa"/>
            <w:right w:w="108" w:type="dxa"/>
          </w:tblCellMar>
        </w:tblPrEx>
        <w:trPr>
          <w:trHeight w:val="339" w:hRule="atLeast"/>
        </w:trPr>
        <w:tc>
          <w:tcPr>
            <w:tcW w:w="1998" w:type="dxa"/>
            <w:vMerge w:val="restart"/>
            <w:tcBorders>
              <w:top w:val="nil"/>
              <w:left w:val="single" w:color="auto" w:sz="4" w:space="0"/>
              <w:bottom w:val="single" w:color="auto" w:sz="4" w:space="0"/>
              <w:right w:val="single" w:color="auto" w:sz="4" w:space="0"/>
            </w:tcBorders>
            <w:noWrap w:val="0"/>
            <w:vAlign w:val="center"/>
          </w:tcPr>
          <w:p w14:paraId="0BC25FE9">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租赁和商务服务业</w:t>
            </w:r>
          </w:p>
        </w:tc>
        <w:tc>
          <w:tcPr>
            <w:tcW w:w="1997" w:type="dxa"/>
            <w:tcBorders>
              <w:top w:val="nil"/>
              <w:left w:val="nil"/>
              <w:bottom w:val="single" w:color="auto" w:sz="4" w:space="0"/>
              <w:right w:val="single" w:color="auto" w:sz="4" w:space="0"/>
            </w:tcBorders>
            <w:noWrap w:val="0"/>
            <w:vAlign w:val="center"/>
          </w:tcPr>
          <w:p w14:paraId="01740E4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56" w:type="dxa"/>
            <w:tcBorders>
              <w:top w:val="nil"/>
              <w:left w:val="nil"/>
              <w:bottom w:val="single" w:color="auto" w:sz="4" w:space="0"/>
              <w:right w:val="single" w:color="auto" w:sz="4" w:space="0"/>
            </w:tcBorders>
            <w:noWrap w:val="0"/>
            <w:vAlign w:val="center"/>
          </w:tcPr>
          <w:p w14:paraId="2B2765D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54" w:type="dxa"/>
            <w:tcBorders>
              <w:top w:val="nil"/>
              <w:left w:val="nil"/>
              <w:bottom w:val="single" w:color="auto" w:sz="4" w:space="0"/>
              <w:right w:val="single" w:color="auto" w:sz="4" w:space="0"/>
            </w:tcBorders>
            <w:noWrap w:val="0"/>
            <w:vAlign w:val="center"/>
          </w:tcPr>
          <w:p w14:paraId="56B4F17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1712" w:type="dxa"/>
            <w:tcBorders>
              <w:top w:val="nil"/>
              <w:left w:val="nil"/>
              <w:bottom w:val="single" w:color="auto" w:sz="4" w:space="0"/>
              <w:right w:val="single" w:color="auto" w:sz="4" w:space="0"/>
            </w:tcBorders>
            <w:noWrap w:val="0"/>
            <w:vAlign w:val="center"/>
          </w:tcPr>
          <w:p w14:paraId="03F5AE7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c>
          <w:tcPr>
            <w:tcW w:w="1141" w:type="dxa"/>
            <w:tcBorders>
              <w:top w:val="nil"/>
              <w:left w:val="nil"/>
              <w:bottom w:val="single" w:color="auto" w:sz="4" w:space="0"/>
              <w:right w:val="single" w:color="auto" w:sz="4" w:space="0"/>
            </w:tcBorders>
            <w:noWrap w:val="0"/>
            <w:vAlign w:val="center"/>
          </w:tcPr>
          <w:p w14:paraId="44C8C70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w:t>
            </w:r>
          </w:p>
        </w:tc>
      </w:tr>
      <w:tr w14:paraId="2F2ED777">
        <w:tblPrEx>
          <w:tblCellMar>
            <w:top w:w="0" w:type="dxa"/>
            <w:left w:w="108" w:type="dxa"/>
            <w:bottom w:w="0" w:type="dxa"/>
            <w:right w:w="108" w:type="dxa"/>
          </w:tblCellMar>
        </w:tblPrEx>
        <w:trPr>
          <w:trHeight w:val="339" w:hRule="atLeast"/>
        </w:trPr>
        <w:tc>
          <w:tcPr>
            <w:tcW w:w="1998" w:type="dxa"/>
            <w:vMerge w:val="continue"/>
            <w:tcBorders>
              <w:top w:val="nil"/>
              <w:left w:val="single" w:color="auto" w:sz="4" w:space="0"/>
              <w:bottom w:val="single" w:color="auto" w:sz="4" w:space="0"/>
              <w:right w:val="single" w:color="auto" w:sz="4" w:space="0"/>
            </w:tcBorders>
            <w:noWrap w:val="0"/>
            <w:vAlign w:val="center"/>
          </w:tcPr>
          <w:p w14:paraId="12DFA4FC">
            <w:pPr>
              <w:widowControl/>
              <w:jc w:val="center"/>
              <w:rPr>
                <w:rFonts w:hint="eastAsia" w:ascii="宋体" w:hAnsi="宋体" w:eastAsia="宋体" w:cs="宋体"/>
                <w:b/>
                <w:bCs/>
                <w:color w:val="auto"/>
                <w:kern w:val="0"/>
                <w:sz w:val="21"/>
                <w:szCs w:val="21"/>
                <w:highlight w:val="none"/>
              </w:rPr>
            </w:pPr>
          </w:p>
        </w:tc>
        <w:tc>
          <w:tcPr>
            <w:tcW w:w="1997" w:type="dxa"/>
            <w:tcBorders>
              <w:top w:val="nil"/>
              <w:left w:val="nil"/>
              <w:bottom w:val="single" w:color="auto" w:sz="4" w:space="0"/>
              <w:right w:val="single" w:color="auto" w:sz="4" w:space="0"/>
            </w:tcBorders>
            <w:noWrap w:val="0"/>
            <w:vAlign w:val="center"/>
          </w:tcPr>
          <w:p w14:paraId="556E0DE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56" w:type="dxa"/>
            <w:tcBorders>
              <w:top w:val="nil"/>
              <w:left w:val="nil"/>
              <w:bottom w:val="single" w:color="auto" w:sz="4" w:space="0"/>
              <w:right w:val="single" w:color="auto" w:sz="4" w:space="0"/>
            </w:tcBorders>
            <w:noWrap w:val="0"/>
            <w:vAlign w:val="center"/>
          </w:tcPr>
          <w:p w14:paraId="2CC654C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54" w:type="dxa"/>
            <w:tcBorders>
              <w:top w:val="nil"/>
              <w:left w:val="nil"/>
              <w:bottom w:val="single" w:color="auto" w:sz="4" w:space="0"/>
              <w:right w:val="single" w:color="auto" w:sz="4" w:space="0"/>
            </w:tcBorders>
            <w:noWrap w:val="0"/>
            <w:vAlign w:val="center"/>
          </w:tcPr>
          <w:p w14:paraId="50EDB62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120000</w:t>
            </w:r>
          </w:p>
        </w:tc>
        <w:tc>
          <w:tcPr>
            <w:tcW w:w="1712" w:type="dxa"/>
            <w:tcBorders>
              <w:top w:val="nil"/>
              <w:left w:val="nil"/>
              <w:bottom w:val="single" w:color="auto" w:sz="4" w:space="0"/>
              <w:right w:val="single" w:color="auto" w:sz="4" w:space="0"/>
            </w:tcBorders>
            <w:noWrap w:val="0"/>
            <w:vAlign w:val="center"/>
          </w:tcPr>
          <w:p w14:paraId="6324FF8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8000</w:t>
            </w:r>
          </w:p>
        </w:tc>
        <w:tc>
          <w:tcPr>
            <w:tcW w:w="1141" w:type="dxa"/>
            <w:tcBorders>
              <w:top w:val="nil"/>
              <w:left w:val="nil"/>
              <w:bottom w:val="single" w:color="auto" w:sz="4" w:space="0"/>
              <w:right w:val="single" w:color="auto" w:sz="4" w:space="0"/>
            </w:tcBorders>
            <w:noWrap w:val="0"/>
            <w:vAlign w:val="center"/>
          </w:tcPr>
          <w:p w14:paraId="56CAE56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1F5AC329">
        <w:tblPrEx>
          <w:tblCellMar>
            <w:top w:w="0" w:type="dxa"/>
            <w:left w:w="108" w:type="dxa"/>
            <w:bottom w:w="0" w:type="dxa"/>
            <w:right w:w="108" w:type="dxa"/>
          </w:tblCellMar>
        </w:tblPrEx>
        <w:trPr>
          <w:trHeight w:val="364" w:hRule="atLeast"/>
        </w:trPr>
        <w:tc>
          <w:tcPr>
            <w:tcW w:w="1998" w:type="dxa"/>
            <w:tcBorders>
              <w:top w:val="nil"/>
              <w:left w:val="single" w:color="auto" w:sz="4" w:space="0"/>
              <w:bottom w:val="single" w:color="auto" w:sz="4" w:space="0"/>
              <w:right w:val="single" w:color="auto" w:sz="4" w:space="0"/>
            </w:tcBorders>
            <w:noWrap w:val="0"/>
            <w:vAlign w:val="center"/>
          </w:tcPr>
          <w:p w14:paraId="2F891611">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其他未列明行业</w:t>
            </w:r>
          </w:p>
        </w:tc>
        <w:tc>
          <w:tcPr>
            <w:tcW w:w="1997" w:type="dxa"/>
            <w:tcBorders>
              <w:top w:val="nil"/>
              <w:left w:val="nil"/>
              <w:bottom w:val="single" w:color="auto" w:sz="4" w:space="0"/>
              <w:right w:val="single" w:color="auto" w:sz="4" w:space="0"/>
            </w:tcBorders>
            <w:noWrap w:val="0"/>
            <w:vAlign w:val="center"/>
          </w:tcPr>
          <w:p w14:paraId="546D3F7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56" w:type="dxa"/>
            <w:tcBorders>
              <w:top w:val="nil"/>
              <w:left w:val="nil"/>
              <w:bottom w:val="single" w:color="auto" w:sz="4" w:space="0"/>
              <w:right w:val="single" w:color="auto" w:sz="4" w:space="0"/>
            </w:tcBorders>
            <w:noWrap w:val="0"/>
            <w:vAlign w:val="center"/>
          </w:tcPr>
          <w:p w14:paraId="364501E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54" w:type="dxa"/>
            <w:tcBorders>
              <w:top w:val="nil"/>
              <w:left w:val="nil"/>
              <w:bottom w:val="single" w:color="auto" w:sz="4" w:space="0"/>
              <w:right w:val="single" w:color="auto" w:sz="4" w:space="0"/>
            </w:tcBorders>
            <w:noWrap w:val="0"/>
            <w:vAlign w:val="center"/>
          </w:tcPr>
          <w:p w14:paraId="2E0A881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1712" w:type="dxa"/>
            <w:tcBorders>
              <w:top w:val="nil"/>
              <w:left w:val="nil"/>
              <w:bottom w:val="single" w:color="auto" w:sz="4" w:space="0"/>
              <w:right w:val="single" w:color="auto" w:sz="4" w:space="0"/>
            </w:tcBorders>
            <w:noWrap w:val="0"/>
            <w:vAlign w:val="center"/>
          </w:tcPr>
          <w:p w14:paraId="6BB04F0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c>
          <w:tcPr>
            <w:tcW w:w="1141" w:type="dxa"/>
            <w:tcBorders>
              <w:top w:val="nil"/>
              <w:left w:val="nil"/>
              <w:bottom w:val="single" w:color="auto" w:sz="4" w:space="0"/>
              <w:right w:val="single" w:color="auto" w:sz="4" w:space="0"/>
            </w:tcBorders>
            <w:noWrap w:val="0"/>
            <w:vAlign w:val="center"/>
          </w:tcPr>
          <w:p w14:paraId="78AEA50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w:t>
            </w:r>
          </w:p>
        </w:tc>
      </w:tr>
    </w:tbl>
    <w:p w14:paraId="7A2320A4">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说明：上述标准参照《关于印发中小企业划型标准规定的通知》（工信部联企业</w:t>
      </w:r>
      <w:r>
        <w:rPr>
          <w:rFonts w:hint="eastAsia" w:ascii="宋体" w:hAnsi="宋体" w:cs="宋体"/>
          <w:color w:val="auto"/>
          <w:szCs w:val="21"/>
          <w:highlight w:val="none"/>
          <w:lang w:eastAsia="zh-CN"/>
        </w:rPr>
        <w:t>〔2011〕300号</w:t>
      </w:r>
      <w:r>
        <w:rPr>
          <w:rFonts w:hint="eastAsia" w:ascii="宋体" w:hAnsi="宋体" w:eastAsia="宋体" w:cs="宋体"/>
          <w:color w:val="auto"/>
          <w:szCs w:val="21"/>
          <w:highlight w:val="none"/>
        </w:rPr>
        <w:t>），大型、中型和小型企业须同时满足所列指标的下限，否则下划一档；微型企业只</w:t>
      </w:r>
      <w:r>
        <w:rPr>
          <w:rFonts w:hint="eastAsia" w:ascii="宋体" w:hAnsi="宋体" w:cs="宋体"/>
          <w:color w:val="auto"/>
          <w:szCs w:val="21"/>
          <w:highlight w:val="none"/>
          <w:lang w:eastAsia="zh-CN"/>
        </w:rPr>
        <w:t>需</w:t>
      </w:r>
      <w:r>
        <w:rPr>
          <w:rFonts w:hint="eastAsia" w:ascii="宋体" w:hAnsi="宋体" w:eastAsia="宋体" w:cs="宋体"/>
          <w:color w:val="auto"/>
          <w:szCs w:val="21"/>
          <w:highlight w:val="none"/>
        </w:rPr>
        <w:t>满足所列指标中的一项即可。</w:t>
      </w:r>
    </w:p>
    <w:p w14:paraId="206B8AA6">
      <w:pPr>
        <w:pStyle w:val="27"/>
        <w:rPr>
          <w:rFonts w:hint="eastAsia"/>
          <w:color w:val="auto"/>
          <w:highlight w:val="none"/>
        </w:rPr>
      </w:pPr>
    </w:p>
    <w:p w14:paraId="351726D4">
      <w:pPr>
        <w:pStyle w:val="2"/>
        <w:spacing w:before="0" w:after="0" w:line="240" w:lineRule="auto"/>
        <w:jc w:val="center"/>
        <w:rPr>
          <w:rFonts w:hint="eastAsia" w:ascii="宋体" w:hAnsi="宋体" w:eastAsia="宋体" w:cs="宋体"/>
          <w:b/>
          <w:bCs w:val="0"/>
          <w:color w:val="auto"/>
          <w:sz w:val="36"/>
          <w:szCs w:val="36"/>
          <w:highlight w:val="none"/>
        </w:rPr>
      </w:pPr>
      <w:bookmarkStart w:id="34" w:name="_Toc20849"/>
    </w:p>
    <w:p w14:paraId="4136B3CD">
      <w:pPr>
        <w:pStyle w:val="2"/>
        <w:spacing w:before="0" w:after="0" w:line="240" w:lineRule="auto"/>
        <w:jc w:val="center"/>
        <w:rPr>
          <w:rFonts w:hint="eastAsia" w:ascii="宋体" w:hAnsi="宋体" w:eastAsia="宋体" w:cs="宋体"/>
          <w:color w:val="auto"/>
          <w:sz w:val="36"/>
          <w:szCs w:val="36"/>
          <w:highlight w:val="none"/>
        </w:rPr>
      </w:pPr>
      <w:bookmarkStart w:id="35" w:name="_Toc16161"/>
      <w:r>
        <w:rPr>
          <w:rFonts w:hint="eastAsia" w:ascii="宋体" w:hAnsi="宋体" w:eastAsia="宋体" w:cs="宋体"/>
          <w:b/>
          <w:bCs w:val="0"/>
          <w:color w:val="auto"/>
          <w:sz w:val="36"/>
          <w:szCs w:val="36"/>
          <w:highlight w:val="none"/>
        </w:rPr>
        <w:t>第</w:t>
      </w:r>
      <w:r>
        <w:rPr>
          <w:rFonts w:hint="eastAsia" w:ascii="宋体" w:hAnsi="宋体" w:eastAsia="宋体" w:cs="宋体"/>
          <w:b/>
          <w:bCs w:val="0"/>
          <w:color w:val="auto"/>
          <w:sz w:val="36"/>
          <w:szCs w:val="36"/>
          <w:highlight w:val="none"/>
          <w:lang w:val="en-US" w:eastAsia="zh-CN"/>
        </w:rPr>
        <w:t>三</w:t>
      </w:r>
      <w:r>
        <w:rPr>
          <w:rFonts w:hint="eastAsia" w:ascii="宋体" w:hAnsi="宋体" w:eastAsia="宋体" w:cs="宋体"/>
          <w:b/>
          <w:bCs w:val="0"/>
          <w:color w:val="auto"/>
          <w:sz w:val="36"/>
          <w:szCs w:val="36"/>
          <w:highlight w:val="none"/>
        </w:rPr>
        <w:t xml:space="preserve">章 </w:t>
      </w:r>
      <w:r>
        <w:rPr>
          <w:rFonts w:hint="eastAsia" w:ascii="宋体" w:hAnsi="宋体" w:eastAsia="宋体" w:cs="宋体"/>
          <w:bCs w:val="0"/>
          <w:color w:val="auto"/>
          <w:sz w:val="36"/>
          <w:szCs w:val="36"/>
          <w:highlight w:val="none"/>
        </w:rPr>
        <w:t>供应商须知</w:t>
      </w:r>
      <w:bookmarkEnd w:id="34"/>
      <w:bookmarkEnd w:id="35"/>
    </w:p>
    <w:p w14:paraId="430D5BC8">
      <w:pPr>
        <w:pStyle w:val="3"/>
        <w:spacing w:line="240" w:lineRule="auto"/>
        <w:jc w:val="center"/>
        <w:rPr>
          <w:rFonts w:hint="eastAsia" w:ascii="宋体" w:hAnsi="宋体" w:eastAsia="宋体" w:cs="宋体"/>
          <w:b w:val="0"/>
          <w:color w:val="auto"/>
          <w:highlight w:val="none"/>
        </w:rPr>
      </w:pPr>
      <w:bookmarkStart w:id="36" w:name="_Toc4313"/>
      <w:bookmarkStart w:id="37" w:name="_Toc19072"/>
      <w:bookmarkStart w:id="38" w:name="_Toc27167"/>
      <w:bookmarkStart w:id="39" w:name="_Toc8142"/>
      <w:bookmarkStart w:id="40" w:name="_Toc19478"/>
      <w:r>
        <w:rPr>
          <w:rFonts w:hint="eastAsia" w:ascii="宋体" w:hAnsi="宋体" w:eastAsia="宋体" w:cs="宋体"/>
          <w:b w:val="0"/>
          <w:color w:val="auto"/>
          <w:highlight w:val="none"/>
          <w:lang w:eastAsia="zh-CN"/>
        </w:rPr>
        <w:t xml:space="preserve">第一节 </w:t>
      </w:r>
      <w:r>
        <w:rPr>
          <w:rFonts w:hint="eastAsia" w:ascii="宋体" w:hAnsi="宋体" w:eastAsia="宋体" w:cs="宋体"/>
          <w:b w:val="0"/>
          <w:color w:val="auto"/>
          <w:highlight w:val="none"/>
        </w:rPr>
        <w:t>供应商须知前附表</w:t>
      </w:r>
      <w:bookmarkEnd w:id="36"/>
      <w:bookmarkEnd w:id="37"/>
      <w:bookmarkEnd w:id="38"/>
      <w:bookmarkEnd w:id="39"/>
      <w:bookmarkEnd w:id="40"/>
    </w:p>
    <w:tbl>
      <w:tblPr>
        <w:tblStyle w:val="19"/>
        <w:tblW w:w="96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1950"/>
        <w:gridCol w:w="6835"/>
      </w:tblGrid>
      <w:tr w14:paraId="3888A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3" w:hRule="atLeast"/>
          <w:jc w:val="center"/>
        </w:trPr>
        <w:tc>
          <w:tcPr>
            <w:tcW w:w="870" w:type="dxa"/>
            <w:noWrap w:val="0"/>
            <w:vAlign w:val="center"/>
          </w:tcPr>
          <w:p w14:paraId="59C9CA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1950" w:type="dxa"/>
            <w:noWrap w:val="0"/>
            <w:vAlign w:val="center"/>
          </w:tcPr>
          <w:p w14:paraId="7CC011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条款内容</w:t>
            </w:r>
          </w:p>
        </w:tc>
        <w:tc>
          <w:tcPr>
            <w:tcW w:w="6835" w:type="dxa"/>
            <w:noWrap w:val="0"/>
            <w:vAlign w:val="center"/>
          </w:tcPr>
          <w:p w14:paraId="02713F6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具体要求</w:t>
            </w:r>
          </w:p>
        </w:tc>
      </w:tr>
      <w:tr w14:paraId="33F45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78AEE37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1950" w:type="dxa"/>
            <w:noWrap w:val="0"/>
            <w:vAlign w:val="center"/>
          </w:tcPr>
          <w:p w14:paraId="7F9130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供应商资格条件</w:t>
            </w:r>
          </w:p>
        </w:tc>
        <w:tc>
          <w:tcPr>
            <w:tcW w:w="6835" w:type="dxa"/>
            <w:noWrap w:val="0"/>
            <w:vAlign w:val="top"/>
          </w:tcPr>
          <w:p w14:paraId="15A52F1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供应商资格条件要求详见公告。</w:t>
            </w:r>
          </w:p>
        </w:tc>
      </w:tr>
      <w:tr w14:paraId="13A0A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35E6A71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p>
        </w:tc>
        <w:tc>
          <w:tcPr>
            <w:tcW w:w="1950" w:type="dxa"/>
            <w:noWrap w:val="0"/>
            <w:vAlign w:val="center"/>
          </w:tcPr>
          <w:p w14:paraId="59F82FD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是否接受联合体竞标</w:t>
            </w:r>
          </w:p>
        </w:tc>
        <w:tc>
          <w:tcPr>
            <w:tcW w:w="6835" w:type="dxa"/>
            <w:noWrap w:val="0"/>
            <w:vAlign w:val="center"/>
          </w:tcPr>
          <w:p w14:paraId="769A1912">
            <w:pPr>
              <w:spacing w:line="360" w:lineRule="auto"/>
              <w:rPr>
                <w:rFonts w:hint="eastAsia" w:ascii="宋体" w:hAnsi="宋体" w:eastAsia="宋体" w:cs="宋体"/>
                <w:color w:val="auto"/>
                <w:sz w:val="21"/>
                <w:szCs w:val="21"/>
                <w:highlight w:val="none"/>
                <w:lang w:eastAsia="zh-CN"/>
              </w:rPr>
            </w:pPr>
            <w:bookmarkStart w:id="41" w:name="PO_3000001868_PM007"/>
            <w:r>
              <w:rPr>
                <w:rFonts w:hint="eastAsia" w:ascii="宋体" w:hAnsi="宋体" w:eastAsia="宋体" w:cs="宋体"/>
                <w:color w:val="auto"/>
                <w:sz w:val="21"/>
                <w:szCs w:val="21"/>
                <w:highlight w:val="none"/>
                <w:lang w:eastAsia="zh-CN"/>
              </w:rPr>
              <w:t>不允许联合体投标</w:t>
            </w:r>
            <w:bookmarkEnd w:id="41"/>
            <w:r>
              <w:rPr>
                <w:rFonts w:hint="eastAsia" w:ascii="宋体" w:hAnsi="宋体" w:eastAsia="宋体" w:cs="宋体"/>
                <w:color w:val="auto"/>
                <w:sz w:val="21"/>
                <w:szCs w:val="21"/>
                <w:highlight w:val="none"/>
                <w:lang w:eastAsia="zh-CN"/>
              </w:rPr>
              <w:t>。</w:t>
            </w:r>
          </w:p>
        </w:tc>
      </w:tr>
      <w:tr w14:paraId="09260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0C3598C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w:t>
            </w:r>
          </w:p>
        </w:tc>
        <w:tc>
          <w:tcPr>
            <w:tcW w:w="1950" w:type="dxa"/>
            <w:noWrap w:val="0"/>
            <w:vAlign w:val="center"/>
          </w:tcPr>
          <w:p w14:paraId="58AD43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联合体竞标要求</w:t>
            </w:r>
          </w:p>
        </w:tc>
        <w:tc>
          <w:tcPr>
            <w:tcW w:w="6835" w:type="dxa"/>
            <w:noWrap w:val="0"/>
            <w:vAlign w:val="center"/>
          </w:tcPr>
          <w:p w14:paraId="1B4064FE">
            <w:pPr>
              <w:pStyle w:val="8"/>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无</w:t>
            </w:r>
          </w:p>
        </w:tc>
      </w:tr>
      <w:tr w14:paraId="3F441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1C84E4C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p>
        </w:tc>
        <w:tc>
          <w:tcPr>
            <w:tcW w:w="1950" w:type="dxa"/>
            <w:noWrap w:val="0"/>
            <w:vAlign w:val="center"/>
          </w:tcPr>
          <w:p w14:paraId="38A705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是否允许分包</w:t>
            </w:r>
          </w:p>
        </w:tc>
        <w:tc>
          <w:tcPr>
            <w:tcW w:w="6835" w:type="dxa"/>
            <w:noWrap w:val="0"/>
            <w:vAlign w:val="center"/>
          </w:tcPr>
          <w:p w14:paraId="4AE5065B">
            <w:pPr>
              <w:pStyle w:val="8"/>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sym w:font="Wingdings 2" w:char="0052"/>
            </w:r>
            <w:r>
              <w:rPr>
                <w:rFonts w:hint="eastAsia" w:ascii="宋体" w:hAnsi="宋体" w:eastAsia="宋体" w:cs="宋体"/>
                <w:color w:val="auto"/>
                <w:sz w:val="21"/>
                <w:szCs w:val="21"/>
                <w:highlight w:val="none"/>
                <w:lang w:val="en-US" w:eastAsia="zh-CN"/>
              </w:rPr>
              <w:t>不允许分包</w:t>
            </w:r>
          </w:p>
          <w:p w14:paraId="77158FC9">
            <w:pPr>
              <w:pStyle w:val="8"/>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□允许分包</w:t>
            </w:r>
          </w:p>
          <w:p w14:paraId="69CFCB27">
            <w:pPr>
              <w:pStyle w:val="8"/>
              <w:spacing w:line="360" w:lineRule="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分包内容：</w:t>
            </w:r>
            <w:r>
              <w:rPr>
                <w:rFonts w:hint="eastAsia" w:ascii="宋体" w:hAnsi="宋体" w:eastAsia="宋体" w:cs="宋体"/>
                <w:color w:val="auto"/>
                <w:sz w:val="21"/>
                <w:szCs w:val="21"/>
                <w:highlight w:val="none"/>
                <w:u w:val="single"/>
                <w:lang w:val="en-US" w:eastAsia="zh-CN"/>
              </w:rPr>
              <w:t xml:space="preserve">                                     。</w:t>
            </w:r>
          </w:p>
          <w:p w14:paraId="751FD0EC">
            <w:pPr>
              <w:pStyle w:val="8"/>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分包金额或者比例：</w:t>
            </w:r>
            <w:r>
              <w:rPr>
                <w:rFonts w:hint="eastAsia" w:ascii="宋体" w:hAnsi="宋体" w:eastAsia="宋体" w:cs="宋体"/>
                <w:color w:val="auto"/>
                <w:sz w:val="21"/>
                <w:szCs w:val="21"/>
                <w:highlight w:val="none"/>
                <w:u w:val="single"/>
                <w:lang w:val="en-US" w:eastAsia="zh-CN"/>
              </w:rPr>
              <w:t xml:space="preserve">                             。</w:t>
            </w:r>
          </w:p>
        </w:tc>
      </w:tr>
      <w:tr w14:paraId="3A19B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7F5BE68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12.1.1</w:t>
            </w:r>
          </w:p>
        </w:tc>
        <w:tc>
          <w:tcPr>
            <w:tcW w:w="1950" w:type="dxa"/>
            <w:noWrap w:val="0"/>
            <w:vAlign w:val="center"/>
          </w:tcPr>
          <w:p w14:paraId="10A6C8B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资格证明文件组成</w:t>
            </w:r>
          </w:p>
          <w:p w14:paraId="78A25A7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p>
        </w:tc>
        <w:tc>
          <w:tcPr>
            <w:tcW w:w="6835" w:type="dxa"/>
            <w:noWrap w:val="0"/>
            <w:vAlign w:val="center"/>
          </w:tcPr>
          <w:p w14:paraId="1799B42A">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1.崇左市政府采购供应商信用承诺函（格式后附，供应商应对其承诺内容的真实性、合法性、有效性负责）</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4913DA20">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.供应商直接控股、管理关系信息表；（</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4FC54415">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.资格声明函；（</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24D536B8">
            <w:pPr>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（根据竞争性磋商公告对应的</w:t>
            </w:r>
            <w:r>
              <w:rPr>
                <w:rFonts w:hint="eastAsia" w:ascii="宋体" w:hAnsi="宋体" w:eastAsia="宋体" w:cs="宋体"/>
                <w:b/>
                <w:bCs/>
                <w:color w:val="auto"/>
                <w:sz w:val="21"/>
                <w:szCs w:val="21"/>
                <w:highlight w:val="none"/>
                <w:lang w:eastAsia="zh-CN"/>
              </w:rPr>
              <w:t>特定资格要求</w:t>
            </w:r>
            <w:r>
              <w:rPr>
                <w:rFonts w:hint="eastAsia" w:ascii="宋体" w:hAnsi="宋体" w:eastAsia="宋体" w:cs="宋体"/>
                <w:color w:val="auto"/>
                <w:sz w:val="21"/>
                <w:szCs w:val="21"/>
                <w:highlight w:val="none"/>
                <w:lang w:eastAsia="zh-CN"/>
              </w:rPr>
              <w:t>供应商提供的资格证明材料）</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必须提供，否则响应文件按无效响应处理）</w:t>
            </w:r>
          </w:p>
          <w:p w14:paraId="2324121F">
            <w:pPr>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color w:val="auto"/>
                <w:kern w:val="0"/>
                <w:sz w:val="21"/>
                <w:szCs w:val="21"/>
                <w:highlight w:val="none"/>
                <w:lang w:val="en-US" w:eastAsia="zh-CN"/>
              </w:rPr>
              <w:t>5.农民工工资保证金承诺书；</w:t>
            </w:r>
            <w:r>
              <w:rPr>
                <w:rFonts w:hint="eastAsia" w:ascii="宋体" w:hAnsi="宋体" w:eastAsia="宋体" w:cs="宋体"/>
                <w:b/>
                <w:color w:val="auto"/>
                <w:sz w:val="21"/>
                <w:szCs w:val="21"/>
                <w:highlight w:val="none"/>
              </w:rPr>
              <w:t>（必须提供，否则响应文件按无效响应处理）</w:t>
            </w:r>
          </w:p>
          <w:p w14:paraId="3D3D04F7">
            <w:pPr>
              <w:snapToGrid w:val="0"/>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color w:val="auto"/>
                <w:kern w:val="0"/>
                <w:sz w:val="21"/>
                <w:szCs w:val="21"/>
                <w:highlight w:val="none"/>
                <w:lang w:val="en-US" w:eastAsia="zh-CN"/>
              </w:rPr>
              <w:t>中小企业声明函或监狱企业由省级以上监狱管理局、戒毒管理局（含新疆生产建设兵团）出具的属于监狱企业的证明文件或残疾人福利性单位声明函；</w:t>
            </w:r>
            <w:r>
              <w:rPr>
                <w:rFonts w:hint="eastAsia" w:ascii="宋体" w:hAnsi="宋体" w:eastAsia="宋体" w:cs="宋体"/>
                <w:b/>
                <w:bCs/>
                <w:color w:val="auto"/>
                <w:kern w:val="0"/>
                <w:sz w:val="21"/>
                <w:szCs w:val="21"/>
                <w:highlight w:val="none"/>
                <w:lang w:val="en-US" w:eastAsia="zh-CN"/>
              </w:rPr>
              <w:t>（必须提供，供应商为中小微企业/监狱企业/残疾人福利企业。否则响应文件按无效响应处理）</w:t>
            </w:r>
          </w:p>
          <w:p w14:paraId="1639515D">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.除</w:t>
            </w:r>
            <w:r>
              <w:rPr>
                <w:rFonts w:hint="eastAsia" w:ascii="宋体" w:hAnsi="宋体" w:eastAsia="宋体" w:cs="宋体"/>
                <w:color w:val="auto"/>
                <w:sz w:val="21"/>
                <w:szCs w:val="21"/>
                <w:highlight w:val="none"/>
                <w:lang w:eastAsia="zh-CN"/>
              </w:rPr>
              <w:t>磋商文件</w:t>
            </w:r>
            <w:r>
              <w:rPr>
                <w:rFonts w:hint="eastAsia" w:ascii="宋体" w:hAnsi="宋体" w:eastAsia="宋体" w:cs="宋体"/>
                <w:color w:val="auto"/>
                <w:sz w:val="21"/>
                <w:szCs w:val="21"/>
                <w:highlight w:val="none"/>
              </w:rPr>
              <w:t>规定必须提供以外，供应商认为需要提供的其他证明材料；</w:t>
            </w:r>
          </w:p>
          <w:p w14:paraId="4D2F714C">
            <w:pPr>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207B12D8">
            <w:pPr>
              <w:snapToGrid w:val="0"/>
              <w:spacing w:line="360" w:lineRule="auto"/>
              <w:jc w:val="left"/>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1.以上标明“必须提供”的材料属于复印件的扫描件的，必须加盖供应商电子公章，否则响应文件按无效响应处理。</w:t>
            </w:r>
          </w:p>
        </w:tc>
      </w:tr>
      <w:tr w14:paraId="47928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0" w:hRule="atLeast"/>
          <w:jc w:val="center"/>
        </w:trPr>
        <w:tc>
          <w:tcPr>
            <w:tcW w:w="870" w:type="dxa"/>
            <w:noWrap w:val="0"/>
            <w:vAlign w:val="center"/>
          </w:tcPr>
          <w:p w14:paraId="27081E30">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12.1.2</w:t>
            </w:r>
          </w:p>
        </w:tc>
        <w:tc>
          <w:tcPr>
            <w:tcW w:w="1950" w:type="dxa"/>
            <w:noWrap w:val="0"/>
            <w:vAlign w:val="center"/>
          </w:tcPr>
          <w:p w14:paraId="5AD75E94">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w:t>
            </w:r>
            <w:r>
              <w:rPr>
                <w:rFonts w:hint="eastAsia" w:ascii="宋体" w:hAnsi="宋体" w:eastAsia="宋体" w:cs="宋体"/>
                <w:b/>
                <w:bCs/>
                <w:color w:val="auto"/>
                <w:sz w:val="21"/>
                <w:szCs w:val="21"/>
                <w:highlight w:val="none"/>
                <w:lang w:val="en-US" w:eastAsia="zh-CN"/>
              </w:rPr>
              <w:t>技术</w:t>
            </w:r>
            <w:r>
              <w:rPr>
                <w:rFonts w:hint="eastAsia" w:ascii="宋体" w:hAnsi="宋体" w:eastAsia="宋体" w:cs="宋体"/>
                <w:b/>
                <w:bCs/>
                <w:color w:val="auto"/>
                <w:sz w:val="21"/>
                <w:szCs w:val="21"/>
                <w:highlight w:val="none"/>
              </w:rPr>
              <w:t>文件组成</w:t>
            </w:r>
          </w:p>
        </w:tc>
        <w:tc>
          <w:tcPr>
            <w:tcW w:w="6835" w:type="dxa"/>
            <w:noWrap w:val="0"/>
            <w:vAlign w:val="center"/>
          </w:tcPr>
          <w:p w14:paraId="78BE97B9">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1.无串通竞标行为的承诺函；</w:t>
            </w:r>
            <w:r>
              <w:rPr>
                <w:rFonts w:hint="eastAsia" w:ascii="宋体" w:hAnsi="宋体" w:eastAsia="宋体" w:cs="宋体"/>
                <w:b/>
                <w:color w:val="auto"/>
                <w:sz w:val="21"/>
                <w:szCs w:val="21"/>
                <w:highlight w:val="none"/>
              </w:rPr>
              <w:t>（必须提供，否则响应文件按无效响应处理）</w:t>
            </w:r>
          </w:p>
          <w:p w14:paraId="4EC9B13D">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2.法定代表人身份证明书及法定代表人有效身份证正反面复印件；</w:t>
            </w:r>
            <w:r>
              <w:rPr>
                <w:rFonts w:hint="eastAsia" w:ascii="宋体" w:hAnsi="宋体" w:eastAsia="宋体" w:cs="宋体"/>
                <w:b/>
                <w:color w:val="auto"/>
                <w:sz w:val="21"/>
                <w:szCs w:val="21"/>
                <w:highlight w:val="none"/>
              </w:rPr>
              <w:t>（除自然人竞标外必须提供，否则响应文件按无效响应处理）</w:t>
            </w:r>
          </w:p>
          <w:p w14:paraId="15EE136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3.法定代表人授权委托书及委托代理人有效身份证正反面复印件；</w:t>
            </w:r>
            <w:r>
              <w:rPr>
                <w:rFonts w:hint="eastAsia" w:ascii="宋体" w:hAnsi="宋体" w:eastAsia="宋体" w:cs="宋体"/>
                <w:b/>
                <w:color w:val="auto"/>
                <w:sz w:val="21"/>
                <w:szCs w:val="21"/>
                <w:highlight w:val="none"/>
              </w:rPr>
              <w:t>（委托时必须提供，否则响应文件按无效响应处理）</w:t>
            </w:r>
          </w:p>
          <w:p w14:paraId="63D0F0C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4.商务条款偏离表；</w:t>
            </w:r>
            <w:r>
              <w:rPr>
                <w:rFonts w:hint="eastAsia" w:ascii="宋体" w:hAnsi="宋体" w:eastAsia="宋体" w:cs="宋体"/>
                <w:b/>
                <w:color w:val="auto"/>
                <w:sz w:val="21"/>
                <w:szCs w:val="21"/>
                <w:highlight w:val="none"/>
              </w:rPr>
              <w:t>（必须提供，否则响应文件按无效响应处理）</w:t>
            </w:r>
          </w:p>
          <w:p w14:paraId="45A00B75">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施工组织设计（</w:t>
            </w:r>
            <w:r>
              <w:rPr>
                <w:rFonts w:hint="eastAsia" w:ascii="宋体" w:hAnsi="宋体" w:eastAsia="宋体" w:cs="宋体"/>
                <w:color w:val="auto"/>
                <w:sz w:val="21"/>
                <w:szCs w:val="21"/>
                <w:highlight w:val="none"/>
                <w:lang w:val="en-US" w:eastAsia="zh-CN"/>
              </w:rPr>
              <w:t>格式自拟</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（必须提供，否则响应文件按无效响应处理）</w:t>
            </w:r>
          </w:p>
          <w:p w14:paraId="64C3D20D">
            <w:pPr>
              <w:numPr>
                <w:ilvl w:val="0"/>
                <w:numId w:val="0"/>
              </w:numPr>
              <w:spacing w:line="360" w:lineRule="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项目管理机构配备情况表</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rPr>
              <w:t>（必须提供，否则响应文件按无效响应处理）</w:t>
            </w:r>
          </w:p>
          <w:p w14:paraId="0A007C82">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采购需求、商务技术条款要求提供的其他材料。</w:t>
            </w:r>
          </w:p>
          <w:p w14:paraId="1021D1F2">
            <w:pPr>
              <w:numPr>
                <w:ilvl w:val="0"/>
                <w:numId w:val="0"/>
              </w:num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w:t>
            </w:r>
          </w:p>
          <w:p w14:paraId="4CE0A0C3">
            <w:pPr>
              <w:numPr>
                <w:ilvl w:val="0"/>
                <w:numId w:val="0"/>
              </w:num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1.法定代表人授权委托书必须由法定代表人及委托代理人签字，并加盖供应商</w:t>
            </w:r>
            <w:r>
              <w:rPr>
                <w:rFonts w:hint="eastAsia" w:ascii="宋体" w:hAnsi="宋体" w:eastAsia="宋体" w:cs="宋体"/>
                <w:b/>
                <w:bCs/>
                <w:color w:val="auto"/>
                <w:sz w:val="21"/>
                <w:szCs w:val="21"/>
                <w:highlight w:val="none"/>
                <w:lang w:eastAsia="zh-CN"/>
              </w:rPr>
              <w:t>电子公章</w:t>
            </w:r>
            <w:r>
              <w:rPr>
                <w:rFonts w:hint="eastAsia" w:ascii="宋体" w:hAnsi="宋体" w:eastAsia="宋体" w:cs="宋体"/>
                <w:b/>
                <w:bCs/>
                <w:color w:val="auto"/>
                <w:sz w:val="21"/>
                <w:szCs w:val="21"/>
                <w:highlight w:val="none"/>
              </w:rPr>
              <w:t>，否则响应文件按无效响应处理。</w:t>
            </w:r>
          </w:p>
          <w:p w14:paraId="68D1EB37">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2.以上标明“必须提供”的材料属于复印件的扫描件的，必须加盖供应商电子公章，否则响应文件按无效响应处理。</w:t>
            </w:r>
          </w:p>
        </w:tc>
      </w:tr>
      <w:tr w14:paraId="42D79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3C92246B">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12.1.3</w:t>
            </w:r>
          </w:p>
        </w:tc>
        <w:tc>
          <w:tcPr>
            <w:tcW w:w="1950" w:type="dxa"/>
            <w:noWrap w:val="0"/>
            <w:vAlign w:val="center"/>
          </w:tcPr>
          <w:p w14:paraId="24D79BF8">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报价文件组成</w:t>
            </w:r>
          </w:p>
        </w:tc>
        <w:tc>
          <w:tcPr>
            <w:tcW w:w="6835" w:type="dxa"/>
            <w:noWrap w:val="0"/>
            <w:vAlign w:val="center"/>
          </w:tcPr>
          <w:p w14:paraId="5A142EBB">
            <w:pPr>
              <w:tabs>
                <w:tab w:val="left" w:pos="459"/>
              </w:tabs>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1.响应函；</w:t>
            </w:r>
            <w:r>
              <w:rPr>
                <w:rFonts w:hint="eastAsia" w:ascii="宋体" w:hAnsi="宋体" w:eastAsia="宋体" w:cs="宋体"/>
                <w:b/>
                <w:color w:val="auto"/>
                <w:sz w:val="21"/>
                <w:szCs w:val="21"/>
                <w:highlight w:val="none"/>
              </w:rPr>
              <w:t>（必须提供，</w:t>
            </w:r>
            <w:r>
              <w:rPr>
                <w:rFonts w:hint="eastAsia" w:ascii="宋体" w:hAnsi="宋体" w:eastAsia="宋体" w:cs="宋体"/>
                <w:b/>
                <w:color w:val="auto"/>
                <w:sz w:val="21"/>
                <w:szCs w:val="21"/>
                <w:highlight w:val="none"/>
                <w:lang w:eastAsia="zh-CN"/>
              </w:rPr>
              <w:t>否则响应文件按无效响应处理</w:t>
            </w:r>
            <w:r>
              <w:rPr>
                <w:rFonts w:hint="eastAsia" w:ascii="宋体" w:hAnsi="宋体" w:eastAsia="宋体" w:cs="宋体"/>
                <w:b/>
                <w:color w:val="auto"/>
                <w:sz w:val="21"/>
                <w:szCs w:val="21"/>
                <w:highlight w:val="none"/>
              </w:rPr>
              <w:t>）</w:t>
            </w:r>
          </w:p>
          <w:p w14:paraId="56D6461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2.响应报价表；（</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2E91257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3.已标价工程量清单（</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6335D61">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注：1.上述材料必须在规定盖章处加盖供应商</w:t>
            </w:r>
            <w:r>
              <w:rPr>
                <w:rFonts w:hint="eastAsia" w:ascii="宋体" w:hAnsi="宋体" w:eastAsia="宋体" w:cs="宋体"/>
                <w:b/>
                <w:bCs/>
                <w:color w:val="auto"/>
                <w:sz w:val="21"/>
                <w:szCs w:val="21"/>
                <w:highlight w:val="none"/>
                <w:lang w:eastAsia="zh-CN"/>
              </w:rPr>
              <w:t>电子公章</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否则响应文件按无效响应处理</w:t>
            </w:r>
            <w:r>
              <w:rPr>
                <w:rFonts w:hint="eastAsia" w:ascii="宋体" w:hAnsi="宋体" w:eastAsia="宋体" w:cs="宋体"/>
                <w:b/>
                <w:bCs/>
                <w:color w:val="auto"/>
                <w:sz w:val="21"/>
                <w:szCs w:val="21"/>
                <w:highlight w:val="none"/>
              </w:rPr>
              <w:t>。</w:t>
            </w:r>
          </w:p>
        </w:tc>
      </w:tr>
      <w:tr w14:paraId="2F74B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3AAB471D">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w:t>
            </w:r>
          </w:p>
        </w:tc>
        <w:tc>
          <w:tcPr>
            <w:tcW w:w="1950" w:type="dxa"/>
            <w:noWrap w:val="0"/>
            <w:vAlign w:val="center"/>
          </w:tcPr>
          <w:p w14:paraId="3670ED6B">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响应文件电子版要求</w:t>
            </w:r>
          </w:p>
        </w:tc>
        <w:tc>
          <w:tcPr>
            <w:tcW w:w="6835" w:type="dxa"/>
            <w:noWrap w:val="0"/>
            <w:vAlign w:val="center"/>
          </w:tcPr>
          <w:p w14:paraId="5BDFEB2B">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响应文件电子版要求：按照本采购文件“</w:t>
            </w:r>
            <w:r>
              <w:rPr>
                <w:rFonts w:hint="eastAsia" w:ascii="宋体" w:hAnsi="宋体" w:eastAsia="宋体" w:cs="宋体"/>
                <w:color w:val="auto"/>
                <w:sz w:val="21"/>
                <w:szCs w:val="21"/>
                <w:highlight w:val="none"/>
                <w:lang w:eastAsia="zh-CN"/>
              </w:rPr>
              <w:t>第六章</w:t>
            </w:r>
            <w:r>
              <w:rPr>
                <w:rFonts w:hint="eastAsia" w:ascii="宋体" w:hAnsi="宋体" w:eastAsia="宋体" w:cs="宋体"/>
                <w:color w:val="auto"/>
                <w:sz w:val="21"/>
                <w:szCs w:val="21"/>
                <w:highlight w:val="none"/>
              </w:rPr>
              <w:t xml:space="preserve"> 响应文件格式”编写（</w:t>
            </w:r>
            <w:r>
              <w:rPr>
                <w:rFonts w:hint="eastAsia" w:ascii="宋体" w:hAnsi="宋体" w:eastAsia="宋体" w:cs="宋体"/>
                <w:color w:val="auto"/>
                <w:sz w:val="21"/>
                <w:szCs w:val="21"/>
                <w:highlight w:val="none"/>
                <w:lang w:eastAsia="zh-CN"/>
              </w:rPr>
              <w:t>第六章</w:t>
            </w:r>
            <w:r>
              <w:rPr>
                <w:rFonts w:hint="eastAsia" w:ascii="宋体" w:hAnsi="宋体" w:eastAsia="宋体" w:cs="宋体"/>
                <w:color w:val="auto"/>
                <w:sz w:val="21"/>
                <w:szCs w:val="21"/>
                <w:highlight w:val="none"/>
              </w:rPr>
              <w:t>未附格式的，由供应商自行拟定），不可涂改并在规定加盖公章处加盖电子公章，</w:t>
            </w:r>
            <w:r>
              <w:rPr>
                <w:rFonts w:hint="eastAsia" w:ascii="宋体" w:hAnsi="宋体" w:eastAsia="宋体" w:cs="宋体"/>
                <w:b/>
                <w:color w:val="auto"/>
                <w:sz w:val="21"/>
                <w:szCs w:val="21"/>
                <w:highlight w:val="none"/>
              </w:rPr>
              <w:t>否则响应文件按无效响应处理</w:t>
            </w:r>
            <w:r>
              <w:rPr>
                <w:rFonts w:hint="eastAsia" w:ascii="宋体" w:hAnsi="宋体" w:eastAsia="宋体" w:cs="宋体"/>
                <w:color w:val="auto"/>
                <w:sz w:val="21"/>
                <w:szCs w:val="21"/>
                <w:highlight w:val="none"/>
              </w:rPr>
              <w:t>。</w:t>
            </w:r>
          </w:p>
        </w:tc>
      </w:tr>
      <w:tr w14:paraId="4DE12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3666CAD2">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w:t>
            </w:r>
          </w:p>
        </w:tc>
        <w:tc>
          <w:tcPr>
            <w:tcW w:w="1950" w:type="dxa"/>
            <w:noWrap w:val="0"/>
            <w:vAlign w:val="center"/>
          </w:tcPr>
          <w:p w14:paraId="77DAB68B">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响应报价要求</w:t>
            </w:r>
          </w:p>
        </w:tc>
        <w:tc>
          <w:tcPr>
            <w:tcW w:w="6835" w:type="dxa"/>
            <w:noWrap w:val="0"/>
            <w:vAlign w:val="center"/>
          </w:tcPr>
          <w:p w14:paraId="79AB11D4">
            <w:pPr>
              <w:snapToGrid w:val="0"/>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按照工程量清单要求</w:t>
            </w:r>
          </w:p>
        </w:tc>
      </w:tr>
      <w:tr w14:paraId="57CDA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70" w:type="dxa"/>
            <w:noWrap w:val="0"/>
            <w:vAlign w:val="center"/>
          </w:tcPr>
          <w:p w14:paraId="642BE6D6">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w:t>
            </w:r>
          </w:p>
        </w:tc>
        <w:tc>
          <w:tcPr>
            <w:tcW w:w="1950" w:type="dxa"/>
            <w:noWrap w:val="0"/>
            <w:vAlign w:val="center"/>
          </w:tcPr>
          <w:p w14:paraId="7FD825D8">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竞标有效期</w:t>
            </w:r>
          </w:p>
        </w:tc>
        <w:tc>
          <w:tcPr>
            <w:tcW w:w="6835" w:type="dxa"/>
            <w:noWrap w:val="0"/>
            <w:vAlign w:val="center"/>
          </w:tcPr>
          <w:p w14:paraId="50CBB56B">
            <w:pPr>
              <w:pStyle w:val="6"/>
              <w:widowControl w:val="0"/>
              <w:numPr>
                <w:ilvl w:val="0"/>
                <w:numId w:val="0"/>
              </w:numPr>
              <w:tabs>
                <w:tab w:val="left" w:pos="720"/>
                <w:tab w:val="left" w:pos="840"/>
                <w:tab w:val="clear" w:pos="360"/>
              </w:tabs>
              <w:snapToGrid w:val="0"/>
              <w:spacing w:afterLines="0" w:line="360" w:lineRule="auto"/>
              <w:ind w:leftChars="-135"/>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自首次响应文件提交截止之日起</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u w:val="single"/>
                <w:lang w:val="en-US" w:eastAsia="zh-CN"/>
              </w:rPr>
              <w:t>60</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日。</w:t>
            </w:r>
          </w:p>
        </w:tc>
      </w:tr>
      <w:tr w14:paraId="1449B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360A98D4">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w:t>
            </w:r>
          </w:p>
        </w:tc>
        <w:tc>
          <w:tcPr>
            <w:tcW w:w="1950" w:type="dxa"/>
            <w:noWrap w:val="0"/>
            <w:vAlign w:val="center"/>
          </w:tcPr>
          <w:p w14:paraId="1A833752">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磋商保证金</w:t>
            </w:r>
          </w:p>
        </w:tc>
        <w:tc>
          <w:tcPr>
            <w:tcW w:w="6835" w:type="dxa"/>
            <w:noWrap w:val="0"/>
            <w:vAlign w:val="center"/>
          </w:tcPr>
          <w:p w14:paraId="4A563280">
            <w:pPr>
              <w:autoSpaceDE w:val="0"/>
              <w:autoSpaceDN w:val="0"/>
              <w:snapToGrid w:val="0"/>
              <w:spacing w:line="360" w:lineRule="auto"/>
              <w:jc w:val="both"/>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本项目不收取磋商保证金。</w:t>
            </w:r>
          </w:p>
        </w:tc>
      </w:tr>
      <w:tr w14:paraId="17934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870" w:type="dxa"/>
            <w:vMerge w:val="restart"/>
            <w:noWrap w:val="0"/>
            <w:vAlign w:val="center"/>
          </w:tcPr>
          <w:p w14:paraId="3D120DA4">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w:t>
            </w:r>
          </w:p>
        </w:tc>
        <w:tc>
          <w:tcPr>
            <w:tcW w:w="1950" w:type="dxa"/>
            <w:noWrap w:val="0"/>
            <w:vAlign w:val="center"/>
          </w:tcPr>
          <w:p w14:paraId="4147B8B9">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首次响应文件提交起止时间</w:t>
            </w:r>
          </w:p>
        </w:tc>
        <w:tc>
          <w:tcPr>
            <w:tcW w:w="6835" w:type="dxa"/>
            <w:noWrap w:val="0"/>
            <w:vAlign w:val="center"/>
          </w:tcPr>
          <w:p w14:paraId="4417E809">
            <w:pPr>
              <w:snapToGrid w:val="0"/>
              <w:spacing w:line="360" w:lineRule="auto"/>
              <w:jc w:val="both"/>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详见竞争性磋商公告。</w:t>
            </w:r>
          </w:p>
        </w:tc>
      </w:tr>
      <w:tr w14:paraId="00C44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70" w:type="dxa"/>
            <w:vMerge w:val="continue"/>
            <w:noWrap w:val="0"/>
            <w:vAlign w:val="center"/>
          </w:tcPr>
          <w:p w14:paraId="3CD42685">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p>
        </w:tc>
        <w:tc>
          <w:tcPr>
            <w:tcW w:w="1950" w:type="dxa"/>
            <w:noWrap w:val="0"/>
            <w:vAlign w:val="center"/>
          </w:tcPr>
          <w:p w14:paraId="16EE192A">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首次响应文件提交地点</w:t>
            </w:r>
          </w:p>
        </w:tc>
        <w:tc>
          <w:tcPr>
            <w:tcW w:w="6835" w:type="dxa"/>
            <w:noWrap w:val="0"/>
            <w:vAlign w:val="center"/>
          </w:tcPr>
          <w:p w14:paraId="73E6B567">
            <w:pPr>
              <w:snapToGrid w:val="0"/>
              <w:spacing w:line="360" w:lineRule="auto"/>
              <w:jc w:val="both"/>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详见竞争性磋商公告。</w:t>
            </w:r>
          </w:p>
        </w:tc>
      </w:tr>
      <w:tr w14:paraId="7CB65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70" w:type="dxa"/>
            <w:noWrap w:val="0"/>
            <w:vAlign w:val="center"/>
          </w:tcPr>
          <w:p w14:paraId="48CDA7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20.6</w:t>
            </w:r>
          </w:p>
        </w:tc>
        <w:tc>
          <w:tcPr>
            <w:tcW w:w="1950" w:type="dxa"/>
            <w:noWrap w:val="0"/>
            <w:vAlign w:val="center"/>
          </w:tcPr>
          <w:p w14:paraId="2F1D33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备份响应文件</w:t>
            </w:r>
          </w:p>
        </w:tc>
        <w:tc>
          <w:tcPr>
            <w:tcW w:w="6835" w:type="dxa"/>
            <w:noWrap w:val="0"/>
            <w:vAlign w:val="center"/>
          </w:tcPr>
          <w:p w14:paraId="5666D020">
            <w:pPr>
              <w:snapToGrid w:val="0"/>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在解密时间内供应商由于非人为操作导致无法解密的或解密失败，请及时联系代理机构，代理机构与项目归属监督部门备案后告知供应商通过邮件传输（以通知时所告知的电子邮箱地址为准）递交电子备份文件（与加密响应文件同时生成的），若供应商在规定时间内无法解密或解密失败且未提供电子备份响应文件的（包含提供的电子备份文件无效或无法解密的情况），</w:t>
            </w:r>
            <w:r>
              <w:rPr>
                <w:rFonts w:hint="eastAsia" w:ascii="宋体" w:hAnsi="宋体" w:eastAsia="宋体" w:cs="宋体"/>
                <w:b/>
                <w:bCs/>
                <w:color w:val="auto"/>
                <w:sz w:val="21"/>
                <w:szCs w:val="21"/>
                <w:highlight w:val="none"/>
                <w:lang w:val="en-US" w:eastAsia="zh-CN"/>
              </w:rPr>
              <w:t>视为响应文件无效</w:t>
            </w:r>
            <w:r>
              <w:rPr>
                <w:rFonts w:hint="eastAsia" w:ascii="宋体" w:hAnsi="宋体" w:eastAsia="宋体" w:cs="宋体"/>
                <w:color w:val="auto"/>
                <w:sz w:val="21"/>
                <w:szCs w:val="21"/>
                <w:highlight w:val="none"/>
                <w:lang w:val="en-US" w:eastAsia="zh-CN"/>
              </w:rPr>
              <w:t>。</w:t>
            </w:r>
          </w:p>
          <w:p w14:paraId="30F4EBB8">
            <w:pPr>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注：提供的电子备份响应文件要跟上传的电子加密响应文件是同时生成的，否则系统也不支持进行异常解密。</w:t>
            </w:r>
          </w:p>
        </w:tc>
      </w:tr>
      <w:tr w14:paraId="7526E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70" w:type="dxa"/>
            <w:noWrap w:val="0"/>
            <w:vAlign w:val="center"/>
          </w:tcPr>
          <w:p w14:paraId="7E8AD7E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1950" w:type="dxa"/>
            <w:noWrap w:val="0"/>
            <w:vAlign w:val="center"/>
          </w:tcPr>
          <w:p w14:paraId="7947C6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首次响应文件的退回</w:t>
            </w:r>
          </w:p>
        </w:tc>
        <w:tc>
          <w:tcPr>
            <w:tcW w:w="6835" w:type="dxa"/>
            <w:noWrap w:val="0"/>
            <w:vAlign w:val="center"/>
          </w:tcPr>
          <w:p w14:paraId="027D22E6">
            <w:pPr>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详见竞争性磋商公告。</w:t>
            </w:r>
          </w:p>
        </w:tc>
      </w:tr>
      <w:tr w14:paraId="08EF0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70" w:type="dxa"/>
            <w:vMerge w:val="restart"/>
            <w:noWrap w:val="0"/>
            <w:vAlign w:val="center"/>
          </w:tcPr>
          <w:p w14:paraId="5685766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w:t>
            </w:r>
          </w:p>
        </w:tc>
        <w:tc>
          <w:tcPr>
            <w:tcW w:w="1950" w:type="dxa"/>
            <w:noWrap w:val="0"/>
            <w:vAlign w:val="center"/>
          </w:tcPr>
          <w:p w14:paraId="7547F2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负偏离要求</w:t>
            </w:r>
          </w:p>
        </w:tc>
        <w:tc>
          <w:tcPr>
            <w:tcW w:w="6835" w:type="dxa"/>
            <w:noWrap w:val="0"/>
            <w:vAlign w:val="center"/>
          </w:tcPr>
          <w:p w14:paraId="7EE92FE6">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w:t>
            </w:r>
          </w:p>
          <w:p w14:paraId="23370BF8">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rPr>
              <w:t>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w:t>
            </w:r>
          </w:p>
        </w:tc>
      </w:tr>
      <w:tr w14:paraId="31D3C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vMerge w:val="continue"/>
            <w:noWrap w:val="0"/>
            <w:vAlign w:val="center"/>
          </w:tcPr>
          <w:p w14:paraId="6DC5FB2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p>
        </w:tc>
        <w:tc>
          <w:tcPr>
            <w:tcW w:w="1950" w:type="dxa"/>
            <w:noWrap w:val="0"/>
            <w:vAlign w:val="center"/>
          </w:tcPr>
          <w:p w14:paraId="5A9FCAD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磋商的顺序</w:t>
            </w:r>
          </w:p>
          <w:p w14:paraId="71EC97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p>
        </w:tc>
        <w:tc>
          <w:tcPr>
            <w:tcW w:w="6835" w:type="dxa"/>
            <w:noWrap w:val="0"/>
            <w:vAlign w:val="center"/>
          </w:tcPr>
          <w:p w14:paraId="15AB3C03">
            <w:pPr>
              <w:pStyle w:val="8"/>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□按照提交首次响应文件的顺序，通知磋商时，若某供应商不在通知现场时，该供应商排序到最后磋商，按照签到的顺序由其下一位供应商先参与磋商。</w:t>
            </w:r>
          </w:p>
          <w:p w14:paraId="10A78B0B">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随机排序。</w:t>
            </w:r>
          </w:p>
          <w:p w14:paraId="59A94C81">
            <w:pPr>
              <w:pStyle w:val="8"/>
              <w:spacing w:line="360" w:lineRule="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5B279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737439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p>
        </w:tc>
        <w:tc>
          <w:tcPr>
            <w:tcW w:w="1950" w:type="dxa"/>
            <w:noWrap w:val="0"/>
            <w:vAlign w:val="center"/>
          </w:tcPr>
          <w:p w14:paraId="36937D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6835" w:type="dxa"/>
            <w:noWrap w:val="0"/>
            <w:vAlign w:val="center"/>
          </w:tcPr>
          <w:p w14:paraId="42FD6169">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本项目不收取</w:t>
            </w:r>
            <w:r>
              <w:rPr>
                <w:rFonts w:hint="eastAsia" w:ascii="宋体" w:hAnsi="宋体" w:eastAsia="宋体" w:cs="宋体"/>
                <w:color w:val="auto"/>
                <w:sz w:val="21"/>
                <w:szCs w:val="21"/>
                <w:highlight w:val="none"/>
              </w:rPr>
              <w:t>履约保证金</w:t>
            </w:r>
            <w:r>
              <w:rPr>
                <w:rFonts w:hint="eastAsia" w:ascii="宋体" w:hAnsi="宋体" w:eastAsia="宋体" w:cs="宋体"/>
                <w:color w:val="auto"/>
                <w:sz w:val="21"/>
                <w:szCs w:val="21"/>
                <w:highlight w:val="none"/>
                <w:lang w:eastAsia="zh-CN"/>
              </w:rPr>
              <w:t>。</w:t>
            </w:r>
          </w:p>
        </w:tc>
      </w:tr>
      <w:tr w14:paraId="2AA88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2E73293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29.5</w:t>
            </w:r>
          </w:p>
        </w:tc>
        <w:tc>
          <w:tcPr>
            <w:tcW w:w="1950" w:type="dxa"/>
            <w:noWrap w:val="0"/>
            <w:vAlign w:val="center"/>
          </w:tcPr>
          <w:p w14:paraId="648334B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签订合同携带的材料</w:t>
            </w:r>
          </w:p>
        </w:tc>
        <w:tc>
          <w:tcPr>
            <w:tcW w:w="6835" w:type="dxa"/>
            <w:noWrap w:val="0"/>
            <w:vAlign w:val="center"/>
          </w:tcPr>
          <w:p w14:paraId="15F3F860">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使用的有效CA证书加盖单位电子公章</w:t>
            </w:r>
          </w:p>
        </w:tc>
      </w:tr>
      <w:tr w14:paraId="5D6E3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vMerge w:val="restart"/>
            <w:noWrap w:val="0"/>
            <w:vAlign w:val="center"/>
          </w:tcPr>
          <w:p w14:paraId="16DFA5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w:t>
            </w:r>
          </w:p>
        </w:tc>
        <w:tc>
          <w:tcPr>
            <w:tcW w:w="1950" w:type="dxa"/>
            <w:noWrap w:val="0"/>
            <w:vAlign w:val="center"/>
          </w:tcPr>
          <w:p w14:paraId="6D875A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w:t>
            </w:r>
          </w:p>
        </w:tc>
        <w:tc>
          <w:tcPr>
            <w:tcW w:w="6835" w:type="dxa"/>
            <w:noWrap w:val="0"/>
            <w:vAlign w:val="center"/>
          </w:tcPr>
          <w:p w14:paraId="6858D9B7">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以书面形式</w:t>
            </w:r>
          </w:p>
        </w:tc>
      </w:tr>
      <w:tr w14:paraId="08284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vMerge w:val="continue"/>
            <w:noWrap w:val="0"/>
            <w:vAlign w:val="center"/>
          </w:tcPr>
          <w:p w14:paraId="4A2E245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p>
        </w:tc>
        <w:tc>
          <w:tcPr>
            <w:tcW w:w="1950" w:type="dxa"/>
            <w:noWrap w:val="0"/>
            <w:vAlign w:val="center"/>
          </w:tcPr>
          <w:p w14:paraId="101FE3F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质疑联系部门及联系方式</w:t>
            </w:r>
          </w:p>
        </w:tc>
        <w:tc>
          <w:tcPr>
            <w:tcW w:w="6835" w:type="dxa"/>
            <w:noWrap w:val="0"/>
            <w:vAlign w:val="center"/>
          </w:tcPr>
          <w:p w14:paraId="22CF56AD">
            <w:pPr>
              <w:numPr>
                <w:ilvl w:val="0"/>
                <w:numId w:val="0"/>
              </w:numPr>
              <w:snapToGrid w:val="0"/>
              <w:spacing w:line="380" w:lineRule="exact"/>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eastAsia="zh-CN"/>
              </w:rPr>
              <w:t>广西百晟工程咨询有限公司</w:t>
            </w:r>
          </w:p>
          <w:p w14:paraId="5FB88426">
            <w:pPr>
              <w:numPr>
                <w:ilvl w:val="0"/>
                <w:numId w:val="0"/>
              </w:numPr>
              <w:snapToGrid w:val="0"/>
              <w:spacing w:line="380" w:lineRule="exact"/>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rPr>
              <w:t>联系电话：0776-2815066</w:t>
            </w:r>
            <w:r>
              <w:rPr>
                <w:rFonts w:hint="eastAsia" w:ascii="宋体" w:hAnsi="宋体" w:eastAsia="宋体" w:cs="宋体"/>
                <w:color w:val="auto"/>
                <w:sz w:val="21"/>
                <w:szCs w:val="21"/>
                <w:highlight w:val="none"/>
                <w:u w:val="none"/>
                <w:lang w:val="en-US" w:eastAsia="zh-CN"/>
              </w:rPr>
              <w:t xml:space="preserve"> 苏工</w:t>
            </w:r>
          </w:p>
          <w:p w14:paraId="4FEC133C">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通讯地址：</w:t>
            </w:r>
            <w:r>
              <w:rPr>
                <w:rFonts w:hint="eastAsia" w:ascii="宋体" w:hAnsi="宋体" w:eastAsia="宋体" w:cs="宋体"/>
                <w:color w:val="auto"/>
                <w:sz w:val="21"/>
                <w:szCs w:val="21"/>
                <w:highlight w:val="none"/>
                <w:u w:val="none"/>
                <w:lang w:eastAsia="zh-CN"/>
              </w:rPr>
              <w:t>百色市右江区江滨二路3号（恒升水岸花园）D栋D1号</w:t>
            </w:r>
            <w:r>
              <w:rPr>
                <w:rFonts w:hint="eastAsia" w:ascii="宋体" w:hAnsi="宋体" w:eastAsia="宋体" w:cs="宋体"/>
                <w:color w:val="auto"/>
                <w:sz w:val="21"/>
                <w:szCs w:val="21"/>
                <w:highlight w:val="none"/>
                <w:u w:val="none"/>
              </w:rPr>
              <w:t xml:space="preserve"> </w:t>
            </w:r>
          </w:p>
        </w:tc>
      </w:tr>
      <w:tr w14:paraId="3DBA0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vMerge w:val="continue"/>
            <w:noWrap w:val="0"/>
            <w:vAlign w:val="center"/>
          </w:tcPr>
          <w:p w14:paraId="16AE60F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p>
        </w:tc>
        <w:tc>
          <w:tcPr>
            <w:tcW w:w="1950" w:type="dxa"/>
            <w:noWrap w:val="0"/>
            <w:vAlign w:val="center"/>
          </w:tcPr>
          <w:p w14:paraId="16D4670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现场提交质疑办理业务时间</w:t>
            </w:r>
          </w:p>
        </w:tc>
        <w:tc>
          <w:tcPr>
            <w:tcW w:w="6835" w:type="dxa"/>
            <w:noWrap w:val="0"/>
            <w:vAlign w:val="center"/>
          </w:tcPr>
          <w:p w14:paraId="479C0D11">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质疑期内每个工作日</w:t>
            </w:r>
            <w:r>
              <w:rPr>
                <w:rFonts w:hint="eastAsia" w:ascii="宋体" w:hAnsi="宋体" w:eastAsia="宋体" w:cs="宋体"/>
                <w:color w:val="auto"/>
                <w:sz w:val="21"/>
                <w:szCs w:val="21"/>
                <w:highlight w:val="none"/>
                <w:u w:val="single"/>
                <w:lang w:val="en-US" w:eastAsia="zh-CN"/>
              </w:rPr>
              <w:t>9</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分到</w:t>
            </w:r>
            <w:r>
              <w:rPr>
                <w:rFonts w:hint="eastAsia" w:ascii="宋体" w:hAnsi="宋体" w:eastAsia="宋体" w:cs="宋体"/>
                <w:color w:val="auto"/>
                <w:sz w:val="21"/>
                <w:szCs w:val="21"/>
                <w:highlight w:val="none"/>
                <w:u w:val="single"/>
              </w:rPr>
              <w:t>12</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u w:val="single"/>
              </w:rPr>
              <w:t>1</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0</w:t>
            </w:r>
            <w:r>
              <w:rPr>
                <w:rFonts w:hint="eastAsia" w:ascii="宋体" w:hAnsi="宋体" w:eastAsia="宋体" w:cs="宋体"/>
                <w:color w:val="auto"/>
                <w:sz w:val="21"/>
                <w:szCs w:val="21"/>
                <w:highlight w:val="none"/>
              </w:rPr>
              <w:t>分到</w:t>
            </w:r>
            <w:r>
              <w:rPr>
                <w:rFonts w:hint="eastAsia" w:ascii="宋体" w:hAnsi="宋体" w:eastAsia="宋体" w:cs="宋体"/>
                <w:color w:val="auto"/>
                <w:sz w:val="21"/>
                <w:szCs w:val="21"/>
                <w:highlight w:val="none"/>
                <w:u w:val="single"/>
              </w:rPr>
              <w:t>1</w:t>
            </w:r>
            <w:r>
              <w:rPr>
                <w:rFonts w:hint="eastAsia" w:ascii="宋体" w:hAnsi="宋体" w:eastAsia="宋体" w:cs="宋体"/>
                <w:color w:val="auto"/>
                <w:sz w:val="21"/>
                <w:szCs w:val="21"/>
                <w:highlight w:val="none"/>
                <w:u w:val="single"/>
                <w:lang w:val="en-US" w:eastAsia="zh-CN"/>
              </w:rPr>
              <w:t>7</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0</w:t>
            </w:r>
            <w:r>
              <w:rPr>
                <w:rFonts w:hint="eastAsia" w:ascii="宋体" w:hAnsi="宋体" w:eastAsia="宋体" w:cs="宋体"/>
                <w:color w:val="auto"/>
                <w:sz w:val="21"/>
                <w:szCs w:val="21"/>
                <w:highlight w:val="none"/>
              </w:rPr>
              <w:t>分</w:t>
            </w:r>
          </w:p>
        </w:tc>
      </w:tr>
      <w:tr w14:paraId="46A82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2B24B0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w:t>
            </w:r>
          </w:p>
        </w:tc>
        <w:tc>
          <w:tcPr>
            <w:tcW w:w="1950" w:type="dxa"/>
            <w:noWrap w:val="0"/>
            <w:vAlign w:val="center"/>
          </w:tcPr>
          <w:p w14:paraId="47B851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采购代理费</w:t>
            </w:r>
          </w:p>
        </w:tc>
        <w:tc>
          <w:tcPr>
            <w:tcW w:w="6835" w:type="dxa"/>
            <w:noWrap w:val="0"/>
            <w:vAlign w:val="center"/>
          </w:tcPr>
          <w:p w14:paraId="4A1BA329">
            <w:pPr>
              <w:pStyle w:val="11"/>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1.是否收取采购代理费：</w:t>
            </w:r>
          </w:p>
          <w:p w14:paraId="2AA85B32">
            <w:pPr>
              <w:pStyle w:val="11"/>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是    □ 否</w:t>
            </w:r>
          </w:p>
          <w:p w14:paraId="2B506695">
            <w:pPr>
              <w:pStyle w:val="11"/>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2.采购代理费支付方式：</w:t>
            </w:r>
          </w:p>
          <w:p w14:paraId="2CA1A095">
            <w:pPr>
              <w:pStyle w:val="11"/>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本项目代理服务费由</w:t>
            </w:r>
            <w:r>
              <w:rPr>
                <w:rFonts w:hint="eastAsia" w:ascii="宋体" w:hAnsi="宋体" w:eastAsia="宋体" w:cs="宋体"/>
                <w:color w:val="auto"/>
                <w:sz w:val="21"/>
                <w:szCs w:val="21"/>
                <w:highlight w:val="none"/>
                <w:u w:val="single"/>
                <w:lang w:val="en-US" w:eastAsia="zh-CN"/>
              </w:rPr>
              <w:t>成交供应商</w:t>
            </w:r>
            <w:r>
              <w:rPr>
                <w:rFonts w:hint="eastAsia" w:ascii="宋体" w:hAnsi="宋体" w:eastAsia="宋体" w:cs="宋体"/>
                <w:color w:val="auto"/>
                <w:sz w:val="21"/>
                <w:szCs w:val="21"/>
                <w:highlight w:val="none"/>
                <w:lang w:val="en-US" w:eastAsia="zh-CN"/>
              </w:rPr>
              <w:t>领取成交通知书前，一次性向采购代理机构支付。</w:t>
            </w:r>
          </w:p>
          <w:p w14:paraId="36B8E60E">
            <w:pPr>
              <w:pStyle w:val="11"/>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□采购人支付。</w:t>
            </w:r>
          </w:p>
          <w:p w14:paraId="0DD02C2C">
            <w:pPr>
              <w:pStyle w:val="11"/>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3.采购代理费收取标准：</w:t>
            </w:r>
          </w:p>
          <w:p w14:paraId="2C39DA90">
            <w:pPr>
              <w:pStyle w:val="11"/>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以成交金额为计费额，依据《自治区住房城乡建设厅关于颁布2018年&lt;广西壮族自治区工程建设其他费用定额&gt;的通知》(桂建标〔2018〕37号)收费标准采用累差法</w:t>
            </w:r>
            <w:r>
              <w:rPr>
                <w:rFonts w:hint="eastAsia" w:ascii="宋体" w:hAnsi="宋体" w:eastAsia="宋体" w:cs="宋体"/>
                <w:b/>
                <w:bCs/>
                <w:color w:val="auto"/>
                <w:sz w:val="21"/>
                <w:szCs w:val="21"/>
                <w:highlight w:val="none"/>
                <w:u w:val="single"/>
                <w:lang w:val="en-US" w:eastAsia="zh-CN"/>
              </w:rPr>
              <w:t>工程类下浮25%</w:t>
            </w:r>
            <w:r>
              <w:rPr>
                <w:rFonts w:hint="eastAsia" w:ascii="宋体" w:hAnsi="宋体" w:eastAsia="宋体" w:cs="宋体"/>
                <w:color w:val="auto"/>
                <w:sz w:val="21"/>
                <w:szCs w:val="21"/>
                <w:highlight w:val="none"/>
                <w:lang w:val="en-US" w:eastAsia="zh-CN"/>
              </w:rPr>
              <w:t>向成交供应商收取。</w:t>
            </w:r>
          </w:p>
          <w:p w14:paraId="2F365EBF">
            <w:pPr>
              <w:pStyle w:val="11"/>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4.采购代理费收取银行账户</w:t>
            </w:r>
          </w:p>
          <w:p w14:paraId="35E3EF85">
            <w:pPr>
              <w:pStyle w:val="11"/>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银行名称：中国银行股份有限公司百色分公司</w:t>
            </w:r>
          </w:p>
          <w:p w14:paraId="778D4389">
            <w:pPr>
              <w:pStyle w:val="11"/>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账户名：广西百晟工程咨询有限公司</w:t>
            </w:r>
            <w:r>
              <w:rPr>
                <w:rFonts w:hint="eastAsia" w:ascii="宋体" w:hAnsi="宋体" w:eastAsia="宋体" w:cs="宋体"/>
                <w:color w:val="auto"/>
                <w:sz w:val="21"/>
                <w:szCs w:val="21"/>
                <w:highlight w:val="none"/>
                <w:lang w:val="en-US" w:eastAsia="zh-CN"/>
              </w:rPr>
              <w:tab/>
            </w:r>
          </w:p>
          <w:p w14:paraId="15AEC970">
            <w:pPr>
              <w:pStyle w:val="11"/>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账号：6262 6883 1354</w:t>
            </w:r>
          </w:p>
        </w:tc>
      </w:tr>
      <w:tr w14:paraId="5B238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2996FC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1950" w:type="dxa"/>
            <w:noWrap w:val="0"/>
            <w:vAlign w:val="center"/>
          </w:tcPr>
          <w:p w14:paraId="48911AC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w:t>
            </w:r>
          </w:p>
        </w:tc>
        <w:tc>
          <w:tcPr>
            <w:tcW w:w="6835" w:type="dxa"/>
            <w:noWrap w:val="0"/>
            <w:vAlign w:val="center"/>
          </w:tcPr>
          <w:p w14:paraId="380346D9">
            <w:pPr>
              <w:pStyle w:val="11"/>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解释权：</w:t>
            </w:r>
            <w:r>
              <w:rPr>
                <w:rFonts w:hint="eastAsia" w:ascii="宋体" w:hAnsi="宋体" w:eastAsia="宋体" w:cs="宋体"/>
                <w:color w:val="auto"/>
                <w:sz w:val="21"/>
                <w:szCs w:val="21"/>
                <w:highlight w:val="none"/>
                <w:lang w:val="en-US" w:eastAsia="zh-CN"/>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p w14:paraId="52155089">
            <w:pPr>
              <w:pStyle w:val="11"/>
              <w:snapToGrid w:val="0"/>
              <w:spacing w:line="360" w:lineRule="auto"/>
              <w:rPr>
                <w:rFonts w:hint="eastAsia" w:ascii="宋体" w:hAnsi="宋体" w:eastAsia="宋体" w:cs="宋体"/>
                <w:color w:val="auto"/>
                <w:kern w:val="2"/>
                <w:sz w:val="21"/>
                <w:szCs w:val="21"/>
                <w:highlight w:val="none"/>
                <w:lang w:val="en-US" w:eastAsia="zh-CN"/>
              </w:rPr>
            </w:pPr>
            <w:r>
              <w:rPr>
                <w:rFonts w:hint="eastAsia" w:ascii="宋体" w:hAnsi="宋体" w:eastAsia="宋体" w:cs="宋体"/>
                <w:b/>
                <w:bCs/>
                <w:color w:val="auto"/>
                <w:sz w:val="21"/>
                <w:szCs w:val="21"/>
                <w:highlight w:val="none"/>
                <w:lang w:val="en-US" w:eastAsia="zh-CN"/>
              </w:rPr>
              <w:t>法律责任：</w:t>
            </w:r>
            <w:r>
              <w:rPr>
                <w:rFonts w:hint="eastAsia" w:ascii="宋体" w:hAnsi="宋体" w:eastAsia="宋体" w:cs="宋体"/>
                <w:color w:val="auto"/>
                <w:sz w:val="21"/>
                <w:szCs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1E42D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1FCF57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w:t>
            </w:r>
          </w:p>
        </w:tc>
        <w:tc>
          <w:tcPr>
            <w:tcW w:w="1950" w:type="dxa"/>
            <w:noWrap w:val="0"/>
            <w:vAlign w:val="center"/>
          </w:tcPr>
          <w:p w14:paraId="27F71D5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6835" w:type="dxa"/>
            <w:noWrap w:val="0"/>
            <w:vAlign w:val="center"/>
          </w:tcPr>
          <w:p w14:paraId="437B782C">
            <w:pPr>
              <w:pStyle w:val="11"/>
              <w:snapToGrid w:val="0"/>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本磋商文件中描述供应商的“公章”是指根据我国对公章的管理规定，使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7164D73F">
            <w:pPr>
              <w:pStyle w:val="11"/>
              <w:snapToGrid w:val="0"/>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2.供应商为其他组织或者自然人时，本磋商文件规定的法定代表人指负责人或者自然人。本磋商文件所称负责人是指参加竞标的其他组织营业执照上的负责人，本磋商文件所称自然人是指参与竞标的自然人本人。</w:t>
            </w:r>
          </w:p>
          <w:p w14:paraId="3D51AA7D">
            <w:pPr>
              <w:pStyle w:val="11"/>
              <w:snapToGrid w:val="0"/>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6DA0F45D">
            <w:pPr>
              <w:pStyle w:val="11"/>
              <w:snapToGrid w:val="0"/>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4.自然人竞标的，磋商文件规定盖公章处由自然人摁手指指印。</w:t>
            </w:r>
          </w:p>
          <w:p w14:paraId="710F91DC">
            <w:pPr>
              <w:pStyle w:val="11"/>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5.本磋商文件所称的“以上”“以下”“以内”“届满”，包括本数；所称的“不满”“超过”“以外”，不包括本数。</w:t>
            </w:r>
          </w:p>
        </w:tc>
      </w:tr>
      <w:tr w14:paraId="0674D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0" w:type="dxa"/>
            <w:noWrap w:val="0"/>
            <w:vAlign w:val="center"/>
          </w:tcPr>
          <w:p w14:paraId="70DDB40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w:t>
            </w:r>
          </w:p>
        </w:tc>
        <w:tc>
          <w:tcPr>
            <w:tcW w:w="1950" w:type="dxa"/>
            <w:noWrap w:val="0"/>
            <w:vAlign w:val="center"/>
          </w:tcPr>
          <w:p w14:paraId="050954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农民工工资保障金</w:t>
            </w:r>
          </w:p>
        </w:tc>
        <w:tc>
          <w:tcPr>
            <w:tcW w:w="6835" w:type="dxa"/>
            <w:noWrap w:val="0"/>
            <w:vAlign w:val="center"/>
          </w:tcPr>
          <w:p w14:paraId="6CD2041D">
            <w:pPr>
              <w:pStyle w:val="11"/>
              <w:snapToGrid w:val="0"/>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金额：合同价的 1%。施工总承包单位应当以施工合同明确的工程项目为单位，在自治区行政区域内依法设立或设有分支机构的银行类金融机构存储工资保证金或申请开立银行保函。按成交价的 1%足额交纳农民工工资保障金 ，本项目执行桂人社规〔2021〕16号关于印发广西壮族自治区工程建设领域农民工工资保证金规定实施办法的通知缴纳农民工工资保证金，在劳动保障部门指定的账户足额存入农民工工资保证金或按照合同约定存入施工单位在银行开设的三方监管账户。</w:t>
            </w:r>
          </w:p>
        </w:tc>
      </w:tr>
      <w:tr w14:paraId="0D027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20" w:type="dxa"/>
            <w:gridSpan w:val="2"/>
            <w:noWrap w:val="0"/>
            <w:vAlign w:val="center"/>
          </w:tcPr>
          <w:p w14:paraId="1F25F0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成交供应商的响应文件</w:t>
            </w:r>
          </w:p>
        </w:tc>
        <w:tc>
          <w:tcPr>
            <w:tcW w:w="6835" w:type="dxa"/>
            <w:noWrap w:val="0"/>
            <w:vAlign w:val="center"/>
          </w:tcPr>
          <w:p w14:paraId="1BB6401B">
            <w:pPr>
              <w:pStyle w:val="11"/>
              <w:snapToGrid w:val="0"/>
              <w:spacing w:line="360" w:lineRule="auto"/>
              <w:rPr>
                <w:rFonts w:hint="eastAsia" w:ascii="宋体" w:hAnsi="宋体" w:eastAsia="宋体" w:cs="宋体"/>
                <w:b/>
                <w:bCs/>
                <w:color w:val="auto"/>
                <w:kern w:val="2"/>
                <w:sz w:val="21"/>
                <w:szCs w:val="21"/>
                <w:highlight w:val="none"/>
                <w:lang w:val="en-US" w:eastAsia="zh-CN" w:bidi="ar-SA"/>
              </w:rPr>
            </w:pPr>
          </w:p>
          <w:p w14:paraId="04FDD39E">
            <w:pPr>
              <w:pStyle w:val="11"/>
              <w:snapToGrid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成交供应商须在签订合同前向采购人另行提交纸质响应文件3份。当纸质版与广西政府采购云平台上的电子响应文件不一致时，以平台中的电子响应文件为准。</w:t>
            </w:r>
          </w:p>
        </w:tc>
      </w:tr>
    </w:tbl>
    <w:p w14:paraId="21D5D5EB">
      <w:pPr>
        <w:pStyle w:val="3"/>
        <w:spacing w:line="420" w:lineRule="exact"/>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42" w:name="_Toc19119"/>
      <w:bookmarkStart w:id="43" w:name="_Toc16517"/>
      <w:bookmarkStart w:id="44" w:name="_Toc47"/>
      <w:bookmarkStart w:id="45" w:name="_Toc20744"/>
      <w:bookmarkStart w:id="46" w:name="_Toc22853"/>
      <w:r>
        <w:rPr>
          <w:rFonts w:hint="eastAsia" w:ascii="宋体" w:hAnsi="宋体" w:eastAsia="宋体" w:cs="宋体"/>
          <w:b/>
          <w:bCs w:val="0"/>
          <w:color w:val="auto"/>
          <w:highlight w:val="none"/>
        </w:rPr>
        <w:t>第二节 供应商须知正文</w:t>
      </w:r>
      <w:bookmarkEnd w:id="42"/>
      <w:bookmarkEnd w:id="43"/>
      <w:bookmarkEnd w:id="44"/>
      <w:bookmarkEnd w:id="45"/>
      <w:bookmarkEnd w:id="46"/>
    </w:p>
    <w:p w14:paraId="791A79E8">
      <w:pPr>
        <w:pStyle w:val="4"/>
        <w:spacing w:before="0" w:after="0" w:line="360" w:lineRule="auto"/>
        <w:ind w:firstLine="640" w:firstLineChars="200"/>
        <w:rPr>
          <w:rFonts w:hint="eastAsia" w:ascii="宋体" w:hAnsi="宋体" w:eastAsia="宋体" w:cs="宋体"/>
          <w:b w:val="0"/>
          <w:color w:val="auto"/>
          <w:highlight w:val="none"/>
        </w:rPr>
      </w:pPr>
      <w:bookmarkStart w:id="47" w:name="_Toc28476"/>
      <w:bookmarkStart w:id="48" w:name="_Toc11349"/>
      <w:bookmarkStart w:id="49" w:name="_Toc28886"/>
      <w:bookmarkStart w:id="50" w:name="_Toc1103"/>
      <w:bookmarkStart w:id="51" w:name="_Toc29482"/>
      <w:r>
        <w:rPr>
          <w:rFonts w:hint="eastAsia" w:ascii="宋体" w:hAnsi="宋体" w:eastAsia="宋体" w:cs="宋体"/>
          <w:b w:val="0"/>
          <w:color w:val="auto"/>
          <w:highlight w:val="none"/>
        </w:rPr>
        <w:t>一、总则</w:t>
      </w:r>
      <w:bookmarkEnd w:id="47"/>
      <w:bookmarkEnd w:id="48"/>
      <w:bookmarkEnd w:id="49"/>
      <w:bookmarkEnd w:id="50"/>
      <w:bookmarkEnd w:id="51"/>
    </w:p>
    <w:p w14:paraId="67ED940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17CC3C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F819A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w:t>
      </w:r>
      <w:r>
        <w:rPr>
          <w:rFonts w:hint="eastAsia" w:ascii="宋体" w:hAnsi="宋体" w:cs="宋体"/>
          <w:color w:val="auto"/>
          <w:spacing w:val="-6"/>
          <w:szCs w:val="21"/>
          <w:highlight w:val="none"/>
          <w:lang w:eastAsia="zh-CN"/>
        </w:rPr>
        <w:t>法律法规</w:t>
      </w:r>
      <w:r>
        <w:rPr>
          <w:rFonts w:hint="eastAsia" w:ascii="宋体" w:hAnsi="宋体" w:eastAsia="宋体" w:cs="宋体"/>
          <w:color w:val="auto"/>
          <w:spacing w:val="-6"/>
          <w:szCs w:val="21"/>
          <w:highlight w:val="none"/>
        </w:rPr>
        <w:t>另有规定的，从其规定）。</w:t>
      </w:r>
    </w:p>
    <w:p w14:paraId="3272A87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59166B4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6A1CB4F9">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1ED02A6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5D6FFB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2.4“竞标”是指供应商按照本项目竞争性磋商公告或者邀请函规定的方式获取磋商文件、提交响应文件并希望获得标的的行为。</w:t>
      </w:r>
    </w:p>
    <w:p w14:paraId="3F7A08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42E8667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“实质性要求”是指磋商文件中已经指明不满足则响应文件按无效响应处理的条款，或者不能负偏离的条款，或者采购需求中带“▲”的条款。</w:t>
      </w:r>
    </w:p>
    <w:p w14:paraId="0DC7DB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“正偏离”，是指响应文件对磋商文件“采购需求”中有关条款作出的响应优于条款要求并有利于采购人的情形。</w:t>
      </w:r>
    </w:p>
    <w:p w14:paraId="6F33D7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“负偏离”，是指响应文件对磋商文件“采购需求”中有关条款作出的响应不满足条款要求，导致采购人要求不能得到满足的情形。</w:t>
      </w:r>
    </w:p>
    <w:p w14:paraId="148CBC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“允许负偏离的条款”是指采购需求中的不属于“实质性要求”的条款。</w:t>
      </w:r>
    </w:p>
    <w:p w14:paraId="08D12BA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“书面形式”是指合同书、信件和数据电文（包括电报、电传、传真、电子数据交换和电子邮件）等可以有形地表现所载内容的形式。</w:t>
      </w:r>
    </w:p>
    <w:p w14:paraId="32F0CA5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“首次报价”是指供应商提交的首次响应文件中的报价。</w:t>
      </w:r>
    </w:p>
    <w:p w14:paraId="181938A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“评审报价”是指供应商提交的最后报价并经修正（如有）和政策功能价格扣除（如有）后的价格。</w:t>
      </w:r>
    </w:p>
    <w:p w14:paraId="2B72A87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4C28BF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4B59FC0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46157F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2971E4A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1FE8B4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0E8622A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6A3994B9">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w:t>
      </w:r>
      <w:r>
        <w:rPr>
          <w:rFonts w:hint="eastAsia" w:ascii="宋体" w:hAnsi="宋体" w:eastAsia="宋体" w:cs="宋体"/>
          <w:bCs/>
          <w:color w:val="auto"/>
          <w:szCs w:val="21"/>
          <w:highlight w:val="none"/>
        </w:rPr>
        <w:t>根据《政府采购促进中小企业发展暂行办法》（财库</w:t>
      </w:r>
      <w:r>
        <w:rPr>
          <w:rFonts w:hint="eastAsia" w:ascii="宋体" w:hAnsi="宋体" w:cs="宋体"/>
          <w:bCs/>
          <w:color w:val="auto"/>
          <w:szCs w:val="21"/>
          <w:highlight w:val="none"/>
          <w:lang w:eastAsia="zh-CN"/>
        </w:rPr>
        <w:t>〔2020〕46号</w:t>
      </w:r>
      <w:r>
        <w:rPr>
          <w:rFonts w:hint="eastAsia" w:ascii="宋体" w:hAnsi="宋体" w:eastAsia="宋体" w:cs="宋体"/>
          <w:bCs/>
          <w:color w:val="auto"/>
          <w:szCs w:val="21"/>
          <w:highlight w:val="none"/>
        </w:rPr>
        <w:t>）第九条规定，接受大中型企业与小微企业组成联合体的采购项目，对于联合协议约定小微企业的合同份额占到合同总金额 30%以上的，采购人、采购代理机构应当对联合体的报价给予 2%</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3%（工程项目为 1%</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2%）的扣除，用扣除后的价格参加评审。组成联合体的小微企业与联合体内其他企业、分包企业之间存在直接控股、管理关系的，不享受价格扣除优惠政策。</w:t>
      </w:r>
    </w:p>
    <w:p w14:paraId="2B7781C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3E8A785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09DCD2B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eastAsia="宋体" w:cs="宋体"/>
          <w:bCs/>
          <w:color w:val="auto"/>
          <w:szCs w:val="21"/>
          <w:highlight w:val="none"/>
        </w:rPr>
        <w:t>根据《政府采购促进中小企业发展暂行办法》（财库</w:t>
      </w:r>
      <w:r>
        <w:rPr>
          <w:rFonts w:hint="eastAsia" w:ascii="宋体" w:hAnsi="宋体" w:cs="宋体"/>
          <w:bCs/>
          <w:color w:val="auto"/>
          <w:szCs w:val="21"/>
          <w:highlight w:val="none"/>
          <w:lang w:eastAsia="zh-CN"/>
        </w:rPr>
        <w:t>〔2020〕46号</w:t>
      </w:r>
      <w:r>
        <w:rPr>
          <w:rFonts w:hint="eastAsia" w:ascii="宋体" w:hAnsi="宋体" w:eastAsia="宋体" w:cs="宋体"/>
          <w:bCs/>
          <w:color w:val="auto"/>
          <w:szCs w:val="21"/>
          <w:highlight w:val="none"/>
        </w:rPr>
        <w:t>）第九条规定，允许大中型企业向一家或者多家小微企业分包的采购项目，对于分包意向协议约定小微企业的合同份额</w:t>
      </w:r>
      <w:r>
        <w:rPr>
          <w:rFonts w:hint="eastAsia" w:ascii="宋体" w:hAnsi="宋体" w:cs="宋体"/>
          <w:bCs/>
          <w:color w:val="auto"/>
          <w:szCs w:val="21"/>
          <w:highlight w:val="none"/>
          <w:lang w:eastAsia="zh-CN"/>
        </w:rPr>
        <w:t>占</w:t>
      </w:r>
      <w:r>
        <w:rPr>
          <w:rFonts w:hint="eastAsia" w:ascii="宋体" w:hAnsi="宋体" w:eastAsia="宋体" w:cs="宋体"/>
          <w:bCs/>
          <w:color w:val="auto"/>
          <w:szCs w:val="21"/>
          <w:highlight w:val="none"/>
        </w:rPr>
        <w:t>合同总金额 30%以上的，采购人、采购代理机构应当对大中型企业的报价给予 2%</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3%的扣除，用扣除后的价格参加评审。接受分包的小微企业与分包企业之间存在直接控股、管理关系的，不享受价格扣除优惠政策。</w:t>
      </w:r>
    </w:p>
    <w:p w14:paraId="65D5717D">
      <w:pPr>
        <w:spacing w:line="360" w:lineRule="auto"/>
        <w:ind w:firstLine="482" w:firstLineChars="200"/>
        <w:rPr>
          <w:rFonts w:hint="eastAsia" w:ascii="宋体" w:hAnsi="宋体" w:eastAsia="宋体" w:cs="宋体"/>
          <w:b/>
          <w:bCs/>
          <w:color w:val="auto"/>
          <w:sz w:val="24"/>
          <w:highlight w:val="none"/>
        </w:rPr>
      </w:pPr>
      <w:bookmarkStart w:id="52" w:name="_Toc254970532"/>
      <w:bookmarkStart w:id="53" w:name="_Toc254970673"/>
      <w:r>
        <w:rPr>
          <w:rFonts w:hint="eastAsia" w:ascii="宋体" w:hAnsi="宋体" w:eastAsia="宋体" w:cs="宋体"/>
          <w:b/>
          <w:bCs/>
          <w:color w:val="auto"/>
          <w:sz w:val="24"/>
          <w:highlight w:val="none"/>
        </w:rPr>
        <w:t>7.特别说明</w:t>
      </w:r>
      <w:bookmarkEnd w:id="52"/>
      <w:bookmarkEnd w:id="53"/>
    </w:p>
    <w:p w14:paraId="45DC1F46">
      <w:pPr>
        <w:spacing w:line="360" w:lineRule="auto"/>
        <w:ind w:firstLine="420" w:firstLineChars="200"/>
        <w:rPr>
          <w:rFonts w:hint="eastAsia" w:ascii="宋体" w:hAnsi="宋体" w:eastAsia="宋体" w:cs="宋体"/>
          <w:color w:val="auto"/>
          <w:szCs w:val="21"/>
          <w:highlight w:val="none"/>
        </w:rPr>
      </w:pPr>
      <w:bookmarkStart w:id="54" w:name="_8.1提供相同品牌产品且通过资格审查、符合性审查的不同投标人参加同一合"/>
      <w:bookmarkEnd w:id="54"/>
      <w:r>
        <w:rPr>
          <w:rFonts w:hint="eastAsia" w:ascii="宋体" w:hAnsi="宋体" w:eastAsia="宋体" w:cs="宋体"/>
          <w:color w:val="auto"/>
          <w:szCs w:val="21"/>
          <w:highlight w:val="none"/>
        </w:rPr>
        <w:t>7.1</w:t>
      </w:r>
      <w:bookmarkStart w:id="55"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55"/>
    <w:p w14:paraId="17B94E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6CB1261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w:t>
      </w:r>
      <w:r>
        <w:rPr>
          <w:rFonts w:hint="eastAsia" w:ascii="宋体" w:hAnsi="宋体" w:cs="宋体"/>
          <w:color w:val="auto"/>
          <w:szCs w:val="21"/>
          <w:highlight w:val="none"/>
          <w:lang w:eastAsia="zh-CN"/>
        </w:rPr>
        <w:t>》的</w:t>
      </w:r>
      <w:r>
        <w:rPr>
          <w:rFonts w:hint="eastAsia" w:ascii="宋体" w:hAnsi="宋体" w:eastAsia="宋体" w:cs="宋体"/>
          <w:color w:val="auto"/>
          <w:szCs w:val="21"/>
          <w:highlight w:val="none"/>
        </w:rPr>
        <w:t>规定赔偿采购人，且民事赔偿并不免除违法供应商的行政与刑事责任。</w:t>
      </w:r>
    </w:p>
    <w:p w14:paraId="76AF2BB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469934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332950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2FC8BE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4929EEC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21CCB09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6A16D6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2D9C46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1F1F28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 </w:t>
      </w:r>
    </w:p>
    <w:p w14:paraId="4303495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797AA40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13F4724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07A811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5A4E2223">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05102A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143C05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391F43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21424E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5F155A3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65F045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4AD053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265066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6399CB90">
      <w:pPr>
        <w:pStyle w:val="4"/>
        <w:spacing w:before="0" w:after="0" w:line="360" w:lineRule="auto"/>
        <w:ind w:firstLine="640" w:firstLineChars="200"/>
        <w:rPr>
          <w:rFonts w:hint="eastAsia" w:ascii="宋体" w:hAnsi="宋体" w:eastAsia="宋体" w:cs="宋体"/>
          <w:b w:val="0"/>
          <w:bCs w:val="0"/>
          <w:color w:val="auto"/>
          <w:highlight w:val="none"/>
        </w:rPr>
      </w:pPr>
      <w:bookmarkStart w:id="56" w:name="_Toc30773"/>
      <w:bookmarkStart w:id="57" w:name="_Toc17813"/>
      <w:bookmarkStart w:id="58" w:name="_Toc11036"/>
      <w:bookmarkStart w:id="59" w:name="_Toc1898"/>
      <w:bookmarkStart w:id="60" w:name="_Toc254970534"/>
      <w:bookmarkStart w:id="61" w:name="_Toc3568"/>
      <w:bookmarkStart w:id="62" w:name="_Toc254970675"/>
      <w:r>
        <w:rPr>
          <w:rFonts w:hint="eastAsia" w:ascii="宋体" w:hAnsi="宋体" w:eastAsia="宋体" w:cs="宋体"/>
          <w:b w:val="0"/>
          <w:bCs w:val="0"/>
          <w:color w:val="auto"/>
          <w:highlight w:val="none"/>
        </w:rPr>
        <w:t>二、磋商文件</w:t>
      </w:r>
      <w:bookmarkEnd w:id="56"/>
      <w:bookmarkEnd w:id="57"/>
      <w:bookmarkEnd w:id="58"/>
      <w:bookmarkEnd w:id="59"/>
      <w:bookmarkEnd w:id="60"/>
      <w:bookmarkEnd w:id="61"/>
      <w:bookmarkEnd w:id="62"/>
    </w:p>
    <w:p w14:paraId="5C5AF64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071BB428">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412CE3C5">
      <w:pPr>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第二章 采购需求</w:t>
      </w:r>
    </w:p>
    <w:p w14:paraId="745E26C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 供应商须知；</w:t>
      </w:r>
    </w:p>
    <w:p w14:paraId="0A1AE701">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 xml:space="preserve">章 </w:t>
      </w:r>
      <w:r>
        <w:rPr>
          <w:rFonts w:hint="eastAsia" w:ascii="宋体" w:hAnsi="宋体" w:eastAsia="宋体" w:cs="宋体"/>
          <w:color w:val="auto"/>
          <w:szCs w:val="36"/>
          <w:highlight w:val="none"/>
        </w:rPr>
        <w:t>图纸</w:t>
      </w:r>
      <w:r>
        <w:rPr>
          <w:rFonts w:hint="eastAsia" w:ascii="宋体" w:hAnsi="宋体" w:eastAsia="宋体" w:cs="宋体"/>
          <w:color w:val="auto"/>
          <w:szCs w:val="36"/>
          <w:highlight w:val="none"/>
          <w:lang w:eastAsia="zh-CN"/>
        </w:rPr>
        <w:t>、</w:t>
      </w:r>
      <w:r>
        <w:rPr>
          <w:rFonts w:hint="eastAsia" w:ascii="宋体" w:hAnsi="宋体" w:eastAsia="宋体" w:cs="宋体"/>
          <w:color w:val="auto"/>
          <w:szCs w:val="36"/>
          <w:highlight w:val="none"/>
        </w:rPr>
        <w:t>工程量清单</w:t>
      </w:r>
      <w:r>
        <w:rPr>
          <w:rFonts w:hint="eastAsia" w:ascii="宋体" w:hAnsi="宋体" w:eastAsia="宋体" w:cs="宋体"/>
          <w:color w:val="auto"/>
          <w:szCs w:val="36"/>
          <w:highlight w:val="none"/>
          <w:lang w:val="en-US" w:eastAsia="zh-CN"/>
        </w:rPr>
        <w:t>及技术规范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p w14:paraId="6B780284">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rPr>
        <w:t>章 评审程序、评审方法和评审标准；</w:t>
      </w:r>
    </w:p>
    <w:p w14:paraId="63B3BA1B">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六</w:t>
      </w:r>
      <w:r>
        <w:rPr>
          <w:rFonts w:hint="eastAsia" w:ascii="宋体" w:hAnsi="宋体" w:eastAsia="宋体" w:cs="宋体"/>
          <w:color w:val="auto"/>
          <w:szCs w:val="21"/>
          <w:highlight w:val="none"/>
        </w:rPr>
        <w:t>章 响应文件格式；</w:t>
      </w:r>
    </w:p>
    <w:p w14:paraId="6421971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七</w:t>
      </w:r>
      <w:r>
        <w:rPr>
          <w:rFonts w:hint="eastAsia" w:ascii="宋体" w:hAnsi="宋体" w:eastAsia="宋体" w:cs="宋体"/>
          <w:color w:val="auto"/>
          <w:szCs w:val="21"/>
          <w:highlight w:val="none"/>
        </w:rPr>
        <w:t>章 合同文本；</w:t>
      </w:r>
    </w:p>
    <w:p w14:paraId="20C903F5">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八</w:t>
      </w:r>
      <w:r>
        <w:rPr>
          <w:rFonts w:hint="eastAsia" w:ascii="宋体" w:hAnsi="宋体" w:eastAsia="宋体" w:cs="宋体"/>
          <w:color w:val="auto"/>
          <w:szCs w:val="21"/>
          <w:highlight w:val="none"/>
        </w:rPr>
        <w:t>章 质疑、投诉材料格式。</w:t>
      </w:r>
    </w:p>
    <w:p w14:paraId="2BA63A4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7A3B35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应在提交首次响应文件截止之日前，以书面形式向采购人、采购代理机构提出。</w:t>
      </w:r>
    </w:p>
    <w:p w14:paraId="49B4C9E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3AEFDB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4CF83E81">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EADB3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751A16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476513A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1D0680EF">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b/>
          <w:color w:val="auto"/>
          <w:kern w:val="0"/>
          <w:sz w:val="21"/>
          <w:szCs w:val="21"/>
          <w:highlight w:val="none"/>
        </w:rPr>
        <w:t>响应文件未按磋商文件的澄清、修改的内容编制，又不符合实质性要求的，其响应文件作无效处理。</w:t>
      </w:r>
    </w:p>
    <w:p w14:paraId="56F8991C">
      <w:pPr>
        <w:pStyle w:val="4"/>
        <w:spacing w:before="0" w:after="0" w:line="360" w:lineRule="auto"/>
        <w:rPr>
          <w:rFonts w:hint="eastAsia" w:ascii="宋体" w:hAnsi="宋体" w:eastAsia="宋体" w:cs="宋体"/>
          <w:b w:val="0"/>
          <w:bCs w:val="0"/>
          <w:color w:val="auto"/>
          <w:highlight w:val="none"/>
        </w:rPr>
      </w:pPr>
      <w:bookmarkStart w:id="63" w:name="_Toc32363"/>
      <w:bookmarkStart w:id="64" w:name="_Toc1763"/>
      <w:bookmarkStart w:id="65" w:name="_Toc8161"/>
      <w:bookmarkStart w:id="66" w:name="_Toc28967"/>
      <w:bookmarkStart w:id="67" w:name="_Toc9900"/>
      <w:r>
        <w:rPr>
          <w:rFonts w:hint="eastAsia" w:ascii="宋体" w:hAnsi="宋体" w:eastAsia="宋体" w:cs="宋体"/>
          <w:b w:val="0"/>
          <w:bCs w:val="0"/>
          <w:color w:val="auto"/>
          <w:highlight w:val="none"/>
        </w:rPr>
        <w:t>三、响应文件的编制</w:t>
      </w:r>
      <w:bookmarkEnd w:id="63"/>
      <w:bookmarkEnd w:id="64"/>
      <w:bookmarkEnd w:id="65"/>
      <w:bookmarkEnd w:id="66"/>
      <w:bookmarkEnd w:id="67"/>
    </w:p>
    <w:p w14:paraId="52A9233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7A117C5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6E2ABC6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20F849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5BE11329">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2CE05C1D">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3092BC68">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3364C3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5B048AF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0D2CF2B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4F5D53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15BD722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2AFB40C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057E5078">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w:t>
      </w:r>
      <w:r>
        <w:rPr>
          <w:rFonts w:hint="eastAsia" w:ascii="宋体" w:hAnsi="宋体" w:eastAsia="宋体" w:cs="宋体"/>
          <w:color w:val="auto"/>
          <w:szCs w:val="21"/>
          <w:highlight w:val="none"/>
          <w:lang w:eastAsia="zh-CN"/>
        </w:rPr>
        <w:t>第六章</w:t>
      </w:r>
      <w:r>
        <w:rPr>
          <w:rFonts w:hint="eastAsia" w:ascii="宋体" w:hAnsi="宋体" w:eastAsia="宋体" w:cs="宋体"/>
          <w:color w:val="auto"/>
          <w:szCs w:val="21"/>
          <w:highlight w:val="none"/>
        </w:rPr>
        <w:t xml:space="preserve"> 响应文件格式”中“报价</w:t>
      </w:r>
      <w:r>
        <w:rPr>
          <w:rFonts w:hint="eastAsia" w:ascii="宋体" w:hAnsi="宋体" w:eastAsia="宋体" w:cs="宋体"/>
          <w:color w:val="auto"/>
          <w:szCs w:val="21"/>
          <w:highlight w:val="none"/>
          <w:lang w:val="en-US" w:eastAsia="zh-CN"/>
        </w:rPr>
        <w:t>函及报价函附录</w:t>
      </w:r>
      <w:r>
        <w:rPr>
          <w:rFonts w:hint="eastAsia" w:ascii="宋体" w:hAnsi="宋体" w:eastAsia="宋体" w:cs="宋体"/>
          <w:color w:val="auto"/>
          <w:szCs w:val="21"/>
          <w:highlight w:val="none"/>
        </w:rPr>
        <w:t>”格式填写。</w:t>
      </w:r>
    </w:p>
    <w:p w14:paraId="728740F6">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1739384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664465D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15.3.1供应商的响应报价应符合以下要求，否则响应文件按无效响应处理：</w:t>
      </w:r>
    </w:p>
    <w:p w14:paraId="693EEC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w:t>
      </w:r>
      <w:r>
        <w:rPr>
          <w:rFonts w:hint="eastAsia" w:ascii="宋体" w:hAnsi="宋体" w:eastAsia="宋体" w:cs="宋体"/>
          <w:color w:val="auto"/>
          <w:szCs w:val="21"/>
          <w:highlight w:val="none"/>
          <w:lang w:val="en-US" w:eastAsia="zh-CN"/>
        </w:rPr>
        <w:t>工程量清单</w:t>
      </w:r>
      <w:r>
        <w:rPr>
          <w:rFonts w:hint="eastAsia" w:ascii="宋体" w:hAnsi="宋体" w:eastAsia="宋体" w:cs="宋体"/>
          <w:color w:val="auto"/>
          <w:szCs w:val="21"/>
          <w:highlight w:val="none"/>
        </w:rPr>
        <w:t>”中所竞标的每个分标的全部内容分别作完整唯一总价报价，不得存在漏项报价；</w:t>
      </w:r>
    </w:p>
    <w:p w14:paraId="2A835E8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190304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15.3.2响应报价（包含首次报价、最后报价）超过所竞标分标规定的采购预算金额或者最高限价的，其响应文件将作无效处理。</w:t>
      </w:r>
    </w:p>
    <w:p w14:paraId="3E3B0ED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68" w:name="_Hlk42592874"/>
      <w:r>
        <w:rPr>
          <w:rFonts w:hint="eastAsia" w:ascii="宋体" w:hAnsi="宋体" w:eastAsia="宋体" w:cs="宋体"/>
          <w:color w:val="auto"/>
          <w:szCs w:val="21"/>
          <w:highlight w:val="none"/>
        </w:rPr>
        <w:t>响应报价（包含首次报价、最后报价）超过分项采购预算金额或者最高限价的，其响应文件将作无效处理。</w:t>
      </w:r>
    </w:p>
    <w:p w14:paraId="6FBBCBE0">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15.3.4</w:t>
      </w:r>
      <w:r>
        <w:rPr>
          <w:rFonts w:hint="eastAsia" w:ascii="宋体" w:hAnsi="宋体" w:eastAsia="宋体" w:cs="宋体"/>
          <w:color w:val="auto"/>
          <w:szCs w:val="21"/>
          <w:highlight w:val="none"/>
        </w:rPr>
        <w:t>供应商应认真填写工程量清单中所列的所有各细目的单价和合价，填写工程量清单时应注意</w:t>
      </w:r>
      <w:r>
        <w:rPr>
          <w:rFonts w:hint="eastAsia" w:ascii="宋体" w:hAnsi="宋体" w:eastAsia="宋体" w:cs="宋体"/>
          <w:color w:val="auto"/>
          <w:szCs w:val="21"/>
          <w:highlight w:val="none"/>
          <w:lang w:eastAsia="zh-CN"/>
        </w:rPr>
        <w:t>：</w:t>
      </w:r>
    </w:p>
    <w:p w14:paraId="4EFA2DA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A.</w:t>
      </w:r>
      <w:r>
        <w:rPr>
          <w:rFonts w:hint="eastAsia" w:ascii="宋体" w:hAnsi="宋体" w:eastAsia="宋体" w:cs="宋体"/>
          <w:color w:val="auto"/>
          <w:szCs w:val="21"/>
          <w:highlight w:val="none"/>
        </w:rPr>
        <w:t>有工程数量的应报单价和合价。</w:t>
      </w:r>
    </w:p>
    <w:p w14:paraId="0AF50B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B.</w:t>
      </w:r>
      <w:r>
        <w:rPr>
          <w:rFonts w:hint="eastAsia" w:ascii="宋体" w:hAnsi="宋体" w:eastAsia="宋体" w:cs="宋体"/>
          <w:color w:val="auto"/>
          <w:szCs w:val="21"/>
          <w:highlight w:val="none"/>
        </w:rPr>
        <w:t>供应商应按采购人提供的工程量清单中列出的工程项目和工程量填报单价和合价。每一项目只允许有一个报价任何有选择的报价将不予接受。供应商未填单价或合价的工程项目在实施后，采购人将不予以支付，并视为该项费用已包括在其他有价款的单价或合价内，供应商必须按采购人的指令完成工程量清单中未填入单价或</w:t>
      </w:r>
      <w:r>
        <w:rPr>
          <w:rFonts w:hint="eastAsia" w:ascii="宋体" w:hAnsi="宋体" w:cs="宋体"/>
          <w:color w:val="auto"/>
          <w:szCs w:val="21"/>
          <w:highlight w:val="none"/>
          <w:lang w:eastAsia="zh-CN"/>
        </w:rPr>
        <w:t>总</w:t>
      </w:r>
      <w:r>
        <w:rPr>
          <w:rFonts w:hint="eastAsia" w:ascii="宋体" w:hAnsi="宋体" w:eastAsia="宋体" w:cs="宋体"/>
          <w:color w:val="auto"/>
          <w:szCs w:val="21"/>
          <w:highlight w:val="none"/>
        </w:rPr>
        <w:t>价的工程项目，但不能得到支付与结算。</w:t>
      </w:r>
    </w:p>
    <w:p w14:paraId="135EF8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C.</w:t>
      </w:r>
      <w:r>
        <w:rPr>
          <w:rFonts w:hint="eastAsia" w:ascii="宋体" w:hAnsi="宋体" w:eastAsia="宋体" w:cs="宋体"/>
          <w:color w:val="auto"/>
          <w:szCs w:val="21"/>
          <w:highlight w:val="none"/>
        </w:rPr>
        <w:t>投标供应商在进行工程量清单报价时</w:t>
      </w:r>
      <w:r>
        <w:rPr>
          <w:rFonts w:hint="eastAsia" w:ascii="宋体" w:hAnsi="宋体" w:cs="宋体"/>
          <w:color w:val="auto"/>
          <w:szCs w:val="21"/>
          <w:highlight w:val="none"/>
          <w:lang w:eastAsia="zh-CN"/>
        </w:rPr>
        <w:t>必须</w:t>
      </w:r>
      <w:r>
        <w:rPr>
          <w:rFonts w:hint="eastAsia" w:ascii="宋体" w:hAnsi="宋体" w:eastAsia="宋体" w:cs="宋体"/>
          <w:color w:val="auto"/>
          <w:szCs w:val="21"/>
          <w:highlight w:val="none"/>
        </w:rPr>
        <w:t>均衡报价，不能对个别工程量部分倾斜报价，否则竞标无效。</w:t>
      </w:r>
    </w:p>
    <w:p w14:paraId="6DE66FB5">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15.3.5 </w:t>
      </w:r>
      <w:r>
        <w:rPr>
          <w:rFonts w:hint="eastAsia" w:ascii="宋体" w:hAnsi="宋体" w:eastAsia="宋体" w:cs="宋体"/>
          <w:color w:val="auto"/>
          <w:szCs w:val="21"/>
          <w:highlight w:val="none"/>
        </w:rPr>
        <w:t>最后报价与首次报价不一致的，须上传与最后报价一致的已标价工程量清单作为附件，否则报价无效，视同放弃报价权利退出</w:t>
      </w:r>
      <w:r>
        <w:rPr>
          <w:rFonts w:hint="eastAsia" w:ascii="宋体" w:hAnsi="宋体" w:eastAsia="宋体" w:cs="宋体"/>
          <w:color w:val="auto"/>
          <w:szCs w:val="21"/>
          <w:highlight w:val="none"/>
          <w:lang w:eastAsia="zh-CN"/>
        </w:rPr>
        <w:t>采购活动</w:t>
      </w:r>
      <w:r>
        <w:rPr>
          <w:rFonts w:hint="eastAsia" w:ascii="宋体" w:hAnsi="宋体" w:eastAsia="宋体" w:cs="宋体"/>
          <w:color w:val="auto"/>
          <w:szCs w:val="21"/>
          <w:highlight w:val="none"/>
        </w:rPr>
        <w:t>。</w:t>
      </w:r>
    </w:p>
    <w:bookmarkEnd w:id="68"/>
    <w:p w14:paraId="5B280B1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68FFA25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430A955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611DB2A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0D267D1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1D6992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690D62B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7C748BF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w:t>
      </w:r>
      <w:r>
        <w:rPr>
          <w:rFonts w:hint="eastAsia" w:ascii="宋体" w:hAnsi="宋体" w:eastAsia="宋体" w:cs="宋体"/>
          <w:color w:val="auto"/>
          <w:szCs w:val="21"/>
          <w:highlight w:val="none"/>
          <w:lang w:eastAsia="zh-CN"/>
        </w:rPr>
        <w:t>第六章</w:t>
      </w:r>
      <w:r>
        <w:rPr>
          <w:rFonts w:hint="eastAsia" w:ascii="宋体" w:hAnsi="宋体" w:eastAsia="宋体" w:cs="宋体"/>
          <w:color w:val="auto"/>
          <w:szCs w:val="21"/>
          <w:highlight w:val="none"/>
        </w:rPr>
        <w:t xml:space="preserve">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57615D4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2E4658D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69" w:name="_Hlk65832699"/>
      <w:r>
        <w:rPr>
          <w:rFonts w:hint="eastAsia" w:ascii="宋体" w:hAnsi="宋体" w:eastAsia="宋体" w:cs="宋体"/>
          <w:color w:val="auto"/>
          <w:szCs w:val="21"/>
          <w:highlight w:val="none"/>
        </w:rPr>
        <w:t>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lang w:eastAsia="zh-CN"/>
        </w:rPr>
        <w:t>第六章</w:t>
      </w:r>
      <w:r>
        <w:rPr>
          <w:rFonts w:hint="eastAsia" w:ascii="宋体" w:hAnsi="宋体" w:eastAsia="宋体" w:cs="宋体"/>
          <w:color w:val="auto"/>
          <w:szCs w:val="21"/>
          <w:highlight w:val="none"/>
        </w:rPr>
        <w:t xml:space="preserve">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w:t>
      </w:r>
      <w:bookmarkEnd w:id="69"/>
      <w:r>
        <w:rPr>
          <w:rFonts w:hint="eastAsia" w:ascii="宋体" w:hAnsi="宋体" w:eastAsia="宋体" w:cs="宋体"/>
          <w:color w:val="auto"/>
          <w:szCs w:val="21"/>
          <w:highlight w:val="none"/>
        </w:rPr>
        <w:t>，否则其响应文件按无效响应处理。骑缝盖公章不视为在规定位置盖章。</w:t>
      </w:r>
    </w:p>
    <w:p w14:paraId="6FA945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160B272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51E48A0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36BAD333">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19.1供应商进行电子交易应安装“广西政府采购云平台电子交易客户端”，并按照磋商文件和电子交易平台的要求编制并加密响应文件。供应商未按规定加密的响应文件，电子交易平台将拒收并提示。</w:t>
      </w:r>
    </w:p>
    <w:p w14:paraId="220347A6">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19.2使用“广西政府采购云平台电子交易客户端”需要提前申领CA数字证书。</w:t>
      </w:r>
    </w:p>
    <w:p w14:paraId="602D2A65">
      <w:pPr>
        <w:pStyle w:val="11"/>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19</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5AF8B13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7E713CE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52F7ECA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5AFB9F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w:t>
      </w:r>
    </w:p>
    <w:p w14:paraId="0ED841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73DDBFF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42B3D34B">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cs="宋体"/>
          <w:color w:val="auto"/>
          <w:szCs w:val="21"/>
          <w:highlight w:val="none"/>
          <w:lang w:eastAsia="zh-CN"/>
        </w:rPr>
        <w:t>详见</w:t>
      </w:r>
      <w:r>
        <w:rPr>
          <w:rFonts w:hint="eastAsia" w:ascii="宋体" w:hAnsi="宋体" w:eastAsia="宋体" w:cs="宋体"/>
          <w:bCs/>
          <w:color w:val="auto"/>
          <w:szCs w:val="21"/>
          <w:highlight w:val="none"/>
        </w:rPr>
        <w:t>“供应商须知前附表”。</w:t>
      </w:r>
    </w:p>
    <w:p w14:paraId="1326E3F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036A7D2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0F735EC6">
      <w:pPr>
        <w:spacing w:line="360" w:lineRule="auto"/>
        <w:ind w:firstLine="482" w:firstLineChars="200"/>
        <w:rPr>
          <w:rFonts w:hint="eastAsia" w:ascii="宋体" w:hAnsi="宋体" w:eastAsia="宋体" w:cs="宋体"/>
          <w:b/>
          <w:bCs/>
          <w:color w:val="auto"/>
          <w:sz w:val="24"/>
          <w:highlight w:val="none"/>
        </w:rPr>
      </w:pPr>
      <w:bookmarkStart w:id="70" w:name="_Hlk45702405"/>
      <w:r>
        <w:rPr>
          <w:rFonts w:hint="eastAsia" w:ascii="宋体" w:hAnsi="宋体" w:eastAsia="宋体" w:cs="宋体"/>
          <w:b/>
          <w:bCs/>
          <w:color w:val="auto"/>
          <w:sz w:val="24"/>
          <w:highlight w:val="none"/>
        </w:rPr>
        <w:t>22. 首次响应文件的退回</w:t>
      </w:r>
    </w:p>
    <w:p w14:paraId="2F919C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1B65481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62D180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w:t>
      </w:r>
      <w:r>
        <w:rPr>
          <w:rFonts w:hint="eastAsia" w:ascii="宋体" w:hAnsi="宋体" w:eastAsia="宋体" w:cs="宋体"/>
          <w:color w:val="auto"/>
          <w:szCs w:val="21"/>
          <w:highlight w:val="none"/>
          <w:lang w:val="en-US" w:eastAsia="zh-CN"/>
        </w:rPr>
        <w:t>不允许</w:t>
      </w:r>
      <w:r>
        <w:rPr>
          <w:rFonts w:hint="eastAsia" w:ascii="宋体" w:hAnsi="宋体" w:eastAsia="宋体" w:cs="宋体"/>
          <w:color w:val="auto"/>
          <w:szCs w:val="21"/>
          <w:highlight w:val="none"/>
        </w:rPr>
        <w:t>撤回电子响应文件。</w:t>
      </w:r>
      <w:bookmarkEnd w:id="70"/>
    </w:p>
    <w:p w14:paraId="74A4F745">
      <w:pPr>
        <w:pStyle w:val="4"/>
        <w:spacing w:before="0" w:after="0" w:line="360" w:lineRule="auto"/>
        <w:ind w:firstLine="640" w:firstLineChars="200"/>
        <w:rPr>
          <w:rFonts w:hint="eastAsia" w:ascii="宋体" w:hAnsi="宋体" w:eastAsia="宋体" w:cs="宋体"/>
          <w:b w:val="0"/>
          <w:bCs w:val="0"/>
          <w:color w:val="auto"/>
          <w:highlight w:val="none"/>
        </w:rPr>
      </w:pPr>
      <w:bookmarkStart w:id="71" w:name="_Toc15669"/>
      <w:bookmarkStart w:id="72" w:name="_Toc22212"/>
      <w:bookmarkStart w:id="73" w:name="_Toc1684"/>
      <w:bookmarkStart w:id="74" w:name="_Toc32635"/>
      <w:bookmarkStart w:id="75" w:name="_Toc1793"/>
      <w:r>
        <w:rPr>
          <w:rFonts w:hint="eastAsia" w:ascii="宋体" w:hAnsi="宋体" w:eastAsia="宋体" w:cs="宋体"/>
          <w:b w:val="0"/>
          <w:bCs w:val="0"/>
          <w:color w:val="auto"/>
          <w:highlight w:val="none"/>
        </w:rPr>
        <w:t>四、评审及磋商</w:t>
      </w:r>
      <w:bookmarkEnd w:id="71"/>
      <w:bookmarkEnd w:id="72"/>
      <w:bookmarkEnd w:id="73"/>
      <w:bookmarkEnd w:id="74"/>
      <w:bookmarkEnd w:id="75"/>
    </w:p>
    <w:p w14:paraId="4ED0839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1CA56AF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4E4ABED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2ED325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2E2210F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7E5B28C6">
      <w:pPr>
        <w:pStyle w:val="11"/>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25.2 </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文件解密</w:t>
      </w:r>
    </w:p>
    <w:p w14:paraId="232C4EF2">
      <w:pPr>
        <w:pStyle w:val="11"/>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采购代理机构将在“</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须知前附表”规定的时</w:t>
      </w:r>
      <w:r>
        <w:rPr>
          <w:rFonts w:hint="eastAsia" w:ascii="宋体" w:hAnsi="宋体" w:eastAsia="宋体" w:cs="宋体"/>
          <w:color w:val="auto"/>
          <w:sz w:val="21"/>
          <w:szCs w:val="21"/>
          <w:highlight w:val="none"/>
        </w:rPr>
        <w:t>间通过电子交易平台组织响应文件开启，采购机构依托电子交易平台发起开始解密指令，</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的法定代表人或其委托代理人</w:t>
      </w:r>
      <w:r>
        <w:rPr>
          <w:rFonts w:hint="eastAsia" w:ascii="宋体" w:hAnsi="宋体" w:eastAsia="宋体" w:cs="宋体"/>
          <w:b/>
          <w:color w:val="auto"/>
          <w:sz w:val="21"/>
          <w:szCs w:val="21"/>
          <w:highlight w:val="none"/>
        </w:rPr>
        <w:t>须携带加密时所用的CA锁</w:t>
      </w:r>
      <w:r>
        <w:rPr>
          <w:rFonts w:hint="eastAsia" w:ascii="宋体" w:hAnsi="宋体" w:eastAsia="宋体" w:cs="宋体"/>
          <w:b/>
          <w:color w:val="auto"/>
          <w:sz w:val="21"/>
          <w:szCs w:val="21"/>
          <w:highlight w:val="none"/>
          <w:lang w:eastAsia="zh-CN"/>
        </w:rPr>
        <w:t>按平台提示和采购文件的规定</w:t>
      </w:r>
      <w:r>
        <w:rPr>
          <w:rFonts w:hint="eastAsia" w:ascii="宋体" w:hAnsi="宋体" w:eastAsia="宋体" w:cs="宋体"/>
          <w:b/>
          <w:color w:val="auto"/>
          <w:sz w:val="21"/>
          <w:szCs w:val="21"/>
          <w:highlight w:val="none"/>
        </w:rPr>
        <w:t>登录到广西政府采购云平台电子开标大厅签到并</w:t>
      </w:r>
      <w:r>
        <w:rPr>
          <w:rFonts w:hint="eastAsia" w:ascii="宋体" w:hAnsi="宋体" w:eastAsia="宋体" w:cs="宋体"/>
          <w:b/>
          <w:color w:val="auto"/>
          <w:sz w:val="21"/>
          <w:szCs w:val="21"/>
          <w:highlight w:val="none"/>
          <w:lang w:eastAsia="zh-CN"/>
        </w:rPr>
        <w:t>在</w:t>
      </w:r>
      <w:r>
        <w:rPr>
          <w:rFonts w:hint="eastAsia" w:ascii="宋体" w:hAnsi="宋体" w:eastAsia="宋体" w:cs="宋体"/>
          <w:b/>
          <w:color w:val="auto"/>
          <w:sz w:val="21"/>
          <w:szCs w:val="21"/>
          <w:highlight w:val="none"/>
        </w:rPr>
        <w:t>发起解密指令之时起30分钟</w:t>
      </w:r>
      <w:r>
        <w:rPr>
          <w:rFonts w:hint="eastAsia" w:ascii="宋体" w:hAnsi="宋体" w:eastAsia="宋体" w:cs="宋体"/>
          <w:b/>
          <w:color w:val="auto"/>
          <w:sz w:val="21"/>
          <w:szCs w:val="21"/>
          <w:highlight w:val="none"/>
          <w:lang w:eastAsia="zh-CN"/>
        </w:rPr>
        <w:t>内完成</w:t>
      </w:r>
      <w:r>
        <w:rPr>
          <w:rFonts w:hint="eastAsia" w:ascii="宋体" w:hAnsi="宋体" w:eastAsia="宋体" w:cs="宋体"/>
          <w:b/>
          <w:color w:val="auto"/>
          <w:sz w:val="21"/>
          <w:szCs w:val="21"/>
          <w:highlight w:val="none"/>
        </w:rPr>
        <w:t>对电子</w:t>
      </w:r>
      <w:r>
        <w:rPr>
          <w:rFonts w:hint="eastAsia" w:ascii="宋体" w:hAnsi="宋体" w:eastAsia="宋体" w:cs="宋体"/>
          <w:b/>
          <w:color w:val="auto"/>
          <w:sz w:val="21"/>
          <w:szCs w:val="21"/>
          <w:highlight w:val="none"/>
          <w:lang w:eastAsia="zh-CN"/>
        </w:rPr>
        <w:t>响应</w:t>
      </w:r>
      <w:r>
        <w:rPr>
          <w:rFonts w:hint="eastAsia" w:ascii="宋体" w:hAnsi="宋体" w:eastAsia="宋体" w:cs="宋体"/>
          <w:b/>
          <w:color w:val="auto"/>
          <w:sz w:val="21"/>
          <w:szCs w:val="21"/>
          <w:highlight w:val="none"/>
        </w:rPr>
        <w:t>文件</w:t>
      </w:r>
      <w:r>
        <w:rPr>
          <w:rFonts w:hint="eastAsia" w:ascii="宋体" w:hAnsi="宋体" w:eastAsia="宋体" w:cs="宋体"/>
          <w:b/>
          <w:color w:val="auto"/>
          <w:sz w:val="21"/>
          <w:szCs w:val="21"/>
          <w:highlight w:val="none"/>
          <w:lang w:eastAsia="zh-CN"/>
        </w:rPr>
        <w:t>在线</w:t>
      </w:r>
      <w:r>
        <w:rPr>
          <w:rFonts w:hint="eastAsia" w:ascii="宋体" w:hAnsi="宋体" w:eastAsia="宋体" w:cs="宋体"/>
          <w:b/>
          <w:color w:val="auto"/>
          <w:sz w:val="21"/>
          <w:szCs w:val="21"/>
          <w:highlight w:val="none"/>
        </w:rPr>
        <w:t>解密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在解密时间内供应商由于非人为操作导致无法解密的或解密失败，请及时联系代理机构，代理机构与项目归属监督部门备案后告知供应商通过邮件传输（以通知时所告知的电子邮箱地址为准）递交电子备份文件（与加密响应文件同时生成的），若供应商在规定时间内无法解密或解密失败且未提供电子备份响应文件的</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包含提供的电子备份文件无效或无法解密的情况</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视为响应文件无效</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（解密</w:t>
      </w:r>
      <w:r>
        <w:rPr>
          <w:rFonts w:hint="eastAsia" w:ascii="宋体" w:hAnsi="宋体" w:eastAsia="宋体" w:cs="宋体"/>
          <w:bCs/>
          <w:color w:val="auto"/>
          <w:sz w:val="21"/>
          <w:szCs w:val="21"/>
          <w:highlight w:val="none"/>
        </w:rPr>
        <w:t>异常情况处理：详见本章</w:t>
      </w:r>
      <w:r>
        <w:rPr>
          <w:rFonts w:hint="eastAsia" w:ascii="宋体" w:hAnsi="宋体" w:eastAsia="宋体" w:cs="宋体"/>
          <w:color w:val="auto"/>
          <w:sz w:val="21"/>
          <w:szCs w:val="21"/>
          <w:highlight w:val="none"/>
          <w:lang w:eastAsia="zh-CN"/>
        </w:rPr>
        <w:t>26.3</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电子交易活动的中止</w:t>
      </w:r>
      <w:r>
        <w:rPr>
          <w:rFonts w:hint="eastAsia" w:ascii="宋体" w:hAnsi="宋体" w:eastAsia="宋体" w:cs="宋体"/>
          <w:color w:val="auto"/>
          <w:sz w:val="21"/>
          <w:szCs w:val="21"/>
          <w:highlight w:val="none"/>
        </w:rPr>
        <w:t>。）</w:t>
      </w:r>
    </w:p>
    <w:p w14:paraId="75492D68">
      <w:pPr>
        <w:pStyle w:val="11"/>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如</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成功解密</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文件，但未在广西政府采购云平台电子开标大厅参加</w:t>
      </w:r>
      <w:r>
        <w:rPr>
          <w:rFonts w:hint="eastAsia" w:ascii="宋体" w:hAnsi="宋体" w:eastAsia="宋体" w:cs="宋体"/>
          <w:bCs/>
          <w:color w:val="auto"/>
          <w:sz w:val="21"/>
          <w:highlight w:val="none"/>
          <w:lang w:eastAsia="zh-CN"/>
        </w:rPr>
        <w:t>磋商</w:t>
      </w:r>
      <w:r>
        <w:rPr>
          <w:rFonts w:hint="eastAsia" w:ascii="宋体" w:hAnsi="宋体" w:eastAsia="宋体" w:cs="宋体"/>
          <w:bCs/>
          <w:color w:val="auto"/>
          <w:sz w:val="21"/>
          <w:highlight w:val="none"/>
        </w:rPr>
        <w:t>的，视同认可</w:t>
      </w:r>
      <w:r>
        <w:rPr>
          <w:rFonts w:hint="eastAsia" w:ascii="宋体" w:hAnsi="宋体" w:eastAsia="宋体" w:cs="宋体"/>
          <w:bCs/>
          <w:color w:val="auto"/>
          <w:sz w:val="21"/>
          <w:highlight w:val="none"/>
          <w:lang w:eastAsia="zh-CN"/>
        </w:rPr>
        <w:t>磋商</w:t>
      </w:r>
      <w:r>
        <w:rPr>
          <w:rFonts w:hint="eastAsia" w:ascii="宋体" w:hAnsi="宋体" w:eastAsia="宋体" w:cs="宋体"/>
          <w:bCs/>
          <w:color w:val="auto"/>
          <w:sz w:val="21"/>
          <w:highlight w:val="none"/>
        </w:rPr>
        <w:t>过程和结果，</w:t>
      </w:r>
      <w:r>
        <w:rPr>
          <w:rFonts w:hint="eastAsia" w:ascii="宋体" w:hAnsi="宋体" w:eastAsia="宋体" w:cs="宋体"/>
          <w:color w:val="auto"/>
          <w:sz w:val="21"/>
          <w:highlight w:val="none"/>
        </w:rPr>
        <w:t>由此产生的后果由供应商自行负责。 参与</w:t>
      </w:r>
      <w:r>
        <w:rPr>
          <w:rFonts w:hint="eastAsia" w:ascii="宋体" w:hAnsi="宋体" w:eastAsia="宋体" w:cs="宋体"/>
          <w:color w:val="auto"/>
          <w:sz w:val="21"/>
          <w:highlight w:val="none"/>
          <w:lang w:eastAsia="zh-CN"/>
        </w:rPr>
        <w:t>磋商</w:t>
      </w:r>
      <w:r>
        <w:rPr>
          <w:rFonts w:hint="eastAsia" w:ascii="宋体" w:hAnsi="宋体" w:eastAsia="宋体" w:cs="宋体"/>
          <w:color w:val="auto"/>
          <w:sz w:val="21"/>
          <w:highlight w:val="none"/>
        </w:rPr>
        <w:t>的供应商不足3家的，不得</w:t>
      </w:r>
      <w:r>
        <w:rPr>
          <w:rFonts w:hint="eastAsia" w:ascii="宋体" w:hAnsi="宋体" w:eastAsia="宋体" w:cs="宋体"/>
          <w:color w:val="auto"/>
          <w:sz w:val="21"/>
          <w:highlight w:val="none"/>
          <w:lang w:eastAsia="zh-CN"/>
        </w:rPr>
        <w:t>磋商</w:t>
      </w:r>
      <w:r>
        <w:rPr>
          <w:rFonts w:hint="eastAsia" w:ascii="宋体" w:hAnsi="宋体" w:eastAsia="宋体" w:cs="宋体"/>
          <w:color w:val="auto"/>
          <w:sz w:val="21"/>
          <w:highlight w:val="none"/>
        </w:rPr>
        <w:t>。</w:t>
      </w:r>
    </w:p>
    <w:p w14:paraId="522DA66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6706A0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w:t>
      </w:r>
      <w:r>
        <w:rPr>
          <w:rFonts w:hint="eastAsia" w:ascii="宋体" w:hAnsi="宋体" w:eastAsia="宋体" w:cs="宋体"/>
          <w:color w:val="auto"/>
          <w:szCs w:val="21"/>
          <w:highlight w:val="none"/>
          <w:lang w:eastAsia="zh-CN"/>
        </w:rPr>
        <w:t>第五章</w:t>
      </w:r>
      <w:r>
        <w:rPr>
          <w:rFonts w:hint="eastAsia" w:ascii="宋体" w:hAnsi="宋体" w:eastAsia="宋体" w:cs="宋体"/>
          <w:color w:val="auto"/>
          <w:szCs w:val="21"/>
          <w:highlight w:val="none"/>
        </w:rPr>
        <w:t xml:space="preserve"> 评审程序、评审方法和评审标准”规定的方法、评审因素、标准和程序对响应文件进行评审。</w:t>
      </w:r>
    </w:p>
    <w:p w14:paraId="549FA59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采购需求负偏离要求及磋商顺序详见 “ 供应商须知前附表”。</w:t>
      </w:r>
    </w:p>
    <w:p w14:paraId="434FD8C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679750C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75DDF4F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4C48C59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4A4B0A7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0FF3380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（4）其他无法保证电子交易的公平、公正和安全的情况。</w:t>
      </w:r>
    </w:p>
    <w:p w14:paraId="094CBED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19A0C32">
      <w:pPr>
        <w:pStyle w:val="4"/>
        <w:spacing w:before="0" w:after="0" w:line="360" w:lineRule="auto"/>
        <w:ind w:firstLine="480" w:firstLineChars="150"/>
        <w:rPr>
          <w:rFonts w:hint="eastAsia" w:ascii="宋体" w:hAnsi="宋体" w:eastAsia="宋体" w:cs="宋体"/>
          <w:b w:val="0"/>
          <w:bCs w:val="0"/>
          <w:color w:val="auto"/>
          <w:highlight w:val="none"/>
        </w:rPr>
      </w:pPr>
      <w:bookmarkStart w:id="76" w:name="_Toc16008"/>
      <w:bookmarkStart w:id="77" w:name="_Toc891"/>
      <w:bookmarkStart w:id="78" w:name="_Toc18473"/>
      <w:bookmarkStart w:id="79" w:name="_Toc71"/>
      <w:bookmarkStart w:id="80" w:name="_Toc19407"/>
      <w:r>
        <w:rPr>
          <w:rFonts w:hint="eastAsia" w:ascii="宋体" w:hAnsi="宋体" w:eastAsia="宋体" w:cs="宋体"/>
          <w:b w:val="0"/>
          <w:bCs w:val="0"/>
          <w:color w:val="auto"/>
          <w:highlight w:val="none"/>
        </w:rPr>
        <w:t>五、成交及合同</w:t>
      </w:r>
      <w:bookmarkEnd w:id="76"/>
      <w:bookmarkEnd w:id="77"/>
      <w:bookmarkEnd w:id="78"/>
      <w:bookmarkEnd w:id="79"/>
      <w:bookmarkEnd w:id="80"/>
    </w:p>
    <w:p w14:paraId="05369FA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6AC7B1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183A17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日。</w:t>
      </w:r>
    </w:p>
    <w:p w14:paraId="0C67649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2CDE339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w:t>
      </w:r>
      <w:r>
        <w:rPr>
          <w:rFonts w:hint="eastAsia" w:ascii="宋体" w:hAnsi="宋体" w:cs="宋体"/>
          <w:color w:val="auto"/>
          <w:szCs w:val="21"/>
          <w:highlight w:val="none"/>
          <w:lang w:eastAsia="zh-CN"/>
        </w:rPr>
        <w:t>，在</w:t>
      </w:r>
      <w:r>
        <w:rPr>
          <w:rFonts w:hint="eastAsia" w:ascii="宋体" w:hAnsi="宋体" w:eastAsia="宋体" w:cs="宋体"/>
          <w:color w:val="auto"/>
          <w:szCs w:val="21"/>
          <w:highlight w:val="none"/>
        </w:rPr>
        <w:t>合格供应商符合法定数量时，可以从合格的成交候选人中另行确定成交供应商的，应当依法另行确定成交供应商；否则应当重新开展采购活动。</w:t>
      </w:r>
    </w:p>
    <w:p w14:paraId="728129A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w:t>
      </w:r>
      <w:r>
        <w:rPr>
          <w:rFonts w:hint="eastAsia" w:ascii="宋体" w:hAnsi="宋体" w:eastAsia="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639A782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7564C4D0">
      <w:pPr>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5D1EA98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577D2BC9">
      <w:pPr>
        <w:pStyle w:val="28"/>
        <w:snapToGrid w:val="0"/>
        <w:spacing w:before="0"/>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30EA11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1F48664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7251A6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081CE967">
      <w:pPr>
        <w:pStyle w:val="28"/>
        <w:spacing w:before="0"/>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037729E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52BEF2C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29202A2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27837EF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055E7729">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w:t>
      </w:r>
      <w:r>
        <w:rPr>
          <w:rFonts w:hint="eastAsia" w:ascii="宋体" w:hAnsi="宋体" w:eastAsia="宋体" w:cs="宋体"/>
          <w:b/>
          <w:color w:val="auto"/>
          <w:szCs w:val="21"/>
          <w:highlight w:val="none"/>
        </w:rPr>
        <w:t xml:space="preserve">具体质疑起算时间及处理方式如下： </w:t>
      </w:r>
    </w:p>
    <w:p w14:paraId="604A5E77">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（1）潜在供应商依法获取采购文件后，认为采购文件使自己的权益受到损害的，应当在竞争性磋商采购文件公告期限届满之日起7个工作日内提出质疑。</w:t>
      </w:r>
      <w:r>
        <w:rPr>
          <w:rFonts w:hint="eastAsia" w:ascii="宋体" w:hAnsi="宋体" w:eastAsia="宋体" w:cs="宋体"/>
          <w:color w:val="auto"/>
          <w:highlight w:val="none"/>
        </w:rPr>
        <w:t>委托代理协议无特殊约定的，</w:t>
      </w:r>
      <w:r>
        <w:rPr>
          <w:rFonts w:hint="eastAsia" w:ascii="宋体" w:hAnsi="宋体" w:eastAsia="宋体" w:cs="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CE24AFD">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B0F5C43">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（3）供应商认为成交结果使自己的权益受到损害的，应当在成交结果公告期限届满之日起7个工作日内提出质疑，由采购人受理并负责答复。</w:t>
      </w:r>
    </w:p>
    <w:p w14:paraId="52946BC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2D7F530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05DAC2F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77A0D5E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7DF075E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3FDBD5A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7566649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32D6EA6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1497699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6E0A3BA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49C54A7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09C0389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9C6AF9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49E47C5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bookmarkStart w:id="81" w:name="_Toc80205930"/>
    </w:p>
    <w:p w14:paraId="482CFF4B">
      <w:pPr>
        <w:pStyle w:val="4"/>
        <w:spacing w:before="0" w:after="0" w:line="360" w:lineRule="auto"/>
        <w:ind w:firstLine="315" w:firstLineChars="98"/>
        <w:rPr>
          <w:rFonts w:hint="eastAsia" w:ascii="宋体" w:hAnsi="宋体" w:eastAsia="宋体" w:cs="宋体"/>
          <w:b w:val="0"/>
          <w:color w:val="auto"/>
          <w:highlight w:val="none"/>
        </w:rPr>
      </w:pPr>
      <w:bookmarkStart w:id="82" w:name="_Toc31012"/>
      <w:bookmarkStart w:id="83" w:name="_Toc23319"/>
      <w:bookmarkStart w:id="84" w:name="_Toc22956"/>
      <w:bookmarkStart w:id="85" w:name="_Toc7707"/>
      <w:bookmarkStart w:id="86" w:name="_Toc16406"/>
      <w:r>
        <w:rPr>
          <w:rFonts w:hint="eastAsia" w:ascii="宋体" w:hAnsi="宋体" w:eastAsia="宋体" w:cs="宋体"/>
          <w:color w:val="auto"/>
          <w:highlight w:val="none"/>
        </w:rPr>
        <w:t>六</w:t>
      </w:r>
      <w:r>
        <w:rPr>
          <w:rFonts w:hint="eastAsia" w:ascii="宋体" w:hAnsi="宋体" w:eastAsia="宋体" w:cs="宋体"/>
          <w:b w:val="0"/>
          <w:color w:val="auto"/>
          <w:highlight w:val="none"/>
        </w:rPr>
        <w:t>、验收</w:t>
      </w:r>
      <w:bookmarkEnd w:id="81"/>
      <w:bookmarkEnd w:id="82"/>
      <w:bookmarkEnd w:id="83"/>
      <w:bookmarkEnd w:id="84"/>
      <w:bookmarkEnd w:id="85"/>
      <w:bookmarkEnd w:id="86"/>
    </w:p>
    <w:p w14:paraId="717D1C89">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695AC532">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3790563">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71CF7940">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BE058C7">
      <w:pPr>
        <w:tabs>
          <w:tab w:val="left" w:pos="0"/>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7814B05">
      <w:pPr>
        <w:pStyle w:val="4"/>
        <w:spacing w:before="0" w:after="0" w:line="360" w:lineRule="auto"/>
        <w:ind w:firstLine="320" w:firstLineChars="100"/>
        <w:rPr>
          <w:rFonts w:hint="eastAsia" w:ascii="宋体" w:hAnsi="宋体" w:eastAsia="宋体" w:cs="宋体"/>
          <w:b w:val="0"/>
          <w:bCs w:val="0"/>
          <w:color w:val="auto"/>
          <w:highlight w:val="none"/>
        </w:rPr>
      </w:pPr>
      <w:bookmarkStart w:id="87" w:name="_Toc21280"/>
      <w:bookmarkStart w:id="88" w:name="_Toc25246"/>
      <w:bookmarkStart w:id="89" w:name="_Toc27075"/>
      <w:bookmarkStart w:id="90" w:name="_Toc24140"/>
      <w:bookmarkStart w:id="91" w:name="_Toc16375"/>
      <w:r>
        <w:rPr>
          <w:rFonts w:hint="eastAsia" w:ascii="宋体" w:hAnsi="宋体" w:eastAsia="宋体" w:cs="宋体"/>
          <w:b w:val="0"/>
          <w:bCs w:val="0"/>
          <w:color w:val="auto"/>
          <w:highlight w:val="none"/>
          <w:lang w:eastAsia="zh-CN"/>
        </w:rPr>
        <w:t>七</w:t>
      </w:r>
      <w:r>
        <w:rPr>
          <w:rFonts w:hint="eastAsia" w:ascii="宋体" w:hAnsi="宋体" w:eastAsia="宋体" w:cs="宋体"/>
          <w:b w:val="0"/>
          <w:bCs w:val="0"/>
          <w:color w:val="auto"/>
          <w:highlight w:val="none"/>
        </w:rPr>
        <w:t>、其他事项</w:t>
      </w:r>
      <w:bookmarkEnd w:id="87"/>
      <w:bookmarkEnd w:id="88"/>
      <w:bookmarkEnd w:id="89"/>
      <w:bookmarkEnd w:id="90"/>
      <w:bookmarkEnd w:id="91"/>
    </w:p>
    <w:p w14:paraId="022C66F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778B6CB9">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代理服务收费标准及缴费账户详见“供应商须知前附表”。</w:t>
      </w:r>
    </w:p>
    <w:p w14:paraId="6697DCB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0924978E">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34.1本磋商文件解释规则详见“供应商须知前附表”。</w:t>
      </w:r>
    </w:p>
    <w:p w14:paraId="76B37C52">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34.2 其他事项详见“供应商须知前附表”。</w:t>
      </w:r>
    </w:p>
    <w:p w14:paraId="38F8A95F">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highlight w:val="none"/>
        </w:rPr>
        <w:t>服务由中小企业承接，即提供服务的人员为中小企业依照《中华人民共和国劳动合同法》订立劳动合同的从业人员，不对其中涉及的货物的制造商和工程承建商作出要求</w:t>
      </w:r>
      <w:r>
        <w:rPr>
          <w:rFonts w:hint="eastAsia" w:ascii="宋体" w:hAnsi="宋体" w:eastAsia="宋体" w:cs="宋体"/>
          <w:color w:val="auto"/>
          <w:sz w:val="21"/>
          <w:highlight w:val="none"/>
          <w:lang w:val="en-US" w:eastAsia="zh-CN"/>
        </w:rPr>
        <w:t>的</w:t>
      </w:r>
      <w:r>
        <w:rPr>
          <w:rFonts w:hint="eastAsia" w:ascii="宋体" w:hAnsi="宋体" w:eastAsia="宋体" w:cs="宋体"/>
          <w:color w:val="auto"/>
          <w:kern w:val="2"/>
          <w:sz w:val="21"/>
          <w:highlight w:val="none"/>
          <w:lang w:val="en-US" w:eastAsia="zh-CN"/>
        </w:rPr>
        <w:t>，享受本文件规定的中小企业扶持政策。</w:t>
      </w:r>
    </w:p>
    <w:p w14:paraId="3EE95C95">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5429D7A5">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35.政采贷相关说明</w:t>
      </w:r>
    </w:p>
    <w:p w14:paraId="45CD4C87">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根据《崇左市财政局关于进一步做好线上“政采贷”融资业务工作的通知》</w:t>
      </w:r>
      <w:r>
        <w:rPr>
          <w:rFonts w:hint="eastAsia" w:hAnsi="宋体" w:cs="宋体"/>
          <w:color w:val="auto"/>
          <w:kern w:val="2"/>
          <w:sz w:val="21"/>
          <w:highlight w:val="none"/>
          <w:lang w:val="en-US" w:eastAsia="zh-CN"/>
        </w:rPr>
        <w:t>（</w:t>
      </w:r>
      <w:r>
        <w:rPr>
          <w:rFonts w:hint="eastAsia" w:ascii="宋体" w:hAnsi="宋体" w:eastAsia="宋体" w:cs="宋体"/>
          <w:color w:val="auto"/>
          <w:kern w:val="2"/>
          <w:sz w:val="21"/>
          <w:highlight w:val="none"/>
          <w:lang w:val="en-US" w:eastAsia="zh-CN"/>
        </w:rPr>
        <w:t xml:space="preserve"> 崇财采</w:t>
      </w:r>
      <w:r>
        <w:rPr>
          <w:rFonts w:hint="eastAsia" w:hAnsi="宋体" w:cs="宋体"/>
          <w:color w:val="auto"/>
          <w:kern w:val="2"/>
          <w:sz w:val="21"/>
          <w:highlight w:val="none"/>
          <w:lang w:val="en-US" w:eastAsia="zh-CN"/>
        </w:rPr>
        <w:t>〔2023〕10号）</w:t>
      </w:r>
      <w:r>
        <w:rPr>
          <w:rFonts w:hint="eastAsia" w:ascii="宋体" w:hAnsi="宋体" w:eastAsia="宋体" w:cs="宋体"/>
          <w:color w:val="auto"/>
          <w:kern w:val="2"/>
          <w:sz w:val="21"/>
          <w:highlight w:val="none"/>
          <w:lang w:val="en-US" w:eastAsia="zh-CN"/>
        </w:rPr>
        <w:t xml:space="preserve"> </w:t>
      </w:r>
      <w:r>
        <w:rPr>
          <w:rFonts w:hint="eastAsia" w:hAnsi="宋体" w:cs="宋体"/>
          <w:color w:val="auto"/>
          <w:kern w:val="2"/>
          <w:sz w:val="21"/>
          <w:highlight w:val="none"/>
          <w:lang w:val="en-US" w:eastAsia="zh-CN"/>
        </w:rPr>
        <w:t>，</w:t>
      </w:r>
      <w:r>
        <w:rPr>
          <w:rFonts w:hint="eastAsia" w:ascii="宋体" w:hAnsi="宋体" w:eastAsia="宋体" w:cs="宋体"/>
          <w:color w:val="auto"/>
          <w:kern w:val="2"/>
          <w:sz w:val="21"/>
          <w:highlight w:val="none"/>
          <w:lang w:val="en-US" w:eastAsia="zh-CN"/>
        </w:rPr>
        <w:t>供应商可凭成交通知书、政府采购合同，通过中征应收账款融资服务平台向银行在线申请“政采贷”融资。</w:t>
      </w:r>
    </w:p>
    <w:p w14:paraId="7CF23156">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36.</w:t>
      </w:r>
      <w:r>
        <w:rPr>
          <w:rFonts w:hint="eastAsia" w:ascii="宋体" w:hAnsi="宋体" w:eastAsia="宋体" w:cs="宋体"/>
          <w:b/>
          <w:bCs/>
          <w:color w:val="auto"/>
          <w:sz w:val="24"/>
          <w:highlight w:val="none"/>
          <w:lang w:val="en-US" w:eastAsia="zh-CN"/>
        </w:rPr>
        <w:t>农民工工资保障金</w:t>
      </w:r>
    </w:p>
    <w:p w14:paraId="1E70672C">
      <w:pPr>
        <w:pStyle w:val="11"/>
        <w:spacing w:line="360" w:lineRule="auto"/>
        <w:ind w:firstLine="420" w:firstLineChars="200"/>
        <w:textAlignment w:val="center"/>
        <w:rPr>
          <w:rFonts w:hint="default"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金额</w:t>
      </w:r>
      <w:r>
        <w:rPr>
          <w:rFonts w:hint="eastAsia" w:hAnsi="宋体" w:cs="宋体"/>
          <w:color w:val="auto"/>
          <w:kern w:val="2"/>
          <w:sz w:val="21"/>
          <w:highlight w:val="none"/>
          <w:lang w:val="en-US" w:eastAsia="zh-CN"/>
        </w:rPr>
        <w:t>：</w:t>
      </w:r>
      <w:r>
        <w:rPr>
          <w:rFonts w:hint="eastAsia" w:ascii="宋体" w:hAnsi="宋体" w:eastAsia="宋体" w:cs="宋体"/>
          <w:color w:val="auto"/>
          <w:kern w:val="2"/>
          <w:sz w:val="21"/>
          <w:highlight w:val="none"/>
          <w:lang w:val="en-US" w:eastAsia="zh-CN"/>
        </w:rPr>
        <w:t>合同价的 1%。施工总承包单位应当以施工合同明确的工程项目为单位，在自治区行政区域内依法设立或设有分支机构的银行类金融机构存储工资保证金或申请开立银行保函。按成交价的 1%足额交纳农民工工资保障金 ，本项目执行桂人社规</w:t>
      </w:r>
      <w:r>
        <w:rPr>
          <w:rFonts w:hint="eastAsia" w:hAnsi="宋体" w:cs="宋体"/>
          <w:color w:val="auto"/>
          <w:kern w:val="2"/>
          <w:sz w:val="21"/>
          <w:highlight w:val="none"/>
          <w:lang w:val="en-US" w:eastAsia="zh-CN"/>
        </w:rPr>
        <w:t>〔2021〕16号</w:t>
      </w:r>
      <w:r>
        <w:rPr>
          <w:rFonts w:hint="eastAsia" w:ascii="宋体" w:hAnsi="宋体" w:eastAsia="宋体" w:cs="宋体"/>
          <w:color w:val="auto"/>
          <w:kern w:val="2"/>
          <w:sz w:val="21"/>
          <w:highlight w:val="none"/>
          <w:lang w:val="en-US" w:eastAsia="zh-CN"/>
        </w:rPr>
        <w:t>关于印发广西壮族自治区工程建设领域农民工工资保证金规定实施办法的通知缴纳农民工工资保证金，在</w:t>
      </w:r>
      <w:r>
        <w:rPr>
          <w:rFonts w:hint="eastAsia" w:hAnsi="宋体" w:cs="宋体"/>
          <w:color w:val="auto"/>
          <w:kern w:val="2"/>
          <w:sz w:val="21"/>
          <w:highlight w:val="none"/>
          <w:lang w:val="en-US" w:eastAsia="zh-CN"/>
        </w:rPr>
        <w:t>劳动保障部</w:t>
      </w:r>
      <w:r>
        <w:rPr>
          <w:rFonts w:hint="eastAsia" w:ascii="宋体" w:hAnsi="宋体" w:eastAsia="宋体" w:cs="宋体"/>
          <w:color w:val="auto"/>
          <w:kern w:val="2"/>
          <w:sz w:val="21"/>
          <w:highlight w:val="none"/>
          <w:lang w:val="en-US" w:eastAsia="zh-CN"/>
        </w:rPr>
        <w:t>门指定的账户足额存入农民工工资保证金或按照合同约定存入施工单位在银行开设的三方监管</w:t>
      </w:r>
      <w:r>
        <w:rPr>
          <w:rFonts w:hint="eastAsia" w:hAnsi="宋体" w:cs="宋体"/>
          <w:color w:val="auto"/>
          <w:kern w:val="2"/>
          <w:sz w:val="21"/>
          <w:highlight w:val="none"/>
          <w:lang w:val="en-US" w:eastAsia="zh-CN"/>
        </w:rPr>
        <w:t>账户</w:t>
      </w:r>
      <w:r>
        <w:rPr>
          <w:rFonts w:hint="eastAsia" w:ascii="宋体" w:hAnsi="宋体" w:eastAsia="宋体" w:cs="宋体"/>
          <w:color w:val="auto"/>
          <w:kern w:val="2"/>
          <w:sz w:val="21"/>
          <w:highlight w:val="none"/>
          <w:lang w:val="en-US" w:eastAsia="zh-CN"/>
        </w:rPr>
        <w:t>。</w:t>
      </w:r>
    </w:p>
    <w:p w14:paraId="6A206AA4">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p>
    <w:p w14:paraId="2B1A3C4D">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p>
    <w:p w14:paraId="32C6A95E">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p>
    <w:p w14:paraId="498CBC6B">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p>
    <w:p w14:paraId="702656B8">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p>
    <w:p w14:paraId="2C1EE46E">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p>
    <w:p w14:paraId="7902CB81">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p>
    <w:p w14:paraId="573F832D">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p>
    <w:p w14:paraId="6D77CD0F">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p>
    <w:p w14:paraId="421A44C2">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p>
    <w:p w14:paraId="587B3B5A">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p>
    <w:p w14:paraId="2D11EA38">
      <w:pPr>
        <w:pStyle w:val="11"/>
        <w:spacing w:line="360" w:lineRule="auto"/>
        <w:ind w:firstLine="420" w:firstLineChars="200"/>
        <w:textAlignment w:val="center"/>
        <w:rPr>
          <w:rFonts w:hint="eastAsia" w:ascii="宋体" w:hAnsi="宋体" w:eastAsia="宋体" w:cs="宋体"/>
          <w:color w:val="auto"/>
          <w:kern w:val="2"/>
          <w:sz w:val="21"/>
          <w:highlight w:val="none"/>
          <w:lang w:val="en-US" w:eastAsia="zh-CN"/>
        </w:rPr>
      </w:pPr>
    </w:p>
    <w:p w14:paraId="106AAB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kern w:val="0"/>
          <w:sz w:val="84"/>
          <w:szCs w:val="84"/>
          <w:highlight w:val="none"/>
        </w:rPr>
      </w:pPr>
      <w:r>
        <w:rPr>
          <w:rFonts w:hint="eastAsia" w:ascii="宋体" w:hAnsi="宋体" w:eastAsia="宋体" w:cs="宋体"/>
          <w:b/>
          <w:color w:val="auto"/>
          <w:spacing w:val="92"/>
          <w:kern w:val="0"/>
          <w:sz w:val="84"/>
          <w:szCs w:val="84"/>
          <w:highlight w:val="none"/>
          <w:fitText w:val="8009" w:id="37647859"/>
        </w:rPr>
        <w:t>崇左市财政局文</w:t>
      </w:r>
      <w:r>
        <w:rPr>
          <w:rFonts w:hint="eastAsia" w:ascii="宋体" w:hAnsi="宋体" w:eastAsia="宋体" w:cs="宋体"/>
          <w:b/>
          <w:color w:val="auto"/>
          <w:spacing w:val="0"/>
          <w:kern w:val="0"/>
          <w:sz w:val="84"/>
          <w:szCs w:val="84"/>
          <w:highlight w:val="none"/>
          <w:fitText w:val="8009" w:id="37647859"/>
        </w:rPr>
        <w:t>件</w:t>
      </w:r>
    </w:p>
    <w:p w14:paraId="6EAD8C78">
      <w:pPr>
        <w:rPr>
          <w:rFonts w:hint="eastAsia"/>
          <w:b/>
          <w:color w:val="auto"/>
          <w:kern w:val="0"/>
          <w:sz w:val="24"/>
          <w:szCs w:val="24"/>
          <w:highlight w:val="none"/>
        </w:rPr>
      </w:pPr>
    </w:p>
    <w:p w14:paraId="5416560B">
      <w:pPr>
        <w:spacing w:line="560" w:lineRule="exact"/>
        <w:jc w:val="center"/>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崇财采</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2023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10号</w:t>
      </w:r>
    </w:p>
    <w:p w14:paraId="596A7561">
      <w:pPr>
        <w:ind w:left="-283" w:leftChars="-135" w:right="-197" w:rightChars="-94"/>
        <w:jc w:val="center"/>
        <w:rPr>
          <w:rFonts w:hint="eastAsia"/>
          <w:b/>
          <w:color w:val="auto"/>
          <w:w w:val="150"/>
          <w:sz w:val="18"/>
          <w:szCs w:val="18"/>
          <w:highlight w:val="none"/>
        </w:rPr>
      </w:pPr>
      <w:r>
        <w:rPr>
          <w:b/>
          <w:color w:val="auto"/>
          <w:w w:val="150"/>
          <w:sz w:val="18"/>
          <w:szCs w:val="18"/>
          <w:highlight w:val="none"/>
        </w:rPr>
        <w:pict>
          <v:rect id="_x0000_i1025" o:spt="1" style="height:3pt;width:439.3pt;" fillcolor="#FF0000" filled="t" stroked="f" coordsize="21600,21600" o:hr="t" o:hrstd="t" o:hrnoshade="t" o:hralign="center">
            <v:path/>
            <v:fill on="t" focussize="0,0"/>
            <v:stroke on="f"/>
            <v:imagedata o:title=""/>
            <o:lock v:ext="edit"/>
            <w10:wrap type="none"/>
            <w10:anchorlock/>
          </v:rect>
        </w:pict>
      </w:r>
    </w:p>
    <w:p w14:paraId="5A6F9C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小标宋简体" w:hAnsi="方正小标宋简体" w:eastAsia="方正小标宋简体" w:cs="方正小标宋简体"/>
          <w:color w:val="auto"/>
          <w:sz w:val="44"/>
          <w:szCs w:val="44"/>
          <w:highlight w:val="none"/>
          <w:lang w:eastAsia="zh-CN"/>
        </w:rPr>
      </w:pPr>
    </w:p>
    <w:p w14:paraId="0128F0D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仿宋" w:eastAsia="方正小标宋_GBK"/>
          <w:color w:val="auto"/>
          <w:sz w:val="44"/>
          <w:szCs w:val="44"/>
          <w:highlight w:val="none"/>
        </w:rPr>
      </w:pPr>
      <w:r>
        <w:rPr>
          <w:rFonts w:hint="eastAsia" w:ascii="方正小标宋_GBK" w:hAnsi="仿宋" w:eastAsia="方正小标宋_GBK"/>
          <w:color w:val="auto"/>
          <w:sz w:val="44"/>
          <w:szCs w:val="44"/>
          <w:highlight w:val="none"/>
          <w:lang w:eastAsia="zh-CN"/>
        </w:rPr>
        <w:t>崇左市财政局</w:t>
      </w:r>
      <w:r>
        <w:rPr>
          <w:rFonts w:hint="eastAsia" w:ascii="方正小标宋_GBK" w:hAnsi="仿宋" w:eastAsia="方正小标宋_GBK"/>
          <w:color w:val="auto"/>
          <w:sz w:val="44"/>
          <w:szCs w:val="44"/>
          <w:highlight w:val="none"/>
        </w:rPr>
        <w:t>关于进一步</w:t>
      </w:r>
      <w:r>
        <w:rPr>
          <w:rFonts w:hint="eastAsia" w:ascii="方正小标宋_GBK" w:hAnsi="仿宋" w:eastAsia="方正小标宋_GBK"/>
          <w:color w:val="auto"/>
          <w:sz w:val="44"/>
          <w:szCs w:val="44"/>
          <w:highlight w:val="none"/>
          <w:lang w:eastAsia="zh-CN"/>
        </w:rPr>
        <w:t>做好线上</w:t>
      </w:r>
      <w:r>
        <w:rPr>
          <w:rFonts w:hint="eastAsia" w:ascii="方正小标宋_GBK" w:hAnsi="仿宋" w:eastAsia="方正小标宋_GBK"/>
          <w:color w:val="auto"/>
          <w:sz w:val="44"/>
          <w:szCs w:val="44"/>
          <w:highlight w:val="none"/>
        </w:rPr>
        <w:t>“政采贷”</w:t>
      </w:r>
    </w:p>
    <w:p w14:paraId="4BDC4A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hAnsi="仿宋" w:eastAsia="方正小标宋_GBK"/>
          <w:color w:val="auto"/>
          <w:sz w:val="44"/>
          <w:szCs w:val="44"/>
          <w:highlight w:val="none"/>
        </w:rPr>
      </w:pPr>
      <w:r>
        <w:rPr>
          <w:rFonts w:hint="eastAsia" w:ascii="方正小标宋_GBK" w:hAnsi="仿宋" w:eastAsia="方正小标宋_GBK"/>
          <w:color w:val="auto"/>
          <w:sz w:val="44"/>
          <w:szCs w:val="44"/>
          <w:highlight w:val="none"/>
          <w:lang w:eastAsia="zh-CN"/>
        </w:rPr>
        <w:t>融资</w:t>
      </w:r>
      <w:r>
        <w:rPr>
          <w:rFonts w:hint="eastAsia" w:ascii="方正小标宋_GBK" w:hAnsi="仿宋" w:eastAsia="方正小标宋_GBK"/>
          <w:color w:val="auto"/>
          <w:sz w:val="44"/>
          <w:szCs w:val="44"/>
          <w:highlight w:val="none"/>
        </w:rPr>
        <w:t>业务</w:t>
      </w:r>
      <w:r>
        <w:rPr>
          <w:rFonts w:hint="eastAsia" w:ascii="方正小标宋_GBK" w:hAnsi="仿宋" w:eastAsia="方正小标宋_GBK"/>
          <w:color w:val="auto"/>
          <w:sz w:val="44"/>
          <w:szCs w:val="44"/>
          <w:highlight w:val="none"/>
          <w:lang w:eastAsia="zh-CN"/>
        </w:rPr>
        <w:t>工作</w:t>
      </w:r>
      <w:r>
        <w:rPr>
          <w:rFonts w:hint="eastAsia" w:ascii="方正小标宋_GBK" w:hAnsi="仿宋" w:eastAsia="方正小标宋_GBK"/>
          <w:color w:val="auto"/>
          <w:sz w:val="44"/>
          <w:szCs w:val="44"/>
          <w:highlight w:val="none"/>
        </w:rPr>
        <w:t>的通知</w:t>
      </w:r>
    </w:p>
    <w:p w14:paraId="4006C72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hAnsi="仿宋" w:eastAsia="方正小标宋_GBK"/>
          <w:color w:val="auto"/>
          <w:sz w:val="44"/>
          <w:szCs w:val="44"/>
          <w:highlight w:val="none"/>
        </w:rPr>
      </w:pPr>
    </w:p>
    <w:p w14:paraId="281C27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
      </w:pPr>
      <w:r>
        <w:rPr>
          <w:rFonts w:hint="eastAsia" w:ascii="仿宋" w:hAnsi="仿宋" w:eastAsia="仿宋" w:cs="仿宋"/>
          <w:b w:val="0"/>
          <w:bCs w:val="0"/>
          <w:color w:val="auto"/>
          <w:sz w:val="32"/>
          <w:szCs w:val="32"/>
          <w:highlight w:val="none"/>
          <w:lang w:eastAsia="zh-CN"/>
        </w:rPr>
        <w:t>市直各预算单位</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pacing w:val="16"/>
          <w:sz w:val="32"/>
          <w:szCs w:val="32"/>
          <w:highlight w:val="none"/>
          <w:lang w:eastAsia="zh-Hans"/>
        </w:rPr>
        <w:t>各县（</w:t>
      </w:r>
      <w:r>
        <w:rPr>
          <w:rFonts w:hint="eastAsia" w:ascii="仿宋" w:hAnsi="仿宋" w:eastAsia="仿宋" w:cs="仿宋"/>
          <w:color w:val="auto"/>
          <w:spacing w:val="16"/>
          <w:sz w:val="32"/>
          <w:szCs w:val="32"/>
          <w:highlight w:val="none"/>
          <w:lang w:eastAsia="zh-CN"/>
        </w:rPr>
        <w:t>市、</w:t>
      </w:r>
      <w:r>
        <w:rPr>
          <w:rFonts w:hint="eastAsia" w:ascii="仿宋" w:hAnsi="仿宋" w:eastAsia="仿宋" w:cs="仿宋"/>
          <w:color w:val="auto"/>
          <w:spacing w:val="16"/>
          <w:sz w:val="32"/>
          <w:szCs w:val="32"/>
          <w:highlight w:val="none"/>
          <w:lang w:eastAsia="zh-Hans"/>
        </w:rPr>
        <w:t>区）财政局</w:t>
      </w:r>
      <w:r>
        <w:rPr>
          <w:rFonts w:hint="eastAsia" w:ascii="仿宋" w:hAnsi="仿宋" w:eastAsia="仿宋" w:cs="仿宋"/>
          <w:color w:val="auto"/>
          <w:spacing w:val="16"/>
          <w:sz w:val="32"/>
          <w:szCs w:val="32"/>
          <w:highlight w:val="none"/>
          <w:lang w:eastAsia="zh-CN"/>
        </w:rPr>
        <w:t>、</w:t>
      </w:r>
      <w:r>
        <w:rPr>
          <w:rFonts w:hint="eastAsia" w:ascii="仿宋" w:hAnsi="仿宋" w:eastAsia="仿宋" w:cs="仿宋"/>
          <w:color w:val="auto"/>
          <w:sz w:val="32"/>
          <w:szCs w:val="32"/>
          <w:highlight w:val="none"/>
        </w:rPr>
        <w:t>各</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代理机构：</w:t>
      </w:r>
    </w:p>
    <w:p w14:paraId="0E2581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shd w:val="clear" w:color="auto" w:fill="FFFFFF"/>
          <w:lang w:eastAsia="zh-CN"/>
        </w:rPr>
      </w:pPr>
      <w:r>
        <w:rPr>
          <w:rFonts w:hint="eastAsia" w:ascii="仿宋" w:hAnsi="仿宋" w:eastAsia="仿宋" w:cs="仿宋"/>
          <w:color w:val="auto"/>
          <w:sz w:val="32"/>
          <w:szCs w:val="32"/>
          <w:highlight w:val="none"/>
          <w:lang w:eastAsia="zh-CN"/>
        </w:rPr>
        <w:t>为</w:t>
      </w:r>
      <w:r>
        <w:rPr>
          <w:rFonts w:hint="eastAsia" w:ascii="仿宋" w:hAnsi="仿宋" w:eastAsia="仿宋" w:cs="仿宋"/>
          <w:color w:val="auto"/>
          <w:sz w:val="32"/>
          <w:szCs w:val="32"/>
          <w:highlight w:val="none"/>
        </w:rPr>
        <w:t>加大政府采购支持中小企业力度，帮助</w:t>
      </w:r>
      <w:r>
        <w:rPr>
          <w:rFonts w:hint="eastAsia" w:ascii="仿宋" w:hAnsi="仿宋" w:eastAsia="仿宋" w:cs="仿宋"/>
          <w:color w:val="auto"/>
          <w:sz w:val="32"/>
          <w:szCs w:val="32"/>
          <w:highlight w:val="none"/>
          <w:shd w:val="clear" w:color="auto" w:fill="FFFFFF"/>
        </w:rPr>
        <w:t>政府采购中标（成交）供应商解决融资难、融资贵的问题，</w:t>
      </w:r>
      <w:r>
        <w:rPr>
          <w:rFonts w:hint="eastAsia" w:ascii="仿宋" w:hAnsi="仿宋" w:eastAsia="仿宋" w:cs="仿宋"/>
          <w:color w:val="auto"/>
          <w:sz w:val="32"/>
          <w:szCs w:val="32"/>
          <w:highlight w:val="none"/>
          <w:shd w:val="clear" w:color="auto" w:fill="FFFFFF"/>
          <w:lang w:eastAsia="zh-CN"/>
        </w:rPr>
        <w:t>进一步做好线上“政采贷”融资业务工作。经研究，现将有关事项通知如下：</w:t>
      </w:r>
    </w:p>
    <w:p w14:paraId="3544A8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shd w:val="clear" w:color="auto" w:fill="FFFFFF"/>
          <w:lang w:val="en-US" w:eastAsia="zh-CN"/>
        </w:rPr>
      </w:pPr>
      <w:r>
        <w:rPr>
          <w:rFonts w:hint="eastAsia" w:ascii="仿宋" w:hAnsi="仿宋" w:eastAsia="仿宋" w:cs="仿宋"/>
          <w:color w:val="auto"/>
          <w:sz w:val="32"/>
          <w:szCs w:val="32"/>
          <w:highlight w:val="none"/>
          <w:shd w:val="clear" w:color="auto" w:fill="FFFFFF"/>
          <w:lang w:eastAsia="zh-CN"/>
        </w:rPr>
        <w:t>一、采</w:t>
      </w:r>
      <w:r>
        <w:rPr>
          <w:rFonts w:hint="eastAsia" w:ascii="仿宋" w:hAnsi="仿宋" w:eastAsia="仿宋" w:cs="仿宋"/>
          <w:color w:val="auto"/>
          <w:sz w:val="32"/>
          <w:szCs w:val="32"/>
          <w:highlight w:val="none"/>
          <w:shd w:val="clear" w:color="auto" w:fill="FFFFFF"/>
        </w:rPr>
        <w:t>购</w:t>
      </w:r>
      <w:r>
        <w:rPr>
          <w:rFonts w:hint="eastAsia" w:ascii="仿宋" w:hAnsi="仿宋" w:eastAsia="仿宋" w:cs="仿宋"/>
          <w:color w:val="auto"/>
          <w:sz w:val="32"/>
          <w:szCs w:val="32"/>
          <w:highlight w:val="none"/>
          <w:shd w:val="clear" w:color="auto" w:fill="FFFFFF"/>
          <w:lang w:eastAsia="zh-CN"/>
        </w:rPr>
        <w:t>人、采购</w:t>
      </w:r>
      <w:r>
        <w:rPr>
          <w:rFonts w:hint="eastAsia" w:ascii="仿宋" w:hAnsi="仿宋" w:eastAsia="仿宋" w:cs="仿宋"/>
          <w:color w:val="auto"/>
          <w:sz w:val="32"/>
          <w:szCs w:val="32"/>
          <w:highlight w:val="none"/>
          <w:shd w:val="clear" w:color="auto" w:fill="FFFFFF"/>
        </w:rPr>
        <w:t>代理机构</w:t>
      </w:r>
      <w:r>
        <w:rPr>
          <w:rFonts w:hint="eastAsia" w:ascii="仿宋" w:hAnsi="仿宋" w:eastAsia="仿宋" w:cs="仿宋"/>
          <w:color w:val="auto"/>
          <w:sz w:val="32"/>
          <w:szCs w:val="32"/>
          <w:highlight w:val="none"/>
          <w:shd w:val="clear" w:color="auto" w:fill="FFFFFF"/>
          <w:lang w:eastAsia="zh-CN"/>
        </w:rPr>
        <w:t>在编制政府采购文件时，应将《崇左市线上“政采贷”政策告知函》《崇左市线上“政采贷”业务流程图》《崇左</w:t>
      </w:r>
      <w:r>
        <w:rPr>
          <w:rFonts w:hint="eastAsia" w:ascii="仿宋" w:hAnsi="仿宋" w:eastAsia="仿宋" w:cs="仿宋"/>
          <w:color w:val="auto"/>
          <w:sz w:val="32"/>
          <w:szCs w:val="32"/>
          <w:highlight w:val="none"/>
          <w:shd w:val="clear" w:color="auto" w:fill="FFFFFF"/>
        </w:rPr>
        <w:t>市金融机构</w:t>
      </w:r>
      <w:r>
        <w:rPr>
          <w:rFonts w:hint="eastAsia" w:ascii="仿宋" w:hAnsi="仿宋" w:eastAsia="仿宋" w:cs="仿宋"/>
          <w:color w:val="auto"/>
          <w:sz w:val="32"/>
          <w:szCs w:val="32"/>
          <w:highlight w:val="none"/>
          <w:shd w:val="clear" w:color="auto" w:fill="FFFFFF"/>
          <w:lang w:eastAsia="zh-CN"/>
        </w:rPr>
        <w:t>线上</w:t>
      </w:r>
      <w:r>
        <w:rPr>
          <w:rFonts w:hint="eastAsia" w:ascii="仿宋" w:hAnsi="仿宋" w:eastAsia="仿宋" w:cs="仿宋"/>
          <w:color w:val="auto"/>
          <w:sz w:val="32"/>
          <w:szCs w:val="32"/>
          <w:highlight w:val="none"/>
          <w:shd w:val="clear" w:color="auto" w:fill="FFFFFF"/>
        </w:rPr>
        <w:t>“政采贷”业务办理联络表》</w:t>
      </w:r>
      <w:r>
        <w:rPr>
          <w:rFonts w:hint="eastAsia" w:ascii="仿宋" w:hAnsi="仿宋" w:eastAsia="仿宋" w:cs="仿宋"/>
          <w:color w:val="auto"/>
          <w:sz w:val="32"/>
          <w:szCs w:val="32"/>
          <w:highlight w:val="none"/>
          <w:shd w:val="clear" w:color="auto" w:fill="FFFFFF"/>
          <w:lang w:eastAsia="zh-CN"/>
        </w:rPr>
        <w:t>作为政策宣传材料排入文件显眼版块中。（详见：附件</w:t>
      </w:r>
      <w:r>
        <w:rPr>
          <w:rFonts w:hint="eastAsia" w:ascii="仿宋" w:hAnsi="仿宋" w:eastAsia="仿宋" w:cs="仿宋"/>
          <w:color w:val="auto"/>
          <w:sz w:val="32"/>
          <w:szCs w:val="32"/>
          <w:highlight w:val="none"/>
          <w:shd w:val="clear" w:color="auto" w:fill="FFFFFF"/>
          <w:lang w:val="en-US" w:eastAsia="zh-CN"/>
        </w:rPr>
        <w:t>2至附件4</w:t>
      </w:r>
      <w:r>
        <w:rPr>
          <w:rFonts w:hint="eastAsia" w:ascii="仿宋" w:hAnsi="仿宋" w:eastAsia="仿宋" w:cs="仿宋"/>
          <w:color w:val="auto"/>
          <w:sz w:val="32"/>
          <w:szCs w:val="32"/>
          <w:highlight w:val="none"/>
          <w:shd w:val="clear" w:color="auto" w:fill="FFFFFF"/>
          <w:lang w:eastAsia="zh-CN"/>
        </w:rPr>
        <w:t>）。</w:t>
      </w:r>
    </w:p>
    <w:p w14:paraId="58E361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二、采购人应及时配合签订政府采购合同，督促采购代理机构按时完成合同公告工作（政府采购公告法定网站“广西政府采购网”），缩短“政采贷”办理时间。采购人应主动向中标（成交）供应商宣传“政采贷”相关政策，配合、协助其在“中征应收账款融资服务平台”向相关金融机构申请“政采贷”。</w:t>
      </w:r>
    </w:p>
    <w:p w14:paraId="73E21F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三、采购人应将中标（成交）供应商与金融机构签订《“政采贷”融资协议》的“融资回款账户”作为唯一收款人账户，将政府采购项目资金支付至“融资回款账户”。《“政采贷”融资协议》的“融资回款账户”应与《政府采购合同》的“收款人账户”保持一致。如不一致，采购人应配合以补充协议的方式将《政府采购合同》的“收款人账户”修改与其保持一致。</w:t>
      </w:r>
    </w:p>
    <w:p w14:paraId="78CA4C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
      </w:pPr>
    </w:p>
    <w:p w14:paraId="1EDB3697">
      <w:pPr>
        <w:pStyle w:val="18"/>
        <w:keepNext w:val="0"/>
        <w:keepLines w:val="0"/>
        <w:pageBreakBefore w:val="0"/>
        <w:widowControl w:val="0"/>
        <w:kinsoku/>
        <w:wordWrap/>
        <w:overflowPunct/>
        <w:topLinePunct w:val="0"/>
        <w:autoSpaceDE/>
        <w:autoSpaceDN/>
        <w:bidi w:val="0"/>
        <w:adjustRightInd/>
        <w:snapToGrid/>
        <w:spacing w:after="0" w:line="560" w:lineRule="exact"/>
        <w:ind w:left="1700" w:leftChars="200" w:hanging="1280" w:hangingChars="4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附件：</w:t>
      </w:r>
      <w:r>
        <w:rPr>
          <w:rFonts w:hint="eastAsia" w:ascii="仿宋" w:hAnsi="仿宋" w:eastAsia="仿宋" w:cs="仿宋"/>
          <w:color w:val="auto"/>
          <w:sz w:val="32"/>
          <w:szCs w:val="32"/>
          <w:highlight w:val="none"/>
          <w:lang w:val="en-US" w:eastAsia="zh-CN"/>
        </w:rPr>
        <w:t>1.中国人民银行崇左市中心支行 崇左市财政局转发关于推广线上“政采贷”融资模式文件的通知</w:t>
      </w:r>
    </w:p>
    <w:p w14:paraId="7593F2E5">
      <w:pPr>
        <w:pStyle w:val="18"/>
        <w:keepNext w:val="0"/>
        <w:keepLines w:val="0"/>
        <w:pageBreakBefore w:val="0"/>
        <w:widowControl w:val="0"/>
        <w:kinsoku/>
        <w:wordWrap/>
        <w:overflowPunct/>
        <w:topLinePunct w:val="0"/>
        <w:autoSpaceDE/>
        <w:autoSpaceDN/>
        <w:bidi w:val="0"/>
        <w:adjustRightInd/>
        <w:snapToGrid/>
        <w:spacing w:after="0" w:line="560" w:lineRule="exact"/>
        <w:ind w:left="0" w:leftChars="0" w:firstLine="1600" w:firstLineChars="5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2.崇左市线上“政采贷”政策告知函</w:t>
      </w:r>
    </w:p>
    <w:p w14:paraId="64A351DC">
      <w:pPr>
        <w:pStyle w:val="18"/>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w:t>
      </w:r>
      <w:r>
        <w:rPr>
          <w:rFonts w:hint="eastAsia" w:ascii="仿宋" w:hAnsi="仿宋" w:eastAsia="仿宋" w:cs="仿宋"/>
          <w:color w:val="auto"/>
          <w:kern w:val="2"/>
          <w:sz w:val="32"/>
          <w:szCs w:val="32"/>
          <w:highlight w:val="none"/>
          <w:lang w:val="en-US" w:eastAsia="zh-CN" w:bidi="ar-SA"/>
        </w:rPr>
        <w:t>3.</w:t>
      </w:r>
      <w:r>
        <w:rPr>
          <w:rFonts w:hint="eastAsia" w:ascii="仿宋" w:hAnsi="仿宋" w:eastAsia="仿宋" w:cs="仿宋"/>
          <w:color w:val="auto"/>
          <w:sz w:val="32"/>
          <w:szCs w:val="32"/>
          <w:highlight w:val="none"/>
          <w:lang w:val="en-US" w:eastAsia="zh-CN"/>
        </w:rPr>
        <w:t>崇左市线上“政采贷”业务流程图</w:t>
      </w:r>
    </w:p>
    <w:p w14:paraId="68829915">
      <w:pPr>
        <w:pStyle w:val="18"/>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4.</w:t>
      </w:r>
      <w:r>
        <w:rPr>
          <w:rFonts w:hint="eastAsia" w:ascii="仿宋" w:hAnsi="仿宋" w:eastAsia="仿宋" w:cs="仿宋"/>
          <w:color w:val="auto"/>
          <w:sz w:val="32"/>
          <w:szCs w:val="32"/>
          <w:highlight w:val="none"/>
          <w:lang w:eastAsia="zh-CN"/>
        </w:rPr>
        <w:t>崇左</w:t>
      </w:r>
      <w:r>
        <w:rPr>
          <w:rFonts w:hint="eastAsia" w:ascii="仿宋" w:hAnsi="仿宋" w:eastAsia="仿宋" w:cs="仿宋"/>
          <w:color w:val="auto"/>
          <w:sz w:val="32"/>
          <w:szCs w:val="32"/>
          <w:highlight w:val="none"/>
        </w:rPr>
        <w:t>市金融机构</w:t>
      </w:r>
      <w:r>
        <w:rPr>
          <w:rFonts w:hint="eastAsia" w:ascii="仿宋" w:hAnsi="仿宋" w:eastAsia="仿宋" w:cs="仿宋"/>
          <w:color w:val="auto"/>
          <w:sz w:val="32"/>
          <w:szCs w:val="32"/>
          <w:highlight w:val="none"/>
          <w:lang w:eastAsia="zh-CN"/>
        </w:rPr>
        <w:t>线上</w:t>
      </w:r>
      <w:r>
        <w:rPr>
          <w:rFonts w:hint="eastAsia" w:ascii="仿宋" w:hAnsi="仿宋" w:eastAsia="仿宋" w:cs="仿宋"/>
          <w:color w:val="auto"/>
          <w:sz w:val="32"/>
          <w:szCs w:val="32"/>
          <w:highlight w:val="none"/>
        </w:rPr>
        <w:t>“政采贷”业务办理联络表</w:t>
      </w:r>
    </w:p>
    <w:p w14:paraId="7AF2EF08">
      <w:pPr>
        <w:pStyle w:val="18"/>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left"/>
        <w:textAlignment w:val="auto"/>
        <w:rPr>
          <w:rFonts w:ascii="仿宋_GB2312" w:eastAsia="仿宋_GB2312"/>
          <w:color w:val="auto"/>
          <w:highlight w:val="none"/>
        </w:rPr>
      </w:pPr>
    </w:p>
    <w:p w14:paraId="5FAA3109">
      <w:pPr>
        <w:pStyle w:val="18"/>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left"/>
        <w:textAlignment w:val="auto"/>
        <w:rPr>
          <w:rFonts w:ascii="仿宋_GB2312" w:eastAsia="仿宋_GB2312"/>
          <w:color w:val="auto"/>
          <w:highlight w:val="none"/>
        </w:rPr>
      </w:pPr>
    </w:p>
    <w:p w14:paraId="02756579">
      <w:pPr>
        <w:pStyle w:val="18"/>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left"/>
        <w:textAlignment w:val="auto"/>
        <w:rPr>
          <w:rFonts w:ascii="仿宋_GB2312" w:eastAsia="仿宋_GB2312"/>
          <w:color w:val="auto"/>
          <w:highlight w:val="none"/>
        </w:rPr>
      </w:pPr>
    </w:p>
    <w:p w14:paraId="47D68349">
      <w:pPr>
        <w:pStyle w:val="18"/>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left"/>
        <w:textAlignment w:val="auto"/>
        <w:rPr>
          <w:rFonts w:ascii="仿宋_GB2312" w:eastAsia="仿宋_GB2312"/>
          <w:color w:val="auto"/>
          <w:highlight w:val="none"/>
        </w:rPr>
      </w:pPr>
    </w:p>
    <w:p w14:paraId="7B0386E7">
      <w:pPr>
        <w:keepNext w:val="0"/>
        <w:keepLines w:val="0"/>
        <w:pageBreakBefore w:val="0"/>
        <w:widowControl w:val="0"/>
        <w:kinsoku/>
        <w:wordWrap/>
        <w:overflowPunct/>
        <w:topLinePunct w:val="0"/>
        <w:autoSpaceDE/>
        <w:autoSpaceDN/>
        <w:bidi w:val="0"/>
        <w:adjustRightInd/>
        <w:snapToGrid/>
        <w:spacing w:line="560" w:lineRule="exact"/>
        <w:ind w:firstLine="630" w:firstLineChars="300"/>
        <w:jc w:val="right"/>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highlight w:val="none"/>
        </w:rPr>
        <w:t xml:space="preserve">                       </w:t>
      </w:r>
      <w:r>
        <w:rPr>
          <w:rFonts w:hint="eastAsia" w:ascii="仿宋_GB2312" w:eastAsia="仿宋_GB2312"/>
          <w:color w:val="auto"/>
          <w:sz w:val="32"/>
          <w:szCs w:val="32"/>
          <w:highlight w:val="none"/>
        </w:rPr>
        <w:t xml:space="preserve">    </w:t>
      </w:r>
      <w:r>
        <w:rPr>
          <w:rFonts w:hint="eastAsia" w:ascii="仿宋_GB2312" w:eastAsia="仿宋_GB2312"/>
          <w:color w:val="auto"/>
          <w:sz w:val="32"/>
          <w:szCs w:val="32"/>
          <w:highlight w:val="none"/>
          <w:lang w:eastAsia="zh-CN"/>
        </w:rPr>
        <w:t>崇左</w:t>
      </w:r>
      <w:r>
        <w:rPr>
          <w:rFonts w:hint="eastAsia" w:ascii="仿宋_GB2312" w:eastAsia="仿宋_GB2312"/>
          <w:color w:val="auto"/>
          <w:sz w:val="32"/>
          <w:szCs w:val="32"/>
          <w:highlight w:val="none"/>
        </w:rPr>
        <w:t>市财政局</w:t>
      </w:r>
      <w:r>
        <w:rPr>
          <w:rFonts w:hint="eastAsia" w:ascii="仿宋_GB2312" w:eastAsia="仿宋_GB2312"/>
          <w:color w:val="auto"/>
          <w:sz w:val="32"/>
          <w:szCs w:val="32"/>
          <w:highlight w:val="none"/>
          <w:lang w:val="en-US" w:eastAsia="zh-CN"/>
        </w:rPr>
        <w:t xml:space="preserve"> </w:t>
      </w:r>
    </w:p>
    <w:p w14:paraId="0EC0CDA0">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right"/>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7</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w:t>
      </w:r>
      <w:r>
        <w:rPr>
          <w:rFonts w:hint="eastAsia" w:ascii="仿宋_GB2312" w:eastAsia="仿宋_GB2312"/>
          <w:color w:val="auto"/>
          <w:sz w:val="32"/>
          <w:szCs w:val="32"/>
          <w:highlight w:val="none"/>
        </w:rPr>
        <w:t>日</w:t>
      </w:r>
    </w:p>
    <w:p w14:paraId="1BA25C08">
      <w:pPr>
        <w:pStyle w:val="2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auto"/>
          <w:highlight w:val="none"/>
        </w:rPr>
      </w:pPr>
    </w:p>
    <w:p w14:paraId="47090C0F">
      <w:pPr>
        <w:spacing w:line="560" w:lineRule="exact"/>
        <w:jc w:val="left"/>
        <w:rPr>
          <w:rFonts w:hint="eastAsia" w:ascii="仿宋_GB2312" w:hAnsi="仿宋_GB2312" w:eastAsia="仿宋_GB2312" w:cs="仿宋_GB2312"/>
          <w:b/>
          <w:bCs/>
          <w:color w:val="auto"/>
          <w:sz w:val="28"/>
          <w:szCs w:val="28"/>
          <w:highlight w:val="none"/>
        </w:rPr>
      </w:pPr>
    </w:p>
    <w:p w14:paraId="6FBE604C">
      <w:pPr>
        <w:pStyle w:val="28"/>
        <w:rPr>
          <w:rFonts w:hint="eastAsia" w:ascii="仿宋_GB2312" w:hAnsi="仿宋_GB2312" w:eastAsia="仿宋_GB2312" w:cs="仿宋_GB2312"/>
          <w:b/>
          <w:bCs/>
          <w:color w:val="auto"/>
          <w:sz w:val="28"/>
          <w:szCs w:val="28"/>
          <w:highlight w:val="none"/>
        </w:rPr>
      </w:pPr>
    </w:p>
    <w:p w14:paraId="2F1D906E">
      <w:pPr>
        <w:rPr>
          <w:rFonts w:hint="eastAsia"/>
          <w:color w:val="auto"/>
          <w:highlight w:val="none"/>
        </w:rPr>
      </w:pPr>
    </w:p>
    <w:p w14:paraId="38C096DF">
      <w:pPr>
        <w:pStyle w:val="28"/>
        <w:rPr>
          <w:rFonts w:hint="eastAsia"/>
          <w:color w:val="auto"/>
          <w:highlight w:val="none"/>
        </w:rPr>
      </w:pPr>
    </w:p>
    <w:p w14:paraId="2667EB1A">
      <w:pPr>
        <w:pStyle w:val="28"/>
        <w:rPr>
          <w:rFonts w:hint="eastAsia"/>
          <w:color w:val="auto"/>
          <w:highlight w:val="none"/>
        </w:rPr>
      </w:pPr>
    </w:p>
    <w:p w14:paraId="15814764">
      <w:pPr>
        <w:rPr>
          <w:rFonts w:hint="eastAsia"/>
          <w:color w:val="auto"/>
          <w:highlight w:val="none"/>
        </w:rPr>
      </w:pPr>
    </w:p>
    <w:p w14:paraId="1D047795">
      <w:pPr>
        <w:spacing w:line="560" w:lineRule="exact"/>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公开方式：</w:t>
      </w:r>
      <w:r>
        <w:rPr>
          <w:rFonts w:hint="eastAsia" w:ascii="仿宋_GB2312" w:hAnsi="仿宋_GB2312" w:eastAsia="仿宋_GB2312" w:cs="仿宋_GB2312"/>
          <w:b/>
          <w:bCs/>
          <w:color w:val="auto"/>
          <w:sz w:val="28"/>
          <w:szCs w:val="28"/>
          <w:highlight w:val="none"/>
          <w:lang w:eastAsia="zh-CN"/>
        </w:rPr>
        <w:t>主动</w:t>
      </w:r>
      <w:r>
        <w:rPr>
          <w:rFonts w:hint="eastAsia" w:ascii="仿宋_GB2312" w:hAnsi="仿宋_GB2312" w:eastAsia="仿宋_GB2312" w:cs="仿宋_GB2312"/>
          <w:b/>
          <w:bCs/>
          <w:color w:val="auto"/>
          <w:sz w:val="28"/>
          <w:szCs w:val="28"/>
          <w:highlight w:val="none"/>
        </w:rPr>
        <w:t>公开</w:t>
      </w:r>
    </w:p>
    <w:p w14:paraId="1980D54E">
      <w:pPr>
        <w:spacing w:line="560" w:lineRule="exact"/>
        <w:jc w:val="both"/>
        <w:rPr>
          <w:rFonts w:hint="eastAsia" w:ascii="仿宋_GB2312" w:hAnsi="仿宋_GB2312" w:eastAsia="仿宋_GB2312" w:cs="仿宋_GB2312"/>
          <w:b w:val="0"/>
          <w:color w:val="auto"/>
          <w:w w:val="100"/>
          <w:kern w:val="0"/>
          <w:sz w:val="28"/>
          <w:szCs w:val="28"/>
          <w:highlight w:val="none"/>
          <w:shd w:val="clear" w:color="auto" w:fill="FFFFFF"/>
          <w:lang w:bidi="ar"/>
        </w:rPr>
      </w:pPr>
      <w:r>
        <w:rPr>
          <w:rFonts w:hint="eastAsia" w:ascii="仿宋_GB2312" w:hAnsi="仿宋_GB2312" w:eastAsia="仿宋_GB2312" w:cs="仿宋_GB2312"/>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20320</wp:posOffset>
                </wp:positionH>
                <wp:positionV relativeFrom="paragraph">
                  <wp:posOffset>380365</wp:posOffset>
                </wp:positionV>
                <wp:extent cx="5615940" cy="0"/>
                <wp:effectExtent l="0" t="4445" r="0" b="5080"/>
                <wp:wrapNone/>
                <wp:docPr id="42" name="直接箭头连接符 42"/>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margin-left:1.6pt;margin-top:29.95pt;height:0pt;width:442.2pt;z-index:251661312;mso-width-relative:page;mso-height-relative:page;" filled="f" stroked="t" coordsize="21600,21600" o:gfxdata="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m54RZdUAAAAHAQAADwAAAAAAAAABACAAAAAiAAAAZHJzL2Rvd25yZXYueG1s&#10;UEsBAhQAFAAAAAgAh07iQAg9kwn7AQAAzgMAAA4AAAAAAAAAAQAgAAAAJAEAAGRycy9lMm9Eb2Mu&#10;eG1sUEsFBgAAAAAGAAYAWQEAAJEFAAAAAA==&#10;">
                <v:fill on="f" focussize="0,0"/>
                <v:stroke color="#000000" joinstyle="round"/>
                <v:imagedata o:title=""/>
                <o:lock v:ext="edit" aspectratio="f"/>
              </v:shape>
            </w:pict>
          </mc:Fallback>
        </mc:AlternateContent>
      </w:r>
      <w:r>
        <w:rPr>
          <w:rFonts w:hint="eastAsia" w:ascii="仿宋_GB2312" w:hAnsi="仿宋_GB2312" w:eastAsia="仿宋_GB2312" w:cs="仿宋_GB2312"/>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20320</wp:posOffset>
                </wp:positionH>
                <wp:positionV relativeFrom="paragraph">
                  <wp:posOffset>46990</wp:posOffset>
                </wp:positionV>
                <wp:extent cx="5615940" cy="0"/>
                <wp:effectExtent l="0" t="4445" r="0" b="5080"/>
                <wp:wrapNone/>
                <wp:docPr id="41" name="直接箭头连接符 41"/>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margin-left:1.6pt;margin-top:3.7pt;height:0pt;width:442.2pt;z-index:251660288;mso-width-relative:page;mso-height-relative:page;" filled="f" stroked="t" coordsize="21600,21600" o:gfxdata="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SiuZ7UAAAABQEAAA8AAAAAAAAAAQAgAAAAIgAAAGRycy9kb3ducmV2LnhtbFBL&#10;AQIUABQAAAAIAIdO4kB04WUe+gEAAM4DAAAOAAAAAAAAAAEAIAAAACMBAABkcnMvZTJvRG9jLnht&#10;bFBLBQYAAAAABgAGAFkBAACPBQAAAAA=&#10;">
                <v:fill on="f" focussize="0,0"/>
                <v:stroke color="#000000" joinstyle="round"/>
                <v:imagedata o:title=""/>
                <o:lock v:ext="edit" aspectratio="f"/>
              </v:shape>
            </w:pict>
          </mc:Fallback>
        </mc:AlternateContent>
      </w:r>
      <w:r>
        <w:rPr>
          <w:rFonts w:hint="eastAsia" w:ascii="仿宋_GB2312" w:hAnsi="仿宋_GB2312" w:eastAsia="仿宋_GB2312" w:cs="仿宋_GB2312"/>
          <w:color w:val="auto"/>
          <w:sz w:val="28"/>
          <w:szCs w:val="28"/>
          <w:highlight w:val="none"/>
          <w:lang w:eastAsia="zh-CN"/>
        </w:rPr>
        <w:t>崇左市财政局办公室</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2023</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lang w:val="en-US" w:eastAsia="zh-CN"/>
        </w:rPr>
        <w:t>31</w:t>
      </w:r>
      <w:r>
        <w:rPr>
          <w:rFonts w:hint="eastAsia" w:ascii="仿宋_GB2312" w:hAnsi="仿宋_GB2312" w:eastAsia="仿宋_GB2312" w:cs="仿宋_GB2312"/>
          <w:color w:val="auto"/>
          <w:sz w:val="28"/>
          <w:szCs w:val="28"/>
          <w:highlight w:val="none"/>
        </w:rPr>
        <w:t>日印发</w:t>
      </w:r>
    </w:p>
    <w:p w14:paraId="5AE56B9A">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color w:val="auto"/>
          <w:sz w:val="32"/>
          <w:szCs w:val="32"/>
          <w:highlight w:val="none"/>
          <w:lang w:val="zh-CN"/>
        </w:rPr>
      </w:pPr>
    </w:p>
    <w:p w14:paraId="3562C2ED">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color w:val="auto"/>
          <w:sz w:val="32"/>
          <w:szCs w:val="32"/>
          <w:highlight w:val="none"/>
          <w:lang w:val="zh-CN"/>
        </w:rPr>
      </w:pPr>
    </w:p>
    <w:p w14:paraId="0E27C360">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lang w:val="en-US" w:eastAsia="zh-CN"/>
        </w:rPr>
        <w:t>2</w:t>
      </w:r>
    </w:p>
    <w:p w14:paraId="19A7FD91">
      <w:pPr>
        <w:pStyle w:val="28"/>
        <w:rPr>
          <w:rFonts w:hint="eastAsia"/>
          <w:color w:val="auto"/>
          <w:highlight w:val="none"/>
          <w:lang w:val="en-US" w:eastAsia="zh-CN"/>
        </w:rPr>
      </w:pPr>
    </w:p>
    <w:p w14:paraId="1836DD44">
      <w:pPr>
        <w:spacing w:line="580" w:lineRule="exact"/>
        <w:jc w:val="center"/>
        <w:rPr>
          <w:rFonts w:hint="eastAsia" w:ascii="方正小标宋_GBK" w:eastAsia="方正小标宋_GBK"/>
          <w:color w:val="auto"/>
          <w:sz w:val="44"/>
          <w:szCs w:val="44"/>
          <w:highlight w:val="none"/>
        </w:rPr>
      </w:pPr>
      <w:r>
        <w:rPr>
          <w:rFonts w:hint="eastAsia" w:ascii="方正小标宋_GBK" w:eastAsia="方正小标宋_GBK"/>
          <w:color w:val="auto"/>
          <w:sz w:val="44"/>
          <w:szCs w:val="44"/>
          <w:highlight w:val="none"/>
          <w:lang w:eastAsia="zh-CN"/>
        </w:rPr>
        <w:t>崇左市</w:t>
      </w:r>
      <w:r>
        <w:rPr>
          <w:rFonts w:hint="eastAsia" w:ascii="方正小标宋_GBK" w:eastAsia="方正小标宋_GBK"/>
          <w:color w:val="auto"/>
          <w:sz w:val="44"/>
          <w:szCs w:val="44"/>
          <w:highlight w:val="none"/>
        </w:rPr>
        <w:t>线上“政采贷”政策告知函</w:t>
      </w:r>
    </w:p>
    <w:p w14:paraId="6828B030">
      <w:pPr>
        <w:spacing w:line="580" w:lineRule="exact"/>
        <w:ind w:firstLine="420" w:firstLineChars="200"/>
        <w:rPr>
          <w:color w:val="auto"/>
          <w:szCs w:val="32"/>
          <w:highlight w:val="none"/>
        </w:rPr>
      </w:pPr>
    </w:p>
    <w:p w14:paraId="4ACB9D65">
      <w:pPr>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61BEA68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w:t>
      </w:r>
      <w:r>
        <w:rPr>
          <w:rFonts w:hint="eastAsia" w:ascii="仿宋_GB2312" w:hAnsi="仿宋_GB2312" w:eastAsia="仿宋_GB2312" w:cs="仿宋_GB2312"/>
          <w:color w:val="auto"/>
          <w:sz w:val="32"/>
          <w:szCs w:val="32"/>
          <w:highlight w:val="none"/>
          <w:lang w:eastAsia="zh-CN"/>
        </w:rPr>
        <w:t>崇左市</w:t>
      </w:r>
      <w:r>
        <w:rPr>
          <w:rFonts w:hint="eastAsia" w:ascii="仿宋_GB2312" w:hAnsi="仿宋_GB2312" w:eastAsia="仿宋_GB2312" w:cs="仿宋_GB2312"/>
          <w:color w:val="auto"/>
          <w:sz w:val="32"/>
          <w:szCs w:val="32"/>
          <w:highlight w:val="none"/>
        </w:rPr>
        <w:t>政府采购活动！</w:t>
      </w:r>
    </w:p>
    <w:p w14:paraId="3A6C8FA8">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仿宋_GB2312" w:hAnsi="仿宋_GB2312" w:eastAsia="仿宋_GB2312" w:cs="仿宋_GB2312"/>
          <w:color w:val="auto"/>
          <w:kern w:val="2"/>
          <w:sz w:val="32"/>
          <w:szCs w:val="32"/>
          <w:highlight w:val="none"/>
          <w:lang w:val="en-US" w:eastAsia="zh-CN" w:bidi="ar-SA"/>
        </w:rPr>
        <w:t>银行业金融机构</w:t>
      </w:r>
      <w:r>
        <w:rPr>
          <w:rFonts w:hint="eastAsia" w:ascii="仿宋_GB2312" w:hAnsi="仿宋_GB2312" w:eastAsia="仿宋_GB2312" w:cs="仿宋_GB2312"/>
          <w:color w:val="auto"/>
          <w:sz w:val="32"/>
          <w:szCs w:val="32"/>
          <w:highlight w:val="none"/>
        </w:rPr>
        <w:t>申请贷款，融资机构将根据《中国人民银行南宁中心支行 广西壮族自治区财政厅关于推广线上“政采贷”融资模式的通知》（南宁银发〔2021〕</w:t>
      </w:r>
      <w:r>
        <w:rPr>
          <w:rFonts w:hint="eastAsia" w:ascii="仿宋_GB2312" w:hAnsi="仿宋_GB2312" w:eastAsia="仿宋_GB2312" w:cs="仿宋_GB2312"/>
          <w:color w:val="auto"/>
          <w:sz w:val="32"/>
          <w:szCs w:val="32"/>
          <w:highlight w:val="none"/>
          <w:lang w:val="en-US" w:eastAsia="zh-CN"/>
        </w:rPr>
        <w:t>258</w:t>
      </w:r>
      <w:r>
        <w:rPr>
          <w:rFonts w:hint="eastAsia" w:ascii="仿宋_GB2312" w:hAnsi="仿宋_GB2312" w:eastAsia="仿宋_GB2312" w:cs="仿宋_GB2312"/>
          <w:color w:val="auto"/>
          <w:sz w:val="32"/>
          <w:szCs w:val="32"/>
          <w:highlight w:val="none"/>
        </w:rPr>
        <w:t>号），按照双方自愿的原则提供便捷、优惠的贷款服务。</w:t>
      </w:r>
    </w:p>
    <w:p w14:paraId="18B87F9B">
      <w:pPr>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相关金融产品和</w:t>
      </w:r>
      <w:r>
        <w:rPr>
          <w:rFonts w:hint="eastAsia" w:ascii="仿宋_GB2312" w:hAnsi="仿宋_GB2312" w:eastAsia="仿宋_GB2312" w:cs="仿宋_GB2312"/>
          <w:color w:val="auto"/>
          <w:kern w:val="2"/>
          <w:sz w:val="32"/>
          <w:szCs w:val="32"/>
          <w:highlight w:val="none"/>
          <w:lang w:val="en-US" w:eastAsia="zh-CN" w:bidi="ar-SA"/>
        </w:rPr>
        <w:t>银行业金融机构</w:t>
      </w:r>
      <w:r>
        <w:rPr>
          <w:rFonts w:hint="eastAsia" w:ascii="仿宋_GB2312" w:hAnsi="仿宋_GB2312" w:eastAsia="仿宋_GB2312" w:cs="仿宋_GB2312"/>
          <w:color w:val="auto"/>
          <w:sz w:val="32"/>
          <w:szCs w:val="32"/>
          <w:highlight w:val="none"/>
        </w:rPr>
        <w:t>联系方式，可在中征应收账款融资服务平台查询</w:t>
      </w:r>
      <w:r>
        <w:rPr>
          <w:rFonts w:hint="eastAsia" w:ascii="仿宋_GB2312" w:hAnsi="仿宋_GB2312" w:eastAsia="仿宋_GB2312" w:cs="仿宋_GB2312"/>
          <w:color w:val="auto"/>
          <w:sz w:val="32"/>
          <w:szCs w:val="32"/>
          <w:highlight w:val="none"/>
          <w:lang w:eastAsia="zh-CN"/>
        </w:rPr>
        <w:t>（网址：，客服电话：</w:t>
      </w:r>
      <w:r>
        <w:rPr>
          <w:rFonts w:hint="eastAsia" w:ascii="仿宋_GB2312" w:hAnsi="仿宋_GB2312" w:eastAsia="仿宋_GB2312" w:cs="仿宋_GB2312"/>
          <w:color w:val="auto"/>
          <w:sz w:val="32"/>
          <w:szCs w:val="32"/>
          <w:highlight w:val="none"/>
          <w:lang w:val="en-US" w:eastAsia="zh-CN"/>
        </w:rPr>
        <w:t>400-009-0001</w:t>
      </w:r>
      <w:r>
        <w:rPr>
          <w:rFonts w:hint="eastAsia" w:ascii="仿宋_GB2312" w:hAnsi="仿宋_GB2312" w:eastAsia="仿宋_GB2312" w:cs="仿宋_GB2312"/>
          <w:color w:val="auto"/>
          <w:sz w:val="32"/>
          <w:szCs w:val="32"/>
          <w:highlight w:val="none"/>
          <w:lang w:eastAsia="zh-CN"/>
        </w:rPr>
        <w:t>）。</w:t>
      </w:r>
    </w:p>
    <w:p w14:paraId="689549CC">
      <w:pPr>
        <w:pStyle w:val="28"/>
        <w:rPr>
          <w:rFonts w:hint="eastAsia" w:ascii="仿宋_GB2312" w:hAnsi="仿宋_GB2312" w:eastAsia="仿宋_GB2312" w:cs="仿宋_GB2312"/>
          <w:color w:val="auto"/>
          <w:szCs w:val="32"/>
          <w:highlight w:val="none"/>
          <w:lang w:eastAsia="zh-CN"/>
        </w:rPr>
      </w:pPr>
    </w:p>
    <w:p w14:paraId="7F56FDAF">
      <w:pPr>
        <w:rPr>
          <w:rFonts w:hint="eastAsia" w:ascii="仿宋_GB2312" w:hAnsi="仿宋_GB2312" w:cs="仿宋_GB2312"/>
          <w:color w:val="auto"/>
          <w:szCs w:val="32"/>
          <w:highlight w:val="none"/>
          <w:lang w:eastAsia="zh-CN"/>
        </w:rPr>
      </w:pPr>
    </w:p>
    <w:p w14:paraId="306BBE6C">
      <w:pPr>
        <w:pStyle w:val="28"/>
        <w:rPr>
          <w:rFonts w:hint="eastAsia" w:ascii="仿宋_GB2312" w:hAnsi="仿宋_GB2312" w:cs="仿宋_GB2312"/>
          <w:color w:val="auto"/>
          <w:szCs w:val="32"/>
          <w:highlight w:val="none"/>
          <w:lang w:eastAsia="zh-CN"/>
        </w:rPr>
      </w:pPr>
    </w:p>
    <w:p w14:paraId="2E193A52">
      <w:pPr>
        <w:rPr>
          <w:rFonts w:hint="eastAsia" w:ascii="仿宋_GB2312" w:hAnsi="仿宋_GB2312" w:cs="仿宋_GB2312"/>
          <w:color w:val="auto"/>
          <w:szCs w:val="32"/>
          <w:highlight w:val="none"/>
          <w:lang w:eastAsia="zh-CN"/>
        </w:rPr>
      </w:pPr>
    </w:p>
    <w:p w14:paraId="6AFD235A">
      <w:pPr>
        <w:rPr>
          <w:rFonts w:hint="eastAsia" w:ascii="仿宋_GB2312" w:hAnsi="仿宋_GB2312" w:cs="仿宋_GB2312"/>
          <w:color w:val="auto"/>
          <w:szCs w:val="32"/>
          <w:highlight w:val="none"/>
          <w:lang w:eastAsia="zh-CN"/>
        </w:rPr>
      </w:pPr>
    </w:p>
    <w:p w14:paraId="56DDE65F">
      <w:pPr>
        <w:pStyle w:val="28"/>
        <w:rPr>
          <w:rFonts w:hint="eastAsia" w:ascii="仿宋_GB2312" w:hAnsi="仿宋_GB2312" w:cs="仿宋_GB2312"/>
          <w:color w:val="auto"/>
          <w:szCs w:val="32"/>
          <w:highlight w:val="none"/>
          <w:lang w:eastAsia="zh-CN"/>
        </w:rPr>
      </w:pPr>
    </w:p>
    <w:p w14:paraId="5C60A11B">
      <w:pPr>
        <w:spacing w:line="540" w:lineRule="exact"/>
        <w:rPr>
          <w:rFonts w:hint="eastAsia" w:ascii="黑体" w:hAnsi="黑体" w:eastAsia="黑体" w:cs="黑体"/>
          <w:color w:val="auto"/>
          <w:szCs w:val="32"/>
          <w:highlight w:val="none"/>
        </w:rPr>
      </w:pPr>
    </w:p>
    <w:p w14:paraId="5A00F8FE">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color w:val="auto"/>
          <w:sz w:val="32"/>
          <w:szCs w:val="32"/>
          <w:highlight w:val="none"/>
          <w:lang w:val="zh-CN"/>
        </w:rPr>
      </w:pPr>
    </w:p>
    <w:p w14:paraId="0324C196">
      <w:pPr>
        <w:rPr>
          <w:rFonts w:hint="eastAsia" w:ascii="黑体" w:hAnsi="黑体" w:eastAsia="黑体" w:cs="黑体"/>
          <w:color w:val="auto"/>
          <w:sz w:val="32"/>
          <w:szCs w:val="32"/>
          <w:highlight w:val="none"/>
          <w:lang w:val="zh-CN"/>
        </w:rPr>
      </w:pPr>
      <w:r>
        <w:rPr>
          <w:rFonts w:hint="eastAsia" w:ascii="黑体" w:hAnsi="黑体" w:eastAsia="黑体" w:cs="黑体"/>
          <w:color w:val="auto"/>
          <w:sz w:val="32"/>
          <w:szCs w:val="32"/>
          <w:highlight w:val="none"/>
          <w:lang w:val="zh-CN"/>
        </w:rPr>
        <w:br w:type="page"/>
      </w:r>
    </w:p>
    <w:p w14:paraId="52C78271">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zh-CN"/>
        </w:rPr>
        <w:t>附</w:t>
      </w:r>
      <w:r>
        <w:rPr>
          <w:rFonts w:hint="eastAsia" w:ascii="黑体" w:hAnsi="黑体" w:eastAsia="黑体" w:cs="黑体"/>
          <w:color w:val="auto"/>
          <w:sz w:val="32"/>
          <w:szCs w:val="32"/>
          <w:highlight w:val="none"/>
          <w:lang w:val="zh-CN" w:eastAsia="zh-CN"/>
        </w:rPr>
        <w:t>件</w:t>
      </w:r>
      <w:r>
        <w:rPr>
          <w:rFonts w:hint="eastAsia" w:ascii="黑体" w:hAnsi="黑体" w:eastAsia="黑体" w:cs="黑体"/>
          <w:color w:val="auto"/>
          <w:sz w:val="32"/>
          <w:szCs w:val="32"/>
          <w:highlight w:val="none"/>
          <w:lang w:val="en-US" w:eastAsia="zh-CN"/>
        </w:rPr>
        <w:t>3</w:t>
      </w:r>
    </w:p>
    <w:p w14:paraId="2B3D34C5">
      <w:pPr>
        <w:pStyle w:val="28"/>
        <w:rPr>
          <w:rFonts w:hint="default"/>
          <w:color w:val="auto"/>
          <w:highlight w:val="none"/>
          <w:lang w:val="en-US" w:eastAsia="zh-CN"/>
        </w:rPr>
      </w:pPr>
    </w:p>
    <w:p w14:paraId="30FD7306">
      <w:pPr>
        <w:spacing w:beforeLines="0" w:afterLines="0" w:line="600" w:lineRule="exact"/>
        <w:jc w:val="center"/>
        <w:rPr>
          <w:rFonts w:hint="eastAsia" w:ascii="黑体" w:hAnsi="黑体" w:eastAsia="黑体" w:cs="黑体"/>
          <w:color w:val="auto"/>
          <w:sz w:val="44"/>
          <w:szCs w:val="44"/>
          <w:highlight w:val="none"/>
        </w:rPr>
      </w:pPr>
      <w:r>
        <w:rPr>
          <w:rFonts w:hint="eastAsia" w:ascii="方正小标宋_GBK" w:eastAsia="方正小标宋_GBK"/>
          <w:color w:val="auto"/>
          <w:sz w:val="44"/>
          <w:szCs w:val="44"/>
          <w:highlight w:val="none"/>
          <w:lang w:eastAsia="zh-CN"/>
        </w:rPr>
        <w:t>崇左市</w:t>
      </w:r>
      <w:r>
        <w:rPr>
          <w:rFonts w:hint="eastAsia" w:ascii="方正小标宋_GBK" w:eastAsia="方正小标宋_GBK"/>
          <w:color w:val="auto"/>
          <w:sz w:val="44"/>
          <w:szCs w:val="44"/>
          <w:highlight w:val="none"/>
        </w:rPr>
        <w:t>线上“政采贷”业务流程图</w:t>
      </w:r>
    </w:p>
    <w:p w14:paraId="2E0B7AC2">
      <w:pPr>
        <w:jc w:val="center"/>
        <w:rPr>
          <w:rFonts w:hint="eastAsia"/>
          <w:color w:val="auto"/>
          <w:highlight w:val="none"/>
        </w:rPr>
      </w:pPr>
      <w:r>
        <w:rPr>
          <w:rFonts w:hint="eastAsia" w:eastAsia="仿宋_GB2312"/>
          <w:color w:val="auto"/>
          <w:highlight w:val="none"/>
          <w:lang w:eastAsia="zh-CN"/>
        </w:rPr>
        <w:drawing>
          <wp:inline distT="0" distB="0" distL="114300" distR="114300">
            <wp:extent cx="4926965" cy="7002780"/>
            <wp:effectExtent l="0" t="0" r="635" b="7620"/>
            <wp:docPr id="7" name="图片 2"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流程图1011"/>
                    <pic:cNvPicPr>
                      <a:picLocks noChangeAspect="1"/>
                    </pic:cNvPicPr>
                  </pic:nvPicPr>
                  <pic:blipFill>
                    <a:blip r:embed="rId21"/>
                    <a:stretch>
                      <a:fillRect/>
                    </a:stretch>
                  </pic:blipFill>
                  <pic:spPr>
                    <a:xfrm>
                      <a:off x="0" y="0"/>
                      <a:ext cx="4926965" cy="7002780"/>
                    </a:xfrm>
                    <a:prstGeom prst="rect">
                      <a:avLst/>
                    </a:prstGeom>
                    <a:noFill/>
                    <a:ln>
                      <a:noFill/>
                    </a:ln>
                  </pic:spPr>
                </pic:pic>
              </a:graphicData>
            </a:graphic>
          </wp:inline>
        </w:drawing>
      </w:r>
    </w:p>
    <w:p w14:paraId="1F60403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color w:val="auto"/>
          <w:highlight w:val="none"/>
          <w:lang w:eastAsia="zh-CN"/>
        </w:rPr>
      </w:pPr>
    </w:p>
    <w:p w14:paraId="23936045">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color w:val="auto"/>
          <w:sz w:val="32"/>
          <w:szCs w:val="32"/>
          <w:highlight w:val="none"/>
          <w:lang w:val="zh-CN"/>
        </w:rPr>
      </w:pPr>
    </w:p>
    <w:p w14:paraId="525500C7">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lang w:val="en-US" w:eastAsia="zh-CN"/>
        </w:rPr>
        <w:t>4</w:t>
      </w:r>
    </w:p>
    <w:p w14:paraId="0AA8D899">
      <w:pPr>
        <w:pStyle w:val="28"/>
        <w:jc w:val="center"/>
        <w:rPr>
          <w:rFonts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lang w:eastAsia="zh-CN"/>
        </w:rPr>
        <w:t>崇左</w:t>
      </w:r>
      <w:r>
        <w:rPr>
          <w:rFonts w:hint="eastAsia" w:ascii="方正小标宋_GBK" w:hAnsi="方正小标宋_GBK" w:eastAsia="方正小标宋_GBK" w:cs="方正小标宋_GBK"/>
          <w:color w:val="auto"/>
          <w:sz w:val="36"/>
          <w:szCs w:val="36"/>
          <w:highlight w:val="none"/>
        </w:rPr>
        <w:t>市金融机构</w:t>
      </w:r>
      <w:r>
        <w:rPr>
          <w:rFonts w:hint="eastAsia" w:ascii="方正小标宋_GBK" w:hAnsi="方正小标宋_GBK" w:eastAsia="方正小标宋_GBK" w:cs="方正小标宋_GBK"/>
          <w:color w:val="auto"/>
          <w:sz w:val="36"/>
          <w:szCs w:val="36"/>
          <w:highlight w:val="none"/>
          <w:lang w:eastAsia="zh-CN"/>
        </w:rPr>
        <w:t>线上</w:t>
      </w:r>
      <w:r>
        <w:rPr>
          <w:rFonts w:hint="eastAsia" w:ascii="方正小标宋_GBK" w:hAnsi="方正小标宋_GBK" w:eastAsia="方正小标宋_GBK" w:cs="方正小标宋_GBK"/>
          <w:color w:val="auto"/>
          <w:sz w:val="36"/>
          <w:szCs w:val="36"/>
          <w:highlight w:val="none"/>
        </w:rPr>
        <w:t>“政采贷”业务办理联络表</w:t>
      </w:r>
    </w:p>
    <w:tbl>
      <w:tblPr>
        <w:tblStyle w:val="19"/>
        <w:tblW w:w="8314" w:type="dxa"/>
        <w:jc w:val="center"/>
        <w:tblLayout w:type="fixed"/>
        <w:tblCellMar>
          <w:top w:w="0" w:type="dxa"/>
          <w:left w:w="108" w:type="dxa"/>
          <w:bottom w:w="0" w:type="dxa"/>
          <w:right w:w="108" w:type="dxa"/>
        </w:tblCellMar>
      </w:tblPr>
      <w:tblGrid>
        <w:gridCol w:w="2674"/>
        <w:gridCol w:w="3515"/>
        <w:gridCol w:w="2125"/>
      </w:tblGrid>
      <w:tr w14:paraId="6B7B2A23">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1B17E75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CE929A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8C30C6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highlight w:val="none"/>
              </w:rPr>
            </w:pPr>
            <w:r>
              <w:rPr>
                <w:rFonts w:hint="eastAsia" w:eastAsia="宋体" w:cs="宋体"/>
                <w:b/>
                <w:bCs/>
                <w:color w:val="auto"/>
                <w:kern w:val="0"/>
                <w:sz w:val="28"/>
                <w:szCs w:val="28"/>
                <w:highlight w:val="none"/>
                <w:lang w:eastAsia="zh-CN" w:bidi="ar"/>
              </w:rPr>
              <w:t>业务</w:t>
            </w:r>
            <w:r>
              <w:rPr>
                <w:rFonts w:hint="eastAsia" w:ascii="宋体" w:hAnsi="宋体" w:eastAsia="宋体" w:cs="宋体"/>
                <w:b/>
                <w:bCs/>
                <w:color w:val="auto"/>
                <w:kern w:val="0"/>
                <w:sz w:val="28"/>
                <w:szCs w:val="28"/>
                <w:highlight w:val="none"/>
                <w:lang w:bidi="ar"/>
              </w:rPr>
              <w:t>咨询电话</w:t>
            </w:r>
          </w:p>
        </w:tc>
      </w:tr>
      <w:tr w14:paraId="48A25750">
        <w:tblPrEx>
          <w:tblCellMar>
            <w:top w:w="0" w:type="dxa"/>
            <w:left w:w="108" w:type="dxa"/>
            <w:bottom w:w="0" w:type="dxa"/>
            <w:right w:w="108" w:type="dxa"/>
          </w:tblCellMar>
        </w:tblPrEx>
        <w:trPr>
          <w:trHeight w:val="36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6793C22C">
            <w:pPr>
              <w:widowControl/>
              <w:jc w:val="left"/>
              <w:textAlignment w:val="center"/>
              <w:rPr>
                <w:rFonts w:hint="eastAsia" w:eastAsia="宋体" w:cs="宋体"/>
                <w:color w:val="auto"/>
                <w:sz w:val="21"/>
                <w:szCs w:val="21"/>
                <w:highlight w:val="none"/>
                <w:lang w:eastAsia="zh-CN"/>
              </w:rPr>
            </w:pPr>
            <w:r>
              <w:rPr>
                <w:rFonts w:hint="eastAsia" w:eastAsia="宋体" w:cs="宋体"/>
                <w:b/>
                <w:bCs/>
                <w:color w:val="auto"/>
                <w:sz w:val="21"/>
                <w:szCs w:val="21"/>
                <w:highlight w:val="none"/>
                <w:lang w:eastAsia="zh-CN"/>
              </w:rPr>
              <w:t>崇左市本级及江州区</w:t>
            </w:r>
          </w:p>
        </w:tc>
      </w:tr>
      <w:tr w14:paraId="3CA33215">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97B5E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93EFE2D">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F3342A6">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0771-7820436 0771-7820439</w:t>
            </w:r>
          </w:p>
        </w:tc>
      </w:tr>
      <w:tr w14:paraId="56357C08">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F186FC6">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29A6A0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88C5FCF">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0771-7917212</w:t>
            </w:r>
          </w:p>
        </w:tc>
      </w:tr>
      <w:tr w14:paraId="482CF535">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28CF9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54B7C72">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8CB333B">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rPr>
              <w:t>7917054</w:t>
            </w:r>
          </w:p>
        </w:tc>
      </w:tr>
      <w:tr w14:paraId="5F60CD3E">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A8F336">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A6719C7">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CAB1FDA">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0771-7831103</w:t>
            </w:r>
          </w:p>
        </w:tc>
      </w:tr>
      <w:tr w14:paraId="17E2D59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897CFB">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993C76D">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32DA9B1">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0771-7928650 0771-7920613</w:t>
            </w:r>
          </w:p>
        </w:tc>
      </w:tr>
      <w:tr w14:paraId="7C9B311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5215A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崇左农商行</w:t>
            </w:r>
            <w:r>
              <w:rPr>
                <w:rFonts w:hint="eastAsia" w:ascii="宋体" w:hAnsi="宋体" w:eastAsia="宋体" w:cs="宋体"/>
                <w:color w:val="auto"/>
                <w:sz w:val="21"/>
                <w:szCs w:val="21"/>
                <w:highlight w:val="none"/>
                <w:lang w:val="en-US" w:eastAsia="zh-CN"/>
              </w:rPr>
              <w:t>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A46D087">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崇左市</w:t>
            </w:r>
            <w:r>
              <w:rPr>
                <w:rFonts w:hint="eastAsia" w:ascii="宋体" w:hAnsi="宋体" w:eastAsia="宋体" w:cs="宋体"/>
                <w:color w:val="auto"/>
                <w:sz w:val="21"/>
                <w:szCs w:val="21"/>
                <w:highlight w:val="none"/>
                <w:lang w:val="en-US" w:eastAsia="zh-CN"/>
              </w:rPr>
              <w:t>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A929150">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w:t>
            </w:r>
            <w:r>
              <w:rPr>
                <w:rFonts w:hint="eastAsia" w:ascii="宋体" w:hAnsi="宋体" w:eastAsia="宋体" w:cs="宋体"/>
                <w:color w:val="auto"/>
                <w:sz w:val="21"/>
                <w:szCs w:val="21"/>
                <w:highlight w:val="none"/>
                <w:lang w:val="en-US" w:eastAsia="zh-CN"/>
              </w:rPr>
              <w:t>7925660</w:t>
            </w:r>
          </w:p>
        </w:tc>
      </w:tr>
      <w:tr w14:paraId="7F03BD19">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E1184AA">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9C85A8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1D4EA2C">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0771-7968699</w:t>
            </w:r>
          </w:p>
        </w:tc>
      </w:tr>
      <w:tr w14:paraId="525DA1A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F1532C">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E1996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F4341B6">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0771-7916636</w:t>
            </w:r>
          </w:p>
        </w:tc>
      </w:tr>
      <w:tr w14:paraId="4D82B479">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848862">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C5A8F1C">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3CC009F">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0771-7988895</w:t>
            </w:r>
          </w:p>
        </w:tc>
      </w:tr>
      <w:tr w14:paraId="542FCF00">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1F703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1AC7C8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0D083A0">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0771-7960855</w:t>
            </w:r>
          </w:p>
        </w:tc>
      </w:tr>
      <w:tr w14:paraId="4069FD2C">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B7CBC7">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8A7F27D">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1D81A75">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0771-7821126</w:t>
            </w:r>
          </w:p>
        </w:tc>
      </w:tr>
      <w:tr w14:paraId="71ACBF65">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E69530">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2F0342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897D48F">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0771-7831866</w:t>
            </w:r>
          </w:p>
        </w:tc>
      </w:tr>
      <w:tr w14:paraId="4F4C07CB">
        <w:tblPrEx>
          <w:tblCellMar>
            <w:top w:w="0" w:type="dxa"/>
            <w:left w:w="108" w:type="dxa"/>
            <w:bottom w:w="0" w:type="dxa"/>
            <w:right w:w="108" w:type="dxa"/>
          </w:tblCellMar>
        </w:tblPrEx>
        <w:trPr>
          <w:trHeight w:val="350"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74579968">
            <w:pPr>
              <w:widowControl/>
              <w:jc w:val="left"/>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扶绥县</w:t>
            </w:r>
          </w:p>
        </w:tc>
      </w:tr>
      <w:tr w14:paraId="66300B3B">
        <w:tblPrEx>
          <w:tblCellMar>
            <w:top w:w="0" w:type="dxa"/>
            <w:left w:w="108" w:type="dxa"/>
            <w:bottom w:w="0" w:type="dxa"/>
            <w:right w:w="108" w:type="dxa"/>
          </w:tblCellMar>
        </w:tblPrEx>
        <w:trPr>
          <w:trHeight w:val="38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AEEA27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AA7487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4EB7CDF">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0771-7535612</w:t>
            </w:r>
          </w:p>
        </w:tc>
      </w:tr>
      <w:tr w14:paraId="545573D2">
        <w:tblPrEx>
          <w:tblCellMar>
            <w:top w:w="0" w:type="dxa"/>
            <w:left w:w="108" w:type="dxa"/>
            <w:bottom w:w="0" w:type="dxa"/>
            <w:right w:w="108" w:type="dxa"/>
          </w:tblCellMar>
        </w:tblPrEx>
        <w:trPr>
          <w:trHeight w:val="44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DA46E72">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BE197A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3BFC2C9">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0771-</w:t>
            </w:r>
            <w:r>
              <w:rPr>
                <w:rFonts w:hint="eastAsia" w:ascii="宋体" w:hAnsi="宋体" w:eastAsia="宋体" w:cs="宋体"/>
                <w:color w:val="auto"/>
                <w:sz w:val="21"/>
                <w:szCs w:val="21"/>
                <w:highlight w:val="none"/>
              </w:rPr>
              <w:t>7917330</w:t>
            </w:r>
          </w:p>
        </w:tc>
      </w:tr>
      <w:tr w14:paraId="2FADD995">
        <w:tblPrEx>
          <w:tblCellMar>
            <w:top w:w="0" w:type="dxa"/>
            <w:left w:w="108" w:type="dxa"/>
            <w:bottom w:w="0" w:type="dxa"/>
            <w:right w:w="108" w:type="dxa"/>
          </w:tblCellMar>
        </w:tblPrEx>
        <w:trPr>
          <w:trHeight w:val="74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19938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663914D">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3B5B886">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0771-7516511 0771-7531157</w:t>
            </w:r>
          </w:p>
        </w:tc>
      </w:tr>
      <w:tr w14:paraId="57DC3FFD">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1BD9F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B9A59E7">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4A590D6">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0771-7525822</w:t>
            </w:r>
          </w:p>
        </w:tc>
      </w:tr>
      <w:tr w14:paraId="778AF906">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7BED91D">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1105476">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扶绥县</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4DF22C6">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0771-5025887</w:t>
            </w:r>
          </w:p>
        </w:tc>
      </w:tr>
      <w:tr w14:paraId="6D22401F">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69587F7">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EC25D7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eastAsia="zh-CN" w:bidi="ar-SA"/>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32D35D3">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eastAsia="zh-CN" w:bidi="ar-SA"/>
              </w:rPr>
              <w:t>0771-7533041</w:t>
            </w:r>
          </w:p>
        </w:tc>
      </w:tr>
      <w:tr w14:paraId="26A20AAA">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22F587">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ED349C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扶绥县松江路138号</w:t>
            </w:r>
            <w:r>
              <w:rPr>
                <w:rFonts w:hint="eastAsia" w:ascii="宋体" w:hAnsi="宋体" w:eastAsia="宋体" w:cs="宋体"/>
                <w:color w:val="auto"/>
                <w:sz w:val="21"/>
                <w:szCs w:val="21"/>
                <w:highlight w:val="none"/>
                <w:lang w:val="en-US" w:eastAsia="zh-CN"/>
              </w:rPr>
              <w:t>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C95113C">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0771-7536178 0771-7536177</w:t>
            </w:r>
          </w:p>
        </w:tc>
      </w:tr>
      <w:tr w14:paraId="780A4509">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57D95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F94500">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5028116">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0771-7661101</w:t>
            </w:r>
          </w:p>
        </w:tc>
      </w:tr>
      <w:tr w14:paraId="4F7A51C9">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F1F6F50">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D8955D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FC15A7C">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0771-7500768</w:t>
            </w:r>
          </w:p>
        </w:tc>
      </w:tr>
      <w:tr w14:paraId="600B56A1">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1A2F7D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9BDE6E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26D1CFD">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0771-7525678</w:t>
            </w:r>
          </w:p>
        </w:tc>
      </w:tr>
      <w:tr w14:paraId="65B78799">
        <w:tblPrEx>
          <w:tblCellMar>
            <w:top w:w="0" w:type="dxa"/>
            <w:left w:w="108" w:type="dxa"/>
            <w:bottom w:w="0" w:type="dxa"/>
            <w:right w:w="108" w:type="dxa"/>
          </w:tblCellMar>
        </w:tblPrEx>
        <w:trPr>
          <w:trHeight w:val="47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31E84E">
            <w:pPr>
              <w:widowControl/>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20AA412">
            <w:pPr>
              <w:widowControl/>
              <w:jc w:val="left"/>
              <w:textAlignment w:val="center"/>
              <w:rPr>
                <w:rFonts w:hint="eastAsia" w:ascii="宋体" w:hAnsi="宋体" w:eastAsia="宋体" w:cs="宋体"/>
                <w:color w:val="auto"/>
                <w:sz w:val="21"/>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C8ED205">
            <w:pPr>
              <w:widowControl/>
              <w:jc w:val="center"/>
              <w:textAlignment w:val="center"/>
              <w:rPr>
                <w:rFonts w:hint="eastAsia" w:ascii="宋体" w:hAnsi="宋体" w:eastAsia="宋体" w:cs="宋体"/>
                <w:color w:val="auto"/>
                <w:sz w:val="21"/>
                <w:szCs w:val="21"/>
                <w:highlight w:val="none"/>
              </w:rPr>
            </w:pPr>
          </w:p>
        </w:tc>
      </w:tr>
      <w:tr w14:paraId="3B7096CF">
        <w:tblPrEx>
          <w:tblCellMar>
            <w:top w:w="0" w:type="dxa"/>
            <w:left w:w="108" w:type="dxa"/>
            <w:bottom w:w="0" w:type="dxa"/>
            <w:right w:w="108" w:type="dxa"/>
          </w:tblCellMar>
        </w:tblPrEx>
        <w:trPr>
          <w:trHeight w:val="36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D25AF7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51C4B65">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宁明县城中镇兴远街</w:t>
            </w:r>
            <w:r>
              <w:rPr>
                <w:rFonts w:hint="eastAsia" w:ascii="宋体" w:hAnsi="宋体" w:eastAsia="宋体" w:cs="宋体"/>
                <w:color w:val="auto"/>
                <w:sz w:val="21"/>
                <w:szCs w:val="21"/>
                <w:highlight w:val="none"/>
                <w:lang w:val="en-US" w:eastAsia="zh-CN"/>
              </w:rPr>
              <w:t>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5F83118">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0771-8620729</w:t>
            </w:r>
          </w:p>
        </w:tc>
      </w:tr>
      <w:tr w14:paraId="7A8B1620">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0DD27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459B15C">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3121427">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lang w:eastAsia="zh-CN"/>
              </w:rPr>
              <w:t>7917093</w:t>
            </w:r>
          </w:p>
        </w:tc>
      </w:tr>
      <w:tr w14:paraId="52A36798">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A7C242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7087F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 w:afterAutospacing="0" w:line="23" w:lineRule="atLeast"/>
              <w:ind w:left="0" w:leftChars="0" w:right="0" w:right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4BC5AEA">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0771-8629006</w:t>
            </w:r>
          </w:p>
        </w:tc>
      </w:tr>
      <w:tr w14:paraId="2ED991B2">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DA16D4">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D5BF8D">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33690F5">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8628166</w:t>
            </w:r>
          </w:p>
        </w:tc>
      </w:tr>
      <w:tr w14:paraId="5E40F8E8">
        <w:tblPrEx>
          <w:tblCellMar>
            <w:top w:w="0" w:type="dxa"/>
            <w:left w:w="108" w:type="dxa"/>
            <w:bottom w:w="0" w:type="dxa"/>
            <w:right w:w="108" w:type="dxa"/>
          </w:tblCellMar>
        </w:tblPrEx>
        <w:trPr>
          <w:trHeight w:val="43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81028A">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024214B">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6548259">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0771-8630787</w:t>
            </w:r>
          </w:p>
        </w:tc>
      </w:tr>
      <w:tr w14:paraId="4B6F46CB">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21104D">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0ECE45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02777CA">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0771-8622237</w:t>
            </w:r>
          </w:p>
        </w:tc>
      </w:tr>
      <w:tr w14:paraId="09A42283">
        <w:tblPrEx>
          <w:tblCellMar>
            <w:top w:w="0" w:type="dxa"/>
            <w:left w:w="108" w:type="dxa"/>
            <w:bottom w:w="0" w:type="dxa"/>
            <w:right w:w="108" w:type="dxa"/>
          </w:tblCellMar>
        </w:tblPrEx>
        <w:trPr>
          <w:trHeight w:val="377"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3E165E40">
            <w:pPr>
              <w:widowControl/>
              <w:jc w:val="left"/>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大新县</w:t>
            </w:r>
          </w:p>
        </w:tc>
      </w:tr>
      <w:tr w14:paraId="36633090">
        <w:tblPrEx>
          <w:tblCellMar>
            <w:top w:w="0" w:type="dxa"/>
            <w:left w:w="108" w:type="dxa"/>
            <w:bottom w:w="0" w:type="dxa"/>
            <w:right w:w="108" w:type="dxa"/>
          </w:tblCellMar>
        </w:tblPrEx>
        <w:trPr>
          <w:trHeight w:val="391"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54625FC">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3FF5C8D">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eastAsia="zh-CN" w:bidi="ar"/>
              </w:rPr>
              <w:t>大新县桃城镇民生街</w:t>
            </w:r>
            <w:r>
              <w:rPr>
                <w:rFonts w:hint="eastAsia" w:ascii="宋体" w:hAnsi="宋体" w:eastAsia="宋体" w:cs="宋体"/>
                <w:color w:val="auto"/>
                <w:kern w:val="0"/>
                <w:sz w:val="21"/>
                <w:szCs w:val="21"/>
                <w:highlight w:val="none"/>
                <w:lang w:val="en-US" w:eastAsia="zh-CN" w:bidi="ar"/>
              </w:rPr>
              <w:t>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B4CF75C">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0771-3628078</w:t>
            </w:r>
          </w:p>
        </w:tc>
      </w:tr>
      <w:tr w14:paraId="2BF3D43E">
        <w:tblPrEx>
          <w:tblCellMar>
            <w:top w:w="0" w:type="dxa"/>
            <w:left w:w="108" w:type="dxa"/>
            <w:bottom w:w="0" w:type="dxa"/>
            <w:right w:w="108" w:type="dxa"/>
          </w:tblCellMar>
        </w:tblPrEx>
        <w:trPr>
          <w:trHeight w:val="45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6D49E0">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eastAsia="zh-CN"/>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46AC4A9">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9114758">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0771-</w:t>
            </w:r>
            <w:r>
              <w:rPr>
                <w:rFonts w:hint="eastAsia" w:ascii="宋体" w:hAnsi="宋体" w:eastAsia="宋体" w:cs="宋体"/>
                <w:color w:val="auto"/>
                <w:sz w:val="21"/>
                <w:szCs w:val="21"/>
                <w:highlight w:val="none"/>
              </w:rPr>
              <w:t>7917015</w:t>
            </w:r>
          </w:p>
        </w:tc>
      </w:tr>
      <w:tr w14:paraId="382843EB">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7A94BBA">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406CD88">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2662220">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0771-</w:t>
            </w:r>
            <w:r>
              <w:rPr>
                <w:rFonts w:hint="eastAsia" w:ascii="宋体" w:hAnsi="宋体" w:eastAsia="宋体" w:cs="宋体"/>
                <w:color w:val="auto"/>
                <w:kern w:val="0"/>
                <w:sz w:val="21"/>
                <w:szCs w:val="21"/>
                <w:highlight w:val="none"/>
                <w:lang w:val="en-US" w:eastAsia="zh-CN" w:bidi="ar"/>
              </w:rPr>
              <w:t>3689766</w:t>
            </w:r>
          </w:p>
        </w:tc>
      </w:tr>
      <w:tr w14:paraId="0A828B42">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4854ED">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42D575D">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27015B3">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0771</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3623887</w:t>
            </w:r>
          </w:p>
        </w:tc>
      </w:tr>
      <w:tr w14:paraId="6F298ECB">
        <w:tblPrEx>
          <w:tblCellMar>
            <w:top w:w="0" w:type="dxa"/>
            <w:left w:w="108" w:type="dxa"/>
            <w:bottom w:w="0" w:type="dxa"/>
            <w:right w:w="108" w:type="dxa"/>
          </w:tblCellMar>
        </w:tblPrEx>
        <w:trPr>
          <w:trHeight w:val="6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3DA6945">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C84FA69">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A512DF0">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0771</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3621996</w:t>
            </w:r>
          </w:p>
        </w:tc>
      </w:tr>
      <w:tr w14:paraId="4D00FE00">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4D2890D">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BF7E56A">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54C2F38">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rPr>
              <w:t>3628366</w:t>
            </w:r>
          </w:p>
        </w:tc>
      </w:tr>
      <w:tr w14:paraId="3ABB5ED7">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D3C8772">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eastAsia="zh-CN"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BCF4DA8">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eastAsia="zh-CN" w:bidi="ar"/>
              </w:rPr>
              <w:t>大新县桃城镇德天大道</w:t>
            </w:r>
            <w:r>
              <w:rPr>
                <w:rFonts w:hint="eastAsia" w:ascii="宋体" w:hAnsi="宋体" w:eastAsia="宋体" w:cs="宋体"/>
                <w:color w:val="auto"/>
                <w:kern w:val="0"/>
                <w:sz w:val="21"/>
                <w:szCs w:val="21"/>
                <w:highlight w:val="none"/>
                <w:lang w:val="en-US" w:eastAsia="zh-CN" w:bidi="ar"/>
              </w:rPr>
              <w:t>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DFEF372">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0771-3698002</w:t>
            </w:r>
          </w:p>
        </w:tc>
      </w:tr>
      <w:tr w14:paraId="21723C79">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B010EDD">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eastAsia="zh-CN"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003E9CC">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eastAsia="zh-CN" w:bidi="ar"/>
              </w:rPr>
              <w:t>大新县桃城镇伦那路</w:t>
            </w:r>
            <w:r>
              <w:rPr>
                <w:rFonts w:hint="eastAsia" w:ascii="宋体" w:hAnsi="宋体" w:eastAsia="宋体" w:cs="宋体"/>
                <w:color w:val="auto"/>
                <w:kern w:val="0"/>
                <w:sz w:val="21"/>
                <w:szCs w:val="21"/>
                <w:highlight w:val="none"/>
                <w:lang w:val="en-US" w:eastAsia="zh-CN" w:bidi="ar"/>
              </w:rPr>
              <w:t>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5E3AC99">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0771-3626199</w:t>
            </w:r>
          </w:p>
        </w:tc>
      </w:tr>
      <w:tr w14:paraId="3560FDE4">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D4E794">
            <w:pPr>
              <w:widowControl/>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43110E9">
            <w:pPr>
              <w:widowControl/>
              <w:jc w:val="left"/>
              <w:textAlignment w:val="center"/>
              <w:rPr>
                <w:rFonts w:hint="eastAsia" w:ascii="宋体" w:hAnsi="宋体" w:eastAsia="宋体" w:cs="宋体"/>
                <w:color w:val="auto"/>
                <w:sz w:val="21"/>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9F23E1C">
            <w:pPr>
              <w:widowControl/>
              <w:jc w:val="center"/>
              <w:textAlignment w:val="center"/>
              <w:rPr>
                <w:rFonts w:hint="eastAsia" w:ascii="宋体" w:hAnsi="宋体" w:eastAsia="宋体" w:cs="宋体"/>
                <w:color w:val="auto"/>
                <w:sz w:val="21"/>
                <w:szCs w:val="21"/>
                <w:highlight w:val="none"/>
              </w:rPr>
            </w:pPr>
          </w:p>
        </w:tc>
      </w:tr>
      <w:tr w14:paraId="33D67C76">
        <w:tblPrEx>
          <w:tblCellMar>
            <w:top w:w="0" w:type="dxa"/>
            <w:left w:w="108" w:type="dxa"/>
            <w:bottom w:w="0" w:type="dxa"/>
            <w:right w:w="108" w:type="dxa"/>
          </w:tblCellMar>
        </w:tblPrEx>
        <w:trPr>
          <w:trHeight w:val="42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4C8F8A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D3A738B">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龙州县龙江街</w:t>
            </w:r>
            <w:r>
              <w:rPr>
                <w:rFonts w:hint="eastAsia" w:ascii="宋体" w:hAnsi="宋体" w:eastAsia="宋体" w:cs="宋体"/>
                <w:color w:val="auto"/>
                <w:sz w:val="21"/>
                <w:szCs w:val="21"/>
                <w:highlight w:val="none"/>
                <w:lang w:val="en-US" w:eastAsia="zh-CN"/>
              </w:rPr>
              <w:t>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D8C9960">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0771-8868619</w:t>
            </w:r>
          </w:p>
        </w:tc>
      </w:tr>
      <w:tr w14:paraId="75BA6E70">
        <w:tblPrEx>
          <w:tblCellMar>
            <w:top w:w="0" w:type="dxa"/>
            <w:left w:w="108" w:type="dxa"/>
            <w:bottom w:w="0" w:type="dxa"/>
            <w:right w:w="108" w:type="dxa"/>
          </w:tblCellMar>
        </w:tblPrEx>
        <w:trPr>
          <w:trHeight w:val="544"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418EB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7A42AB5">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21D83A2">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lang w:eastAsia="zh-CN"/>
              </w:rPr>
              <w:t>8812504</w:t>
            </w:r>
          </w:p>
        </w:tc>
      </w:tr>
      <w:tr w14:paraId="61B43D87">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5ACA3A">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E21812B">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562494C">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0771-8820525</w:t>
            </w:r>
          </w:p>
        </w:tc>
      </w:tr>
      <w:tr w14:paraId="54FFE5A4">
        <w:tblPrEx>
          <w:tblCellMar>
            <w:top w:w="0" w:type="dxa"/>
            <w:left w:w="108" w:type="dxa"/>
            <w:bottom w:w="0" w:type="dxa"/>
            <w:right w:w="108" w:type="dxa"/>
          </w:tblCellMar>
        </w:tblPrEx>
        <w:trPr>
          <w:trHeight w:val="41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DCE0D3">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龙州农商行公司机构金融</w:t>
            </w:r>
            <w:r>
              <w:rPr>
                <w:rFonts w:hint="eastAsia" w:eastAsia="宋体" w:cs="宋体"/>
                <w:color w:val="auto"/>
                <w:sz w:val="21"/>
                <w:szCs w:val="21"/>
                <w:highlight w:val="none"/>
                <w:lang w:eastAsia="zh-CN"/>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06C4B56">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3325DC0">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0771-8813013</w:t>
            </w:r>
          </w:p>
        </w:tc>
      </w:tr>
      <w:tr w14:paraId="0C3791B2">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5B4E974">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3997EE4">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龙州县龙州镇同顾大道1号同顾</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中央公园20栋10号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DD4C30">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0771-8871021</w:t>
            </w:r>
          </w:p>
        </w:tc>
      </w:tr>
      <w:tr w14:paraId="1CEEB9F8">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9BF8C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F4B102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AB60A03">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rPr>
              <w:t>8811533</w:t>
            </w:r>
          </w:p>
        </w:tc>
      </w:tr>
      <w:tr w14:paraId="2C5F3118">
        <w:tblPrEx>
          <w:tblCellMar>
            <w:top w:w="0" w:type="dxa"/>
            <w:left w:w="108" w:type="dxa"/>
            <w:bottom w:w="0" w:type="dxa"/>
            <w:right w:w="108" w:type="dxa"/>
          </w:tblCellMar>
        </w:tblPrEx>
        <w:trPr>
          <w:trHeight w:val="48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D8BB98">
            <w:pPr>
              <w:widowControl/>
              <w:jc w:val="both"/>
              <w:textAlignment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03F944">
            <w:pPr>
              <w:widowControl/>
              <w:jc w:val="left"/>
              <w:textAlignment w:val="center"/>
              <w:rPr>
                <w:rFonts w:hint="eastAsia" w:ascii="宋体" w:hAnsi="宋体" w:eastAsia="宋体" w:cs="宋体"/>
                <w:color w:val="auto"/>
                <w:sz w:val="21"/>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D7E31FE">
            <w:pPr>
              <w:widowControl/>
              <w:jc w:val="center"/>
              <w:textAlignment w:val="center"/>
              <w:rPr>
                <w:rFonts w:hint="eastAsia" w:ascii="宋体" w:hAnsi="宋体" w:eastAsia="宋体" w:cs="宋体"/>
                <w:color w:val="auto"/>
                <w:sz w:val="21"/>
                <w:szCs w:val="21"/>
                <w:highlight w:val="none"/>
              </w:rPr>
            </w:pPr>
          </w:p>
        </w:tc>
      </w:tr>
      <w:tr w14:paraId="16ABA9FA">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19873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893650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天等县天等镇朝阳东路</w:t>
            </w:r>
            <w:r>
              <w:rPr>
                <w:rFonts w:hint="eastAsia" w:ascii="宋体" w:hAnsi="宋体" w:eastAsia="宋体" w:cs="宋体"/>
                <w:color w:val="auto"/>
                <w:sz w:val="21"/>
                <w:szCs w:val="21"/>
                <w:highlight w:val="none"/>
                <w:lang w:val="en-US" w:eastAsia="zh-CN"/>
              </w:rPr>
              <w:t>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DB759EF">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0771-3532211</w:t>
            </w:r>
          </w:p>
        </w:tc>
      </w:tr>
      <w:tr w14:paraId="46E189A4">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4F8DB5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69638B1">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411B9AB">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lang w:eastAsia="zh-CN"/>
              </w:rPr>
              <w:t>7917046</w:t>
            </w:r>
          </w:p>
        </w:tc>
      </w:tr>
      <w:tr w14:paraId="1449DD62">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AF966A">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DB0F970">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6C380AC">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0771-3521361</w:t>
            </w:r>
          </w:p>
        </w:tc>
      </w:tr>
      <w:tr w14:paraId="1D7CE378">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C5F16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212BA4E">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2F8C04C">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0771-3522157</w:t>
            </w:r>
          </w:p>
        </w:tc>
      </w:tr>
      <w:tr w14:paraId="3B146F7B">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4A8A7B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D749B3D">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303ED72">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0771-3528688</w:t>
            </w:r>
          </w:p>
        </w:tc>
      </w:tr>
      <w:tr w14:paraId="626A3651">
        <w:tblPrEx>
          <w:tblCellMar>
            <w:top w:w="0" w:type="dxa"/>
            <w:left w:w="108" w:type="dxa"/>
            <w:bottom w:w="0" w:type="dxa"/>
            <w:right w:w="108" w:type="dxa"/>
          </w:tblCellMar>
        </w:tblPrEx>
        <w:trPr>
          <w:trHeight w:val="33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83BC89C">
            <w:pPr>
              <w:widowControl/>
              <w:jc w:val="left"/>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凭祥市</w:t>
            </w:r>
          </w:p>
        </w:tc>
      </w:tr>
      <w:tr w14:paraId="723B1E27">
        <w:tblPrEx>
          <w:tblCellMar>
            <w:top w:w="0" w:type="dxa"/>
            <w:left w:w="108" w:type="dxa"/>
            <w:bottom w:w="0" w:type="dxa"/>
            <w:right w:w="108" w:type="dxa"/>
          </w:tblCellMar>
        </w:tblPrEx>
        <w:trPr>
          <w:trHeight w:val="44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C2145">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B3B1A4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凭祥市新华路</w:t>
            </w:r>
            <w:r>
              <w:rPr>
                <w:rFonts w:hint="eastAsia" w:ascii="宋体" w:hAnsi="宋体" w:eastAsia="宋体" w:cs="宋体"/>
                <w:color w:val="auto"/>
                <w:sz w:val="21"/>
                <w:szCs w:val="21"/>
                <w:highlight w:val="none"/>
                <w:lang w:val="en-US" w:eastAsia="zh-CN"/>
              </w:rPr>
              <w:t>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298BD72">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0771-8529259</w:t>
            </w:r>
          </w:p>
        </w:tc>
      </w:tr>
      <w:tr w14:paraId="1D2C5568">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7364886">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79E28C0">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3F4A90A">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lang w:eastAsia="zh-CN"/>
              </w:rPr>
              <w:t>7917258</w:t>
            </w:r>
          </w:p>
        </w:tc>
      </w:tr>
      <w:tr w14:paraId="3F2BD877">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9FDE06">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F99B80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凭祥市屏山路</w:t>
            </w:r>
            <w:r>
              <w:rPr>
                <w:rFonts w:hint="eastAsia" w:ascii="宋体" w:hAnsi="宋体" w:eastAsia="宋体" w:cs="宋体"/>
                <w:color w:val="auto"/>
                <w:sz w:val="21"/>
                <w:szCs w:val="21"/>
                <w:highlight w:val="none"/>
                <w:lang w:val="en-US" w:eastAsia="zh-CN"/>
              </w:rPr>
              <w:t>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66E4FF7">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rPr>
              <w:t>8525068</w:t>
            </w:r>
            <w:r>
              <w:rPr>
                <w:rFonts w:hint="eastAsia"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0771-</w:t>
            </w:r>
            <w:r>
              <w:rPr>
                <w:rFonts w:hint="eastAsia" w:ascii="宋体" w:hAnsi="宋体" w:eastAsia="宋体" w:cs="宋体"/>
                <w:color w:val="auto"/>
                <w:sz w:val="21"/>
                <w:szCs w:val="21"/>
                <w:highlight w:val="none"/>
              </w:rPr>
              <w:t>8536852</w:t>
            </w:r>
          </w:p>
        </w:tc>
      </w:tr>
      <w:tr w14:paraId="738E31FA">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576830">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w:t>
            </w:r>
            <w:r>
              <w:rPr>
                <w:rFonts w:hint="eastAsia" w:ascii="宋体" w:hAnsi="宋体" w:eastAsia="宋体" w:cs="宋体"/>
                <w:color w:val="auto"/>
                <w:sz w:val="21"/>
                <w:szCs w:val="21"/>
                <w:highlight w:val="none"/>
                <w:lang w:eastAsia="zh-CN"/>
              </w:rPr>
              <w:t>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9C163E0">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凭祥市金象大道香格里拉</w:t>
            </w:r>
            <w:r>
              <w:rPr>
                <w:rFonts w:hint="eastAsia" w:ascii="宋体" w:hAnsi="宋体" w:eastAsia="宋体" w:cs="宋体"/>
                <w:color w:val="auto"/>
                <w:sz w:val="21"/>
                <w:szCs w:val="21"/>
                <w:highlight w:val="none"/>
                <w:lang w:val="en-US" w:eastAsia="zh-CN"/>
              </w:rPr>
              <w:t>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2BEF143">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0771-8551161</w:t>
            </w:r>
          </w:p>
        </w:tc>
      </w:tr>
      <w:tr w14:paraId="557E48D7">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28BDF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建行</w:t>
            </w:r>
            <w:r>
              <w:rPr>
                <w:rFonts w:hint="eastAsia" w:ascii="宋体" w:hAnsi="宋体" w:eastAsia="宋体" w:cs="宋体"/>
                <w:color w:val="auto"/>
                <w:sz w:val="21"/>
                <w:szCs w:val="21"/>
                <w:highlight w:val="none"/>
                <w:lang w:eastAsia="zh-CN"/>
              </w:rPr>
              <w:t>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35593D0">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凭祥市浦寨商业城万泰一楼</w:t>
            </w:r>
            <w:r>
              <w:rPr>
                <w:rFonts w:hint="eastAsia" w:ascii="宋体" w:hAnsi="宋体" w:eastAsia="宋体" w:cs="宋体"/>
                <w:color w:val="auto"/>
                <w:sz w:val="21"/>
                <w:szCs w:val="21"/>
                <w:highlight w:val="none"/>
                <w:lang w:val="en-US" w:eastAsia="zh-CN"/>
              </w:rPr>
              <w:t>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B7DE7CB">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0771-8561665</w:t>
            </w:r>
          </w:p>
        </w:tc>
      </w:tr>
      <w:tr w14:paraId="6191EE1E">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4E2C68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72EC511">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凭祥市</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BA9D72D">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0771-8520356</w:t>
            </w:r>
          </w:p>
        </w:tc>
      </w:tr>
      <w:tr w14:paraId="5C9A6303">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AF913BD">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4297FA7">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4618A9E">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0771-8535667</w:t>
            </w:r>
          </w:p>
        </w:tc>
      </w:tr>
      <w:tr w14:paraId="1A28B659">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245449">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EDA7F65">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AF2140B">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0771-8520550</w:t>
            </w:r>
          </w:p>
        </w:tc>
      </w:tr>
      <w:tr w14:paraId="153DDD15">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0307C8">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95112FF">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F7F6E4E">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0771-8556667</w:t>
            </w:r>
          </w:p>
        </w:tc>
      </w:tr>
    </w:tbl>
    <w:p w14:paraId="33072C16">
      <w:pPr>
        <w:pStyle w:val="11"/>
        <w:spacing w:line="360" w:lineRule="auto"/>
        <w:ind w:firstLine="402" w:firstLineChars="200"/>
        <w:jc w:val="center"/>
        <w:textAlignment w:val="center"/>
        <w:rPr>
          <w:rFonts w:hint="eastAsia" w:ascii="宋体" w:hAnsi="宋体" w:eastAsia="宋体" w:cs="宋体"/>
          <w:b/>
          <w:color w:val="auto"/>
          <w:sz w:val="36"/>
          <w:szCs w:val="36"/>
          <w:highlight w:val="none"/>
        </w:rPr>
      </w:pPr>
      <w:r>
        <w:rPr>
          <w:rFonts w:hint="eastAsia" w:ascii="宋体" w:hAnsi="宋体" w:eastAsia="宋体" w:cs="宋体"/>
          <w:b/>
          <w:color w:val="auto"/>
          <w:highlight w:val="none"/>
        </w:rPr>
        <w:br w:type="page"/>
      </w:r>
      <w:bookmarkStart w:id="92" w:name="_Toc5854"/>
      <w:bookmarkStart w:id="93" w:name="_Toc346617322"/>
      <w:bookmarkStart w:id="94" w:name="_Toc498082646"/>
      <w:bookmarkStart w:id="95" w:name="_Toc181180297"/>
      <w:bookmarkStart w:id="96" w:name="_Toc18546"/>
      <w:bookmarkStart w:id="97" w:name="_Toc183264294"/>
      <w:bookmarkStart w:id="98" w:name="_Toc20845"/>
      <w:bookmarkStart w:id="99" w:name="_Toc24931"/>
      <w:bookmarkStart w:id="100" w:name="_Toc24807"/>
      <w:r>
        <w:rPr>
          <w:rStyle w:val="23"/>
          <w:rFonts w:hint="eastAsia" w:ascii="宋体" w:hAnsi="宋体" w:eastAsia="宋体" w:cs="宋体"/>
          <w:color w:val="auto"/>
          <w:sz w:val="36"/>
          <w:szCs w:val="36"/>
          <w:highlight w:val="none"/>
          <w:lang w:eastAsia="zh-CN"/>
        </w:rPr>
        <w:t>第四章</w:t>
      </w:r>
      <w:r>
        <w:rPr>
          <w:rStyle w:val="23"/>
          <w:rFonts w:hint="eastAsia" w:ascii="宋体" w:hAnsi="宋体" w:eastAsia="宋体" w:cs="宋体"/>
          <w:color w:val="auto"/>
          <w:sz w:val="36"/>
          <w:szCs w:val="36"/>
          <w:highlight w:val="none"/>
        </w:rPr>
        <w:t xml:space="preserve"> </w:t>
      </w:r>
      <w:bookmarkEnd w:id="92"/>
      <w:bookmarkEnd w:id="93"/>
      <w:bookmarkEnd w:id="94"/>
      <w:bookmarkEnd w:id="95"/>
      <w:bookmarkEnd w:id="96"/>
      <w:bookmarkEnd w:id="97"/>
      <w:bookmarkEnd w:id="98"/>
      <w:r>
        <w:rPr>
          <w:rStyle w:val="23"/>
          <w:rFonts w:hint="eastAsia" w:ascii="宋体" w:hAnsi="宋体" w:eastAsia="宋体" w:cs="宋体"/>
          <w:color w:val="auto"/>
          <w:sz w:val="36"/>
          <w:szCs w:val="36"/>
          <w:highlight w:val="none"/>
        </w:rPr>
        <w:t>图纸</w:t>
      </w:r>
      <w:r>
        <w:rPr>
          <w:rStyle w:val="23"/>
          <w:rFonts w:hint="eastAsia" w:ascii="宋体" w:hAnsi="宋体" w:eastAsia="宋体" w:cs="宋体"/>
          <w:color w:val="auto"/>
          <w:sz w:val="36"/>
          <w:szCs w:val="36"/>
          <w:highlight w:val="none"/>
          <w:lang w:val="en-US" w:eastAsia="zh-CN"/>
        </w:rPr>
        <w:t>及</w:t>
      </w:r>
      <w:r>
        <w:rPr>
          <w:rStyle w:val="23"/>
          <w:rFonts w:hint="eastAsia" w:ascii="宋体" w:hAnsi="宋体" w:eastAsia="宋体" w:cs="宋体"/>
          <w:color w:val="auto"/>
          <w:sz w:val="36"/>
          <w:szCs w:val="36"/>
          <w:highlight w:val="none"/>
        </w:rPr>
        <w:t>工程量清单</w:t>
      </w:r>
      <w:bookmarkEnd w:id="99"/>
      <w:bookmarkEnd w:id="100"/>
    </w:p>
    <w:p w14:paraId="00729C81">
      <w:pPr>
        <w:pStyle w:val="29"/>
        <w:spacing w:line="360" w:lineRule="auto"/>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 xml:space="preserve"> </w:t>
      </w:r>
    </w:p>
    <w:p w14:paraId="703F574C">
      <w:pPr>
        <w:pStyle w:val="24"/>
        <w:widowControl w:val="0"/>
        <w:numPr>
          <w:ilvl w:val="0"/>
          <w:numId w:val="0"/>
        </w:numPr>
        <w:adjustRightInd w:val="0"/>
        <w:spacing w:line="420" w:lineRule="atLeast"/>
        <w:jc w:val="left"/>
        <w:textAlignment w:val="baseline"/>
        <w:rPr>
          <w:rFonts w:hint="eastAsia" w:ascii="宋体" w:hAnsi="宋体" w:eastAsia="宋体" w:cs="宋体"/>
          <w:color w:val="auto"/>
          <w:highlight w:val="none"/>
          <w:lang w:val="en-US" w:eastAsia="zh-CN"/>
        </w:rPr>
      </w:pPr>
    </w:p>
    <w:p w14:paraId="38B427B2">
      <w:pPr>
        <w:pStyle w:val="9"/>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请供应商登录广西政府采购云平台（https://www.gcy.zfcg.gxzf.gov.cn</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自行下载。</w:t>
      </w:r>
    </w:p>
    <w:p w14:paraId="77666F22">
      <w:pPr>
        <w:pStyle w:val="9"/>
        <w:rPr>
          <w:rFonts w:hint="eastAsia" w:ascii="宋体" w:hAnsi="宋体" w:eastAsia="宋体" w:cs="宋体"/>
          <w:color w:val="auto"/>
          <w:sz w:val="21"/>
          <w:szCs w:val="21"/>
          <w:highlight w:val="none"/>
          <w:lang w:val="en-US" w:eastAsia="zh-CN"/>
        </w:rPr>
        <w:sectPr>
          <w:pgSz w:w="11911" w:h="16838"/>
          <w:pgMar w:top="1417" w:right="1417" w:bottom="1134" w:left="1417" w:header="720" w:footer="720" w:gutter="0"/>
          <w:pgBorders>
            <w:top w:val="none" w:sz="0" w:space="0"/>
            <w:left w:val="none" w:sz="0" w:space="0"/>
            <w:bottom w:val="none" w:sz="0" w:space="0"/>
            <w:right w:val="none" w:sz="0" w:space="0"/>
          </w:pgBorders>
          <w:pgNumType w:fmt="numberInDash"/>
          <w:cols w:space="0" w:num="1"/>
          <w:rtlGutter w:val="0"/>
          <w:docGrid w:linePitch="312" w:charSpace="0"/>
        </w:sectPr>
      </w:pPr>
    </w:p>
    <w:p w14:paraId="3DB2EBF8">
      <w:pPr>
        <w:pStyle w:val="11"/>
        <w:spacing w:line="360" w:lineRule="auto"/>
        <w:ind w:firstLine="723" w:firstLineChars="200"/>
        <w:jc w:val="center"/>
        <w:textAlignment w:val="center"/>
        <w:outlineLvl w:val="0"/>
        <w:rPr>
          <w:rFonts w:hint="eastAsia" w:ascii="宋体" w:hAnsi="宋体" w:eastAsia="宋体" w:cs="宋体"/>
          <w:color w:val="auto"/>
          <w:sz w:val="36"/>
          <w:szCs w:val="36"/>
          <w:highlight w:val="none"/>
        </w:rPr>
      </w:pPr>
      <w:bookmarkStart w:id="101" w:name="_Toc6924"/>
      <w:bookmarkStart w:id="102" w:name="_Toc24945"/>
      <w:r>
        <w:rPr>
          <w:rStyle w:val="23"/>
          <w:rFonts w:hint="eastAsia" w:ascii="宋体" w:hAnsi="宋体" w:eastAsia="宋体" w:cs="宋体"/>
          <w:color w:val="auto"/>
          <w:sz w:val="36"/>
          <w:szCs w:val="36"/>
          <w:highlight w:val="none"/>
          <w:lang w:eastAsia="zh-CN"/>
        </w:rPr>
        <w:t>第五章</w:t>
      </w:r>
      <w:r>
        <w:rPr>
          <w:rStyle w:val="23"/>
          <w:rFonts w:hint="eastAsia" w:ascii="宋体" w:hAnsi="宋体" w:eastAsia="宋体" w:cs="宋体"/>
          <w:color w:val="auto"/>
          <w:sz w:val="36"/>
          <w:szCs w:val="36"/>
          <w:highlight w:val="none"/>
        </w:rPr>
        <w:t xml:space="preserve"> 评审程序、评审方法和评审标准</w:t>
      </w:r>
      <w:bookmarkEnd w:id="101"/>
      <w:bookmarkEnd w:id="102"/>
    </w:p>
    <w:p w14:paraId="4E842A37">
      <w:pPr>
        <w:pStyle w:val="3"/>
        <w:jc w:val="center"/>
        <w:rPr>
          <w:rFonts w:hint="eastAsia" w:ascii="宋体" w:hAnsi="宋体" w:eastAsia="宋体" w:cs="宋体"/>
          <w:b/>
          <w:bCs w:val="0"/>
          <w:color w:val="auto"/>
          <w:highlight w:val="none"/>
        </w:rPr>
      </w:pPr>
      <w:bookmarkStart w:id="103" w:name="_Toc22886"/>
      <w:bookmarkStart w:id="104" w:name="_Toc15217"/>
      <w:bookmarkStart w:id="105" w:name="_Toc15990"/>
      <w:r>
        <w:rPr>
          <w:rFonts w:hint="eastAsia" w:ascii="宋体" w:hAnsi="宋体" w:eastAsia="宋体" w:cs="宋体"/>
          <w:b/>
          <w:bCs w:val="0"/>
          <w:color w:val="auto"/>
          <w:highlight w:val="none"/>
        </w:rPr>
        <w:t>第一节 评审程序和评审方法</w:t>
      </w:r>
      <w:bookmarkEnd w:id="103"/>
      <w:bookmarkEnd w:id="104"/>
      <w:bookmarkEnd w:id="105"/>
    </w:p>
    <w:p w14:paraId="733D0D9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0C65B5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1309DA2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6E99CE6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0C3FFBE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55959C35">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（1）查询渠道：广西政府采购云平台</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“信用中国”网站、中国政府采购网链接入口。</w:t>
      </w:r>
    </w:p>
    <w:p w14:paraId="4D03771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7CCD1A99">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788813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xml:space="preserve"> 、中国政府采购网</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4589C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1F7B42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1C2F334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43E647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083B57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6DAF1F46">
      <w:pPr>
        <w:spacing w:line="360" w:lineRule="auto"/>
        <w:ind w:firstLine="420" w:firstLineChars="200"/>
        <w:rPr>
          <w:rFonts w:hint="eastAsia" w:ascii="宋体" w:hAnsi="宋体" w:eastAsia="宋体" w:cs="宋体"/>
          <w:color w:val="auto"/>
          <w:szCs w:val="21"/>
          <w:highlight w:val="none"/>
        </w:rPr>
      </w:pPr>
      <w:bookmarkStart w:id="106"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106"/>
    </w:p>
    <w:p w14:paraId="02C29A6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136A6A0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5F11E4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5F21C41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9457B7B">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eastAsia="宋体" w:cs="宋体"/>
          <w:color w:val="auto"/>
          <w:szCs w:val="21"/>
          <w:highlight w:val="none"/>
        </w:rPr>
        <w:t>电子回</w:t>
      </w:r>
      <w:r>
        <w:rPr>
          <w:rFonts w:hint="eastAsia" w:ascii="宋体" w:hAnsi="宋体" w:cs="宋体"/>
          <w:color w:val="auto"/>
          <w:szCs w:val="21"/>
          <w:highlight w:val="none"/>
          <w:lang w:eastAsia="zh-CN"/>
        </w:rPr>
        <w:t>函的</w:t>
      </w:r>
      <w:r>
        <w:rPr>
          <w:rFonts w:hint="eastAsia" w:ascii="宋体" w:hAnsi="宋体" w:eastAsia="宋体" w:cs="宋体"/>
          <w:color w:val="auto"/>
          <w:szCs w:val="21"/>
          <w:highlight w:val="none"/>
        </w:rPr>
        <w:t>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0FB504B2">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32E7CA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w:t>
      </w:r>
      <w:r>
        <w:rPr>
          <w:rFonts w:hint="eastAsia" w:ascii="宋体" w:hAnsi="宋体" w:cs="宋体"/>
          <w:color w:val="auto"/>
          <w:szCs w:val="21"/>
          <w:highlight w:val="none"/>
          <w:lang w:eastAsia="zh-CN"/>
        </w:rPr>
        <w:t>响应</w:t>
      </w:r>
      <w:r>
        <w:rPr>
          <w:rFonts w:hint="eastAsia" w:ascii="宋体" w:hAnsi="宋体" w:eastAsia="宋体" w:cs="宋体"/>
          <w:color w:val="auto"/>
          <w:szCs w:val="21"/>
          <w:highlight w:val="none"/>
        </w:rPr>
        <w:t>内容不一致的，以报价表为准；</w:t>
      </w:r>
    </w:p>
    <w:p w14:paraId="4EEF205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59942C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7DC4A7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275281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（4）规定的顺序逐条进行修正。修正后的报价经供应商确认后产生约束力，供应商不确认的，其响应文件按无效响应处理。</w:t>
      </w:r>
    </w:p>
    <w:p w14:paraId="381FFF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7E615C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77B41B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38FD12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6B9702E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2508F39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85456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1ED6D32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20C824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7DE93E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105D6F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29E3C7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194337F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10）技术需求允许负偏离的条款数超过“供应商须知前附表”规定项数；</w:t>
      </w:r>
    </w:p>
    <w:p w14:paraId="3233C5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5ED4C0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058EE8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1EAD30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15E0A1D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法律法规</w:t>
      </w:r>
      <w:r>
        <w:rPr>
          <w:rFonts w:hint="eastAsia" w:ascii="宋体" w:hAnsi="宋体" w:eastAsia="宋体" w:cs="宋体"/>
          <w:color w:val="auto"/>
          <w:szCs w:val="21"/>
          <w:highlight w:val="none"/>
        </w:rPr>
        <w:t>和磋商文件规定的其他无效情形。</w:t>
      </w:r>
    </w:p>
    <w:p w14:paraId="2F0A0C4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2B748B6C">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 xml:space="preserve"> 响应文件未提供“供应商须知前附表” 报价文件中规定的“响应报价表”；</w:t>
      </w:r>
    </w:p>
    <w:p w14:paraId="58642B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627520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AD1A4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4EB32F7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1EA28D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6）响应文件响应的标的数量及单位与竞争性磋商采购文件要求实质性不一致的。</w:t>
      </w:r>
    </w:p>
    <w:p w14:paraId="296736D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2511F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w:t>
      </w:r>
      <w:r>
        <w:rPr>
          <w:rFonts w:hint="eastAsia" w:ascii="宋体" w:hAnsi="宋体" w:eastAsia="宋体" w:cs="宋体"/>
          <w:b/>
          <w:bCs/>
          <w:color w:val="auto"/>
          <w:szCs w:val="21"/>
          <w:highlight w:val="none"/>
        </w:rPr>
        <w:t>只有2家的，磋商采购活动可以继续进行</w:t>
      </w:r>
      <w:r>
        <w:rPr>
          <w:rFonts w:hint="eastAsia" w:ascii="宋体" w:hAnsi="宋体" w:eastAsia="宋体" w:cs="宋体"/>
          <w:color w:val="auto"/>
          <w:szCs w:val="21"/>
          <w:highlight w:val="none"/>
        </w:rPr>
        <w:t>。</w:t>
      </w:r>
    </w:p>
    <w:p w14:paraId="6486EE5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4F949736">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w:t>
      </w:r>
      <w:r>
        <w:rPr>
          <w:rFonts w:hint="eastAsia" w:ascii="宋体" w:hAnsi="宋体" w:cs="宋体"/>
          <w:color w:val="auto"/>
          <w:szCs w:val="21"/>
          <w:highlight w:val="none"/>
          <w:lang w:eastAsia="zh-CN"/>
        </w:rPr>
        <w:t>，对</w:t>
      </w:r>
      <w:r>
        <w:rPr>
          <w:rFonts w:hint="eastAsia" w:ascii="宋体" w:hAnsi="宋体" w:eastAsia="宋体" w:cs="宋体"/>
          <w:color w:val="auto"/>
          <w:szCs w:val="21"/>
          <w:highlight w:val="none"/>
        </w:rPr>
        <w:t>其响应文件按无效响应处理。</w:t>
      </w:r>
    </w:p>
    <w:p w14:paraId="175860E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3F0522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2E4DD2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2E9A00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2205C5D8">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023F2CF6">
      <w:pPr>
        <w:pStyle w:val="28"/>
        <w:spacing w:before="0"/>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2FA63DE7">
      <w:pPr>
        <w:pStyle w:val="28"/>
        <w:spacing w:before="0"/>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631E67D3">
      <w:pPr>
        <w:pStyle w:val="28"/>
        <w:spacing w:before="0"/>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459339C2">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01191FF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2B8E716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 最后报价</w:t>
      </w:r>
    </w:p>
    <w:p w14:paraId="1EDCA6D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789E30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59FD8D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652495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7EA7CD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51CD82D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715ED0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08DB59C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11D0D3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4C2F75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75D481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6B5BEBB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625E38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5BC974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5.11最后报价结束后，磋商小组不得再与供应商进行任何形式的商谈。</w:t>
      </w:r>
    </w:p>
    <w:p w14:paraId="4339534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396553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4ECB30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181C98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38D6880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60E1AA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7FB415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6BB1A707">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2E8C8C16">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F58DBE6">
      <w:pPr>
        <w:pStyle w:val="3"/>
        <w:jc w:val="center"/>
        <w:rPr>
          <w:rFonts w:hint="eastAsia" w:ascii="宋体" w:hAnsi="宋体" w:eastAsia="宋体" w:cs="宋体"/>
          <w:b/>
          <w:bCs w:val="0"/>
          <w:color w:val="auto"/>
          <w:highlight w:val="none"/>
          <w:lang w:eastAsia="zh-CN"/>
        </w:rPr>
      </w:pPr>
      <w:bookmarkStart w:id="107" w:name="_Toc28561"/>
      <w:r>
        <w:rPr>
          <w:rFonts w:hint="eastAsia" w:ascii="宋体" w:hAnsi="宋体" w:eastAsia="宋体" w:cs="宋体"/>
          <w:b/>
          <w:bCs w:val="0"/>
          <w:color w:val="auto"/>
          <w:highlight w:val="none"/>
        </w:rPr>
        <w:t>第</w:t>
      </w:r>
      <w:r>
        <w:rPr>
          <w:rFonts w:hint="eastAsia" w:ascii="宋体" w:hAnsi="宋体" w:eastAsia="宋体" w:cs="宋体"/>
          <w:b/>
          <w:bCs w:val="0"/>
          <w:color w:val="auto"/>
          <w:highlight w:val="none"/>
          <w:lang w:eastAsia="zh-CN"/>
        </w:rPr>
        <w:t>二</w:t>
      </w:r>
      <w:r>
        <w:rPr>
          <w:rFonts w:hint="eastAsia" w:ascii="宋体" w:hAnsi="宋体" w:eastAsia="宋体" w:cs="宋体"/>
          <w:b/>
          <w:bCs w:val="0"/>
          <w:color w:val="auto"/>
          <w:highlight w:val="none"/>
        </w:rPr>
        <w:t xml:space="preserve">节 </w:t>
      </w:r>
      <w:r>
        <w:rPr>
          <w:rFonts w:hint="eastAsia" w:ascii="宋体" w:hAnsi="宋体" w:eastAsia="宋体" w:cs="宋体"/>
          <w:b/>
          <w:bCs w:val="0"/>
          <w:color w:val="auto"/>
          <w:highlight w:val="none"/>
          <w:lang w:eastAsia="zh-CN"/>
        </w:rPr>
        <w:t>评审标准</w:t>
      </w:r>
      <w:bookmarkEnd w:id="107"/>
    </w:p>
    <w:p w14:paraId="08C1E14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7.评审标准</w:t>
      </w:r>
    </w:p>
    <w:p w14:paraId="1E08B4D5">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 w:val="0"/>
          <w:bCs/>
          <w:color w:val="auto"/>
          <w:highlight w:val="none"/>
        </w:rPr>
        <w:t>7.</w:t>
      </w:r>
      <w:r>
        <w:rPr>
          <w:rFonts w:hint="eastAsia" w:ascii="宋体" w:hAnsi="宋体" w:eastAsia="宋体" w:cs="宋体"/>
          <w:b w:val="0"/>
          <w:bCs/>
          <w:color w:val="auto"/>
          <w:szCs w:val="21"/>
          <w:highlight w:val="none"/>
        </w:rPr>
        <w:t>1</w:t>
      </w:r>
      <w:r>
        <w:rPr>
          <w:rFonts w:hint="eastAsia" w:ascii="宋体" w:hAnsi="宋体" w:eastAsia="宋体" w:cs="宋体"/>
          <w:bCs/>
          <w:color w:val="auto"/>
          <w:szCs w:val="21"/>
          <w:highlight w:val="none"/>
        </w:rPr>
        <w:t>评审依据：磋商小组将以磋商响应文件为评审依据，对供应商的报价、技术、商务等方面内容按百分制打分。（计分方法按四舍五入取至百分位）</w:t>
      </w:r>
    </w:p>
    <w:p w14:paraId="3803050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7.2</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终止竞争性磋商采购活动</w:t>
      </w:r>
    </w:p>
    <w:p w14:paraId="7754705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CB597AB">
      <w:pPr>
        <w:pStyle w:val="27"/>
        <w:rPr>
          <w:rFonts w:hint="eastAsia" w:ascii="宋体" w:hAnsi="宋体" w:eastAsia="宋体" w:cs="宋体"/>
          <w:color w:val="auto"/>
          <w:highlight w:val="none"/>
        </w:rPr>
      </w:pPr>
    </w:p>
    <w:p w14:paraId="72B3E268">
      <w:pPr>
        <w:pStyle w:val="27"/>
        <w:rPr>
          <w:rFonts w:hint="eastAsia" w:ascii="宋体" w:hAnsi="宋体" w:eastAsia="宋体" w:cs="宋体"/>
          <w:color w:val="auto"/>
          <w:highlight w:val="none"/>
        </w:rPr>
      </w:pPr>
    </w:p>
    <w:p w14:paraId="0876C1D1">
      <w:pPr>
        <w:pStyle w:val="27"/>
        <w:rPr>
          <w:rFonts w:hint="eastAsia" w:ascii="宋体" w:hAnsi="宋体" w:eastAsia="宋体" w:cs="宋体"/>
          <w:color w:val="auto"/>
          <w:highlight w:val="none"/>
        </w:rPr>
      </w:pPr>
    </w:p>
    <w:p w14:paraId="06FEA234">
      <w:pPr>
        <w:pStyle w:val="27"/>
        <w:rPr>
          <w:rFonts w:hint="eastAsia" w:ascii="宋体" w:hAnsi="宋体" w:eastAsia="宋体" w:cs="宋体"/>
          <w:color w:val="auto"/>
          <w:highlight w:val="none"/>
        </w:rPr>
      </w:pPr>
    </w:p>
    <w:p w14:paraId="26DE4486">
      <w:pPr>
        <w:pStyle w:val="27"/>
        <w:rPr>
          <w:rFonts w:hint="eastAsia" w:ascii="宋体" w:hAnsi="宋体" w:eastAsia="宋体" w:cs="宋体"/>
          <w:color w:val="auto"/>
          <w:highlight w:val="none"/>
        </w:rPr>
      </w:pPr>
    </w:p>
    <w:tbl>
      <w:tblPr>
        <w:tblStyle w:val="20"/>
        <w:tblW w:w="9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1366"/>
        <w:gridCol w:w="7669"/>
      </w:tblGrid>
      <w:tr w14:paraId="0D59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03" w:type="dxa"/>
            <w:noWrap w:val="0"/>
            <w:vAlign w:val="center"/>
          </w:tcPr>
          <w:p w14:paraId="51C43AF8">
            <w:pPr>
              <w:spacing w:line="360" w:lineRule="auto"/>
              <w:jc w:val="center"/>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序号</w:t>
            </w:r>
          </w:p>
        </w:tc>
        <w:tc>
          <w:tcPr>
            <w:tcW w:w="1366" w:type="dxa"/>
            <w:noWrap w:val="0"/>
            <w:vAlign w:val="center"/>
          </w:tcPr>
          <w:p w14:paraId="2E763100">
            <w:pPr>
              <w:spacing w:line="360" w:lineRule="auto"/>
              <w:jc w:val="center"/>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评分类型</w:t>
            </w:r>
          </w:p>
        </w:tc>
        <w:tc>
          <w:tcPr>
            <w:tcW w:w="7669" w:type="dxa"/>
            <w:noWrap w:val="0"/>
            <w:vAlign w:val="center"/>
          </w:tcPr>
          <w:p w14:paraId="410ECC2B">
            <w:pPr>
              <w:spacing w:line="360" w:lineRule="auto"/>
              <w:jc w:val="center"/>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评分标准</w:t>
            </w:r>
          </w:p>
        </w:tc>
      </w:tr>
      <w:tr w14:paraId="778E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noWrap w:val="0"/>
            <w:vAlign w:val="center"/>
          </w:tcPr>
          <w:p w14:paraId="257B514D">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1</w:t>
            </w:r>
          </w:p>
        </w:tc>
        <w:tc>
          <w:tcPr>
            <w:tcW w:w="1366" w:type="dxa"/>
            <w:noWrap w:val="0"/>
            <w:vAlign w:val="center"/>
          </w:tcPr>
          <w:p w14:paraId="538D87BF">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val="en-US" w:eastAsia="zh-CN"/>
              </w:rPr>
              <w:t>报价分</w:t>
            </w:r>
            <w:r>
              <w:rPr>
                <w:rFonts w:hint="eastAsia" w:ascii="宋体" w:hAnsi="宋体" w:eastAsia="宋体" w:cs="宋体"/>
                <w:bCs/>
                <w:color w:val="auto"/>
                <w:szCs w:val="21"/>
                <w:highlight w:val="none"/>
                <w:vertAlign w:val="baseline"/>
                <w:lang w:eastAsia="zh-CN"/>
              </w:rPr>
              <w:t>（</w:t>
            </w:r>
            <w:r>
              <w:rPr>
                <w:rFonts w:hint="eastAsia" w:ascii="宋体" w:hAnsi="宋体" w:eastAsia="宋体" w:cs="宋体"/>
                <w:bCs/>
                <w:color w:val="auto"/>
                <w:szCs w:val="21"/>
                <w:highlight w:val="none"/>
                <w:vertAlign w:val="baseline"/>
                <w:lang w:val="en-US" w:eastAsia="zh-CN"/>
              </w:rPr>
              <w:t>满分10分</w:t>
            </w:r>
            <w:r>
              <w:rPr>
                <w:rFonts w:hint="eastAsia" w:ascii="宋体" w:hAnsi="宋体" w:eastAsia="宋体" w:cs="宋体"/>
                <w:bCs/>
                <w:color w:val="auto"/>
                <w:szCs w:val="21"/>
                <w:highlight w:val="none"/>
                <w:vertAlign w:val="baseline"/>
                <w:lang w:eastAsia="zh-CN"/>
              </w:rPr>
              <w:t>）</w:t>
            </w:r>
          </w:p>
        </w:tc>
        <w:tc>
          <w:tcPr>
            <w:tcW w:w="7669" w:type="dxa"/>
            <w:noWrap w:val="0"/>
            <w:vAlign w:val="top"/>
          </w:tcPr>
          <w:p w14:paraId="16B6219A">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（1）评审价为供应商的最后报价，最终成交供应商的成交金额等于最后报价（如有修正，以确认修正后的最后报价为准）。</w:t>
            </w:r>
          </w:p>
          <w:p w14:paraId="304093A6">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2）本项目为专门面向中小企业采购的项目，参加本项目磋商的供应商必须为供应商应为中小微企业、监狱企业、残疾人福利性单位，否则竞标无效。价格评审时，参加本次项目竞标的供应商不重复享受政策，其评审价=竞标报价。</w:t>
            </w:r>
          </w:p>
          <w:p w14:paraId="77EE46C7">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w:t>
            </w:r>
            <w:r>
              <w:rPr>
                <w:rFonts w:hint="eastAsia" w:ascii="宋体" w:hAnsi="宋体" w:cs="宋体"/>
                <w:bCs/>
                <w:color w:val="auto"/>
                <w:szCs w:val="21"/>
                <w:highlight w:val="none"/>
                <w:vertAlign w:val="baseline"/>
                <w:lang w:val="en-US" w:eastAsia="zh-CN"/>
              </w:rPr>
              <w:t>3</w:t>
            </w:r>
            <w:r>
              <w:rPr>
                <w:rFonts w:hint="eastAsia" w:ascii="宋体" w:hAnsi="宋体" w:eastAsia="宋体" w:cs="宋体"/>
                <w:bCs/>
                <w:color w:val="auto"/>
                <w:szCs w:val="21"/>
                <w:highlight w:val="none"/>
                <w:vertAlign w:val="baseline"/>
                <w:lang w:val="en-US" w:eastAsia="zh-CN"/>
              </w:rPr>
              <w:t>）以进入比较与评价环节的最低的评审价为基准价，基准价得分为10分。</w:t>
            </w:r>
          </w:p>
          <w:p w14:paraId="4474FAE7">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w:t>
            </w:r>
            <w:r>
              <w:rPr>
                <w:rFonts w:hint="eastAsia" w:ascii="宋体" w:hAnsi="宋体" w:cs="宋体"/>
                <w:bCs/>
                <w:color w:val="auto"/>
                <w:szCs w:val="21"/>
                <w:highlight w:val="none"/>
                <w:vertAlign w:val="baseline"/>
                <w:lang w:val="en-US" w:eastAsia="zh-CN"/>
              </w:rPr>
              <w:t>4</w:t>
            </w:r>
            <w:r>
              <w:rPr>
                <w:rFonts w:hint="eastAsia" w:ascii="宋体" w:hAnsi="宋体" w:eastAsia="宋体" w:cs="宋体"/>
                <w:bCs/>
                <w:color w:val="auto"/>
                <w:szCs w:val="21"/>
                <w:highlight w:val="none"/>
                <w:vertAlign w:val="baseline"/>
                <w:lang w:val="en-US" w:eastAsia="zh-CN"/>
              </w:rPr>
              <w:t>）价格分计算公式：</w:t>
            </w:r>
          </w:p>
          <w:p w14:paraId="0B20E8F0">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报价得分=（基准价/最后报价）×10分</w:t>
            </w:r>
          </w:p>
        </w:tc>
      </w:tr>
      <w:tr w14:paraId="2E21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Merge w:val="restart"/>
            <w:noWrap w:val="0"/>
            <w:vAlign w:val="center"/>
          </w:tcPr>
          <w:p w14:paraId="1BC506F7">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cs="宋体"/>
                <w:bCs/>
                <w:color w:val="auto"/>
                <w:szCs w:val="21"/>
                <w:highlight w:val="none"/>
                <w:vertAlign w:val="baseline"/>
                <w:lang w:val="en-US" w:eastAsia="zh-CN"/>
              </w:rPr>
              <w:t>2</w:t>
            </w:r>
          </w:p>
        </w:tc>
        <w:tc>
          <w:tcPr>
            <w:tcW w:w="1366" w:type="dxa"/>
            <w:vMerge w:val="restart"/>
            <w:noWrap w:val="0"/>
            <w:vAlign w:val="center"/>
          </w:tcPr>
          <w:p w14:paraId="1379A44D">
            <w:pPr>
              <w:spacing w:line="360" w:lineRule="auto"/>
              <w:jc w:val="center"/>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施工组织</w:t>
            </w:r>
            <w:r>
              <w:rPr>
                <w:rFonts w:hint="eastAsia" w:ascii="宋体" w:hAnsi="宋体" w:cs="宋体"/>
                <w:bCs/>
                <w:color w:val="auto"/>
                <w:szCs w:val="21"/>
                <w:highlight w:val="none"/>
                <w:vertAlign w:val="baseline"/>
                <w:lang w:val="en-US" w:eastAsia="zh-CN"/>
              </w:rPr>
              <w:t>设计</w:t>
            </w:r>
            <w:r>
              <w:rPr>
                <w:rFonts w:hint="eastAsia" w:ascii="宋体" w:hAnsi="宋体" w:eastAsia="宋体" w:cs="宋体"/>
                <w:bCs/>
                <w:color w:val="auto"/>
                <w:szCs w:val="21"/>
                <w:highlight w:val="none"/>
                <w:vertAlign w:val="baseline"/>
                <w:lang w:eastAsia="zh-CN"/>
              </w:rPr>
              <w:t>（</w:t>
            </w:r>
            <w:r>
              <w:rPr>
                <w:rFonts w:hint="eastAsia" w:ascii="宋体" w:hAnsi="宋体" w:eastAsia="宋体" w:cs="宋体"/>
                <w:bCs/>
                <w:color w:val="auto"/>
                <w:szCs w:val="21"/>
                <w:highlight w:val="none"/>
                <w:vertAlign w:val="baseline"/>
                <w:lang w:val="en-US" w:eastAsia="zh-CN"/>
              </w:rPr>
              <w:t>满分</w:t>
            </w:r>
            <w:r>
              <w:rPr>
                <w:rFonts w:hint="eastAsia" w:ascii="宋体" w:hAnsi="宋体" w:cs="宋体"/>
                <w:bCs/>
                <w:color w:val="auto"/>
                <w:szCs w:val="21"/>
                <w:highlight w:val="none"/>
                <w:vertAlign w:val="baseline"/>
                <w:lang w:val="en-US" w:eastAsia="zh-CN"/>
              </w:rPr>
              <w:t>85</w:t>
            </w:r>
            <w:r>
              <w:rPr>
                <w:rFonts w:hint="eastAsia" w:ascii="宋体" w:hAnsi="宋体" w:eastAsia="宋体" w:cs="宋体"/>
                <w:bCs/>
                <w:color w:val="auto"/>
                <w:szCs w:val="21"/>
                <w:highlight w:val="none"/>
                <w:vertAlign w:val="baseline"/>
                <w:lang w:val="en-US" w:eastAsia="zh-CN"/>
              </w:rPr>
              <w:t>分</w:t>
            </w:r>
            <w:r>
              <w:rPr>
                <w:rFonts w:hint="eastAsia" w:ascii="宋体" w:hAnsi="宋体" w:eastAsia="宋体" w:cs="宋体"/>
                <w:bCs/>
                <w:color w:val="auto"/>
                <w:szCs w:val="21"/>
                <w:highlight w:val="none"/>
                <w:vertAlign w:val="baseline"/>
                <w:lang w:eastAsia="zh-CN"/>
              </w:rPr>
              <w:t>）</w:t>
            </w:r>
          </w:p>
        </w:tc>
        <w:tc>
          <w:tcPr>
            <w:tcW w:w="7669" w:type="dxa"/>
            <w:noWrap w:val="0"/>
            <w:vAlign w:val="top"/>
          </w:tcPr>
          <w:p w14:paraId="299F24B0">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（1）主要施工方法（满分</w:t>
            </w:r>
            <w:r>
              <w:rPr>
                <w:rFonts w:hint="eastAsia" w:ascii="宋体" w:hAnsi="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p>
          <w:p w14:paraId="1A519FD6">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由评标委员会在打分前根据供应商提供的拟投入的主要施工方法，在相应档次内独立打分。</w:t>
            </w:r>
          </w:p>
          <w:p w14:paraId="7F968145">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w:t>
            </w:r>
            <w:r>
              <w:rPr>
                <w:rFonts w:hint="eastAsia" w:ascii="宋体" w:hAnsi="宋体" w:cs="宋体"/>
                <w:b/>
                <w:bCs w:val="0"/>
                <w:color w:val="auto"/>
                <w:szCs w:val="21"/>
                <w:highlight w:val="none"/>
                <w:vertAlign w:val="baseline"/>
                <w:lang w:val="en-US" w:eastAsia="zh-CN"/>
              </w:rPr>
              <w:t>2</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对项目施工认识不足，表述不清晰，措施不具体；施工段划分不合理。</w:t>
            </w:r>
          </w:p>
          <w:p w14:paraId="473B8F1B">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cs="宋体"/>
                <w:b/>
                <w:bCs w:val="0"/>
                <w:color w:val="auto"/>
                <w:szCs w:val="21"/>
                <w:highlight w:val="none"/>
                <w:vertAlign w:val="baseline"/>
                <w:lang w:val="en-US" w:eastAsia="zh-CN"/>
              </w:rPr>
              <w:t>4</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对项目总体有一定认识，表述基本清晰、完整，措施具体有效；施工段划分呼应总体表述，划分清晰，符合规范要求。</w:t>
            </w:r>
          </w:p>
          <w:p w14:paraId="68380FA8">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对项目总体有良好认识，表述清晰、完整，措施具体有效；施工段划分呼应总体表述，划分清晰，符合规范要求。</w:t>
            </w:r>
          </w:p>
          <w:p w14:paraId="48F5219D">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对项目施工总体有深刻认识，表述清晰、完整、严谨、合理，措施先进、具体、有效、成熟，采用了已论证的新技术、新工艺、新材料、新设备；施工段划分呼应总体表述，划分清晰、合理，符合规范要求。</w:t>
            </w:r>
          </w:p>
        </w:tc>
      </w:tr>
      <w:tr w14:paraId="6E1F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Merge w:val="continue"/>
            <w:noWrap w:val="0"/>
            <w:vAlign w:val="center"/>
          </w:tcPr>
          <w:p w14:paraId="12285442">
            <w:pPr>
              <w:spacing w:line="360" w:lineRule="auto"/>
              <w:jc w:val="center"/>
              <w:rPr>
                <w:rFonts w:hint="eastAsia" w:ascii="宋体" w:hAnsi="宋体" w:cs="宋体"/>
                <w:bCs/>
                <w:color w:val="auto"/>
                <w:szCs w:val="21"/>
                <w:highlight w:val="none"/>
                <w:vertAlign w:val="baseline"/>
                <w:lang w:val="en-US" w:eastAsia="zh-CN"/>
              </w:rPr>
            </w:pPr>
          </w:p>
        </w:tc>
        <w:tc>
          <w:tcPr>
            <w:tcW w:w="1366" w:type="dxa"/>
            <w:vMerge w:val="continue"/>
            <w:noWrap w:val="0"/>
            <w:vAlign w:val="center"/>
          </w:tcPr>
          <w:p w14:paraId="19BDA983">
            <w:pPr>
              <w:spacing w:line="360" w:lineRule="auto"/>
              <w:jc w:val="center"/>
              <w:rPr>
                <w:rFonts w:hint="eastAsia" w:ascii="宋体" w:hAnsi="宋体" w:eastAsia="宋体" w:cs="宋体"/>
                <w:bCs/>
                <w:color w:val="auto"/>
                <w:szCs w:val="21"/>
                <w:highlight w:val="none"/>
                <w:vertAlign w:val="baseline"/>
                <w:lang w:val="en-US" w:eastAsia="zh-CN"/>
              </w:rPr>
            </w:pPr>
          </w:p>
        </w:tc>
        <w:tc>
          <w:tcPr>
            <w:tcW w:w="7669" w:type="dxa"/>
            <w:noWrap w:val="0"/>
            <w:vAlign w:val="top"/>
          </w:tcPr>
          <w:p w14:paraId="2754DC99">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w:t>
            </w:r>
            <w:r>
              <w:rPr>
                <w:rFonts w:hint="eastAsia" w:ascii="宋体" w:hAnsi="宋体" w:cs="宋体"/>
                <w:b/>
                <w:bCs w:val="0"/>
                <w:color w:val="auto"/>
                <w:szCs w:val="21"/>
                <w:highlight w:val="none"/>
                <w:vertAlign w:val="baseline"/>
                <w:lang w:val="en-US" w:eastAsia="zh-CN"/>
              </w:rPr>
              <w:t>2</w:t>
            </w:r>
            <w:r>
              <w:rPr>
                <w:rFonts w:hint="eastAsia" w:ascii="宋体" w:hAnsi="宋体" w:eastAsia="宋体" w:cs="宋体"/>
                <w:b/>
                <w:bCs w:val="0"/>
                <w:color w:val="auto"/>
                <w:szCs w:val="21"/>
                <w:highlight w:val="none"/>
                <w:vertAlign w:val="baseline"/>
                <w:lang w:eastAsia="zh-CN"/>
              </w:rPr>
              <w:t>）拟投入的主要物资计划（满分</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p>
          <w:p w14:paraId="3936B25D">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由评标委员会在打分前根据供应商提供的拟投入的主要物资计划，在相应档次内独立打分。</w:t>
            </w:r>
          </w:p>
          <w:p w14:paraId="74A75BE0">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w:t>
            </w:r>
            <w:r>
              <w:rPr>
                <w:rFonts w:hint="eastAsia" w:ascii="宋体" w:hAnsi="宋体" w:cs="宋体"/>
                <w:b/>
                <w:bCs w:val="0"/>
                <w:color w:val="auto"/>
                <w:szCs w:val="21"/>
                <w:highlight w:val="none"/>
                <w:vertAlign w:val="baseline"/>
                <w:lang w:val="en-US" w:eastAsia="zh-CN"/>
              </w:rPr>
              <w:t>1</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投入的施工材料组织计划不合理，表述不清晰，不能满足施工需要。</w:t>
            </w:r>
          </w:p>
          <w:p w14:paraId="262EE157">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cs="宋体"/>
                <w:b/>
                <w:bCs w:val="0"/>
                <w:color w:val="auto"/>
                <w:szCs w:val="21"/>
                <w:highlight w:val="none"/>
                <w:vertAlign w:val="baseline"/>
                <w:lang w:val="en-US" w:eastAsia="zh-CN"/>
              </w:rPr>
              <w:t>3</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投入的施工材料基本满足施工的组织计划，在材料数量、选型配置、进场时间上有安排，基本满足施工需要。</w:t>
            </w:r>
          </w:p>
          <w:p w14:paraId="19908EED">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cs="宋体"/>
                <w:b/>
                <w:bCs w:val="0"/>
                <w:color w:val="auto"/>
                <w:szCs w:val="21"/>
                <w:highlight w:val="none"/>
                <w:vertAlign w:val="baseline"/>
                <w:lang w:val="en-US" w:eastAsia="zh-CN"/>
              </w:rPr>
              <w:t>5</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投入的施工材料有满足施工的组织计划，在材料数量、选型配置、进场时间上有安排，较好满足施工需要。</w:t>
            </w:r>
          </w:p>
          <w:p w14:paraId="451BF335">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投入的施工材料有详细的组织计划且计划周密，数量、选型配置、进场时间安排合理，完全满足施工需要。</w:t>
            </w:r>
          </w:p>
        </w:tc>
      </w:tr>
      <w:tr w14:paraId="205F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Merge w:val="continue"/>
            <w:noWrap w:val="0"/>
            <w:vAlign w:val="center"/>
          </w:tcPr>
          <w:p w14:paraId="52EDEC32">
            <w:pPr>
              <w:spacing w:line="360" w:lineRule="auto"/>
              <w:jc w:val="center"/>
              <w:rPr>
                <w:rFonts w:hint="eastAsia" w:ascii="宋体" w:hAnsi="宋体" w:cs="宋体"/>
                <w:bCs/>
                <w:color w:val="auto"/>
                <w:szCs w:val="21"/>
                <w:highlight w:val="none"/>
                <w:vertAlign w:val="baseline"/>
                <w:lang w:val="en-US" w:eastAsia="zh-CN"/>
              </w:rPr>
            </w:pPr>
          </w:p>
        </w:tc>
        <w:tc>
          <w:tcPr>
            <w:tcW w:w="1366" w:type="dxa"/>
            <w:vMerge w:val="continue"/>
            <w:noWrap w:val="0"/>
            <w:vAlign w:val="center"/>
          </w:tcPr>
          <w:p w14:paraId="2B0E35A9">
            <w:pPr>
              <w:spacing w:line="360" w:lineRule="auto"/>
              <w:jc w:val="center"/>
              <w:rPr>
                <w:rFonts w:hint="eastAsia" w:ascii="宋体" w:hAnsi="宋体" w:eastAsia="宋体" w:cs="宋体"/>
                <w:bCs/>
                <w:color w:val="auto"/>
                <w:szCs w:val="21"/>
                <w:highlight w:val="none"/>
                <w:vertAlign w:val="baseline"/>
                <w:lang w:val="en-US" w:eastAsia="zh-CN"/>
              </w:rPr>
            </w:pPr>
          </w:p>
        </w:tc>
        <w:tc>
          <w:tcPr>
            <w:tcW w:w="7669" w:type="dxa"/>
            <w:noWrap w:val="0"/>
            <w:vAlign w:val="top"/>
          </w:tcPr>
          <w:p w14:paraId="43C4CC44">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w:t>
            </w:r>
            <w:r>
              <w:rPr>
                <w:rFonts w:hint="eastAsia" w:ascii="宋体" w:hAnsi="宋体" w:cs="宋体"/>
                <w:b/>
                <w:bCs w:val="0"/>
                <w:color w:val="auto"/>
                <w:szCs w:val="21"/>
                <w:highlight w:val="none"/>
                <w:vertAlign w:val="baseline"/>
                <w:lang w:val="en-US" w:eastAsia="zh-CN"/>
              </w:rPr>
              <w:t>3</w:t>
            </w:r>
            <w:r>
              <w:rPr>
                <w:rFonts w:hint="eastAsia" w:ascii="宋体" w:hAnsi="宋体" w:eastAsia="宋体" w:cs="宋体"/>
                <w:b/>
                <w:bCs w:val="0"/>
                <w:color w:val="auto"/>
                <w:szCs w:val="21"/>
                <w:highlight w:val="none"/>
                <w:vertAlign w:val="baseline"/>
                <w:lang w:eastAsia="zh-CN"/>
              </w:rPr>
              <w:t>）拟投入的主要施工机械、设备计划（满分</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p>
          <w:p w14:paraId="317CD2B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由评标委员会在打分前根据供应商提供的拟投入的主要施工机械、设备计划，在相应档次内独立打分。</w:t>
            </w:r>
          </w:p>
          <w:p w14:paraId="383E7BC8">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w:t>
            </w:r>
            <w:r>
              <w:rPr>
                <w:rFonts w:hint="eastAsia" w:ascii="宋体" w:hAnsi="宋体" w:cs="宋体"/>
                <w:b/>
                <w:bCs w:val="0"/>
                <w:color w:val="auto"/>
                <w:szCs w:val="21"/>
                <w:highlight w:val="none"/>
                <w:vertAlign w:val="baseline"/>
                <w:lang w:val="en-US" w:eastAsia="zh-CN"/>
              </w:rPr>
              <w:t>1</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投入的施工机械、设备、机具组织计划差，投入计划与进度计划不呼应，不能满足施工需要。</w:t>
            </w:r>
          </w:p>
          <w:p w14:paraId="1C7D4FCA">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cs="宋体"/>
                <w:b/>
                <w:bCs w:val="0"/>
                <w:color w:val="auto"/>
                <w:szCs w:val="21"/>
                <w:highlight w:val="none"/>
                <w:vertAlign w:val="baseline"/>
                <w:lang w:val="en-US" w:eastAsia="zh-CN"/>
              </w:rPr>
              <w:t>3</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投入的施工机械、设备、机具有组织计划，设备数量、选型配置、进场投入计划与进度计划呼应，基本满足施工需要。</w:t>
            </w:r>
          </w:p>
          <w:p w14:paraId="123C4BC2">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cs="宋体"/>
                <w:b/>
                <w:bCs w:val="0"/>
                <w:color w:val="auto"/>
                <w:szCs w:val="21"/>
                <w:highlight w:val="none"/>
                <w:vertAlign w:val="baseline"/>
                <w:lang w:val="en-US" w:eastAsia="zh-CN"/>
              </w:rPr>
              <w:t>5</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投入的施工机械、设备、机具有详细的组织计划，设备数量、选型配置、进场投入计划与进度计划呼应，满足施工需要。</w:t>
            </w:r>
          </w:p>
          <w:p w14:paraId="5B892158">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投入的施工机械、设备、机具有详细的组织计划且计划周密，设备数量、选型配置、进场时间安排合理，满足施工需要。</w:t>
            </w:r>
          </w:p>
        </w:tc>
      </w:tr>
      <w:tr w14:paraId="0507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Merge w:val="continue"/>
            <w:noWrap w:val="0"/>
            <w:vAlign w:val="top"/>
          </w:tcPr>
          <w:p w14:paraId="2AB4ED87">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6C454644">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76E9EDE0">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w:t>
            </w:r>
            <w:r>
              <w:rPr>
                <w:rFonts w:hint="eastAsia" w:ascii="宋体" w:hAnsi="宋体" w:cs="宋体"/>
                <w:b/>
                <w:bCs w:val="0"/>
                <w:color w:val="auto"/>
                <w:szCs w:val="21"/>
                <w:highlight w:val="none"/>
                <w:vertAlign w:val="baseline"/>
                <w:lang w:val="en-US" w:eastAsia="zh-CN"/>
              </w:rPr>
              <w:t>4</w:t>
            </w:r>
            <w:r>
              <w:rPr>
                <w:rFonts w:hint="eastAsia" w:ascii="宋体" w:hAnsi="宋体" w:eastAsia="宋体" w:cs="宋体"/>
                <w:b/>
                <w:bCs w:val="0"/>
                <w:color w:val="auto"/>
                <w:szCs w:val="21"/>
                <w:highlight w:val="none"/>
                <w:vertAlign w:val="baseline"/>
                <w:lang w:eastAsia="zh-CN"/>
              </w:rPr>
              <w:t>）劳动力安排计划（满分</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p>
          <w:p w14:paraId="41731C30">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评标委员会在打分前根据供应商提供的劳动力安排计划，在相应档次内独立打分。</w:t>
            </w:r>
          </w:p>
          <w:p w14:paraId="69034108">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w:t>
            </w:r>
            <w:r>
              <w:rPr>
                <w:rFonts w:hint="eastAsia" w:ascii="宋体" w:hAnsi="宋体" w:cs="宋体"/>
                <w:b/>
                <w:bCs w:val="0"/>
                <w:color w:val="auto"/>
                <w:szCs w:val="21"/>
                <w:highlight w:val="none"/>
                <w:vertAlign w:val="baseline"/>
                <w:lang w:val="en-US" w:eastAsia="zh-CN"/>
              </w:rPr>
              <w:t>1</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各主要施工工序劳动力安排计划不全，无各工种劳动力安排计划或计划不全，劳动力 投入不合理，不能满足施工需要。</w:t>
            </w:r>
          </w:p>
          <w:p w14:paraId="1FD6B795">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cs="宋体"/>
                <w:b/>
                <w:bCs w:val="0"/>
                <w:color w:val="auto"/>
                <w:szCs w:val="21"/>
                <w:highlight w:val="none"/>
                <w:vertAlign w:val="baseline"/>
                <w:lang w:val="en-US" w:eastAsia="zh-CN"/>
              </w:rPr>
              <w:t>3</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各主要施工工序应有劳动力安排计划，有各工种劳动力安排计划，劳动力投入基本合理，基本满足施工需要。</w:t>
            </w:r>
          </w:p>
          <w:p w14:paraId="4D10834C">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cs="宋体"/>
                <w:b/>
                <w:bCs w:val="0"/>
                <w:color w:val="auto"/>
                <w:szCs w:val="21"/>
                <w:highlight w:val="none"/>
                <w:vertAlign w:val="baseline"/>
                <w:lang w:val="en-US" w:eastAsia="zh-CN"/>
              </w:rPr>
              <w:t>5</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各主要施工工序有详细的劳动力安排计划，有各工种劳动力安排计划，劳动力投入合理，满足施工需要。</w:t>
            </w:r>
          </w:p>
          <w:p w14:paraId="3BA14527">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各主要施工工序有详细周密的劳 动力安排计划，各工种劳动力安排计划齐全，劳动力投入与进度计划呼应合理，满足施工需要。</w:t>
            </w:r>
          </w:p>
        </w:tc>
      </w:tr>
      <w:tr w14:paraId="1C5A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Merge w:val="continue"/>
            <w:noWrap w:val="0"/>
            <w:vAlign w:val="top"/>
          </w:tcPr>
          <w:p w14:paraId="6FB3DABE">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0D13116F">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3C15EDCA">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w:t>
            </w:r>
            <w:r>
              <w:rPr>
                <w:rFonts w:hint="eastAsia" w:ascii="宋体" w:hAnsi="宋体" w:cs="宋体"/>
                <w:b/>
                <w:bCs w:val="0"/>
                <w:color w:val="auto"/>
                <w:szCs w:val="21"/>
                <w:highlight w:val="none"/>
                <w:vertAlign w:val="baseline"/>
                <w:lang w:val="en-US" w:eastAsia="zh-CN"/>
              </w:rPr>
              <w:t>5</w:t>
            </w:r>
            <w:r>
              <w:rPr>
                <w:rFonts w:hint="eastAsia" w:ascii="宋体" w:hAnsi="宋体" w:eastAsia="宋体" w:cs="宋体"/>
                <w:b/>
                <w:bCs w:val="0"/>
                <w:color w:val="auto"/>
                <w:szCs w:val="21"/>
                <w:highlight w:val="none"/>
                <w:vertAlign w:val="baseline"/>
                <w:lang w:eastAsia="zh-CN"/>
              </w:rPr>
              <w:t>）确保工程质量的技术组织措施（满分</w:t>
            </w:r>
            <w:r>
              <w:rPr>
                <w:rFonts w:hint="eastAsia" w:ascii="宋体" w:hAnsi="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p>
          <w:p w14:paraId="5568D6E5">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评标委员会在打分前根据供应商提供的工程质量技术组织措施，在相应档次内独立打分。</w:t>
            </w:r>
          </w:p>
          <w:p w14:paraId="1811E0CE">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w:t>
            </w:r>
            <w:r>
              <w:rPr>
                <w:rFonts w:hint="eastAsia" w:ascii="宋体" w:hAnsi="宋体" w:cs="宋体"/>
                <w:b/>
                <w:bCs w:val="0"/>
                <w:color w:val="auto"/>
                <w:szCs w:val="21"/>
                <w:highlight w:val="none"/>
                <w:vertAlign w:val="baseline"/>
                <w:lang w:val="en-US" w:eastAsia="zh-CN"/>
              </w:rPr>
              <w:t>2</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质量技术管理班子人员配备不合理，制度不健全。质量技术保证措施和手段不可行，没有质量违约责任承诺。</w:t>
            </w:r>
          </w:p>
          <w:p w14:paraId="3F47D693">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cs="宋体"/>
                <w:b/>
                <w:bCs w:val="0"/>
                <w:color w:val="auto"/>
                <w:szCs w:val="21"/>
                <w:highlight w:val="none"/>
                <w:vertAlign w:val="baseline"/>
                <w:lang w:val="en-US" w:eastAsia="zh-CN"/>
              </w:rPr>
              <w:t>4</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质量技术管理班子人员配备基本合理，制度基本健全。主要工序有质量技术保证措施和手段，能有效保证技术质量，满足招标文件的质量要求。</w:t>
            </w:r>
          </w:p>
          <w:p w14:paraId="28B6150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有专门的质量技术管理班子和制度，且人员配备合理，制度健全。主要工序有质量技术保证措施和手段，自控体系完整，能有效保证技术质量，达到承诺的质量标准。</w:t>
            </w:r>
          </w:p>
          <w:p w14:paraId="35C07E1D">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有专门的质量技术管理班子和制度，且人员配备合理，制度健全。主要工序有质量技术保证措施和手段，且先进、可行、具体，高于招标文件的质量要求及施工验收规范要求，达到承诺的质量标准。</w:t>
            </w:r>
          </w:p>
        </w:tc>
      </w:tr>
      <w:tr w14:paraId="1CF2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Merge w:val="continue"/>
            <w:noWrap w:val="0"/>
            <w:vAlign w:val="top"/>
          </w:tcPr>
          <w:p w14:paraId="44A3BFF2">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379F1732">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32897467">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w:t>
            </w:r>
            <w:r>
              <w:rPr>
                <w:rFonts w:hint="eastAsia" w:ascii="宋体" w:hAnsi="宋体" w:cs="宋体"/>
                <w:b/>
                <w:bCs w:val="0"/>
                <w:color w:val="auto"/>
                <w:szCs w:val="21"/>
                <w:highlight w:val="none"/>
                <w:vertAlign w:val="baseline"/>
                <w:lang w:val="en-US" w:eastAsia="zh-CN"/>
              </w:rPr>
              <w:t>6</w:t>
            </w:r>
            <w:r>
              <w:rPr>
                <w:rFonts w:hint="eastAsia" w:ascii="宋体" w:hAnsi="宋体" w:eastAsia="宋体" w:cs="宋体"/>
                <w:b/>
                <w:bCs w:val="0"/>
                <w:color w:val="auto"/>
                <w:szCs w:val="21"/>
                <w:highlight w:val="none"/>
                <w:vertAlign w:val="baseline"/>
                <w:lang w:eastAsia="zh-CN"/>
              </w:rPr>
              <w:t>）确保安全生产的技术组织措施（满分</w:t>
            </w:r>
            <w:r>
              <w:rPr>
                <w:rFonts w:hint="eastAsia" w:ascii="宋体" w:hAnsi="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p>
          <w:p w14:paraId="4E524614">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评标委员会在打分前根据供应商提供的安全生产技术组织措施，在相应档次内独立打分。</w:t>
            </w:r>
          </w:p>
          <w:p w14:paraId="02D4522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w:t>
            </w:r>
            <w:r>
              <w:rPr>
                <w:rFonts w:hint="eastAsia" w:ascii="宋体" w:hAnsi="宋体" w:cs="宋体"/>
                <w:b/>
                <w:bCs w:val="0"/>
                <w:color w:val="auto"/>
                <w:szCs w:val="21"/>
                <w:highlight w:val="none"/>
                <w:vertAlign w:val="baseline"/>
                <w:lang w:val="en-US" w:eastAsia="zh-CN"/>
              </w:rPr>
              <w:t>2</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有配备满足项目要求的专职安全员，人员配备不合理，安全管理制度不健全，各道工序安全技术措施基本符合实际，不能满足有关安全技术标准要求。现场防火、应急救援、社会治安安全措施不合理。</w:t>
            </w:r>
          </w:p>
          <w:p w14:paraId="7C5ABFD0">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cs="宋体"/>
                <w:b/>
                <w:bCs w:val="0"/>
                <w:color w:val="auto"/>
                <w:szCs w:val="21"/>
                <w:highlight w:val="none"/>
                <w:vertAlign w:val="baseline"/>
                <w:lang w:val="en-US" w:eastAsia="zh-CN"/>
              </w:rPr>
              <w:t>4</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有配备满足项目要求的专职安全员，人员配备基本合理，安全管理制度基本健全，各道工序安全技术措施基本符合实际，基本满足有关安全技术标准要求。现场防火、应急救援、社会治安安全措施基本合理。</w:t>
            </w:r>
          </w:p>
          <w:p w14:paraId="5CFC5715">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有配备满足项目要求的专职安全员，人员配备合理，有健全的安全管理制度，各道工序安全技术措施符合实际且满足有关安全技术标准要求。现场防火、应急救援、社会治安安全措施合理。</w:t>
            </w:r>
          </w:p>
          <w:p w14:paraId="7E51610C">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有配备满足项目要求的专职安全员，人员配备合理。有健全的安全管理制度，各道工序安全技术措施针对性强，符合实际且高于国家有关安全技术标准要求。现场防火、应急救援、社会治安安全措施得力。</w:t>
            </w:r>
          </w:p>
        </w:tc>
      </w:tr>
      <w:tr w14:paraId="3161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803" w:type="dxa"/>
            <w:vMerge w:val="continue"/>
            <w:noWrap w:val="0"/>
            <w:vAlign w:val="top"/>
          </w:tcPr>
          <w:p w14:paraId="39CC3462">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39110C5B">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7EC2BA15">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）确保工期的技术组织措施（满分</w:t>
            </w:r>
            <w:r>
              <w:rPr>
                <w:rFonts w:hint="eastAsia" w:ascii="宋体" w:hAnsi="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p>
          <w:p w14:paraId="568AC79F">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评标委员会在打分前根据供应商提供的工期技术组织措施，在相应档次内独立打分。</w:t>
            </w:r>
          </w:p>
          <w:p w14:paraId="7EF88369">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w:t>
            </w:r>
            <w:r>
              <w:rPr>
                <w:rFonts w:hint="eastAsia" w:ascii="宋体" w:hAnsi="宋体" w:cs="宋体"/>
                <w:b/>
                <w:bCs w:val="0"/>
                <w:color w:val="auto"/>
                <w:szCs w:val="21"/>
                <w:highlight w:val="none"/>
                <w:vertAlign w:val="baseline"/>
                <w:lang w:val="en-US" w:eastAsia="zh-CN"/>
              </w:rPr>
              <w:t>2</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有保证工期的具体措施。各项计划图表编制不完善，安排不合理，不能满足本项目施工实际要求。</w:t>
            </w:r>
          </w:p>
          <w:p w14:paraId="22BF937F">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cs="宋体"/>
                <w:b/>
                <w:bCs w:val="0"/>
                <w:color w:val="auto"/>
                <w:szCs w:val="21"/>
                <w:highlight w:val="none"/>
                <w:vertAlign w:val="baseline"/>
                <w:lang w:val="en-US" w:eastAsia="zh-CN"/>
              </w:rPr>
              <w:t>4</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有保证工期的具体措施，措施基本得当。各项计划图表编制基本齐全，安排基本合理，基本符合本项目施工实际要求。</w:t>
            </w:r>
          </w:p>
          <w:p w14:paraId="50D83892">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有保证工期的具体措施且措施得当。各项计划图表编制完善，安排较合理，符合本项目施工实际要求。</w:t>
            </w:r>
          </w:p>
          <w:p w14:paraId="6342BB66">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有保证工期的具体措施且措施得力。各项计划图表编制详尽周密，安排科学合理，符合本项目施工实际要求。</w:t>
            </w:r>
          </w:p>
        </w:tc>
      </w:tr>
      <w:tr w14:paraId="23A5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Merge w:val="continue"/>
            <w:noWrap w:val="0"/>
            <w:vAlign w:val="top"/>
          </w:tcPr>
          <w:p w14:paraId="2AA99FD1">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29BC2300">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5ADB26E8">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w:t>
            </w:r>
            <w:r>
              <w:rPr>
                <w:rFonts w:hint="eastAsia" w:ascii="宋体" w:hAnsi="宋体" w:cs="宋体"/>
                <w:b/>
                <w:bCs w:val="0"/>
                <w:color w:val="auto"/>
                <w:szCs w:val="21"/>
                <w:highlight w:val="none"/>
                <w:vertAlign w:val="baseline"/>
                <w:lang w:val="en-US" w:eastAsia="zh-CN"/>
              </w:rPr>
              <w:t>8</w:t>
            </w:r>
            <w:r>
              <w:rPr>
                <w:rFonts w:hint="eastAsia" w:ascii="宋体" w:hAnsi="宋体" w:eastAsia="宋体" w:cs="宋体"/>
                <w:b/>
                <w:bCs w:val="0"/>
                <w:color w:val="auto"/>
                <w:szCs w:val="21"/>
                <w:highlight w:val="none"/>
                <w:vertAlign w:val="baseline"/>
                <w:lang w:eastAsia="zh-CN"/>
              </w:rPr>
              <w:t>）确保文明施工的技术组织措施（满分</w:t>
            </w:r>
            <w:r>
              <w:rPr>
                <w:rFonts w:hint="eastAsia" w:ascii="宋体" w:hAnsi="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p>
          <w:p w14:paraId="03303F3C">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评标委员会在打分前根据供应商提供的文明施工技术组织措施，在相应档次内独立打分。</w:t>
            </w:r>
          </w:p>
          <w:p w14:paraId="5AB1F2F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w:t>
            </w:r>
            <w:r>
              <w:rPr>
                <w:rFonts w:hint="eastAsia" w:ascii="宋体" w:hAnsi="宋体" w:cs="宋体"/>
                <w:b/>
                <w:bCs w:val="0"/>
                <w:color w:val="auto"/>
                <w:szCs w:val="21"/>
                <w:highlight w:val="none"/>
                <w:vertAlign w:val="baseline"/>
                <w:lang w:val="en-US" w:eastAsia="zh-CN"/>
              </w:rPr>
              <w:t>2</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现场文明施工、环境保护措施和内容与《建筑施工安全生产检查标准</w:t>
            </w:r>
            <w:r>
              <w:rPr>
                <w:rFonts w:hint="eastAsia" w:ascii="宋体" w:hAnsi="宋体" w:cs="宋体"/>
                <w:bCs/>
                <w:color w:val="auto"/>
                <w:szCs w:val="21"/>
                <w:highlight w:val="none"/>
                <w:vertAlign w:val="baseline"/>
                <w:lang w:eastAsia="zh-CN"/>
              </w:rPr>
              <w:t>》和《</w:t>
            </w:r>
            <w:r>
              <w:rPr>
                <w:rFonts w:hint="eastAsia" w:ascii="宋体" w:hAnsi="宋体" w:eastAsia="宋体" w:cs="宋体"/>
                <w:bCs/>
                <w:color w:val="auto"/>
                <w:szCs w:val="21"/>
                <w:highlight w:val="none"/>
                <w:vertAlign w:val="baseline"/>
                <w:lang w:eastAsia="zh-CN"/>
              </w:rPr>
              <w:t>广西壮族自治区建筑工程文明施工导则》的要求偏差大，无现场文明施工目标的承诺。</w:t>
            </w:r>
          </w:p>
          <w:p w14:paraId="741B7B59">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cs="宋体"/>
                <w:b/>
                <w:bCs w:val="0"/>
                <w:color w:val="auto"/>
                <w:szCs w:val="21"/>
                <w:highlight w:val="none"/>
                <w:vertAlign w:val="baseline"/>
                <w:lang w:val="en-US" w:eastAsia="zh-CN"/>
              </w:rPr>
              <w:t>4</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现场文明施工、环境保护措施和内容基本达到《建筑施工安全生产检查标准</w:t>
            </w:r>
            <w:r>
              <w:rPr>
                <w:rFonts w:hint="eastAsia" w:ascii="宋体" w:hAnsi="宋体" w:cs="宋体"/>
                <w:bCs/>
                <w:color w:val="auto"/>
                <w:szCs w:val="21"/>
                <w:highlight w:val="none"/>
                <w:vertAlign w:val="baseline"/>
                <w:lang w:eastAsia="zh-CN"/>
              </w:rPr>
              <w:t>》《</w:t>
            </w:r>
            <w:r>
              <w:rPr>
                <w:rFonts w:hint="eastAsia" w:ascii="宋体" w:hAnsi="宋体" w:eastAsia="宋体" w:cs="宋体"/>
                <w:bCs/>
                <w:color w:val="auto"/>
                <w:szCs w:val="21"/>
                <w:highlight w:val="none"/>
                <w:vertAlign w:val="baseline"/>
                <w:lang w:eastAsia="zh-CN"/>
              </w:rPr>
              <w:t>广西壮族自治区建筑工程文明施工导则》；有具体实现现场文明施工目标的承诺，而且各项措施基本周全、具体、有效的。</w:t>
            </w:r>
          </w:p>
          <w:p w14:paraId="20661D49">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现场文明施工、环境保护措施和内容达到《建筑施工安全生产检查标准</w:t>
            </w:r>
            <w:r>
              <w:rPr>
                <w:rFonts w:hint="eastAsia" w:ascii="宋体" w:hAnsi="宋体" w:cs="宋体"/>
                <w:bCs/>
                <w:color w:val="auto"/>
                <w:szCs w:val="21"/>
                <w:highlight w:val="none"/>
                <w:vertAlign w:val="baseline"/>
                <w:lang w:eastAsia="zh-CN"/>
              </w:rPr>
              <w:t>》《</w:t>
            </w:r>
            <w:r>
              <w:rPr>
                <w:rFonts w:hint="eastAsia" w:ascii="宋体" w:hAnsi="宋体" w:eastAsia="宋体" w:cs="宋体"/>
                <w:bCs/>
                <w:color w:val="auto"/>
                <w:szCs w:val="21"/>
                <w:highlight w:val="none"/>
                <w:vertAlign w:val="baseline"/>
                <w:lang w:eastAsia="zh-CN"/>
              </w:rPr>
              <w:t>广西壮族自治区建筑工程文明施工导则》；承诺创建市级文明工地和标准化工地，而且各项措施周全、具体、有效的。</w:t>
            </w:r>
          </w:p>
          <w:p w14:paraId="73ED242A">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现场文明施工、环境保护措施和内容达到《建筑施工安全生产检查标准</w:t>
            </w:r>
            <w:r>
              <w:rPr>
                <w:rFonts w:hint="eastAsia" w:ascii="宋体" w:hAnsi="宋体" w:cs="宋体"/>
                <w:bCs/>
                <w:color w:val="auto"/>
                <w:szCs w:val="21"/>
                <w:highlight w:val="none"/>
                <w:vertAlign w:val="baseline"/>
                <w:lang w:eastAsia="zh-CN"/>
              </w:rPr>
              <w:t>》和《</w:t>
            </w:r>
            <w:r>
              <w:rPr>
                <w:rFonts w:hint="eastAsia" w:ascii="宋体" w:hAnsi="宋体" w:eastAsia="宋体" w:cs="宋体"/>
                <w:bCs/>
                <w:color w:val="auto"/>
                <w:szCs w:val="21"/>
                <w:highlight w:val="none"/>
                <w:vertAlign w:val="baseline"/>
                <w:lang w:eastAsia="zh-CN"/>
              </w:rPr>
              <w:t>广西壮族自治区建筑工程文明施工导则</w:t>
            </w:r>
            <w:r>
              <w:rPr>
                <w:rFonts w:hint="eastAsia" w:ascii="宋体" w:hAnsi="宋体" w:cs="宋体"/>
                <w:bCs/>
                <w:color w:val="auto"/>
                <w:szCs w:val="21"/>
                <w:highlight w:val="none"/>
                <w:vertAlign w:val="baseline"/>
                <w:lang w:eastAsia="zh-CN"/>
              </w:rPr>
              <w:t>》等</w:t>
            </w:r>
            <w:r>
              <w:rPr>
                <w:rFonts w:hint="eastAsia" w:ascii="宋体" w:hAnsi="宋体" w:eastAsia="宋体" w:cs="宋体"/>
                <w:bCs/>
                <w:color w:val="auto"/>
                <w:szCs w:val="21"/>
                <w:highlight w:val="none"/>
                <w:vertAlign w:val="baseline"/>
                <w:lang w:eastAsia="zh-CN"/>
              </w:rPr>
              <w:t>要求；承诺创建自治区级及以上文明工地和标准化工地，而且各项措施周全、具体、有效的。</w:t>
            </w:r>
          </w:p>
        </w:tc>
      </w:tr>
      <w:tr w14:paraId="5D06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Merge w:val="continue"/>
            <w:noWrap w:val="0"/>
            <w:vAlign w:val="top"/>
          </w:tcPr>
          <w:p w14:paraId="08815CE5">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1DABEE4B">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06966696">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w:t>
            </w:r>
            <w:r>
              <w:rPr>
                <w:rFonts w:hint="eastAsia" w:ascii="宋体" w:hAnsi="宋体" w:cs="宋体"/>
                <w:b/>
                <w:bCs w:val="0"/>
                <w:color w:val="auto"/>
                <w:szCs w:val="21"/>
                <w:highlight w:val="none"/>
                <w:vertAlign w:val="baseline"/>
                <w:lang w:val="en-US" w:eastAsia="zh-CN"/>
              </w:rPr>
              <w:t>9</w:t>
            </w:r>
            <w:r>
              <w:rPr>
                <w:rFonts w:hint="eastAsia" w:ascii="宋体" w:hAnsi="宋体" w:eastAsia="宋体" w:cs="宋体"/>
                <w:b/>
                <w:bCs w:val="0"/>
                <w:color w:val="auto"/>
                <w:szCs w:val="21"/>
                <w:highlight w:val="none"/>
                <w:vertAlign w:val="baseline"/>
                <w:lang w:eastAsia="zh-CN"/>
              </w:rPr>
              <w:t>）工程施工的重点和难点及保证措施（满分</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p>
          <w:p w14:paraId="6E8771BD">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评标委员会在打分前根据供应商提供的工程施工重点和难点及保证措施，在相应档次内独立打分。</w:t>
            </w:r>
          </w:p>
          <w:p w14:paraId="0437A52C">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w:t>
            </w:r>
            <w:r>
              <w:rPr>
                <w:rFonts w:hint="eastAsia" w:ascii="宋体" w:hAnsi="宋体" w:cs="宋体"/>
                <w:b/>
                <w:bCs w:val="0"/>
                <w:color w:val="auto"/>
                <w:szCs w:val="21"/>
                <w:highlight w:val="none"/>
                <w:vertAlign w:val="baseline"/>
                <w:lang w:val="en-US" w:eastAsia="zh-CN"/>
              </w:rPr>
              <w:t>1</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未针对该项目的难点、重点进行分析，未考虑各部分施工如何相互交叉和衔接，施工质量效果和设计</w:t>
            </w:r>
            <w:r>
              <w:rPr>
                <w:rFonts w:hint="eastAsia" w:ascii="宋体" w:hAnsi="宋体" w:cs="宋体"/>
                <w:bCs/>
                <w:color w:val="auto"/>
                <w:szCs w:val="21"/>
                <w:highlight w:val="none"/>
                <w:vertAlign w:val="baseline"/>
                <w:lang w:eastAsia="zh-CN"/>
              </w:rPr>
              <w:t>效果</w:t>
            </w:r>
            <w:r>
              <w:rPr>
                <w:rFonts w:hint="eastAsia" w:ascii="宋体" w:hAnsi="宋体" w:eastAsia="宋体" w:cs="宋体"/>
                <w:bCs/>
                <w:color w:val="auto"/>
                <w:szCs w:val="21"/>
                <w:highlight w:val="none"/>
                <w:vertAlign w:val="baseline"/>
                <w:lang w:eastAsia="zh-CN"/>
              </w:rPr>
              <w:t>无法统一。</w:t>
            </w:r>
          </w:p>
          <w:p w14:paraId="3A4B618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cs="宋体"/>
                <w:b/>
                <w:bCs w:val="0"/>
                <w:color w:val="auto"/>
                <w:szCs w:val="21"/>
                <w:highlight w:val="none"/>
                <w:vertAlign w:val="baseline"/>
                <w:lang w:val="en-US" w:eastAsia="zh-CN"/>
              </w:rPr>
              <w:t>3</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针对该项目的难点、重点分析不具体，各部分施工如何相互交叉和衔接不合理，施工质量效果和设计效果有较大差距。</w:t>
            </w:r>
          </w:p>
          <w:p w14:paraId="03427753">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cs="宋体"/>
                <w:b/>
                <w:bCs w:val="0"/>
                <w:color w:val="auto"/>
                <w:szCs w:val="21"/>
                <w:highlight w:val="none"/>
                <w:vertAlign w:val="baseline"/>
                <w:lang w:val="en-US" w:eastAsia="zh-CN"/>
              </w:rPr>
              <w:t>5</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针对该项目的难点、重点分析简单，未重点考虑各部分施工如何相互交叉和衔接，施工质量效果基本达到设计效果。</w:t>
            </w:r>
          </w:p>
          <w:p w14:paraId="027D8B7F">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针对该项目的难点、重点详细分析，重点考虑各部分施工如何相互交叉和衔接，以保证施工质量效果和设计效果的完美统一。</w:t>
            </w:r>
          </w:p>
        </w:tc>
      </w:tr>
      <w:tr w14:paraId="5AB6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Merge w:val="continue"/>
            <w:noWrap w:val="0"/>
            <w:vAlign w:val="top"/>
          </w:tcPr>
          <w:p w14:paraId="53C7FD98">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5F4B3C3F">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4AD5A0BA">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w:t>
            </w:r>
            <w:r>
              <w:rPr>
                <w:rFonts w:hint="eastAsia" w:ascii="宋体" w:hAnsi="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）施工总平面布置图（满分</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p>
          <w:p w14:paraId="4E9B435F">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评标委员会在打分前根据供应商提供的本工程施工总平面布置图，在相应档次内独立打分。</w:t>
            </w:r>
          </w:p>
          <w:p w14:paraId="0EDB60A5">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w:t>
            </w:r>
            <w:r>
              <w:rPr>
                <w:rFonts w:hint="eastAsia" w:ascii="宋体" w:hAnsi="宋体" w:cs="宋体"/>
                <w:b/>
                <w:bCs w:val="0"/>
                <w:color w:val="auto"/>
                <w:szCs w:val="21"/>
                <w:highlight w:val="none"/>
                <w:vertAlign w:val="baseline"/>
                <w:lang w:val="en-US" w:eastAsia="zh-CN"/>
              </w:rPr>
              <w:t>1</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总体布置不合理，不符合安全、文明生产要求。</w:t>
            </w:r>
          </w:p>
          <w:p w14:paraId="14961420">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cs="宋体"/>
                <w:b/>
                <w:bCs w:val="0"/>
                <w:color w:val="auto"/>
                <w:szCs w:val="21"/>
                <w:highlight w:val="none"/>
                <w:vertAlign w:val="baseline"/>
                <w:lang w:val="en-US" w:eastAsia="zh-CN"/>
              </w:rPr>
              <w:t>3</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总体布置基本合理，基本满足施工需要。</w:t>
            </w:r>
          </w:p>
          <w:p w14:paraId="3D6F2D0F">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cs="宋体"/>
                <w:b/>
                <w:bCs w:val="0"/>
                <w:color w:val="auto"/>
                <w:szCs w:val="21"/>
                <w:highlight w:val="none"/>
                <w:vertAlign w:val="baseline"/>
                <w:lang w:val="en-US" w:eastAsia="zh-CN"/>
              </w:rPr>
              <w:t>5</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总体布置合理，能满足施工需要，基本符合安全、文明生产要求。</w:t>
            </w:r>
          </w:p>
          <w:p w14:paraId="3AB4B44C">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cs="宋体"/>
                <w:b/>
                <w:bCs w:val="0"/>
                <w:color w:val="auto"/>
                <w:szCs w:val="21"/>
                <w:highlight w:val="none"/>
                <w:vertAlign w:val="baseline"/>
                <w:lang w:val="en-US" w:eastAsia="zh-CN"/>
              </w:rPr>
              <w:t>7</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总体布置有针对性、合理，较好满足施工需要，符合安全、文明生产要求。</w:t>
            </w:r>
          </w:p>
        </w:tc>
      </w:tr>
      <w:tr w14:paraId="0641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noWrap w:val="0"/>
            <w:vAlign w:val="center"/>
          </w:tcPr>
          <w:p w14:paraId="4B890D4F">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cs="宋体"/>
                <w:bCs/>
                <w:color w:val="auto"/>
                <w:szCs w:val="21"/>
                <w:highlight w:val="none"/>
                <w:vertAlign w:val="baseline"/>
                <w:lang w:val="en-US" w:eastAsia="zh-CN"/>
              </w:rPr>
              <w:t>3</w:t>
            </w:r>
          </w:p>
        </w:tc>
        <w:tc>
          <w:tcPr>
            <w:tcW w:w="1366" w:type="dxa"/>
            <w:noWrap w:val="0"/>
            <w:vAlign w:val="center"/>
          </w:tcPr>
          <w:p w14:paraId="48BF7BCA">
            <w:pPr>
              <w:spacing w:line="360" w:lineRule="auto"/>
              <w:jc w:val="center"/>
              <w:rPr>
                <w:rFonts w:hint="eastAsia" w:ascii="宋体" w:hAnsi="宋体" w:eastAsia="宋体" w:cs="宋体"/>
                <w:bCs/>
                <w:color w:val="auto"/>
                <w:szCs w:val="21"/>
                <w:highlight w:val="none"/>
                <w:vertAlign w:val="baseline"/>
                <w:lang w:val="en-US" w:eastAsia="zh-CN"/>
              </w:rPr>
            </w:pPr>
          </w:p>
          <w:p w14:paraId="03532105">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val="en-US" w:eastAsia="zh-CN"/>
              </w:rPr>
              <w:t>业绩分（</w:t>
            </w:r>
            <w:r>
              <w:rPr>
                <w:rFonts w:hint="eastAsia" w:ascii="宋体" w:hAnsi="宋体" w:cs="宋体"/>
                <w:bCs/>
                <w:color w:val="auto"/>
                <w:szCs w:val="21"/>
                <w:highlight w:val="none"/>
                <w:vertAlign w:val="baseline"/>
                <w:lang w:val="en-US" w:eastAsia="zh-CN"/>
              </w:rPr>
              <w:t>5</w:t>
            </w:r>
            <w:r>
              <w:rPr>
                <w:rFonts w:hint="eastAsia" w:ascii="宋体" w:hAnsi="宋体" w:eastAsia="宋体" w:cs="宋体"/>
                <w:bCs/>
                <w:color w:val="auto"/>
                <w:szCs w:val="21"/>
                <w:highlight w:val="none"/>
                <w:vertAlign w:val="baseline"/>
                <w:lang w:val="en-US" w:eastAsia="zh-CN"/>
              </w:rPr>
              <w:t>分）</w:t>
            </w:r>
          </w:p>
        </w:tc>
        <w:tc>
          <w:tcPr>
            <w:tcW w:w="7669" w:type="dxa"/>
            <w:noWrap w:val="0"/>
            <w:vAlign w:val="top"/>
          </w:tcPr>
          <w:p w14:paraId="67E2EC66">
            <w:pPr>
              <w:spacing w:line="360" w:lineRule="auto"/>
              <w:rPr>
                <w:rFonts w:hint="eastAsia" w:ascii="宋体" w:hAnsi="宋体" w:eastAsia="宋体" w:cs="宋体"/>
                <w:b/>
                <w:bCs w:val="0"/>
                <w:color w:val="auto"/>
                <w:szCs w:val="21"/>
                <w:highlight w:val="none"/>
                <w:vertAlign w:val="baseline"/>
                <w:lang w:val="en-US" w:eastAsia="zh-CN"/>
              </w:rPr>
            </w:pPr>
            <w:r>
              <w:rPr>
                <w:rFonts w:hint="eastAsia" w:ascii="宋体" w:hAnsi="宋体" w:eastAsia="宋体" w:cs="宋体"/>
                <w:b w:val="0"/>
                <w:bCs/>
                <w:color w:val="auto"/>
                <w:szCs w:val="21"/>
                <w:highlight w:val="none"/>
                <w:vertAlign w:val="baseline"/>
                <w:lang w:val="en-US" w:eastAsia="zh-CN"/>
              </w:rPr>
              <w:t>供应商在</w:t>
            </w:r>
            <w:r>
              <w:rPr>
                <w:rFonts w:hint="eastAsia" w:ascii="宋体" w:hAnsi="宋体" w:cs="宋体"/>
                <w:b w:val="0"/>
                <w:bCs/>
                <w:color w:val="auto"/>
                <w:szCs w:val="21"/>
                <w:highlight w:val="none"/>
                <w:vertAlign w:val="baseline"/>
                <w:lang w:val="en-US" w:eastAsia="zh-CN"/>
              </w:rPr>
              <w:t>2023年1月1日</w:t>
            </w:r>
            <w:r>
              <w:rPr>
                <w:rFonts w:hint="eastAsia" w:ascii="宋体" w:hAnsi="宋体" w:eastAsia="宋体" w:cs="宋体"/>
                <w:b w:val="0"/>
                <w:bCs/>
                <w:color w:val="auto"/>
                <w:szCs w:val="21"/>
                <w:highlight w:val="none"/>
                <w:vertAlign w:val="baseline"/>
                <w:lang w:val="en-US" w:eastAsia="zh-CN"/>
              </w:rPr>
              <w:t>至响应文件提交截止时间止完成过质量合格的</w:t>
            </w:r>
            <w:r>
              <w:rPr>
                <w:rFonts w:hint="eastAsia" w:ascii="宋体" w:hAnsi="宋体" w:cs="宋体"/>
                <w:b w:val="0"/>
                <w:bCs/>
                <w:color w:val="auto"/>
                <w:szCs w:val="21"/>
                <w:highlight w:val="none"/>
                <w:vertAlign w:val="baseline"/>
                <w:lang w:val="en-US" w:eastAsia="zh-CN"/>
              </w:rPr>
              <w:t>类似产业配套基础设施工程</w:t>
            </w:r>
            <w:r>
              <w:rPr>
                <w:rFonts w:hint="eastAsia" w:ascii="宋体" w:hAnsi="宋体" w:eastAsia="宋体" w:cs="宋体"/>
                <w:b w:val="0"/>
                <w:bCs/>
                <w:color w:val="auto"/>
                <w:szCs w:val="21"/>
                <w:highlight w:val="none"/>
                <w:vertAlign w:val="baseline"/>
                <w:lang w:val="en-US" w:eastAsia="zh-CN"/>
              </w:rPr>
              <w:t>施工业绩的，每个得</w:t>
            </w:r>
            <w:r>
              <w:rPr>
                <w:rFonts w:hint="eastAsia" w:ascii="宋体" w:hAnsi="宋体" w:cs="宋体"/>
                <w:b w:val="0"/>
                <w:bCs/>
                <w:color w:val="auto"/>
                <w:szCs w:val="21"/>
                <w:highlight w:val="none"/>
                <w:vertAlign w:val="baseline"/>
                <w:lang w:val="en-US" w:eastAsia="zh-CN"/>
              </w:rPr>
              <w:t>2.5</w:t>
            </w:r>
            <w:r>
              <w:rPr>
                <w:rFonts w:hint="eastAsia" w:ascii="宋体" w:hAnsi="宋体" w:eastAsia="宋体" w:cs="宋体"/>
                <w:b w:val="0"/>
                <w:bCs/>
                <w:color w:val="auto"/>
                <w:szCs w:val="21"/>
                <w:highlight w:val="none"/>
                <w:vertAlign w:val="baseline"/>
                <w:lang w:val="en-US" w:eastAsia="zh-CN"/>
              </w:rPr>
              <w:t>分。满分</w:t>
            </w:r>
            <w:r>
              <w:rPr>
                <w:rFonts w:hint="eastAsia" w:ascii="宋体" w:hAnsi="宋体" w:cs="宋体"/>
                <w:b w:val="0"/>
                <w:bCs/>
                <w:color w:val="auto"/>
                <w:szCs w:val="21"/>
                <w:highlight w:val="none"/>
                <w:vertAlign w:val="baseline"/>
                <w:lang w:val="en-US" w:eastAsia="zh-CN"/>
              </w:rPr>
              <w:t>5</w:t>
            </w:r>
            <w:r>
              <w:rPr>
                <w:rFonts w:hint="eastAsia" w:ascii="宋体" w:hAnsi="宋体" w:eastAsia="宋体" w:cs="宋体"/>
                <w:b w:val="0"/>
                <w:bCs/>
                <w:color w:val="auto"/>
                <w:szCs w:val="21"/>
                <w:highlight w:val="none"/>
                <w:vertAlign w:val="baseline"/>
                <w:lang w:val="en-US" w:eastAsia="zh-CN"/>
              </w:rPr>
              <w:t>分。（需同时附以下两种材料复印件：①中标（成交）通知书或施工承包合同协议书②工程完工验收鉴定书或交（竣）工验收鉴定书）</w:t>
            </w:r>
          </w:p>
        </w:tc>
      </w:tr>
      <w:tr w14:paraId="6723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8" w:type="dxa"/>
            <w:gridSpan w:val="3"/>
            <w:noWrap w:val="0"/>
            <w:vAlign w:val="top"/>
          </w:tcPr>
          <w:p w14:paraId="1208DB4A">
            <w:pPr>
              <w:spacing w:line="360" w:lineRule="auto"/>
              <w:rPr>
                <w:rFonts w:hint="eastAsia" w:ascii="宋体" w:hAnsi="宋体" w:eastAsia="宋体" w:cs="宋体"/>
                <w:b w:val="0"/>
                <w:bCs/>
                <w:color w:val="auto"/>
                <w:szCs w:val="21"/>
                <w:highlight w:val="none"/>
                <w:vertAlign w:val="baseline"/>
                <w:lang w:eastAsia="zh-CN"/>
              </w:rPr>
            </w:pPr>
            <w:r>
              <w:rPr>
                <w:rFonts w:hint="eastAsia" w:ascii="宋体" w:hAnsi="宋体" w:eastAsia="宋体" w:cs="宋体"/>
                <w:bCs/>
                <w:color w:val="auto"/>
                <w:highlight w:val="none"/>
              </w:rPr>
              <w:t>总得分＝1＋2</w:t>
            </w:r>
            <w:r>
              <w:rPr>
                <w:rFonts w:hint="eastAsia" w:ascii="宋体" w:hAnsi="宋体" w:eastAsia="宋体" w:cs="宋体"/>
                <w:bCs/>
                <w:color w:val="auto"/>
                <w:highlight w:val="none"/>
                <w:lang w:val="en-US" w:eastAsia="zh-CN"/>
              </w:rPr>
              <w:t>+3+4</w:t>
            </w:r>
          </w:p>
        </w:tc>
      </w:tr>
    </w:tbl>
    <w:p w14:paraId="41D328CD">
      <w:pPr>
        <w:pStyle w:val="27"/>
        <w:rPr>
          <w:rFonts w:hint="eastAsia" w:ascii="宋体" w:hAnsi="宋体" w:eastAsia="宋体" w:cs="宋体"/>
          <w:color w:val="auto"/>
          <w:highlight w:val="none"/>
        </w:rPr>
      </w:pPr>
    </w:p>
    <w:p w14:paraId="2329649B">
      <w:pPr>
        <w:spacing w:line="360" w:lineRule="auto"/>
        <w:ind w:firstLine="420" w:firstLineChars="200"/>
        <w:rPr>
          <w:rFonts w:hint="eastAsia" w:ascii="宋体" w:hAnsi="宋体" w:eastAsia="宋体" w:cs="宋体"/>
          <w:b/>
          <w:bCs/>
          <w:color w:val="auto"/>
          <w:sz w:val="24"/>
          <w:highlight w:val="none"/>
        </w:rPr>
      </w:pPr>
      <w:bookmarkStart w:id="108" w:name="PO_TDCUS_ITEM_SM_TABLE_1"/>
      <w:r>
        <w:rPr>
          <w:rFonts w:hint="eastAsia" w:ascii="宋体" w:hAnsi="宋体" w:eastAsia="宋体" w:cs="宋体"/>
          <w:bCs/>
          <w:color w:val="auto"/>
          <w:szCs w:val="21"/>
          <w:highlight w:val="none"/>
          <w:lang w:eastAsia="zh-CN"/>
        </w:rPr>
        <w:t xml:space="preserve"> </w:t>
      </w:r>
      <w:bookmarkEnd w:id="108"/>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rPr>
        <w:t>.成交标准</w:t>
      </w:r>
    </w:p>
    <w:p w14:paraId="519EEB26">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7B8AD205">
      <w:pPr>
        <w:spacing w:line="360" w:lineRule="auto"/>
        <w:ind w:firstLine="482" w:firstLineChars="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9</w:t>
      </w:r>
      <w:r>
        <w:rPr>
          <w:rFonts w:hint="eastAsia" w:ascii="宋体" w:hAnsi="宋体" w:eastAsia="宋体" w:cs="宋体"/>
          <w:b/>
          <w:bCs/>
          <w:color w:val="auto"/>
          <w:sz w:val="24"/>
          <w:highlight w:val="none"/>
        </w:rPr>
        <w:t>.评标争议事项处理</w:t>
      </w:r>
    </w:p>
    <w:p w14:paraId="660C96E9">
      <w:pPr>
        <w:pStyle w:val="28"/>
        <w:spacing w:before="0"/>
        <w:ind w:firstLine="420"/>
        <w:rPr>
          <w:rFonts w:hint="eastAsia" w:ascii="宋体" w:hAnsi="宋体" w:eastAsia="宋体" w:cs="宋体"/>
          <w:color w:val="auto"/>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r>
        <w:rPr>
          <w:rFonts w:hint="eastAsia" w:ascii="宋体" w:hAnsi="宋体" w:eastAsia="宋体" w:cs="宋体"/>
          <w:color w:val="auto"/>
          <w:highlight w:val="none"/>
        </w:rPr>
        <w:br w:type="page"/>
      </w:r>
    </w:p>
    <w:p w14:paraId="1B487A70">
      <w:pPr>
        <w:jc w:val="center"/>
        <w:outlineLvl w:val="9"/>
        <w:rPr>
          <w:rFonts w:hint="eastAsia" w:ascii="宋体" w:hAnsi="宋体" w:eastAsia="宋体" w:cs="宋体"/>
          <w:color w:val="auto"/>
          <w:highlight w:val="none"/>
        </w:rPr>
      </w:pPr>
    </w:p>
    <w:p w14:paraId="3350F3D3">
      <w:pPr>
        <w:jc w:val="center"/>
        <w:outlineLvl w:val="9"/>
        <w:rPr>
          <w:rFonts w:hint="eastAsia" w:ascii="宋体" w:hAnsi="宋体" w:eastAsia="宋体" w:cs="宋体"/>
          <w:color w:val="auto"/>
          <w:highlight w:val="none"/>
        </w:rPr>
      </w:pPr>
    </w:p>
    <w:p w14:paraId="543E068E">
      <w:pPr>
        <w:jc w:val="center"/>
        <w:outlineLvl w:val="9"/>
        <w:rPr>
          <w:rFonts w:hint="eastAsia" w:ascii="宋体" w:hAnsi="宋体" w:eastAsia="宋体" w:cs="宋体"/>
          <w:color w:val="auto"/>
          <w:highlight w:val="none"/>
        </w:rPr>
      </w:pPr>
    </w:p>
    <w:p w14:paraId="52EF2858">
      <w:pPr>
        <w:jc w:val="center"/>
        <w:outlineLvl w:val="9"/>
        <w:rPr>
          <w:rFonts w:hint="eastAsia" w:ascii="宋体" w:hAnsi="宋体" w:eastAsia="宋体" w:cs="宋体"/>
          <w:color w:val="auto"/>
          <w:highlight w:val="none"/>
        </w:rPr>
      </w:pPr>
    </w:p>
    <w:p w14:paraId="7FD48FAF">
      <w:pPr>
        <w:jc w:val="center"/>
        <w:outlineLvl w:val="9"/>
        <w:rPr>
          <w:rFonts w:hint="eastAsia" w:ascii="宋体" w:hAnsi="宋体" w:eastAsia="宋体" w:cs="宋体"/>
          <w:color w:val="auto"/>
          <w:highlight w:val="none"/>
        </w:rPr>
      </w:pPr>
    </w:p>
    <w:p w14:paraId="42C0B209">
      <w:pPr>
        <w:pStyle w:val="14"/>
        <w:rPr>
          <w:rFonts w:hint="eastAsia" w:ascii="宋体" w:hAnsi="宋体" w:eastAsia="宋体" w:cs="宋体"/>
          <w:color w:val="auto"/>
          <w:highlight w:val="none"/>
        </w:rPr>
      </w:pPr>
    </w:p>
    <w:p w14:paraId="1F1C1FFC">
      <w:pPr>
        <w:pStyle w:val="14"/>
        <w:rPr>
          <w:rFonts w:hint="eastAsia" w:ascii="宋体" w:hAnsi="宋体" w:eastAsia="宋体" w:cs="宋体"/>
          <w:color w:val="auto"/>
          <w:highlight w:val="none"/>
        </w:rPr>
      </w:pPr>
    </w:p>
    <w:p w14:paraId="2F7C3897">
      <w:pPr>
        <w:pStyle w:val="14"/>
        <w:rPr>
          <w:rFonts w:hint="eastAsia" w:ascii="宋体" w:hAnsi="宋体" w:eastAsia="宋体" w:cs="宋体"/>
          <w:color w:val="auto"/>
          <w:highlight w:val="none"/>
        </w:rPr>
      </w:pPr>
    </w:p>
    <w:p w14:paraId="2EFB0C68">
      <w:pPr>
        <w:pStyle w:val="14"/>
        <w:rPr>
          <w:rFonts w:hint="eastAsia" w:ascii="宋体" w:hAnsi="宋体" w:eastAsia="宋体" w:cs="宋体"/>
          <w:color w:val="auto"/>
          <w:highlight w:val="none"/>
        </w:rPr>
      </w:pPr>
    </w:p>
    <w:p w14:paraId="52147A3A">
      <w:pPr>
        <w:pStyle w:val="14"/>
        <w:rPr>
          <w:rFonts w:hint="eastAsia" w:ascii="宋体" w:hAnsi="宋体" w:eastAsia="宋体" w:cs="宋体"/>
          <w:color w:val="auto"/>
          <w:highlight w:val="none"/>
        </w:rPr>
      </w:pPr>
    </w:p>
    <w:p w14:paraId="211169DB">
      <w:pPr>
        <w:pStyle w:val="14"/>
        <w:rPr>
          <w:rFonts w:hint="eastAsia" w:ascii="宋体" w:hAnsi="宋体" w:eastAsia="宋体" w:cs="宋体"/>
          <w:color w:val="auto"/>
          <w:highlight w:val="none"/>
        </w:rPr>
      </w:pPr>
    </w:p>
    <w:p w14:paraId="19AD7B04">
      <w:pPr>
        <w:pStyle w:val="14"/>
        <w:rPr>
          <w:rFonts w:hint="eastAsia" w:ascii="宋体" w:hAnsi="宋体" w:eastAsia="宋体" w:cs="宋体"/>
          <w:color w:val="auto"/>
          <w:highlight w:val="none"/>
        </w:rPr>
      </w:pPr>
    </w:p>
    <w:p w14:paraId="319FD14A">
      <w:pPr>
        <w:pStyle w:val="14"/>
        <w:rPr>
          <w:rFonts w:hint="eastAsia" w:ascii="宋体" w:hAnsi="宋体" w:eastAsia="宋体" w:cs="宋体"/>
          <w:color w:val="auto"/>
          <w:highlight w:val="none"/>
        </w:rPr>
      </w:pPr>
    </w:p>
    <w:p w14:paraId="42D32519">
      <w:pPr>
        <w:pStyle w:val="14"/>
        <w:rPr>
          <w:rFonts w:hint="eastAsia" w:ascii="宋体" w:hAnsi="宋体" w:eastAsia="宋体" w:cs="宋体"/>
          <w:color w:val="auto"/>
          <w:highlight w:val="none"/>
        </w:rPr>
      </w:pPr>
    </w:p>
    <w:p w14:paraId="1C06569F">
      <w:pPr>
        <w:pStyle w:val="14"/>
        <w:rPr>
          <w:rFonts w:hint="eastAsia" w:ascii="宋体" w:hAnsi="宋体" w:eastAsia="宋体" w:cs="宋体"/>
          <w:color w:val="auto"/>
          <w:highlight w:val="none"/>
        </w:rPr>
      </w:pPr>
    </w:p>
    <w:p w14:paraId="67CF390E">
      <w:pPr>
        <w:pStyle w:val="2"/>
        <w:jc w:val="center"/>
        <w:rPr>
          <w:rFonts w:hint="eastAsia" w:ascii="宋体" w:hAnsi="宋体" w:eastAsia="宋体" w:cs="宋体"/>
          <w:color w:val="auto"/>
          <w:highlight w:val="none"/>
        </w:rPr>
        <w:sectPr>
          <w:footerReference r:id="rId9" w:type="first"/>
          <w:footerReference r:id="rId8" w:type="default"/>
          <w:pgSz w:w="11911" w:h="16838"/>
          <w:pgMar w:top="1417" w:right="1417" w:bottom="1134" w:left="1417" w:header="720" w:footer="720" w:gutter="0"/>
          <w:pgBorders>
            <w:top w:val="none" w:sz="0" w:space="0"/>
            <w:left w:val="none" w:sz="0" w:space="0"/>
            <w:bottom w:val="none" w:sz="0" w:space="0"/>
            <w:right w:val="none" w:sz="0" w:space="0"/>
          </w:pgBorders>
          <w:pgNumType w:fmt="numberInDash"/>
          <w:cols w:space="0" w:num="1"/>
          <w:rtlGutter w:val="0"/>
          <w:docGrid w:linePitch="0" w:charSpace="0"/>
        </w:sectPr>
      </w:pPr>
      <w:bookmarkStart w:id="109" w:name="_Toc32723"/>
      <w:bookmarkStart w:id="110" w:name="_Toc23287"/>
      <w:r>
        <w:rPr>
          <w:rFonts w:hint="eastAsia" w:ascii="宋体" w:hAnsi="宋体" w:eastAsia="宋体" w:cs="宋体"/>
          <w:color w:val="auto"/>
          <w:highlight w:val="none"/>
          <w:lang w:eastAsia="zh-CN"/>
        </w:rPr>
        <w:t>第六章</w:t>
      </w:r>
      <w:r>
        <w:rPr>
          <w:rFonts w:hint="eastAsia" w:ascii="宋体" w:hAnsi="宋体" w:eastAsia="宋体" w:cs="宋体"/>
          <w:color w:val="auto"/>
          <w:highlight w:val="none"/>
        </w:rPr>
        <w:t xml:space="preserve"> 响应文件格式</w:t>
      </w:r>
      <w:bookmarkEnd w:id="109"/>
      <w:bookmarkEnd w:id="110"/>
    </w:p>
    <w:p w14:paraId="6530FB2E">
      <w:pPr>
        <w:pStyle w:val="3"/>
        <w:jc w:val="center"/>
        <w:rPr>
          <w:rFonts w:hint="eastAsia" w:ascii="宋体" w:hAnsi="宋体" w:eastAsia="宋体" w:cs="宋体"/>
          <w:bCs w:val="0"/>
          <w:color w:val="auto"/>
          <w:highlight w:val="none"/>
        </w:rPr>
      </w:pPr>
      <w:bookmarkStart w:id="111" w:name="_Toc10308"/>
      <w:bookmarkStart w:id="112" w:name="_Toc80205939"/>
      <w:bookmarkStart w:id="113" w:name="_Toc28523"/>
    </w:p>
    <w:p w14:paraId="1C947291">
      <w:pPr>
        <w:pStyle w:val="3"/>
        <w:jc w:val="left"/>
        <w:rPr>
          <w:rFonts w:hint="eastAsia" w:ascii="宋体" w:hAnsi="宋体" w:eastAsia="宋体" w:cs="宋体"/>
          <w:bCs w:val="0"/>
          <w:color w:val="auto"/>
          <w:highlight w:val="none"/>
        </w:rPr>
      </w:pPr>
      <w:bookmarkStart w:id="114" w:name="_Toc11413"/>
      <w:bookmarkStart w:id="115" w:name="_Toc27237"/>
      <w:r>
        <w:rPr>
          <w:rFonts w:hint="eastAsia" w:ascii="宋体" w:hAnsi="宋体" w:cs="宋体"/>
          <w:bCs w:val="0"/>
          <w:color w:val="auto"/>
          <w:highlight w:val="none"/>
          <w:lang w:val="en-US" w:eastAsia="zh-CN"/>
        </w:rPr>
        <w:t>一、</w:t>
      </w:r>
      <w:r>
        <w:rPr>
          <w:rFonts w:hint="eastAsia" w:ascii="宋体" w:hAnsi="宋体" w:eastAsia="宋体" w:cs="宋体"/>
          <w:bCs w:val="0"/>
          <w:color w:val="auto"/>
          <w:highlight w:val="none"/>
        </w:rPr>
        <w:t>资格证明文件格式</w:t>
      </w:r>
      <w:bookmarkEnd w:id="111"/>
      <w:bookmarkEnd w:id="112"/>
      <w:bookmarkEnd w:id="113"/>
      <w:bookmarkEnd w:id="114"/>
      <w:bookmarkEnd w:id="115"/>
    </w:p>
    <w:p w14:paraId="5FF2D5FB">
      <w:pPr>
        <w:snapToGrid w:val="0"/>
        <w:spacing w:before="120"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3FEA2C34">
      <w:pPr>
        <w:snapToGrid w:val="0"/>
        <w:spacing w:before="120" w:beforeLines="50" w:after="50"/>
        <w:rPr>
          <w:rFonts w:hint="eastAsia" w:ascii="宋体" w:hAnsi="宋体" w:eastAsia="宋体" w:cs="宋体"/>
          <w:color w:val="auto"/>
          <w:sz w:val="24"/>
          <w:szCs w:val="20"/>
          <w:highlight w:val="none"/>
        </w:rPr>
      </w:pPr>
    </w:p>
    <w:p w14:paraId="59A7E408">
      <w:pPr>
        <w:snapToGrid w:val="0"/>
        <w:spacing w:before="120" w:beforeLines="50" w:after="50"/>
        <w:rPr>
          <w:rFonts w:hint="eastAsia" w:ascii="宋体" w:hAnsi="宋体" w:eastAsia="宋体" w:cs="宋体"/>
          <w:color w:val="auto"/>
          <w:sz w:val="24"/>
          <w:szCs w:val="20"/>
          <w:highlight w:val="none"/>
        </w:rPr>
      </w:pPr>
    </w:p>
    <w:p w14:paraId="0399793C">
      <w:pPr>
        <w:snapToGrid w:val="0"/>
        <w:spacing w:before="120" w:beforeLines="5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lang w:val="en-US" w:eastAsia="zh-CN"/>
        </w:rPr>
        <w:t xml:space="preserve">电 子 </w:t>
      </w:r>
      <w:r>
        <w:rPr>
          <w:rFonts w:hint="eastAsia" w:ascii="宋体" w:hAnsi="宋体" w:eastAsia="宋体" w:cs="宋体"/>
          <w:bCs/>
          <w:color w:val="auto"/>
          <w:sz w:val="44"/>
          <w:szCs w:val="44"/>
          <w:highlight w:val="none"/>
        </w:rPr>
        <w:t>响  应  文  件</w:t>
      </w:r>
    </w:p>
    <w:p w14:paraId="28DDCCBC">
      <w:pPr>
        <w:snapToGrid w:val="0"/>
        <w:spacing w:before="120" w:beforeLines="50" w:after="50"/>
        <w:rPr>
          <w:rFonts w:hint="eastAsia" w:ascii="宋体" w:hAnsi="宋体" w:eastAsia="宋体" w:cs="宋体"/>
          <w:color w:val="auto"/>
          <w:sz w:val="24"/>
          <w:szCs w:val="20"/>
          <w:highlight w:val="none"/>
        </w:rPr>
      </w:pPr>
    </w:p>
    <w:p w14:paraId="42F1E1C2">
      <w:pPr>
        <w:snapToGrid w:val="0"/>
        <w:spacing w:before="120" w:beforeLines="50" w:after="50"/>
        <w:rPr>
          <w:rFonts w:hint="eastAsia" w:ascii="宋体" w:hAnsi="宋体" w:eastAsia="宋体" w:cs="宋体"/>
          <w:color w:val="auto"/>
          <w:sz w:val="24"/>
          <w:szCs w:val="20"/>
          <w:highlight w:val="none"/>
        </w:rPr>
      </w:pPr>
    </w:p>
    <w:p w14:paraId="17F411B1">
      <w:pPr>
        <w:snapToGrid w:val="0"/>
        <w:spacing w:before="120" w:beforeLines="50" w:after="50"/>
        <w:jc w:val="center"/>
        <w:rPr>
          <w:rFonts w:hint="eastAsia" w:ascii="宋体" w:hAnsi="宋体" w:eastAsia="宋体" w:cs="宋体"/>
          <w:b/>
          <w:bCs w:val="0"/>
          <w:color w:val="auto"/>
          <w:sz w:val="44"/>
          <w:szCs w:val="44"/>
          <w:highlight w:val="none"/>
        </w:rPr>
      </w:pPr>
      <w:r>
        <w:rPr>
          <w:rFonts w:hint="eastAsia" w:ascii="宋体" w:hAnsi="宋体" w:eastAsia="宋体" w:cs="宋体"/>
          <w:b/>
          <w:bCs w:val="0"/>
          <w:color w:val="auto"/>
          <w:sz w:val="44"/>
          <w:szCs w:val="44"/>
          <w:highlight w:val="none"/>
        </w:rPr>
        <w:t>资  格  证  明  文  件</w:t>
      </w:r>
    </w:p>
    <w:p w14:paraId="1720BEF5">
      <w:pPr>
        <w:snapToGrid w:val="0"/>
        <w:spacing w:before="120" w:beforeLines="50" w:after="50"/>
        <w:rPr>
          <w:rFonts w:hint="eastAsia" w:ascii="宋体" w:hAnsi="宋体" w:eastAsia="宋体" w:cs="宋体"/>
          <w:bCs/>
          <w:color w:val="auto"/>
          <w:sz w:val="24"/>
          <w:szCs w:val="20"/>
          <w:highlight w:val="none"/>
        </w:rPr>
      </w:pPr>
    </w:p>
    <w:p w14:paraId="38F21660">
      <w:pPr>
        <w:snapToGrid w:val="0"/>
        <w:spacing w:before="120" w:beforeLines="50" w:after="50"/>
        <w:rPr>
          <w:rFonts w:hint="eastAsia" w:ascii="宋体" w:hAnsi="宋体" w:eastAsia="宋体" w:cs="宋体"/>
          <w:bCs/>
          <w:color w:val="auto"/>
          <w:sz w:val="24"/>
          <w:szCs w:val="20"/>
          <w:highlight w:val="none"/>
        </w:rPr>
      </w:pPr>
    </w:p>
    <w:p w14:paraId="4B64BF88">
      <w:pPr>
        <w:snapToGrid w:val="0"/>
        <w:spacing w:before="120" w:beforeLines="50" w:after="50"/>
        <w:rPr>
          <w:rFonts w:hint="eastAsia" w:ascii="宋体" w:hAnsi="宋体" w:eastAsia="宋体" w:cs="宋体"/>
          <w:bCs/>
          <w:color w:val="auto"/>
          <w:sz w:val="24"/>
          <w:szCs w:val="20"/>
          <w:highlight w:val="none"/>
        </w:rPr>
      </w:pPr>
    </w:p>
    <w:p w14:paraId="4F2D5E8B">
      <w:pPr>
        <w:snapToGrid w:val="0"/>
        <w:spacing w:before="120" w:beforeLines="50" w:after="50"/>
        <w:rPr>
          <w:rFonts w:hint="eastAsia" w:ascii="宋体" w:hAnsi="宋体" w:eastAsia="宋体" w:cs="宋体"/>
          <w:bCs/>
          <w:color w:val="auto"/>
          <w:sz w:val="24"/>
          <w:szCs w:val="20"/>
          <w:highlight w:val="none"/>
        </w:rPr>
      </w:pPr>
    </w:p>
    <w:p w14:paraId="6B6E8D72">
      <w:pPr>
        <w:snapToGrid w:val="0"/>
        <w:spacing w:before="120" w:beforeLines="50" w:after="50"/>
        <w:rPr>
          <w:rFonts w:hint="eastAsia" w:ascii="宋体" w:hAnsi="宋体" w:eastAsia="宋体" w:cs="宋体"/>
          <w:bCs/>
          <w:color w:val="auto"/>
          <w:sz w:val="24"/>
          <w:szCs w:val="20"/>
          <w:highlight w:val="none"/>
        </w:rPr>
      </w:pPr>
    </w:p>
    <w:p w14:paraId="02DA27D0">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29A33589">
      <w:pPr>
        <w:snapToGrid w:val="0"/>
        <w:spacing w:before="120" w:beforeLines="50" w:after="50"/>
        <w:ind w:firstLine="720" w:firstLineChars="225"/>
        <w:rPr>
          <w:rFonts w:hint="eastAsia" w:ascii="宋体" w:hAnsi="宋体" w:eastAsia="宋体" w:cs="宋体"/>
          <w:bCs/>
          <w:color w:val="auto"/>
          <w:sz w:val="32"/>
          <w:szCs w:val="32"/>
          <w:highlight w:val="none"/>
        </w:rPr>
      </w:pPr>
    </w:p>
    <w:p w14:paraId="018790AB">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2703B505">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17709BC1">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543060FA">
      <w:pPr>
        <w:snapToGrid w:val="0"/>
        <w:spacing w:before="120" w:beforeLines="50" w:after="50"/>
        <w:ind w:firstLine="720" w:firstLineChars="225"/>
        <w:rPr>
          <w:rFonts w:hint="eastAsia" w:ascii="宋体" w:hAnsi="宋体" w:eastAsia="宋体" w:cs="宋体"/>
          <w:bCs/>
          <w:color w:val="auto"/>
          <w:sz w:val="32"/>
          <w:szCs w:val="32"/>
          <w:highlight w:val="none"/>
        </w:rPr>
      </w:pPr>
    </w:p>
    <w:p w14:paraId="3880521F">
      <w:pPr>
        <w:pStyle w:val="7"/>
        <w:snapToGrid w:val="0"/>
        <w:spacing w:before="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30C55512">
      <w:pPr>
        <w:pStyle w:val="7"/>
        <w:snapToGrid w:val="0"/>
        <w:spacing w:before="50" w:after="50"/>
        <w:ind w:firstLine="720" w:firstLineChars="225"/>
        <w:rPr>
          <w:rFonts w:hint="eastAsia" w:ascii="宋体" w:hAnsi="宋体" w:eastAsia="宋体" w:cs="宋体"/>
          <w:bCs/>
          <w:color w:val="auto"/>
          <w:sz w:val="32"/>
          <w:szCs w:val="32"/>
          <w:highlight w:val="none"/>
        </w:rPr>
      </w:pPr>
    </w:p>
    <w:p w14:paraId="4697CCA4">
      <w:pPr>
        <w:pStyle w:val="7"/>
        <w:snapToGrid w:val="0"/>
        <w:spacing w:before="50" w:after="50"/>
        <w:ind w:firstLine="720" w:firstLineChars="225"/>
        <w:rPr>
          <w:rFonts w:hint="eastAsia" w:ascii="宋体" w:hAnsi="宋体" w:eastAsia="宋体" w:cs="宋体"/>
          <w:bCs/>
          <w:color w:val="auto"/>
          <w:sz w:val="32"/>
          <w:szCs w:val="32"/>
          <w:highlight w:val="none"/>
        </w:rPr>
      </w:pPr>
    </w:p>
    <w:p w14:paraId="41B7142B">
      <w:pPr>
        <w:pStyle w:val="7"/>
        <w:snapToGrid w:val="0"/>
        <w:spacing w:before="50" w:after="50"/>
        <w:ind w:firstLine="720" w:firstLineChars="225"/>
        <w:rPr>
          <w:rFonts w:hint="eastAsia" w:ascii="宋体" w:hAnsi="宋体" w:eastAsia="宋体" w:cs="宋体"/>
          <w:bCs/>
          <w:color w:val="auto"/>
          <w:sz w:val="32"/>
          <w:szCs w:val="32"/>
          <w:highlight w:val="none"/>
        </w:rPr>
      </w:pPr>
    </w:p>
    <w:p w14:paraId="5EB814C1">
      <w:pPr>
        <w:pStyle w:val="7"/>
        <w:snapToGrid w:val="0"/>
        <w:spacing w:before="50" w:after="50"/>
        <w:ind w:firstLine="1280" w:firstLineChars="400"/>
        <w:rPr>
          <w:rFonts w:hint="eastAsia" w:ascii="宋体" w:hAnsi="宋体" w:eastAsia="宋体" w:cs="宋体"/>
          <w:bCs/>
          <w:color w:val="auto"/>
          <w:sz w:val="32"/>
          <w:szCs w:val="32"/>
          <w:highlight w:val="none"/>
        </w:rPr>
      </w:pPr>
    </w:p>
    <w:p w14:paraId="704832EA">
      <w:pPr>
        <w:snapToGrid w:val="0"/>
        <w:spacing w:before="120" w:beforeLines="5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04FFA70">
      <w:pPr>
        <w:snapToGrid w:val="0"/>
        <w:spacing w:before="120" w:beforeLines="50" w:after="50" w:line="360" w:lineRule="auto"/>
        <w:ind w:left="142" w:firstLine="480" w:firstLineChars="200"/>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color w:val="auto"/>
          <w:kern w:val="0"/>
          <w:sz w:val="36"/>
          <w:szCs w:val="36"/>
          <w:highlight w:val="none"/>
        </w:rPr>
        <w:t>资格证明文件目录</w:t>
      </w:r>
    </w:p>
    <w:p w14:paraId="0566EF17">
      <w:pPr>
        <w:snapToGrid w:val="0"/>
        <w:spacing w:line="360" w:lineRule="auto"/>
        <w:rPr>
          <w:rFonts w:hint="eastAsia" w:ascii="宋体" w:hAnsi="宋体" w:eastAsia="宋体" w:cs="宋体"/>
          <w:color w:val="auto"/>
          <w:kern w:val="0"/>
          <w:sz w:val="24"/>
          <w:highlight w:val="none"/>
        </w:rPr>
      </w:pPr>
    </w:p>
    <w:p w14:paraId="42F15CF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kern w:val="0"/>
          <w:sz w:val="24"/>
          <w:highlight w:val="none"/>
          <w:lang w:val="en-US" w:eastAsia="zh-CN"/>
        </w:rPr>
        <w:t>崇左市政府采购供应商信用承诺函</w:t>
      </w:r>
      <w:r>
        <w:rPr>
          <w:rFonts w:hint="eastAsia" w:ascii="宋体" w:hAnsi="宋体" w:eastAsia="宋体" w:cs="宋体"/>
          <w:color w:val="auto"/>
          <w:kern w:val="0"/>
          <w:sz w:val="24"/>
          <w:highlight w:val="none"/>
        </w:rPr>
        <w:t>…………………………………………（页码）</w:t>
      </w:r>
    </w:p>
    <w:p w14:paraId="4CD27262">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二</w:t>
      </w:r>
      <w:r>
        <w:rPr>
          <w:rFonts w:hint="eastAsia" w:ascii="宋体" w:hAnsi="宋体" w:eastAsia="宋体" w:cs="宋体"/>
          <w:color w:val="auto"/>
          <w:sz w:val="24"/>
          <w:highlight w:val="none"/>
        </w:rPr>
        <w:t>、供应商直接控股股东信息</w:t>
      </w:r>
      <w:r>
        <w:rPr>
          <w:rFonts w:hint="eastAsia" w:ascii="宋体" w:hAnsi="宋体" w:eastAsia="宋体" w:cs="宋体"/>
          <w:color w:val="auto"/>
          <w:sz w:val="24"/>
          <w:highlight w:val="none"/>
          <w:lang w:val="en-US" w:eastAsia="zh-CN"/>
        </w:rPr>
        <w:t>及</w:t>
      </w:r>
      <w:r>
        <w:rPr>
          <w:rFonts w:hint="eastAsia" w:ascii="宋体" w:hAnsi="宋体" w:eastAsia="宋体" w:cs="宋体"/>
          <w:color w:val="auto"/>
          <w:sz w:val="24"/>
          <w:highlight w:val="none"/>
        </w:rPr>
        <w:t>供应商直接关联关系信息表</w:t>
      </w:r>
      <w:r>
        <w:rPr>
          <w:rFonts w:hint="eastAsia" w:ascii="宋体" w:hAnsi="宋体" w:eastAsia="宋体" w:cs="宋体"/>
          <w:color w:val="auto"/>
          <w:kern w:val="0"/>
          <w:sz w:val="24"/>
          <w:highlight w:val="none"/>
        </w:rPr>
        <w:t>…………………（页码）</w:t>
      </w:r>
    </w:p>
    <w:p w14:paraId="7C5669CA">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三</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资格声明函……………………………………………………………………（页码）</w:t>
      </w:r>
    </w:p>
    <w:p w14:paraId="5FC2064B">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四</w:t>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本项目的特定资格要求证明材料</w:t>
      </w:r>
      <w:r>
        <w:rPr>
          <w:rFonts w:hint="eastAsia" w:ascii="宋体" w:hAnsi="宋体" w:eastAsia="宋体" w:cs="宋体"/>
          <w:color w:val="auto"/>
          <w:kern w:val="0"/>
          <w:sz w:val="24"/>
          <w:highlight w:val="none"/>
        </w:rPr>
        <w:t>……………………………………………（页码）</w:t>
      </w:r>
    </w:p>
    <w:p w14:paraId="5EF4858A">
      <w:pPr>
        <w:snapToGrid w:val="0"/>
        <w:spacing w:line="360" w:lineRule="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sz w:val="24"/>
          <w:highlight w:val="none"/>
          <w:lang w:val="en-US" w:eastAsia="zh-CN"/>
        </w:rPr>
        <w:t>五</w:t>
      </w:r>
      <w:r>
        <w:rPr>
          <w:rFonts w:hint="eastAsia" w:ascii="宋体" w:hAnsi="宋体" w:eastAsia="宋体" w:cs="宋体"/>
          <w:color w:val="auto"/>
          <w:kern w:val="0"/>
          <w:sz w:val="24"/>
          <w:highlight w:val="none"/>
          <w:lang w:val="en-US" w:eastAsia="zh-CN"/>
        </w:rPr>
        <w:t>、农民工工资保证金承诺书……………………………………………………（页码）</w:t>
      </w:r>
    </w:p>
    <w:p w14:paraId="7A841647">
      <w:pPr>
        <w:snapToGrid w:val="0"/>
        <w:spacing w:line="360" w:lineRule="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六、中小企业声明函或监狱企业由省级以上监狱管理局、戒毒管理局（含新疆生产建设兵团）出具的属于监狱企业的证明文件或残疾人福利性单位声明函……</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（页码）</w:t>
      </w:r>
    </w:p>
    <w:p w14:paraId="11B9D5A7">
      <w:pPr>
        <w:snapToGrid w:val="0"/>
        <w:spacing w:line="360" w:lineRule="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七、除磋商文件规定必须提供以外，供应商认为需要提供的其他证明材料…（页码）</w:t>
      </w:r>
    </w:p>
    <w:p w14:paraId="00201C87">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p>
    <w:p w14:paraId="41281FA7">
      <w:pPr>
        <w:snapToGrid w:val="0"/>
        <w:spacing w:before="120" w:beforeLines="50" w:after="50"/>
        <w:rPr>
          <w:rFonts w:hint="eastAsia" w:ascii="宋体" w:hAnsi="宋体" w:eastAsia="宋体" w:cs="宋体"/>
          <w:color w:val="auto"/>
          <w:sz w:val="24"/>
          <w:szCs w:val="20"/>
          <w:highlight w:val="none"/>
        </w:rPr>
        <w:sectPr>
          <w:footerReference r:id="rId11" w:type="first"/>
          <w:footerReference r:id="rId10" w:type="default"/>
          <w:pgSz w:w="11911" w:h="16838"/>
          <w:pgMar w:top="1417" w:right="1417" w:bottom="1134" w:left="1417" w:header="720" w:footer="720" w:gutter="0"/>
          <w:pgBorders>
            <w:top w:val="none" w:sz="0" w:space="0"/>
            <w:left w:val="none" w:sz="0" w:space="0"/>
            <w:bottom w:val="none" w:sz="0" w:space="0"/>
            <w:right w:val="none" w:sz="0" w:space="0"/>
          </w:pgBorders>
          <w:pgNumType w:fmt="numberInDash"/>
          <w:cols w:space="0" w:num="1"/>
          <w:rtlGutter w:val="0"/>
          <w:docGrid w:linePitch="0" w:charSpace="0"/>
        </w:sectPr>
      </w:pPr>
    </w:p>
    <w:p w14:paraId="64630103">
      <w:pPr>
        <w:numPr>
          <w:ilvl w:val="0"/>
          <w:numId w:val="0"/>
        </w:numPr>
        <w:spacing w:line="360" w:lineRule="auto"/>
        <w:contextualSpacing/>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一、</w:t>
      </w:r>
      <w:r>
        <w:rPr>
          <w:rFonts w:hint="eastAsia" w:ascii="宋体" w:hAnsi="宋体" w:eastAsia="宋体" w:cs="宋体"/>
          <w:b/>
          <w:color w:val="auto"/>
          <w:kern w:val="0"/>
          <w:sz w:val="32"/>
          <w:szCs w:val="32"/>
          <w:highlight w:val="none"/>
          <w:lang w:val="en-US" w:eastAsia="zh-CN"/>
        </w:rPr>
        <w:t>崇左市政府采购供应商信用承诺函</w:t>
      </w:r>
    </w:p>
    <w:p w14:paraId="3C5A7CCA">
      <w:pPr>
        <w:snapToGrid w:val="0"/>
        <w:spacing w:before="120" w:beforeLines="50" w:after="50"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崇左市政府采购供应商信用承诺函（格式）</w:t>
      </w:r>
    </w:p>
    <w:p w14:paraId="415D2D71">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32"/>
          <w:szCs w:val="32"/>
          <w:highlight w:val="none"/>
          <w:lang w:val="en-US" w:eastAsia="zh-CN" w:bidi="ar"/>
        </w:rPr>
      </w:pPr>
    </w:p>
    <w:p w14:paraId="6DEAB60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（采购代理机构名称）</w:t>
      </w:r>
      <w:r>
        <w:rPr>
          <w:rFonts w:hint="eastAsia" w:ascii="宋体" w:hAnsi="宋体" w:cs="宋体"/>
          <w:color w:val="auto"/>
          <w:kern w:val="0"/>
          <w:sz w:val="24"/>
          <w:szCs w:val="24"/>
          <w:highlight w:val="none"/>
          <w:u w:val="single"/>
          <w:lang w:val="en-US" w:eastAsia="zh-CN" w:bidi="ar"/>
        </w:rPr>
        <w:t>：</w:t>
      </w:r>
    </w:p>
    <w:p w14:paraId="527ACCE4">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kern w:val="0"/>
          <w:sz w:val="24"/>
          <w:szCs w:val="24"/>
          <w:highlight w:val="none"/>
          <w:lang w:val="en-US" w:eastAsia="zh-CN" w:bidi="ar"/>
        </w:rPr>
        <w:t>我方自愿参加</w:t>
      </w:r>
      <w:r>
        <w:rPr>
          <w:rFonts w:hint="eastAsia" w:ascii="宋体" w:hAnsi="宋体" w:eastAsia="宋体" w:cs="宋体"/>
          <w:color w:val="auto"/>
          <w:kern w:val="0"/>
          <w:sz w:val="24"/>
          <w:szCs w:val="24"/>
          <w:highlight w:val="none"/>
          <w:u w:val="single"/>
          <w:lang w:val="en-US" w:eastAsia="zh-CN" w:bidi="ar"/>
        </w:rPr>
        <w:t xml:space="preserve"> （项目名称） </w:t>
      </w:r>
      <w:r>
        <w:rPr>
          <w:rFonts w:hint="eastAsia" w:ascii="宋体" w:hAnsi="宋体" w:eastAsia="宋体" w:cs="宋体"/>
          <w:color w:val="auto"/>
          <w:kern w:val="0"/>
          <w:sz w:val="24"/>
          <w:szCs w:val="24"/>
          <w:highlight w:val="none"/>
          <w:lang w:val="en-US" w:eastAsia="zh-CN" w:bidi="ar"/>
        </w:rPr>
        <w:t>项目</w:t>
      </w:r>
      <w:r>
        <w:rPr>
          <w:rFonts w:hint="eastAsia" w:ascii="宋体" w:hAnsi="宋体" w:eastAsia="宋体" w:cs="宋体"/>
          <w:color w:val="auto"/>
          <w:spacing w:val="6"/>
          <w:sz w:val="24"/>
          <w:szCs w:val="24"/>
          <w:highlight w:val="none"/>
        </w:rPr>
        <w:t>（项目编号：</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kern w:val="0"/>
          <w:sz w:val="24"/>
          <w:szCs w:val="24"/>
          <w:highlight w:val="none"/>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4"/>
          <w:szCs w:val="24"/>
          <w:highlight w:val="none"/>
          <w:lang w:val="en-US" w:eastAsia="zh-CN" w:bidi="ar"/>
        </w:rPr>
        <w:t xml:space="preserve">： </w:t>
      </w:r>
    </w:p>
    <w:p w14:paraId="79B78874">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1.我方</w:t>
      </w:r>
      <w:r>
        <w:rPr>
          <w:rFonts w:hint="eastAsia" w:ascii="宋体" w:hAnsi="宋体" w:eastAsia="宋体" w:cs="宋体"/>
          <w:color w:val="auto"/>
          <w:spacing w:val="6"/>
          <w:sz w:val="24"/>
          <w:szCs w:val="24"/>
          <w:highlight w:val="none"/>
          <w:lang w:val="en-US" w:eastAsia="zh-CN"/>
        </w:rPr>
        <w:t>具有独立承担民事责任的能力或我方属于银行、保险、石油石化、电力、电信等有行业特殊情况的法人的分支机构在参加本次政府采购活动前已取得总公司的授权。</w:t>
      </w:r>
    </w:p>
    <w:p w14:paraId="69B3EBFC">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2.我方具有符合采购文件资格要求的财务状况报告。 </w:t>
      </w:r>
    </w:p>
    <w:p w14:paraId="71349A32">
      <w:pPr>
        <w:keepNext w:val="0"/>
        <w:keepLines w:val="0"/>
        <w:pageBreakBefore w:val="0"/>
        <w:widowControl/>
        <w:suppressLineNumbers w:val="0"/>
        <w:kinsoku/>
        <w:wordWrap/>
        <w:overflowPunct/>
        <w:topLinePunct w:val="0"/>
        <w:autoSpaceDE/>
        <w:autoSpaceDN/>
        <w:bidi w:val="0"/>
        <w:adjustRightInd/>
        <w:snapToGrid/>
        <w:spacing w:line="440" w:lineRule="exact"/>
        <w:ind w:firstLine="456" w:firstLineChars="200"/>
        <w:jc w:val="both"/>
        <w:textAlignment w:val="auto"/>
        <w:rPr>
          <w:rFonts w:hint="eastAsia" w:ascii="宋体" w:hAnsi="宋体" w:eastAsia="宋体" w:cs="宋体"/>
          <w:color w:val="auto"/>
          <w:spacing w:val="-17"/>
          <w:sz w:val="24"/>
          <w:szCs w:val="24"/>
          <w:highlight w:val="none"/>
        </w:rPr>
      </w:pPr>
      <w:r>
        <w:rPr>
          <w:rFonts w:hint="eastAsia" w:ascii="宋体" w:hAnsi="宋体" w:eastAsia="宋体" w:cs="宋体"/>
          <w:color w:val="auto"/>
          <w:spacing w:val="-6"/>
          <w:kern w:val="0"/>
          <w:sz w:val="24"/>
          <w:szCs w:val="24"/>
          <w:highlight w:val="none"/>
          <w:lang w:val="en-US" w:eastAsia="zh-CN" w:bidi="ar"/>
        </w:rPr>
        <w:t>3.我方具有符合采购文件资格要求的依法缴纳税收和社会保障资金的良好记录。</w:t>
      </w:r>
      <w:r>
        <w:rPr>
          <w:rFonts w:hint="eastAsia" w:ascii="宋体" w:hAnsi="宋体" w:eastAsia="宋体" w:cs="宋体"/>
          <w:color w:val="auto"/>
          <w:spacing w:val="-17"/>
          <w:kern w:val="0"/>
          <w:sz w:val="24"/>
          <w:szCs w:val="24"/>
          <w:highlight w:val="none"/>
          <w:lang w:val="en-US" w:eastAsia="zh-CN" w:bidi="ar"/>
        </w:rPr>
        <w:t xml:space="preserve"> </w:t>
      </w:r>
    </w:p>
    <w:p w14:paraId="7E8FD118">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4.我方具有符合采购文件资格要求履行合同所必需的设备和专业技术能力。 </w:t>
      </w:r>
    </w:p>
    <w:p w14:paraId="582992BB">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5.我方参加政府采购活动前3年内在经营活动中没有重大违法记录。 </w:t>
      </w:r>
    </w:p>
    <w:p w14:paraId="7B0CAD77">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我方对以上承诺内容的真实性负责。如有虚假，将依法承担相应责任。</w:t>
      </w:r>
    </w:p>
    <w:p w14:paraId="0301C42B">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highlight w:val="none"/>
          <w:lang w:val="en-US" w:eastAsia="zh-CN" w:bidi="ar"/>
        </w:rPr>
      </w:pPr>
    </w:p>
    <w:p w14:paraId="71136DFF">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highlight w:val="none"/>
          <w:lang w:val="en-US" w:eastAsia="zh-CN" w:bidi="ar"/>
        </w:rPr>
      </w:pPr>
    </w:p>
    <w:p w14:paraId="3655AF2D">
      <w:pPr>
        <w:keepNext w:val="0"/>
        <w:keepLines w:val="0"/>
        <w:pageBreakBefore w:val="0"/>
        <w:tabs>
          <w:tab w:val="left" w:pos="7560"/>
        </w:tabs>
        <w:kinsoku/>
        <w:wordWrap/>
        <w:overflowPunct/>
        <w:topLinePunct w:val="0"/>
        <w:autoSpaceDE/>
        <w:autoSpaceDN/>
        <w:bidi w:val="0"/>
        <w:adjustRightInd/>
        <w:snapToGrid/>
        <w:spacing w:line="440" w:lineRule="exact"/>
        <w:ind w:firstLine="5760" w:firstLineChars="24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 投标人名称</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电子签章</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w:t>
      </w:r>
    </w:p>
    <w:p w14:paraId="5A8045ED">
      <w:pPr>
        <w:keepNext w:val="0"/>
        <w:keepLines w:val="0"/>
        <w:pageBreakBefore w:val="0"/>
        <w:tabs>
          <w:tab w:val="left" w:pos="7560"/>
        </w:tabs>
        <w:kinsoku/>
        <w:wordWrap/>
        <w:overflowPunct/>
        <w:topLinePunct w:val="0"/>
        <w:autoSpaceDE/>
        <w:autoSpaceDN/>
        <w:bidi w:val="0"/>
        <w:adjustRightInd/>
        <w:snapToGrid/>
        <w:spacing w:line="440" w:lineRule="exact"/>
        <w:ind w:firstLine="6000" w:firstLineChars="25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日期：  年  月   日</w:t>
      </w:r>
    </w:p>
    <w:p w14:paraId="7AAC0E92">
      <w:pPr>
        <w:keepNext w:val="0"/>
        <w:keepLines w:val="0"/>
        <w:pageBreakBefore w:val="0"/>
        <w:tabs>
          <w:tab w:val="left" w:pos="7560"/>
        </w:tabs>
        <w:kinsoku/>
        <w:wordWrap/>
        <w:overflowPunct/>
        <w:topLinePunct w:val="0"/>
        <w:autoSpaceDE/>
        <w:autoSpaceDN/>
        <w:bidi w:val="0"/>
        <w:adjustRightInd/>
        <w:snapToGrid/>
        <w:spacing w:line="440" w:lineRule="exact"/>
        <w:ind w:firstLine="5760" w:firstLineChars="2400"/>
        <w:jc w:val="left"/>
        <w:textAlignment w:val="auto"/>
        <w:rPr>
          <w:rFonts w:hint="eastAsia" w:ascii="宋体" w:hAnsi="宋体" w:eastAsia="宋体" w:cs="宋体"/>
          <w:color w:val="auto"/>
          <w:kern w:val="0"/>
          <w:sz w:val="24"/>
          <w:szCs w:val="24"/>
          <w:highlight w:val="none"/>
          <w:lang w:val="en-US" w:eastAsia="zh-CN" w:bidi="ar"/>
        </w:rPr>
      </w:pPr>
    </w:p>
    <w:p w14:paraId="422136A9">
      <w:pPr>
        <w:autoSpaceDE w:val="0"/>
        <w:autoSpaceDN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lang w:val="en-US" w:eastAsia="zh-CN" w:bidi="ar"/>
        </w:rPr>
        <w:t>注：1.</w:t>
      </w:r>
      <w:r>
        <w:rPr>
          <w:rFonts w:hint="eastAsia" w:ascii="宋体" w:hAnsi="宋体" w:eastAsia="宋体" w:cs="宋体"/>
          <w:i w:val="0"/>
          <w:iCs w:val="0"/>
          <w:caps w:val="0"/>
          <w:color w:val="auto"/>
          <w:spacing w:val="0"/>
          <w:sz w:val="21"/>
          <w:szCs w:val="21"/>
          <w:highlight w:val="none"/>
          <w:lang w:val="en-US" w:eastAsia="zh-CN"/>
        </w:rPr>
        <w:t>参与政府采购活动的供应商可按第1点的内容：“</w:t>
      </w:r>
      <w:r>
        <w:rPr>
          <w:rFonts w:hint="eastAsia" w:ascii="宋体" w:hAnsi="宋体" w:eastAsia="宋体" w:cs="宋体"/>
          <w:color w:val="auto"/>
          <w:kern w:val="0"/>
          <w:sz w:val="21"/>
          <w:szCs w:val="21"/>
          <w:highlight w:val="none"/>
          <w:lang w:val="en-US" w:eastAsia="zh-CN" w:bidi="ar"/>
        </w:rPr>
        <w:t>我方</w:t>
      </w:r>
      <w:r>
        <w:rPr>
          <w:rFonts w:hint="eastAsia" w:ascii="宋体" w:hAnsi="宋体" w:eastAsia="宋体" w:cs="宋体"/>
          <w:color w:val="auto"/>
          <w:spacing w:val="6"/>
          <w:sz w:val="21"/>
          <w:szCs w:val="21"/>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1"/>
          <w:szCs w:val="21"/>
          <w:highlight w:val="none"/>
          <w:lang w:val="en-US" w:eastAsia="zh-CN" w:bidi="ar"/>
        </w:rPr>
        <w:t>我方</w:t>
      </w:r>
      <w:r>
        <w:rPr>
          <w:rFonts w:hint="eastAsia" w:ascii="宋体" w:hAnsi="宋体" w:eastAsia="宋体" w:cs="宋体"/>
          <w:color w:val="auto"/>
          <w:spacing w:val="6"/>
          <w:sz w:val="21"/>
          <w:szCs w:val="21"/>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1"/>
          <w:szCs w:val="21"/>
          <w:highlight w:val="none"/>
          <w:u w:val="none"/>
          <w:lang w:val="en-US" w:eastAsia="zh-CN"/>
        </w:rPr>
        <w:t>只要第1点承诺的内容</w:t>
      </w:r>
      <w:r>
        <w:rPr>
          <w:rFonts w:hint="eastAsia" w:ascii="宋体" w:hAnsi="宋体" w:cs="宋体"/>
          <w:b w:val="0"/>
          <w:bCs w:val="0"/>
          <w:color w:val="auto"/>
          <w:spacing w:val="6"/>
          <w:sz w:val="21"/>
          <w:szCs w:val="21"/>
          <w:highlight w:val="none"/>
          <w:u w:val="none"/>
          <w:lang w:val="en-US" w:eastAsia="zh-CN"/>
        </w:rPr>
        <w:t>包含</w:t>
      </w:r>
      <w:r>
        <w:rPr>
          <w:rFonts w:hint="eastAsia" w:ascii="宋体" w:hAnsi="宋体" w:eastAsia="宋体" w:cs="宋体"/>
          <w:b w:val="0"/>
          <w:bCs w:val="0"/>
          <w:color w:val="auto"/>
          <w:spacing w:val="6"/>
          <w:sz w:val="21"/>
          <w:szCs w:val="21"/>
          <w:highlight w:val="none"/>
          <w:u w:val="none"/>
          <w:lang w:val="en-US" w:eastAsia="zh-CN"/>
        </w:rPr>
        <w:t>：具有独立承担民事责任的能力、在参加本次政府采购活动前已取得总公司的授权等内容的即为有效的承诺。</w:t>
      </w:r>
      <w:r>
        <w:rPr>
          <w:rFonts w:hint="eastAsia" w:ascii="宋体" w:hAnsi="宋体" w:eastAsia="宋体" w:cs="宋体"/>
          <w:color w:val="auto"/>
          <w:spacing w:val="6"/>
          <w:sz w:val="21"/>
          <w:szCs w:val="21"/>
          <w:highlight w:val="none"/>
          <w:lang w:val="en-US" w:eastAsia="zh-CN"/>
        </w:rPr>
        <w:t>2.第1点所指的行业特殊情况使用了“等”字表示列举未尽，即行业特殊情况包含但不限于银行、保险、石油石化、电力、电信。</w:t>
      </w:r>
    </w:p>
    <w:p w14:paraId="6ECBDB0D">
      <w:pPr>
        <w:numPr>
          <w:ilvl w:val="0"/>
          <w:numId w:val="0"/>
        </w:numPr>
        <w:spacing w:line="360" w:lineRule="auto"/>
        <w:contextualSpacing/>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 xml:space="preserve"> </w:t>
      </w:r>
    </w:p>
    <w:p w14:paraId="5B7A1DFA">
      <w:pPr>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br w:type="page"/>
      </w:r>
    </w:p>
    <w:p w14:paraId="45E04E16">
      <w:pPr>
        <w:numPr>
          <w:ilvl w:val="0"/>
          <w:numId w:val="0"/>
        </w:numPr>
        <w:spacing w:line="360" w:lineRule="auto"/>
        <w:contextualSpacing/>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lang w:val="en-US" w:eastAsia="zh-CN"/>
        </w:rPr>
        <w:t>二、</w:t>
      </w:r>
      <w:r>
        <w:rPr>
          <w:rFonts w:hint="eastAsia" w:ascii="宋体" w:hAnsi="宋体" w:eastAsia="宋体" w:cs="宋体"/>
          <w:b/>
          <w:color w:val="auto"/>
          <w:kern w:val="0"/>
          <w:sz w:val="32"/>
          <w:szCs w:val="32"/>
          <w:highlight w:val="none"/>
        </w:rPr>
        <w:t>供应商直接控股股东信息</w:t>
      </w:r>
      <w:r>
        <w:rPr>
          <w:rFonts w:hint="eastAsia" w:ascii="宋体" w:hAnsi="宋体" w:eastAsia="宋体" w:cs="宋体"/>
          <w:b/>
          <w:color w:val="auto"/>
          <w:kern w:val="0"/>
          <w:sz w:val="32"/>
          <w:szCs w:val="32"/>
          <w:highlight w:val="none"/>
          <w:lang w:val="en-US" w:eastAsia="zh-CN"/>
        </w:rPr>
        <w:t>及</w:t>
      </w:r>
      <w:r>
        <w:rPr>
          <w:rFonts w:hint="eastAsia" w:ascii="宋体" w:hAnsi="宋体" w:eastAsia="宋体" w:cs="宋体"/>
          <w:b/>
          <w:color w:val="auto"/>
          <w:kern w:val="0"/>
          <w:sz w:val="32"/>
          <w:szCs w:val="32"/>
          <w:highlight w:val="none"/>
        </w:rPr>
        <w:t>供应商直接关联关系信息表</w:t>
      </w:r>
    </w:p>
    <w:p w14:paraId="253C7F83">
      <w:pPr>
        <w:snapToGrid w:val="0"/>
        <w:spacing w:before="120" w:beforeLines="50" w:after="50" w:line="360" w:lineRule="auto"/>
        <w:jc w:val="center"/>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t>1.</w:t>
      </w:r>
      <w:r>
        <w:rPr>
          <w:rFonts w:hint="eastAsia" w:ascii="宋体" w:hAnsi="宋体" w:eastAsia="宋体" w:cs="宋体"/>
          <w:b/>
          <w:color w:val="auto"/>
          <w:sz w:val="32"/>
          <w:szCs w:val="32"/>
          <w:highlight w:val="none"/>
          <w:lang w:val="en-US" w:eastAsia="zh-CN"/>
        </w:rPr>
        <w:t>供应商直接控股股东信息（格式）</w:t>
      </w:r>
    </w:p>
    <w:p w14:paraId="65C637D4">
      <w:pPr>
        <w:spacing w:line="360" w:lineRule="auto"/>
        <w:contextualSpacing/>
        <w:jc w:val="center"/>
        <w:rPr>
          <w:rFonts w:hint="eastAsia" w:ascii="宋体" w:hAnsi="宋体" w:eastAsia="宋体" w:cs="宋体"/>
          <w:b/>
          <w:color w:val="auto"/>
          <w:sz w:val="24"/>
          <w:highlight w:val="none"/>
        </w:rPr>
      </w:pPr>
    </w:p>
    <w:tbl>
      <w:tblPr>
        <w:tblStyle w:val="19"/>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CC1802F">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E44652">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8EA40D">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CC3F29">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F6E8DC">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0ABB05">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408E7FD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B1C77D">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26926B">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62FB8E">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088B42">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08B2E2">
            <w:pPr>
              <w:widowControl/>
              <w:spacing w:line="360" w:lineRule="auto"/>
              <w:contextualSpacing/>
              <w:jc w:val="center"/>
              <w:rPr>
                <w:rFonts w:hint="eastAsia" w:ascii="宋体" w:hAnsi="宋体" w:eastAsia="宋体" w:cs="宋体"/>
                <w:color w:val="auto"/>
                <w:kern w:val="0"/>
                <w:sz w:val="24"/>
                <w:highlight w:val="none"/>
              </w:rPr>
            </w:pPr>
          </w:p>
        </w:tc>
      </w:tr>
      <w:tr w14:paraId="7D88D1B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DB9045">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F5AF8C">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F7DC43">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583C30">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25E0B8">
            <w:pPr>
              <w:widowControl/>
              <w:spacing w:line="360" w:lineRule="auto"/>
              <w:contextualSpacing/>
              <w:jc w:val="center"/>
              <w:rPr>
                <w:rFonts w:hint="eastAsia" w:ascii="宋体" w:hAnsi="宋体" w:eastAsia="宋体" w:cs="宋体"/>
                <w:color w:val="auto"/>
                <w:kern w:val="0"/>
                <w:sz w:val="24"/>
                <w:highlight w:val="none"/>
              </w:rPr>
            </w:pPr>
          </w:p>
        </w:tc>
      </w:tr>
      <w:tr w14:paraId="4804D7B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FBA1AC">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B0A72B">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8C7A81">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37758A">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8095F0">
            <w:pPr>
              <w:widowControl/>
              <w:spacing w:line="360" w:lineRule="auto"/>
              <w:contextualSpacing/>
              <w:jc w:val="center"/>
              <w:rPr>
                <w:rFonts w:hint="eastAsia" w:ascii="宋体" w:hAnsi="宋体" w:eastAsia="宋体" w:cs="宋体"/>
                <w:color w:val="auto"/>
                <w:kern w:val="0"/>
                <w:sz w:val="24"/>
                <w:highlight w:val="none"/>
              </w:rPr>
            </w:pPr>
          </w:p>
        </w:tc>
      </w:tr>
      <w:tr w14:paraId="7E5B91B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964E9B">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769167">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D66649">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6A15AD">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237D35">
            <w:pPr>
              <w:widowControl/>
              <w:spacing w:line="360" w:lineRule="auto"/>
              <w:contextualSpacing/>
              <w:jc w:val="center"/>
              <w:rPr>
                <w:rFonts w:hint="eastAsia" w:ascii="宋体" w:hAnsi="宋体" w:eastAsia="宋体" w:cs="宋体"/>
                <w:color w:val="auto"/>
                <w:kern w:val="0"/>
                <w:sz w:val="24"/>
                <w:highlight w:val="none"/>
              </w:rPr>
            </w:pPr>
          </w:p>
        </w:tc>
      </w:tr>
    </w:tbl>
    <w:p w14:paraId="3D7BCB64">
      <w:pPr>
        <w:spacing w:line="360" w:lineRule="auto"/>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7AF9BB32">
      <w:pPr>
        <w:spacing w:line="360" w:lineRule="auto"/>
        <w:ind w:firstLine="420" w:firstLineChars="20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1.直接控股股东：是指其出资额占有限责任公司资本总额</w:t>
      </w:r>
      <w:r>
        <w:rPr>
          <w:rFonts w:hint="eastAsia" w:ascii="宋体" w:hAnsi="宋体" w:cs="宋体"/>
          <w:color w:val="auto"/>
          <w:kern w:val="0"/>
          <w:sz w:val="21"/>
          <w:szCs w:val="21"/>
          <w:highlight w:val="none"/>
          <w:lang w:eastAsia="zh-CN"/>
        </w:rPr>
        <w:t>50%</w:t>
      </w:r>
      <w:r>
        <w:rPr>
          <w:rFonts w:hint="eastAsia" w:ascii="宋体" w:hAnsi="宋体" w:eastAsia="宋体" w:cs="宋体"/>
          <w:color w:val="auto"/>
          <w:kern w:val="0"/>
          <w:sz w:val="21"/>
          <w:szCs w:val="21"/>
          <w:highlight w:val="none"/>
        </w:rPr>
        <w:t>以上或者其持有的股份占股份有限公司股份总额</w:t>
      </w:r>
      <w:r>
        <w:rPr>
          <w:rFonts w:hint="eastAsia" w:ascii="宋体" w:hAnsi="宋体" w:cs="宋体"/>
          <w:color w:val="auto"/>
          <w:kern w:val="0"/>
          <w:sz w:val="21"/>
          <w:szCs w:val="21"/>
          <w:highlight w:val="none"/>
          <w:lang w:eastAsia="zh-CN"/>
        </w:rPr>
        <w:t>50%</w:t>
      </w:r>
      <w:r>
        <w:rPr>
          <w:rFonts w:hint="eastAsia" w:ascii="宋体" w:hAnsi="宋体" w:eastAsia="宋体" w:cs="宋体"/>
          <w:color w:val="auto"/>
          <w:kern w:val="0"/>
          <w:sz w:val="21"/>
          <w:szCs w:val="21"/>
          <w:highlight w:val="none"/>
        </w:rPr>
        <w:t>以上的股东；出资额或者持有股份的比例虽然不足</w:t>
      </w:r>
      <w:r>
        <w:rPr>
          <w:rFonts w:hint="eastAsia" w:ascii="宋体" w:hAnsi="宋体" w:cs="宋体"/>
          <w:color w:val="auto"/>
          <w:kern w:val="0"/>
          <w:sz w:val="21"/>
          <w:szCs w:val="21"/>
          <w:highlight w:val="none"/>
          <w:lang w:eastAsia="zh-CN"/>
        </w:rPr>
        <w:t>50%</w:t>
      </w:r>
      <w:r>
        <w:rPr>
          <w:rFonts w:hint="eastAsia" w:ascii="宋体" w:hAnsi="宋体" w:eastAsia="宋体" w:cs="宋体"/>
          <w:color w:val="auto"/>
          <w:kern w:val="0"/>
          <w:sz w:val="21"/>
          <w:szCs w:val="21"/>
          <w:highlight w:val="none"/>
        </w:rPr>
        <w:t>，但依其出资额或者持有的股份所享有的表决权已足以对股东会、</w:t>
      </w:r>
      <w:r>
        <w:rPr>
          <w:rFonts w:hint="eastAsia" w:ascii="宋体" w:hAnsi="宋体" w:cs="宋体"/>
          <w:color w:val="auto"/>
          <w:kern w:val="0"/>
          <w:sz w:val="21"/>
          <w:szCs w:val="21"/>
          <w:highlight w:val="none"/>
          <w:lang w:eastAsia="zh-CN"/>
        </w:rPr>
        <w:t>股东会</w:t>
      </w:r>
      <w:r>
        <w:rPr>
          <w:rFonts w:hint="eastAsia" w:ascii="宋体" w:hAnsi="宋体" w:eastAsia="宋体" w:cs="宋体"/>
          <w:color w:val="auto"/>
          <w:kern w:val="0"/>
          <w:sz w:val="21"/>
          <w:szCs w:val="21"/>
          <w:highlight w:val="none"/>
        </w:rPr>
        <w:t>的决议产生重大影响的股东。</w:t>
      </w:r>
    </w:p>
    <w:p w14:paraId="47198645">
      <w:pPr>
        <w:spacing w:line="360" w:lineRule="auto"/>
        <w:ind w:firstLine="420" w:firstLineChars="20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2.本表所指的控股关系仅限于直接控股关系，不包括间接的控股关系。公司实际控制人与公司之间的关系不属于本表所指的直接控股关系。</w:t>
      </w:r>
    </w:p>
    <w:p w14:paraId="36CC8E83">
      <w:pPr>
        <w:spacing w:line="360" w:lineRule="auto"/>
        <w:ind w:firstLine="420" w:firstLineChars="20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3.供应商不存在直接控股股东的，则填“无”。</w:t>
      </w:r>
    </w:p>
    <w:p w14:paraId="5C88CF5E">
      <w:pPr>
        <w:snapToGrid w:val="0"/>
        <w:spacing w:line="360" w:lineRule="auto"/>
        <w:jc w:val="left"/>
        <w:rPr>
          <w:rFonts w:hint="eastAsia" w:ascii="宋体" w:hAnsi="宋体" w:eastAsia="宋体" w:cs="宋体"/>
          <w:color w:val="auto"/>
          <w:sz w:val="24"/>
          <w:highlight w:val="none"/>
        </w:rPr>
      </w:pPr>
    </w:p>
    <w:p w14:paraId="64A6FB5E">
      <w:pPr>
        <w:snapToGrid w:val="0"/>
        <w:spacing w:line="360" w:lineRule="auto"/>
        <w:jc w:val="left"/>
        <w:rPr>
          <w:rFonts w:hint="eastAsia" w:ascii="宋体" w:hAnsi="宋体" w:eastAsia="宋体" w:cs="宋体"/>
          <w:color w:val="auto"/>
          <w:sz w:val="24"/>
          <w:highlight w:val="none"/>
        </w:rPr>
      </w:pPr>
    </w:p>
    <w:p w14:paraId="237F73DA">
      <w:pPr>
        <w:snapToGrid w:val="0"/>
        <w:spacing w:line="360" w:lineRule="auto"/>
        <w:jc w:val="left"/>
        <w:rPr>
          <w:rFonts w:hint="eastAsia" w:ascii="宋体" w:hAnsi="宋体" w:eastAsia="宋体" w:cs="宋体"/>
          <w:color w:val="auto"/>
          <w:sz w:val="24"/>
          <w:highlight w:val="none"/>
        </w:rPr>
      </w:pPr>
    </w:p>
    <w:p w14:paraId="464688AB">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FF8152E">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20382C5D">
      <w:pPr>
        <w:snapToGrid w:val="0"/>
        <w:rPr>
          <w:rFonts w:hint="eastAsia" w:ascii="宋体" w:hAnsi="宋体" w:eastAsia="宋体" w:cs="宋体"/>
          <w:b/>
          <w:color w:val="auto"/>
          <w:kern w:val="0"/>
          <w:sz w:val="30"/>
          <w:szCs w:val="30"/>
          <w:highlight w:val="none"/>
        </w:rPr>
      </w:pPr>
    </w:p>
    <w:p w14:paraId="74C004AC">
      <w:pPr>
        <w:snapToGrid w:val="0"/>
        <w:spacing w:before="120" w:beforeLines="50" w:after="50" w:line="360" w:lineRule="auto"/>
        <w:jc w:val="center"/>
        <w:rPr>
          <w:rFonts w:hint="eastAsia" w:ascii="宋体" w:hAnsi="宋体" w:eastAsia="宋体" w:cs="宋体"/>
          <w:b/>
          <w:color w:val="auto"/>
          <w:sz w:val="24"/>
          <w:highlight w:val="none"/>
          <w:lang w:val="en-US" w:eastAsia="zh-CN"/>
        </w:rPr>
      </w:pPr>
    </w:p>
    <w:p w14:paraId="3B1BA5DC">
      <w:pPr>
        <w:snapToGrid w:val="0"/>
        <w:spacing w:before="120" w:beforeLines="50" w:after="50" w:line="360" w:lineRule="auto"/>
        <w:jc w:val="center"/>
        <w:rPr>
          <w:rFonts w:hint="eastAsia" w:ascii="宋体" w:hAnsi="宋体" w:eastAsia="宋体" w:cs="宋体"/>
          <w:b/>
          <w:color w:val="auto"/>
          <w:sz w:val="24"/>
          <w:highlight w:val="none"/>
          <w:lang w:val="en-US" w:eastAsia="zh-CN"/>
        </w:rPr>
      </w:pPr>
    </w:p>
    <w:p w14:paraId="1DDF071A">
      <w:pPr>
        <w:snapToGrid w:val="0"/>
        <w:spacing w:before="120" w:beforeLines="50" w:after="50" w:line="360" w:lineRule="auto"/>
        <w:jc w:val="center"/>
        <w:rPr>
          <w:rFonts w:hint="eastAsia" w:ascii="宋体" w:hAnsi="宋体" w:eastAsia="宋体" w:cs="宋体"/>
          <w:b/>
          <w:color w:val="auto"/>
          <w:sz w:val="24"/>
          <w:highlight w:val="none"/>
          <w:lang w:val="en-US" w:eastAsia="zh-CN"/>
        </w:rPr>
      </w:pPr>
    </w:p>
    <w:p w14:paraId="559D7C7A">
      <w:pPr>
        <w:snapToGrid w:val="0"/>
        <w:spacing w:before="120" w:beforeLines="50" w:after="50" w:line="360" w:lineRule="auto"/>
        <w:jc w:val="center"/>
        <w:rPr>
          <w:rFonts w:hint="eastAsia" w:ascii="宋体" w:hAnsi="宋体" w:eastAsia="宋体" w:cs="宋体"/>
          <w:b/>
          <w:color w:val="auto"/>
          <w:sz w:val="24"/>
          <w:highlight w:val="none"/>
          <w:lang w:val="en-US" w:eastAsia="zh-CN"/>
        </w:rPr>
      </w:pPr>
    </w:p>
    <w:p w14:paraId="2393A1D5">
      <w:pPr>
        <w:rPr>
          <w:rFonts w:hint="eastAsia" w:ascii="宋体" w:hAnsi="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br w:type="page"/>
      </w:r>
    </w:p>
    <w:p w14:paraId="5107E2DA">
      <w:pPr>
        <w:snapToGrid w:val="0"/>
        <w:spacing w:before="120" w:beforeLines="50" w:after="50" w:line="360" w:lineRule="auto"/>
        <w:jc w:val="center"/>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t>2.</w:t>
      </w:r>
      <w:r>
        <w:rPr>
          <w:rFonts w:hint="eastAsia" w:ascii="宋体" w:hAnsi="宋体" w:eastAsia="宋体" w:cs="宋体"/>
          <w:b/>
          <w:color w:val="auto"/>
          <w:sz w:val="32"/>
          <w:szCs w:val="32"/>
          <w:highlight w:val="none"/>
          <w:lang w:val="en-US" w:eastAsia="zh-CN"/>
        </w:rPr>
        <w:t>供应商直接管理关系信息表（格式）</w:t>
      </w:r>
    </w:p>
    <w:p w14:paraId="235200D5">
      <w:pPr>
        <w:snapToGrid w:val="0"/>
        <w:spacing w:line="360" w:lineRule="auto"/>
        <w:jc w:val="center"/>
        <w:rPr>
          <w:rFonts w:hint="eastAsia" w:ascii="宋体" w:hAnsi="宋体" w:eastAsia="宋体" w:cs="宋体"/>
          <w:b/>
          <w:color w:val="auto"/>
          <w:sz w:val="24"/>
          <w:highlight w:val="none"/>
        </w:rPr>
      </w:pPr>
    </w:p>
    <w:tbl>
      <w:tblPr>
        <w:tblStyle w:val="19"/>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3C72EC4">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DDC519">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488FC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F4F1A7">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6BE21A">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51FE80E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884238">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2172D6">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D129F8">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662338">
            <w:pPr>
              <w:widowControl/>
              <w:spacing w:line="360" w:lineRule="auto"/>
              <w:contextualSpacing/>
              <w:jc w:val="center"/>
              <w:rPr>
                <w:rFonts w:hint="eastAsia" w:ascii="宋体" w:hAnsi="宋体" w:eastAsia="宋体" w:cs="宋体"/>
                <w:color w:val="auto"/>
                <w:kern w:val="0"/>
                <w:sz w:val="24"/>
                <w:highlight w:val="none"/>
              </w:rPr>
            </w:pPr>
          </w:p>
        </w:tc>
      </w:tr>
      <w:tr w14:paraId="34FC51B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9F6FBA">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1BEF86">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E7F76D">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5B05E1">
            <w:pPr>
              <w:widowControl/>
              <w:spacing w:line="360" w:lineRule="auto"/>
              <w:contextualSpacing/>
              <w:jc w:val="center"/>
              <w:rPr>
                <w:rFonts w:hint="eastAsia" w:ascii="宋体" w:hAnsi="宋体" w:eastAsia="宋体" w:cs="宋体"/>
                <w:color w:val="auto"/>
                <w:kern w:val="0"/>
                <w:sz w:val="24"/>
                <w:highlight w:val="none"/>
              </w:rPr>
            </w:pPr>
          </w:p>
        </w:tc>
      </w:tr>
      <w:tr w14:paraId="79F4983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76E349">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5782D9">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30C184">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73F908">
            <w:pPr>
              <w:widowControl/>
              <w:spacing w:line="360" w:lineRule="auto"/>
              <w:contextualSpacing/>
              <w:jc w:val="center"/>
              <w:rPr>
                <w:rFonts w:hint="eastAsia" w:ascii="宋体" w:hAnsi="宋体" w:eastAsia="宋体" w:cs="宋体"/>
                <w:color w:val="auto"/>
                <w:kern w:val="0"/>
                <w:sz w:val="24"/>
                <w:highlight w:val="none"/>
              </w:rPr>
            </w:pPr>
          </w:p>
        </w:tc>
      </w:tr>
      <w:tr w14:paraId="4360AF12">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90A4BC">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9DF0E">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76D724">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CD2CA5">
            <w:pPr>
              <w:widowControl/>
              <w:spacing w:line="360" w:lineRule="auto"/>
              <w:contextualSpacing/>
              <w:jc w:val="center"/>
              <w:rPr>
                <w:rFonts w:hint="eastAsia" w:ascii="宋体" w:hAnsi="宋体" w:eastAsia="宋体" w:cs="宋体"/>
                <w:color w:val="auto"/>
                <w:kern w:val="0"/>
                <w:sz w:val="24"/>
                <w:highlight w:val="none"/>
              </w:rPr>
            </w:pPr>
          </w:p>
        </w:tc>
      </w:tr>
    </w:tbl>
    <w:p w14:paraId="408EC5E0">
      <w:pPr>
        <w:spacing w:line="360" w:lineRule="auto"/>
        <w:ind w:firstLine="420" w:firstLineChars="20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133D9E08">
      <w:pPr>
        <w:spacing w:line="360" w:lineRule="auto"/>
        <w:ind w:firstLine="420" w:firstLineChars="20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1.管理关系：是指不具有出资持股关系的其他单位之间存在的管理与被管理关系，如一些上下级关系的事业单位和团体组织。</w:t>
      </w:r>
    </w:p>
    <w:p w14:paraId="60A6F7F8">
      <w:pPr>
        <w:spacing w:line="360" w:lineRule="auto"/>
        <w:ind w:firstLine="420" w:firstLineChars="20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2.本表所指的管理关系仅限于直接管理关系，不包括间接的管理关系。</w:t>
      </w:r>
    </w:p>
    <w:p w14:paraId="149495D8">
      <w:pPr>
        <w:spacing w:line="360" w:lineRule="auto"/>
        <w:ind w:firstLine="420" w:firstLineChars="20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3.供应商不存在直接管理关系的，则填“无”。</w:t>
      </w:r>
    </w:p>
    <w:p w14:paraId="7B48193E">
      <w:pPr>
        <w:spacing w:line="360" w:lineRule="auto"/>
        <w:contextualSpacing/>
        <w:jc w:val="left"/>
        <w:rPr>
          <w:rFonts w:hint="eastAsia" w:ascii="宋体" w:hAnsi="宋体" w:eastAsia="宋体" w:cs="宋体"/>
          <w:color w:val="auto"/>
          <w:sz w:val="24"/>
          <w:highlight w:val="none"/>
        </w:rPr>
      </w:pPr>
    </w:p>
    <w:p w14:paraId="4B03550A">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p>
    <w:p w14:paraId="7ACC1F85">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EB5D009">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2F53280">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w:t>
      </w:r>
    </w:p>
    <w:p w14:paraId="43469297">
      <w:pPr>
        <w:spacing w:line="32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kern w:val="0"/>
          <w:sz w:val="32"/>
          <w:szCs w:val="32"/>
          <w:highlight w:val="none"/>
          <w:lang w:val="en-US" w:eastAsia="zh-CN"/>
        </w:rPr>
        <w:t>三</w:t>
      </w:r>
      <w:r>
        <w:rPr>
          <w:rFonts w:hint="eastAsia" w:ascii="宋体" w:hAnsi="宋体" w:eastAsia="宋体" w:cs="宋体"/>
          <w:b/>
          <w:color w:val="auto"/>
          <w:kern w:val="0"/>
          <w:sz w:val="32"/>
          <w:szCs w:val="32"/>
          <w:highlight w:val="none"/>
        </w:rPr>
        <w:t>、资格声明函</w:t>
      </w:r>
    </w:p>
    <w:p w14:paraId="64B0FBA6">
      <w:pPr>
        <w:spacing w:line="320" w:lineRule="exact"/>
        <w:jc w:val="center"/>
        <w:rPr>
          <w:rFonts w:hint="eastAsia" w:ascii="宋体" w:hAnsi="宋体" w:eastAsia="宋体" w:cs="宋体"/>
          <w:b/>
          <w:color w:val="auto"/>
          <w:sz w:val="32"/>
          <w:szCs w:val="32"/>
          <w:highlight w:val="none"/>
        </w:rPr>
      </w:pPr>
    </w:p>
    <w:p w14:paraId="6F8CA9F3">
      <w:pPr>
        <w:snapToGrid w:val="0"/>
        <w:spacing w:before="120" w:beforeLines="50" w:after="50" w:line="360" w:lineRule="auto"/>
        <w:jc w:val="cente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资格声明函（格式）</w:t>
      </w:r>
    </w:p>
    <w:p w14:paraId="75B985E5">
      <w:pPr>
        <w:spacing w:line="320" w:lineRule="exact"/>
        <w:jc w:val="center"/>
        <w:rPr>
          <w:rFonts w:hint="eastAsia" w:ascii="宋体" w:hAnsi="宋体" w:eastAsia="宋体" w:cs="宋体"/>
          <w:color w:val="auto"/>
          <w:sz w:val="24"/>
          <w:szCs w:val="20"/>
          <w:highlight w:val="none"/>
        </w:rPr>
      </w:pPr>
    </w:p>
    <w:p w14:paraId="79B7BE81">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val="en-US" w:eastAsia="zh-CN"/>
        </w:rPr>
        <w:t>采购人名称</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rPr>
        <w:t>：</w:t>
      </w:r>
    </w:p>
    <w:p w14:paraId="480CFB2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728054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项目的竞标，为便于贵方公正、择优地确定成交供应商及其服务，我方就本次竞标有关事项郑重声明如下：</w:t>
      </w:r>
    </w:p>
    <w:p w14:paraId="38F4ACB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7E824DD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81B393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62C044C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文件的约定履行合同责任和义务；</w:t>
      </w:r>
    </w:p>
    <w:p w14:paraId="1FEECCB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文件，包括澄清或者更正公告（如有）；</w:t>
      </w:r>
    </w:p>
    <w:p w14:paraId="768330F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有关的一切数据或者资料；</w:t>
      </w:r>
    </w:p>
    <w:p w14:paraId="380F97D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文件规定的竞标有效期。</w:t>
      </w:r>
    </w:p>
    <w:p w14:paraId="0760486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2AE72D2">
      <w:pPr>
        <w:pStyle w:val="12"/>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.以上事项如有虚假或者隐瞒，我方愿意承担一切后果，并不再寻求任何旨在减轻或者免除法律责任的辩解。</w:t>
      </w:r>
    </w:p>
    <w:p w14:paraId="4AE97845">
      <w:pPr>
        <w:pStyle w:val="12"/>
        <w:tabs>
          <w:tab w:val="left" w:pos="939"/>
        </w:tabs>
        <w:spacing w:line="360" w:lineRule="auto"/>
        <w:ind w:left="0" w:leftChars="0" w:firstLine="480" w:firstLineChars="200"/>
        <w:rPr>
          <w:rFonts w:hint="eastAsia" w:ascii="宋体" w:hAnsi="宋体" w:eastAsia="宋体" w:cs="宋体"/>
          <w:color w:val="auto"/>
          <w:sz w:val="24"/>
          <w:highlight w:val="none"/>
        </w:rPr>
      </w:pPr>
    </w:p>
    <w:p w14:paraId="3E8499D1">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36A0B70">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1" w:h="16838"/>
          <w:pgMar w:top="1417" w:right="1417" w:bottom="1134" w:left="1417" w:header="720" w:footer="720" w:gutter="0"/>
          <w:pgBorders>
            <w:top w:val="none" w:sz="0" w:space="0"/>
            <w:left w:val="none" w:sz="0" w:space="0"/>
            <w:bottom w:val="none" w:sz="0" w:space="0"/>
            <w:right w:val="none" w:sz="0" w:space="0"/>
          </w:pgBorders>
          <w:pgNumType w:fmt="numberInDash"/>
          <w:cols w:space="0" w:num="1"/>
          <w:rtlGutter w:val="0"/>
          <w:docGrid w:linePitch="0" w:charSpace="0"/>
        </w:sectPr>
      </w:pPr>
      <w:r>
        <w:rPr>
          <w:rFonts w:hint="eastAsia" w:ascii="宋体" w:hAnsi="宋体" w:eastAsia="宋体" w:cs="宋体"/>
          <w:color w:val="auto"/>
          <w:kern w:val="0"/>
          <w:sz w:val="24"/>
          <w:highlight w:val="none"/>
          <w:lang w:val="zh-CN"/>
        </w:rPr>
        <w:t>日期：  年  月   日</w:t>
      </w:r>
    </w:p>
    <w:p w14:paraId="1FE40CE9">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0D04EF49">
      <w:pPr>
        <w:snapToGrid w:val="0"/>
        <w:spacing w:line="360" w:lineRule="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四</w:t>
      </w:r>
      <w:r>
        <w:rPr>
          <w:rFonts w:hint="eastAsia" w:ascii="宋体" w:hAnsi="宋体" w:eastAsia="宋体" w:cs="宋体"/>
          <w:b/>
          <w:color w:val="auto"/>
          <w:sz w:val="30"/>
          <w:szCs w:val="30"/>
          <w:highlight w:val="none"/>
        </w:rPr>
        <w:t>、本项目的特定资格要求证明材料</w:t>
      </w:r>
    </w:p>
    <w:p w14:paraId="71F32996">
      <w:pPr>
        <w:snapToGrid w:val="0"/>
        <w:spacing w:line="360" w:lineRule="auto"/>
        <w:rPr>
          <w:rFonts w:hint="eastAsia" w:ascii="宋体" w:hAnsi="宋体" w:eastAsia="宋体" w:cs="宋体"/>
          <w:color w:val="auto"/>
          <w:sz w:val="24"/>
          <w:highlight w:val="none"/>
        </w:rPr>
      </w:pPr>
    </w:p>
    <w:p w14:paraId="55FA4AF6">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72BF9DE8">
      <w:pPr>
        <w:pStyle w:val="3"/>
        <w:numPr>
          <w:ilvl w:val="0"/>
          <w:numId w:val="0"/>
        </w:numPr>
        <w:spacing w:line="486" w:lineRule="exact"/>
        <w:ind w:right="774" w:rightChars="0"/>
        <w:jc w:val="both"/>
        <w:rPr>
          <w:rFonts w:hint="eastAsia" w:ascii="宋体" w:hAnsi="宋体" w:eastAsia="宋体" w:cs="宋体"/>
          <w:b/>
          <w:color w:val="auto"/>
          <w:szCs w:val="21"/>
          <w:highlight w:val="none"/>
          <w:lang w:val="en-US" w:eastAsia="zh-CN"/>
        </w:rPr>
      </w:pPr>
      <w:bookmarkStart w:id="116" w:name="_Toc19565"/>
      <w:bookmarkStart w:id="117" w:name="_Toc7122"/>
      <w:bookmarkStart w:id="118" w:name="_Toc7417"/>
      <w:bookmarkStart w:id="119" w:name="_Toc14779"/>
      <w:bookmarkStart w:id="120" w:name="_Toc15993"/>
      <w:r>
        <w:rPr>
          <w:rFonts w:hint="eastAsia" w:ascii="宋体" w:hAnsi="宋体" w:eastAsia="宋体" w:cs="宋体"/>
          <w:b/>
          <w:bCs/>
          <w:color w:val="auto"/>
          <w:highlight w:val="none"/>
          <w:lang w:val="en-US" w:eastAsia="zh-CN"/>
        </w:rPr>
        <w:t>五、</w:t>
      </w:r>
      <w:r>
        <w:rPr>
          <w:rFonts w:hint="eastAsia" w:ascii="宋体" w:hAnsi="宋体" w:eastAsia="宋体" w:cs="宋体"/>
          <w:b/>
          <w:bCs/>
          <w:color w:val="auto"/>
          <w:highlight w:val="none"/>
          <w:lang w:eastAsia="zh-CN"/>
        </w:rPr>
        <w:t>农民工工资保证金承诺书</w:t>
      </w:r>
      <w:bookmarkEnd w:id="116"/>
      <w:bookmarkEnd w:id="117"/>
      <w:bookmarkEnd w:id="118"/>
      <w:bookmarkEnd w:id="119"/>
      <w:bookmarkEnd w:id="120"/>
    </w:p>
    <w:p w14:paraId="1F8DE4C3">
      <w:pPr>
        <w:numPr>
          <w:ilvl w:val="0"/>
          <w:numId w:val="0"/>
        </w:num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p>
    <w:p w14:paraId="2223B2EA">
      <w:pPr>
        <w:pStyle w:val="9"/>
        <w:spacing w:before="17"/>
        <w:jc w:val="center"/>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lang w:eastAsia="zh-CN"/>
        </w:rPr>
        <w:t>农民工工资保证金承诺书</w:t>
      </w:r>
      <w:r>
        <w:rPr>
          <w:rFonts w:hint="eastAsia" w:ascii="宋体" w:hAnsi="宋体" w:eastAsia="宋体" w:cs="宋体"/>
          <w:b/>
          <w:color w:val="auto"/>
          <w:sz w:val="32"/>
          <w:szCs w:val="32"/>
          <w:highlight w:val="none"/>
          <w:lang w:val="en-US" w:eastAsia="zh-CN"/>
        </w:rPr>
        <w:t>（格式）</w:t>
      </w:r>
    </w:p>
    <w:p w14:paraId="46F389AC">
      <w:pPr>
        <w:spacing w:line="360" w:lineRule="auto"/>
        <w:contextualSpacing/>
        <w:jc w:val="center"/>
        <w:rPr>
          <w:rFonts w:hint="eastAsia" w:ascii="宋体" w:hAnsi="宋体" w:eastAsia="宋体" w:cs="宋体"/>
          <w:b/>
          <w:color w:val="auto"/>
          <w:sz w:val="24"/>
          <w:highlight w:val="none"/>
        </w:rPr>
      </w:pPr>
    </w:p>
    <w:p w14:paraId="7E7A71D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（采购人</w:t>
      </w:r>
      <w:r>
        <w:rPr>
          <w:rFonts w:hint="eastAsia" w:ascii="宋体" w:hAnsi="宋体" w:eastAsia="宋体" w:cs="宋体"/>
          <w:color w:val="auto"/>
          <w:sz w:val="21"/>
          <w:szCs w:val="21"/>
          <w:highlight w:val="none"/>
          <w:u w:val="single"/>
          <w:lang w:val="en-US" w:eastAsia="zh-CN"/>
        </w:rPr>
        <w:t>名称</w:t>
      </w:r>
      <w:r>
        <w:rPr>
          <w:rFonts w:hint="eastAsia" w:ascii="宋体" w:hAnsi="宋体" w:eastAsia="宋体" w:cs="宋体"/>
          <w:color w:val="auto"/>
          <w:sz w:val="21"/>
          <w:szCs w:val="21"/>
          <w:highlight w:val="none"/>
          <w:u w:val="single"/>
        </w:rPr>
        <w:t xml:space="preserve">）  </w:t>
      </w:r>
    </w:p>
    <w:p w14:paraId="6E42A7C7">
      <w:pPr>
        <w:spacing w:line="360" w:lineRule="auto"/>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根据《关于明确农民工工资保证金制度有关问题的通知》（桂薪联发﹝2016﹞2号），在</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rPr>
        <w:t>的竞标中，我单位对农民工工资的支付作出以下郑重承诺：</w:t>
      </w:r>
    </w:p>
    <w:p w14:paraId="7AFBF9D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（一）我单位在本项目响应文件递交截止时间</w:t>
      </w:r>
      <w:r>
        <w:rPr>
          <w:rFonts w:hint="eastAsia" w:ascii="宋体" w:hAnsi="宋体" w:eastAsia="宋体" w:cs="宋体"/>
          <w:color w:val="auto"/>
          <w:sz w:val="21"/>
          <w:szCs w:val="21"/>
          <w:highlight w:val="none"/>
          <w:u w:val="single"/>
        </w:rPr>
        <w:t xml:space="preserve">    年  月  日（开标日）</w:t>
      </w:r>
      <w:r>
        <w:rPr>
          <w:rFonts w:hint="eastAsia" w:ascii="宋体" w:hAnsi="宋体" w:eastAsia="宋体" w:cs="宋体"/>
          <w:color w:val="auto"/>
          <w:sz w:val="21"/>
          <w:szCs w:val="21"/>
          <w:highlight w:val="none"/>
        </w:rPr>
        <w:t>前所承建的工程项目，不存在拖欠或克扣农民工工资的行为。</w:t>
      </w:r>
    </w:p>
    <w:p w14:paraId="6016C41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竞标成交后，我单位同意在签订合同后在工程项目所在地商业银行开设农民工工资保证金专用账户，并按采购文件规定的农民工工资保证金额度预存一定数额的资金作为农民工工资保证金或向发包人提供由工程项目所在地（工程项目所在省区范围内）商业银行出具同等金额农民工工资保证金银行保函，并到工程项目所在地具有管辖权的人力资源社会保障部门备案。</w:t>
      </w:r>
    </w:p>
    <w:p w14:paraId="7064BE1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（三）在项目实施过程中，若出现成交价与结算价不一致时，以实际结算金额按采购文件规定的计算额度存入农民工工资保证金。</w:t>
      </w:r>
    </w:p>
    <w:p w14:paraId="72EEC26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（四）我单位向建设单位承诺依法足额支付农民工工资，一旦我单位（包含我单位的分包商）承建的</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rPr>
        <w:t>施工出现拖欠农民工工资情况的，可由劳动保障及建设单位根据相关规定从其农民工工资保证金中先予支取。</w:t>
      </w:r>
    </w:p>
    <w:p w14:paraId="55D507E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（五）其它未尽事宜按《关于明确农民工工资保证金制度有关问题的通知》（桂薪联发﹝2016﹞2号）的有关规定执行。</w:t>
      </w:r>
    </w:p>
    <w:p w14:paraId="216143DD">
      <w:pPr>
        <w:spacing w:line="360" w:lineRule="auto"/>
        <w:jc w:val="right"/>
        <w:rPr>
          <w:rFonts w:hint="eastAsia" w:ascii="宋体" w:hAnsi="宋体" w:eastAsia="宋体" w:cs="宋体"/>
          <w:color w:val="auto"/>
          <w:sz w:val="21"/>
          <w:szCs w:val="21"/>
          <w:highlight w:val="none"/>
        </w:rPr>
      </w:pPr>
    </w:p>
    <w:p w14:paraId="165A1DEC">
      <w:pPr>
        <w:spacing w:line="360" w:lineRule="auto"/>
        <w:jc w:val="right"/>
        <w:rPr>
          <w:rFonts w:hint="eastAsia" w:ascii="宋体" w:hAnsi="宋体" w:eastAsia="宋体" w:cs="宋体"/>
          <w:color w:val="auto"/>
          <w:sz w:val="21"/>
          <w:szCs w:val="21"/>
          <w:highlight w:val="none"/>
        </w:rPr>
      </w:pPr>
    </w:p>
    <w:p w14:paraId="732F9CA9">
      <w:pPr>
        <w:autoSpaceDE w:val="0"/>
        <w:autoSpaceDN w:val="0"/>
        <w:spacing w:line="360" w:lineRule="auto"/>
        <w:ind w:left="4305" w:leftChars="1850" w:hanging="420" w:hangingChars="200"/>
        <w:rPr>
          <w:rFonts w:hint="eastAsia" w:ascii="宋体" w:hAnsi="宋体" w:eastAsia="宋体" w:cs="宋体"/>
          <w:color w:val="auto"/>
          <w:kern w:val="0"/>
          <w:sz w:val="24"/>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0"/>
          <w:sz w:val="24"/>
          <w:highlight w:val="none"/>
        </w:rPr>
        <w:t>供应商名称（电子签章）：</w:t>
      </w:r>
    </w:p>
    <w:p w14:paraId="6173FA0C">
      <w:pPr>
        <w:snapToGrid w:val="0"/>
        <w:spacing w:line="300" w:lineRule="auto"/>
        <w:jc w:val="right"/>
        <w:rPr>
          <w:rFonts w:hint="eastAsia" w:ascii="宋体" w:hAnsi="宋体" w:eastAsia="宋体" w:cs="宋体"/>
          <w:color w:val="auto"/>
          <w:sz w:val="21"/>
          <w:szCs w:val="21"/>
          <w:highlight w:val="none"/>
        </w:rPr>
      </w:pPr>
      <w:r>
        <w:rPr>
          <w:rFonts w:hint="eastAsia" w:ascii="宋体" w:hAnsi="宋体" w:eastAsia="宋体" w:cs="宋体"/>
          <w:color w:val="auto"/>
          <w:kern w:val="0"/>
          <w:sz w:val="24"/>
          <w:highlight w:val="none"/>
          <w:lang w:val="zh-CN"/>
        </w:rPr>
        <w:t>日期：  年  月   日</w:t>
      </w:r>
    </w:p>
    <w:p w14:paraId="32216111">
      <w:pPr>
        <w:pStyle w:val="9"/>
        <w:rPr>
          <w:rFonts w:hint="eastAsia" w:ascii="宋体" w:hAnsi="宋体" w:eastAsia="宋体" w:cs="宋体"/>
          <w:color w:val="auto"/>
          <w:sz w:val="20"/>
          <w:highlight w:val="none"/>
        </w:rPr>
      </w:pPr>
    </w:p>
    <w:p w14:paraId="5E98516C">
      <w:pPr>
        <w:pStyle w:val="9"/>
        <w:rPr>
          <w:rFonts w:hint="eastAsia" w:ascii="宋体" w:hAnsi="宋体" w:eastAsia="宋体" w:cs="宋体"/>
          <w:color w:val="auto"/>
          <w:sz w:val="20"/>
          <w:highlight w:val="none"/>
        </w:rPr>
      </w:pPr>
    </w:p>
    <w:p w14:paraId="7EF743B0">
      <w:pPr>
        <w:autoSpaceDE w:val="0"/>
        <w:autoSpaceDN w:val="0"/>
        <w:spacing w:line="360" w:lineRule="auto"/>
        <w:rPr>
          <w:rFonts w:hint="eastAsia" w:ascii="宋体" w:hAnsi="宋体" w:eastAsia="宋体" w:cs="宋体"/>
          <w:color w:val="auto"/>
          <w:kern w:val="0"/>
          <w:sz w:val="24"/>
          <w:highlight w:val="none"/>
          <w:lang w:val="zh-CN" w:eastAsia="zh-CN"/>
        </w:rPr>
      </w:pPr>
    </w:p>
    <w:p w14:paraId="6DD5FB9E">
      <w:pPr>
        <w:autoSpaceDE w:val="0"/>
        <w:autoSpaceDN w:val="0"/>
        <w:spacing w:line="360" w:lineRule="auto"/>
        <w:rPr>
          <w:rFonts w:hint="eastAsia" w:ascii="宋体" w:hAnsi="宋体" w:eastAsia="宋体" w:cs="宋体"/>
          <w:color w:val="auto"/>
          <w:kern w:val="0"/>
          <w:sz w:val="24"/>
          <w:highlight w:val="none"/>
          <w:lang w:val="zh-CN" w:eastAsia="zh-CN"/>
        </w:rPr>
      </w:pPr>
    </w:p>
    <w:p w14:paraId="4EB700ED">
      <w:pPr>
        <w:autoSpaceDE w:val="0"/>
        <w:autoSpaceDN w:val="0"/>
        <w:spacing w:line="360" w:lineRule="auto"/>
        <w:rPr>
          <w:rFonts w:hint="eastAsia" w:ascii="宋体" w:hAnsi="宋体" w:eastAsia="宋体" w:cs="宋体"/>
          <w:color w:val="auto"/>
          <w:kern w:val="0"/>
          <w:sz w:val="24"/>
          <w:highlight w:val="none"/>
          <w:lang w:val="zh-CN" w:eastAsia="zh-CN"/>
        </w:rPr>
      </w:pPr>
    </w:p>
    <w:p w14:paraId="311FC53A">
      <w:pPr>
        <w:pStyle w:val="14"/>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六、中小企业声明函或监狱企业由省级以上监狱管理局、戒毒管理局（含新疆生产建设兵团）出具的属于监狱企业的证明文件或残疾人福利性单位声明函</w:t>
      </w:r>
    </w:p>
    <w:p w14:paraId="0481AC90">
      <w:pPr>
        <w:spacing w:line="300" w:lineRule="auto"/>
        <w:rPr>
          <w:rFonts w:hint="eastAsia" w:ascii="宋体" w:hAnsi="宋体" w:eastAsia="宋体" w:cs="宋体"/>
          <w:color w:val="auto"/>
          <w:sz w:val="44"/>
          <w:szCs w:val="44"/>
          <w:highlight w:val="none"/>
        </w:rPr>
      </w:pPr>
    </w:p>
    <w:p w14:paraId="706F9C7E">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中小企业声明函（格式）</w:t>
      </w:r>
    </w:p>
    <w:p w14:paraId="3BF542A8">
      <w:pPr>
        <w:pStyle w:val="9"/>
        <w:spacing w:after="0" w:line="360" w:lineRule="auto"/>
        <w:ind w:left="-426" w:right="142" w:firstLine="6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本公司郑重声明，根据《政府采购促进中小企业发展管理办法》（财库﹝2020﹞46号）的规定，本公司参加</w:t>
      </w:r>
      <w:r>
        <w:rPr>
          <w:rFonts w:hint="eastAsia" w:ascii="宋体" w:hAnsi="宋体" w:eastAsia="宋体" w:cs="宋体"/>
          <w:color w:val="auto"/>
          <w:sz w:val="24"/>
          <w:highlight w:val="none"/>
          <w:u w:val="single"/>
        </w:rPr>
        <w:t>（单位名称）</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采购活动，提供的</w:t>
      </w:r>
      <w:r>
        <w:rPr>
          <w:rFonts w:hint="eastAsia" w:ascii="宋体" w:hAnsi="宋体" w:eastAsia="宋体" w:cs="宋体"/>
          <w:color w:val="auto"/>
          <w:sz w:val="24"/>
          <w:highlight w:val="none"/>
          <w:lang w:val="en-US" w:eastAsia="zh-CN"/>
        </w:rPr>
        <w:t>工程</w:t>
      </w:r>
      <w:r>
        <w:rPr>
          <w:rFonts w:hint="eastAsia" w:ascii="宋体" w:hAnsi="宋体" w:eastAsia="宋体" w:cs="宋体"/>
          <w:color w:val="auto"/>
          <w:sz w:val="24"/>
          <w:highlight w:val="none"/>
        </w:rPr>
        <w:t>全部由符合政策要求的中小企业</w:t>
      </w:r>
      <w:r>
        <w:rPr>
          <w:rFonts w:hint="eastAsia" w:ascii="宋体" w:hAnsi="宋体" w:eastAsia="宋体" w:cs="宋体"/>
          <w:color w:val="auto"/>
          <w:sz w:val="24"/>
          <w:highlight w:val="none"/>
          <w:lang w:eastAsia="zh-CN"/>
        </w:rPr>
        <w:t>承建（承接）</w:t>
      </w:r>
      <w:r>
        <w:rPr>
          <w:rFonts w:hint="eastAsia" w:ascii="宋体" w:hAnsi="宋体" w:eastAsia="宋体" w:cs="宋体"/>
          <w:color w:val="auto"/>
          <w:sz w:val="24"/>
          <w:highlight w:val="none"/>
        </w:rPr>
        <w:t>。相关企业的具体情况如下：</w:t>
      </w:r>
    </w:p>
    <w:p w14:paraId="5CC7E79B">
      <w:pPr>
        <w:tabs>
          <w:tab w:val="left" w:pos="1384"/>
          <w:tab w:val="left" w:pos="4562"/>
          <w:tab w:val="left" w:pos="6803"/>
        </w:tabs>
        <w:spacing w:line="360" w:lineRule="auto"/>
        <w:ind w:left="-426" w:right="-58" w:firstLine="655"/>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行业；</w:t>
      </w:r>
      <w:r>
        <w:rPr>
          <w:rFonts w:hint="eastAsia" w:ascii="宋体" w:hAnsi="宋体" w:eastAsia="宋体" w:cs="宋体"/>
          <w:color w:val="auto"/>
          <w:sz w:val="24"/>
          <w:highlight w:val="none"/>
          <w:lang w:eastAsia="zh-CN"/>
        </w:rPr>
        <w:t>承建（承接）</w:t>
      </w:r>
      <w:r>
        <w:rPr>
          <w:rFonts w:hint="eastAsia" w:ascii="宋体" w:hAnsi="宋体" w:eastAsia="宋体" w:cs="宋体"/>
          <w:color w:val="auto"/>
          <w:sz w:val="24"/>
          <w:highlight w:val="none"/>
        </w:rPr>
        <w:t>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7CDDE2D6">
      <w:pPr>
        <w:pStyle w:val="9"/>
        <w:spacing w:after="0" w:line="360" w:lineRule="auto"/>
        <w:ind w:left="-405" w:leftChars="-193" w:right="142" w:firstLine="453" w:firstLineChars="189"/>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46F75192">
      <w:pPr>
        <w:pStyle w:val="9"/>
        <w:spacing w:after="0" w:line="360" w:lineRule="auto"/>
        <w:ind w:left="-426" w:right="142" w:firstLine="567"/>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0A8F40E4">
      <w:pPr>
        <w:pStyle w:val="9"/>
        <w:spacing w:after="0" w:line="360" w:lineRule="auto"/>
        <w:ind w:left="3960" w:right="1808"/>
        <w:contextualSpacing/>
        <w:rPr>
          <w:rFonts w:hint="eastAsia" w:ascii="宋体" w:hAnsi="宋体" w:eastAsia="宋体" w:cs="宋体"/>
          <w:color w:val="auto"/>
          <w:sz w:val="24"/>
          <w:highlight w:val="none"/>
        </w:rPr>
      </w:pPr>
    </w:p>
    <w:p w14:paraId="7A76C998">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FA77E06">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7929AD92">
      <w:pPr>
        <w:pStyle w:val="9"/>
        <w:spacing w:after="0" w:line="360" w:lineRule="auto"/>
        <w:ind w:left="3960" w:right="1808"/>
        <w:contextualSpacing/>
        <w:rPr>
          <w:rFonts w:hint="eastAsia" w:ascii="宋体" w:hAnsi="宋体" w:eastAsia="宋体" w:cs="宋体"/>
          <w:color w:val="auto"/>
          <w:highlight w:val="none"/>
        </w:rPr>
      </w:pPr>
    </w:p>
    <w:p w14:paraId="105C2E33">
      <w:pPr>
        <w:pStyle w:val="7"/>
        <w:overflowPunct w:val="0"/>
        <w:spacing w:line="520" w:lineRule="exact"/>
        <w:ind w:firstLine="0"/>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sz w:val="21"/>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r>
        <w:rPr>
          <w:rFonts w:hint="eastAsia" w:ascii="宋体" w:hAnsi="宋体" w:eastAsia="宋体" w:cs="宋体"/>
          <w:color w:val="auto"/>
          <w:sz w:val="21"/>
          <w:szCs w:val="21"/>
          <w:highlight w:val="none"/>
          <w:lang w:eastAsia="zh-CN"/>
        </w:rPr>
        <w:t>。</w:t>
      </w:r>
    </w:p>
    <w:p w14:paraId="5ADBC19D">
      <w:pPr>
        <w:pStyle w:val="7"/>
        <w:overflowPunct w:val="0"/>
        <w:spacing w:line="520" w:lineRule="exact"/>
        <w:ind w:firstLine="0"/>
        <w:rPr>
          <w:rFonts w:hint="eastAsia" w:ascii="宋体" w:hAnsi="宋体" w:eastAsia="宋体" w:cs="宋体"/>
          <w:b/>
          <w:bCs/>
          <w:color w:val="auto"/>
          <w:kern w:val="2"/>
          <w:sz w:val="32"/>
          <w:szCs w:val="32"/>
          <w:highlight w:val="none"/>
          <w:lang w:val="zh-CN" w:eastAsia="zh-CN" w:bidi="ar-SA"/>
        </w:rPr>
      </w:pPr>
    </w:p>
    <w:p w14:paraId="799719BD">
      <w:pPr>
        <w:pStyle w:val="7"/>
        <w:overflowPunct w:val="0"/>
        <w:spacing w:line="520" w:lineRule="exact"/>
        <w:ind w:firstLine="0"/>
        <w:rPr>
          <w:rFonts w:hint="eastAsia" w:ascii="宋体" w:hAnsi="宋体" w:eastAsia="宋体" w:cs="宋体"/>
          <w:b/>
          <w:bCs/>
          <w:color w:val="auto"/>
          <w:kern w:val="2"/>
          <w:sz w:val="32"/>
          <w:szCs w:val="32"/>
          <w:highlight w:val="none"/>
          <w:lang w:val="zh-CN" w:eastAsia="zh-CN" w:bidi="ar-SA"/>
        </w:rPr>
      </w:pPr>
    </w:p>
    <w:p w14:paraId="70679F60">
      <w:pPr>
        <w:pStyle w:val="7"/>
        <w:overflowPunct w:val="0"/>
        <w:spacing w:line="520" w:lineRule="exact"/>
        <w:ind w:firstLine="0"/>
        <w:rPr>
          <w:rFonts w:hint="eastAsia" w:ascii="宋体" w:hAnsi="宋体" w:eastAsia="宋体" w:cs="宋体"/>
          <w:b/>
          <w:bCs/>
          <w:color w:val="auto"/>
          <w:kern w:val="2"/>
          <w:sz w:val="32"/>
          <w:szCs w:val="32"/>
          <w:highlight w:val="none"/>
          <w:lang w:val="zh-CN" w:eastAsia="zh-CN" w:bidi="ar-SA"/>
        </w:rPr>
      </w:pPr>
    </w:p>
    <w:p w14:paraId="6D9C5105">
      <w:pPr>
        <w:pStyle w:val="7"/>
        <w:overflowPunct w:val="0"/>
        <w:spacing w:line="520" w:lineRule="exact"/>
        <w:ind w:firstLine="0"/>
        <w:rPr>
          <w:rFonts w:hint="eastAsia" w:ascii="宋体" w:hAnsi="宋体" w:eastAsia="宋体" w:cs="宋体"/>
          <w:b/>
          <w:bCs/>
          <w:color w:val="auto"/>
          <w:kern w:val="2"/>
          <w:sz w:val="32"/>
          <w:szCs w:val="32"/>
          <w:highlight w:val="none"/>
          <w:lang w:val="zh-CN" w:eastAsia="zh-CN" w:bidi="ar-SA"/>
        </w:rPr>
      </w:pPr>
    </w:p>
    <w:p w14:paraId="39292059">
      <w:pPr>
        <w:pStyle w:val="7"/>
        <w:overflowPunct w:val="0"/>
        <w:spacing w:line="520" w:lineRule="exact"/>
        <w:ind w:firstLine="0"/>
        <w:rPr>
          <w:rFonts w:hint="eastAsia" w:ascii="宋体" w:hAnsi="宋体" w:eastAsia="宋体" w:cs="宋体"/>
          <w:b/>
          <w:bCs/>
          <w:color w:val="auto"/>
          <w:kern w:val="2"/>
          <w:sz w:val="32"/>
          <w:szCs w:val="32"/>
          <w:highlight w:val="none"/>
          <w:lang w:val="zh-CN" w:eastAsia="zh-CN" w:bidi="ar-SA"/>
        </w:rPr>
      </w:pPr>
    </w:p>
    <w:p w14:paraId="6736D9FF">
      <w:pPr>
        <w:pStyle w:val="7"/>
        <w:overflowPunct w:val="0"/>
        <w:spacing w:line="520" w:lineRule="exact"/>
        <w:ind w:firstLine="0"/>
        <w:rPr>
          <w:rFonts w:hint="eastAsia" w:ascii="宋体" w:hAnsi="宋体" w:eastAsia="宋体" w:cs="宋体"/>
          <w:b/>
          <w:bCs/>
          <w:color w:val="auto"/>
          <w:kern w:val="2"/>
          <w:sz w:val="32"/>
          <w:szCs w:val="32"/>
          <w:highlight w:val="none"/>
          <w:lang w:val="zh-CN" w:eastAsia="zh-CN" w:bidi="ar-SA"/>
        </w:rPr>
      </w:pPr>
    </w:p>
    <w:p w14:paraId="43BA9032">
      <w:pPr>
        <w:spacing w:line="360" w:lineRule="auto"/>
        <w:jc w:val="center"/>
        <w:rPr>
          <w:rFonts w:hint="eastAsia" w:ascii="宋体" w:hAnsi="宋体" w:eastAsia="宋体" w:cs="宋体"/>
          <w:b/>
          <w:color w:val="auto"/>
          <w:sz w:val="30"/>
          <w:szCs w:val="30"/>
          <w:highlight w:val="none"/>
        </w:rPr>
      </w:pPr>
    </w:p>
    <w:p w14:paraId="7C6B8788">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textWrapping"/>
      </w:r>
      <w:r>
        <w:rPr>
          <w:rFonts w:hint="eastAsia" w:ascii="宋体" w:hAnsi="宋体" w:eastAsia="宋体" w:cs="宋体"/>
          <w:b/>
          <w:color w:val="auto"/>
          <w:sz w:val="28"/>
          <w:szCs w:val="28"/>
          <w:highlight w:val="none"/>
        </w:rPr>
        <w:t>残疾人福利性单位声明函（格式）</w:t>
      </w:r>
    </w:p>
    <w:p w14:paraId="0F85D322">
      <w:pPr>
        <w:spacing w:line="360" w:lineRule="auto"/>
        <w:jc w:val="center"/>
        <w:rPr>
          <w:rFonts w:hint="eastAsia" w:ascii="宋体" w:hAnsi="宋体" w:eastAsia="宋体" w:cs="宋体"/>
          <w:b/>
          <w:color w:val="auto"/>
          <w:sz w:val="30"/>
          <w:szCs w:val="30"/>
          <w:highlight w:val="none"/>
        </w:rPr>
      </w:pPr>
    </w:p>
    <w:p w14:paraId="68DCF085">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24"/>
          <w:highlight w:val="none"/>
        </w:rPr>
        <w:t>本公司郑重声明，根据《财政部 民政部 中国残疾人联合会关于促进残疾人就业政府采购政策的通知》（财库</w:t>
      </w:r>
      <w:r>
        <w:rPr>
          <w:rFonts w:hint="eastAsia" w:ascii="宋体" w:hAnsi="宋体" w:cs="宋体"/>
          <w:color w:val="auto"/>
          <w:sz w:val="24"/>
          <w:highlight w:val="none"/>
          <w:lang w:eastAsia="zh-CN"/>
        </w:rPr>
        <w:t>〔2017〕141号</w:t>
      </w:r>
      <w:r>
        <w:rPr>
          <w:rFonts w:hint="eastAsia" w:ascii="宋体" w:hAnsi="宋体" w:eastAsia="宋体" w:cs="宋体"/>
          <w:color w:val="auto"/>
          <w:sz w:val="24"/>
          <w:highlight w:val="none"/>
        </w:rPr>
        <w:t>）的规定，本公司为符合条件的残疾人福利性单位，且本公司参加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项目采购活动提供本公司制造的货物（由本公司承担工程/提供服务），或者提供其他残疾人福利性单位制造的货物（不包括使用非残疾人福利性单位注册商标的货物）。</w:t>
      </w:r>
    </w:p>
    <w:p w14:paraId="7AA00622">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本公司对上述声明的真实性负责。如有虚假，将依法承担相应责任。</w:t>
      </w:r>
    </w:p>
    <w:p w14:paraId="58E92F9F">
      <w:pPr>
        <w:spacing w:line="360" w:lineRule="auto"/>
        <w:jc w:val="left"/>
        <w:rPr>
          <w:rFonts w:hint="eastAsia" w:ascii="宋体" w:hAnsi="宋体" w:eastAsia="宋体" w:cs="宋体"/>
          <w:b/>
          <w:color w:val="auto"/>
          <w:szCs w:val="21"/>
          <w:highlight w:val="none"/>
        </w:rPr>
      </w:pPr>
    </w:p>
    <w:p w14:paraId="1D758FCA">
      <w:pPr>
        <w:spacing w:line="360" w:lineRule="auto"/>
        <w:jc w:val="left"/>
        <w:rPr>
          <w:rFonts w:hint="eastAsia" w:ascii="宋体" w:hAnsi="宋体" w:eastAsia="宋体" w:cs="宋体"/>
          <w:b/>
          <w:color w:val="auto"/>
          <w:szCs w:val="21"/>
          <w:highlight w:val="none"/>
        </w:rPr>
      </w:pPr>
    </w:p>
    <w:p w14:paraId="1E85CD6F">
      <w:pPr>
        <w:snapToGrid w:val="0"/>
        <w:spacing w:line="360" w:lineRule="auto"/>
        <w:ind w:left="5137" w:leftChars="1736" w:hanging="1491" w:hangingChars="825"/>
        <w:rPr>
          <w:rFonts w:hint="eastAsia" w:ascii="宋体" w:hAnsi="宋体" w:eastAsia="宋体" w:cs="宋体"/>
          <w:color w:val="auto"/>
          <w:kern w:val="0"/>
          <w:sz w:val="24"/>
          <w:highlight w:val="none"/>
        </w:rPr>
      </w:pPr>
      <w:r>
        <w:rPr>
          <w:rFonts w:hint="eastAsia" w:ascii="宋体" w:hAnsi="宋体" w:eastAsia="宋体" w:cs="宋体"/>
          <w:b/>
          <w:color w:val="auto"/>
          <w:sz w:val="18"/>
          <w:szCs w:val="18"/>
          <w:highlight w:val="none"/>
        </w:rPr>
        <w:t xml:space="preserve">                                                                    </w:t>
      </w:r>
      <w:r>
        <w:rPr>
          <w:rFonts w:hint="eastAsia" w:ascii="宋体" w:hAnsi="宋体" w:eastAsia="宋体" w:cs="宋体"/>
          <w:color w:val="auto"/>
          <w:kern w:val="0"/>
          <w:sz w:val="24"/>
          <w:highlight w:val="none"/>
          <w:lang w:val="zh-CN"/>
        </w:rPr>
        <w:t>投标人名称</w:t>
      </w:r>
      <w:r>
        <w:rPr>
          <w:rFonts w:hint="eastAsia" w:ascii="宋体" w:hAnsi="宋体" w:cs="宋体"/>
          <w:color w:val="auto"/>
          <w:kern w:val="0"/>
          <w:sz w:val="24"/>
          <w:highlight w:val="none"/>
          <w:lang w:val="zh-CN"/>
        </w:rPr>
        <w:t>（</w:t>
      </w:r>
      <w:r>
        <w:rPr>
          <w:rFonts w:hint="eastAsia" w:ascii="宋体" w:hAnsi="宋体" w:eastAsia="宋体" w:cs="宋体"/>
          <w:color w:val="auto"/>
          <w:kern w:val="0"/>
          <w:sz w:val="24"/>
          <w:highlight w:val="none"/>
          <w:lang w:val="zh-CN"/>
        </w:rPr>
        <w:t>电子签章</w:t>
      </w:r>
      <w:r>
        <w:rPr>
          <w:rFonts w:hint="eastAsia" w:ascii="宋体" w:hAnsi="宋体" w:cs="宋体"/>
          <w:color w:val="auto"/>
          <w:kern w:val="0"/>
          <w:sz w:val="24"/>
          <w:highlight w:val="none"/>
          <w:lang w:val="zh-CN"/>
        </w:rPr>
        <w:t>）</w:t>
      </w:r>
      <w:r>
        <w:rPr>
          <w:rFonts w:hint="eastAsia" w:ascii="宋体" w:hAnsi="宋体" w:eastAsia="宋体" w:cs="宋体"/>
          <w:color w:val="auto"/>
          <w:kern w:val="0"/>
          <w:sz w:val="24"/>
          <w:highlight w:val="none"/>
          <w:lang w:val="zh-CN"/>
        </w:rPr>
        <w:t>：</w:t>
      </w:r>
    </w:p>
    <w:p w14:paraId="0F185F8C">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2EB361E8">
      <w:pPr>
        <w:spacing w:line="360" w:lineRule="auto"/>
        <w:ind w:left="5132" w:leftChars="1979" w:hanging="976" w:hangingChars="488"/>
        <w:rPr>
          <w:rFonts w:hint="eastAsia" w:ascii="宋体" w:hAnsi="宋体" w:eastAsia="宋体" w:cs="宋体"/>
          <w:color w:val="auto"/>
          <w:sz w:val="20"/>
          <w:szCs w:val="20"/>
          <w:highlight w:val="none"/>
        </w:rPr>
      </w:pPr>
    </w:p>
    <w:p w14:paraId="1A01460A">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w:t>
      </w:r>
      <w:r>
        <w:rPr>
          <w:rFonts w:hint="eastAsia" w:ascii="宋体" w:hAnsi="宋体" w:cs="宋体"/>
          <w:color w:val="auto"/>
          <w:sz w:val="21"/>
          <w:szCs w:val="21"/>
          <w:highlight w:val="none"/>
          <w:lang w:eastAsia="zh-CN"/>
        </w:rPr>
        <w:t>〔2014〕68号</w:t>
      </w:r>
      <w:r>
        <w:rPr>
          <w:rFonts w:hint="eastAsia" w:ascii="宋体" w:hAnsi="宋体" w:eastAsia="宋体" w:cs="宋体"/>
          <w:color w:val="auto"/>
          <w:sz w:val="21"/>
          <w:szCs w:val="21"/>
          <w:highlight w:val="none"/>
        </w:rPr>
        <w:t>）的规定，投标人提供由省级以上监狱管理局、戒毒管理局（含新疆生产建设兵团）出具的属于监狱企业证明文件的，视同为小型和微型企业。</w:t>
      </w:r>
    </w:p>
    <w:p w14:paraId="501CBDDB">
      <w:pPr>
        <w:spacing w:line="360" w:lineRule="auto"/>
        <w:ind w:right="420" w:firstLine="480" w:firstLineChars="200"/>
        <w:rPr>
          <w:rFonts w:hint="eastAsia" w:ascii="宋体" w:hAnsi="宋体" w:eastAsia="宋体" w:cs="宋体"/>
          <w:color w:val="auto"/>
          <w:sz w:val="24"/>
          <w:highlight w:val="none"/>
        </w:rPr>
      </w:pPr>
    </w:p>
    <w:p w14:paraId="0B8A9894">
      <w:pPr>
        <w:spacing w:line="360" w:lineRule="auto"/>
        <w:ind w:right="420" w:firstLine="480" w:firstLineChars="200"/>
        <w:rPr>
          <w:rFonts w:hint="eastAsia" w:ascii="宋体" w:hAnsi="宋体" w:eastAsia="宋体" w:cs="宋体"/>
          <w:color w:val="auto"/>
          <w:sz w:val="24"/>
          <w:highlight w:val="none"/>
        </w:rPr>
      </w:pPr>
    </w:p>
    <w:p w14:paraId="4F9D5CAA">
      <w:pPr>
        <w:spacing w:line="360" w:lineRule="auto"/>
        <w:ind w:right="420" w:firstLine="480" w:firstLineChars="200"/>
        <w:rPr>
          <w:rFonts w:hint="eastAsia" w:ascii="宋体" w:hAnsi="宋体" w:eastAsia="宋体" w:cs="宋体"/>
          <w:color w:val="auto"/>
          <w:sz w:val="24"/>
          <w:highlight w:val="none"/>
        </w:rPr>
      </w:pPr>
    </w:p>
    <w:p w14:paraId="3A6E0877">
      <w:pPr>
        <w:spacing w:line="360" w:lineRule="auto"/>
        <w:ind w:right="420" w:firstLine="480" w:firstLineChars="200"/>
        <w:rPr>
          <w:rFonts w:hint="eastAsia" w:ascii="宋体" w:hAnsi="宋体" w:eastAsia="宋体" w:cs="宋体"/>
          <w:color w:val="auto"/>
          <w:sz w:val="24"/>
          <w:highlight w:val="none"/>
        </w:rPr>
      </w:pPr>
    </w:p>
    <w:p w14:paraId="40D42A29">
      <w:pPr>
        <w:spacing w:line="360" w:lineRule="auto"/>
        <w:ind w:right="420" w:firstLine="480" w:firstLineChars="200"/>
        <w:rPr>
          <w:rFonts w:hint="eastAsia" w:ascii="宋体" w:hAnsi="宋体" w:eastAsia="宋体" w:cs="宋体"/>
          <w:color w:val="auto"/>
          <w:sz w:val="24"/>
          <w:highlight w:val="none"/>
        </w:rPr>
      </w:pPr>
    </w:p>
    <w:p w14:paraId="420A2A4F">
      <w:pPr>
        <w:spacing w:line="360" w:lineRule="auto"/>
        <w:ind w:right="420" w:firstLine="480" w:firstLineChars="200"/>
        <w:rPr>
          <w:rFonts w:hint="eastAsia" w:ascii="宋体" w:hAnsi="宋体" w:eastAsia="宋体" w:cs="宋体"/>
          <w:color w:val="auto"/>
          <w:sz w:val="24"/>
          <w:highlight w:val="none"/>
        </w:rPr>
      </w:pPr>
    </w:p>
    <w:p w14:paraId="5432CB2F">
      <w:pPr>
        <w:pStyle w:val="27"/>
        <w:rPr>
          <w:rFonts w:hint="eastAsia" w:ascii="宋体" w:hAnsi="宋体" w:eastAsia="宋体" w:cs="宋体"/>
          <w:color w:val="auto"/>
          <w:sz w:val="24"/>
          <w:highlight w:val="none"/>
        </w:rPr>
      </w:pPr>
    </w:p>
    <w:p w14:paraId="7BB64E0A">
      <w:pPr>
        <w:pStyle w:val="27"/>
        <w:rPr>
          <w:rFonts w:hint="eastAsia" w:ascii="宋体" w:hAnsi="宋体" w:eastAsia="宋体" w:cs="宋体"/>
          <w:color w:val="auto"/>
          <w:sz w:val="24"/>
          <w:highlight w:val="none"/>
        </w:rPr>
      </w:pPr>
    </w:p>
    <w:p w14:paraId="22941C16">
      <w:pPr>
        <w:pStyle w:val="27"/>
        <w:rPr>
          <w:rFonts w:hint="eastAsia" w:ascii="宋体" w:hAnsi="宋体" w:eastAsia="宋体" w:cs="宋体"/>
          <w:color w:val="auto"/>
          <w:sz w:val="24"/>
          <w:highlight w:val="none"/>
        </w:rPr>
      </w:pPr>
    </w:p>
    <w:p w14:paraId="6BCDD377">
      <w:pPr>
        <w:spacing w:line="360" w:lineRule="auto"/>
        <w:ind w:right="420" w:firstLine="480" w:firstLineChars="200"/>
        <w:rPr>
          <w:rFonts w:hint="eastAsia" w:ascii="宋体" w:hAnsi="宋体" w:eastAsia="宋体" w:cs="宋体"/>
          <w:color w:val="auto"/>
          <w:sz w:val="24"/>
          <w:highlight w:val="none"/>
        </w:rPr>
      </w:pPr>
    </w:p>
    <w:p w14:paraId="2278D7A9">
      <w:pPr>
        <w:spacing w:line="360" w:lineRule="auto"/>
        <w:ind w:right="420" w:firstLine="480" w:firstLineChars="200"/>
        <w:rPr>
          <w:rFonts w:hint="eastAsia" w:ascii="宋体" w:hAnsi="宋体" w:eastAsia="宋体" w:cs="宋体"/>
          <w:color w:val="auto"/>
          <w:sz w:val="24"/>
          <w:highlight w:val="none"/>
        </w:rPr>
      </w:pPr>
    </w:p>
    <w:p w14:paraId="3D5F8FD0">
      <w:pPr>
        <w:pStyle w:val="24"/>
        <w:rPr>
          <w:rFonts w:hint="eastAsia" w:ascii="宋体" w:hAnsi="宋体" w:eastAsia="宋体" w:cs="宋体"/>
          <w:color w:val="auto"/>
          <w:sz w:val="24"/>
          <w:highlight w:val="none"/>
        </w:rPr>
      </w:pPr>
    </w:p>
    <w:p w14:paraId="7D74B3E0">
      <w:pPr>
        <w:pStyle w:val="9"/>
        <w:rPr>
          <w:rFonts w:hint="eastAsia" w:ascii="宋体" w:hAnsi="宋体" w:eastAsia="宋体" w:cs="宋体"/>
          <w:color w:val="auto"/>
          <w:sz w:val="24"/>
          <w:highlight w:val="none"/>
        </w:rPr>
      </w:pPr>
    </w:p>
    <w:p w14:paraId="2703A005">
      <w:pPr>
        <w:pStyle w:val="9"/>
        <w:rPr>
          <w:rFonts w:hint="eastAsia" w:ascii="宋体" w:hAnsi="宋体" w:eastAsia="宋体" w:cs="宋体"/>
          <w:color w:val="auto"/>
          <w:sz w:val="24"/>
          <w:highlight w:val="none"/>
        </w:rPr>
      </w:pPr>
    </w:p>
    <w:p w14:paraId="64837A54">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监狱企业证明</w:t>
      </w:r>
    </w:p>
    <w:p w14:paraId="2713D06E">
      <w:pPr>
        <w:spacing w:line="520" w:lineRule="exact"/>
        <w:ind w:firstLine="480" w:firstLineChars="200"/>
        <w:jc w:val="left"/>
        <w:rPr>
          <w:rFonts w:hint="eastAsia" w:ascii="宋体" w:hAnsi="宋体" w:eastAsia="宋体" w:cs="宋体"/>
          <w:color w:val="auto"/>
          <w:sz w:val="24"/>
          <w:highlight w:val="none"/>
        </w:rPr>
      </w:pPr>
    </w:p>
    <w:p w14:paraId="18958448">
      <w:pPr>
        <w:spacing w:line="5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提供由省级以上监狱管理局、戒毒管理局（含新疆生产建设兵团）出具的属于监狱企业的证明文件。</w:t>
      </w:r>
    </w:p>
    <w:p w14:paraId="49CD2EAE">
      <w:pPr>
        <w:spacing w:line="520" w:lineRule="exact"/>
        <w:jc w:val="center"/>
        <w:rPr>
          <w:rFonts w:hint="eastAsia" w:ascii="宋体" w:hAnsi="宋体" w:eastAsia="宋体" w:cs="宋体"/>
          <w:color w:val="auto"/>
          <w:sz w:val="24"/>
          <w:highlight w:val="none"/>
        </w:rPr>
      </w:pPr>
    </w:p>
    <w:p w14:paraId="02DB171A">
      <w:pPr>
        <w:spacing w:line="360" w:lineRule="auto"/>
        <w:jc w:val="center"/>
        <w:rPr>
          <w:rFonts w:hint="eastAsia" w:ascii="宋体" w:hAnsi="宋体" w:eastAsia="宋体" w:cs="宋体"/>
          <w:b/>
          <w:bCs/>
          <w:color w:val="auto"/>
          <w:sz w:val="44"/>
          <w:szCs w:val="44"/>
          <w:highlight w:val="none"/>
        </w:rPr>
      </w:pPr>
    </w:p>
    <w:p w14:paraId="787062EE">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6A3FF45A">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3A6D9D2E">
      <w:pPr>
        <w:pStyle w:val="7"/>
        <w:overflowPunct w:val="0"/>
        <w:spacing w:line="520" w:lineRule="exact"/>
        <w:ind w:firstLine="0"/>
        <w:rPr>
          <w:rFonts w:hint="eastAsia" w:ascii="宋体" w:hAnsi="宋体" w:eastAsia="宋体" w:cs="宋体"/>
          <w:b/>
          <w:bCs/>
          <w:color w:val="auto"/>
          <w:kern w:val="2"/>
          <w:sz w:val="32"/>
          <w:szCs w:val="32"/>
          <w:highlight w:val="none"/>
          <w:lang w:val="en-US" w:eastAsia="zh-CN" w:bidi="ar-SA"/>
        </w:rPr>
      </w:pPr>
    </w:p>
    <w:p w14:paraId="2243DE25">
      <w:pPr>
        <w:pStyle w:val="7"/>
        <w:overflowPunct w:val="0"/>
        <w:spacing w:line="520" w:lineRule="exact"/>
        <w:ind w:firstLine="0"/>
        <w:rPr>
          <w:rFonts w:hint="eastAsia" w:ascii="宋体" w:hAnsi="宋体" w:eastAsia="宋体" w:cs="宋体"/>
          <w:b/>
          <w:bCs/>
          <w:color w:val="auto"/>
          <w:kern w:val="2"/>
          <w:sz w:val="32"/>
          <w:szCs w:val="32"/>
          <w:highlight w:val="none"/>
          <w:lang w:val="en-US" w:eastAsia="zh-CN" w:bidi="ar-SA"/>
        </w:rPr>
      </w:pPr>
    </w:p>
    <w:p w14:paraId="0CC1B33A">
      <w:pPr>
        <w:pStyle w:val="7"/>
        <w:overflowPunct w:val="0"/>
        <w:spacing w:line="520" w:lineRule="exact"/>
        <w:ind w:firstLine="0"/>
        <w:rPr>
          <w:rFonts w:hint="eastAsia" w:ascii="宋体" w:hAnsi="宋体" w:eastAsia="宋体" w:cs="宋体"/>
          <w:b/>
          <w:bCs/>
          <w:color w:val="auto"/>
          <w:kern w:val="2"/>
          <w:sz w:val="32"/>
          <w:szCs w:val="32"/>
          <w:highlight w:val="none"/>
          <w:lang w:val="en-US" w:eastAsia="zh-CN" w:bidi="ar-SA"/>
        </w:rPr>
      </w:pPr>
    </w:p>
    <w:p w14:paraId="7288047B">
      <w:pPr>
        <w:pStyle w:val="7"/>
        <w:overflowPunct w:val="0"/>
        <w:spacing w:line="520" w:lineRule="exact"/>
        <w:ind w:firstLine="0"/>
        <w:rPr>
          <w:rFonts w:hint="eastAsia" w:ascii="宋体" w:hAnsi="宋体" w:eastAsia="宋体" w:cs="宋体"/>
          <w:b/>
          <w:bCs/>
          <w:color w:val="auto"/>
          <w:kern w:val="2"/>
          <w:sz w:val="32"/>
          <w:szCs w:val="32"/>
          <w:highlight w:val="none"/>
          <w:lang w:val="en-US" w:eastAsia="zh-CN" w:bidi="ar-SA"/>
        </w:rPr>
      </w:pPr>
    </w:p>
    <w:p w14:paraId="6B646B36">
      <w:pPr>
        <w:pStyle w:val="7"/>
        <w:overflowPunct w:val="0"/>
        <w:spacing w:line="520" w:lineRule="exact"/>
        <w:ind w:firstLine="0"/>
        <w:rPr>
          <w:rFonts w:hint="eastAsia" w:ascii="宋体" w:hAnsi="宋体" w:eastAsia="宋体" w:cs="宋体"/>
          <w:b/>
          <w:bCs/>
          <w:color w:val="auto"/>
          <w:kern w:val="2"/>
          <w:sz w:val="32"/>
          <w:szCs w:val="32"/>
          <w:highlight w:val="none"/>
          <w:lang w:val="en-US" w:eastAsia="zh-CN" w:bidi="ar-SA"/>
        </w:rPr>
      </w:pPr>
    </w:p>
    <w:p w14:paraId="551312EA">
      <w:pPr>
        <w:pStyle w:val="7"/>
        <w:overflowPunct w:val="0"/>
        <w:spacing w:line="520" w:lineRule="exact"/>
        <w:ind w:firstLine="0"/>
        <w:rPr>
          <w:rFonts w:hint="eastAsia" w:ascii="宋体" w:hAnsi="宋体" w:eastAsia="宋体" w:cs="宋体"/>
          <w:b/>
          <w:bCs/>
          <w:color w:val="auto"/>
          <w:kern w:val="2"/>
          <w:sz w:val="32"/>
          <w:szCs w:val="32"/>
          <w:highlight w:val="none"/>
          <w:lang w:val="en-US" w:eastAsia="zh-CN" w:bidi="ar-SA"/>
        </w:rPr>
      </w:pPr>
    </w:p>
    <w:p w14:paraId="0D184BE1">
      <w:pPr>
        <w:pStyle w:val="7"/>
        <w:overflowPunct w:val="0"/>
        <w:spacing w:line="520" w:lineRule="exact"/>
        <w:ind w:firstLine="0"/>
        <w:rPr>
          <w:rFonts w:hint="eastAsia" w:ascii="宋体" w:hAnsi="宋体" w:eastAsia="宋体" w:cs="宋体"/>
          <w:b/>
          <w:bCs/>
          <w:color w:val="auto"/>
          <w:kern w:val="2"/>
          <w:sz w:val="32"/>
          <w:szCs w:val="32"/>
          <w:highlight w:val="none"/>
          <w:lang w:val="en-US" w:eastAsia="zh-CN" w:bidi="ar-SA"/>
        </w:rPr>
      </w:pPr>
    </w:p>
    <w:p w14:paraId="4D4F1BE2">
      <w:pPr>
        <w:pStyle w:val="7"/>
        <w:overflowPunct w:val="0"/>
        <w:spacing w:line="520" w:lineRule="exact"/>
        <w:ind w:firstLine="0"/>
        <w:rPr>
          <w:rFonts w:hint="eastAsia" w:ascii="宋体" w:hAnsi="宋体" w:eastAsia="宋体" w:cs="宋体"/>
          <w:b/>
          <w:bCs/>
          <w:color w:val="auto"/>
          <w:kern w:val="2"/>
          <w:sz w:val="32"/>
          <w:szCs w:val="32"/>
          <w:highlight w:val="none"/>
          <w:lang w:val="en-US" w:eastAsia="zh-CN" w:bidi="ar-SA"/>
        </w:rPr>
      </w:pPr>
    </w:p>
    <w:p w14:paraId="3E881DF8">
      <w:pPr>
        <w:pStyle w:val="7"/>
        <w:overflowPunct w:val="0"/>
        <w:spacing w:line="520" w:lineRule="exact"/>
        <w:ind w:firstLine="0"/>
        <w:rPr>
          <w:rFonts w:hint="eastAsia" w:ascii="宋体" w:hAnsi="宋体" w:eastAsia="宋体" w:cs="宋体"/>
          <w:b/>
          <w:color w:val="auto"/>
          <w:kern w:val="0"/>
          <w:sz w:val="32"/>
          <w:szCs w:val="32"/>
          <w:highlight w:val="none"/>
        </w:rPr>
      </w:pPr>
      <w:r>
        <w:rPr>
          <w:rFonts w:hint="eastAsia" w:ascii="宋体" w:hAnsi="宋体" w:eastAsia="宋体" w:cs="宋体"/>
          <w:b/>
          <w:bCs/>
          <w:color w:val="auto"/>
          <w:kern w:val="2"/>
          <w:sz w:val="32"/>
          <w:szCs w:val="32"/>
          <w:highlight w:val="none"/>
          <w:lang w:val="en-US" w:eastAsia="zh-CN" w:bidi="ar-SA"/>
        </w:rPr>
        <w:t>七</w:t>
      </w:r>
      <w:r>
        <w:rPr>
          <w:rFonts w:hint="eastAsia" w:ascii="宋体" w:hAnsi="宋体" w:eastAsia="宋体" w:cs="宋体"/>
          <w:b/>
          <w:bCs/>
          <w:color w:val="auto"/>
          <w:kern w:val="2"/>
          <w:sz w:val="32"/>
          <w:szCs w:val="32"/>
          <w:highlight w:val="none"/>
          <w:lang w:val="zh-CN" w:eastAsia="zh-CN" w:bidi="ar-SA"/>
        </w:rPr>
        <w:t>、除磋商文件规定必须提供以外，供应商认为需要提供的其他证明材料</w:t>
      </w:r>
      <w:r>
        <w:rPr>
          <w:rFonts w:hint="eastAsia" w:ascii="宋体" w:hAnsi="宋体" w:eastAsia="宋体" w:cs="宋体"/>
          <w:b/>
          <w:color w:val="auto"/>
          <w:kern w:val="0"/>
          <w:sz w:val="32"/>
          <w:szCs w:val="32"/>
          <w:highlight w:val="none"/>
        </w:rPr>
        <w:t>。</w:t>
      </w:r>
    </w:p>
    <w:p w14:paraId="6E90E33E">
      <w:pPr>
        <w:snapToGrid w:val="0"/>
        <w:spacing w:line="360" w:lineRule="auto"/>
        <w:ind w:firstLine="643" w:firstLineChars="200"/>
        <w:rPr>
          <w:rFonts w:hint="eastAsia" w:ascii="宋体" w:hAnsi="宋体" w:eastAsia="宋体" w:cs="宋体"/>
          <w:b/>
          <w:color w:val="auto"/>
          <w:sz w:val="32"/>
          <w:szCs w:val="32"/>
          <w:highlight w:val="none"/>
        </w:rPr>
      </w:pPr>
    </w:p>
    <w:p w14:paraId="4A5CEA4E">
      <w:pPr>
        <w:pStyle w:val="3"/>
        <w:jc w:val="center"/>
        <w:rPr>
          <w:rFonts w:hint="eastAsia" w:ascii="宋体" w:hAnsi="宋体" w:eastAsia="宋体" w:cs="宋体"/>
          <w:b w:val="0"/>
          <w:bCs w:val="0"/>
          <w:color w:val="auto"/>
          <w:highlight w:val="none"/>
        </w:rPr>
        <w:sectPr>
          <w:pgSz w:w="11911" w:h="16838"/>
          <w:pgMar w:top="1417" w:right="1417" w:bottom="1134" w:left="1417" w:header="720" w:footer="720" w:gutter="0"/>
          <w:pgBorders>
            <w:top w:val="none" w:sz="0" w:space="0"/>
            <w:left w:val="none" w:sz="0" w:space="0"/>
            <w:bottom w:val="none" w:sz="0" w:space="0"/>
            <w:right w:val="none" w:sz="0" w:space="0"/>
          </w:pgBorders>
          <w:pgNumType w:fmt="numberInDash"/>
          <w:cols w:space="0" w:num="1"/>
          <w:rtlGutter w:val="0"/>
          <w:docGrid w:linePitch="0" w:charSpace="0"/>
        </w:sectPr>
      </w:pPr>
      <w:bookmarkStart w:id="121" w:name="_Toc80205940"/>
    </w:p>
    <w:p w14:paraId="24F5A892">
      <w:pPr>
        <w:pStyle w:val="3"/>
        <w:jc w:val="center"/>
        <w:rPr>
          <w:rFonts w:hint="eastAsia" w:ascii="宋体" w:hAnsi="宋体" w:eastAsia="宋体" w:cs="宋体"/>
          <w:b/>
          <w:bCs/>
          <w:color w:val="auto"/>
          <w:highlight w:val="none"/>
        </w:rPr>
      </w:pPr>
      <w:bookmarkStart w:id="122" w:name="_Toc2025"/>
      <w:bookmarkStart w:id="123" w:name="_Toc125"/>
    </w:p>
    <w:p w14:paraId="2CAA50A2">
      <w:pPr>
        <w:pStyle w:val="3"/>
        <w:jc w:val="left"/>
        <w:rPr>
          <w:rFonts w:hint="eastAsia" w:ascii="宋体" w:hAnsi="宋体" w:eastAsia="宋体" w:cs="宋体"/>
          <w:b/>
          <w:bCs/>
          <w:color w:val="auto"/>
          <w:highlight w:val="none"/>
        </w:rPr>
      </w:pPr>
      <w:bookmarkStart w:id="124" w:name="_Toc8264"/>
      <w:bookmarkStart w:id="125" w:name="_Toc9681"/>
      <w:r>
        <w:rPr>
          <w:rFonts w:hint="eastAsia" w:ascii="宋体" w:hAnsi="宋体" w:cs="宋体"/>
          <w:b/>
          <w:bCs/>
          <w:color w:val="auto"/>
          <w:highlight w:val="none"/>
          <w:lang w:val="en-US" w:eastAsia="zh-CN"/>
        </w:rPr>
        <w:t>二、</w:t>
      </w:r>
      <w:r>
        <w:rPr>
          <w:rFonts w:hint="eastAsia" w:ascii="宋体" w:hAnsi="宋体" w:eastAsia="宋体" w:cs="宋体"/>
          <w:b/>
          <w:bCs/>
          <w:color w:val="auto"/>
          <w:highlight w:val="none"/>
        </w:rPr>
        <w:t>商务技术文件格式</w:t>
      </w:r>
      <w:bookmarkEnd w:id="121"/>
      <w:bookmarkEnd w:id="122"/>
      <w:bookmarkEnd w:id="123"/>
      <w:bookmarkEnd w:id="124"/>
      <w:bookmarkEnd w:id="125"/>
    </w:p>
    <w:p w14:paraId="577A2123">
      <w:pPr>
        <w:snapToGrid w:val="0"/>
        <w:spacing w:before="120"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46DF79CB">
      <w:pPr>
        <w:snapToGrid w:val="0"/>
        <w:spacing w:before="120" w:beforeLines="50" w:after="50"/>
        <w:rPr>
          <w:rFonts w:hint="eastAsia" w:ascii="宋体" w:hAnsi="宋体" w:eastAsia="宋体" w:cs="宋体"/>
          <w:color w:val="auto"/>
          <w:sz w:val="24"/>
          <w:szCs w:val="20"/>
          <w:highlight w:val="none"/>
        </w:rPr>
      </w:pPr>
    </w:p>
    <w:p w14:paraId="4BF912C8">
      <w:pPr>
        <w:snapToGrid w:val="0"/>
        <w:spacing w:before="120" w:beforeLines="5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lang w:val="en-US" w:eastAsia="zh-CN"/>
        </w:rPr>
        <w:t xml:space="preserve">电 子 </w:t>
      </w:r>
      <w:r>
        <w:rPr>
          <w:rFonts w:hint="eastAsia" w:ascii="宋体" w:hAnsi="宋体" w:eastAsia="宋体" w:cs="宋体"/>
          <w:bCs/>
          <w:color w:val="auto"/>
          <w:sz w:val="44"/>
          <w:szCs w:val="44"/>
          <w:highlight w:val="none"/>
        </w:rPr>
        <w:t>响  应  文  件</w:t>
      </w:r>
    </w:p>
    <w:p w14:paraId="6A146E01">
      <w:pPr>
        <w:snapToGrid w:val="0"/>
        <w:spacing w:before="120" w:beforeLines="50" w:after="50"/>
        <w:rPr>
          <w:rFonts w:hint="eastAsia" w:ascii="宋体" w:hAnsi="宋体" w:eastAsia="宋体" w:cs="宋体"/>
          <w:color w:val="auto"/>
          <w:sz w:val="24"/>
          <w:szCs w:val="20"/>
          <w:highlight w:val="none"/>
        </w:rPr>
      </w:pPr>
    </w:p>
    <w:p w14:paraId="1E7F5A08">
      <w:pPr>
        <w:snapToGrid w:val="0"/>
        <w:spacing w:before="120" w:beforeLines="50" w:after="50"/>
        <w:rPr>
          <w:rFonts w:hint="eastAsia" w:ascii="宋体" w:hAnsi="宋体" w:eastAsia="宋体" w:cs="宋体"/>
          <w:color w:val="auto"/>
          <w:sz w:val="24"/>
          <w:szCs w:val="20"/>
          <w:highlight w:val="none"/>
        </w:rPr>
      </w:pPr>
    </w:p>
    <w:p w14:paraId="53C8AD34">
      <w:pPr>
        <w:snapToGrid w:val="0"/>
        <w:spacing w:before="120" w:beforeLines="50" w:after="50"/>
        <w:jc w:val="center"/>
        <w:rPr>
          <w:rFonts w:hint="eastAsia" w:ascii="宋体" w:hAnsi="宋体" w:eastAsia="宋体" w:cs="宋体"/>
          <w:b/>
          <w:bCs w:val="0"/>
          <w:color w:val="auto"/>
          <w:sz w:val="44"/>
          <w:szCs w:val="44"/>
          <w:highlight w:val="none"/>
        </w:rPr>
      </w:pPr>
      <w:r>
        <w:rPr>
          <w:rFonts w:hint="eastAsia" w:ascii="宋体" w:hAnsi="宋体" w:eastAsia="宋体" w:cs="宋体"/>
          <w:b/>
          <w:bCs w:val="0"/>
          <w:color w:val="auto"/>
          <w:sz w:val="44"/>
          <w:szCs w:val="44"/>
          <w:highlight w:val="none"/>
        </w:rPr>
        <w:t>商  务  技  术  文  件</w:t>
      </w:r>
    </w:p>
    <w:p w14:paraId="4E06CF5F">
      <w:pPr>
        <w:snapToGrid w:val="0"/>
        <w:spacing w:before="120" w:beforeLines="50" w:after="50"/>
        <w:rPr>
          <w:rFonts w:hint="eastAsia" w:ascii="宋体" w:hAnsi="宋体" w:eastAsia="宋体" w:cs="宋体"/>
          <w:bCs/>
          <w:color w:val="auto"/>
          <w:sz w:val="24"/>
          <w:szCs w:val="20"/>
          <w:highlight w:val="none"/>
        </w:rPr>
      </w:pPr>
    </w:p>
    <w:p w14:paraId="1568192A">
      <w:pPr>
        <w:snapToGrid w:val="0"/>
        <w:spacing w:before="120" w:beforeLines="50" w:after="50"/>
        <w:rPr>
          <w:rFonts w:hint="eastAsia" w:ascii="宋体" w:hAnsi="宋体" w:eastAsia="宋体" w:cs="宋体"/>
          <w:bCs/>
          <w:color w:val="auto"/>
          <w:sz w:val="24"/>
          <w:szCs w:val="20"/>
          <w:highlight w:val="none"/>
        </w:rPr>
      </w:pPr>
    </w:p>
    <w:p w14:paraId="2613CDC6">
      <w:pPr>
        <w:snapToGrid w:val="0"/>
        <w:spacing w:before="120" w:beforeLines="50" w:after="50"/>
        <w:rPr>
          <w:rFonts w:hint="eastAsia" w:ascii="宋体" w:hAnsi="宋体" w:eastAsia="宋体" w:cs="宋体"/>
          <w:bCs/>
          <w:color w:val="auto"/>
          <w:sz w:val="24"/>
          <w:szCs w:val="20"/>
          <w:highlight w:val="none"/>
        </w:rPr>
      </w:pPr>
    </w:p>
    <w:p w14:paraId="5E731F75">
      <w:pPr>
        <w:snapToGrid w:val="0"/>
        <w:spacing w:before="120" w:beforeLines="50" w:after="50"/>
        <w:rPr>
          <w:rFonts w:hint="eastAsia" w:ascii="宋体" w:hAnsi="宋体" w:eastAsia="宋体" w:cs="宋体"/>
          <w:bCs/>
          <w:color w:val="auto"/>
          <w:sz w:val="24"/>
          <w:szCs w:val="20"/>
          <w:highlight w:val="none"/>
        </w:rPr>
      </w:pPr>
    </w:p>
    <w:p w14:paraId="0AFD8876">
      <w:pPr>
        <w:snapToGrid w:val="0"/>
        <w:spacing w:before="120" w:beforeLines="50" w:after="50"/>
        <w:rPr>
          <w:rFonts w:hint="eastAsia" w:ascii="宋体" w:hAnsi="宋体" w:eastAsia="宋体" w:cs="宋体"/>
          <w:bCs/>
          <w:color w:val="auto"/>
          <w:sz w:val="24"/>
          <w:szCs w:val="20"/>
          <w:highlight w:val="none"/>
        </w:rPr>
      </w:pPr>
    </w:p>
    <w:p w14:paraId="709ECB12">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48E166DB">
      <w:pPr>
        <w:snapToGrid w:val="0"/>
        <w:spacing w:before="120" w:beforeLines="50" w:after="50"/>
        <w:ind w:firstLine="720" w:firstLineChars="225"/>
        <w:rPr>
          <w:rFonts w:hint="eastAsia" w:ascii="宋体" w:hAnsi="宋体" w:eastAsia="宋体" w:cs="宋体"/>
          <w:bCs/>
          <w:color w:val="auto"/>
          <w:sz w:val="32"/>
          <w:szCs w:val="32"/>
          <w:highlight w:val="none"/>
        </w:rPr>
      </w:pPr>
    </w:p>
    <w:p w14:paraId="047DE762">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3BE5EAE1">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46C99F56">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61AABB98">
      <w:pPr>
        <w:snapToGrid w:val="0"/>
        <w:spacing w:before="120" w:beforeLines="50" w:after="50"/>
        <w:ind w:firstLine="720" w:firstLineChars="225"/>
        <w:rPr>
          <w:rFonts w:hint="eastAsia" w:ascii="宋体" w:hAnsi="宋体" w:eastAsia="宋体" w:cs="宋体"/>
          <w:bCs/>
          <w:color w:val="auto"/>
          <w:sz w:val="32"/>
          <w:szCs w:val="32"/>
          <w:highlight w:val="none"/>
        </w:rPr>
      </w:pPr>
    </w:p>
    <w:p w14:paraId="0F04674A">
      <w:pPr>
        <w:pStyle w:val="7"/>
        <w:snapToGrid w:val="0"/>
        <w:spacing w:before="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ED038C6">
      <w:pPr>
        <w:pStyle w:val="7"/>
        <w:snapToGrid w:val="0"/>
        <w:spacing w:before="50" w:after="50"/>
        <w:ind w:firstLine="720" w:firstLineChars="225"/>
        <w:rPr>
          <w:rFonts w:hint="eastAsia" w:ascii="宋体" w:hAnsi="宋体" w:eastAsia="宋体" w:cs="宋体"/>
          <w:bCs/>
          <w:color w:val="auto"/>
          <w:sz w:val="32"/>
          <w:szCs w:val="32"/>
          <w:highlight w:val="none"/>
        </w:rPr>
      </w:pPr>
    </w:p>
    <w:p w14:paraId="791051D9">
      <w:pPr>
        <w:pStyle w:val="7"/>
        <w:snapToGrid w:val="0"/>
        <w:spacing w:before="50" w:after="50"/>
        <w:ind w:firstLine="720" w:firstLineChars="225"/>
        <w:rPr>
          <w:rFonts w:hint="eastAsia" w:ascii="宋体" w:hAnsi="宋体" w:eastAsia="宋体" w:cs="宋体"/>
          <w:bCs/>
          <w:color w:val="auto"/>
          <w:sz w:val="32"/>
          <w:szCs w:val="32"/>
          <w:highlight w:val="none"/>
        </w:rPr>
      </w:pPr>
    </w:p>
    <w:p w14:paraId="39007A1E">
      <w:pPr>
        <w:pStyle w:val="7"/>
        <w:snapToGrid w:val="0"/>
        <w:spacing w:before="50" w:after="50"/>
        <w:ind w:firstLine="1280" w:firstLineChars="400"/>
        <w:rPr>
          <w:rFonts w:hint="eastAsia" w:ascii="宋体" w:hAnsi="宋体" w:eastAsia="宋体" w:cs="宋体"/>
          <w:bCs/>
          <w:color w:val="auto"/>
          <w:sz w:val="32"/>
          <w:szCs w:val="32"/>
          <w:highlight w:val="none"/>
        </w:rPr>
      </w:pPr>
    </w:p>
    <w:p w14:paraId="43AF3BBA">
      <w:pPr>
        <w:snapToGrid w:val="0"/>
        <w:spacing w:before="120" w:beforeLines="5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CE07338">
      <w:pPr>
        <w:jc w:val="center"/>
        <w:rPr>
          <w:rFonts w:hint="eastAsia" w:ascii="宋体" w:hAnsi="宋体" w:eastAsia="宋体" w:cs="宋体"/>
          <w:b/>
          <w:color w:val="auto"/>
          <w:kern w:val="0"/>
          <w:sz w:val="28"/>
          <w:szCs w:val="28"/>
          <w:highlight w:val="none"/>
        </w:rPr>
      </w:pPr>
      <w:r>
        <w:rPr>
          <w:rFonts w:hint="eastAsia" w:ascii="宋体" w:hAnsi="宋体" w:eastAsia="宋体" w:cs="宋体"/>
          <w:color w:val="auto"/>
          <w:sz w:val="24"/>
          <w:highlight w:val="none"/>
        </w:rPr>
        <w:br w:type="page"/>
      </w:r>
      <w:r>
        <w:rPr>
          <w:rFonts w:hint="eastAsia" w:ascii="宋体" w:hAnsi="宋体" w:eastAsia="宋体" w:cs="宋体"/>
          <w:b/>
          <w:color w:val="auto"/>
          <w:kern w:val="0"/>
          <w:sz w:val="28"/>
          <w:szCs w:val="28"/>
          <w:highlight w:val="none"/>
        </w:rPr>
        <w:t>商务技术文件目录</w:t>
      </w:r>
    </w:p>
    <w:p w14:paraId="14798909">
      <w:pPr>
        <w:pStyle w:val="3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一、无串标行为承诺函………………………………………………………（页码）</w:t>
      </w:r>
    </w:p>
    <w:p w14:paraId="6B2BF520">
      <w:pPr>
        <w:pStyle w:val="3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highlight w:val="none"/>
        </w:rPr>
        <w:t>（页码）</w:t>
      </w:r>
    </w:p>
    <w:p w14:paraId="5C92927C">
      <w:pPr>
        <w:pStyle w:val="3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三、法定代表人授权委托书（如有委托时）………………………………（页码）</w:t>
      </w:r>
    </w:p>
    <w:p w14:paraId="2E4902D6">
      <w:pPr>
        <w:pStyle w:val="3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28F89AFE">
      <w:pPr>
        <w:pStyle w:val="30"/>
        <w:spacing w:line="360" w:lineRule="auto"/>
        <w:rPr>
          <w:rFonts w:hint="eastAsia" w:ascii="宋体" w:hAnsi="宋体" w:eastAsia="宋体" w:cs="宋体"/>
          <w:color w:val="auto"/>
          <w:highlight w:val="none"/>
        </w:rPr>
      </w:pPr>
      <w:bookmarkStart w:id="126" w:name="OLE_LINK6"/>
      <w:bookmarkStart w:id="127" w:name="OLE_LINK7"/>
      <w:bookmarkStart w:id="128" w:name="OLE_LINK5"/>
      <w:r>
        <w:rPr>
          <w:rFonts w:hint="eastAsia" w:ascii="宋体" w:hAnsi="宋体" w:eastAsia="宋体" w:cs="宋体"/>
          <w:color w:val="auto"/>
          <w:highlight w:val="none"/>
        </w:rPr>
        <w:t>五、</w:t>
      </w:r>
      <w:r>
        <w:rPr>
          <w:rFonts w:hint="eastAsia" w:ascii="宋体" w:hAnsi="宋体" w:eastAsia="宋体" w:cs="宋体"/>
          <w:color w:val="auto"/>
          <w:szCs w:val="21"/>
          <w:highlight w:val="none"/>
        </w:rPr>
        <w:t>施工组织设计…………………</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w:t>
      </w:r>
      <w:r>
        <w:rPr>
          <w:rFonts w:hint="eastAsia" w:ascii="宋体" w:hAnsi="宋体" w:eastAsia="宋体" w:cs="宋体"/>
          <w:color w:val="auto"/>
          <w:highlight w:val="none"/>
        </w:rPr>
        <w:t>…</w:t>
      </w:r>
      <w:r>
        <w:rPr>
          <w:rFonts w:hint="eastAsia" w:ascii="宋体" w:hAnsi="宋体" w:eastAsia="宋体" w:cs="宋体"/>
          <w:color w:val="auto"/>
          <w:szCs w:val="21"/>
          <w:highlight w:val="none"/>
        </w:rPr>
        <w:t>……（页码）</w:t>
      </w:r>
    </w:p>
    <w:bookmarkEnd w:id="126"/>
    <w:bookmarkEnd w:id="127"/>
    <w:bookmarkEnd w:id="128"/>
    <w:p w14:paraId="73E484C8">
      <w:pPr>
        <w:pStyle w:val="30"/>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六、</w:t>
      </w:r>
      <w:r>
        <w:rPr>
          <w:rFonts w:hint="eastAsia" w:ascii="宋体" w:hAnsi="宋体" w:eastAsia="宋体" w:cs="宋体"/>
          <w:color w:val="auto"/>
          <w:szCs w:val="21"/>
          <w:highlight w:val="none"/>
        </w:rPr>
        <w:t>项目管理机构配备情况表………</w:t>
      </w:r>
      <w:r>
        <w:rPr>
          <w:rFonts w:hint="eastAsia" w:ascii="宋体" w:hAnsi="宋体" w:eastAsia="宋体" w:cs="宋体"/>
          <w:color w:val="auto"/>
          <w:highlight w:val="none"/>
        </w:rPr>
        <w:t>………………………</w:t>
      </w:r>
      <w:r>
        <w:rPr>
          <w:rFonts w:hint="eastAsia" w:ascii="宋体" w:hAnsi="宋体" w:eastAsia="宋体" w:cs="宋体"/>
          <w:color w:val="auto"/>
          <w:szCs w:val="21"/>
          <w:highlight w:val="none"/>
        </w:rPr>
        <w:t>………………（页码）</w:t>
      </w:r>
    </w:p>
    <w:p w14:paraId="0EBAF94D">
      <w:pPr>
        <w:pStyle w:val="3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七</w:t>
      </w:r>
      <w:r>
        <w:rPr>
          <w:rFonts w:hint="eastAsia" w:ascii="宋体" w:hAnsi="宋体" w:eastAsia="宋体" w:cs="宋体"/>
          <w:color w:val="auto"/>
          <w:szCs w:val="21"/>
          <w:highlight w:val="none"/>
        </w:rPr>
        <w:t>、采购需求、商务技术条款要求提供的其他材料………………………（页码）</w:t>
      </w:r>
    </w:p>
    <w:p w14:paraId="3D37D61F">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27C11627">
      <w:pPr>
        <w:snapToGrid w:val="0"/>
        <w:spacing w:before="120" w:beforeLines="50" w:after="50" w:line="360" w:lineRule="auto"/>
        <w:ind w:left="142" w:firstLine="640" w:firstLineChars="200"/>
        <w:jc w:val="left"/>
        <w:rPr>
          <w:rFonts w:hint="eastAsia" w:ascii="宋体" w:hAnsi="宋体" w:eastAsia="宋体" w:cs="宋体"/>
          <w:color w:val="auto"/>
          <w:sz w:val="32"/>
          <w:szCs w:val="32"/>
          <w:highlight w:val="none"/>
        </w:rPr>
      </w:pPr>
    </w:p>
    <w:p w14:paraId="3D2D2A6F">
      <w:pPr>
        <w:spacing w:line="520" w:lineRule="exact"/>
        <w:jc w:val="left"/>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2"/>
          <w:szCs w:val="32"/>
          <w:highlight w:val="none"/>
        </w:rPr>
        <w:t>一、无串标行为承诺函</w:t>
      </w:r>
    </w:p>
    <w:p w14:paraId="228E3F7F">
      <w:pPr>
        <w:spacing w:line="520" w:lineRule="exact"/>
        <w:jc w:val="center"/>
        <w:rPr>
          <w:rFonts w:hint="eastAsia" w:ascii="宋体" w:hAnsi="宋体" w:eastAsia="宋体" w:cs="宋体"/>
          <w:color w:val="auto"/>
          <w:sz w:val="44"/>
          <w:szCs w:val="44"/>
          <w:highlight w:val="none"/>
        </w:rPr>
      </w:pPr>
    </w:p>
    <w:p w14:paraId="33B7BDA5">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无串通竞标行为的承诺函</w:t>
      </w:r>
    </w:p>
    <w:p w14:paraId="59ACE5DD">
      <w:pPr>
        <w:spacing w:line="360" w:lineRule="auto"/>
        <w:contextualSpacing/>
        <w:rPr>
          <w:rFonts w:hint="eastAsia" w:ascii="宋体" w:hAnsi="宋体" w:eastAsia="宋体" w:cs="宋体"/>
          <w:color w:val="auto"/>
          <w:sz w:val="32"/>
          <w:szCs w:val="32"/>
          <w:highlight w:val="none"/>
        </w:rPr>
      </w:pPr>
    </w:p>
    <w:p w14:paraId="1DE02B5F">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0DE129B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1.不同供应商的响应文件由同一单位或者个人编制；</w:t>
      </w:r>
    </w:p>
    <w:p w14:paraId="37ECEC8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72C3FA5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3.不同的供应商的响应文件载明的项目管理员为同一个人；</w:t>
      </w:r>
    </w:p>
    <w:p w14:paraId="2B24F09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w:t>
      </w:r>
      <w:r>
        <w:rPr>
          <w:rFonts w:hint="eastAsia" w:ascii="宋体" w:hAnsi="宋体" w:eastAsia="宋体" w:cs="宋体"/>
          <w:color w:val="auto"/>
          <w:spacing w:val="-6"/>
          <w:sz w:val="24"/>
          <w:highlight w:val="none"/>
        </w:rPr>
        <w:t>同供应商的响应文件异常一致或者竞标报价呈规律性差异；</w:t>
      </w:r>
    </w:p>
    <w:p w14:paraId="297ED85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7923FB5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6.不同供应商的竞标保证金从同一单位或者个人账户转出。</w:t>
      </w:r>
    </w:p>
    <w:p w14:paraId="439A947F">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2513D82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17D6EEF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39704AC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75D63BE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76BFAEB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5.供应商之间事先约定一致抬高或者压低竞标报价</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或者在竞争性</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项目中事先约定轮流以高价位或者低价位成交</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或者事先约定由某一特定供应商成交</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然后再参加竞标；</w:t>
      </w:r>
    </w:p>
    <w:p w14:paraId="63CF29B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7065E82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11B8BE35">
      <w:pPr>
        <w:spacing w:line="360" w:lineRule="auto"/>
        <w:ind w:firstLine="480" w:firstLineChars="200"/>
        <w:contextualSpacing/>
        <w:rPr>
          <w:rFonts w:hint="eastAsia" w:ascii="宋体" w:hAnsi="宋体" w:eastAsia="宋体" w:cs="宋体"/>
          <w:color w:val="auto"/>
          <w:sz w:val="24"/>
          <w:highlight w:val="none"/>
        </w:rPr>
      </w:pPr>
    </w:p>
    <w:p w14:paraId="598C897D">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5D6B8E61">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D977395">
      <w:pPr>
        <w:spacing w:line="520" w:lineRule="exact"/>
        <w:ind w:firstLine="6360" w:firstLineChars="2650"/>
        <w:jc w:val="left"/>
        <w:rPr>
          <w:rFonts w:hint="eastAsia" w:ascii="宋体" w:hAnsi="宋体" w:eastAsia="宋体" w:cs="宋体"/>
          <w:bCs/>
          <w:color w:val="auto"/>
          <w:sz w:val="44"/>
          <w:szCs w:val="44"/>
          <w:highlight w:val="none"/>
        </w:rPr>
      </w:pPr>
      <w:r>
        <w:rPr>
          <w:rFonts w:hint="eastAsia" w:ascii="宋体" w:hAnsi="宋体" w:eastAsia="宋体" w:cs="宋体"/>
          <w:color w:val="auto"/>
          <w:kern w:val="0"/>
          <w:sz w:val="24"/>
          <w:highlight w:val="none"/>
          <w:lang w:val="zh-CN"/>
        </w:rPr>
        <w:t xml:space="preserve">日期：  年  月   日        </w:t>
      </w:r>
      <w:r>
        <w:rPr>
          <w:rFonts w:hint="eastAsia" w:ascii="宋体" w:hAnsi="宋体" w:eastAsia="宋体" w:cs="宋体"/>
          <w:b/>
          <w:bCs/>
          <w:color w:val="auto"/>
          <w:sz w:val="32"/>
          <w:szCs w:val="32"/>
          <w:highlight w:val="none"/>
        </w:rPr>
        <w:br w:type="page"/>
      </w:r>
      <w:r>
        <w:rPr>
          <w:rFonts w:hint="eastAsia" w:ascii="宋体" w:hAnsi="宋体" w:eastAsia="宋体" w:cs="宋体"/>
          <w:b/>
          <w:color w:val="auto"/>
          <w:sz w:val="32"/>
          <w:szCs w:val="32"/>
          <w:highlight w:val="none"/>
        </w:rPr>
        <w:t>二、法定代表人身份证明及法定代表人有效身份证正反面复印件</w:t>
      </w:r>
    </w:p>
    <w:p w14:paraId="0FEFB348">
      <w:pPr>
        <w:keepNext w:val="0"/>
        <w:keepLines w:val="0"/>
        <w:pageBreakBefore w:val="0"/>
        <w:widowControl w:val="0"/>
        <w:kinsoku/>
        <w:wordWrap/>
        <w:overflowPunct/>
        <w:topLinePunct w:val="0"/>
        <w:autoSpaceDE/>
        <w:autoSpaceDN/>
        <w:bidi w:val="0"/>
        <w:adjustRightInd/>
        <w:snapToGrid/>
        <w:spacing w:before="0" w:beforeLines="100" w:line="520" w:lineRule="exact"/>
        <w:jc w:val="center"/>
        <w:textAlignment w:val="auto"/>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法定代表人证明书</w:t>
      </w:r>
    </w:p>
    <w:p w14:paraId="29EBA511">
      <w:pPr>
        <w:spacing w:line="360" w:lineRule="auto"/>
        <w:ind w:left="540"/>
        <w:contextualSpacing/>
        <w:rPr>
          <w:rFonts w:hint="eastAsia" w:ascii="宋体" w:hAnsi="宋体" w:eastAsia="宋体" w:cs="宋体"/>
          <w:color w:val="auto"/>
          <w:sz w:val="32"/>
          <w:szCs w:val="32"/>
          <w:highlight w:val="none"/>
        </w:rPr>
      </w:pPr>
    </w:p>
    <w:p w14:paraId="5F7AA593">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754487C5">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443009A4">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1ACBC818">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3BCE1F4F">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350A033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的法定代表人。</w:t>
      </w:r>
    </w:p>
    <w:p w14:paraId="11FF6A45">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6CA4B017">
      <w:pPr>
        <w:spacing w:line="360" w:lineRule="auto"/>
        <w:ind w:left="540"/>
        <w:contextualSpacing/>
        <w:rPr>
          <w:rFonts w:hint="eastAsia" w:ascii="宋体" w:hAnsi="宋体" w:eastAsia="宋体" w:cs="宋体"/>
          <w:color w:val="auto"/>
          <w:sz w:val="24"/>
          <w:highlight w:val="none"/>
        </w:rPr>
      </w:pPr>
    </w:p>
    <w:p w14:paraId="4CD08E57">
      <w:pPr>
        <w:spacing w:line="360" w:lineRule="auto"/>
        <w:ind w:left="540"/>
        <w:contextualSpacing/>
        <w:rPr>
          <w:rFonts w:hint="eastAsia" w:ascii="宋体" w:hAnsi="宋体" w:eastAsia="宋体" w:cs="宋体"/>
          <w:color w:val="auto"/>
          <w:sz w:val="24"/>
          <w:highlight w:val="none"/>
        </w:rPr>
      </w:pPr>
    </w:p>
    <w:p w14:paraId="28FCD5FA">
      <w:pPr>
        <w:spacing w:line="360" w:lineRule="auto"/>
        <w:ind w:left="540"/>
        <w:contextualSpacing/>
        <w:rPr>
          <w:rFonts w:hint="eastAsia" w:ascii="宋体" w:hAnsi="宋体" w:eastAsia="宋体" w:cs="宋体"/>
          <w:color w:val="auto"/>
          <w:sz w:val="24"/>
          <w:highlight w:val="none"/>
        </w:rPr>
      </w:pPr>
    </w:p>
    <w:p w14:paraId="47FF1D64">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6991BC98">
      <w:pPr>
        <w:spacing w:line="360" w:lineRule="auto"/>
        <w:ind w:left="540"/>
        <w:contextualSpacing/>
        <w:rPr>
          <w:rFonts w:hint="eastAsia" w:ascii="宋体" w:hAnsi="宋体" w:eastAsia="宋体" w:cs="宋体"/>
          <w:color w:val="auto"/>
          <w:sz w:val="24"/>
          <w:highlight w:val="none"/>
        </w:rPr>
      </w:pPr>
    </w:p>
    <w:p w14:paraId="351A85E7">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BD3C2ED">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00F5AE13">
      <w:pPr>
        <w:spacing w:line="360" w:lineRule="auto"/>
        <w:contextualSpacing/>
        <w:jc w:val="left"/>
        <w:rPr>
          <w:rFonts w:hint="eastAsia" w:ascii="宋体" w:hAnsi="宋体" w:eastAsia="宋体" w:cs="宋体"/>
          <w:color w:val="auto"/>
          <w:sz w:val="24"/>
          <w:highlight w:val="none"/>
        </w:rPr>
      </w:pPr>
    </w:p>
    <w:p w14:paraId="54CA839F">
      <w:pPr>
        <w:spacing w:line="36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注：1.自然人竞标的无需提供，联合体竞标的只需牵头人出具。</w:t>
      </w:r>
    </w:p>
    <w:p w14:paraId="3B1BAC7E">
      <w:pPr>
        <w:spacing w:line="360" w:lineRule="auto"/>
        <w:ind w:firstLine="420" w:firstLineChars="200"/>
        <w:contextualSpacing/>
        <w:jc w:val="left"/>
        <w:rPr>
          <w:rFonts w:hint="eastAsia" w:ascii="宋体" w:hAnsi="宋体" w:eastAsia="宋体" w:cs="宋体"/>
          <w:color w:val="auto"/>
          <w:sz w:val="21"/>
          <w:szCs w:val="21"/>
          <w:highlight w:val="none"/>
        </w:rPr>
        <w:sectPr>
          <w:pgSz w:w="11911" w:h="16838"/>
          <w:pgMar w:top="1417" w:right="1417" w:bottom="1134" w:left="1417" w:header="720" w:footer="720" w:gutter="0"/>
          <w:pgBorders>
            <w:top w:val="none" w:sz="0" w:space="0"/>
            <w:left w:val="none" w:sz="0" w:space="0"/>
            <w:bottom w:val="none" w:sz="0" w:space="0"/>
            <w:right w:val="none" w:sz="0" w:space="0"/>
          </w:pgBorders>
          <w:pgNumType w:fmt="numberInDash"/>
          <w:cols w:space="0" w:num="1"/>
          <w:rtlGutter w:val="0"/>
          <w:docGrid w:linePitch="0" w:charSpace="0"/>
        </w:sectPr>
      </w:pPr>
      <w:r>
        <w:rPr>
          <w:rFonts w:hint="eastAsia" w:ascii="宋体" w:hAnsi="宋体" w:eastAsia="宋体" w:cs="宋体"/>
          <w:color w:val="auto"/>
          <w:sz w:val="21"/>
          <w:szCs w:val="21"/>
          <w:highlight w:val="none"/>
        </w:rPr>
        <w:t>2.供应商为其他组织或者自然人时，本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文件规定的法定代表人指负责人或者自然人。本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文件所称负责人是指参加竞标的其他组织营业执照上的负责人，本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文件所称自然</w:t>
      </w:r>
      <w:r>
        <w:rPr>
          <w:rFonts w:hint="eastAsia" w:ascii="宋体" w:hAnsi="宋体" w:cs="宋体"/>
          <w:color w:val="auto"/>
          <w:sz w:val="21"/>
          <w:szCs w:val="21"/>
          <w:highlight w:val="none"/>
          <w:lang w:eastAsia="zh-CN"/>
        </w:rPr>
        <w:t>人是</w:t>
      </w:r>
      <w:r>
        <w:rPr>
          <w:rFonts w:hint="eastAsia" w:ascii="宋体" w:hAnsi="宋体" w:eastAsia="宋体" w:cs="宋体"/>
          <w:color w:val="auto"/>
          <w:sz w:val="21"/>
          <w:szCs w:val="21"/>
          <w:highlight w:val="none"/>
        </w:rPr>
        <w:t>指参与竞标的自然人本人。</w:t>
      </w:r>
    </w:p>
    <w:tbl>
      <w:tblPr>
        <w:tblStyle w:val="19"/>
        <w:tblpPr w:leftFromText="180" w:rightFromText="180" w:vertAnchor="text" w:horzAnchor="margin" w:tblpXSpec="center" w:tblpY="116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7521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1" w:type="dxa"/>
            <w:noWrap w:val="0"/>
            <w:vAlign w:val="top"/>
          </w:tcPr>
          <w:p w14:paraId="0BB424F8">
            <w:pPr>
              <w:spacing w:line="360" w:lineRule="auto"/>
              <w:rPr>
                <w:rFonts w:hint="eastAsia" w:ascii="宋体" w:hAnsi="宋体" w:eastAsia="宋体" w:cs="宋体"/>
                <w:b/>
                <w:color w:val="auto"/>
                <w:sz w:val="24"/>
                <w:highlight w:val="none"/>
              </w:rPr>
            </w:pPr>
          </w:p>
          <w:p w14:paraId="6C08B2BA">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w:t>
            </w:r>
            <w:r>
              <w:rPr>
                <w:rFonts w:hint="eastAsia" w:ascii="宋体" w:hAnsi="宋体" w:cs="宋体"/>
                <w:b/>
                <w:color w:val="auto"/>
                <w:sz w:val="24"/>
                <w:highlight w:val="none"/>
                <w:lang w:eastAsia="zh-CN"/>
              </w:rPr>
              <w:t>表人</w:t>
            </w:r>
            <w:r>
              <w:rPr>
                <w:rFonts w:hint="eastAsia" w:ascii="宋体" w:hAnsi="宋体" w:eastAsia="宋体" w:cs="宋体"/>
                <w:b/>
                <w:color w:val="auto"/>
                <w:sz w:val="24"/>
                <w:highlight w:val="none"/>
              </w:rPr>
              <w:t>身份证复印件</w:t>
            </w:r>
            <w:r>
              <w:rPr>
                <w:rFonts w:hint="eastAsia" w:ascii="宋体" w:hAnsi="宋体" w:cs="宋体"/>
                <w:b/>
                <w:color w:val="auto"/>
                <w:sz w:val="24"/>
                <w:highlight w:val="none"/>
                <w:lang w:eastAsia="zh-CN"/>
              </w:rPr>
              <w:t>粘贴</w:t>
            </w:r>
            <w:r>
              <w:rPr>
                <w:rFonts w:hint="eastAsia" w:ascii="宋体" w:hAnsi="宋体" w:eastAsia="宋体" w:cs="宋体"/>
                <w:b/>
                <w:color w:val="auto"/>
                <w:sz w:val="24"/>
                <w:highlight w:val="none"/>
              </w:rPr>
              <w:t>处（正、反面）</w:t>
            </w:r>
          </w:p>
        </w:tc>
      </w:tr>
    </w:tbl>
    <w:p w14:paraId="1F9C8078">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p>
    <w:p w14:paraId="10BA5FE5">
      <w:pPr>
        <w:adjustRightInd w:val="0"/>
        <w:snapToGrid w:val="0"/>
        <w:spacing w:line="300" w:lineRule="auto"/>
        <w:jc w:val="left"/>
        <w:rPr>
          <w:rFonts w:hint="eastAsia" w:ascii="宋体" w:hAnsi="宋体" w:eastAsia="宋体" w:cs="宋体"/>
          <w:b/>
          <w:color w:val="auto"/>
          <w:szCs w:val="21"/>
          <w:highlight w:val="none"/>
        </w:rPr>
      </w:pPr>
    </w:p>
    <w:p w14:paraId="76C22CFA">
      <w:pPr>
        <w:snapToGrid w:val="0"/>
        <w:spacing w:line="360" w:lineRule="auto"/>
        <w:rPr>
          <w:rFonts w:hint="eastAsia" w:ascii="宋体" w:hAnsi="宋体" w:eastAsia="宋体" w:cs="宋体"/>
          <w:bCs/>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2"/>
          <w:szCs w:val="32"/>
          <w:highlight w:val="none"/>
        </w:rPr>
        <w:t>三、法定代表人授权委托书</w:t>
      </w:r>
    </w:p>
    <w:p w14:paraId="61DF6C8D">
      <w:pPr>
        <w:spacing w:line="500" w:lineRule="exact"/>
        <w:jc w:val="center"/>
        <w:rPr>
          <w:rFonts w:hint="eastAsia" w:ascii="宋体" w:hAnsi="宋体" w:eastAsia="宋体" w:cs="宋体"/>
          <w:color w:val="auto"/>
          <w:sz w:val="44"/>
          <w:szCs w:val="44"/>
          <w:highlight w:val="none"/>
        </w:rPr>
      </w:pPr>
    </w:p>
    <w:p w14:paraId="04A939B1">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授权委托书</w:t>
      </w:r>
    </w:p>
    <w:p w14:paraId="3C7DF9F9">
      <w:pPr>
        <w:spacing w:line="52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（如有委托时）</w:t>
      </w:r>
    </w:p>
    <w:p w14:paraId="4F2380FA">
      <w:pPr>
        <w:spacing w:line="520" w:lineRule="exact"/>
        <w:rPr>
          <w:rFonts w:hint="eastAsia" w:ascii="宋体" w:hAnsi="宋体" w:eastAsia="宋体" w:cs="宋体"/>
          <w:color w:val="auto"/>
          <w:sz w:val="32"/>
          <w:szCs w:val="32"/>
          <w:highlight w:val="none"/>
        </w:rPr>
      </w:pPr>
    </w:p>
    <w:p w14:paraId="60E4857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3143FC4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313DD1E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015914A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28A3A85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2A9640F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3A5E8F08">
      <w:pPr>
        <w:spacing w:line="360" w:lineRule="auto"/>
        <w:rPr>
          <w:rFonts w:hint="eastAsia" w:ascii="宋体" w:hAnsi="宋体" w:eastAsia="宋体" w:cs="宋体"/>
          <w:color w:val="auto"/>
          <w:sz w:val="24"/>
          <w:highlight w:val="none"/>
        </w:rPr>
      </w:pPr>
    </w:p>
    <w:p w14:paraId="503C22A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法定代表人（签字或盖章）：                    </w:t>
      </w:r>
    </w:p>
    <w:p w14:paraId="76DD08B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06767B8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1AB75F69">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rPr>
        <w:t>供应商名称（电子签章）：</w:t>
      </w:r>
    </w:p>
    <w:p w14:paraId="74F1C69D">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3A70C931">
      <w:pPr>
        <w:spacing w:line="360" w:lineRule="auto"/>
        <w:rPr>
          <w:rFonts w:hint="eastAsia" w:ascii="宋体" w:hAnsi="宋体" w:eastAsia="宋体" w:cs="宋体"/>
          <w:color w:val="auto"/>
          <w:sz w:val="24"/>
          <w:highlight w:val="none"/>
        </w:rPr>
      </w:pPr>
    </w:p>
    <w:p w14:paraId="3B4AA60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 法定代表人必须在授权委托书上亲笔签字或盖章，委托代理人必须在授权委托书上亲笔签字，</w:t>
      </w:r>
      <w:r>
        <w:rPr>
          <w:rFonts w:hint="eastAsia" w:ascii="宋体" w:hAnsi="宋体" w:eastAsia="宋体" w:cs="宋体"/>
          <w:b/>
          <w:color w:val="auto"/>
          <w:sz w:val="21"/>
          <w:szCs w:val="21"/>
          <w:highlight w:val="none"/>
        </w:rPr>
        <w:t>否则其响应文件按无效响应处理。</w:t>
      </w:r>
    </w:p>
    <w:p w14:paraId="02AF3A83">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2.供应商为其他组织或者自然人时，本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文件规定的法定代表人指负责人或者自然人。本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文件所称负责人是指参加竞标的其他组织营业执照上的负责人，本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文件所称自然</w:t>
      </w:r>
      <w:r>
        <w:rPr>
          <w:rFonts w:hint="eastAsia" w:ascii="宋体" w:hAnsi="宋体" w:cs="宋体"/>
          <w:color w:val="auto"/>
          <w:sz w:val="21"/>
          <w:szCs w:val="21"/>
          <w:highlight w:val="none"/>
          <w:lang w:eastAsia="zh-CN"/>
        </w:rPr>
        <w:t>人是</w:t>
      </w:r>
      <w:r>
        <w:rPr>
          <w:rFonts w:hint="eastAsia" w:ascii="宋体" w:hAnsi="宋体" w:eastAsia="宋体" w:cs="宋体"/>
          <w:color w:val="auto"/>
          <w:sz w:val="21"/>
          <w:szCs w:val="21"/>
          <w:highlight w:val="none"/>
        </w:rPr>
        <w:t>指参与竞标的自然人本人。</w:t>
      </w:r>
    </w:p>
    <w:p w14:paraId="6829DF1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法人、其他组织竞标时“我方”是指“我单位”，自然人竞标时“我方”是指“本人”。</w:t>
      </w:r>
    </w:p>
    <w:p w14:paraId="22FCB20D">
      <w:pPr>
        <w:spacing w:line="360" w:lineRule="auto"/>
        <w:jc w:val="left"/>
        <w:rPr>
          <w:rFonts w:hint="eastAsia" w:ascii="宋体" w:hAnsi="宋体" w:eastAsia="宋体" w:cs="宋体"/>
          <w:color w:val="auto"/>
          <w:szCs w:val="21"/>
          <w:highlight w:val="none"/>
        </w:rPr>
      </w:pPr>
    </w:p>
    <w:p w14:paraId="797987E1">
      <w:pPr>
        <w:snapToGrid w:val="0"/>
        <w:spacing w:line="360" w:lineRule="auto"/>
        <w:rPr>
          <w:rFonts w:hint="eastAsia" w:ascii="宋体" w:hAnsi="宋体" w:eastAsia="宋体" w:cs="宋体"/>
          <w:b/>
          <w:bCs/>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b/>
          <w:color w:val="auto"/>
          <w:sz w:val="32"/>
          <w:szCs w:val="32"/>
          <w:highlight w:val="none"/>
        </w:rPr>
        <w:t>四、商务条款偏离表</w:t>
      </w:r>
    </w:p>
    <w:p w14:paraId="3B57D11D">
      <w:pPr>
        <w:keepNext w:val="0"/>
        <w:keepLines w:val="0"/>
        <w:pageBreakBefore w:val="0"/>
        <w:widowControl w:val="0"/>
        <w:kinsoku/>
        <w:wordWrap/>
        <w:overflowPunct/>
        <w:topLinePunct w:val="0"/>
        <w:autoSpaceDE/>
        <w:autoSpaceDN/>
        <w:bidi w:val="0"/>
        <w:adjustRightInd/>
        <w:snapToGrid/>
        <w:spacing w:before="0" w:beforeLines="100" w:after="0" w:afterLines="100" w:line="500" w:lineRule="exact"/>
        <w:jc w:val="center"/>
        <w:textAlignment w:val="auto"/>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商务条款偏离表（格式）</w:t>
      </w:r>
    </w:p>
    <w:p w14:paraId="2BBBFCD3">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Cs w:val="21"/>
          <w:highlight w:val="none"/>
        </w:rPr>
        <w:t>（此处有分标时填写具体分标号，无分标时填写“无”）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tbl>
      <w:tblPr>
        <w:tblStyle w:val="19"/>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75D3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3B6BCE2E">
            <w:pPr>
              <w:spacing w:line="3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656B040F">
            <w:pPr>
              <w:spacing w:line="3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采购文件的商务需求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506008D">
            <w:pPr>
              <w:spacing w:line="3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1D13B40F">
            <w:pPr>
              <w:spacing w:line="3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偏离说明</w:t>
            </w:r>
          </w:p>
        </w:tc>
      </w:tr>
      <w:tr w14:paraId="6F97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3B0A6C6D">
            <w:pPr>
              <w:spacing w:line="340" w:lineRule="exact"/>
              <w:jc w:val="center"/>
              <w:rPr>
                <w:rFonts w:hint="eastAsia" w:ascii="宋体" w:hAnsi="宋体" w:eastAsia="宋体" w:cs="宋体"/>
                <w:color w:val="auto"/>
                <w:sz w:val="24"/>
                <w:szCs w:val="24"/>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top"/>
          </w:tcPr>
          <w:p w14:paraId="6B514BF7">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p w14:paraId="6EAB3E2C">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579D91D4">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32DB9F60">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2C2C196E">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p w14:paraId="6F166FEC">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3499BF4D">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63382CBE">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715C316F">
            <w:pPr>
              <w:spacing w:line="300" w:lineRule="exact"/>
              <w:rPr>
                <w:rFonts w:hint="eastAsia" w:ascii="宋体" w:hAnsi="宋体" w:eastAsia="宋体" w:cs="宋体"/>
                <w:color w:val="auto"/>
                <w:sz w:val="24"/>
                <w:szCs w:val="24"/>
                <w:highlight w:val="none"/>
              </w:rPr>
            </w:pPr>
          </w:p>
        </w:tc>
      </w:tr>
      <w:tr w14:paraId="1A90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21748752">
            <w:pPr>
              <w:spacing w:line="340" w:lineRule="exact"/>
              <w:jc w:val="center"/>
              <w:rPr>
                <w:rFonts w:hint="eastAsia" w:ascii="宋体" w:hAnsi="宋体" w:eastAsia="宋体" w:cs="宋体"/>
                <w:color w:val="auto"/>
                <w:sz w:val="24"/>
                <w:szCs w:val="24"/>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top"/>
          </w:tcPr>
          <w:p w14:paraId="38E5E9A0">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p w14:paraId="34F91659">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2421D0FA">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6E7597B6">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6DBE0BA8">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p w14:paraId="5311F6E4">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520E334F">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3151F241">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1A7A73C8">
            <w:pPr>
              <w:spacing w:line="300" w:lineRule="exact"/>
              <w:rPr>
                <w:rFonts w:hint="eastAsia" w:ascii="宋体" w:hAnsi="宋体" w:eastAsia="宋体" w:cs="宋体"/>
                <w:color w:val="auto"/>
                <w:sz w:val="24"/>
                <w:szCs w:val="24"/>
                <w:highlight w:val="none"/>
              </w:rPr>
            </w:pPr>
          </w:p>
        </w:tc>
      </w:tr>
      <w:tr w14:paraId="6B49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72B26BEE">
            <w:pPr>
              <w:spacing w:line="3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4BA33AB7">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p w14:paraId="41435DFE">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3487CC60">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6AA74CF1">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0B34B895">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w:t>
            </w:r>
          </w:p>
          <w:p w14:paraId="4228B1DD">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w:t>
            </w:r>
          </w:p>
          <w:p w14:paraId="37682923">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w:t>
            </w:r>
          </w:p>
          <w:p w14:paraId="111A94E8">
            <w:pPr>
              <w:spacing w:line="3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048DD033">
            <w:pPr>
              <w:spacing w:line="300" w:lineRule="exact"/>
              <w:rPr>
                <w:rFonts w:hint="eastAsia" w:ascii="宋体" w:hAnsi="宋体" w:eastAsia="宋体" w:cs="宋体"/>
                <w:color w:val="auto"/>
                <w:sz w:val="24"/>
                <w:szCs w:val="24"/>
                <w:highlight w:val="none"/>
              </w:rPr>
            </w:pPr>
          </w:p>
        </w:tc>
      </w:tr>
    </w:tbl>
    <w:p w14:paraId="480AD19B">
      <w:pPr>
        <w:pStyle w:val="10"/>
        <w:spacing w:line="400" w:lineRule="exact"/>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782BEBCA">
      <w:pPr>
        <w:pStyle w:val="10"/>
        <w:spacing w:line="400" w:lineRule="exact"/>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1.说明：应对照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文件“第二章 采购需求”中的商务条款逐条作出明确响应，并作出偏离说明。</w:t>
      </w:r>
    </w:p>
    <w:p w14:paraId="61EFD09F">
      <w:pPr>
        <w:pStyle w:val="10"/>
        <w:spacing w:line="400" w:lineRule="exact"/>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文件要求，在“偏离说明”中注明“正偏离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负偏离”或者“无偏离”。既不属于“正偏离”也不属于“负偏离”即为“无偏离”。 当响应文件的商务内容低于竞争性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采购文件要求时，竞标人应当如实写明“负偏离”，否则视为虚假应标</w:t>
      </w:r>
    </w:p>
    <w:p w14:paraId="1C448C0F">
      <w:pPr>
        <w:spacing w:line="40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3.表格内容均需按要求填写并盖章，不得留空，否则按竞标无效处理。</w:t>
      </w:r>
    </w:p>
    <w:p w14:paraId="5F2A8CA1">
      <w:pPr>
        <w:spacing w:line="360" w:lineRule="auto"/>
        <w:ind w:right="-817" w:rightChars="-389"/>
        <w:contextualSpacing/>
        <w:rPr>
          <w:rFonts w:hint="eastAsia" w:ascii="宋体" w:hAnsi="宋体" w:eastAsia="宋体" w:cs="宋体"/>
          <w:color w:val="auto"/>
          <w:sz w:val="24"/>
          <w:highlight w:val="none"/>
        </w:rPr>
      </w:pPr>
    </w:p>
    <w:p w14:paraId="47D41500">
      <w:pPr>
        <w:spacing w:line="360" w:lineRule="auto"/>
        <w:ind w:right="-817" w:rightChars="-389"/>
        <w:contextualSpacing/>
        <w:rPr>
          <w:rFonts w:hint="eastAsia" w:ascii="宋体" w:hAnsi="宋体" w:eastAsia="宋体" w:cs="宋体"/>
          <w:color w:val="auto"/>
          <w:sz w:val="24"/>
          <w:highlight w:val="none"/>
        </w:rPr>
      </w:pPr>
    </w:p>
    <w:p w14:paraId="498D9478">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0CD5A8E9">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2CB921EE">
      <w:pPr>
        <w:snapToGrid w:val="0"/>
        <w:spacing w:line="360" w:lineRule="auto"/>
        <w:ind w:firstLine="602" w:firstLineChars="200"/>
        <w:rPr>
          <w:rFonts w:hint="eastAsia" w:ascii="宋体" w:hAnsi="宋体" w:eastAsia="宋体" w:cs="宋体"/>
          <w:b/>
          <w:color w:val="auto"/>
          <w:sz w:val="30"/>
          <w:szCs w:val="30"/>
          <w:highlight w:val="none"/>
        </w:rPr>
      </w:pPr>
    </w:p>
    <w:p w14:paraId="62C32AF1">
      <w:pPr>
        <w:pStyle w:val="27"/>
        <w:rPr>
          <w:rFonts w:hint="eastAsia"/>
          <w:color w:val="auto"/>
          <w:highlight w:val="none"/>
        </w:rPr>
      </w:pPr>
    </w:p>
    <w:p w14:paraId="0851FB72">
      <w:pPr>
        <w:pStyle w:val="9"/>
        <w:rPr>
          <w:rFonts w:hint="eastAsia" w:ascii="宋体" w:hAnsi="宋体" w:eastAsia="宋体" w:cs="宋体"/>
          <w:color w:val="auto"/>
          <w:kern w:val="0"/>
          <w:sz w:val="24"/>
          <w:highlight w:val="none"/>
          <w:lang w:val="zh-CN"/>
        </w:rPr>
      </w:pPr>
    </w:p>
    <w:p w14:paraId="4DAB19A7">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4707F37A">
      <w:pP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br w:type="page"/>
      </w:r>
    </w:p>
    <w:p w14:paraId="03CEE8D0">
      <w:pPr>
        <w:pStyle w:val="30"/>
        <w:spacing w:line="360" w:lineRule="auto"/>
        <w:ind w:left="0" w:firstLine="0" w:firstLineChars="0"/>
        <w:rPr>
          <w:rFonts w:hint="eastAsia" w:ascii="宋体" w:hAnsi="宋体" w:eastAsia="宋体" w:cs="宋体"/>
          <w:color w:val="auto"/>
          <w:highlight w:val="none"/>
        </w:rPr>
      </w:pPr>
      <w:r>
        <w:rPr>
          <w:rFonts w:hint="eastAsia" w:ascii="宋体" w:hAnsi="宋体" w:eastAsia="宋体" w:cs="宋体"/>
          <w:b/>
          <w:color w:val="auto"/>
          <w:sz w:val="30"/>
          <w:szCs w:val="30"/>
          <w:highlight w:val="none"/>
        </w:rPr>
        <w:t>六、施工组织设计（格式自拟）</w:t>
      </w:r>
    </w:p>
    <w:p w14:paraId="4FD13CF5">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596025A8">
      <w:pPr>
        <w:pStyle w:val="30"/>
        <w:spacing w:line="360" w:lineRule="auto"/>
        <w:ind w:left="420" w:leftChars="200" w:firstLine="0" w:firstLineChars="0"/>
        <w:rPr>
          <w:rFonts w:hint="eastAsia" w:ascii="宋体" w:hAnsi="宋体" w:eastAsia="宋体" w:cs="宋体"/>
          <w:color w:val="auto"/>
          <w:highlight w:val="none"/>
        </w:rPr>
      </w:pPr>
    </w:p>
    <w:p w14:paraId="103CE67B">
      <w:pPr>
        <w:pStyle w:val="30"/>
        <w:numPr>
          <w:ilvl w:val="0"/>
          <w:numId w:val="0"/>
        </w:numPr>
        <w:spacing w:line="360" w:lineRule="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七、</w:t>
      </w:r>
      <w:r>
        <w:rPr>
          <w:rFonts w:hint="eastAsia" w:ascii="宋体" w:hAnsi="宋体" w:eastAsia="宋体" w:cs="宋体"/>
          <w:b/>
          <w:color w:val="auto"/>
          <w:sz w:val="30"/>
          <w:szCs w:val="30"/>
          <w:highlight w:val="none"/>
        </w:rPr>
        <w:t>项目管理机构配备情况表</w:t>
      </w:r>
    </w:p>
    <w:p w14:paraId="6D60FA0D">
      <w:pPr>
        <w:keepNext w:val="0"/>
        <w:keepLines w:val="0"/>
        <w:pageBreakBefore w:val="0"/>
        <w:widowControl w:val="0"/>
        <w:kinsoku/>
        <w:wordWrap/>
        <w:overflowPunct/>
        <w:topLinePunct w:val="0"/>
        <w:autoSpaceDE/>
        <w:autoSpaceDN/>
        <w:bidi w:val="0"/>
        <w:adjustRightInd/>
        <w:snapToGrid/>
        <w:spacing w:before="0" w:beforeLines="100" w:after="0" w:afterLines="100"/>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项目管理机构配备情况表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443"/>
        <w:gridCol w:w="1773"/>
        <w:gridCol w:w="1500"/>
        <w:gridCol w:w="2002"/>
      </w:tblGrid>
      <w:tr w14:paraId="5774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596DB7B2">
            <w:pPr>
              <w:ind w:left="223" w:hanging="254" w:hangingChars="10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岗位</w:t>
            </w:r>
          </w:p>
        </w:tc>
        <w:tc>
          <w:tcPr>
            <w:tcW w:w="829" w:type="dxa"/>
            <w:vMerge w:val="restart"/>
            <w:noWrap w:val="0"/>
            <w:vAlign w:val="center"/>
          </w:tcPr>
          <w:p w14:paraId="691011E1">
            <w:pPr>
              <w:ind w:left="223" w:hanging="254" w:hangingChars="106"/>
              <w:jc w:val="center"/>
              <w:rPr>
                <w:rFonts w:hint="eastAsia" w:ascii="宋体" w:hAnsi="宋体" w:eastAsia="宋体" w:cs="宋体"/>
                <w:color w:val="auto"/>
                <w:sz w:val="24"/>
                <w:szCs w:val="24"/>
                <w:highlight w:val="none"/>
              </w:rPr>
            </w:pPr>
            <w:bookmarkStart w:id="129" w:name="_Toc251052187"/>
            <w:r>
              <w:rPr>
                <w:rFonts w:hint="eastAsia" w:ascii="宋体" w:hAnsi="宋体" w:eastAsia="宋体" w:cs="宋体"/>
                <w:color w:val="auto"/>
                <w:sz w:val="24"/>
                <w:szCs w:val="24"/>
                <w:highlight w:val="none"/>
              </w:rPr>
              <w:t>姓名</w:t>
            </w:r>
            <w:bookmarkEnd w:id="129"/>
          </w:p>
        </w:tc>
        <w:tc>
          <w:tcPr>
            <w:tcW w:w="816" w:type="dxa"/>
            <w:vMerge w:val="restart"/>
            <w:noWrap w:val="0"/>
            <w:vAlign w:val="center"/>
          </w:tcPr>
          <w:p w14:paraId="29D4610F">
            <w:pPr>
              <w:ind w:left="223" w:hanging="254" w:hangingChars="106"/>
              <w:jc w:val="center"/>
              <w:rPr>
                <w:rFonts w:hint="eastAsia" w:ascii="宋体" w:hAnsi="宋体" w:eastAsia="宋体" w:cs="宋体"/>
                <w:color w:val="auto"/>
                <w:sz w:val="24"/>
                <w:szCs w:val="24"/>
                <w:highlight w:val="none"/>
              </w:rPr>
            </w:pPr>
            <w:bookmarkStart w:id="130" w:name="_Toc251052188"/>
            <w:r>
              <w:rPr>
                <w:rFonts w:hint="eastAsia" w:ascii="宋体" w:hAnsi="宋体" w:eastAsia="宋体" w:cs="宋体"/>
                <w:color w:val="auto"/>
                <w:sz w:val="24"/>
                <w:szCs w:val="24"/>
                <w:highlight w:val="none"/>
              </w:rPr>
              <w:t>职称</w:t>
            </w:r>
            <w:bookmarkEnd w:id="130"/>
          </w:p>
        </w:tc>
        <w:tc>
          <w:tcPr>
            <w:tcW w:w="6718" w:type="dxa"/>
            <w:gridSpan w:val="4"/>
            <w:noWrap w:val="0"/>
            <w:vAlign w:val="center"/>
          </w:tcPr>
          <w:p w14:paraId="26F82A2E">
            <w:pPr>
              <w:ind w:left="223" w:hanging="254" w:hangingChars="106"/>
              <w:jc w:val="center"/>
              <w:rPr>
                <w:rFonts w:hint="eastAsia" w:ascii="宋体" w:hAnsi="宋体" w:eastAsia="宋体" w:cs="宋体"/>
                <w:color w:val="auto"/>
                <w:sz w:val="24"/>
                <w:szCs w:val="24"/>
                <w:highlight w:val="none"/>
              </w:rPr>
            </w:pPr>
            <w:bookmarkStart w:id="131" w:name="_Toc251052189"/>
            <w:r>
              <w:rPr>
                <w:rFonts w:hint="eastAsia" w:ascii="宋体" w:hAnsi="宋体" w:eastAsia="宋体" w:cs="宋体"/>
                <w:color w:val="auto"/>
                <w:sz w:val="24"/>
                <w:szCs w:val="24"/>
                <w:highlight w:val="none"/>
              </w:rPr>
              <w:t>执业或职业资格证明</w:t>
            </w:r>
            <w:bookmarkEnd w:id="131"/>
          </w:p>
        </w:tc>
      </w:tr>
      <w:tr w14:paraId="1855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50917C62">
            <w:pPr>
              <w:ind w:left="223" w:hanging="254" w:hangingChars="106"/>
              <w:jc w:val="center"/>
              <w:rPr>
                <w:rFonts w:hint="eastAsia" w:ascii="宋体" w:hAnsi="宋体" w:eastAsia="宋体" w:cs="宋体"/>
                <w:color w:val="auto"/>
                <w:sz w:val="24"/>
                <w:szCs w:val="24"/>
                <w:highlight w:val="none"/>
              </w:rPr>
            </w:pPr>
          </w:p>
        </w:tc>
        <w:tc>
          <w:tcPr>
            <w:tcW w:w="829" w:type="dxa"/>
            <w:vMerge w:val="continue"/>
            <w:noWrap w:val="0"/>
            <w:vAlign w:val="center"/>
          </w:tcPr>
          <w:p w14:paraId="0E83D242">
            <w:pPr>
              <w:ind w:left="223" w:hanging="254" w:hangingChars="106"/>
              <w:jc w:val="center"/>
              <w:rPr>
                <w:rFonts w:hint="eastAsia" w:ascii="宋体" w:hAnsi="宋体" w:eastAsia="宋体" w:cs="宋体"/>
                <w:color w:val="auto"/>
                <w:sz w:val="24"/>
                <w:szCs w:val="24"/>
                <w:highlight w:val="none"/>
              </w:rPr>
            </w:pPr>
          </w:p>
        </w:tc>
        <w:tc>
          <w:tcPr>
            <w:tcW w:w="816" w:type="dxa"/>
            <w:vMerge w:val="continue"/>
            <w:noWrap w:val="0"/>
            <w:vAlign w:val="center"/>
          </w:tcPr>
          <w:p w14:paraId="3FEAF912">
            <w:pPr>
              <w:ind w:left="223" w:hanging="254" w:hangingChars="106"/>
              <w:jc w:val="center"/>
              <w:rPr>
                <w:rFonts w:hint="eastAsia" w:ascii="宋体" w:hAnsi="宋体" w:eastAsia="宋体" w:cs="宋体"/>
                <w:color w:val="auto"/>
                <w:sz w:val="24"/>
                <w:szCs w:val="24"/>
                <w:highlight w:val="none"/>
              </w:rPr>
            </w:pPr>
          </w:p>
        </w:tc>
        <w:tc>
          <w:tcPr>
            <w:tcW w:w="1443" w:type="dxa"/>
            <w:noWrap w:val="0"/>
            <w:vAlign w:val="center"/>
          </w:tcPr>
          <w:p w14:paraId="0B1F2E8C">
            <w:pPr>
              <w:ind w:left="223" w:hanging="254" w:hangingChars="106"/>
              <w:jc w:val="center"/>
              <w:rPr>
                <w:rFonts w:hint="eastAsia" w:ascii="宋体" w:hAnsi="宋体" w:eastAsia="宋体" w:cs="宋体"/>
                <w:color w:val="auto"/>
                <w:sz w:val="24"/>
                <w:szCs w:val="24"/>
                <w:highlight w:val="none"/>
              </w:rPr>
            </w:pPr>
            <w:bookmarkStart w:id="132" w:name="_Toc251052192"/>
            <w:r>
              <w:rPr>
                <w:rFonts w:hint="eastAsia" w:ascii="宋体" w:hAnsi="宋体" w:eastAsia="宋体" w:cs="宋体"/>
                <w:color w:val="auto"/>
                <w:sz w:val="24"/>
                <w:szCs w:val="24"/>
                <w:highlight w:val="none"/>
              </w:rPr>
              <w:t>证书名称</w:t>
            </w:r>
            <w:bookmarkEnd w:id="132"/>
          </w:p>
        </w:tc>
        <w:tc>
          <w:tcPr>
            <w:tcW w:w="1773" w:type="dxa"/>
            <w:noWrap w:val="0"/>
            <w:vAlign w:val="center"/>
          </w:tcPr>
          <w:p w14:paraId="124AFDF2">
            <w:pPr>
              <w:ind w:left="223" w:hanging="254" w:hangingChars="106"/>
              <w:jc w:val="center"/>
              <w:rPr>
                <w:rFonts w:hint="eastAsia" w:ascii="宋体" w:hAnsi="宋体" w:eastAsia="宋体" w:cs="宋体"/>
                <w:color w:val="auto"/>
                <w:sz w:val="24"/>
                <w:szCs w:val="24"/>
                <w:highlight w:val="none"/>
              </w:rPr>
            </w:pPr>
            <w:bookmarkStart w:id="133" w:name="_Toc251052193"/>
            <w:r>
              <w:rPr>
                <w:rFonts w:hint="eastAsia" w:ascii="宋体" w:hAnsi="宋体" w:eastAsia="宋体" w:cs="宋体"/>
                <w:color w:val="auto"/>
                <w:sz w:val="24"/>
                <w:szCs w:val="24"/>
                <w:highlight w:val="none"/>
              </w:rPr>
              <w:t>级别</w:t>
            </w:r>
            <w:bookmarkEnd w:id="133"/>
          </w:p>
        </w:tc>
        <w:tc>
          <w:tcPr>
            <w:tcW w:w="1500" w:type="dxa"/>
            <w:noWrap w:val="0"/>
            <w:vAlign w:val="center"/>
          </w:tcPr>
          <w:p w14:paraId="639A0BF2">
            <w:pPr>
              <w:ind w:left="223" w:hanging="254" w:hangingChars="106"/>
              <w:jc w:val="center"/>
              <w:rPr>
                <w:rFonts w:hint="eastAsia" w:ascii="宋体" w:hAnsi="宋体" w:eastAsia="宋体" w:cs="宋体"/>
                <w:color w:val="auto"/>
                <w:sz w:val="24"/>
                <w:szCs w:val="24"/>
                <w:highlight w:val="none"/>
              </w:rPr>
            </w:pPr>
            <w:bookmarkStart w:id="134" w:name="_Toc251052194"/>
            <w:r>
              <w:rPr>
                <w:rFonts w:hint="eastAsia" w:ascii="宋体" w:hAnsi="宋体" w:eastAsia="宋体" w:cs="宋体"/>
                <w:color w:val="auto"/>
                <w:sz w:val="24"/>
                <w:szCs w:val="24"/>
                <w:highlight w:val="none"/>
              </w:rPr>
              <w:t>证号</w:t>
            </w:r>
            <w:bookmarkEnd w:id="134"/>
          </w:p>
        </w:tc>
        <w:tc>
          <w:tcPr>
            <w:tcW w:w="2002" w:type="dxa"/>
            <w:noWrap w:val="0"/>
            <w:vAlign w:val="center"/>
          </w:tcPr>
          <w:p w14:paraId="0FDD457E">
            <w:pPr>
              <w:ind w:left="223" w:hanging="254" w:hangingChars="106"/>
              <w:jc w:val="center"/>
              <w:rPr>
                <w:rFonts w:hint="eastAsia" w:ascii="宋体" w:hAnsi="宋体" w:eastAsia="宋体" w:cs="宋体"/>
                <w:color w:val="auto"/>
                <w:sz w:val="24"/>
                <w:szCs w:val="24"/>
                <w:highlight w:val="none"/>
              </w:rPr>
            </w:pPr>
            <w:bookmarkStart w:id="135" w:name="_Toc251052195"/>
            <w:r>
              <w:rPr>
                <w:rFonts w:hint="eastAsia" w:ascii="宋体" w:hAnsi="宋体" w:eastAsia="宋体" w:cs="宋体"/>
                <w:color w:val="auto"/>
                <w:sz w:val="24"/>
                <w:szCs w:val="24"/>
                <w:highlight w:val="none"/>
              </w:rPr>
              <w:t>专业</w:t>
            </w:r>
            <w:bookmarkEnd w:id="135"/>
          </w:p>
        </w:tc>
      </w:tr>
      <w:tr w14:paraId="31B4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63252A4D">
            <w:pPr>
              <w:ind w:left="223" w:hanging="254" w:hangingChars="106"/>
              <w:jc w:val="center"/>
              <w:rPr>
                <w:rFonts w:hint="eastAsia" w:ascii="宋体" w:hAnsi="宋体" w:eastAsia="宋体" w:cs="宋体"/>
                <w:color w:val="auto"/>
                <w:sz w:val="24"/>
                <w:szCs w:val="24"/>
                <w:highlight w:val="none"/>
              </w:rPr>
            </w:pPr>
          </w:p>
        </w:tc>
        <w:tc>
          <w:tcPr>
            <w:tcW w:w="829" w:type="dxa"/>
            <w:noWrap w:val="0"/>
            <w:vAlign w:val="center"/>
          </w:tcPr>
          <w:p w14:paraId="270EECA1">
            <w:pPr>
              <w:ind w:left="223" w:hanging="254" w:hangingChars="106"/>
              <w:jc w:val="center"/>
              <w:rPr>
                <w:rFonts w:hint="eastAsia" w:ascii="宋体" w:hAnsi="宋体" w:eastAsia="宋体" w:cs="宋体"/>
                <w:color w:val="auto"/>
                <w:sz w:val="24"/>
                <w:szCs w:val="24"/>
                <w:highlight w:val="none"/>
              </w:rPr>
            </w:pPr>
          </w:p>
        </w:tc>
        <w:tc>
          <w:tcPr>
            <w:tcW w:w="816" w:type="dxa"/>
            <w:noWrap w:val="0"/>
            <w:vAlign w:val="center"/>
          </w:tcPr>
          <w:p w14:paraId="720252ED">
            <w:pPr>
              <w:ind w:left="223" w:hanging="254" w:hangingChars="106"/>
              <w:jc w:val="center"/>
              <w:rPr>
                <w:rFonts w:hint="eastAsia" w:ascii="宋体" w:hAnsi="宋体" w:eastAsia="宋体" w:cs="宋体"/>
                <w:color w:val="auto"/>
                <w:sz w:val="24"/>
                <w:szCs w:val="24"/>
                <w:highlight w:val="none"/>
              </w:rPr>
            </w:pPr>
          </w:p>
        </w:tc>
        <w:tc>
          <w:tcPr>
            <w:tcW w:w="1443" w:type="dxa"/>
            <w:noWrap w:val="0"/>
            <w:vAlign w:val="center"/>
          </w:tcPr>
          <w:p w14:paraId="32A4B2A0">
            <w:pPr>
              <w:ind w:left="223" w:hanging="254" w:hangingChars="106"/>
              <w:jc w:val="center"/>
              <w:rPr>
                <w:rFonts w:hint="eastAsia" w:ascii="宋体" w:hAnsi="宋体" w:eastAsia="宋体" w:cs="宋体"/>
                <w:color w:val="auto"/>
                <w:sz w:val="24"/>
                <w:szCs w:val="24"/>
                <w:highlight w:val="none"/>
              </w:rPr>
            </w:pPr>
          </w:p>
        </w:tc>
        <w:tc>
          <w:tcPr>
            <w:tcW w:w="1773" w:type="dxa"/>
            <w:noWrap w:val="0"/>
            <w:vAlign w:val="center"/>
          </w:tcPr>
          <w:p w14:paraId="1856707B">
            <w:pPr>
              <w:ind w:left="223" w:hanging="254" w:hangingChars="106"/>
              <w:jc w:val="center"/>
              <w:rPr>
                <w:rFonts w:hint="eastAsia" w:ascii="宋体" w:hAnsi="宋体" w:eastAsia="宋体" w:cs="宋体"/>
                <w:color w:val="auto"/>
                <w:sz w:val="24"/>
                <w:szCs w:val="24"/>
                <w:highlight w:val="none"/>
              </w:rPr>
            </w:pPr>
          </w:p>
        </w:tc>
        <w:tc>
          <w:tcPr>
            <w:tcW w:w="1500" w:type="dxa"/>
            <w:noWrap w:val="0"/>
            <w:vAlign w:val="center"/>
          </w:tcPr>
          <w:p w14:paraId="4F48424A">
            <w:pPr>
              <w:ind w:left="223" w:hanging="254" w:hangingChars="106"/>
              <w:jc w:val="center"/>
              <w:rPr>
                <w:rFonts w:hint="eastAsia" w:ascii="宋体" w:hAnsi="宋体" w:eastAsia="宋体" w:cs="宋体"/>
                <w:color w:val="auto"/>
                <w:sz w:val="24"/>
                <w:szCs w:val="24"/>
                <w:highlight w:val="none"/>
              </w:rPr>
            </w:pPr>
          </w:p>
        </w:tc>
        <w:tc>
          <w:tcPr>
            <w:tcW w:w="2002" w:type="dxa"/>
            <w:noWrap w:val="0"/>
            <w:vAlign w:val="center"/>
          </w:tcPr>
          <w:p w14:paraId="3D119804">
            <w:pPr>
              <w:ind w:left="223" w:hanging="254" w:hangingChars="106"/>
              <w:jc w:val="center"/>
              <w:rPr>
                <w:rFonts w:hint="eastAsia" w:ascii="宋体" w:hAnsi="宋体" w:eastAsia="宋体" w:cs="宋体"/>
                <w:color w:val="auto"/>
                <w:sz w:val="24"/>
                <w:szCs w:val="24"/>
                <w:highlight w:val="none"/>
              </w:rPr>
            </w:pPr>
          </w:p>
        </w:tc>
      </w:tr>
      <w:tr w14:paraId="1077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38CD3E51">
            <w:pPr>
              <w:ind w:left="223" w:hanging="254" w:hangingChars="106"/>
              <w:jc w:val="center"/>
              <w:rPr>
                <w:rFonts w:hint="eastAsia" w:ascii="宋体" w:hAnsi="宋体" w:eastAsia="宋体" w:cs="宋体"/>
                <w:color w:val="auto"/>
                <w:sz w:val="24"/>
                <w:szCs w:val="24"/>
                <w:highlight w:val="none"/>
              </w:rPr>
            </w:pPr>
          </w:p>
        </w:tc>
        <w:tc>
          <w:tcPr>
            <w:tcW w:w="829" w:type="dxa"/>
            <w:noWrap w:val="0"/>
            <w:vAlign w:val="center"/>
          </w:tcPr>
          <w:p w14:paraId="0B9DF279">
            <w:pPr>
              <w:ind w:left="223" w:hanging="254" w:hangingChars="106"/>
              <w:jc w:val="center"/>
              <w:rPr>
                <w:rFonts w:hint="eastAsia" w:ascii="宋体" w:hAnsi="宋体" w:eastAsia="宋体" w:cs="宋体"/>
                <w:color w:val="auto"/>
                <w:sz w:val="24"/>
                <w:szCs w:val="24"/>
                <w:highlight w:val="none"/>
              </w:rPr>
            </w:pPr>
          </w:p>
        </w:tc>
        <w:tc>
          <w:tcPr>
            <w:tcW w:w="816" w:type="dxa"/>
            <w:noWrap w:val="0"/>
            <w:vAlign w:val="center"/>
          </w:tcPr>
          <w:p w14:paraId="4ED06AC1">
            <w:pPr>
              <w:ind w:left="223" w:hanging="254" w:hangingChars="106"/>
              <w:jc w:val="center"/>
              <w:rPr>
                <w:rFonts w:hint="eastAsia" w:ascii="宋体" w:hAnsi="宋体" w:eastAsia="宋体" w:cs="宋体"/>
                <w:color w:val="auto"/>
                <w:sz w:val="24"/>
                <w:szCs w:val="24"/>
                <w:highlight w:val="none"/>
              </w:rPr>
            </w:pPr>
          </w:p>
        </w:tc>
        <w:tc>
          <w:tcPr>
            <w:tcW w:w="1443" w:type="dxa"/>
            <w:noWrap w:val="0"/>
            <w:vAlign w:val="center"/>
          </w:tcPr>
          <w:p w14:paraId="3A8D01DA">
            <w:pPr>
              <w:ind w:left="223" w:hanging="254" w:hangingChars="106"/>
              <w:jc w:val="center"/>
              <w:rPr>
                <w:rFonts w:hint="eastAsia" w:ascii="宋体" w:hAnsi="宋体" w:eastAsia="宋体" w:cs="宋体"/>
                <w:color w:val="auto"/>
                <w:sz w:val="24"/>
                <w:szCs w:val="24"/>
                <w:highlight w:val="none"/>
              </w:rPr>
            </w:pPr>
          </w:p>
        </w:tc>
        <w:tc>
          <w:tcPr>
            <w:tcW w:w="1773" w:type="dxa"/>
            <w:noWrap w:val="0"/>
            <w:vAlign w:val="center"/>
          </w:tcPr>
          <w:p w14:paraId="7FD6ACE0">
            <w:pPr>
              <w:ind w:left="223" w:hanging="254" w:hangingChars="106"/>
              <w:jc w:val="center"/>
              <w:rPr>
                <w:rFonts w:hint="eastAsia" w:ascii="宋体" w:hAnsi="宋体" w:eastAsia="宋体" w:cs="宋体"/>
                <w:color w:val="auto"/>
                <w:sz w:val="24"/>
                <w:szCs w:val="24"/>
                <w:highlight w:val="none"/>
              </w:rPr>
            </w:pPr>
          </w:p>
        </w:tc>
        <w:tc>
          <w:tcPr>
            <w:tcW w:w="1500" w:type="dxa"/>
            <w:noWrap w:val="0"/>
            <w:vAlign w:val="center"/>
          </w:tcPr>
          <w:p w14:paraId="15925CEE">
            <w:pPr>
              <w:ind w:left="223" w:hanging="254" w:hangingChars="106"/>
              <w:jc w:val="center"/>
              <w:rPr>
                <w:rFonts w:hint="eastAsia" w:ascii="宋体" w:hAnsi="宋体" w:eastAsia="宋体" w:cs="宋体"/>
                <w:color w:val="auto"/>
                <w:sz w:val="24"/>
                <w:szCs w:val="24"/>
                <w:highlight w:val="none"/>
              </w:rPr>
            </w:pPr>
          </w:p>
        </w:tc>
        <w:tc>
          <w:tcPr>
            <w:tcW w:w="2002" w:type="dxa"/>
            <w:noWrap w:val="0"/>
            <w:vAlign w:val="center"/>
          </w:tcPr>
          <w:p w14:paraId="2CB17A38">
            <w:pPr>
              <w:ind w:left="223" w:hanging="254" w:hangingChars="106"/>
              <w:jc w:val="center"/>
              <w:rPr>
                <w:rFonts w:hint="eastAsia" w:ascii="宋体" w:hAnsi="宋体" w:eastAsia="宋体" w:cs="宋体"/>
                <w:color w:val="auto"/>
                <w:sz w:val="24"/>
                <w:szCs w:val="24"/>
                <w:highlight w:val="none"/>
              </w:rPr>
            </w:pPr>
          </w:p>
        </w:tc>
      </w:tr>
      <w:tr w14:paraId="4703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431B879">
            <w:pPr>
              <w:ind w:left="223" w:hanging="254" w:hangingChars="106"/>
              <w:jc w:val="center"/>
              <w:rPr>
                <w:rFonts w:hint="eastAsia" w:ascii="宋体" w:hAnsi="宋体" w:eastAsia="宋体" w:cs="宋体"/>
                <w:color w:val="auto"/>
                <w:sz w:val="24"/>
                <w:szCs w:val="24"/>
                <w:highlight w:val="none"/>
              </w:rPr>
            </w:pPr>
          </w:p>
        </w:tc>
        <w:tc>
          <w:tcPr>
            <w:tcW w:w="829" w:type="dxa"/>
            <w:noWrap w:val="0"/>
            <w:vAlign w:val="center"/>
          </w:tcPr>
          <w:p w14:paraId="6A550678">
            <w:pPr>
              <w:ind w:left="223" w:hanging="254" w:hangingChars="106"/>
              <w:jc w:val="center"/>
              <w:rPr>
                <w:rFonts w:hint="eastAsia" w:ascii="宋体" w:hAnsi="宋体" w:eastAsia="宋体" w:cs="宋体"/>
                <w:color w:val="auto"/>
                <w:sz w:val="24"/>
                <w:szCs w:val="24"/>
                <w:highlight w:val="none"/>
              </w:rPr>
            </w:pPr>
          </w:p>
        </w:tc>
        <w:tc>
          <w:tcPr>
            <w:tcW w:w="816" w:type="dxa"/>
            <w:noWrap w:val="0"/>
            <w:vAlign w:val="center"/>
          </w:tcPr>
          <w:p w14:paraId="052E3913">
            <w:pPr>
              <w:ind w:left="223" w:hanging="254" w:hangingChars="106"/>
              <w:jc w:val="center"/>
              <w:rPr>
                <w:rFonts w:hint="eastAsia" w:ascii="宋体" w:hAnsi="宋体" w:eastAsia="宋体" w:cs="宋体"/>
                <w:color w:val="auto"/>
                <w:sz w:val="24"/>
                <w:szCs w:val="24"/>
                <w:highlight w:val="none"/>
              </w:rPr>
            </w:pPr>
          </w:p>
        </w:tc>
        <w:tc>
          <w:tcPr>
            <w:tcW w:w="1443" w:type="dxa"/>
            <w:noWrap w:val="0"/>
            <w:vAlign w:val="center"/>
          </w:tcPr>
          <w:p w14:paraId="28D9499D">
            <w:pPr>
              <w:ind w:left="223" w:hanging="254" w:hangingChars="106"/>
              <w:jc w:val="center"/>
              <w:rPr>
                <w:rFonts w:hint="eastAsia" w:ascii="宋体" w:hAnsi="宋体" w:eastAsia="宋体" w:cs="宋体"/>
                <w:color w:val="auto"/>
                <w:sz w:val="24"/>
                <w:szCs w:val="24"/>
                <w:highlight w:val="none"/>
              </w:rPr>
            </w:pPr>
          </w:p>
        </w:tc>
        <w:tc>
          <w:tcPr>
            <w:tcW w:w="1773" w:type="dxa"/>
            <w:noWrap w:val="0"/>
            <w:vAlign w:val="center"/>
          </w:tcPr>
          <w:p w14:paraId="0BC4A3A6">
            <w:pPr>
              <w:ind w:left="223" w:hanging="254" w:hangingChars="106"/>
              <w:jc w:val="center"/>
              <w:rPr>
                <w:rFonts w:hint="eastAsia" w:ascii="宋体" w:hAnsi="宋体" w:eastAsia="宋体" w:cs="宋体"/>
                <w:color w:val="auto"/>
                <w:sz w:val="24"/>
                <w:szCs w:val="24"/>
                <w:highlight w:val="none"/>
              </w:rPr>
            </w:pPr>
          </w:p>
        </w:tc>
        <w:tc>
          <w:tcPr>
            <w:tcW w:w="1500" w:type="dxa"/>
            <w:noWrap w:val="0"/>
            <w:vAlign w:val="center"/>
          </w:tcPr>
          <w:p w14:paraId="57FF18EB">
            <w:pPr>
              <w:ind w:left="223" w:hanging="254" w:hangingChars="106"/>
              <w:jc w:val="center"/>
              <w:rPr>
                <w:rFonts w:hint="eastAsia" w:ascii="宋体" w:hAnsi="宋体" w:eastAsia="宋体" w:cs="宋体"/>
                <w:color w:val="auto"/>
                <w:sz w:val="24"/>
                <w:szCs w:val="24"/>
                <w:highlight w:val="none"/>
              </w:rPr>
            </w:pPr>
          </w:p>
        </w:tc>
        <w:tc>
          <w:tcPr>
            <w:tcW w:w="2002" w:type="dxa"/>
            <w:noWrap w:val="0"/>
            <w:vAlign w:val="center"/>
          </w:tcPr>
          <w:p w14:paraId="01BB5C3B">
            <w:pPr>
              <w:ind w:left="223" w:hanging="254" w:hangingChars="106"/>
              <w:jc w:val="center"/>
              <w:rPr>
                <w:rFonts w:hint="eastAsia" w:ascii="宋体" w:hAnsi="宋体" w:eastAsia="宋体" w:cs="宋体"/>
                <w:color w:val="auto"/>
                <w:sz w:val="24"/>
                <w:szCs w:val="24"/>
                <w:highlight w:val="none"/>
              </w:rPr>
            </w:pPr>
          </w:p>
        </w:tc>
      </w:tr>
      <w:tr w14:paraId="34D4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7"/>
            <w:noWrap w:val="0"/>
            <w:vAlign w:val="center"/>
          </w:tcPr>
          <w:p w14:paraId="1529DBDF">
            <w:pPr>
              <w:spacing w:line="360" w:lineRule="auto"/>
              <w:rPr>
                <w:rFonts w:hint="eastAsia" w:ascii="宋体" w:hAnsi="宋体" w:eastAsia="宋体" w:cs="宋体"/>
                <w:color w:val="auto"/>
                <w:sz w:val="24"/>
                <w:szCs w:val="24"/>
                <w:highlight w:val="none"/>
              </w:rPr>
            </w:pPr>
            <w:bookmarkStart w:id="136" w:name="_Toc251052199"/>
            <w:r>
              <w:rPr>
                <w:rFonts w:hint="eastAsia" w:ascii="宋体" w:hAnsi="宋体" w:eastAsia="宋体" w:cs="宋体"/>
                <w:color w:val="auto"/>
                <w:sz w:val="24"/>
                <w:szCs w:val="24"/>
                <w:highlight w:val="none"/>
              </w:rPr>
              <w:t>一旦我单位成交，将实行项目经理负责制，我方保证并配备上述项目管理机构。上述填报内容真实，若不真实，愿按有关规定接受处理。</w:t>
            </w:r>
            <w:bookmarkEnd w:id="136"/>
            <w:r>
              <w:rPr>
                <w:rFonts w:hint="eastAsia" w:ascii="宋体" w:hAnsi="宋体" w:eastAsia="宋体" w:cs="宋体"/>
                <w:color w:val="auto"/>
                <w:sz w:val="24"/>
                <w:szCs w:val="24"/>
                <w:highlight w:val="none"/>
              </w:rPr>
              <w:t>附项目管理组织机构设置、职责分工等资料。</w:t>
            </w:r>
          </w:p>
        </w:tc>
      </w:tr>
    </w:tbl>
    <w:p w14:paraId="6BBD5D1E">
      <w:pPr>
        <w:rPr>
          <w:rFonts w:hint="eastAsia" w:ascii="宋体" w:hAnsi="宋体" w:eastAsia="宋体" w:cs="宋体"/>
          <w:color w:val="auto"/>
          <w:highlight w:val="none"/>
        </w:rPr>
      </w:pPr>
    </w:p>
    <w:p w14:paraId="16EE1038">
      <w:pPr>
        <w:autoSpaceDE w:val="0"/>
        <w:autoSpaceDN w:val="0"/>
        <w:spacing w:line="360" w:lineRule="auto"/>
        <w:jc w:val="left"/>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附</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拟投入人员身份证、资格证或岗位证及</w:t>
      </w:r>
      <w:r>
        <w:rPr>
          <w:rFonts w:hint="eastAsia" w:ascii="宋体" w:hAnsi="宋体" w:eastAsia="宋体" w:cs="宋体"/>
          <w:b w:val="0"/>
          <w:bCs/>
          <w:color w:val="auto"/>
          <w:sz w:val="21"/>
          <w:szCs w:val="21"/>
          <w:highlight w:val="none"/>
          <w:lang w:eastAsia="zh-CN"/>
        </w:rPr>
        <w:t>供应商为其缴纳近1个月（202</w:t>
      </w: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eastAsia="zh-CN"/>
        </w:rPr>
        <w:t>年</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eastAsia="zh-CN"/>
        </w:rPr>
        <w:t>月至响应文件提交截止时间止任意一个月社保）社会保险的证明材料</w:t>
      </w:r>
      <w:r>
        <w:rPr>
          <w:rFonts w:hint="eastAsia" w:ascii="宋体" w:hAnsi="宋体" w:eastAsia="宋体" w:cs="宋体"/>
          <w:b w:val="0"/>
          <w:bCs/>
          <w:color w:val="auto"/>
          <w:sz w:val="21"/>
          <w:szCs w:val="21"/>
          <w:highlight w:val="none"/>
        </w:rPr>
        <w:t>，并明显标注拟投入人员社保证明所在位置</w:t>
      </w:r>
      <w:r>
        <w:rPr>
          <w:rFonts w:hint="eastAsia" w:ascii="宋体" w:hAnsi="宋体" w:eastAsia="宋体" w:cs="宋体"/>
          <w:b w:val="0"/>
          <w:bCs/>
          <w:color w:val="auto"/>
          <w:sz w:val="21"/>
          <w:szCs w:val="21"/>
          <w:highlight w:val="none"/>
          <w:lang w:eastAsia="zh-CN"/>
        </w:rPr>
        <w:t>。</w:t>
      </w:r>
    </w:p>
    <w:p w14:paraId="4666C468">
      <w:pPr>
        <w:autoSpaceDE w:val="0"/>
        <w:autoSpaceDN w:val="0"/>
        <w:spacing w:line="360" w:lineRule="auto"/>
        <w:jc w:val="left"/>
        <w:rPr>
          <w:rFonts w:hint="eastAsia" w:ascii="宋体" w:hAnsi="宋体" w:eastAsia="宋体" w:cs="宋体"/>
          <w:b/>
          <w:color w:val="auto"/>
          <w:sz w:val="30"/>
          <w:szCs w:val="30"/>
          <w:highlight w:val="none"/>
        </w:rPr>
      </w:pPr>
    </w:p>
    <w:p w14:paraId="704FF891">
      <w:pPr>
        <w:pStyle w:val="30"/>
        <w:spacing w:line="360" w:lineRule="auto"/>
        <w:ind w:left="420" w:leftChars="200" w:firstLine="0" w:firstLineChars="0"/>
        <w:rPr>
          <w:rFonts w:hint="eastAsia" w:ascii="宋体" w:hAnsi="宋体" w:eastAsia="宋体" w:cs="宋体"/>
          <w:color w:val="auto"/>
          <w:highlight w:val="none"/>
        </w:rPr>
      </w:pPr>
    </w:p>
    <w:p w14:paraId="10407357">
      <w:pPr>
        <w:pStyle w:val="30"/>
        <w:spacing w:line="360" w:lineRule="auto"/>
        <w:ind w:left="0" w:leftChars="0" w:firstLine="0" w:firstLineChars="0"/>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lang w:val="en-US" w:eastAsia="zh-CN"/>
        </w:rPr>
        <w:t>八</w:t>
      </w:r>
      <w:r>
        <w:rPr>
          <w:rFonts w:hint="eastAsia" w:ascii="宋体" w:hAnsi="宋体" w:eastAsia="宋体" w:cs="宋体"/>
          <w:b/>
          <w:color w:val="auto"/>
          <w:sz w:val="32"/>
          <w:szCs w:val="32"/>
          <w:highlight w:val="none"/>
        </w:rPr>
        <w:t>、项目需求、商务条款要求提供的其他材料（格式自拟）</w:t>
      </w:r>
    </w:p>
    <w:p w14:paraId="61B5096E">
      <w:pPr>
        <w:spacing w:line="520" w:lineRule="exact"/>
        <w:jc w:val="center"/>
        <w:rPr>
          <w:rFonts w:hint="eastAsia" w:ascii="宋体" w:hAnsi="宋体" w:eastAsia="宋体" w:cs="宋体"/>
          <w:color w:val="auto"/>
          <w:sz w:val="24"/>
          <w:highlight w:val="none"/>
        </w:rPr>
      </w:pPr>
    </w:p>
    <w:p w14:paraId="0BC30F17">
      <w:pPr>
        <w:spacing w:line="520" w:lineRule="exact"/>
        <w:jc w:val="center"/>
        <w:rPr>
          <w:rFonts w:hint="eastAsia" w:ascii="宋体" w:hAnsi="宋体" w:eastAsia="宋体" w:cs="宋体"/>
          <w:color w:val="auto"/>
          <w:sz w:val="24"/>
          <w:highlight w:val="none"/>
        </w:rPr>
      </w:pPr>
    </w:p>
    <w:p w14:paraId="6E665036">
      <w:pPr>
        <w:spacing w:line="520" w:lineRule="exact"/>
        <w:jc w:val="center"/>
        <w:rPr>
          <w:rFonts w:hint="eastAsia" w:ascii="宋体" w:hAnsi="宋体" w:eastAsia="宋体" w:cs="宋体"/>
          <w:color w:val="auto"/>
          <w:sz w:val="24"/>
          <w:highlight w:val="none"/>
        </w:rPr>
      </w:pPr>
    </w:p>
    <w:p w14:paraId="6B3D8133">
      <w:pPr>
        <w:pStyle w:val="14"/>
        <w:rPr>
          <w:rFonts w:hint="eastAsia" w:ascii="宋体" w:hAnsi="宋体" w:eastAsia="宋体" w:cs="宋体"/>
          <w:color w:val="auto"/>
          <w:sz w:val="24"/>
          <w:highlight w:val="none"/>
        </w:rPr>
      </w:pPr>
    </w:p>
    <w:p w14:paraId="4789D34D">
      <w:pPr>
        <w:pStyle w:val="14"/>
        <w:rPr>
          <w:rFonts w:hint="eastAsia" w:ascii="宋体" w:hAnsi="宋体" w:eastAsia="宋体" w:cs="宋体"/>
          <w:color w:val="auto"/>
          <w:sz w:val="24"/>
          <w:highlight w:val="none"/>
        </w:rPr>
      </w:pPr>
    </w:p>
    <w:p w14:paraId="6BA640D6">
      <w:pPr>
        <w:pStyle w:val="14"/>
        <w:rPr>
          <w:rFonts w:hint="eastAsia" w:ascii="宋体" w:hAnsi="宋体" w:eastAsia="宋体" w:cs="宋体"/>
          <w:color w:val="auto"/>
          <w:sz w:val="24"/>
          <w:highlight w:val="none"/>
        </w:rPr>
      </w:pPr>
    </w:p>
    <w:p w14:paraId="48E1BDC9">
      <w:pPr>
        <w:pStyle w:val="14"/>
        <w:rPr>
          <w:rFonts w:hint="eastAsia" w:ascii="宋体" w:hAnsi="宋体" w:eastAsia="宋体" w:cs="宋体"/>
          <w:color w:val="auto"/>
          <w:sz w:val="24"/>
          <w:highlight w:val="none"/>
        </w:rPr>
      </w:pPr>
    </w:p>
    <w:p w14:paraId="282962B9">
      <w:pPr>
        <w:pStyle w:val="14"/>
        <w:rPr>
          <w:rFonts w:hint="eastAsia" w:ascii="宋体" w:hAnsi="宋体" w:eastAsia="宋体" w:cs="宋体"/>
          <w:color w:val="auto"/>
          <w:sz w:val="24"/>
          <w:highlight w:val="none"/>
        </w:rPr>
      </w:pPr>
    </w:p>
    <w:p w14:paraId="0A2C7FDE">
      <w:pPr>
        <w:pStyle w:val="14"/>
        <w:rPr>
          <w:rFonts w:hint="eastAsia" w:ascii="宋体" w:hAnsi="宋体" w:eastAsia="宋体" w:cs="宋体"/>
          <w:color w:val="auto"/>
          <w:sz w:val="24"/>
          <w:highlight w:val="none"/>
        </w:rPr>
      </w:pPr>
    </w:p>
    <w:p w14:paraId="5E675348">
      <w:pPr>
        <w:pStyle w:val="14"/>
        <w:rPr>
          <w:rFonts w:hint="eastAsia" w:ascii="宋体" w:hAnsi="宋体" w:eastAsia="宋体" w:cs="宋体"/>
          <w:color w:val="auto"/>
          <w:sz w:val="24"/>
          <w:highlight w:val="none"/>
        </w:rPr>
      </w:pPr>
    </w:p>
    <w:p w14:paraId="6785CF4E">
      <w:pPr>
        <w:pStyle w:val="14"/>
        <w:rPr>
          <w:rFonts w:hint="eastAsia" w:ascii="宋体" w:hAnsi="宋体" w:eastAsia="宋体" w:cs="宋体"/>
          <w:color w:val="auto"/>
          <w:sz w:val="24"/>
          <w:highlight w:val="none"/>
        </w:rPr>
      </w:pPr>
    </w:p>
    <w:p w14:paraId="46AD8785">
      <w:pPr>
        <w:pStyle w:val="14"/>
        <w:rPr>
          <w:rFonts w:hint="eastAsia" w:ascii="宋体" w:hAnsi="宋体" w:eastAsia="宋体" w:cs="宋体"/>
          <w:color w:val="auto"/>
          <w:sz w:val="24"/>
          <w:highlight w:val="none"/>
        </w:rPr>
      </w:pPr>
    </w:p>
    <w:p w14:paraId="73C452C9">
      <w:pPr>
        <w:pStyle w:val="14"/>
        <w:rPr>
          <w:rFonts w:hint="eastAsia" w:ascii="宋体" w:hAnsi="宋体" w:eastAsia="宋体" w:cs="宋体"/>
          <w:color w:val="auto"/>
          <w:sz w:val="24"/>
          <w:highlight w:val="none"/>
        </w:rPr>
      </w:pPr>
    </w:p>
    <w:p w14:paraId="5DEC902F">
      <w:pPr>
        <w:pStyle w:val="3"/>
        <w:jc w:val="left"/>
        <w:rPr>
          <w:rFonts w:hint="eastAsia" w:ascii="宋体" w:hAnsi="宋体" w:eastAsia="宋体" w:cs="宋体"/>
          <w:color w:val="auto"/>
          <w:highlight w:val="none"/>
        </w:rPr>
      </w:pPr>
      <w:bookmarkStart w:id="137" w:name="_Toc12495"/>
      <w:bookmarkStart w:id="138" w:name="_Toc15522"/>
      <w:bookmarkStart w:id="139" w:name="_Toc31063"/>
      <w:bookmarkStart w:id="140" w:name="_Toc18913"/>
      <w:bookmarkStart w:id="141" w:name="_Toc19156"/>
      <w:r>
        <w:rPr>
          <w:rFonts w:hint="eastAsia" w:ascii="宋体" w:hAnsi="宋体" w:cs="宋体"/>
          <w:color w:val="auto"/>
          <w:highlight w:val="none"/>
          <w:lang w:val="en-US" w:eastAsia="zh-CN"/>
        </w:rPr>
        <w:t>三</w:t>
      </w:r>
      <w:r>
        <w:rPr>
          <w:rFonts w:hint="eastAsia" w:ascii="宋体" w:hAnsi="宋体" w:cs="宋体"/>
          <w:color w:val="auto"/>
          <w:highlight w:val="none"/>
          <w:lang w:eastAsia="zh-CN"/>
        </w:rPr>
        <w:t>、</w:t>
      </w:r>
      <w:r>
        <w:rPr>
          <w:rFonts w:hint="eastAsia" w:ascii="宋体" w:hAnsi="宋体" w:eastAsia="宋体" w:cs="宋体"/>
          <w:color w:val="auto"/>
          <w:highlight w:val="none"/>
        </w:rPr>
        <w:t>报价文件格式</w:t>
      </w:r>
      <w:bookmarkEnd w:id="137"/>
      <w:bookmarkEnd w:id="138"/>
      <w:bookmarkEnd w:id="139"/>
      <w:bookmarkEnd w:id="140"/>
      <w:bookmarkEnd w:id="141"/>
    </w:p>
    <w:p w14:paraId="2C084C33">
      <w:pPr>
        <w:snapToGrid w:val="0"/>
        <w:spacing w:before="120"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60CC5A2A">
      <w:pPr>
        <w:snapToGrid w:val="0"/>
        <w:spacing w:before="120" w:beforeLines="50" w:after="50"/>
        <w:rPr>
          <w:rFonts w:hint="eastAsia" w:ascii="宋体" w:hAnsi="宋体" w:eastAsia="宋体" w:cs="宋体"/>
          <w:color w:val="auto"/>
          <w:sz w:val="24"/>
          <w:szCs w:val="20"/>
          <w:highlight w:val="none"/>
        </w:rPr>
      </w:pPr>
    </w:p>
    <w:p w14:paraId="205B042A">
      <w:pPr>
        <w:snapToGrid w:val="0"/>
        <w:spacing w:before="120" w:beforeLines="5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lang w:val="en-US" w:eastAsia="zh-CN"/>
        </w:rPr>
        <w:t xml:space="preserve">电 子 </w:t>
      </w:r>
      <w:r>
        <w:rPr>
          <w:rFonts w:hint="eastAsia" w:ascii="宋体" w:hAnsi="宋体" w:eastAsia="宋体" w:cs="宋体"/>
          <w:bCs/>
          <w:color w:val="auto"/>
          <w:sz w:val="44"/>
          <w:szCs w:val="44"/>
          <w:highlight w:val="none"/>
        </w:rPr>
        <w:t>响  应  文  件</w:t>
      </w:r>
    </w:p>
    <w:p w14:paraId="2EED7936">
      <w:pPr>
        <w:snapToGrid w:val="0"/>
        <w:spacing w:before="120" w:beforeLines="50" w:after="50"/>
        <w:rPr>
          <w:rFonts w:hint="eastAsia" w:ascii="宋体" w:hAnsi="宋体" w:eastAsia="宋体" w:cs="宋体"/>
          <w:color w:val="auto"/>
          <w:sz w:val="24"/>
          <w:szCs w:val="20"/>
          <w:highlight w:val="none"/>
        </w:rPr>
      </w:pPr>
    </w:p>
    <w:p w14:paraId="120F7862">
      <w:pPr>
        <w:snapToGrid w:val="0"/>
        <w:spacing w:before="120" w:beforeLines="50" w:after="50"/>
        <w:rPr>
          <w:rFonts w:hint="eastAsia" w:ascii="宋体" w:hAnsi="宋体" w:eastAsia="宋体" w:cs="宋体"/>
          <w:color w:val="auto"/>
          <w:sz w:val="24"/>
          <w:szCs w:val="20"/>
          <w:highlight w:val="none"/>
        </w:rPr>
      </w:pPr>
    </w:p>
    <w:p w14:paraId="67528A64">
      <w:pPr>
        <w:snapToGrid w:val="0"/>
        <w:spacing w:before="120" w:beforeLines="50" w:after="50"/>
        <w:jc w:val="center"/>
        <w:rPr>
          <w:rFonts w:hint="eastAsia" w:ascii="宋体" w:hAnsi="宋体" w:eastAsia="宋体" w:cs="宋体"/>
          <w:b/>
          <w:bCs w:val="0"/>
          <w:color w:val="auto"/>
          <w:sz w:val="44"/>
          <w:szCs w:val="44"/>
          <w:highlight w:val="none"/>
        </w:rPr>
      </w:pPr>
      <w:r>
        <w:rPr>
          <w:rFonts w:hint="eastAsia" w:ascii="宋体" w:hAnsi="宋体" w:eastAsia="宋体" w:cs="宋体"/>
          <w:b/>
          <w:bCs w:val="0"/>
          <w:color w:val="auto"/>
          <w:sz w:val="44"/>
          <w:szCs w:val="44"/>
          <w:highlight w:val="none"/>
        </w:rPr>
        <w:t>报  价  文  件</w:t>
      </w:r>
    </w:p>
    <w:p w14:paraId="47DEBD7B">
      <w:pPr>
        <w:snapToGrid w:val="0"/>
        <w:spacing w:before="120" w:beforeLines="50" w:after="50"/>
        <w:rPr>
          <w:rFonts w:hint="eastAsia" w:ascii="宋体" w:hAnsi="宋体" w:eastAsia="宋体" w:cs="宋体"/>
          <w:bCs/>
          <w:color w:val="auto"/>
          <w:sz w:val="24"/>
          <w:szCs w:val="20"/>
          <w:highlight w:val="none"/>
        </w:rPr>
      </w:pPr>
    </w:p>
    <w:p w14:paraId="2762040B">
      <w:pPr>
        <w:snapToGrid w:val="0"/>
        <w:spacing w:before="120" w:beforeLines="50" w:after="50"/>
        <w:rPr>
          <w:rFonts w:hint="eastAsia" w:ascii="宋体" w:hAnsi="宋体" w:eastAsia="宋体" w:cs="宋体"/>
          <w:bCs/>
          <w:color w:val="auto"/>
          <w:sz w:val="24"/>
          <w:szCs w:val="20"/>
          <w:highlight w:val="none"/>
        </w:rPr>
      </w:pPr>
    </w:p>
    <w:p w14:paraId="18E571E7">
      <w:pPr>
        <w:snapToGrid w:val="0"/>
        <w:spacing w:before="120" w:beforeLines="50" w:after="50"/>
        <w:rPr>
          <w:rFonts w:hint="eastAsia" w:ascii="宋体" w:hAnsi="宋体" w:eastAsia="宋体" w:cs="宋体"/>
          <w:bCs/>
          <w:color w:val="auto"/>
          <w:sz w:val="24"/>
          <w:szCs w:val="20"/>
          <w:highlight w:val="none"/>
        </w:rPr>
      </w:pPr>
    </w:p>
    <w:p w14:paraId="4DBFF2A3">
      <w:pPr>
        <w:snapToGrid w:val="0"/>
        <w:spacing w:before="120" w:beforeLines="50" w:after="50"/>
        <w:rPr>
          <w:rFonts w:hint="eastAsia" w:ascii="宋体" w:hAnsi="宋体" w:eastAsia="宋体" w:cs="宋体"/>
          <w:bCs/>
          <w:color w:val="auto"/>
          <w:sz w:val="24"/>
          <w:szCs w:val="20"/>
          <w:highlight w:val="none"/>
        </w:rPr>
      </w:pPr>
    </w:p>
    <w:p w14:paraId="022022AB">
      <w:pPr>
        <w:snapToGrid w:val="0"/>
        <w:spacing w:before="120" w:beforeLines="50" w:after="50"/>
        <w:rPr>
          <w:rFonts w:hint="eastAsia" w:ascii="宋体" w:hAnsi="宋体" w:eastAsia="宋体" w:cs="宋体"/>
          <w:bCs/>
          <w:color w:val="auto"/>
          <w:sz w:val="24"/>
          <w:szCs w:val="20"/>
          <w:highlight w:val="none"/>
        </w:rPr>
      </w:pPr>
    </w:p>
    <w:p w14:paraId="21C16D8D">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39103BFE">
      <w:pPr>
        <w:snapToGrid w:val="0"/>
        <w:spacing w:before="120" w:beforeLines="50" w:after="50"/>
        <w:ind w:firstLine="720" w:firstLineChars="225"/>
        <w:rPr>
          <w:rFonts w:hint="eastAsia" w:ascii="宋体" w:hAnsi="宋体" w:eastAsia="宋体" w:cs="宋体"/>
          <w:bCs/>
          <w:color w:val="auto"/>
          <w:sz w:val="32"/>
          <w:szCs w:val="32"/>
          <w:highlight w:val="none"/>
        </w:rPr>
      </w:pPr>
    </w:p>
    <w:p w14:paraId="3FC99201">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69F0BEFB">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2B2F3CD0">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37D95A0">
      <w:pPr>
        <w:snapToGrid w:val="0"/>
        <w:spacing w:before="120" w:beforeLines="50" w:after="50"/>
        <w:ind w:firstLine="720" w:firstLineChars="225"/>
        <w:rPr>
          <w:rFonts w:hint="eastAsia" w:ascii="宋体" w:hAnsi="宋体" w:eastAsia="宋体" w:cs="宋体"/>
          <w:bCs/>
          <w:color w:val="auto"/>
          <w:sz w:val="32"/>
          <w:szCs w:val="32"/>
          <w:highlight w:val="none"/>
        </w:rPr>
      </w:pPr>
    </w:p>
    <w:p w14:paraId="6E0EB888">
      <w:pPr>
        <w:pStyle w:val="7"/>
        <w:snapToGrid w:val="0"/>
        <w:spacing w:before="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A7A7590">
      <w:pPr>
        <w:pStyle w:val="7"/>
        <w:snapToGrid w:val="0"/>
        <w:spacing w:before="50" w:after="50"/>
        <w:ind w:firstLine="720" w:firstLineChars="225"/>
        <w:rPr>
          <w:rFonts w:hint="eastAsia" w:ascii="宋体" w:hAnsi="宋体" w:eastAsia="宋体" w:cs="宋体"/>
          <w:bCs/>
          <w:color w:val="auto"/>
          <w:sz w:val="32"/>
          <w:szCs w:val="32"/>
          <w:highlight w:val="none"/>
        </w:rPr>
      </w:pPr>
    </w:p>
    <w:p w14:paraId="221A2B3D">
      <w:pPr>
        <w:pStyle w:val="7"/>
        <w:snapToGrid w:val="0"/>
        <w:spacing w:before="50" w:after="50"/>
        <w:ind w:firstLine="720" w:firstLineChars="225"/>
        <w:rPr>
          <w:rFonts w:hint="eastAsia" w:ascii="宋体" w:hAnsi="宋体" w:eastAsia="宋体" w:cs="宋体"/>
          <w:bCs/>
          <w:color w:val="auto"/>
          <w:sz w:val="32"/>
          <w:szCs w:val="32"/>
          <w:highlight w:val="none"/>
        </w:rPr>
      </w:pPr>
    </w:p>
    <w:p w14:paraId="48482B49">
      <w:pPr>
        <w:pStyle w:val="7"/>
        <w:snapToGrid w:val="0"/>
        <w:spacing w:before="50" w:after="50"/>
        <w:ind w:firstLine="1280" w:firstLineChars="400"/>
        <w:rPr>
          <w:rFonts w:hint="eastAsia" w:ascii="宋体" w:hAnsi="宋体" w:eastAsia="宋体" w:cs="宋体"/>
          <w:bCs/>
          <w:color w:val="auto"/>
          <w:sz w:val="32"/>
          <w:szCs w:val="32"/>
          <w:highlight w:val="none"/>
        </w:rPr>
      </w:pPr>
    </w:p>
    <w:p w14:paraId="40F9A7FB">
      <w:pPr>
        <w:snapToGrid w:val="0"/>
        <w:spacing w:before="120" w:beforeLines="5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4C32648">
      <w:pPr>
        <w:snapToGrid w:val="0"/>
        <w:spacing w:before="120" w:beforeLines="50" w:after="50" w:line="400" w:lineRule="exact"/>
        <w:jc w:val="center"/>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报价文件目录</w:t>
      </w:r>
    </w:p>
    <w:p w14:paraId="3F471B0D">
      <w:pPr>
        <w:rPr>
          <w:rFonts w:hint="eastAsia" w:ascii="宋体" w:hAnsi="宋体" w:eastAsia="宋体" w:cs="宋体"/>
          <w:color w:val="auto"/>
          <w:highlight w:val="none"/>
        </w:rPr>
      </w:pPr>
    </w:p>
    <w:p w14:paraId="06B94D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一、响应函……………………………………………………………………（页码）</w:t>
      </w:r>
    </w:p>
    <w:p w14:paraId="5258BD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二、响应报价表………………………………………………………………（页码）</w:t>
      </w:r>
    </w:p>
    <w:p w14:paraId="73FD2F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三、已标价工程量清单………………………………………………………（页码）</w:t>
      </w:r>
    </w:p>
    <w:p w14:paraId="4E6A12E6">
      <w:pPr>
        <w:snapToGrid w:val="0"/>
        <w:spacing w:before="120" w:beforeLines="50" w:after="50" w:line="360" w:lineRule="auto"/>
        <w:ind w:left="142" w:firstLine="640" w:firstLineChars="200"/>
        <w:jc w:val="left"/>
        <w:rPr>
          <w:rFonts w:hint="eastAsia" w:ascii="宋体" w:hAnsi="宋体" w:eastAsia="宋体" w:cs="宋体"/>
          <w:color w:val="auto"/>
          <w:sz w:val="32"/>
          <w:szCs w:val="32"/>
          <w:highlight w:val="none"/>
        </w:rPr>
      </w:pPr>
    </w:p>
    <w:p w14:paraId="0B58D50F">
      <w:pPr>
        <w:pStyle w:val="11"/>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color w:val="auto"/>
          <w:kern w:val="2"/>
          <w:sz w:val="30"/>
          <w:szCs w:val="30"/>
          <w:highlight w:val="none"/>
        </w:rPr>
        <w:t>一、响应函</w:t>
      </w:r>
    </w:p>
    <w:p w14:paraId="47157465">
      <w:pPr>
        <w:pStyle w:val="11"/>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响</w:t>
      </w:r>
      <w:r>
        <w:rPr>
          <w:rFonts w:hint="eastAsia" w:hAnsi="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应</w:t>
      </w:r>
      <w:r>
        <w:rPr>
          <w:rFonts w:hint="eastAsia" w:hAnsi="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函</w:t>
      </w:r>
    </w:p>
    <w:p w14:paraId="2028C317">
      <w:pPr>
        <w:pStyle w:val="11"/>
        <w:spacing w:line="500" w:lineRule="exact"/>
        <w:rPr>
          <w:rFonts w:hint="eastAsia" w:ascii="宋体" w:hAnsi="宋体" w:eastAsia="宋体" w:cs="宋体"/>
          <w:color w:val="auto"/>
          <w:sz w:val="32"/>
          <w:highlight w:val="none"/>
        </w:rPr>
      </w:pPr>
    </w:p>
    <w:p w14:paraId="14BBD0DF">
      <w:pPr>
        <w:pStyle w:val="11"/>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rPr>
        <w:t>名称）</w:t>
      </w:r>
    </w:p>
    <w:p w14:paraId="1707BC93">
      <w:pPr>
        <w:pStyle w:val="11"/>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项目名称</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val="en-US" w:eastAsia="zh-CN"/>
        </w:rPr>
        <w:t>竞争性磋商文件</w:t>
      </w:r>
      <w:r>
        <w:rPr>
          <w:rFonts w:hint="eastAsia" w:ascii="宋体" w:hAnsi="宋体" w:eastAsia="宋体" w:cs="宋体"/>
          <w:color w:val="auto"/>
          <w:sz w:val="21"/>
          <w:szCs w:val="21"/>
          <w:highlight w:val="none"/>
        </w:rPr>
        <w:t>的全部内容，授权</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eastAsia="zh-CN"/>
        </w:rPr>
        <w:t>（</w:t>
      </w:r>
      <w:r>
        <w:rPr>
          <w:rFonts w:hint="eastAsia" w:ascii="宋体" w:hAnsi="宋体" w:eastAsia="宋体" w:cs="宋体"/>
          <w:color w:val="auto"/>
          <w:sz w:val="21"/>
          <w:szCs w:val="21"/>
          <w:highlight w:val="none"/>
        </w:rPr>
        <w:t>全权代表姓名</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职务、职称</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为全权代表，现正式递交下述文件参加贵方组织的本次政府采购活动： </w:t>
      </w:r>
    </w:p>
    <w:p w14:paraId="545CF77F">
      <w:pPr>
        <w:pStyle w:val="11"/>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一、资格证明文件电子版一份（包含按</w:t>
      </w:r>
      <w:r>
        <w:rPr>
          <w:rFonts w:hint="eastAsia" w:ascii="宋体" w:hAnsi="宋体" w:eastAsia="宋体" w:cs="宋体"/>
          <w:color w:val="auto"/>
          <w:sz w:val="21"/>
          <w:szCs w:val="21"/>
          <w:highlight w:val="none"/>
          <w:lang w:eastAsia="zh-CN"/>
        </w:rPr>
        <w:t>供应商须知前附表</w:t>
      </w:r>
      <w:r>
        <w:rPr>
          <w:rFonts w:hint="eastAsia" w:ascii="宋体" w:hAnsi="宋体" w:eastAsia="宋体" w:cs="宋体"/>
          <w:color w:val="auto"/>
          <w:sz w:val="21"/>
          <w:szCs w:val="21"/>
          <w:highlight w:val="none"/>
        </w:rPr>
        <w:t>要求提交的全部文件）；</w:t>
      </w:r>
    </w:p>
    <w:p w14:paraId="40CF2277">
      <w:pPr>
        <w:pStyle w:val="11"/>
        <w:spacing w:line="440" w:lineRule="exact"/>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二、报价文件电子版一份（包含按</w:t>
      </w:r>
      <w:r>
        <w:rPr>
          <w:rFonts w:hint="eastAsia" w:ascii="宋体" w:hAnsi="宋体" w:eastAsia="宋体" w:cs="宋体"/>
          <w:color w:val="auto"/>
          <w:sz w:val="21"/>
          <w:szCs w:val="21"/>
          <w:highlight w:val="none"/>
          <w:lang w:eastAsia="zh-CN"/>
        </w:rPr>
        <w:t>供应商须知前附表</w:t>
      </w:r>
      <w:r>
        <w:rPr>
          <w:rFonts w:hint="eastAsia" w:ascii="宋体" w:hAnsi="宋体" w:eastAsia="宋体" w:cs="宋体"/>
          <w:color w:val="auto"/>
          <w:sz w:val="21"/>
          <w:szCs w:val="21"/>
          <w:highlight w:val="none"/>
        </w:rPr>
        <w:t>要求提交的全部文件）；</w:t>
      </w:r>
    </w:p>
    <w:p w14:paraId="7F72F65F">
      <w:pPr>
        <w:pStyle w:val="11"/>
        <w:spacing w:line="440" w:lineRule="exact"/>
        <w:ind w:firstLine="48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三、商务</w:t>
      </w: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rPr>
        <w:t>文件电子版一份（包含按</w:t>
      </w:r>
      <w:r>
        <w:rPr>
          <w:rFonts w:hint="eastAsia" w:ascii="宋体" w:hAnsi="宋体" w:eastAsia="宋体" w:cs="宋体"/>
          <w:color w:val="auto"/>
          <w:sz w:val="21"/>
          <w:szCs w:val="21"/>
          <w:highlight w:val="none"/>
          <w:lang w:eastAsia="zh-CN"/>
        </w:rPr>
        <w:t>供应商须知前附表</w:t>
      </w:r>
      <w:r>
        <w:rPr>
          <w:rFonts w:hint="eastAsia" w:ascii="宋体" w:hAnsi="宋体" w:eastAsia="宋体" w:cs="宋体"/>
          <w:color w:val="auto"/>
          <w:sz w:val="21"/>
          <w:szCs w:val="21"/>
          <w:highlight w:val="none"/>
        </w:rPr>
        <w:t>要求提交的全部文件）</w:t>
      </w:r>
      <w:r>
        <w:rPr>
          <w:rFonts w:hint="eastAsia" w:ascii="宋体" w:hAnsi="宋体" w:eastAsia="宋体" w:cs="宋体"/>
          <w:color w:val="auto"/>
          <w:sz w:val="21"/>
          <w:szCs w:val="21"/>
          <w:highlight w:val="none"/>
          <w:lang w:eastAsia="zh-CN"/>
        </w:rPr>
        <w:t>。</w:t>
      </w:r>
    </w:p>
    <w:p w14:paraId="1520225A">
      <w:pPr>
        <w:pStyle w:val="11"/>
        <w:spacing w:line="440" w:lineRule="exact"/>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43FD5285">
      <w:pPr>
        <w:pStyle w:val="11"/>
        <w:spacing w:line="440" w:lineRule="exact"/>
        <w:ind w:firstLine="420" w:firstLineChars="200"/>
        <w:rPr>
          <w:rFonts w:hint="eastAsia" w:ascii="宋体" w:hAnsi="宋体" w:eastAsia="宋体" w:cs="宋体"/>
          <w:color w:val="auto"/>
          <w:sz w:val="21"/>
          <w:szCs w:val="21"/>
          <w:highlight w:val="none"/>
          <w:lang w:eastAsia="zh-CN"/>
        </w:rPr>
      </w:pPr>
      <w:r>
        <w:rPr>
          <w:rFonts w:hint="eastAsia" w:hAnsi="宋体" w:cs="宋体"/>
          <w:color w:val="auto"/>
          <w:sz w:val="21"/>
          <w:szCs w:val="21"/>
          <w:highlight w:val="none"/>
          <w:lang w:eastAsia="zh-CN"/>
        </w:rPr>
        <w:t>1.</w:t>
      </w:r>
      <w:r>
        <w:rPr>
          <w:rFonts w:hint="eastAsia" w:ascii="宋体" w:hAnsi="宋体" w:eastAsia="宋体" w:cs="宋体"/>
          <w:color w:val="auto"/>
          <w:sz w:val="21"/>
          <w:szCs w:val="21"/>
          <w:highlight w:val="none"/>
        </w:rPr>
        <w:t>我方</w:t>
      </w:r>
      <w:r>
        <w:rPr>
          <w:rFonts w:hint="eastAsia" w:ascii="宋体" w:hAnsi="宋体" w:eastAsia="宋体" w:cs="宋体"/>
          <w:color w:val="auto"/>
          <w:sz w:val="21"/>
          <w:szCs w:val="21"/>
          <w:highlight w:val="none"/>
          <w:lang w:val="en-US" w:eastAsia="zh-CN"/>
        </w:rPr>
        <w:t>首次报价为</w:t>
      </w: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（RMB</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并按上述</w:t>
      </w:r>
      <w:r>
        <w:rPr>
          <w:rFonts w:hint="eastAsia" w:ascii="宋体" w:hAnsi="宋体" w:eastAsia="宋体" w:cs="宋体"/>
          <w:color w:val="auto"/>
          <w:sz w:val="21"/>
          <w:szCs w:val="21"/>
          <w:highlight w:val="none"/>
          <w:lang w:val="en-US" w:eastAsia="zh-CN"/>
        </w:rPr>
        <w:t>工程</w:t>
      </w:r>
      <w:r>
        <w:rPr>
          <w:rFonts w:hint="eastAsia" w:ascii="宋体" w:hAnsi="宋体" w:eastAsia="宋体" w:cs="宋体"/>
          <w:color w:val="auto"/>
          <w:sz w:val="21"/>
          <w:szCs w:val="21"/>
          <w:highlight w:val="none"/>
        </w:rPr>
        <w:t>图纸、合同条款、工程建设标准和工程量清单的条件要求承包上述工程的施工、竣工，并承担任何质量缺陷保修责任。我方保证工程质量达到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等级</w:t>
      </w:r>
      <w:r>
        <w:rPr>
          <w:rFonts w:hint="eastAsia" w:ascii="宋体" w:hAnsi="宋体" w:eastAsia="宋体" w:cs="宋体"/>
          <w:color w:val="auto"/>
          <w:sz w:val="21"/>
          <w:szCs w:val="21"/>
          <w:highlight w:val="none"/>
          <w:lang w:eastAsia="zh-CN"/>
        </w:rPr>
        <w:t>。</w:t>
      </w:r>
    </w:p>
    <w:p w14:paraId="6361FD9B">
      <w:pPr>
        <w:pStyle w:val="11"/>
        <w:spacing w:line="360" w:lineRule="exact"/>
        <w:ind w:firstLine="420" w:firstLineChars="200"/>
        <w:rPr>
          <w:rFonts w:hint="eastAsia" w:ascii="宋体" w:hAnsi="宋体" w:eastAsia="宋体" w:cs="宋体"/>
          <w:color w:val="auto"/>
          <w:sz w:val="21"/>
          <w:szCs w:val="21"/>
          <w:highlight w:val="none"/>
          <w:u w:val="single"/>
        </w:rPr>
      </w:pPr>
      <w:r>
        <w:rPr>
          <w:rFonts w:hint="eastAsia" w:hAnsi="宋体" w:cs="宋体"/>
          <w:color w:val="auto"/>
          <w:sz w:val="21"/>
          <w:szCs w:val="21"/>
          <w:highlight w:val="none"/>
          <w:lang w:eastAsia="zh-CN"/>
        </w:rPr>
        <w:t>2.</w:t>
      </w:r>
      <w:r>
        <w:rPr>
          <w:rFonts w:hint="eastAsia" w:ascii="宋体" w:hAnsi="宋体" w:eastAsia="宋体" w:cs="宋体"/>
          <w:color w:val="auto"/>
          <w:sz w:val="21"/>
          <w:szCs w:val="21"/>
          <w:highlight w:val="none"/>
        </w:rPr>
        <w:t>我方所递交的</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文件及有关资料都是内容完整、真实和准确的。</w:t>
      </w:r>
    </w:p>
    <w:p w14:paraId="37EEA9CC">
      <w:pPr>
        <w:pStyle w:val="11"/>
        <w:spacing w:line="360" w:lineRule="exact"/>
        <w:ind w:firstLine="420" w:firstLineChars="200"/>
        <w:rPr>
          <w:rFonts w:hint="eastAsia" w:ascii="宋体" w:hAnsi="宋体" w:eastAsia="宋体" w:cs="宋体"/>
          <w:color w:val="auto"/>
          <w:sz w:val="21"/>
          <w:szCs w:val="21"/>
          <w:highlight w:val="none"/>
          <w:u w:val="single"/>
        </w:rPr>
      </w:pP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我方承诺未被列入失信被执行人、重大税收违法案件当事人名单、政府采购严重违法失信行为记录名单，并已经具备《中华人民共和国政府采购法》中规定的参加政府采购活动应当具备的条件：</w:t>
      </w:r>
    </w:p>
    <w:p w14:paraId="7727B57F">
      <w:pPr>
        <w:pStyle w:val="11"/>
        <w:numPr>
          <w:ilvl w:val="0"/>
          <w:numId w:val="2"/>
        </w:num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3E56251B">
      <w:pPr>
        <w:pStyle w:val="11"/>
        <w:numPr>
          <w:ilvl w:val="0"/>
          <w:numId w:val="2"/>
        </w:num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4DA2E47C">
      <w:pPr>
        <w:pStyle w:val="11"/>
        <w:numPr>
          <w:ilvl w:val="0"/>
          <w:numId w:val="2"/>
        </w:num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67D0403D">
      <w:pPr>
        <w:pStyle w:val="11"/>
        <w:numPr>
          <w:ilvl w:val="0"/>
          <w:numId w:val="2"/>
        </w:num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6562372A">
      <w:pPr>
        <w:pStyle w:val="11"/>
        <w:numPr>
          <w:ilvl w:val="0"/>
          <w:numId w:val="2"/>
        </w:num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5CDDD181">
      <w:pPr>
        <w:pStyle w:val="11"/>
        <w:numPr>
          <w:ilvl w:val="0"/>
          <w:numId w:val="2"/>
        </w:num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13373DCF">
      <w:pPr>
        <w:pStyle w:val="11"/>
        <w:spacing w:line="440" w:lineRule="exact"/>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如</w:t>
      </w:r>
      <w:r>
        <w:rPr>
          <w:rFonts w:hint="eastAsia" w:ascii="宋体" w:hAnsi="宋体" w:eastAsia="宋体" w:cs="宋体"/>
          <w:color w:val="auto"/>
          <w:sz w:val="21"/>
          <w:szCs w:val="21"/>
          <w:highlight w:val="none"/>
        </w:rPr>
        <w:t>我方</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，我方保证按合同书中规定的工期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日历天内完成并移交全部工程。</w:t>
      </w:r>
    </w:p>
    <w:p w14:paraId="2B43B7D2">
      <w:pPr>
        <w:pStyle w:val="11"/>
        <w:spacing w:line="440" w:lineRule="exact"/>
        <w:ind w:firstLine="420" w:firstLineChars="200"/>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如我方</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，我方承诺在收到</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通知书后，在</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通知书规定的期限内，根据</w:t>
      </w:r>
      <w:r>
        <w:rPr>
          <w:rFonts w:hint="eastAsia" w:ascii="宋体" w:hAnsi="宋体" w:eastAsia="宋体" w:cs="宋体"/>
          <w:color w:val="auto"/>
          <w:sz w:val="21"/>
          <w:szCs w:val="21"/>
          <w:highlight w:val="none"/>
          <w:lang w:val="en-US" w:eastAsia="zh-CN"/>
        </w:rPr>
        <w:t>竞争性磋商文件</w:t>
      </w:r>
      <w:r>
        <w:rPr>
          <w:rFonts w:hint="eastAsia" w:ascii="宋体" w:hAnsi="宋体" w:eastAsia="宋体" w:cs="宋体"/>
          <w:color w:val="auto"/>
          <w:sz w:val="21"/>
          <w:szCs w:val="21"/>
          <w:highlight w:val="none"/>
        </w:rPr>
        <w:t>、我方的</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文件及有关澄清承诺书的要求按第</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章“合同文本”与采购人订立书面合同，并按照合同约定承担完成合同的责任和义务。</w:t>
      </w:r>
    </w:p>
    <w:p w14:paraId="504CBD3F">
      <w:pPr>
        <w:pStyle w:val="11"/>
        <w:spacing w:line="440" w:lineRule="exact"/>
        <w:ind w:firstLine="420" w:firstLineChars="200"/>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我方已详细审核招标文件，我方知道必须放弃提出含糊不清或误解问题的权利。</w:t>
      </w:r>
    </w:p>
    <w:p w14:paraId="18E4A3EC">
      <w:pPr>
        <w:pStyle w:val="11"/>
        <w:spacing w:line="440" w:lineRule="exact"/>
        <w:ind w:firstLine="420" w:firstLineChars="200"/>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7.</w:t>
      </w:r>
      <w:r>
        <w:rPr>
          <w:rFonts w:hint="eastAsia" w:ascii="宋体" w:hAnsi="宋体" w:eastAsia="宋体" w:cs="宋体"/>
          <w:color w:val="auto"/>
          <w:sz w:val="21"/>
          <w:szCs w:val="21"/>
          <w:highlight w:val="none"/>
        </w:rPr>
        <w:t>我方同意应贵方要求提供与本</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有关的任何数据或资料。若贵方需要，我方愿意提供我方作出的一切承诺的证明材料。</w:t>
      </w:r>
    </w:p>
    <w:p w14:paraId="4C105CD0">
      <w:pPr>
        <w:pStyle w:val="11"/>
        <w:spacing w:line="440" w:lineRule="exact"/>
        <w:ind w:firstLine="420" w:firstLineChars="200"/>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8.</w:t>
      </w:r>
      <w:r>
        <w:rPr>
          <w:rFonts w:hint="eastAsia" w:ascii="宋体" w:hAnsi="宋体" w:eastAsia="宋体" w:cs="宋体"/>
          <w:color w:val="auto"/>
          <w:sz w:val="21"/>
          <w:szCs w:val="21"/>
          <w:highlight w:val="none"/>
        </w:rPr>
        <w:t>我方完全理解贵方不一定接受报价最低的</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供应商的行为。</w:t>
      </w:r>
    </w:p>
    <w:p w14:paraId="069F2587">
      <w:pPr>
        <w:pStyle w:val="11"/>
        <w:spacing w:line="440" w:lineRule="exact"/>
        <w:ind w:firstLine="420" w:firstLineChars="200"/>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rPr>
        <w:t>我方将严格遵守《中华人民共和国政府采购法》第七十七条的规定，即</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AEB764C">
      <w:pPr>
        <w:pStyle w:val="11"/>
        <w:numPr>
          <w:ilvl w:val="0"/>
          <w:numId w:val="3"/>
        </w:num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07C2B899">
      <w:pPr>
        <w:pStyle w:val="11"/>
        <w:numPr>
          <w:ilvl w:val="0"/>
          <w:numId w:val="3"/>
        </w:num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的；</w:t>
      </w:r>
    </w:p>
    <w:p w14:paraId="4794AF6C">
      <w:pPr>
        <w:pStyle w:val="11"/>
        <w:numPr>
          <w:ilvl w:val="0"/>
          <w:numId w:val="3"/>
        </w:num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或者采购代理机构恶意串通的；</w:t>
      </w:r>
    </w:p>
    <w:p w14:paraId="48FD30F4">
      <w:pPr>
        <w:pStyle w:val="11"/>
        <w:numPr>
          <w:ilvl w:val="0"/>
          <w:numId w:val="3"/>
        </w:num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0556D404">
      <w:pPr>
        <w:pStyle w:val="11"/>
        <w:numPr>
          <w:ilvl w:val="0"/>
          <w:numId w:val="3"/>
        </w:num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在招标采购过程中与采购人进行协商谈判的；</w:t>
      </w:r>
    </w:p>
    <w:p w14:paraId="5F9F8F42">
      <w:pPr>
        <w:pStyle w:val="11"/>
        <w:numPr>
          <w:ilvl w:val="0"/>
          <w:numId w:val="3"/>
        </w:num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拒绝有关部门监督检查或提供虚假情况的。</w:t>
      </w:r>
    </w:p>
    <w:p w14:paraId="1F7A4EA5">
      <w:pPr>
        <w:pStyle w:val="11"/>
        <w:spacing w:line="440" w:lineRule="exact"/>
        <w:ind w:left="420"/>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11.</w:t>
      </w:r>
      <w:r>
        <w:rPr>
          <w:rFonts w:hint="eastAsia" w:ascii="宋体" w:hAnsi="宋体" w:eastAsia="宋体" w:cs="宋体"/>
          <w:color w:val="auto"/>
          <w:sz w:val="21"/>
          <w:szCs w:val="21"/>
          <w:highlight w:val="none"/>
        </w:rPr>
        <w:t>我方及由本人担任法定代表人的其他机构最近三年内被处罚的违法行为有：</w:t>
      </w:r>
      <w:r>
        <w:rPr>
          <w:rFonts w:hint="eastAsia" w:ascii="宋体" w:hAnsi="宋体" w:eastAsia="宋体" w:cs="宋体"/>
          <w:color w:val="auto"/>
          <w:sz w:val="21"/>
          <w:szCs w:val="21"/>
          <w:highlight w:val="none"/>
          <w:u w:val="single"/>
        </w:rPr>
        <w:t xml:space="preserve">                                        </w:t>
      </w:r>
    </w:p>
    <w:p w14:paraId="7876F882">
      <w:pPr>
        <w:pStyle w:val="11"/>
        <w:spacing w:line="440" w:lineRule="exact"/>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p>
    <w:p w14:paraId="1C872FB2">
      <w:pPr>
        <w:pStyle w:val="11"/>
        <w:spacing w:line="360" w:lineRule="auto"/>
        <w:ind w:firstLine="420" w:firstLineChars="200"/>
        <w:contextualSpacing/>
        <w:rPr>
          <w:rFonts w:hint="eastAsia" w:ascii="宋体" w:hAnsi="宋体" w:eastAsia="宋体" w:cs="宋体"/>
          <w:color w:val="auto"/>
          <w:highlight w:val="none"/>
        </w:rPr>
      </w:pPr>
      <w:r>
        <w:rPr>
          <w:rFonts w:hint="eastAsia" w:hAnsi="宋体" w:cs="宋体"/>
          <w:color w:val="auto"/>
          <w:sz w:val="21"/>
          <w:szCs w:val="21"/>
          <w:highlight w:val="none"/>
          <w:lang w:eastAsia="zh-CN"/>
        </w:rPr>
        <w:t>12.</w:t>
      </w:r>
      <w:r>
        <w:rPr>
          <w:rFonts w:hint="eastAsia" w:ascii="宋体" w:hAnsi="宋体" w:eastAsia="宋体" w:cs="宋体"/>
          <w:color w:val="auto"/>
          <w:sz w:val="21"/>
          <w:szCs w:val="21"/>
          <w:highlight w:val="none"/>
        </w:rPr>
        <w:t>以上事项如有虚假或隐瞒，我方愿意承担一切后果，并不再寻求任何旨在减轻或免除法律责任的辩解</w:t>
      </w:r>
      <w:r>
        <w:rPr>
          <w:rFonts w:hint="eastAsia" w:ascii="宋体" w:hAnsi="宋体" w:eastAsia="宋体" w:cs="宋体"/>
          <w:color w:val="auto"/>
          <w:highlight w:val="none"/>
        </w:rPr>
        <w:t>。</w:t>
      </w:r>
    </w:p>
    <w:p w14:paraId="5D4F7FBE">
      <w:pPr>
        <w:pStyle w:val="11"/>
        <w:spacing w:line="360" w:lineRule="auto"/>
        <w:ind w:firstLine="420"/>
        <w:rPr>
          <w:rFonts w:hint="eastAsia" w:ascii="宋体" w:hAnsi="宋体" w:eastAsia="宋体" w:cs="宋体"/>
          <w:color w:val="auto"/>
          <w:highlight w:val="none"/>
        </w:rPr>
      </w:pPr>
      <w:r>
        <w:rPr>
          <w:rFonts w:hint="eastAsia" w:hAnsi="宋体" w:cs="宋体"/>
          <w:color w:val="auto"/>
          <w:highlight w:val="none"/>
          <w:lang w:val="en-US" w:eastAsia="zh-CN"/>
        </w:rPr>
        <w:t>13.</w:t>
      </w:r>
      <w:r>
        <w:rPr>
          <w:rFonts w:hint="eastAsia" w:ascii="宋体" w:hAnsi="宋体" w:eastAsia="宋体" w:cs="宋体"/>
          <w:color w:val="auto"/>
          <w:highlight w:val="none"/>
        </w:rPr>
        <w:t>与本</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有关的一切正式往来信函请寄：</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59BB95FD">
      <w:pPr>
        <w:pStyle w:val="11"/>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2E7E1674">
      <w:pPr>
        <w:pStyle w:val="11"/>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电话：</w:t>
      </w:r>
      <w:r>
        <w:rPr>
          <w:rFonts w:hint="eastAsia" w:ascii="宋体" w:hAnsi="宋体" w:eastAsia="宋体" w:cs="宋体"/>
          <w:color w:val="auto"/>
          <w:highlight w:val="none"/>
          <w:u w:val="single"/>
        </w:rPr>
        <w:t xml:space="preserve">                                      　　　　　　　　　</w:t>
      </w:r>
    </w:p>
    <w:p w14:paraId="3C97AFCC">
      <w:pPr>
        <w:pStyle w:val="11"/>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传真：</w:t>
      </w:r>
      <w:r>
        <w:rPr>
          <w:rFonts w:hint="eastAsia" w:ascii="宋体" w:hAnsi="宋体" w:eastAsia="宋体" w:cs="宋体"/>
          <w:color w:val="auto"/>
          <w:highlight w:val="none"/>
          <w:u w:val="single"/>
        </w:rPr>
        <w:t>　　　　　　　　　　　　　　　　　　　　　　　　　　　　</w:t>
      </w:r>
    </w:p>
    <w:p w14:paraId="1C36C7AE">
      <w:pPr>
        <w:pStyle w:val="11"/>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 xml:space="preserve">                                                    </w:t>
      </w:r>
    </w:p>
    <w:p w14:paraId="371325BD">
      <w:pPr>
        <w:pStyle w:val="11"/>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开户名称：</w:t>
      </w:r>
      <w:r>
        <w:rPr>
          <w:rFonts w:hint="eastAsia" w:ascii="宋体" w:hAnsi="宋体" w:eastAsia="宋体" w:cs="宋体"/>
          <w:color w:val="auto"/>
          <w:highlight w:val="none"/>
          <w:u w:val="single"/>
        </w:rPr>
        <w:t xml:space="preserve">                                                    </w:t>
      </w:r>
    </w:p>
    <w:p w14:paraId="1FE1E2EB">
      <w:pPr>
        <w:pStyle w:val="11"/>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开户银行：</w:t>
      </w:r>
      <w:r>
        <w:rPr>
          <w:rFonts w:hint="eastAsia" w:ascii="宋体" w:hAnsi="宋体" w:eastAsia="宋体" w:cs="宋体"/>
          <w:color w:val="auto"/>
          <w:highlight w:val="none"/>
          <w:u w:val="single"/>
        </w:rPr>
        <w:t xml:space="preserve">                                                    </w:t>
      </w:r>
    </w:p>
    <w:p w14:paraId="19A5FCA0">
      <w:pPr>
        <w:pStyle w:val="11"/>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银行账号：</w:t>
      </w:r>
      <w:r>
        <w:rPr>
          <w:rFonts w:hint="eastAsia" w:ascii="宋体" w:hAnsi="宋体" w:eastAsia="宋体" w:cs="宋体"/>
          <w:color w:val="auto"/>
          <w:highlight w:val="none"/>
          <w:u w:val="single"/>
        </w:rPr>
        <w:t xml:space="preserve">                                                    </w:t>
      </w:r>
    </w:p>
    <w:p w14:paraId="18B4ECAC">
      <w:pPr>
        <w:pStyle w:val="12"/>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2488E74A">
      <w:pPr>
        <w:spacing w:line="360" w:lineRule="auto"/>
        <w:contextualSpacing/>
        <w:jc w:val="left"/>
        <w:rPr>
          <w:rFonts w:hint="eastAsia" w:ascii="宋体" w:hAnsi="宋体" w:eastAsia="宋体" w:cs="宋体"/>
          <w:color w:val="auto"/>
          <w:szCs w:val="21"/>
          <w:highlight w:val="none"/>
        </w:rPr>
      </w:pPr>
    </w:p>
    <w:p w14:paraId="0BE6BD01">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8BE7730">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74C643F6">
      <w:pPr>
        <w:pStyle w:val="11"/>
        <w:spacing w:line="360" w:lineRule="auto"/>
        <w:ind w:firstLine="420"/>
        <w:rPr>
          <w:rFonts w:hint="eastAsia" w:ascii="宋体" w:hAnsi="宋体" w:eastAsia="宋体" w:cs="宋体"/>
          <w:color w:val="auto"/>
          <w:highlight w:val="none"/>
        </w:rPr>
      </w:pPr>
    </w:p>
    <w:p w14:paraId="6E3AF84E">
      <w:pPr>
        <w:spacing w:line="520" w:lineRule="exact"/>
        <w:ind w:firstLine="420" w:firstLineChars="200"/>
        <w:rPr>
          <w:rFonts w:hint="eastAsia" w:ascii="宋体" w:hAnsi="宋体" w:eastAsia="宋体" w:cs="宋体"/>
          <w:color w:val="auto"/>
          <w:highlight w:val="none"/>
        </w:rPr>
        <w:sectPr>
          <w:pgSz w:w="11911" w:h="16838"/>
          <w:pgMar w:top="1417" w:right="1417" w:bottom="1134" w:left="1417" w:header="720" w:footer="720" w:gutter="0"/>
          <w:pgBorders>
            <w:top w:val="none" w:sz="0" w:space="0"/>
            <w:left w:val="none" w:sz="0" w:space="0"/>
            <w:bottom w:val="none" w:sz="0" w:space="0"/>
            <w:right w:val="none" w:sz="0" w:space="0"/>
          </w:pgBorders>
          <w:pgNumType w:fmt="numberInDash"/>
          <w:cols w:space="0" w:num="1"/>
          <w:rtlGutter w:val="0"/>
          <w:docGrid w:linePitch="0" w:charSpace="0"/>
        </w:sectPr>
      </w:pPr>
    </w:p>
    <w:p w14:paraId="54413B8D">
      <w:pPr>
        <w:pStyle w:val="11"/>
        <w:spacing w:line="500" w:lineRule="exact"/>
        <w:ind w:firstLine="602" w:firstLineChars="200"/>
        <w:rPr>
          <w:rFonts w:hint="eastAsia" w:ascii="宋体" w:hAnsi="宋体" w:eastAsia="宋体" w:cs="宋体"/>
          <w:b/>
          <w:color w:val="auto"/>
          <w:kern w:val="2"/>
          <w:sz w:val="30"/>
          <w:szCs w:val="30"/>
          <w:highlight w:val="none"/>
        </w:rPr>
      </w:pPr>
      <w:r>
        <w:rPr>
          <w:rFonts w:hint="eastAsia" w:ascii="宋体" w:hAnsi="宋体" w:eastAsia="宋体" w:cs="宋体"/>
          <w:b/>
          <w:color w:val="auto"/>
          <w:kern w:val="2"/>
          <w:sz w:val="30"/>
          <w:szCs w:val="30"/>
          <w:highlight w:val="none"/>
        </w:rPr>
        <w:t xml:space="preserve">二、响应报价表 </w:t>
      </w:r>
    </w:p>
    <w:p w14:paraId="17B4F852">
      <w:pPr>
        <w:jc w:val="center"/>
        <w:rPr>
          <w:rFonts w:hint="eastAsia"/>
          <w:color w:val="auto"/>
          <w:sz w:val="32"/>
          <w:szCs w:val="32"/>
          <w:highlight w:val="none"/>
        </w:rPr>
      </w:pPr>
      <w:r>
        <w:rPr>
          <w:rFonts w:hint="eastAsia" w:ascii="宋体" w:hAnsi="宋体" w:eastAsia="宋体" w:cs="宋体"/>
          <w:b/>
          <w:color w:val="auto"/>
          <w:kern w:val="2"/>
          <w:sz w:val="32"/>
          <w:szCs w:val="32"/>
          <w:highlight w:val="none"/>
        </w:rPr>
        <w:t>响应报价表</w:t>
      </w:r>
    </w:p>
    <w:p w14:paraId="06984C6D">
      <w:pPr>
        <w:rPr>
          <w:rFonts w:hint="eastAsia"/>
          <w:color w:val="auto"/>
          <w:highlight w:val="none"/>
        </w:rPr>
      </w:pPr>
    </w:p>
    <w:p w14:paraId="54388E98">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项目编号：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1A8867E7">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2275"/>
        <w:gridCol w:w="788"/>
      </w:tblGrid>
      <w:tr w14:paraId="7E26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060D041D">
            <w:pPr>
              <w:rPr>
                <w:rFonts w:hint="eastAsia" w:ascii="宋体" w:hAnsi="宋体" w:eastAsia="宋体" w:cs="宋体"/>
                <w:color w:val="auto"/>
                <w:szCs w:val="22"/>
                <w:highlight w:val="none"/>
              </w:rPr>
            </w:pPr>
            <w:r>
              <w:rPr>
                <w:rFonts w:hint="eastAsia" w:ascii="宋体" w:hAnsi="宋体" w:eastAsia="宋体" w:cs="宋体"/>
                <w:color w:val="auto"/>
                <w:szCs w:val="22"/>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1BB13DE">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项目名称</w:t>
            </w:r>
          </w:p>
        </w:tc>
        <w:tc>
          <w:tcPr>
            <w:tcW w:w="2064" w:type="dxa"/>
            <w:tcBorders>
              <w:top w:val="single" w:color="auto" w:sz="4" w:space="0"/>
              <w:left w:val="single" w:color="auto" w:sz="4" w:space="0"/>
              <w:bottom w:val="single" w:color="auto" w:sz="4" w:space="0"/>
              <w:right w:val="single" w:color="auto" w:sz="4" w:space="0"/>
            </w:tcBorders>
            <w:noWrap w:val="0"/>
            <w:vAlign w:val="center"/>
          </w:tcPr>
          <w:p w14:paraId="4B9C362B">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项目内容</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89C232C">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数量①</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216DB55">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单价</w:t>
            </w:r>
            <w:r>
              <w:rPr>
                <w:rFonts w:hint="eastAsia" w:ascii="宋体" w:hAnsi="宋体" w:cs="宋体"/>
                <w:color w:val="auto"/>
                <w:szCs w:val="22"/>
                <w:highlight w:val="none"/>
                <w:lang w:eastAsia="zh-CN"/>
              </w:rPr>
              <w:t>（</w:t>
            </w:r>
            <w:r>
              <w:rPr>
                <w:rFonts w:hint="eastAsia" w:ascii="宋体" w:hAnsi="宋体" w:eastAsia="宋体" w:cs="宋体"/>
                <w:color w:val="auto"/>
                <w:szCs w:val="22"/>
                <w:highlight w:val="none"/>
              </w:rPr>
              <w:t>元</w:t>
            </w:r>
            <w:r>
              <w:rPr>
                <w:rFonts w:hint="eastAsia" w:ascii="宋体" w:hAnsi="宋体" w:cs="宋体"/>
                <w:color w:val="auto"/>
                <w:szCs w:val="22"/>
                <w:highlight w:val="none"/>
                <w:lang w:eastAsia="zh-CN"/>
              </w:rPr>
              <w:t>）</w:t>
            </w:r>
            <w:r>
              <w:rPr>
                <w:rFonts w:hint="eastAsia" w:ascii="宋体" w:hAnsi="宋体" w:eastAsia="宋体" w:cs="宋体"/>
                <w:color w:val="auto"/>
                <w:szCs w:val="22"/>
                <w:highlight w:val="none"/>
              </w:rPr>
              <w:t>②</w:t>
            </w:r>
          </w:p>
        </w:tc>
        <w:tc>
          <w:tcPr>
            <w:tcW w:w="2275" w:type="dxa"/>
            <w:tcBorders>
              <w:top w:val="single" w:color="auto" w:sz="4" w:space="0"/>
              <w:left w:val="single" w:color="auto" w:sz="4" w:space="0"/>
              <w:bottom w:val="single" w:color="auto" w:sz="4" w:space="0"/>
              <w:right w:val="single" w:color="auto" w:sz="4" w:space="0"/>
            </w:tcBorders>
            <w:noWrap w:val="0"/>
            <w:vAlign w:val="center"/>
          </w:tcPr>
          <w:p w14:paraId="5F149DF9">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单项合价（元）</w:t>
            </w:r>
          </w:p>
          <w:p w14:paraId="5C66E60F">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③</w:t>
            </w:r>
            <w:r>
              <w:rPr>
                <w:rFonts w:hint="eastAsia" w:ascii="宋体" w:hAnsi="宋体" w:cs="宋体"/>
                <w:color w:val="auto"/>
                <w:szCs w:val="22"/>
                <w:highlight w:val="none"/>
                <w:lang w:eastAsia="zh-CN"/>
              </w:rPr>
              <w:t>=</w:t>
            </w:r>
            <w:r>
              <w:rPr>
                <w:rFonts w:hint="eastAsia" w:ascii="宋体" w:hAnsi="宋体" w:eastAsia="宋体" w:cs="宋体"/>
                <w:color w:val="auto"/>
                <w:szCs w:val="22"/>
                <w:highlight w:val="none"/>
              </w:rPr>
              <w:t>①×②</w:t>
            </w:r>
          </w:p>
        </w:tc>
        <w:tc>
          <w:tcPr>
            <w:tcW w:w="788" w:type="dxa"/>
            <w:tcBorders>
              <w:top w:val="single" w:color="auto" w:sz="4" w:space="0"/>
              <w:left w:val="single" w:color="auto" w:sz="4" w:space="0"/>
              <w:bottom w:val="single" w:color="auto" w:sz="4" w:space="0"/>
              <w:right w:val="single" w:color="auto" w:sz="4" w:space="0"/>
            </w:tcBorders>
            <w:noWrap w:val="0"/>
            <w:vAlign w:val="top"/>
          </w:tcPr>
          <w:p w14:paraId="710EFA1E">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备注</w:t>
            </w:r>
          </w:p>
        </w:tc>
      </w:tr>
      <w:tr w14:paraId="3A28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0171DAD1">
            <w:pPr>
              <w:rPr>
                <w:rFonts w:hint="eastAsia" w:ascii="宋体" w:hAnsi="宋体" w:eastAsia="宋体" w:cs="宋体"/>
                <w:color w:val="auto"/>
                <w:szCs w:val="22"/>
                <w:highlight w:val="none"/>
              </w:rPr>
            </w:pPr>
            <w:r>
              <w:rPr>
                <w:rFonts w:hint="eastAsia" w:ascii="宋体" w:hAnsi="宋体" w:eastAsia="宋体" w:cs="宋体"/>
                <w:color w:val="auto"/>
                <w:szCs w:val="22"/>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D629913">
            <w:pPr>
              <w:rPr>
                <w:rFonts w:hint="eastAsia" w:ascii="宋体" w:hAnsi="宋体" w:eastAsia="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488EBFDA">
            <w:pPr>
              <w:rPr>
                <w:rFonts w:hint="eastAsia" w:ascii="宋体" w:hAnsi="宋体" w:eastAsia="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741FC08">
            <w:pPr>
              <w:rPr>
                <w:rFonts w:hint="eastAsia" w:ascii="宋体" w:hAnsi="宋体" w:eastAsia="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36F317E">
            <w:pPr>
              <w:rPr>
                <w:rFonts w:hint="eastAsia" w:ascii="宋体" w:hAnsi="宋体" w:eastAsia="宋体" w:cs="宋体"/>
                <w:color w:val="auto"/>
                <w:szCs w:val="22"/>
                <w:highlight w:val="none"/>
              </w:rPr>
            </w:pPr>
          </w:p>
        </w:tc>
        <w:tc>
          <w:tcPr>
            <w:tcW w:w="2275" w:type="dxa"/>
            <w:tcBorders>
              <w:top w:val="single" w:color="auto" w:sz="4" w:space="0"/>
              <w:left w:val="single" w:color="auto" w:sz="4" w:space="0"/>
              <w:bottom w:val="single" w:color="auto" w:sz="4" w:space="0"/>
              <w:right w:val="single" w:color="auto" w:sz="4" w:space="0"/>
            </w:tcBorders>
            <w:noWrap w:val="0"/>
            <w:vAlign w:val="center"/>
          </w:tcPr>
          <w:p w14:paraId="7ED4C73B">
            <w:pPr>
              <w:rPr>
                <w:rFonts w:hint="eastAsia" w:ascii="宋体" w:hAnsi="宋体" w:eastAsia="宋体" w:cs="宋体"/>
                <w:color w:val="auto"/>
                <w:szCs w:val="22"/>
                <w:highlight w:val="none"/>
              </w:rPr>
            </w:pPr>
          </w:p>
        </w:tc>
        <w:tc>
          <w:tcPr>
            <w:tcW w:w="788" w:type="dxa"/>
            <w:tcBorders>
              <w:top w:val="single" w:color="auto" w:sz="4" w:space="0"/>
              <w:left w:val="single" w:color="auto" w:sz="4" w:space="0"/>
              <w:bottom w:val="single" w:color="auto" w:sz="4" w:space="0"/>
              <w:right w:val="single" w:color="auto" w:sz="4" w:space="0"/>
            </w:tcBorders>
            <w:noWrap w:val="0"/>
            <w:vAlign w:val="top"/>
          </w:tcPr>
          <w:p w14:paraId="3E0ABF90">
            <w:pPr>
              <w:rPr>
                <w:rFonts w:hint="eastAsia" w:ascii="宋体" w:hAnsi="宋体" w:eastAsia="宋体" w:cs="宋体"/>
                <w:color w:val="auto"/>
                <w:szCs w:val="22"/>
                <w:highlight w:val="none"/>
              </w:rPr>
            </w:pPr>
          </w:p>
        </w:tc>
      </w:tr>
      <w:tr w14:paraId="4A32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78435304">
            <w:pPr>
              <w:rPr>
                <w:rFonts w:hint="eastAsia" w:ascii="宋体" w:hAnsi="宋体" w:eastAsia="宋体" w:cs="宋体"/>
                <w:color w:val="auto"/>
                <w:szCs w:val="22"/>
                <w:highlight w:val="none"/>
              </w:rPr>
            </w:pPr>
            <w:r>
              <w:rPr>
                <w:rFonts w:hint="eastAsia" w:ascii="宋体" w:hAnsi="宋体" w:eastAsia="宋体" w:cs="宋体"/>
                <w:color w:val="auto"/>
                <w:szCs w:val="22"/>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4D6CE69">
            <w:pPr>
              <w:rPr>
                <w:rFonts w:hint="eastAsia" w:ascii="宋体" w:hAnsi="宋体" w:eastAsia="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1EB785AD">
            <w:pPr>
              <w:rPr>
                <w:rFonts w:hint="eastAsia" w:ascii="宋体" w:hAnsi="宋体" w:eastAsia="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A30F91A">
            <w:pPr>
              <w:rPr>
                <w:rFonts w:hint="eastAsia" w:ascii="宋体" w:hAnsi="宋体" w:eastAsia="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0C09B24">
            <w:pPr>
              <w:rPr>
                <w:rFonts w:hint="eastAsia" w:ascii="宋体" w:hAnsi="宋体" w:eastAsia="宋体" w:cs="宋体"/>
                <w:color w:val="auto"/>
                <w:szCs w:val="22"/>
                <w:highlight w:val="none"/>
              </w:rPr>
            </w:pPr>
          </w:p>
        </w:tc>
        <w:tc>
          <w:tcPr>
            <w:tcW w:w="2275" w:type="dxa"/>
            <w:tcBorders>
              <w:top w:val="single" w:color="auto" w:sz="4" w:space="0"/>
              <w:left w:val="single" w:color="auto" w:sz="4" w:space="0"/>
              <w:bottom w:val="single" w:color="auto" w:sz="4" w:space="0"/>
              <w:right w:val="single" w:color="auto" w:sz="4" w:space="0"/>
            </w:tcBorders>
            <w:noWrap w:val="0"/>
            <w:vAlign w:val="center"/>
          </w:tcPr>
          <w:p w14:paraId="20F46E61">
            <w:pPr>
              <w:rPr>
                <w:rFonts w:hint="eastAsia" w:ascii="宋体" w:hAnsi="宋体" w:eastAsia="宋体" w:cs="宋体"/>
                <w:color w:val="auto"/>
                <w:szCs w:val="22"/>
                <w:highlight w:val="none"/>
              </w:rPr>
            </w:pPr>
          </w:p>
        </w:tc>
        <w:tc>
          <w:tcPr>
            <w:tcW w:w="788" w:type="dxa"/>
            <w:tcBorders>
              <w:top w:val="single" w:color="auto" w:sz="4" w:space="0"/>
              <w:left w:val="single" w:color="auto" w:sz="4" w:space="0"/>
              <w:bottom w:val="single" w:color="auto" w:sz="4" w:space="0"/>
              <w:right w:val="single" w:color="auto" w:sz="4" w:space="0"/>
            </w:tcBorders>
            <w:noWrap w:val="0"/>
            <w:vAlign w:val="top"/>
          </w:tcPr>
          <w:p w14:paraId="09D16DCE">
            <w:pPr>
              <w:rPr>
                <w:rFonts w:hint="eastAsia" w:ascii="宋体" w:hAnsi="宋体" w:eastAsia="宋体" w:cs="宋体"/>
                <w:color w:val="auto"/>
                <w:szCs w:val="22"/>
                <w:highlight w:val="none"/>
              </w:rPr>
            </w:pPr>
          </w:p>
        </w:tc>
      </w:tr>
      <w:tr w14:paraId="6C3C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7BCA6C28">
            <w:pPr>
              <w:rPr>
                <w:rFonts w:hint="eastAsia" w:ascii="宋体" w:hAnsi="宋体" w:eastAsia="宋体" w:cs="宋体"/>
                <w:color w:val="auto"/>
                <w:szCs w:val="22"/>
                <w:highlight w:val="none"/>
              </w:rPr>
            </w:pPr>
            <w:r>
              <w:rPr>
                <w:rFonts w:hint="eastAsia" w:ascii="宋体" w:hAnsi="宋体" w:eastAsia="宋体" w:cs="宋体"/>
                <w:color w:val="auto"/>
                <w:szCs w:val="22"/>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5473F34">
            <w:pPr>
              <w:rPr>
                <w:rFonts w:hint="eastAsia" w:ascii="宋体" w:hAnsi="宋体" w:eastAsia="宋体" w:cs="宋体"/>
                <w:color w:val="auto"/>
                <w:szCs w:val="22"/>
                <w:highlight w:val="none"/>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6B839898">
            <w:pPr>
              <w:rPr>
                <w:rFonts w:hint="eastAsia" w:ascii="宋体" w:hAnsi="宋体" w:eastAsia="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5464395">
            <w:pPr>
              <w:rPr>
                <w:rFonts w:hint="eastAsia" w:ascii="宋体" w:hAnsi="宋体" w:eastAsia="宋体" w:cs="宋体"/>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94C674F">
            <w:pPr>
              <w:rPr>
                <w:rFonts w:hint="eastAsia" w:ascii="宋体" w:hAnsi="宋体" w:eastAsia="宋体" w:cs="宋体"/>
                <w:color w:val="auto"/>
                <w:szCs w:val="22"/>
                <w:highlight w:val="none"/>
              </w:rPr>
            </w:pPr>
          </w:p>
        </w:tc>
        <w:tc>
          <w:tcPr>
            <w:tcW w:w="2275" w:type="dxa"/>
            <w:tcBorders>
              <w:top w:val="single" w:color="auto" w:sz="4" w:space="0"/>
              <w:left w:val="single" w:color="auto" w:sz="4" w:space="0"/>
              <w:bottom w:val="single" w:color="auto" w:sz="4" w:space="0"/>
              <w:right w:val="single" w:color="auto" w:sz="4" w:space="0"/>
            </w:tcBorders>
            <w:noWrap w:val="0"/>
            <w:vAlign w:val="center"/>
          </w:tcPr>
          <w:p w14:paraId="7EF3F589">
            <w:pPr>
              <w:rPr>
                <w:rFonts w:hint="eastAsia" w:ascii="宋体" w:hAnsi="宋体" w:eastAsia="宋体" w:cs="宋体"/>
                <w:color w:val="auto"/>
                <w:szCs w:val="22"/>
                <w:highlight w:val="none"/>
              </w:rPr>
            </w:pPr>
          </w:p>
        </w:tc>
        <w:tc>
          <w:tcPr>
            <w:tcW w:w="788" w:type="dxa"/>
            <w:tcBorders>
              <w:top w:val="single" w:color="auto" w:sz="4" w:space="0"/>
              <w:left w:val="single" w:color="auto" w:sz="4" w:space="0"/>
              <w:bottom w:val="single" w:color="auto" w:sz="4" w:space="0"/>
              <w:right w:val="single" w:color="auto" w:sz="4" w:space="0"/>
            </w:tcBorders>
            <w:noWrap w:val="0"/>
            <w:vAlign w:val="top"/>
          </w:tcPr>
          <w:p w14:paraId="5A081615">
            <w:pPr>
              <w:rPr>
                <w:rFonts w:hint="eastAsia" w:ascii="宋体" w:hAnsi="宋体" w:eastAsia="宋体" w:cs="宋体"/>
                <w:color w:val="auto"/>
                <w:szCs w:val="22"/>
                <w:highlight w:val="none"/>
              </w:rPr>
            </w:pPr>
          </w:p>
        </w:tc>
      </w:tr>
      <w:tr w14:paraId="1193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446" w:type="dxa"/>
            <w:gridSpan w:val="7"/>
            <w:tcBorders>
              <w:top w:val="single" w:color="auto" w:sz="4" w:space="0"/>
              <w:left w:val="single" w:color="auto" w:sz="4" w:space="0"/>
              <w:bottom w:val="single" w:color="auto" w:sz="4" w:space="0"/>
              <w:right w:val="single" w:color="auto" w:sz="4" w:space="0"/>
            </w:tcBorders>
            <w:noWrap w:val="0"/>
            <w:vAlign w:val="center"/>
          </w:tcPr>
          <w:p w14:paraId="226BCB08">
            <w:pPr>
              <w:jc w:val="both"/>
              <w:rPr>
                <w:rFonts w:hint="eastAsia" w:ascii="宋体" w:hAnsi="宋体" w:eastAsia="宋体" w:cs="宋体"/>
                <w:color w:val="auto"/>
                <w:szCs w:val="22"/>
                <w:highlight w:val="none"/>
              </w:rPr>
            </w:pPr>
            <w:r>
              <w:rPr>
                <w:rFonts w:hint="eastAsia" w:ascii="宋体" w:hAnsi="宋体" w:eastAsia="宋体" w:cs="宋体"/>
                <w:color w:val="auto"/>
                <w:szCs w:val="22"/>
                <w:highlight w:val="none"/>
              </w:rPr>
              <w:t>报价合计（包含税费等所有费用）：（大写）人民币                               （￥         元）</w:t>
            </w:r>
          </w:p>
        </w:tc>
      </w:tr>
      <w:tr w14:paraId="640C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446" w:type="dxa"/>
            <w:gridSpan w:val="7"/>
            <w:tcBorders>
              <w:top w:val="single" w:color="auto" w:sz="4" w:space="0"/>
              <w:left w:val="single" w:color="auto" w:sz="4" w:space="0"/>
              <w:bottom w:val="single" w:color="auto" w:sz="4" w:space="0"/>
              <w:right w:val="single" w:color="auto" w:sz="4" w:space="0"/>
            </w:tcBorders>
            <w:noWrap w:val="0"/>
            <w:vAlign w:val="center"/>
          </w:tcPr>
          <w:p w14:paraId="56FF9239">
            <w:pPr>
              <w:jc w:val="both"/>
              <w:rPr>
                <w:rFonts w:hint="eastAsia" w:ascii="宋体" w:hAnsi="宋体" w:eastAsia="宋体" w:cs="宋体"/>
                <w:color w:val="auto"/>
                <w:szCs w:val="22"/>
                <w:highlight w:val="none"/>
              </w:rPr>
            </w:pP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分标（此处有分标时填写具体分标号，无分标时填写“无”）</w:t>
            </w:r>
          </w:p>
        </w:tc>
      </w:tr>
      <w:tr w14:paraId="25FD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446" w:type="dxa"/>
            <w:gridSpan w:val="7"/>
            <w:tcBorders>
              <w:top w:val="single" w:color="auto" w:sz="4" w:space="0"/>
              <w:left w:val="single" w:color="auto" w:sz="4" w:space="0"/>
              <w:bottom w:val="single" w:color="auto" w:sz="4" w:space="0"/>
              <w:right w:val="single" w:color="auto" w:sz="4" w:space="0"/>
            </w:tcBorders>
            <w:noWrap w:val="0"/>
            <w:vAlign w:val="center"/>
          </w:tcPr>
          <w:p w14:paraId="3DB763B9">
            <w:pPr>
              <w:pStyle w:val="11"/>
              <w:spacing w:line="360" w:lineRule="exact"/>
              <w:jc w:val="both"/>
              <w:rPr>
                <w:rFonts w:hint="eastAsia" w:ascii="宋体" w:hAnsi="宋体" w:eastAsia="宋体" w:cs="宋体"/>
                <w:color w:val="auto"/>
                <w:kern w:val="2"/>
                <w:sz w:val="21"/>
                <w:szCs w:val="22"/>
                <w:highlight w:val="none"/>
              </w:rPr>
            </w:pPr>
            <w:r>
              <w:rPr>
                <w:rFonts w:hint="eastAsia" w:ascii="宋体" w:hAnsi="宋体" w:eastAsia="宋体" w:cs="宋体"/>
                <w:color w:val="auto"/>
                <w:kern w:val="2"/>
                <w:sz w:val="21"/>
                <w:szCs w:val="22"/>
                <w:highlight w:val="none"/>
                <w:lang w:val="en-US" w:eastAsia="zh-CN"/>
              </w:rPr>
              <w:t>质量等级</w:t>
            </w:r>
            <w:r>
              <w:rPr>
                <w:rFonts w:hint="eastAsia" w:ascii="宋体" w:hAnsi="宋体" w:eastAsia="宋体" w:cs="宋体"/>
                <w:color w:val="auto"/>
                <w:kern w:val="2"/>
                <w:sz w:val="21"/>
                <w:szCs w:val="22"/>
                <w:highlight w:val="none"/>
              </w:rPr>
              <w:t xml:space="preserve">：               </w:t>
            </w:r>
          </w:p>
        </w:tc>
      </w:tr>
    </w:tbl>
    <w:p w14:paraId="59527046">
      <w:pPr>
        <w:snapToGrid w:val="0"/>
        <w:spacing w:before="50" w:after="50"/>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注：</w:t>
      </w:r>
    </w:p>
    <w:p w14:paraId="1AF874D2">
      <w:pPr>
        <w:snapToGrid w:val="0"/>
        <w:spacing w:before="50" w:after="50"/>
        <w:ind w:firstLine="420" w:firstLineChars="200"/>
        <w:jc w:val="left"/>
        <w:rPr>
          <w:rFonts w:hint="eastAsia" w:ascii="宋体" w:hAnsi="宋体" w:eastAsia="宋体" w:cs="宋体"/>
          <w:b/>
          <w:color w:val="auto"/>
          <w:kern w:val="0"/>
          <w:sz w:val="21"/>
          <w:szCs w:val="21"/>
          <w:highlight w:val="none"/>
          <w:lang w:val="zh-CN"/>
        </w:rPr>
      </w:pPr>
      <w:r>
        <w:rPr>
          <w:rFonts w:hint="eastAsia" w:ascii="宋体" w:hAnsi="宋体" w:cs="宋体"/>
          <w:color w:val="auto"/>
          <w:kern w:val="0"/>
          <w:sz w:val="21"/>
          <w:szCs w:val="21"/>
          <w:highlight w:val="none"/>
          <w:lang w:val="zh-CN"/>
        </w:rPr>
        <w:t>1.</w:t>
      </w:r>
      <w:r>
        <w:rPr>
          <w:rFonts w:hint="eastAsia" w:ascii="宋体" w:hAnsi="宋体" w:eastAsia="宋体" w:cs="宋体"/>
          <w:color w:val="auto"/>
          <w:kern w:val="0"/>
          <w:sz w:val="21"/>
          <w:szCs w:val="21"/>
          <w:highlight w:val="none"/>
          <w:lang w:val="zh-CN"/>
        </w:rPr>
        <w:t>供应商需按本表格式填写，不得自行更改，也不得留空</w:t>
      </w:r>
      <w:r>
        <w:rPr>
          <w:rFonts w:hint="eastAsia" w:ascii="宋体" w:hAnsi="宋体" w:cs="宋体"/>
          <w:color w:val="auto"/>
          <w:kern w:val="0"/>
          <w:sz w:val="21"/>
          <w:szCs w:val="21"/>
          <w:highlight w:val="none"/>
          <w:lang w:val="zh-CN"/>
        </w:rPr>
        <w:t>，</w:t>
      </w:r>
      <w:r>
        <w:rPr>
          <w:rFonts w:hint="eastAsia" w:ascii="宋体" w:hAnsi="宋体" w:eastAsia="宋体" w:cs="宋体"/>
          <w:color w:val="auto"/>
          <w:kern w:val="0"/>
          <w:sz w:val="21"/>
          <w:szCs w:val="21"/>
          <w:highlight w:val="none"/>
          <w:lang w:val="zh-CN"/>
        </w:rPr>
        <w:t>如有多分标，按分标分别提供响应报价表</w:t>
      </w:r>
      <w:r>
        <w:rPr>
          <w:rFonts w:hint="eastAsia" w:ascii="宋体" w:hAnsi="宋体" w:eastAsia="宋体" w:cs="宋体"/>
          <w:b/>
          <w:color w:val="auto"/>
          <w:kern w:val="0"/>
          <w:sz w:val="21"/>
          <w:szCs w:val="21"/>
          <w:highlight w:val="none"/>
          <w:lang w:val="zh-CN"/>
        </w:rPr>
        <w:t>。</w:t>
      </w:r>
    </w:p>
    <w:p w14:paraId="4C734261">
      <w:pPr>
        <w:snapToGrid w:val="0"/>
        <w:spacing w:before="50" w:after="50"/>
        <w:ind w:firstLine="420" w:firstLineChars="200"/>
        <w:jc w:val="left"/>
        <w:rPr>
          <w:rFonts w:hint="eastAsia" w:ascii="宋体" w:hAnsi="宋体" w:eastAsia="宋体" w:cs="宋体"/>
          <w:b/>
          <w:color w:val="auto"/>
          <w:kern w:val="0"/>
          <w:sz w:val="21"/>
          <w:szCs w:val="21"/>
          <w:highlight w:val="none"/>
          <w:lang w:val="zh-CN"/>
        </w:rPr>
      </w:pP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zh-CN"/>
        </w:rPr>
        <w:t>以上表格要求细分项目及报价，在“</w:t>
      </w:r>
      <w:r>
        <w:rPr>
          <w:rFonts w:hint="eastAsia" w:ascii="宋体" w:hAnsi="宋体" w:eastAsia="宋体" w:cs="宋体"/>
          <w:color w:val="auto"/>
          <w:kern w:val="0"/>
          <w:sz w:val="21"/>
          <w:szCs w:val="21"/>
          <w:highlight w:val="none"/>
          <w:lang w:val="en-US" w:eastAsia="zh-CN"/>
        </w:rPr>
        <w:t>项目</w:t>
      </w:r>
      <w:r>
        <w:rPr>
          <w:rFonts w:hint="eastAsia" w:ascii="宋体" w:hAnsi="宋体" w:eastAsia="宋体" w:cs="宋体"/>
          <w:color w:val="auto"/>
          <w:kern w:val="0"/>
          <w:sz w:val="21"/>
          <w:szCs w:val="21"/>
          <w:highlight w:val="none"/>
          <w:lang w:val="zh-CN"/>
        </w:rPr>
        <w:t>内容”一栏中，填写</w:t>
      </w:r>
      <w:r>
        <w:rPr>
          <w:rFonts w:hint="eastAsia" w:ascii="宋体" w:hAnsi="宋体" w:eastAsia="宋体" w:cs="宋体"/>
          <w:color w:val="auto"/>
          <w:kern w:val="0"/>
          <w:sz w:val="21"/>
          <w:szCs w:val="21"/>
          <w:highlight w:val="none"/>
          <w:lang w:val="en-US" w:eastAsia="zh-CN"/>
        </w:rPr>
        <w:t>采购内</w:t>
      </w:r>
      <w:r>
        <w:rPr>
          <w:rFonts w:hint="eastAsia" w:ascii="宋体" w:hAnsi="宋体" w:eastAsia="宋体" w:cs="宋体"/>
          <w:b w:val="0"/>
          <w:bCs w:val="0"/>
          <w:color w:val="auto"/>
          <w:kern w:val="0"/>
          <w:sz w:val="21"/>
          <w:szCs w:val="21"/>
          <w:highlight w:val="none"/>
          <w:lang w:val="en-US" w:eastAsia="zh-CN"/>
        </w:rPr>
        <w:t>容</w:t>
      </w:r>
      <w:r>
        <w:rPr>
          <w:rFonts w:hint="eastAsia" w:ascii="宋体" w:hAnsi="宋体" w:eastAsia="宋体" w:cs="宋体"/>
          <w:b/>
          <w:color w:val="auto"/>
          <w:kern w:val="0"/>
          <w:sz w:val="21"/>
          <w:szCs w:val="21"/>
          <w:highlight w:val="none"/>
          <w:lang w:val="zh-CN"/>
        </w:rPr>
        <w:t>。</w:t>
      </w:r>
    </w:p>
    <w:p w14:paraId="03C90A4B">
      <w:pPr>
        <w:snapToGrid w:val="0"/>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zh-CN"/>
        </w:rPr>
        <w:t>特别提示：采购机构将对项目名称和项目编号，成交供应商名称、地址和成交金额，主要成交标的的名称、数量、单价、</w:t>
      </w:r>
      <w:r>
        <w:rPr>
          <w:rFonts w:hint="eastAsia" w:ascii="宋体" w:hAnsi="宋体" w:eastAsia="宋体" w:cs="宋体"/>
          <w:color w:val="auto"/>
          <w:kern w:val="0"/>
          <w:sz w:val="21"/>
          <w:szCs w:val="21"/>
          <w:highlight w:val="none"/>
          <w:lang w:val="zh-CN" w:eastAsia="zh-CN"/>
        </w:rPr>
        <w:t>工期</w:t>
      </w:r>
      <w:r>
        <w:rPr>
          <w:rFonts w:hint="eastAsia" w:ascii="宋体" w:hAnsi="宋体" w:eastAsia="宋体" w:cs="宋体"/>
          <w:color w:val="auto"/>
          <w:kern w:val="0"/>
          <w:sz w:val="21"/>
          <w:szCs w:val="21"/>
          <w:highlight w:val="none"/>
          <w:lang w:val="zh-CN"/>
        </w:rPr>
        <w:t>要求等予以公示。</w:t>
      </w:r>
    </w:p>
    <w:p w14:paraId="61DBCE6B">
      <w:pPr>
        <w:snapToGrid w:val="0"/>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5D23EF44">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597511D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04D2A9D">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8480733">
      <w:pPr>
        <w:spacing w:line="360" w:lineRule="auto"/>
        <w:ind w:right="-817" w:rightChars="-389" w:firstLine="5461" w:firstLineChars="1700"/>
        <w:contextualSpacing/>
        <w:rPr>
          <w:rFonts w:hint="eastAsia" w:ascii="宋体" w:hAnsi="宋体" w:eastAsia="宋体" w:cs="宋体"/>
          <w:b/>
          <w:color w:val="auto"/>
          <w:sz w:val="32"/>
          <w:szCs w:val="32"/>
          <w:highlight w:val="none"/>
        </w:rPr>
      </w:pPr>
    </w:p>
    <w:p w14:paraId="4C6B46E7">
      <w:pPr>
        <w:pStyle w:val="11"/>
        <w:spacing w:line="500" w:lineRule="exact"/>
        <w:ind w:firstLine="602" w:firstLineChars="200"/>
        <w:rPr>
          <w:rFonts w:hint="eastAsia" w:ascii="宋体" w:hAnsi="宋体" w:eastAsia="宋体" w:cs="宋体"/>
          <w:b/>
          <w:color w:val="auto"/>
          <w:kern w:val="2"/>
          <w:sz w:val="30"/>
          <w:szCs w:val="30"/>
          <w:highlight w:val="none"/>
        </w:rPr>
      </w:pPr>
    </w:p>
    <w:p w14:paraId="1A15CAF9">
      <w:pPr>
        <w:pStyle w:val="11"/>
        <w:spacing w:line="500" w:lineRule="exact"/>
        <w:ind w:firstLine="602" w:firstLineChars="200"/>
        <w:rPr>
          <w:rFonts w:hint="eastAsia" w:ascii="宋体" w:hAnsi="宋体" w:eastAsia="宋体" w:cs="宋体"/>
          <w:b/>
          <w:color w:val="auto"/>
          <w:kern w:val="2"/>
          <w:sz w:val="30"/>
          <w:szCs w:val="30"/>
          <w:highlight w:val="none"/>
        </w:rPr>
      </w:pPr>
    </w:p>
    <w:p w14:paraId="227C4F59">
      <w:pPr>
        <w:pStyle w:val="11"/>
        <w:spacing w:line="500" w:lineRule="exact"/>
        <w:ind w:firstLine="602" w:firstLineChars="200"/>
        <w:rPr>
          <w:rFonts w:hint="eastAsia" w:ascii="宋体" w:hAnsi="宋体" w:eastAsia="宋体" w:cs="宋体"/>
          <w:b/>
          <w:color w:val="auto"/>
          <w:kern w:val="2"/>
          <w:sz w:val="30"/>
          <w:szCs w:val="30"/>
          <w:highlight w:val="none"/>
        </w:rPr>
      </w:pPr>
    </w:p>
    <w:p w14:paraId="6A1DC3BE">
      <w:pPr>
        <w:rPr>
          <w:rFonts w:hint="eastAsia" w:ascii="宋体" w:hAnsi="宋体" w:eastAsia="宋体" w:cs="宋体"/>
          <w:b/>
          <w:color w:val="auto"/>
          <w:kern w:val="2"/>
          <w:sz w:val="30"/>
          <w:szCs w:val="30"/>
          <w:highlight w:val="none"/>
        </w:rPr>
      </w:pPr>
    </w:p>
    <w:p w14:paraId="475F9B21">
      <w:pPr>
        <w:rPr>
          <w:rFonts w:hint="eastAsia" w:ascii="宋体" w:hAnsi="宋体" w:eastAsia="宋体" w:cs="宋体"/>
          <w:b/>
          <w:color w:val="auto"/>
          <w:kern w:val="2"/>
          <w:sz w:val="30"/>
          <w:szCs w:val="30"/>
          <w:highlight w:val="none"/>
          <w:lang w:eastAsia="zh-CN"/>
        </w:rPr>
      </w:pPr>
    </w:p>
    <w:p w14:paraId="1D4B649F">
      <w:pPr>
        <w:pStyle w:val="24"/>
        <w:rPr>
          <w:rFonts w:hint="eastAsia" w:ascii="宋体" w:hAnsi="宋体" w:eastAsia="宋体" w:cs="宋体"/>
          <w:b/>
          <w:color w:val="auto"/>
          <w:kern w:val="2"/>
          <w:sz w:val="30"/>
          <w:szCs w:val="30"/>
          <w:highlight w:val="none"/>
          <w:lang w:eastAsia="zh-CN"/>
        </w:rPr>
      </w:pPr>
    </w:p>
    <w:p w14:paraId="158A6E7D">
      <w:pPr>
        <w:pStyle w:val="9"/>
        <w:rPr>
          <w:rFonts w:hint="eastAsia" w:ascii="宋体" w:hAnsi="宋体" w:eastAsia="宋体" w:cs="宋体"/>
          <w:color w:val="auto"/>
          <w:highlight w:val="none"/>
          <w:lang w:eastAsia="zh-CN"/>
        </w:rPr>
      </w:pPr>
    </w:p>
    <w:p w14:paraId="3AF563B4">
      <w:pPr>
        <w:rPr>
          <w:rFonts w:hint="eastAsia" w:ascii="宋体" w:hAnsi="宋体" w:eastAsia="宋体" w:cs="宋体"/>
          <w:b/>
          <w:color w:val="auto"/>
          <w:kern w:val="2"/>
          <w:sz w:val="30"/>
          <w:szCs w:val="30"/>
          <w:highlight w:val="none"/>
          <w:lang w:eastAsia="zh-CN"/>
        </w:rPr>
      </w:pPr>
    </w:p>
    <w:p w14:paraId="61D26561">
      <w:pPr>
        <w:rPr>
          <w:rFonts w:hint="eastAsia" w:ascii="宋体" w:hAnsi="宋体" w:eastAsia="宋体" w:cs="宋体"/>
          <w:b/>
          <w:color w:val="auto"/>
          <w:kern w:val="2"/>
          <w:sz w:val="30"/>
          <w:szCs w:val="30"/>
          <w:highlight w:val="none"/>
        </w:rPr>
      </w:pPr>
    </w:p>
    <w:p w14:paraId="14C959ED">
      <w:pPr>
        <w:ind w:right="384" w:rightChars="183"/>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报 价 表 附 录</w:t>
      </w:r>
    </w:p>
    <w:p w14:paraId="0BAE1848">
      <w:pPr>
        <w:pStyle w:val="24"/>
        <w:rPr>
          <w:rFonts w:hint="eastAsia" w:ascii="宋体" w:hAnsi="宋体" w:eastAsia="宋体" w:cs="宋体"/>
          <w:color w:val="auto"/>
          <w:highlight w:val="none"/>
        </w:rPr>
      </w:pPr>
    </w:p>
    <w:tbl>
      <w:tblPr>
        <w:tblStyle w:val="19"/>
        <w:tblW w:w="0" w:type="auto"/>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3"/>
        <w:gridCol w:w="3571"/>
        <w:gridCol w:w="4065"/>
      </w:tblGrid>
      <w:tr w14:paraId="73195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843" w:type="dxa"/>
            <w:tcBorders>
              <w:bottom w:val="single" w:color="000000" w:sz="6" w:space="0"/>
              <w:right w:val="single" w:color="000000" w:sz="6" w:space="0"/>
            </w:tcBorders>
            <w:noWrap w:val="0"/>
            <w:vAlign w:val="center"/>
          </w:tcPr>
          <w:p w14:paraId="354162B5">
            <w:pPr>
              <w:pStyle w:val="32"/>
              <w:spacing w:before="1"/>
              <w:ind w:left="160" w:right="149"/>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3571" w:type="dxa"/>
            <w:tcBorders>
              <w:left w:val="single" w:color="000000" w:sz="6" w:space="0"/>
              <w:bottom w:val="single" w:color="000000" w:sz="6" w:space="0"/>
              <w:right w:val="single" w:color="000000" w:sz="6" w:space="0"/>
            </w:tcBorders>
            <w:noWrap w:val="0"/>
            <w:vAlign w:val="center"/>
          </w:tcPr>
          <w:p w14:paraId="3DD3C699">
            <w:pPr>
              <w:pStyle w:val="32"/>
              <w:spacing w:before="1"/>
              <w:ind w:left="79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 目 内 容</w:t>
            </w:r>
          </w:p>
        </w:tc>
        <w:tc>
          <w:tcPr>
            <w:tcW w:w="4065" w:type="dxa"/>
            <w:tcBorders>
              <w:left w:val="single" w:color="000000" w:sz="6" w:space="0"/>
              <w:bottom w:val="single" w:color="000000" w:sz="6" w:space="0"/>
            </w:tcBorders>
            <w:noWrap w:val="0"/>
            <w:vAlign w:val="center"/>
          </w:tcPr>
          <w:p w14:paraId="6CF605E2">
            <w:pPr>
              <w:pStyle w:val="32"/>
              <w:spacing w:before="1"/>
              <w:ind w:right="153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约定内容</w:t>
            </w:r>
          </w:p>
        </w:tc>
      </w:tr>
      <w:tr w14:paraId="42D8C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843" w:type="dxa"/>
            <w:tcBorders>
              <w:top w:val="single" w:color="000000" w:sz="6" w:space="0"/>
              <w:bottom w:val="single" w:color="000000" w:sz="6" w:space="0"/>
              <w:right w:val="single" w:color="000000" w:sz="6" w:space="0"/>
            </w:tcBorders>
            <w:noWrap w:val="0"/>
            <w:vAlign w:val="center"/>
          </w:tcPr>
          <w:p w14:paraId="4DC0681D">
            <w:pPr>
              <w:pStyle w:val="32"/>
              <w:spacing w:before="1"/>
              <w:ind w:left="1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3571" w:type="dxa"/>
            <w:tcBorders>
              <w:top w:val="single" w:color="000000" w:sz="6" w:space="0"/>
              <w:left w:val="single" w:color="000000" w:sz="6" w:space="0"/>
              <w:bottom w:val="single" w:color="000000" w:sz="6" w:space="0"/>
              <w:right w:val="single" w:color="000000" w:sz="6" w:space="0"/>
            </w:tcBorders>
            <w:noWrap w:val="0"/>
            <w:vAlign w:val="top"/>
          </w:tcPr>
          <w:p w14:paraId="741CEFCE">
            <w:pPr>
              <w:pStyle w:val="32"/>
              <w:spacing w:before="1"/>
              <w:ind w:left="105"/>
              <w:rPr>
                <w:rFonts w:hint="eastAsia" w:ascii="宋体" w:hAnsi="宋体" w:eastAsia="宋体" w:cs="宋体"/>
                <w:color w:val="auto"/>
                <w:sz w:val="24"/>
                <w:highlight w:val="none"/>
              </w:rPr>
            </w:pPr>
          </w:p>
          <w:p w14:paraId="75FF6A42">
            <w:pPr>
              <w:pStyle w:val="32"/>
              <w:spacing w:before="1"/>
              <w:ind w:left="105"/>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项目经理</w:t>
            </w:r>
          </w:p>
        </w:tc>
        <w:tc>
          <w:tcPr>
            <w:tcW w:w="4065" w:type="dxa"/>
            <w:tcBorders>
              <w:top w:val="single" w:color="000000" w:sz="6" w:space="0"/>
              <w:left w:val="single" w:color="000000" w:sz="6" w:space="0"/>
              <w:bottom w:val="single" w:color="000000" w:sz="6" w:space="0"/>
            </w:tcBorders>
            <w:noWrap w:val="0"/>
            <w:vAlign w:val="top"/>
          </w:tcPr>
          <w:p w14:paraId="4B4BB0F7">
            <w:pPr>
              <w:pStyle w:val="32"/>
              <w:spacing w:before="1"/>
              <w:ind w:left="105"/>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lang w:val="en-US" w:eastAsia="zh-CN"/>
              </w:rPr>
              <w:t xml:space="preserve">              </w:t>
            </w:r>
          </w:p>
          <w:p w14:paraId="2B82F9B6">
            <w:pPr>
              <w:pStyle w:val="32"/>
              <w:spacing w:before="1"/>
              <w:ind w:left="105"/>
              <w:rPr>
                <w:rFonts w:hint="eastAsia" w:ascii="宋体" w:hAnsi="宋体" w:eastAsia="宋体" w:cs="宋体"/>
                <w:color w:val="auto"/>
                <w:sz w:val="24"/>
                <w:highlight w:val="none"/>
              </w:rPr>
            </w:pPr>
          </w:p>
          <w:p w14:paraId="0E1FCA54">
            <w:pPr>
              <w:pStyle w:val="32"/>
              <w:spacing w:before="1"/>
              <w:ind w:left="105"/>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注册编号：</w:t>
            </w:r>
            <w:r>
              <w:rPr>
                <w:rFonts w:hint="eastAsia" w:ascii="宋体" w:hAnsi="宋体" w:eastAsia="宋体" w:cs="宋体"/>
                <w:color w:val="auto"/>
                <w:sz w:val="24"/>
                <w:highlight w:val="none"/>
                <w:u w:val="single"/>
                <w:lang w:val="en-US" w:eastAsia="zh-CN"/>
              </w:rPr>
              <w:t xml:space="preserve">           </w:t>
            </w:r>
          </w:p>
        </w:tc>
      </w:tr>
      <w:tr w14:paraId="6132C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trPr>
        <w:tc>
          <w:tcPr>
            <w:tcW w:w="843" w:type="dxa"/>
            <w:tcBorders>
              <w:top w:val="single" w:color="000000" w:sz="6" w:space="0"/>
              <w:bottom w:val="single" w:color="000000" w:sz="6" w:space="0"/>
              <w:right w:val="single" w:color="000000" w:sz="6" w:space="0"/>
            </w:tcBorders>
            <w:noWrap w:val="0"/>
            <w:vAlign w:val="center"/>
          </w:tcPr>
          <w:p w14:paraId="7F10DA80">
            <w:pPr>
              <w:pStyle w:val="32"/>
              <w:ind w:left="1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3571" w:type="dxa"/>
            <w:tcBorders>
              <w:top w:val="single" w:color="000000" w:sz="6" w:space="0"/>
              <w:left w:val="single" w:color="000000" w:sz="6" w:space="0"/>
              <w:bottom w:val="single" w:color="000000" w:sz="6" w:space="0"/>
              <w:right w:val="single" w:color="000000" w:sz="6" w:space="0"/>
            </w:tcBorders>
            <w:noWrap w:val="0"/>
            <w:vAlign w:val="top"/>
          </w:tcPr>
          <w:p w14:paraId="054DC001">
            <w:pPr>
              <w:pStyle w:val="32"/>
              <w:spacing w:before="1"/>
              <w:ind w:left="105"/>
              <w:rPr>
                <w:rFonts w:hint="eastAsia" w:ascii="宋体" w:hAnsi="宋体" w:eastAsia="宋体" w:cs="宋体"/>
                <w:color w:val="auto"/>
                <w:sz w:val="24"/>
                <w:highlight w:val="none"/>
              </w:rPr>
            </w:pPr>
          </w:p>
          <w:p w14:paraId="5139F6DC">
            <w:pPr>
              <w:pStyle w:val="32"/>
              <w:spacing w:before="1"/>
              <w:ind w:left="105"/>
              <w:rPr>
                <w:rFonts w:hint="eastAsia" w:ascii="宋体" w:hAnsi="宋体" w:eastAsia="宋体" w:cs="宋体"/>
                <w:color w:val="auto"/>
                <w:sz w:val="24"/>
                <w:highlight w:val="none"/>
              </w:rPr>
            </w:pPr>
            <w:r>
              <w:rPr>
                <w:rFonts w:hint="eastAsia" w:ascii="宋体" w:hAnsi="宋体" w:eastAsia="宋体" w:cs="宋体"/>
                <w:color w:val="auto"/>
                <w:sz w:val="24"/>
                <w:highlight w:val="none"/>
              </w:rPr>
              <w:t>安全员</w:t>
            </w:r>
          </w:p>
        </w:tc>
        <w:tc>
          <w:tcPr>
            <w:tcW w:w="4065" w:type="dxa"/>
            <w:tcBorders>
              <w:top w:val="single" w:color="000000" w:sz="6" w:space="0"/>
              <w:left w:val="single" w:color="000000" w:sz="6" w:space="0"/>
              <w:bottom w:val="single" w:color="000000" w:sz="6" w:space="0"/>
            </w:tcBorders>
            <w:noWrap w:val="0"/>
            <w:vAlign w:val="top"/>
          </w:tcPr>
          <w:p w14:paraId="28512282">
            <w:pPr>
              <w:pStyle w:val="32"/>
              <w:spacing w:before="1"/>
              <w:ind w:left="105"/>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lang w:val="en-US" w:eastAsia="zh-CN"/>
              </w:rPr>
              <w:t xml:space="preserve">          </w:t>
            </w:r>
          </w:p>
          <w:p w14:paraId="73BB6C2A">
            <w:pPr>
              <w:pStyle w:val="32"/>
              <w:spacing w:before="1"/>
              <w:ind w:left="105"/>
              <w:rPr>
                <w:rFonts w:hint="eastAsia" w:ascii="宋体" w:hAnsi="宋体" w:eastAsia="宋体" w:cs="宋体"/>
                <w:color w:val="auto"/>
                <w:sz w:val="24"/>
                <w:highlight w:val="none"/>
              </w:rPr>
            </w:pPr>
          </w:p>
          <w:p w14:paraId="7AF85240">
            <w:pPr>
              <w:pStyle w:val="32"/>
              <w:spacing w:before="1"/>
              <w:ind w:left="105"/>
              <w:rPr>
                <w:rFonts w:hint="eastAsia" w:ascii="宋体" w:hAnsi="宋体" w:eastAsia="宋体" w:cs="宋体"/>
                <w:color w:val="auto"/>
                <w:sz w:val="24"/>
                <w:highlight w:val="none"/>
                <w:u w:val="single"/>
                <w:lang w:val="en-US"/>
              </w:rPr>
            </w:pPr>
            <w:r>
              <w:rPr>
                <w:rFonts w:hint="eastAsia" w:ascii="宋体" w:hAnsi="宋体" w:eastAsia="宋体" w:cs="宋体"/>
                <w:color w:val="auto"/>
                <w:sz w:val="24"/>
                <w:highlight w:val="none"/>
                <w:lang w:val="en-US" w:eastAsia="zh-CN"/>
              </w:rPr>
              <w:t>证书编号：</w:t>
            </w:r>
            <w:r>
              <w:rPr>
                <w:rFonts w:hint="eastAsia" w:ascii="宋体" w:hAnsi="宋体" w:eastAsia="宋体" w:cs="宋体"/>
                <w:color w:val="auto"/>
                <w:sz w:val="24"/>
                <w:highlight w:val="none"/>
                <w:u w:val="single"/>
                <w:lang w:val="en-US" w:eastAsia="zh-CN"/>
              </w:rPr>
              <w:t xml:space="preserve">        </w:t>
            </w:r>
          </w:p>
        </w:tc>
      </w:tr>
      <w:tr w14:paraId="4EB19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5" w:hRule="atLeast"/>
        </w:trPr>
        <w:tc>
          <w:tcPr>
            <w:tcW w:w="843" w:type="dxa"/>
            <w:tcBorders>
              <w:top w:val="single" w:color="000000" w:sz="6" w:space="0"/>
              <w:right w:val="single" w:color="000000" w:sz="6" w:space="0"/>
            </w:tcBorders>
            <w:noWrap w:val="0"/>
            <w:vAlign w:val="center"/>
          </w:tcPr>
          <w:p w14:paraId="427877B2">
            <w:pPr>
              <w:pStyle w:val="32"/>
              <w:ind w:left="1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3571" w:type="dxa"/>
            <w:tcBorders>
              <w:top w:val="single" w:color="000000" w:sz="6" w:space="0"/>
              <w:left w:val="single" w:color="000000" w:sz="6" w:space="0"/>
              <w:right w:val="single" w:color="000000" w:sz="6" w:space="0"/>
            </w:tcBorders>
            <w:noWrap w:val="0"/>
            <w:vAlign w:val="top"/>
          </w:tcPr>
          <w:p w14:paraId="21FB51EB">
            <w:pPr>
              <w:pStyle w:val="32"/>
              <w:spacing w:before="1"/>
              <w:ind w:left="105"/>
              <w:rPr>
                <w:rFonts w:hint="eastAsia" w:ascii="宋体" w:hAnsi="宋体" w:eastAsia="宋体" w:cs="宋体"/>
                <w:color w:val="auto"/>
                <w:sz w:val="24"/>
                <w:highlight w:val="none"/>
              </w:rPr>
            </w:pPr>
          </w:p>
          <w:p w14:paraId="16FD78DA">
            <w:pPr>
              <w:pStyle w:val="32"/>
              <w:spacing w:before="1"/>
              <w:ind w:left="105"/>
              <w:rPr>
                <w:rFonts w:hint="eastAsia" w:ascii="宋体" w:hAnsi="宋体" w:eastAsia="宋体" w:cs="宋体"/>
                <w:color w:val="auto"/>
                <w:sz w:val="24"/>
                <w:highlight w:val="none"/>
              </w:rPr>
            </w:pPr>
            <w:r>
              <w:rPr>
                <w:rFonts w:hint="eastAsia" w:ascii="宋体" w:hAnsi="宋体" w:eastAsia="宋体" w:cs="宋体"/>
                <w:color w:val="auto"/>
                <w:sz w:val="24"/>
                <w:highlight w:val="none"/>
              </w:rPr>
              <w:t>质量保修金</w:t>
            </w:r>
          </w:p>
        </w:tc>
        <w:tc>
          <w:tcPr>
            <w:tcW w:w="4065" w:type="dxa"/>
            <w:tcBorders>
              <w:top w:val="single" w:color="000000" w:sz="6" w:space="0"/>
              <w:left w:val="single" w:color="000000" w:sz="6" w:space="0"/>
            </w:tcBorders>
            <w:noWrap w:val="0"/>
            <w:vAlign w:val="top"/>
          </w:tcPr>
          <w:p w14:paraId="5D4E889D">
            <w:pPr>
              <w:pStyle w:val="32"/>
              <w:spacing w:before="1"/>
              <w:ind w:left="105"/>
              <w:rPr>
                <w:rFonts w:hint="eastAsia" w:ascii="宋体" w:hAnsi="宋体" w:eastAsia="宋体" w:cs="宋体"/>
                <w:color w:val="auto"/>
                <w:sz w:val="24"/>
                <w:highlight w:val="none"/>
              </w:rPr>
            </w:pPr>
          </w:p>
          <w:p w14:paraId="21D7C0D8">
            <w:pPr>
              <w:pStyle w:val="32"/>
              <w:spacing w:before="1"/>
              <w:ind w:left="105"/>
              <w:rPr>
                <w:rFonts w:hint="eastAsia" w:ascii="宋体" w:hAnsi="宋体" w:eastAsia="宋体" w:cs="宋体"/>
                <w:color w:val="auto"/>
                <w:sz w:val="24"/>
                <w:highlight w:val="none"/>
              </w:rPr>
            </w:pPr>
            <w:r>
              <w:rPr>
                <w:rFonts w:hint="eastAsia" w:ascii="宋体" w:hAnsi="宋体" w:eastAsia="宋体" w:cs="宋体"/>
                <w:color w:val="auto"/>
                <w:sz w:val="24"/>
                <w:highlight w:val="none"/>
              </w:rPr>
              <w:t>结算价的</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tc>
      </w:tr>
      <w:tr w14:paraId="63D1C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843" w:type="dxa"/>
            <w:tcBorders>
              <w:bottom w:val="single" w:color="000000" w:sz="6" w:space="0"/>
              <w:right w:val="single" w:color="000000" w:sz="6" w:space="0"/>
            </w:tcBorders>
            <w:noWrap w:val="0"/>
            <w:vAlign w:val="center"/>
          </w:tcPr>
          <w:p w14:paraId="748FC656">
            <w:pPr>
              <w:pStyle w:val="32"/>
              <w:ind w:left="1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3571" w:type="dxa"/>
            <w:tcBorders>
              <w:left w:val="single" w:color="000000" w:sz="6" w:space="0"/>
              <w:bottom w:val="single" w:color="000000" w:sz="6" w:space="0"/>
              <w:right w:val="single" w:color="000000" w:sz="6" w:space="0"/>
            </w:tcBorders>
            <w:noWrap w:val="0"/>
            <w:vAlign w:val="top"/>
          </w:tcPr>
          <w:p w14:paraId="17B99EDE">
            <w:pPr>
              <w:pStyle w:val="32"/>
              <w:spacing w:before="1"/>
              <w:ind w:left="105"/>
              <w:rPr>
                <w:rFonts w:hint="eastAsia" w:ascii="宋体" w:hAnsi="宋体" w:eastAsia="宋体" w:cs="宋体"/>
                <w:color w:val="auto"/>
                <w:sz w:val="24"/>
                <w:highlight w:val="none"/>
              </w:rPr>
            </w:pPr>
          </w:p>
          <w:p w14:paraId="533830E6">
            <w:pPr>
              <w:pStyle w:val="32"/>
              <w:spacing w:before="1"/>
              <w:ind w:left="105"/>
              <w:rPr>
                <w:rFonts w:hint="eastAsia" w:ascii="宋体" w:hAnsi="宋体" w:eastAsia="宋体" w:cs="宋体"/>
                <w:color w:val="auto"/>
                <w:sz w:val="24"/>
                <w:highlight w:val="none"/>
              </w:rPr>
            </w:pPr>
            <w:r>
              <w:rPr>
                <w:rFonts w:hint="eastAsia" w:ascii="宋体" w:hAnsi="宋体" w:eastAsia="宋体" w:cs="宋体"/>
                <w:color w:val="auto"/>
                <w:sz w:val="24"/>
                <w:highlight w:val="none"/>
              </w:rPr>
              <w:t>合同履约期限</w:t>
            </w:r>
          </w:p>
        </w:tc>
        <w:tc>
          <w:tcPr>
            <w:tcW w:w="4065" w:type="dxa"/>
            <w:tcBorders>
              <w:left w:val="single" w:color="000000" w:sz="6" w:space="0"/>
              <w:bottom w:val="single" w:color="000000" w:sz="6" w:space="0"/>
            </w:tcBorders>
            <w:noWrap w:val="0"/>
            <w:vAlign w:val="top"/>
          </w:tcPr>
          <w:p w14:paraId="4A705C4F">
            <w:pPr>
              <w:pStyle w:val="32"/>
              <w:spacing w:before="1"/>
              <w:ind w:left="105"/>
              <w:rPr>
                <w:rFonts w:hint="eastAsia" w:ascii="宋体" w:hAnsi="宋体" w:eastAsia="宋体" w:cs="宋体"/>
                <w:color w:val="auto"/>
                <w:sz w:val="24"/>
                <w:highlight w:val="none"/>
              </w:rPr>
            </w:pPr>
          </w:p>
          <w:p w14:paraId="728F93EA">
            <w:pPr>
              <w:pStyle w:val="32"/>
              <w:spacing w:before="1"/>
              <w:ind w:left="10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u w:val="none"/>
                <w:lang w:val="en-US" w:eastAsia="zh-CN"/>
              </w:rPr>
              <w:t>工期</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日历天</w:t>
            </w:r>
            <w:r>
              <w:rPr>
                <w:rFonts w:hint="eastAsia" w:ascii="宋体" w:hAnsi="宋体" w:eastAsia="宋体" w:cs="宋体"/>
                <w:color w:val="auto"/>
                <w:sz w:val="24"/>
                <w:highlight w:val="none"/>
                <w:u w:val="none"/>
              </w:rPr>
              <w:t xml:space="preserve"> </w:t>
            </w:r>
            <w:r>
              <w:rPr>
                <w:rFonts w:hint="eastAsia" w:ascii="宋体" w:hAnsi="宋体" w:eastAsia="宋体" w:cs="宋体"/>
                <w:color w:val="auto"/>
                <w:sz w:val="24"/>
                <w:highlight w:val="none"/>
              </w:rPr>
              <w:tab/>
            </w:r>
          </w:p>
        </w:tc>
      </w:tr>
      <w:tr w14:paraId="7D495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6" w:hRule="atLeast"/>
        </w:trPr>
        <w:tc>
          <w:tcPr>
            <w:tcW w:w="843" w:type="dxa"/>
            <w:tcBorders>
              <w:top w:val="single" w:color="000000" w:sz="6" w:space="0"/>
              <w:right w:val="single" w:color="000000" w:sz="6" w:space="0"/>
            </w:tcBorders>
            <w:noWrap w:val="0"/>
            <w:vAlign w:val="center"/>
          </w:tcPr>
          <w:p w14:paraId="6BD4F673">
            <w:pPr>
              <w:pStyle w:val="32"/>
              <w:spacing w:before="197"/>
              <w:ind w:left="160" w:right="149"/>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c>
          <w:tcPr>
            <w:tcW w:w="7636" w:type="dxa"/>
            <w:gridSpan w:val="2"/>
            <w:tcBorders>
              <w:top w:val="single" w:color="000000" w:sz="6" w:space="0"/>
              <w:left w:val="single" w:color="000000" w:sz="6" w:space="0"/>
            </w:tcBorders>
            <w:noWrap w:val="0"/>
            <w:vAlign w:val="top"/>
          </w:tcPr>
          <w:p w14:paraId="68220EA9">
            <w:pPr>
              <w:pStyle w:val="32"/>
              <w:rPr>
                <w:rFonts w:hint="eastAsia" w:ascii="宋体" w:hAnsi="宋体" w:eastAsia="宋体" w:cs="宋体"/>
                <w:color w:val="auto"/>
                <w:highlight w:val="none"/>
              </w:rPr>
            </w:pPr>
          </w:p>
        </w:tc>
      </w:tr>
    </w:tbl>
    <w:p w14:paraId="0E83C3E4">
      <w:pPr>
        <w:snapToGrid w:val="0"/>
        <w:ind w:firstLine="480" w:firstLineChars="200"/>
        <w:jc w:val="left"/>
        <w:rPr>
          <w:rFonts w:hint="eastAsia" w:ascii="宋体" w:hAnsi="宋体" w:eastAsia="宋体" w:cs="宋体"/>
          <w:color w:val="auto"/>
          <w:kern w:val="0"/>
          <w:sz w:val="24"/>
          <w:highlight w:val="none"/>
          <w:lang w:val="zh-CN"/>
        </w:rPr>
      </w:pPr>
    </w:p>
    <w:p w14:paraId="77899721">
      <w:pPr>
        <w:spacing w:line="360" w:lineRule="auto"/>
        <w:ind w:right="384" w:rightChars="183" w:firstLine="420"/>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注：</w:t>
      </w:r>
    </w:p>
    <w:p w14:paraId="1AB032DA">
      <w:pPr>
        <w:numPr>
          <w:ilvl w:val="0"/>
          <w:numId w:val="0"/>
        </w:numPr>
        <w:spacing w:line="360" w:lineRule="auto"/>
        <w:ind w:right="384" w:rightChars="183" w:firstLine="420" w:firstLineChars="0"/>
        <w:rPr>
          <w:rFonts w:hint="eastAsia" w:ascii="宋体" w:hAnsi="宋体" w:eastAsia="宋体" w:cs="宋体"/>
          <w:b w:val="0"/>
          <w:bCs w:val="0"/>
          <w:color w:val="auto"/>
          <w:highlight w:val="none"/>
        </w:rPr>
      </w:pPr>
      <w:r>
        <w:rPr>
          <w:rFonts w:hint="eastAsia" w:ascii="宋体" w:hAnsi="宋体" w:eastAsia="宋体" w:cs="宋体"/>
          <w:b w:val="0"/>
          <w:bCs w:val="0"/>
          <w:color w:val="auto"/>
          <w:kern w:val="2"/>
          <w:sz w:val="21"/>
          <w:szCs w:val="24"/>
          <w:highlight w:val="none"/>
          <w:lang w:val="en-US" w:eastAsia="zh-CN" w:bidi="ar-SA"/>
        </w:rPr>
        <w:t>1.</w:t>
      </w:r>
      <w:r>
        <w:rPr>
          <w:rFonts w:hint="eastAsia" w:ascii="宋体" w:hAnsi="宋体" w:eastAsia="宋体" w:cs="宋体"/>
          <w:b w:val="0"/>
          <w:bCs w:val="0"/>
          <w:color w:val="auto"/>
          <w:highlight w:val="none"/>
        </w:rPr>
        <w:t>本表由供应商在本表空白处予以补充填写。</w:t>
      </w:r>
    </w:p>
    <w:p w14:paraId="18E4A3B9">
      <w:pPr>
        <w:pStyle w:val="24"/>
        <w:rPr>
          <w:rFonts w:hint="eastAsia" w:ascii="宋体" w:hAnsi="宋体" w:eastAsia="宋体" w:cs="宋体"/>
          <w:color w:val="auto"/>
          <w:highlight w:val="none"/>
          <w:lang w:val="zh-CN"/>
        </w:rPr>
      </w:pPr>
    </w:p>
    <w:p w14:paraId="7409C5EA">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DEA339B">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311B9DB5">
      <w:pPr>
        <w:snapToGrid w:val="0"/>
        <w:spacing w:line="360" w:lineRule="auto"/>
        <w:rPr>
          <w:rFonts w:hint="eastAsia" w:ascii="宋体" w:hAnsi="宋体" w:eastAsia="宋体" w:cs="宋体"/>
          <w:b/>
          <w:color w:val="auto"/>
          <w:sz w:val="30"/>
          <w:szCs w:val="30"/>
          <w:highlight w:val="none"/>
        </w:rPr>
      </w:pPr>
    </w:p>
    <w:p w14:paraId="39529AEA">
      <w:pPr>
        <w:snapToGrid w:val="0"/>
        <w:spacing w:line="360" w:lineRule="auto"/>
        <w:rPr>
          <w:rFonts w:hint="eastAsia" w:ascii="宋体" w:hAnsi="宋体" w:eastAsia="宋体" w:cs="宋体"/>
          <w:b/>
          <w:color w:val="auto"/>
          <w:sz w:val="30"/>
          <w:szCs w:val="30"/>
          <w:highlight w:val="none"/>
        </w:rPr>
      </w:pPr>
    </w:p>
    <w:p w14:paraId="39BEEB7B">
      <w:pPr>
        <w:snapToGrid w:val="0"/>
        <w:spacing w:line="360" w:lineRule="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三、已标价工程量清单（格式自拟）</w:t>
      </w:r>
    </w:p>
    <w:p w14:paraId="28F7F74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（由供应商根据采购需求编制）</w:t>
      </w:r>
    </w:p>
    <w:p w14:paraId="30E8CFFC">
      <w:pPr>
        <w:spacing w:line="500" w:lineRule="exact"/>
        <w:rPr>
          <w:rFonts w:hint="eastAsia" w:ascii="宋体" w:hAnsi="宋体" w:eastAsia="宋体" w:cs="宋体"/>
          <w:color w:val="auto"/>
          <w:sz w:val="32"/>
          <w:szCs w:val="32"/>
          <w:highlight w:val="none"/>
        </w:rPr>
      </w:pPr>
    </w:p>
    <w:p w14:paraId="026FB0AF">
      <w:pPr>
        <w:spacing w:line="500" w:lineRule="exact"/>
        <w:rPr>
          <w:rFonts w:hint="eastAsia" w:ascii="宋体" w:hAnsi="宋体" w:eastAsia="宋体" w:cs="宋体"/>
          <w:color w:val="auto"/>
          <w:sz w:val="32"/>
          <w:szCs w:val="32"/>
          <w:highlight w:val="none"/>
        </w:rPr>
      </w:pPr>
    </w:p>
    <w:p w14:paraId="104283F8">
      <w:pPr>
        <w:pStyle w:val="11"/>
        <w:spacing w:line="500" w:lineRule="exact"/>
        <w:rPr>
          <w:rFonts w:hint="eastAsia" w:ascii="宋体" w:hAnsi="宋体" w:eastAsia="宋体" w:cs="宋体"/>
          <w:b/>
          <w:color w:val="auto"/>
          <w:kern w:val="2"/>
          <w:sz w:val="30"/>
          <w:szCs w:val="30"/>
          <w:highlight w:val="none"/>
        </w:rPr>
      </w:pPr>
    </w:p>
    <w:p w14:paraId="27E93CCA">
      <w:pPr>
        <w:rPr>
          <w:rFonts w:hint="eastAsia"/>
          <w:color w:val="auto"/>
          <w:highlight w:val="none"/>
        </w:rPr>
      </w:pPr>
    </w:p>
    <w:p w14:paraId="792CE59A">
      <w:pPr>
        <w:pStyle w:val="2"/>
        <w:jc w:val="center"/>
        <w:rPr>
          <w:rFonts w:hint="eastAsia" w:ascii="宋体" w:hAnsi="宋体" w:eastAsia="宋体" w:cs="宋体"/>
          <w:color w:val="auto"/>
          <w:highlight w:val="none"/>
          <w:lang w:val="en-US" w:eastAsia="zh-CN"/>
        </w:rPr>
      </w:pPr>
      <w:r>
        <w:rPr>
          <w:rFonts w:hint="eastAsia" w:ascii="宋体" w:hAnsi="宋体" w:eastAsia="宋体" w:cs="宋体"/>
          <w:b w:val="0"/>
          <w:bCs w:val="0"/>
          <w:color w:val="auto"/>
          <w:sz w:val="24"/>
          <w:highlight w:val="none"/>
        </w:rPr>
        <w:br w:type="page"/>
      </w:r>
      <w:r>
        <w:rPr>
          <w:rFonts w:hint="eastAsia" w:ascii="宋体" w:hAnsi="宋体" w:eastAsia="宋体" w:cs="宋体"/>
          <w:color w:val="auto"/>
          <w:highlight w:val="none"/>
          <w:lang w:val="en-US" w:eastAsia="zh-CN"/>
        </w:rPr>
        <w:t xml:space="preserve"> </w:t>
      </w:r>
    </w:p>
    <w:p w14:paraId="4725A4F6">
      <w:pPr>
        <w:pStyle w:val="2"/>
        <w:jc w:val="center"/>
        <w:rPr>
          <w:rFonts w:hint="eastAsia" w:ascii="宋体" w:hAnsi="宋体" w:eastAsia="宋体" w:cs="宋体"/>
          <w:b/>
          <w:bCs/>
          <w:color w:val="auto"/>
          <w:kern w:val="44"/>
          <w:sz w:val="44"/>
          <w:szCs w:val="44"/>
          <w:highlight w:val="none"/>
          <w:lang w:val="en-US" w:eastAsia="zh-CN" w:bidi="ar-SA"/>
        </w:rPr>
      </w:pPr>
      <w:bookmarkStart w:id="142" w:name="_Toc25590"/>
      <w:bookmarkStart w:id="143" w:name="_Toc236"/>
      <w:r>
        <w:rPr>
          <w:rFonts w:hint="eastAsia" w:ascii="宋体" w:hAnsi="宋体" w:cs="宋体"/>
          <w:color w:val="auto"/>
          <w:highlight w:val="none"/>
          <w:lang w:val="en-US" w:eastAsia="zh-CN"/>
        </w:rPr>
        <w:t xml:space="preserve">第七章 </w:t>
      </w:r>
      <w:r>
        <w:rPr>
          <w:rFonts w:hint="eastAsia" w:ascii="宋体" w:hAnsi="宋体" w:eastAsia="宋体" w:cs="宋体"/>
          <w:color w:val="auto"/>
          <w:highlight w:val="none"/>
          <w:lang w:val="en-US" w:eastAsia="zh-CN"/>
        </w:rPr>
        <w:t>合同文本</w:t>
      </w:r>
      <w:bookmarkEnd w:id="142"/>
      <w:bookmarkEnd w:id="143"/>
    </w:p>
    <w:p w14:paraId="2D18143B">
      <w:pPr>
        <w:numPr>
          <w:ilvl w:val="0"/>
          <w:numId w:val="0"/>
        </w:numPr>
        <w:spacing w:line="360" w:lineRule="auto"/>
        <w:jc w:val="both"/>
        <w:rPr>
          <w:rFonts w:hint="eastAsia" w:ascii="宋体" w:hAnsi="宋体" w:eastAsia="宋体" w:cs="宋体"/>
          <w:b/>
          <w:bCs/>
          <w:color w:val="auto"/>
          <w:highlight w:val="none"/>
        </w:rPr>
      </w:pPr>
      <w:r>
        <w:rPr>
          <w:rFonts w:hint="eastAsia" w:ascii="宋体" w:hAnsi="宋体" w:eastAsia="宋体" w:cs="宋体"/>
          <w:b/>
          <w:bCs/>
          <w:color w:val="auto"/>
          <w:highlight w:val="none"/>
        </w:rPr>
        <w:br w:type="page"/>
      </w:r>
    </w:p>
    <w:p w14:paraId="518D7649">
      <w:pPr>
        <w:spacing w:line="400" w:lineRule="exact"/>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 xml:space="preserve">                                         </w:t>
      </w:r>
    </w:p>
    <w:p w14:paraId="5DCFD0F9">
      <w:pPr>
        <w:spacing w:line="820" w:lineRule="exact"/>
        <w:jc w:val="center"/>
        <w:rPr>
          <w:rFonts w:hint="eastAsia" w:ascii="宋体" w:hAnsi="宋体" w:cs="宋体"/>
          <w:b/>
          <w:bCs/>
          <w:color w:val="auto"/>
          <w:sz w:val="32"/>
          <w:szCs w:val="32"/>
          <w:highlight w:val="none"/>
          <w:lang w:eastAsia="zh-CN"/>
        </w:rPr>
      </w:pPr>
    </w:p>
    <w:p w14:paraId="12ABF87C">
      <w:pPr>
        <w:spacing w:line="820" w:lineRule="exact"/>
        <w:jc w:val="center"/>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t>施工承包合同</w:t>
      </w:r>
    </w:p>
    <w:p w14:paraId="5DB5E08D">
      <w:pPr>
        <w:spacing w:line="500" w:lineRule="exact"/>
        <w:jc w:val="center"/>
        <w:rPr>
          <w:rFonts w:hint="eastAsia" w:ascii="宋体" w:hAnsi="宋体" w:eastAsia="宋体" w:cs="宋体"/>
          <w:b/>
          <w:bCs/>
          <w:color w:val="auto"/>
          <w:sz w:val="36"/>
          <w:szCs w:val="21"/>
          <w:highlight w:val="none"/>
        </w:rPr>
      </w:pPr>
    </w:p>
    <w:p w14:paraId="51D86CBC">
      <w:pPr>
        <w:jc w:val="center"/>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合同编号</w:t>
      </w:r>
      <w:r>
        <w:rPr>
          <w:rFonts w:hint="eastAsia" w:ascii="宋体" w:hAnsi="宋体" w:cs="宋体"/>
          <w:b/>
          <w:bCs/>
          <w:color w:val="auto"/>
          <w:sz w:val="28"/>
          <w:szCs w:val="28"/>
          <w:highlight w:val="none"/>
          <w:lang w:eastAsia="zh-CN"/>
        </w:rPr>
        <w:t>：</w:t>
      </w:r>
    </w:p>
    <w:p w14:paraId="4352627B">
      <w:pPr>
        <w:pStyle w:val="11"/>
        <w:adjustRightInd w:val="0"/>
        <w:snapToGrid w:val="0"/>
        <w:spacing w:before="240" w:after="240" w:line="500" w:lineRule="exact"/>
        <w:ind w:left="5120" w:hanging="4080" w:hangingChars="1700"/>
        <w:rPr>
          <w:rFonts w:hint="eastAsia" w:ascii="宋体" w:hAnsi="宋体" w:eastAsia="宋体" w:cs="宋体"/>
          <w:color w:val="auto"/>
          <w:sz w:val="24"/>
          <w:szCs w:val="24"/>
          <w:highlight w:val="none"/>
        </w:rPr>
      </w:pPr>
    </w:p>
    <w:p w14:paraId="29C27460">
      <w:pPr>
        <w:pStyle w:val="11"/>
        <w:adjustRightInd w:val="0"/>
        <w:snapToGrid w:val="0"/>
        <w:spacing w:before="240" w:after="240" w:line="500" w:lineRule="exact"/>
        <w:ind w:left="5120" w:hanging="4080" w:hangingChars="1700"/>
        <w:rPr>
          <w:rFonts w:hint="eastAsia" w:ascii="宋体" w:hAnsi="宋体" w:eastAsia="宋体" w:cs="宋体"/>
          <w:color w:val="auto"/>
          <w:sz w:val="24"/>
          <w:szCs w:val="24"/>
          <w:highlight w:val="none"/>
        </w:rPr>
      </w:pPr>
    </w:p>
    <w:p w14:paraId="526B2B6D">
      <w:pPr>
        <w:pStyle w:val="11"/>
        <w:adjustRightInd w:val="0"/>
        <w:snapToGrid w:val="0"/>
        <w:spacing w:before="240" w:after="240" w:line="500" w:lineRule="exact"/>
        <w:ind w:left="5120" w:hanging="4080" w:hangingChars="1700"/>
        <w:rPr>
          <w:rFonts w:hint="eastAsia" w:ascii="宋体" w:hAnsi="宋体" w:eastAsia="宋体" w:cs="宋体"/>
          <w:color w:val="auto"/>
          <w:sz w:val="24"/>
          <w:szCs w:val="24"/>
          <w:highlight w:val="none"/>
        </w:rPr>
      </w:pPr>
    </w:p>
    <w:p w14:paraId="12E9F639">
      <w:pPr>
        <w:pStyle w:val="11"/>
        <w:adjustRightInd w:val="0"/>
        <w:snapToGrid w:val="0"/>
        <w:spacing w:before="240" w:after="240" w:line="500" w:lineRule="exact"/>
        <w:ind w:left="5120" w:hanging="4080" w:hangingChars="1700"/>
        <w:rPr>
          <w:rFonts w:hint="eastAsia" w:ascii="宋体" w:hAnsi="宋体" w:eastAsia="宋体" w:cs="宋体"/>
          <w:color w:val="auto"/>
          <w:sz w:val="24"/>
          <w:szCs w:val="24"/>
          <w:highlight w:val="none"/>
        </w:rPr>
      </w:pPr>
    </w:p>
    <w:p w14:paraId="5817E8B2">
      <w:pPr>
        <w:pStyle w:val="11"/>
        <w:adjustRightInd w:val="0"/>
        <w:snapToGrid w:val="0"/>
        <w:spacing w:before="240" w:after="240" w:line="500" w:lineRule="exact"/>
        <w:ind w:left="5120" w:hanging="4080" w:hangingChars="1700"/>
        <w:rPr>
          <w:rFonts w:hint="eastAsia" w:ascii="宋体" w:hAnsi="宋体" w:eastAsia="宋体" w:cs="宋体"/>
          <w:color w:val="auto"/>
          <w:sz w:val="24"/>
          <w:szCs w:val="24"/>
          <w:highlight w:val="none"/>
        </w:rPr>
      </w:pPr>
    </w:p>
    <w:p w14:paraId="2DD38CF2">
      <w:pPr>
        <w:pStyle w:val="11"/>
        <w:adjustRightInd w:val="0"/>
        <w:snapToGrid w:val="0"/>
        <w:spacing w:before="240" w:after="240" w:line="500" w:lineRule="exact"/>
        <w:rPr>
          <w:rFonts w:hint="eastAsia" w:ascii="宋体" w:hAnsi="宋体" w:eastAsia="宋体" w:cs="宋体"/>
          <w:color w:val="auto"/>
          <w:sz w:val="24"/>
          <w:szCs w:val="24"/>
          <w:highlight w:val="none"/>
        </w:rPr>
      </w:pPr>
    </w:p>
    <w:p w14:paraId="10FE1201">
      <w:pPr>
        <w:pStyle w:val="11"/>
        <w:adjustRightInd w:val="0"/>
        <w:snapToGrid w:val="0"/>
        <w:spacing w:before="240" w:after="240" w:line="500" w:lineRule="exact"/>
        <w:rPr>
          <w:rFonts w:hint="eastAsia" w:ascii="宋体" w:hAnsi="宋体" w:eastAsia="宋体" w:cs="宋体"/>
          <w:color w:val="auto"/>
          <w:sz w:val="24"/>
          <w:szCs w:val="24"/>
          <w:highlight w:val="none"/>
        </w:rPr>
      </w:pPr>
    </w:p>
    <w:p w14:paraId="134CAD59">
      <w:pPr>
        <w:pStyle w:val="11"/>
        <w:adjustRightInd w:val="0"/>
        <w:snapToGrid w:val="0"/>
        <w:spacing w:before="240" w:after="240"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发包人：</w:t>
      </w:r>
      <w:r>
        <w:rPr>
          <w:rFonts w:hint="eastAsia" w:hAnsi="宋体" w:cs="宋体"/>
          <w:color w:val="auto"/>
          <w:sz w:val="28"/>
          <w:szCs w:val="28"/>
          <w:highlight w:val="none"/>
          <w:lang w:eastAsia="zh-CN"/>
        </w:rPr>
        <w:t>大新县发展和改革局</w:t>
      </w:r>
    </w:p>
    <w:p w14:paraId="0D9EF74E">
      <w:pPr>
        <w:pStyle w:val="11"/>
        <w:adjustRightInd w:val="0"/>
        <w:snapToGrid w:val="0"/>
        <w:spacing w:before="240" w:after="240"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承包人：</w:t>
      </w:r>
    </w:p>
    <w:p w14:paraId="63050141">
      <w:pPr>
        <w:pStyle w:val="11"/>
        <w:adjustRightInd w:val="0"/>
        <w:snapToGrid w:val="0"/>
        <w:spacing w:before="240" w:after="240" w:line="500" w:lineRule="exact"/>
        <w:ind w:firstLine="1808" w:firstLineChars="646"/>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二〇</w:t>
      </w:r>
      <w:r>
        <w:rPr>
          <w:rFonts w:hint="eastAsia" w:ascii="宋体" w:hAnsi="宋体" w:eastAsia="宋体" w:cs="宋体"/>
          <w:color w:val="auto"/>
          <w:sz w:val="28"/>
          <w:szCs w:val="28"/>
          <w:highlight w:val="none"/>
          <w:lang w:val="en-US" w:eastAsia="zh-Hans"/>
        </w:rPr>
        <w:t>二</w:t>
      </w:r>
      <w:r>
        <w:rPr>
          <w:rFonts w:hint="eastAsia" w:cs="宋体"/>
          <w:color w:val="auto"/>
          <w:sz w:val="28"/>
          <w:szCs w:val="28"/>
          <w:highlight w:val="none"/>
          <w:lang w:val="en-US" w:eastAsia="zh-CN"/>
        </w:rPr>
        <w:t>六</w:t>
      </w:r>
      <w:r>
        <w:rPr>
          <w:rFonts w:hint="eastAsia" w:ascii="宋体" w:hAnsi="宋体" w:eastAsia="宋体" w:cs="宋体"/>
          <w:color w:val="auto"/>
          <w:sz w:val="28"/>
          <w:szCs w:val="28"/>
          <w:highlight w:val="none"/>
        </w:rPr>
        <w:t xml:space="preserve">年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月</w:t>
      </w:r>
    </w:p>
    <w:p w14:paraId="591994EB">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60DB86EB">
      <w:pPr>
        <w:pStyle w:val="33"/>
        <w:keepNext/>
        <w:keepLines/>
        <w:spacing w:before="260" w:after="260" w:line="416" w:lineRule="auto"/>
        <w:jc w:val="center"/>
        <w:outlineLvl w:val="1"/>
        <w:rPr>
          <w:rFonts w:hint="eastAsia" w:ascii="宋体" w:hAnsi="宋体" w:eastAsia="宋体" w:cs="宋体"/>
          <w:b/>
          <w:bCs/>
          <w:color w:val="auto"/>
          <w:sz w:val="28"/>
          <w:szCs w:val="28"/>
          <w:highlight w:val="none"/>
        </w:rPr>
      </w:pPr>
      <w:bookmarkStart w:id="144" w:name="_Toc5705"/>
      <w:r>
        <w:rPr>
          <w:rFonts w:hint="eastAsia" w:ascii="宋体" w:hAnsi="宋体" w:eastAsia="宋体" w:cs="宋体"/>
          <w:b/>
          <w:bCs/>
          <w:color w:val="auto"/>
          <w:sz w:val="28"/>
          <w:szCs w:val="28"/>
          <w:highlight w:val="none"/>
        </w:rPr>
        <w:t>第一部分</w:t>
      </w:r>
      <w:r>
        <w:rPr>
          <w:rFonts w:hint="eastAsia" w:ascii="宋体" w:hAnsi="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合同协议书</w:t>
      </w:r>
      <w:bookmarkEnd w:id="144"/>
    </w:p>
    <w:p w14:paraId="27DB457A">
      <w:pPr>
        <w:pStyle w:val="33"/>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发包人（全称）：</w:t>
      </w:r>
      <w:r>
        <w:rPr>
          <w:rFonts w:hint="eastAsia" w:ascii="宋体" w:hAnsi="宋体" w:cs="宋体"/>
          <w:color w:val="auto"/>
          <w:sz w:val="21"/>
          <w:szCs w:val="21"/>
          <w:highlight w:val="none"/>
          <w:lang w:eastAsia="zh-CN"/>
        </w:rPr>
        <w:t>大新县发展和改革局</w:t>
      </w:r>
    </w:p>
    <w:p w14:paraId="052293E5">
      <w:pPr>
        <w:pStyle w:val="33"/>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承包人（全称）：</w:t>
      </w:r>
    </w:p>
    <w:p w14:paraId="4A8EE2FC">
      <w:pPr>
        <w:pStyle w:val="33"/>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根据《中华人民共和国民法典</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中华人民共和国建筑法》及有关法律规定，遵循平等、自愿、公平和诚实信用的原则，双方就</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cs="宋体"/>
          <w:b w:val="0"/>
          <w:bCs w:val="0"/>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施工及有关事项协商一致，共同达成如下协议：</w:t>
      </w:r>
    </w:p>
    <w:p w14:paraId="4A261C94">
      <w:pPr>
        <w:pStyle w:val="33"/>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一、工程概况</w:t>
      </w:r>
    </w:p>
    <w:p w14:paraId="71F9C562">
      <w:pPr>
        <w:pStyle w:val="33"/>
        <w:spacing w:line="360" w:lineRule="auto"/>
        <w:ind w:firstLine="411" w:firstLineChars="196"/>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1. 工程名称</w:t>
      </w: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cs="宋体"/>
          <w:b w:val="0"/>
          <w:bCs w:val="0"/>
          <w:color w:val="auto"/>
          <w:sz w:val="21"/>
          <w:szCs w:val="21"/>
          <w:highlight w:val="none"/>
          <w:u w:val="single"/>
          <w:lang w:val="en-US" w:eastAsia="zh-CN"/>
        </w:rPr>
        <w:t xml:space="preserve">大新县2026年以工代赈示范工程—雷平镇安平村以工代赈产业配套基础设施工程（2标） </w:t>
      </w:r>
      <w:r>
        <w:rPr>
          <w:rFonts w:hint="eastAsia" w:ascii="宋体" w:hAnsi="宋体" w:eastAsia="宋体" w:cs="宋体"/>
          <w:color w:val="auto"/>
          <w:sz w:val="21"/>
          <w:szCs w:val="21"/>
          <w:highlight w:val="none"/>
        </w:rPr>
        <w:t>。</w:t>
      </w:r>
    </w:p>
    <w:p w14:paraId="5FB3D099">
      <w:pPr>
        <w:pStyle w:val="33"/>
        <w:spacing w:line="360" w:lineRule="auto"/>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 工程地点：</w:t>
      </w:r>
      <w:r>
        <w:rPr>
          <w:rFonts w:hint="eastAsia" w:ascii="宋体" w:hAnsi="宋体" w:cs="宋体"/>
          <w:b w:val="0"/>
          <w:bCs w:val="0"/>
          <w:color w:val="auto"/>
          <w:sz w:val="21"/>
          <w:szCs w:val="21"/>
          <w:highlight w:val="none"/>
          <w:u w:val="single"/>
          <w:lang w:val="en-US" w:eastAsia="zh-CN"/>
        </w:rPr>
        <w:t xml:space="preserve"> 大新县雷平镇安平村  </w:t>
      </w:r>
      <w:r>
        <w:rPr>
          <w:rFonts w:hint="eastAsia" w:ascii="宋体" w:hAnsi="宋体" w:eastAsia="宋体" w:cs="宋体"/>
          <w:bCs/>
          <w:color w:val="auto"/>
          <w:sz w:val="21"/>
          <w:szCs w:val="21"/>
          <w:highlight w:val="none"/>
        </w:rPr>
        <w:t>。</w:t>
      </w:r>
    </w:p>
    <w:p w14:paraId="1F8E3F2C">
      <w:pPr>
        <w:pStyle w:val="33"/>
        <w:spacing w:line="360" w:lineRule="auto"/>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 资金来源：</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rPr>
        <w:t>。</w:t>
      </w:r>
    </w:p>
    <w:p w14:paraId="51F41AE9">
      <w:pPr>
        <w:pStyle w:val="33"/>
        <w:spacing w:line="360" w:lineRule="auto"/>
        <w:ind w:firstLine="411" w:firstLineChars="196"/>
        <w:rPr>
          <w:rFonts w:hint="default" w:ascii="宋体" w:hAnsi="宋体" w:eastAsia="宋体" w:cs="宋体"/>
          <w:b w:val="0"/>
          <w:bCs w:val="0"/>
          <w:color w:val="auto"/>
          <w:kern w:val="2"/>
          <w:sz w:val="21"/>
          <w:szCs w:val="21"/>
          <w:highlight w:val="none"/>
          <w:u w:val="single"/>
          <w:lang w:val="en-US" w:eastAsia="zh-CN" w:bidi="ar-SA"/>
        </w:rPr>
      </w:pPr>
      <w:r>
        <w:rPr>
          <w:rFonts w:hint="eastAsia" w:ascii="宋体" w:hAnsi="宋体" w:eastAsia="宋体" w:cs="宋体"/>
          <w:bCs/>
          <w:color w:val="auto"/>
          <w:sz w:val="21"/>
          <w:szCs w:val="21"/>
          <w:highlight w:val="none"/>
        </w:rPr>
        <w:t>5. 工程内容：</w:t>
      </w:r>
      <w:r>
        <w:rPr>
          <w:rFonts w:hint="eastAsia" w:ascii="宋体" w:hAnsi="宋体" w:cs="宋体"/>
          <w:i w:val="0"/>
          <w:iCs w:val="0"/>
          <w:color w:val="auto"/>
          <w:sz w:val="21"/>
          <w:szCs w:val="21"/>
          <w:highlight w:val="none"/>
          <w:u w:val="single"/>
          <w:lang w:val="en-US" w:eastAsia="zh-CN"/>
        </w:rPr>
        <w:t xml:space="preserve"> 建设渠道总长2474m，其中左岸长1222m，右岸长1252m，挡墙墙身高1.5m，顶宽0.5m，底宽0.875m，基础宽1.280m，高0.5m</w:t>
      </w:r>
      <w:r>
        <w:rPr>
          <w:rFonts w:hint="eastAsia" w:ascii="宋体" w:hAnsi="宋体" w:cs="宋体"/>
          <w:i w:val="0"/>
          <w:iCs w:val="0"/>
          <w:color w:val="auto"/>
          <w:sz w:val="21"/>
          <w:szCs w:val="21"/>
          <w:highlight w:val="none"/>
          <w:u w:val="none"/>
          <w:lang w:val="en-US" w:eastAsia="zh-CN"/>
        </w:rPr>
        <w:t>。</w:t>
      </w:r>
    </w:p>
    <w:p w14:paraId="36686B42">
      <w:pPr>
        <w:pStyle w:val="33"/>
        <w:numPr>
          <w:ilvl w:val="0"/>
          <w:numId w:val="4"/>
        </w:numPr>
        <w:spacing w:line="360" w:lineRule="auto"/>
        <w:ind w:firstLine="405" w:firstLineChars="193"/>
        <w:rPr>
          <w:rFonts w:hint="eastAsia" w:ascii="宋体" w:hAnsi="宋体" w:eastAsia="宋体" w:cs="宋体"/>
          <w:bCs/>
          <w:i w:val="0"/>
          <w:iCs w:val="0"/>
          <w:color w:val="auto"/>
          <w:sz w:val="21"/>
          <w:szCs w:val="21"/>
          <w:highlight w:val="none"/>
          <w:u w:val="single"/>
          <w:lang w:val="zh-CN"/>
        </w:rPr>
      </w:pPr>
      <w:r>
        <w:rPr>
          <w:rFonts w:hint="eastAsia" w:ascii="宋体" w:hAnsi="宋体" w:eastAsia="宋体" w:cs="宋体"/>
          <w:bCs/>
          <w:color w:val="auto"/>
          <w:sz w:val="21"/>
          <w:szCs w:val="21"/>
          <w:highlight w:val="none"/>
        </w:rPr>
        <w:t>工程承包范围：</w:t>
      </w:r>
      <w:r>
        <w:rPr>
          <w:rFonts w:hint="eastAsia" w:ascii="宋体" w:hAnsi="宋体" w:eastAsia="宋体" w:cs="宋体"/>
          <w:bCs/>
          <w:color w:val="auto"/>
          <w:sz w:val="21"/>
          <w:szCs w:val="21"/>
          <w:highlight w:val="none"/>
          <w:u w:val="single"/>
        </w:rPr>
        <w:t xml:space="preserve"> </w:t>
      </w:r>
      <w:r>
        <w:rPr>
          <w:rFonts w:hint="eastAsia" w:ascii="宋体" w:hAnsi="宋体" w:cs="宋体"/>
          <w:i w:val="0"/>
          <w:iCs w:val="0"/>
          <w:color w:val="auto"/>
          <w:sz w:val="21"/>
          <w:szCs w:val="21"/>
          <w:highlight w:val="none"/>
          <w:u w:val="single"/>
          <w:lang w:val="en-US" w:eastAsia="zh-CN"/>
        </w:rPr>
        <w:t xml:space="preserve"> 施工图纸及工程量清单包括的所有工程 </w:t>
      </w:r>
      <w:r>
        <w:rPr>
          <w:rFonts w:hint="eastAsia" w:ascii="宋体" w:hAnsi="宋体" w:cs="宋体"/>
          <w:i w:val="0"/>
          <w:iCs w:val="0"/>
          <w:color w:val="auto"/>
          <w:sz w:val="21"/>
          <w:szCs w:val="21"/>
          <w:highlight w:val="none"/>
          <w:u w:val="none"/>
          <w:lang w:val="en-US" w:eastAsia="zh-CN"/>
        </w:rPr>
        <w:t>。</w:t>
      </w:r>
    </w:p>
    <w:p w14:paraId="3B65F61F">
      <w:pPr>
        <w:pStyle w:val="33"/>
        <w:spacing w:line="360" w:lineRule="auto"/>
        <w:ind w:firstLine="407" w:firstLineChars="19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二、合同工期</w:t>
      </w:r>
    </w:p>
    <w:p w14:paraId="585E7927">
      <w:pPr>
        <w:pStyle w:val="33"/>
        <w:spacing w:line="360" w:lineRule="auto"/>
        <w:ind w:firstLine="4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计划开工日期：</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4B1D550C">
      <w:pPr>
        <w:pStyle w:val="33"/>
        <w:spacing w:line="360" w:lineRule="auto"/>
        <w:ind w:firstLine="4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计划竣工日期：</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5F77CD8F">
      <w:pPr>
        <w:pStyle w:val="33"/>
        <w:spacing w:line="360" w:lineRule="auto"/>
        <w:ind w:firstLine="4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工期总日历天数：</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120日历天</w:t>
      </w:r>
      <w:r>
        <w:rPr>
          <w:rFonts w:hint="eastAsia" w:ascii="宋体" w:hAnsi="宋体" w:eastAsia="宋体" w:cs="宋体"/>
          <w:color w:val="auto"/>
          <w:sz w:val="21"/>
          <w:szCs w:val="21"/>
          <w:highlight w:val="none"/>
        </w:rPr>
        <w:t>。工期总日历天数与根据前述计划开竣工日期计算的工期天数不一致的，以工期总日历天数为准。</w:t>
      </w:r>
    </w:p>
    <w:p w14:paraId="4C8FDD51">
      <w:pPr>
        <w:pStyle w:val="33"/>
        <w:spacing w:line="360" w:lineRule="auto"/>
        <w:ind w:firstLine="45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三、质量标准</w:t>
      </w:r>
    </w:p>
    <w:p w14:paraId="6273A1BE">
      <w:pPr>
        <w:pStyle w:val="33"/>
        <w:spacing w:line="360" w:lineRule="auto"/>
        <w:ind w:firstLine="4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工程质量符合</w:t>
      </w:r>
      <w:r>
        <w:rPr>
          <w:rFonts w:hint="eastAsia" w:ascii="宋体" w:hAnsi="宋体" w:eastAsia="宋体" w:cs="宋体"/>
          <w:color w:val="auto"/>
          <w:sz w:val="21"/>
          <w:szCs w:val="21"/>
          <w:highlight w:val="none"/>
          <w:u w:val="single"/>
        </w:rPr>
        <w:t>达到现行国家质量验收规范合格</w:t>
      </w:r>
      <w:r>
        <w:rPr>
          <w:rFonts w:hint="eastAsia" w:ascii="宋体" w:hAnsi="宋体" w:eastAsia="宋体" w:cs="宋体"/>
          <w:color w:val="auto"/>
          <w:sz w:val="21"/>
          <w:szCs w:val="21"/>
          <w:highlight w:val="none"/>
        </w:rPr>
        <w:t>标准。</w:t>
      </w:r>
    </w:p>
    <w:p w14:paraId="6CA8BD19">
      <w:pPr>
        <w:pStyle w:val="33"/>
        <w:spacing w:line="360" w:lineRule="auto"/>
        <w:ind w:firstLine="45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四、签约合同价与合同价格形式</w:t>
      </w:r>
    </w:p>
    <w:p w14:paraId="24095FDB">
      <w:pPr>
        <w:pStyle w:val="33"/>
        <w:spacing w:line="360" w:lineRule="auto"/>
        <w:ind w:firstLine="4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签约合同价为：</w:t>
      </w:r>
    </w:p>
    <w:p w14:paraId="1C782624">
      <w:pPr>
        <w:pStyle w:val="33"/>
        <w:spacing w:line="360" w:lineRule="auto"/>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1B60B788">
      <w:pPr>
        <w:pStyle w:val="33"/>
        <w:spacing w:line="360" w:lineRule="auto"/>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其中：</w:t>
      </w:r>
    </w:p>
    <w:p w14:paraId="05717994">
      <w:pPr>
        <w:pStyle w:val="33"/>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（1）安全文明施工费：</w:t>
      </w:r>
    </w:p>
    <w:p w14:paraId="6C5F3ECE">
      <w:pPr>
        <w:pStyle w:val="33"/>
        <w:spacing w:line="360" w:lineRule="auto"/>
        <w:ind w:left="420" w:leftChars="200"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元）；</w:t>
      </w:r>
    </w:p>
    <w:p w14:paraId="4AB0E095">
      <w:pPr>
        <w:pStyle w:val="33"/>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（2）建安劳保费：</w:t>
      </w:r>
    </w:p>
    <w:p w14:paraId="52D931BA">
      <w:pPr>
        <w:pStyle w:val="33"/>
        <w:spacing w:line="360" w:lineRule="auto"/>
        <w:ind w:left="420" w:leftChars="200"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元）；</w:t>
      </w:r>
    </w:p>
    <w:p w14:paraId="565E9A2C">
      <w:pPr>
        <w:pStyle w:val="33"/>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（3）材料和工程设备暂估价金额：</w:t>
      </w:r>
    </w:p>
    <w:p w14:paraId="4ECA80A6">
      <w:pPr>
        <w:pStyle w:val="33"/>
        <w:spacing w:line="360" w:lineRule="auto"/>
        <w:ind w:firstLine="945" w:firstLineChars="4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元）；</w:t>
      </w:r>
    </w:p>
    <w:p w14:paraId="32910B74">
      <w:pPr>
        <w:pStyle w:val="33"/>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（4）专业工程暂估价金额：</w:t>
      </w:r>
    </w:p>
    <w:p w14:paraId="7B0D64FC">
      <w:pPr>
        <w:pStyle w:val="33"/>
        <w:spacing w:line="360" w:lineRule="auto"/>
        <w:ind w:firstLine="945" w:firstLineChars="4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元）；</w:t>
      </w:r>
    </w:p>
    <w:p w14:paraId="781F3025">
      <w:pPr>
        <w:pStyle w:val="33"/>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（5）暂列金额：</w:t>
      </w:r>
    </w:p>
    <w:p w14:paraId="2CA7248B">
      <w:pPr>
        <w:pStyle w:val="33"/>
        <w:spacing w:line="360" w:lineRule="auto"/>
        <w:ind w:firstLine="945" w:firstLineChars="4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元）。</w:t>
      </w:r>
    </w:p>
    <w:p w14:paraId="3598E162">
      <w:pPr>
        <w:pStyle w:val="33"/>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合同价格形式：</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b/>
          <w:bCs/>
          <w:color w:val="auto"/>
          <w:sz w:val="21"/>
          <w:szCs w:val="21"/>
          <w:highlight w:val="none"/>
          <w:u w:val="singl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9E2A732">
      <w:pPr>
        <w:pStyle w:val="33"/>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五、项目经理</w:t>
      </w:r>
    </w:p>
    <w:p w14:paraId="6F57A294">
      <w:pPr>
        <w:pStyle w:val="33"/>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承包人项目经理：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none"/>
          <w:lang w:eastAsia="zh-CN"/>
        </w:rPr>
        <w:t>，</w:t>
      </w:r>
      <w:r>
        <w:rPr>
          <w:rFonts w:hint="eastAsia" w:ascii="宋体" w:hAnsi="宋体" w:cs="宋体"/>
          <w:color w:val="auto"/>
          <w:sz w:val="21"/>
          <w:szCs w:val="21"/>
          <w:highlight w:val="none"/>
          <w:u w:val="none"/>
          <w:lang w:val="en-US" w:eastAsia="zh-CN"/>
        </w:rPr>
        <w:t>身份证号码</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none"/>
          <w:lang w:eastAsia="zh-CN"/>
        </w:rPr>
        <w:t>，</w:t>
      </w:r>
      <w:r>
        <w:rPr>
          <w:rFonts w:hint="eastAsia" w:ascii="宋体" w:hAnsi="宋体" w:cs="宋体"/>
          <w:color w:val="auto"/>
          <w:sz w:val="21"/>
          <w:szCs w:val="21"/>
          <w:highlight w:val="none"/>
          <w:u w:val="none"/>
          <w:lang w:val="en-US" w:eastAsia="zh-CN"/>
        </w:rPr>
        <w:t>注册证书编号</w:t>
      </w:r>
      <w:r>
        <w:rPr>
          <w:rFonts w:hint="eastAsia" w:ascii="宋体" w:hAnsi="宋体" w:cs="宋体"/>
          <w:color w:val="auto"/>
          <w:sz w:val="21"/>
          <w:szCs w:val="21"/>
          <w:highlight w:val="none"/>
          <w:u w:val="single"/>
          <w:lang w:val="en-US" w:eastAsia="zh-CN"/>
        </w:rPr>
        <w:t>：          ；</w:t>
      </w:r>
      <w:r>
        <w:rPr>
          <w:rFonts w:hint="eastAsia" w:ascii="宋体" w:hAnsi="宋体" w:cs="宋体"/>
          <w:color w:val="auto"/>
          <w:sz w:val="21"/>
          <w:szCs w:val="21"/>
          <w:highlight w:val="none"/>
          <w:u w:val="none"/>
          <w:lang w:val="en-US" w:eastAsia="zh-CN"/>
        </w:rPr>
        <w:t>手机号码</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23558184">
      <w:pPr>
        <w:pStyle w:val="33"/>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六、合同文件构成</w:t>
      </w:r>
    </w:p>
    <w:p w14:paraId="055D4EF0">
      <w:pPr>
        <w:pStyle w:val="33"/>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本协议书与下列文件一起构成合同文件：</w:t>
      </w:r>
    </w:p>
    <w:p w14:paraId="09840807">
      <w:pPr>
        <w:numPr>
          <w:ilvl w:val="0"/>
          <w:numId w:val="5"/>
        </w:numPr>
        <w:autoSpaceDE w:val="0"/>
        <w:autoSpaceDN w:val="0"/>
        <w:adjustRightInd w:val="0"/>
        <w:snapToGrid/>
        <w:spacing w:beforeAutospacing="0" w:afterAutospacing="0" w:line="360" w:lineRule="auto"/>
        <w:ind w:left="0" w:leftChars="0" w:right="0" w:rightChars="0" w:firstLine="482" w:firstLineChars="0"/>
        <w:jc w:val="left"/>
        <w:outlineLvl w:val="2"/>
        <w:rPr>
          <w:rFonts w:ascii="宋体" w:hAnsi="宋体" w:eastAsia="宋体"/>
          <w:b w:val="0"/>
          <w:bCs w:val="0"/>
          <w:color w:val="auto"/>
          <w:sz w:val="21"/>
          <w:szCs w:val="21"/>
          <w:highlight w:val="none"/>
        </w:rPr>
      </w:pPr>
      <w:bookmarkStart w:id="145" w:name="_Toc31271"/>
      <w:bookmarkStart w:id="146" w:name="_Toc10548"/>
      <w:r>
        <w:rPr>
          <w:rFonts w:ascii="宋体" w:hAnsi="宋体" w:eastAsia="宋体"/>
          <w:b w:val="0"/>
          <w:bCs w:val="0"/>
          <w:color w:val="auto"/>
          <w:sz w:val="21"/>
          <w:szCs w:val="21"/>
          <w:highlight w:val="none"/>
        </w:rPr>
        <w:t>合同协议书；</w:t>
      </w:r>
      <w:bookmarkEnd w:id="145"/>
      <w:bookmarkEnd w:id="146"/>
    </w:p>
    <w:p w14:paraId="52E81F83">
      <w:pPr>
        <w:numPr>
          <w:ilvl w:val="0"/>
          <w:numId w:val="5"/>
        </w:numPr>
        <w:autoSpaceDE w:val="0"/>
        <w:autoSpaceDN w:val="0"/>
        <w:adjustRightInd w:val="0"/>
        <w:snapToGrid/>
        <w:spacing w:beforeAutospacing="0" w:afterAutospacing="0" w:line="360" w:lineRule="auto"/>
        <w:ind w:left="0" w:leftChars="0" w:right="0" w:rightChars="0" w:firstLine="482" w:firstLineChars="0"/>
        <w:jc w:val="left"/>
        <w:outlineLvl w:val="2"/>
        <w:rPr>
          <w:rFonts w:ascii="宋体" w:hAnsi="宋体" w:eastAsia="宋体"/>
          <w:b w:val="0"/>
          <w:bCs w:val="0"/>
          <w:color w:val="auto"/>
          <w:sz w:val="21"/>
          <w:szCs w:val="21"/>
          <w:highlight w:val="none"/>
        </w:rPr>
      </w:pPr>
      <w:bookmarkStart w:id="147" w:name="_Toc10332"/>
      <w:bookmarkStart w:id="148" w:name="_Toc30376"/>
      <w:r>
        <w:rPr>
          <w:rFonts w:ascii="宋体" w:hAnsi="宋体" w:eastAsia="宋体"/>
          <w:b w:val="0"/>
          <w:bCs w:val="0"/>
          <w:color w:val="auto"/>
          <w:sz w:val="21"/>
          <w:szCs w:val="21"/>
          <w:highlight w:val="none"/>
        </w:rPr>
        <w:t>成交通知书；</w:t>
      </w:r>
      <w:bookmarkEnd w:id="147"/>
      <w:bookmarkEnd w:id="148"/>
      <w:r>
        <w:rPr>
          <w:rFonts w:ascii="宋体" w:hAnsi="宋体" w:eastAsia="宋体"/>
          <w:b w:val="0"/>
          <w:bCs w:val="0"/>
          <w:color w:val="auto"/>
          <w:sz w:val="21"/>
          <w:szCs w:val="21"/>
          <w:highlight w:val="none"/>
        </w:rPr>
        <w:t xml:space="preserve"> </w:t>
      </w:r>
    </w:p>
    <w:p w14:paraId="1E69311A">
      <w:pPr>
        <w:numPr>
          <w:ilvl w:val="0"/>
          <w:numId w:val="5"/>
        </w:numPr>
        <w:autoSpaceDE w:val="0"/>
        <w:autoSpaceDN w:val="0"/>
        <w:adjustRightInd w:val="0"/>
        <w:snapToGrid/>
        <w:spacing w:beforeAutospacing="0" w:afterAutospacing="0" w:line="360" w:lineRule="auto"/>
        <w:ind w:left="0" w:leftChars="0" w:right="0" w:rightChars="0" w:firstLine="482" w:firstLineChars="0"/>
        <w:jc w:val="left"/>
        <w:outlineLvl w:val="2"/>
        <w:rPr>
          <w:rFonts w:ascii="宋体" w:hAnsi="宋体" w:eastAsia="宋体"/>
          <w:b w:val="0"/>
          <w:bCs w:val="0"/>
          <w:color w:val="auto"/>
          <w:sz w:val="21"/>
          <w:szCs w:val="21"/>
          <w:highlight w:val="none"/>
        </w:rPr>
      </w:pPr>
      <w:bookmarkStart w:id="149" w:name="_Toc12289"/>
      <w:bookmarkStart w:id="150" w:name="_Toc32575"/>
      <w:r>
        <w:rPr>
          <w:rFonts w:ascii="宋体" w:hAnsi="宋体" w:eastAsia="宋体"/>
          <w:b w:val="0"/>
          <w:bCs w:val="0"/>
          <w:color w:val="auto"/>
          <w:sz w:val="21"/>
          <w:szCs w:val="21"/>
          <w:highlight w:val="none"/>
        </w:rPr>
        <w:t>竞标函及竞标函附录；</w:t>
      </w:r>
      <w:bookmarkEnd w:id="149"/>
      <w:bookmarkEnd w:id="150"/>
    </w:p>
    <w:p w14:paraId="4A611600">
      <w:pPr>
        <w:numPr>
          <w:ilvl w:val="0"/>
          <w:numId w:val="5"/>
        </w:numPr>
        <w:autoSpaceDE w:val="0"/>
        <w:autoSpaceDN w:val="0"/>
        <w:adjustRightInd w:val="0"/>
        <w:snapToGrid/>
        <w:spacing w:beforeAutospacing="0" w:afterAutospacing="0" w:line="360" w:lineRule="auto"/>
        <w:ind w:left="0" w:leftChars="0" w:right="0" w:rightChars="0" w:firstLine="482" w:firstLineChars="0"/>
        <w:jc w:val="left"/>
        <w:outlineLvl w:val="2"/>
        <w:rPr>
          <w:rFonts w:ascii="宋体" w:hAnsi="宋体" w:eastAsia="宋体"/>
          <w:b w:val="0"/>
          <w:bCs w:val="0"/>
          <w:color w:val="auto"/>
          <w:sz w:val="21"/>
          <w:szCs w:val="21"/>
          <w:highlight w:val="none"/>
        </w:rPr>
      </w:pPr>
      <w:bookmarkStart w:id="151" w:name="_Toc18751"/>
      <w:bookmarkStart w:id="152" w:name="_Toc23047"/>
      <w:r>
        <w:rPr>
          <w:rFonts w:ascii="宋体" w:hAnsi="宋体" w:eastAsia="宋体"/>
          <w:b w:val="0"/>
          <w:bCs w:val="0"/>
          <w:color w:val="auto"/>
          <w:sz w:val="21"/>
          <w:szCs w:val="21"/>
          <w:highlight w:val="none"/>
        </w:rPr>
        <w:t>专用合同条款及其附件；</w:t>
      </w:r>
      <w:bookmarkEnd w:id="151"/>
      <w:bookmarkEnd w:id="152"/>
      <w:r>
        <w:rPr>
          <w:rFonts w:ascii="宋体" w:hAnsi="宋体" w:eastAsia="宋体"/>
          <w:b w:val="0"/>
          <w:bCs w:val="0"/>
          <w:color w:val="auto"/>
          <w:sz w:val="21"/>
          <w:szCs w:val="21"/>
          <w:highlight w:val="none"/>
        </w:rPr>
        <w:t xml:space="preserve"> </w:t>
      </w:r>
    </w:p>
    <w:p w14:paraId="207E82FC">
      <w:pPr>
        <w:numPr>
          <w:ilvl w:val="0"/>
          <w:numId w:val="5"/>
        </w:numPr>
        <w:autoSpaceDE w:val="0"/>
        <w:autoSpaceDN w:val="0"/>
        <w:adjustRightInd w:val="0"/>
        <w:snapToGrid/>
        <w:spacing w:beforeAutospacing="0" w:afterAutospacing="0" w:line="360" w:lineRule="auto"/>
        <w:ind w:left="0" w:leftChars="0" w:right="0" w:rightChars="0" w:firstLine="482" w:firstLineChars="0"/>
        <w:jc w:val="left"/>
        <w:outlineLvl w:val="2"/>
        <w:rPr>
          <w:rFonts w:ascii="宋体" w:hAnsi="宋体" w:eastAsia="宋体"/>
          <w:b w:val="0"/>
          <w:bCs w:val="0"/>
          <w:color w:val="auto"/>
          <w:sz w:val="21"/>
          <w:szCs w:val="21"/>
          <w:highlight w:val="none"/>
        </w:rPr>
      </w:pPr>
      <w:bookmarkStart w:id="153" w:name="_Toc26043"/>
      <w:bookmarkStart w:id="154" w:name="_Toc26676"/>
      <w:r>
        <w:rPr>
          <w:rFonts w:ascii="宋体" w:hAnsi="宋体" w:eastAsia="宋体"/>
          <w:b w:val="0"/>
          <w:bCs w:val="0"/>
          <w:color w:val="auto"/>
          <w:sz w:val="21"/>
          <w:szCs w:val="21"/>
          <w:highlight w:val="none"/>
        </w:rPr>
        <w:t>通用合同条款；</w:t>
      </w:r>
      <w:bookmarkEnd w:id="153"/>
      <w:bookmarkEnd w:id="154"/>
      <w:r>
        <w:rPr>
          <w:rFonts w:ascii="宋体" w:hAnsi="宋体" w:eastAsia="宋体"/>
          <w:b w:val="0"/>
          <w:bCs w:val="0"/>
          <w:color w:val="auto"/>
          <w:sz w:val="21"/>
          <w:szCs w:val="21"/>
          <w:highlight w:val="none"/>
        </w:rPr>
        <w:t xml:space="preserve"> </w:t>
      </w:r>
    </w:p>
    <w:p w14:paraId="67904087">
      <w:pPr>
        <w:numPr>
          <w:ilvl w:val="0"/>
          <w:numId w:val="5"/>
        </w:numPr>
        <w:autoSpaceDE w:val="0"/>
        <w:autoSpaceDN w:val="0"/>
        <w:adjustRightInd w:val="0"/>
        <w:snapToGrid/>
        <w:spacing w:beforeAutospacing="0" w:afterAutospacing="0" w:line="360" w:lineRule="auto"/>
        <w:ind w:left="0" w:leftChars="0" w:right="0" w:rightChars="0" w:firstLine="482" w:firstLineChars="0"/>
        <w:jc w:val="left"/>
        <w:outlineLvl w:val="2"/>
        <w:rPr>
          <w:rFonts w:ascii="宋体" w:hAnsi="宋体" w:eastAsia="宋体"/>
          <w:b w:val="0"/>
          <w:bCs w:val="0"/>
          <w:color w:val="auto"/>
          <w:sz w:val="21"/>
          <w:szCs w:val="21"/>
          <w:highlight w:val="none"/>
        </w:rPr>
      </w:pPr>
      <w:bookmarkStart w:id="155" w:name="_Toc11683"/>
      <w:bookmarkStart w:id="156" w:name="_Toc11652"/>
      <w:r>
        <w:rPr>
          <w:rFonts w:ascii="宋体" w:hAnsi="宋体" w:eastAsia="宋体"/>
          <w:b w:val="0"/>
          <w:bCs w:val="0"/>
          <w:color w:val="auto"/>
          <w:sz w:val="21"/>
          <w:szCs w:val="21"/>
          <w:highlight w:val="none"/>
        </w:rPr>
        <w:t>技术标准和要求；</w:t>
      </w:r>
      <w:bookmarkEnd w:id="155"/>
      <w:bookmarkEnd w:id="156"/>
      <w:r>
        <w:rPr>
          <w:rFonts w:ascii="宋体" w:hAnsi="宋体" w:eastAsia="宋体"/>
          <w:b w:val="0"/>
          <w:bCs w:val="0"/>
          <w:color w:val="auto"/>
          <w:sz w:val="21"/>
          <w:szCs w:val="21"/>
          <w:highlight w:val="none"/>
        </w:rPr>
        <w:t xml:space="preserve"> </w:t>
      </w:r>
    </w:p>
    <w:p w14:paraId="795E3A1E">
      <w:pPr>
        <w:numPr>
          <w:ilvl w:val="0"/>
          <w:numId w:val="5"/>
        </w:numPr>
        <w:autoSpaceDE w:val="0"/>
        <w:autoSpaceDN w:val="0"/>
        <w:adjustRightInd w:val="0"/>
        <w:snapToGrid/>
        <w:spacing w:beforeAutospacing="0" w:afterAutospacing="0" w:line="360" w:lineRule="auto"/>
        <w:ind w:left="0" w:leftChars="0" w:right="0" w:rightChars="0" w:firstLine="482" w:firstLineChars="0"/>
        <w:jc w:val="left"/>
        <w:outlineLvl w:val="2"/>
        <w:rPr>
          <w:rFonts w:ascii="宋体" w:hAnsi="宋体" w:eastAsia="宋体"/>
          <w:b w:val="0"/>
          <w:bCs w:val="0"/>
          <w:color w:val="auto"/>
          <w:sz w:val="21"/>
          <w:szCs w:val="21"/>
          <w:highlight w:val="none"/>
        </w:rPr>
      </w:pPr>
      <w:bookmarkStart w:id="157" w:name="_Toc6240"/>
      <w:bookmarkStart w:id="158" w:name="_Toc3936"/>
      <w:r>
        <w:rPr>
          <w:rFonts w:ascii="宋体" w:hAnsi="宋体" w:eastAsia="宋体"/>
          <w:b w:val="0"/>
          <w:bCs w:val="0"/>
          <w:color w:val="auto"/>
          <w:sz w:val="21"/>
          <w:szCs w:val="21"/>
          <w:highlight w:val="none"/>
        </w:rPr>
        <w:t>图纸；</w:t>
      </w:r>
      <w:bookmarkEnd w:id="157"/>
      <w:bookmarkEnd w:id="158"/>
      <w:r>
        <w:rPr>
          <w:rFonts w:ascii="宋体" w:hAnsi="宋体" w:eastAsia="宋体"/>
          <w:b w:val="0"/>
          <w:bCs w:val="0"/>
          <w:color w:val="auto"/>
          <w:sz w:val="21"/>
          <w:szCs w:val="21"/>
          <w:highlight w:val="none"/>
        </w:rPr>
        <w:t xml:space="preserve"> </w:t>
      </w:r>
    </w:p>
    <w:p w14:paraId="264C467E">
      <w:pPr>
        <w:numPr>
          <w:ilvl w:val="0"/>
          <w:numId w:val="5"/>
        </w:numPr>
        <w:autoSpaceDE w:val="0"/>
        <w:autoSpaceDN w:val="0"/>
        <w:adjustRightInd w:val="0"/>
        <w:snapToGrid/>
        <w:spacing w:beforeAutospacing="0" w:afterAutospacing="0" w:line="360" w:lineRule="auto"/>
        <w:ind w:left="0" w:leftChars="0" w:right="0" w:rightChars="0" w:firstLine="482" w:firstLineChars="0"/>
        <w:jc w:val="left"/>
        <w:outlineLvl w:val="2"/>
        <w:rPr>
          <w:rFonts w:ascii="宋体" w:hAnsi="宋体" w:eastAsia="宋体"/>
          <w:b w:val="0"/>
          <w:bCs w:val="0"/>
          <w:color w:val="auto"/>
          <w:sz w:val="21"/>
          <w:szCs w:val="21"/>
          <w:highlight w:val="none"/>
        </w:rPr>
      </w:pPr>
      <w:bookmarkStart w:id="159" w:name="_Toc3645"/>
      <w:bookmarkStart w:id="160" w:name="_Toc853"/>
      <w:r>
        <w:rPr>
          <w:rFonts w:ascii="宋体" w:hAnsi="宋体" w:eastAsia="宋体"/>
          <w:b w:val="0"/>
          <w:bCs w:val="0"/>
          <w:color w:val="auto"/>
          <w:sz w:val="21"/>
          <w:szCs w:val="21"/>
          <w:highlight w:val="none"/>
        </w:rPr>
        <w:t>已标价工程量清单或预算书；</w:t>
      </w:r>
      <w:bookmarkEnd w:id="159"/>
      <w:bookmarkEnd w:id="160"/>
    </w:p>
    <w:p w14:paraId="681A93F4">
      <w:pPr>
        <w:numPr>
          <w:ilvl w:val="0"/>
          <w:numId w:val="5"/>
        </w:numPr>
        <w:autoSpaceDE w:val="0"/>
        <w:autoSpaceDN w:val="0"/>
        <w:adjustRightInd w:val="0"/>
        <w:snapToGrid/>
        <w:spacing w:beforeAutospacing="0" w:afterAutospacing="0" w:line="360" w:lineRule="auto"/>
        <w:ind w:left="0" w:leftChars="0" w:right="0" w:rightChars="0" w:firstLine="482" w:firstLineChars="0"/>
        <w:jc w:val="left"/>
        <w:outlineLvl w:val="2"/>
        <w:rPr>
          <w:rFonts w:ascii="宋体" w:hAnsi="宋体" w:eastAsia="宋体"/>
          <w:b w:val="0"/>
          <w:bCs w:val="0"/>
          <w:color w:val="auto"/>
          <w:sz w:val="21"/>
          <w:szCs w:val="21"/>
          <w:highlight w:val="none"/>
        </w:rPr>
      </w:pPr>
      <w:bookmarkStart w:id="161" w:name="_Toc14037"/>
      <w:bookmarkStart w:id="162" w:name="_Toc10563"/>
      <w:r>
        <w:rPr>
          <w:rFonts w:ascii="宋体" w:hAnsi="宋体" w:eastAsia="宋体"/>
          <w:b w:val="0"/>
          <w:bCs w:val="0"/>
          <w:color w:val="auto"/>
          <w:sz w:val="21"/>
          <w:szCs w:val="21"/>
          <w:highlight w:val="none"/>
        </w:rPr>
        <w:t>磋商文件（含补充通知和答疑）；</w:t>
      </w:r>
      <w:bookmarkEnd w:id="161"/>
      <w:bookmarkEnd w:id="162"/>
      <w:r>
        <w:rPr>
          <w:rFonts w:ascii="宋体" w:hAnsi="宋体" w:eastAsia="宋体"/>
          <w:b w:val="0"/>
          <w:bCs w:val="0"/>
          <w:color w:val="auto"/>
          <w:sz w:val="21"/>
          <w:szCs w:val="21"/>
          <w:highlight w:val="none"/>
        </w:rPr>
        <w:t xml:space="preserve"> </w:t>
      </w:r>
    </w:p>
    <w:p w14:paraId="4B1457A7">
      <w:pPr>
        <w:numPr>
          <w:ilvl w:val="0"/>
          <w:numId w:val="5"/>
        </w:numPr>
        <w:autoSpaceDE w:val="0"/>
        <w:autoSpaceDN w:val="0"/>
        <w:adjustRightInd w:val="0"/>
        <w:snapToGrid/>
        <w:spacing w:beforeAutospacing="0" w:afterAutospacing="0" w:line="360" w:lineRule="auto"/>
        <w:ind w:left="0" w:leftChars="0" w:right="0" w:rightChars="0" w:firstLine="482" w:firstLineChars="0"/>
        <w:jc w:val="left"/>
        <w:outlineLvl w:val="2"/>
        <w:rPr>
          <w:rFonts w:ascii="宋体" w:hAnsi="宋体" w:eastAsia="宋体"/>
          <w:b w:val="0"/>
          <w:bCs w:val="0"/>
          <w:color w:val="auto"/>
          <w:sz w:val="21"/>
          <w:szCs w:val="21"/>
          <w:highlight w:val="none"/>
        </w:rPr>
      </w:pPr>
      <w:bookmarkStart w:id="163" w:name="_Toc22833"/>
      <w:bookmarkStart w:id="164" w:name="_Toc1730"/>
      <w:r>
        <w:rPr>
          <w:rFonts w:ascii="宋体" w:hAnsi="宋体" w:eastAsia="宋体"/>
          <w:b w:val="0"/>
          <w:bCs w:val="0"/>
          <w:color w:val="auto"/>
          <w:sz w:val="21"/>
          <w:szCs w:val="21"/>
          <w:highlight w:val="none"/>
        </w:rPr>
        <w:t>履约保证金缴纳证明；</w:t>
      </w:r>
      <w:bookmarkEnd w:id="163"/>
      <w:bookmarkEnd w:id="164"/>
      <w:r>
        <w:rPr>
          <w:rFonts w:ascii="宋体" w:hAnsi="宋体" w:eastAsia="宋体"/>
          <w:b w:val="0"/>
          <w:bCs w:val="0"/>
          <w:color w:val="auto"/>
          <w:sz w:val="21"/>
          <w:szCs w:val="21"/>
          <w:highlight w:val="none"/>
        </w:rPr>
        <w:t xml:space="preserve"> </w:t>
      </w:r>
    </w:p>
    <w:p w14:paraId="12DEEC68">
      <w:pPr>
        <w:numPr>
          <w:ilvl w:val="0"/>
          <w:numId w:val="5"/>
        </w:numPr>
        <w:autoSpaceDE w:val="0"/>
        <w:autoSpaceDN w:val="0"/>
        <w:adjustRightInd w:val="0"/>
        <w:snapToGrid/>
        <w:spacing w:beforeAutospacing="0" w:afterAutospacing="0" w:line="360" w:lineRule="auto"/>
        <w:ind w:left="0" w:leftChars="0" w:right="0" w:rightChars="0" w:firstLine="482" w:firstLineChars="0"/>
        <w:jc w:val="left"/>
        <w:outlineLvl w:val="2"/>
        <w:rPr>
          <w:rFonts w:ascii="宋体" w:hAnsi="宋体" w:eastAsia="宋体"/>
          <w:b w:val="0"/>
          <w:bCs w:val="0"/>
          <w:color w:val="auto"/>
          <w:sz w:val="21"/>
          <w:szCs w:val="21"/>
          <w:highlight w:val="none"/>
        </w:rPr>
      </w:pPr>
      <w:bookmarkStart w:id="165" w:name="_Toc15012"/>
      <w:bookmarkStart w:id="166" w:name="_Toc13660"/>
      <w:r>
        <w:rPr>
          <w:rFonts w:ascii="宋体" w:hAnsi="宋体" w:eastAsia="宋体"/>
          <w:b w:val="0"/>
          <w:bCs w:val="0"/>
          <w:color w:val="auto"/>
          <w:sz w:val="21"/>
          <w:szCs w:val="21"/>
          <w:highlight w:val="none"/>
        </w:rPr>
        <w:t>其他合同文件（在合同订立及履行过程中形成的与合同有关的文件均构成合同文 件组成部分</w:t>
      </w:r>
      <w:bookmarkEnd w:id="165"/>
      <w:bookmarkEnd w:id="166"/>
    </w:p>
    <w:p w14:paraId="372971A3">
      <w:pPr>
        <w:pStyle w:val="33"/>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w:t>
      </w:r>
      <w:r>
        <w:rPr>
          <w:rFonts w:hint="eastAsia" w:ascii="宋体" w:hAnsi="宋体" w:cs="宋体"/>
          <w:color w:val="auto"/>
          <w:sz w:val="21"/>
          <w:szCs w:val="21"/>
          <w:highlight w:val="none"/>
          <w:lang w:eastAsia="zh-CN"/>
        </w:rPr>
        <w:t>一项</w:t>
      </w:r>
      <w:r>
        <w:rPr>
          <w:rFonts w:hint="eastAsia" w:ascii="宋体" w:hAnsi="宋体" w:eastAsia="宋体" w:cs="宋体"/>
          <w:color w:val="auto"/>
          <w:sz w:val="21"/>
          <w:szCs w:val="21"/>
          <w:highlight w:val="none"/>
        </w:rPr>
        <w:t>内容的文件，应以最新签署的为准。专用合同条款及其附件须经合同当事人签字或盖章。</w:t>
      </w:r>
    </w:p>
    <w:p w14:paraId="20021DD1">
      <w:pPr>
        <w:pStyle w:val="33"/>
        <w:autoSpaceDE w:val="0"/>
        <w:autoSpaceDN w:val="0"/>
        <w:adjustRightInd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七、承诺</w:t>
      </w:r>
    </w:p>
    <w:p w14:paraId="7DD4C591">
      <w:pPr>
        <w:pStyle w:val="33"/>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 发包人承诺按照法律规定履行项目审批手续、筹集工程建设资金并按照合同约定的期限和方式支付合同价款。</w:t>
      </w:r>
    </w:p>
    <w:p w14:paraId="6D5BAAF3">
      <w:pPr>
        <w:pStyle w:val="33"/>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3EC4A4FC">
      <w:pPr>
        <w:pStyle w:val="33"/>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 发包人和承包人通过招投标形式签订合同的，双方理解并承诺不再就同一工程另行签订与合同实质性内容相背离的协议。</w:t>
      </w:r>
    </w:p>
    <w:p w14:paraId="2AC8D80A">
      <w:pPr>
        <w:pStyle w:val="33"/>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八、词语含义</w:t>
      </w:r>
    </w:p>
    <w:p w14:paraId="4EF0F6B3">
      <w:pPr>
        <w:pStyle w:val="33"/>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本协议书中词语含义与第二部分通用合同条款中赋予的含义相同。</w:t>
      </w:r>
    </w:p>
    <w:p w14:paraId="08F39139">
      <w:pPr>
        <w:pStyle w:val="33"/>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九、签订时间</w:t>
      </w:r>
    </w:p>
    <w:p w14:paraId="5E1A0C98">
      <w:pPr>
        <w:pStyle w:val="33"/>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本合同于</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2026</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日签订。</w:t>
      </w:r>
    </w:p>
    <w:p w14:paraId="3AC91A57">
      <w:pPr>
        <w:pStyle w:val="33"/>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十、签订地点</w:t>
      </w:r>
    </w:p>
    <w:p w14:paraId="7E8FF155">
      <w:pPr>
        <w:pStyle w:val="33"/>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w:t>
      </w:r>
      <w:r>
        <w:rPr>
          <w:rFonts w:hint="eastAsia" w:ascii="宋体" w:hAnsi="宋体" w:cs="宋体"/>
          <w:bCs/>
          <w:color w:val="auto"/>
          <w:sz w:val="21"/>
          <w:szCs w:val="21"/>
          <w:highlight w:val="none"/>
          <w:lang w:eastAsia="zh-CN"/>
        </w:rPr>
        <w:t>同在广西政府采购云平台上签订电子合同</w:t>
      </w:r>
      <w:r>
        <w:rPr>
          <w:rFonts w:hint="eastAsia" w:ascii="宋体" w:hAnsi="宋体" w:eastAsia="宋体" w:cs="宋体"/>
          <w:bCs/>
          <w:color w:val="auto"/>
          <w:sz w:val="21"/>
          <w:szCs w:val="21"/>
          <w:highlight w:val="none"/>
        </w:rPr>
        <w:t>。</w:t>
      </w:r>
    </w:p>
    <w:p w14:paraId="09F3ABB5">
      <w:pPr>
        <w:pStyle w:val="33"/>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十一、补充协议</w:t>
      </w:r>
    </w:p>
    <w:p w14:paraId="1CAE5311">
      <w:pPr>
        <w:pStyle w:val="33"/>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合同未尽事宜，合同当事人另行签订补充协议，补充协议是合同的组成部分。</w:t>
      </w:r>
    </w:p>
    <w:p w14:paraId="08D1C100">
      <w:pPr>
        <w:pStyle w:val="33"/>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十二、合同生效</w:t>
      </w:r>
    </w:p>
    <w:p w14:paraId="3A440C89">
      <w:pPr>
        <w:pStyle w:val="33"/>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本合同自</w:t>
      </w:r>
      <w:r>
        <w:rPr>
          <w:rFonts w:hint="eastAsia" w:ascii="宋体" w:hAnsi="宋体" w:eastAsia="宋体" w:cs="宋体"/>
          <w:bCs/>
          <w:color w:val="auto"/>
          <w:sz w:val="21"/>
          <w:szCs w:val="21"/>
          <w:highlight w:val="none"/>
          <w:u w:val="single"/>
        </w:rPr>
        <w:t xml:space="preserve">  双方签字盖章后     </w:t>
      </w:r>
      <w:r>
        <w:rPr>
          <w:rFonts w:hint="eastAsia" w:ascii="宋体" w:hAnsi="宋体" w:eastAsia="宋体" w:cs="宋体"/>
          <w:bCs/>
          <w:color w:val="auto"/>
          <w:sz w:val="21"/>
          <w:szCs w:val="21"/>
          <w:highlight w:val="none"/>
        </w:rPr>
        <w:t>生效。</w:t>
      </w:r>
    </w:p>
    <w:p w14:paraId="48279816">
      <w:pPr>
        <w:pStyle w:val="33"/>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十三、合同份数</w:t>
      </w:r>
    </w:p>
    <w:p w14:paraId="7248369B">
      <w:pPr>
        <w:pStyle w:val="33"/>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本合同一式</w:t>
      </w:r>
      <w:r>
        <w:rPr>
          <w:rFonts w:hint="eastAsia" w:ascii="宋体" w:hAnsi="宋体" w:eastAsia="宋体" w:cs="宋体"/>
          <w:bCs/>
          <w:color w:val="auto"/>
          <w:sz w:val="21"/>
          <w:szCs w:val="21"/>
          <w:highlight w:val="none"/>
          <w:u w:val="single"/>
        </w:rPr>
        <w:t xml:space="preserve"> 6 </w:t>
      </w:r>
      <w:r>
        <w:rPr>
          <w:rFonts w:hint="eastAsia" w:ascii="宋体" w:hAnsi="宋体" w:eastAsia="宋体" w:cs="宋体"/>
          <w:bCs/>
          <w:color w:val="auto"/>
          <w:sz w:val="21"/>
          <w:szCs w:val="21"/>
          <w:highlight w:val="none"/>
        </w:rPr>
        <w:t>份，其中正本</w:t>
      </w:r>
      <w:r>
        <w:rPr>
          <w:rFonts w:hint="eastAsia" w:ascii="宋体" w:hAnsi="宋体" w:eastAsia="宋体" w:cs="宋体"/>
          <w:bCs/>
          <w:color w:val="auto"/>
          <w:sz w:val="21"/>
          <w:szCs w:val="21"/>
          <w:highlight w:val="none"/>
          <w:u w:val="single"/>
        </w:rPr>
        <w:t>2</w:t>
      </w:r>
      <w:r>
        <w:rPr>
          <w:rFonts w:hint="eastAsia" w:ascii="宋体" w:hAnsi="宋体" w:eastAsia="宋体" w:cs="宋体"/>
          <w:bCs/>
          <w:color w:val="auto"/>
          <w:sz w:val="21"/>
          <w:szCs w:val="21"/>
          <w:highlight w:val="none"/>
        </w:rPr>
        <w:t>份，双方各执</w:t>
      </w:r>
      <w:r>
        <w:rPr>
          <w:rFonts w:hint="eastAsia" w:ascii="宋体" w:hAnsi="宋体" w:eastAsia="宋体" w:cs="宋体"/>
          <w:bCs/>
          <w:color w:val="auto"/>
          <w:sz w:val="21"/>
          <w:szCs w:val="21"/>
          <w:highlight w:val="none"/>
          <w:u w:val="single"/>
        </w:rPr>
        <w:t>1</w:t>
      </w:r>
      <w:r>
        <w:rPr>
          <w:rFonts w:hint="eastAsia" w:ascii="宋体" w:hAnsi="宋体" w:eastAsia="宋体" w:cs="宋体"/>
          <w:bCs/>
          <w:color w:val="auto"/>
          <w:sz w:val="21"/>
          <w:szCs w:val="21"/>
          <w:highlight w:val="none"/>
        </w:rPr>
        <w:t>份，副本</w:t>
      </w:r>
      <w:r>
        <w:rPr>
          <w:rFonts w:hint="eastAsia" w:ascii="宋体" w:hAnsi="宋体" w:eastAsia="宋体" w:cs="宋体"/>
          <w:bCs/>
          <w:color w:val="auto"/>
          <w:sz w:val="21"/>
          <w:szCs w:val="21"/>
          <w:highlight w:val="none"/>
          <w:u w:val="single"/>
        </w:rPr>
        <w:t>4</w:t>
      </w:r>
      <w:r>
        <w:rPr>
          <w:rFonts w:hint="eastAsia" w:ascii="宋体" w:hAnsi="宋体" w:eastAsia="宋体" w:cs="宋体"/>
          <w:bCs/>
          <w:color w:val="auto"/>
          <w:sz w:val="21"/>
          <w:szCs w:val="21"/>
          <w:highlight w:val="none"/>
        </w:rPr>
        <w:t>份，发包人执</w:t>
      </w:r>
      <w:r>
        <w:rPr>
          <w:rFonts w:hint="eastAsia" w:ascii="宋体" w:hAnsi="宋体" w:eastAsia="宋体" w:cs="宋体"/>
          <w:bCs/>
          <w:color w:val="auto"/>
          <w:sz w:val="21"/>
          <w:szCs w:val="21"/>
          <w:highlight w:val="none"/>
          <w:u w:val="single"/>
        </w:rPr>
        <w:t xml:space="preserve">3 </w:t>
      </w:r>
      <w:r>
        <w:rPr>
          <w:rFonts w:hint="eastAsia" w:ascii="宋体" w:hAnsi="宋体" w:eastAsia="宋体" w:cs="宋体"/>
          <w:bCs/>
          <w:color w:val="auto"/>
          <w:sz w:val="21"/>
          <w:szCs w:val="21"/>
          <w:highlight w:val="none"/>
        </w:rPr>
        <w:t>份，承包人执</w:t>
      </w:r>
      <w:r>
        <w:rPr>
          <w:rFonts w:hint="eastAsia" w:ascii="宋体" w:hAnsi="宋体" w:eastAsia="宋体" w:cs="宋体"/>
          <w:bCs/>
          <w:color w:val="auto"/>
          <w:sz w:val="21"/>
          <w:szCs w:val="21"/>
          <w:highlight w:val="none"/>
          <w:u w:val="single"/>
        </w:rPr>
        <w:t xml:space="preserve"> 1 </w:t>
      </w:r>
      <w:r>
        <w:rPr>
          <w:rFonts w:hint="eastAsia" w:ascii="宋体" w:hAnsi="宋体" w:eastAsia="宋体" w:cs="宋体"/>
          <w:bCs/>
          <w:color w:val="auto"/>
          <w:sz w:val="21"/>
          <w:szCs w:val="21"/>
          <w:highlight w:val="none"/>
        </w:rPr>
        <w:t>份，均具有同等法律效力。</w:t>
      </w:r>
    </w:p>
    <w:tbl>
      <w:tblPr>
        <w:tblStyle w:val="20"/>
        <w:tblW w:w="93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1"/>
        <w:gridCol w:w="5058"/>
      </w:tblGrid>
      <w:tr w14:paraId="5221D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vAlign w:val="center"/>
          </w:tcPr>
          <w:p w14:paraId="07910C5B">
            <w:pPr>
              <w:spacing w:line="360" w:lineRule="auto"/>
              <w:jc w:val="lef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发包人：</w:t>
            </w:r>
            <w:r>
              <w:rPr>
                <w:rFonts w:hint="eastAsia" w:ascii="宋体" w:hAnsi="宋体" w:eastAsia="宋体" w:cs="宋体"/>
                <w:color w:val="auto"/>
                <w:sz w:val="21"/>
                <w:szCs w:val="21"/>
                <w:highlight w:val="none"/>
                <w:u w:val="none"/>
                <w:lang w:val="en-US" w:eastAsia="zh-CN"/>
              </w:rPr>
              <w:t xml:space="preserve"> </w:t>
            </w:r>
            <w:r>
              <w:rPr>
                <w:rFonts w:hint="eastAsia" w:ascii="宋体" w:hAnsi="宋体" w:cs="宋体"/>
                <w:color w:val="auto"/>
                <w:sz w:val="21"/>
                <w:szCs w:val="21"/>
                <w:highlight w:val="none"/>
                <w:u w:val="none"/>
                <w:lang w:val="en-US" w:eastAsia="zh-CN"/>
              </w:rPr>
              <w:t>大新县发展和改革局</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rPr>
              <w:t>（公章）</w:t>
            </w:r>
          </w:p>
        </w:tc>
        <w:tc>
          <w:tcPr>
            <w:tcW w:w="5058" w:type="dxa"/>
            <w:vAlign w:val="center"/>
          </w:tcPr>
          <w:p w14:paraId="71F28F40">
            <w:pPr>
              <w:spacing w:line="360" w:lineRule="auto"/>
              <w:ind w:left="2420" w:hanging="2310" w:hangingChars="1100"/>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承包人：</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val="zh-CN"/>
              </w:rPr>
              <w:t>（</w:t>
            </w:r>
            <w:r>
              <w:rPr>
                <w:rFonts w:hint="eastAsia" w:ascii="宋体" w:hAnsi="宋体" w:eastAsia="宋体" w:cs="宋体"/>
                <w:color w:val="auto"/>
                <w:sz w:val="21"/>
                <w:szCs w:val="21"/>
                <w:highlight w:val="none"/>
                <w:u w:val="none"/>
              </w:rPr>
              <w:t>公章）</w:t>
            </w:r>
          </w:p>
        </w:tc>
      </w:tr>
      <w:tr w14:paraId="1AEC3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vAlign w:val="center"/>
          </w:tcPr>
          <w:p w14:paraId="24E508C7">
            <w:pPr>
              <w:spacing w:line="360" w:lineRule="auto"/>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法定代表人或其委托代理人：</w:t>
            </w:r>
          </w:p>
          <w:p w14:paraId="7BE0D11F">
            <w:pPr>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（签字）</w:t>
            </w:r>
          </w:p>
        </w:tc>
        <w:tc>
          <w:tcPr>
            <w:tcW w:w="5058" w:type="dxa"/>
            <w:vAlign w:val="center"/>
          </w:tcPr>
          <w:p w14:paraId="5413F238">
            <w:pPr>
              <w:spacing w:line="360" w:lineRule="auto"/>
              <w:jc w:val="both"/>
              <w:rPr>
                <w:rFonts w:hint="eastAsia" w:ascii="宋体" w:hAnsi="宋体" w:eastAsia="宋体" w:cs="宋体"/>
                <w:color w:val="auto"/>
                <w:sz w:val="21"/>
                <w:szCs w:val="21"/>
                <w:highlight w:val="none"/>
                <w:u w:val="none"/>
                <w:lang w:val="zh-CN"/>
              </w:rPr>
            </w:pPr>
            <w:r>
              <w:rPr>
                <w:rFonts w:hint="eastAsia" w:ascii="宋体" w:hAnsi="宋体" w:eastAsia="宋体" w:cs="宋体"/>
                <w:color w:val="auto"/>
                <w:sz w:val="21"/>
                <w:szCs w:val="21"/>
                <w:highlight w:val="none"/>
                <w:u w:val="none"/>
                <w:lang w:val="zh-CN"/>
              </w:rPr>
              <w:t>法定代表人或其委托代理人：</w:t>
            </w:r>
          </w:p>
          <w:p w14:paraId="41D34669">
            <w:pPr>
              <w:jc w:val="both"/>
              <w:rPr>
                <w:rFonts w:hint="eastAsia" w:ascii="宋体" w:hAnsi="宋体" w:eastAsia="宋体" w:cs="宋体"/>
                <w:color w:val="auto"/>
                <w:sz w:val="21"/>
                <w:szCs w:val="21"/>
                <w:highlight w:val="none"/>
                <w:u w:val="none"/>
                <w:lang w:val="zh-CN"/>
              </w:rPr>
            </w:pPr>
            <w:r>
              <w:rPr>
                <w:rFonts w:hint="eastAsia" w:ascii="宋体" w:hAnsi="宋体" w:eastAsia="宋体" w:cs="宋体"/>
                <w:color w:val="auto"/>
                <w:sz w:val="21"/>
                <w:szCs w:val="21"/>
                <w:highlight w:val="none"/>
                <w:u w:val="none"/>
                <w:lang w:val="zh-CN"/>
              </w:rPr>
              <w:t>（签字）</w:t>
            </w:r>
          </w:p>
        </w:tc>
      </w:tr>
      <w:tr w14:paraId="2207C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vAlign w:val="center"/>
          </w:tcPr>
          <w:p w14:paraId="115A97DC">
            <w:pPr>
              <w:spacing w:line="360" w:lineRule="auto"/>
              <w:jc w:val="both"/>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rPr>
              <w:t>统一社会信用代码：</w:t>
            </w:r>
            <w:r>
              <w:rPr>
                <w:rFonts w:hint="eastAsia" w:ascii="宋体" w:hAnsi="宋体" w:eastAsia="宋体" w:cs="宋体"/>
                <w:color w:val="auto"/>
                <w:sz w:val="21"/>
                <w:szCs w:val="21"/>
                <w:highlight w:val="none"/>
                <w:u w:val="none"/>
                <w:lang w:val="en-US" w:eastAsia="zh-CN"/>
              </w:rPr>
              <w:t xml:space="preserve"> </w:t>
            </w:r>
            <w:r>
              <w:rPr>
                <w:rFonts w:hint="eastAsia" w:ascii="宋体" w:hAnsi="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val="en-US" w:eastAsia="zh-CN"/>
              </w:rPr>
              <w:t xml:space="preserve">   </w:t>
            </w:r>
          </w:p>
        </w:tc>
        <w:tc>
          <w:tcPr>
            <w:tcW w:w="5058" w:type="dxa"/>
            <w:vAlign w:val="center"/>
          </w:tcPr>
          <w:p w14:paraId="7A1858EC">
            <w:pPr>
              <w:spacing w:line="360" w:lineRule="auto"/>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lang w:val="zh-CN"/>
              </w:rPr>
              <w:t>统一社会信用代码：</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val="zh-CN"/>
              </w:rPr>
              <w:t xml:space="preserve"> </w:t>
            </w:r>
            <w:r>
              <w:rPr>
                <w:rFonts w:hint="eastAsia" w:ascii="宋体" w:hAnsi="宋体" w:eastAsia="宋体" w:cs="宋体"/>
                <w:color w:val="auto"/>
                <w:sz w:val="21"/>
                <w:szCs w:val="21"/>
                <w:highlight w:val="none"/>
                <w:u w:val="none"/>
              </w:rPr>
              <w:t xml:space="preserve">                           </w:t>
            </w:r>
          </w:p>
        </w:tc>
      </w:tr>
      <w:tr w14:paraId="2AF1E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vAlign w:val="center"/>
          </w:tcPr>
          <w:p w14:paraId="78B015EA">
            <w:pPr>
              <w:spacing w:line="360" w:lineRule="auto"/>
              <w:jc w:val="both"/>
              <w:rPr>
                <w:rFonts w:hint="eastAsia" w:ascii="宋体" w:hAnsi="宋体" w:eastAsia="宋体" w:cs="宋体"/>
                <w:color w:val="auto"/>
                <w:sz w:val="21"/>
                <w:szCs w:val="21"/>
                <w:highlight w:val="none"/>
                <w:u w:val="none"/>
                <w:lang w:val="en-US"/>
              </w:rPr>
            </w:pPr>
            <w:r>
              <w:rPr>
                <w:rFonts w:hint="eastAsia" w:ascii="宋体" w:hAnsi="宋体" w:eastAsia="宋体" w:cs="宋体"/>
                <w:color w:val="auto"/>
                <w:sz w:val="21"/>
                <w:szCs w:val="21"/>
                <w:highlight w:val="none"/>
                <w:u w:val="none"/>
              </w:rPr>
              <w:t>组织机构代码：</w:t>
            </w:r>
            <w:r>
              <w:rPr>
                <w:rFonts w:hint="eastAsia" w:ascii="宋体" w:hAnsi="宋体" w:eastAsia="宋体" w:cs="宋体"/>
                <w:color w:val="auto"/>
                <w:sz w:val="21"/>
                <w:szCs w:val="21"/>
                <w:highlight w:val="none"/>
                <w:u w:val="none"/>
                <w:lang w:val="en-US" w:eastAsia="zh-CN"/>
              </w:rPr>
              <w:t xml:space="preserve">                  </w:t>
            </w:r>
          </w:p>
        </w:tc>
        <w:tc>
          <w:tcPr>
            <w:tcW w:w="5058" w:type="dxa"/>
            <w:vAlign w:val="center"/>
          </w:tcPr>
          <w:p w14:paraId="02AAFC8B">
            <w:pPr>
              <w:spacing w:line="360" w:lineRule="auto"/>
              <w:jc w:val="both"/>
              <w:rPr>
                <w:rFonts w:hint="eastAsia" w:ascii="宋体" w:hAnsi="宋体" w:eastAsia="宋体" w:cs="宋体"/>
                <w:color w:val="auto"/>
                <w:sz w:val="21"/>
                <w:szCs w:val="21"/>
                <w:highlight w:val="none"/>
                <w:u w:val="none"/>
                <w:lang w:val="zh-CN"/>
              </w:rPr>
            </w:pPr>
            <w:r>
              <w:rPr>
                <w:rFonts w:hint="eastAsia" w:ascii="宋体" w:hAnsi="宋体" w:eastAsia="宋体" w:cs="宋体"/>
                <w:color w:val="auto"/>
                <w:sz w:val="21"/>
                <w:szCs w:val="21"/>
                <w:highlight w:val="none"/>
                <w:u w:val="none"/>
                <w:lang w:val="zh-CN"/>
              </w:rPr>
              <w:t>组织机构代码：</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none"/>
                <w:lang w:val="zh-CN"/>
              </w:rPr>
              <w:t xml:space="preserve">   </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none"/>
                <w:lang w:val="zh-CN"/>
              </w:rPr>
              <w:t xml:space="preserve">            </w:t>
            </w:r>
          </w:p>
        </w:tc>
      </w:tr>
      <w:tr w14:paraId="0F899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vAlign w:val="center"/>
          </w:tcPr>
          <w:p w14:paraId="41E7E789">
            <w:pPr>
              <w:spacing w:line="360" w:lineRule="auto"/>
              <w:jc w:val="both"/>
              <w:rPr>
                <w:rFonts w:hint="eastAsia" w:ascii="宋体" w:hAnsi="宋体" w:eastAsia="宋体" w:cs="宋体"/>
                <w:color w:val="auto"/>
                <w:sz w:val="21"/>
                <w:szCs w:val="21"/>
                <w:highlight w:val="none"/>
                <w:u w:val="none"/>
                <w:lang w:val="en-US"/>
              </w:rPr>
            </w:pPr>
            <w:r>
              <w:rPr>
                <w:rFonts w:hint="eastAsia" w:ascii="宋体" w:hAnsi="宋体" w:eastAsia="宋体" w:cs="宋体"/>
                <w:color w:val="auto"/>
                <w:sz w:val="21"/>
                <w:szCs w:val="21"/>
                <w:highlight w:val="none"/>
                <w:u w:val="none"/>
              </w:rPr>
              <w:t>地  址：</w:t>
            </w:r>
            <w:r>
              <w:rPr>
                <w:rFonts w:hint="eastAsia" w:ascii="宋体" w:hAnsi="宋体" w:eastAsia="宋体" w:cs="宋体"/>
                <w:color w:val="auto"/>
                <w:sz w:val="21"/>
                <w:szCs w:val="21"/>
                <w:highlight w:val="none"/>
                <w:u w:val="none"/>
                <w:lang w:val="en-US" w:eastAsia="zh-CN"/>
              </w:rPr>
              <w:t xml:space="preserve"> </w:t>
            </w:r>
            <w:r>
              <w:rPr>
                <w:rFonts w:hint="eastAsia" w:ascii="宋体" w:hAnsi="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val="en-US" w:eastAsia="zh-CN"/>
              </w:rPr>
              <w:t xml:space="preserve"> </w:t>
            </w:r>
          </w:p>
        </w:tc>
        <w:tc>
          <w:tcPr>
            <w:tcW w:w="5058" w:type="dxa"/>
            <w:vAlign w:val="center"/>
          </w:tcPr>
          <w:p w14:paraId="5A792EF0">
            <w:pPr>
              <w:spacing w:line="360" w:lineRule="auto"/>
              <w:jc w:val="both"/>
              <w:rPr>
                <w:rFonts w:hint="eastAsia" w:ascii="宋体" w:hAnsi="宋体" w:eastAsia="宋体" w:cs="宋体"/>
                <w:color w:val="auto"/>
                <w:sz w:val="21"/>
                <w:szCs w:val="21"/>
                <w:highlight w:val="none"/>
                <w:u w:val="none"/>
                <w:lang w:val="zh-CN"/>
              </w:rPr>
            </w:pPr>
            <w:r>
              <w:rPr>
                <w:rFonts w:hint="eastAsia" w:ascii="宋体" w:hAnsi="宋体" w:eastAsia="宋体" w:cs="宋体"/>
                <w:color w:val="auto"/>
                <w:sz w:val="21"/>
                <w:szCs w:val="21"/>
                <w:highlight w:val="none"/>
                <w:u w:val="none"/>
                <w:lang w:val="zh-CN"/>
              </w:rPr>
              <w:t>地址：</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none"/>
                <w:lang w:val="zh-CN"/>
              </w:rPr>
              <w:t xml:space="preserve">    </w:t>
            </w:r>
          </w:p>
        </w:tc>
      </w:tr>
      <w:tr w14:paraId="1CE99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vAlign w:val="center"/>
          </w:tcPr>
          <w:p w14:paraId="7C673B82">
            <w:pPr>
              <w:spacing w:line="360" w:lineRule="auto"/>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 xml:space="preserve">邮政编码： </w:t>
            </w:r>
            <w:r>
              <w:rPr>
                <w:rFonts w:hint="eastAsia" w:ascii="宋体" w:hAnsi="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rPr>
              <w:t xml:space="preserve">      </w:t>
            </w:r>
          </w:p>
        </w:tc>
        <w:tc>
          <w:tcPr>
            <w:tcW w:w="5058" w:type="dxa"/>
            <w:vAlign w:val="center"/>
          </w:tcPr>
          <w:p w14:paraId="253D9880">
            <w:pPr>
              <w:spacing w:line="360" w:lineRule="auto"/>
              <w:jc w:val="both"/>
              <w:rPr>
                <w:rFonts w:hint="eastAsia" w:ascii="宋体" w:hAnsi="宋体" w:eastAsia="宋体" w:cs="宋体"/>
                <w:color w:val="auto"/>
                <w:sz w:val="21"/>
                <w:szCs w:val="21"/>
                <w:highlight w:val="none"/>
                <w:u w:val="none"/>
                <w:lang w:val="zh-CN"/>
              </w:rPr>
            </w:pPr>
            <w:r>
              <w:rPr>
                <w:rFonts w:hint="eastAsia" w:ascii="宋体" w:hAnsi="宋体" w:eastAsia="宋体" w:cs="宋体"/>
                <w:color w:val="auto"/>
                <w:sz w:val="21"/>
                <w:szCs w:val="21"/>
                <w:highlight w:val="none"/>
                <w:u w:val="none"/>
                <w:lang w:val="zh-CN"/>
              </w:rPr>
              <w:t>邮政编码：</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val="zh-CN"/>
              </w:rPr>
              <w:t xml:space="preserve">    </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none"/>
                <w:lang w:val="zh-CN"/>
              </w:rPr>
              <w:t xml:space="preserve">          </w:t>
            </w:r>
          </w:p>
        </w:tc>
      </w:tr>
      <w:tr w14:paraId="64B90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vAlign w:val="center"/>
          </w:tcPr>
          <w:p w14:paraId="2C357347">
            <w:pPr>
              <w:spacing w:line="360" w:lineRule="auto"/>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法定代表人：</w:t>
            </w:r>
            <w:r>
              <w:rPr>
                <w:rFonts w:hint="eastAsia" w:ascii="宋体" w:hAnsi="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rPr>
              <w:t xml:space="preserve">  </w:t>
            </w:r>
          </w:p>
        </w:tc>
        <w:tc>
          <w:tcPr>
            <w:tcW w:w="5058" w:type="dxa"/>
            <w:vAlign w:val="center"/>
          </w:tcPr>
          <w:p w14:paraId="0FD89483">
            <w:pPr>
              <w:spacing w:line="360" w:lineRule="auto"/>
              <w:jc w:val="both"/>
              <w:rPr>
                <w:rFonts w:hint="eastAsia" w:ascii="宋体" w:hAnsi="宋体" w:eastAsia="宋体" w:cs="宋体"/>
                <w:color w:val="auto"/>
                <w:sz w:val="21"/>
                <w:szCs w:val="21"/>
                <w:highlight w:val="none"/>
                <w:u w:val="none"/>
                <w:lang w:val="zh-CN"/>
              </w:rPr>
            </w:pPr>
            <w:r>
              <w:rPr>
                <w:rFonts w:hint="eastAsia" w:ascii="宋体" w:hAnsi="宋体" w:eastAsia="宋体" w:cs="宋体"/>
                <w:color w:val="auto"/>
                <w:sz w:val="21"/>
                <w:szCs w:val="21"/>
                <w:highlight w:val="none"/>
                <w:u w:val="none"/>
                <w:lang w:val="zh-CN"/>
              </w:rPr>
              <w:t>法定代表人：</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val="zh-CN"/>
              </w:rPr>
              <w:t></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none"/>
                <w:lang w:val="zh-CN"/>
              </w:rPr>
              <w:t xml:space="preserve">             </w:t>
            </w:r>
          </w:p>
        </w:tc>
      </w:tr>
      <w:tr w14:paraId="4AB35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vAlign w:val="center"/>
          </w:tcPr>
          <w:p w14:paraId="473D6F7B">
            <w:pPr>
              <w:spacing w:line="360" w:lineRule="auto"/>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委托代理人：</w:t>
            </w:r>
            <w:r>
              <w:rPr>
                <w:rFonts w:hint="eastAsia" w:ascii="宋体" w:hAnsi="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rPr>
              <w:t xml:space="preserve">              </w:t>
            </w:r>
          </w:p>
        </w:tc>
        <w:tc>
          <w:tcPr>
            <w:tcW w:w="5058" w:type="dxa"/>
            <w:vAlign w:val="center"/>
          </w:tcPr>
          <w:p w14:paraId="2AA6CB96">
            <w:pPr>
              <w:spacing w:line="360" w:lineRule="auto"/>
              <w:jc w:val="both"/>
              <w:rPr>
                <w:rFonts w:hint="eastAsia" w:ascii="宋体" w:hAnsi="宋体" w:eastAsia="宋体" w:cs="宋体"/>
                <w:color w:val="auto"/>
                <w:sz w:val="21"/>
                <w:szCs w:val="21"/>
                <w:highlight w:val="none"/>
                <w:u w:val="none"/>
                <w:lang w:val="zh-CN"/>
              </w:rPr>
            </w:pPr>
            <w:r>
              <w:rPr>
                <w:rFonts w:hint="eastAsia" w:ascii="宋体" w:hAnsi="宋体" w:eastAsia="宋体" w:cs="宋体"/>
                <w:color w:val="auto"/>
                <w:sz w:val="21"/>
                <w:szCs w:val="21"/>
                <w:highlight w:val="none"/>
                <w:u w:val="none"/>
                <w:lang w:val="zh-CN"/>
              </w:rPr>
              <w:t xml:space="preserve">委托代理人：   </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none"/>
                <w:lang w:val="zh-CN"/>
              </w:rPr>
              <w:t xml:space="preserve">              </w:t>
            </w:r>
          </w:p>
        </w:tc>
      </w:tr>
      <w:tr w14:paraId="132F7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vAlign w:val="center"/>
          </w:tcPr>
          <w:p w14:paraId="5E07BBB6">
            <w:pPr>
              <w:spacing w:line="360" w:lineRule="auto"/>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 xml:space="preserve">电  话：  </w:t>
            </w:r>
            <w:r>
              <w:rPr>
                <w:rFonts w:hint="eastAsia" w:ascii="宋体" w:hAnsi="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rPr>
              <w:t xml:space="preserve">  </w:t>
            </w:r>
          </w:p>
        </w:tc>
        <w:tc>
          <w:tcPr>
            <w:tcW w:w="5058" w:type="dxa"/>
            <w:vAlign w:val="center"/>
          </w:tcPr>
          <w:p w14:paraId="57EA12AA">
            <w:pPr>
              <w:spacing w:line="360" w:lineRule="auto"/>
              <w:jc w:val="both"/>
              <w:rPr>
                <w:rFonts w:hint="eastAsia" w:ascii="宋体" w:hAnsi="宋体" w:eastAsia="宋体" w:cs="宋体"/>
                <w:color w:val="auto"/>
                <w:sz w:val="21"/>
                <w:szCs w:val="21"/>
                <w:highlight w:val="none"/>
                <w:u w:val="none"/>
                <w:lang w:val="zh-CN"/>
              </w:rPr>
            </w:pPr>
            <w:r>
              <w:rPr>
                <w:rFonts w:hint="eastAsia" w:ascii="宋体" w:hAnsi="宋体" w:eastAsia="宋体" w:cs="宋体"/>
                <w:color w:val="auto"/>
                <w:sz w:val="21"/>
                <w:szCs w:val="21"/>
                <w:highlight w:val="none"/>
                <w:u w:val="none"/>
                <w:lang w:val="zh-CN"/>
              </w:rPr>
              <w:t>电  话：</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val="zh-CN"/>
              </w:rPr>
              <w:t xml:space="preserve">    </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none"/>
                <w:lang w:val="zh-CN"/>
              </w:rPr>
              <w:t xml:space="preserve">     </w:t>
            </w:r>
          </w:p>
        </w:tc>
      </w:tr>
      <w:tr w14:paraId="36664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vAlign w:val="center"/>
          </w:tcPr>
          <w:p w14:paraId="21B8D4DC">
            <w:pPr>
              <w:spacing w:line="360" w:lineRule="auto"/>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 xml:space="preserve">电子信箱：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val="zh-CN"/>
              </w:rPr>
              <w:t xml:space="preserve"> </w:t>
            </w:r>
            <w:r>
              <w:rPr>
                <w:rFonts w:hint="eastAsia" w:ascii="宋体" w:hAnsi="宋体" w:eastAsia="宋体" w:cs="宋体"/>
                <w:color w:val="auto"/>
                <w:sz w:val="21"/>
                <w:szCs w:val="21"/>
                <w:highlight w:val="none"/>
                <w:u w:val="none"/>
              </w:rPr>
              <w:t xml:space="preserve">      </w:t>
            </w:r>
          </w:p>
        </w:tc>
        <w:tc>
          <w:tcPr>
            <w:tcW w:w="5058" w:type="dxa"/>
            <w:vAlign w:val="center"/>
          </w:tcPr>
          <w:p w14:paraId="320A5B30">
            <w:pPr>
              <w:spacing w:line="360" w:lineRule="auto"/>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lang w:val="zh-CN"/>
              </w:rPr>
              <w:t>电子信箱：</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rPr>
              <w:t xml:space="preserve"> </w:t>
            </w:r>
          </w:p>
        </w:tc>
      </w:tr>
      <w:tr w14:paraId="74FB2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vAlign w:val="center"/>
          </w:tcPr>
          <w:p w14:paraId="43FE5B1C">
            <w:pPr>
              <w:spacing w:line="360" w:lineRule="auto"/>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 xml:space="preserve">开户银行：                           </w:t>
            </w:r>
          </w:p>
        </w:tc>
        <w:tc>
          <w:tcPr>
            <w:tcW w:w="5058" w:type="dxa"/>
            <w:vAlign w:val="center"/>
          </w:tcPr>
          <w:p w14:paraId="5BB4BDE3">
            <w:pPr>
              <w:spacing w:line="360" w:lineRule="auto"/>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lang w:val="zh-CN"/>
              </w:rPr>
              <w:t>开户银行：</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rPr>
              <w:t xml:space="preserve">                      </w:t>
            </w:r>
          </w:p>
        </w:tc>
      </w:tr>
      <w:tr w14:paraId="4CB44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1" w:type="dxa"/>
            <w:vAlign w:val="center"/>
          </w:tcPr>
          <w:p w14:paraId="4BACAC5D">
            <w:pPr>
              <w:spacing w:line="360" w:lineRule="auto"/>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 xml:space="preserve">账  号：                          </w:t>
            </w:r>
          </w:p>
        </w:tc>
        <w:tc>
          <w:tcPr>
            <w:tcW w:w="5058" w:type="dxa"/>
            <w:vAlign w:val="center"/>
          </w:tcPr>
          <w:p w14:paraId="3647D84A">
            <w:pPr>
              <w:spacing w:line="420" w:lineRule="auto"/>
              <w:jc w:val="both"/>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账 号</w:t>
            </w:r>
            <w:r>
              <w:rPr>
                <w:rFonts w:hint="eastAsia" w:ascii="宋体" w:hAnsi="宋体" w:eastAsia="宋体" w:cs="宋体"/>
                <w:color w:val="auto"/>
                <w:sz w:val="21"/>
                <w:szCs w:val="21"/>
                <w:highlight w:val="none"/>
                <w:u w:val="none"/>
                <w:lang w:val="zh-CN"/>
              </w:rPr>
              <w:t>：</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rPr>
              <w:t xml:space="preserve">                           </w:t>
            </w:r>
          </w:p>
        </w:tc>
      </w:tr>
    </w:tbl>
    <w:p w14:paraId="7C4C94D4">
      <w:pPr>
        <w:rPr>
          <w:rFonts w:hint="eastAsia" w:ascii="宋体" w:hAnsi="宋体" w:eastAsia="宋体" w:cs="宋体"/>
          <w:color w:val="auto"/>
          <w:kern w:val="44"/>
          <w:sz w:val="24"/>
          <w:szCs w:val="24"/>
          <w:highlight w:val="none"/>
        </w:rPr>
      </w:pPr>
      <w:r>
        <w:rPr>
          <w:rFonts w:hint="eastAsia" w:ascii="宋体" w:hAnsi="宋体" w:eastAsia="宋体" w:cs="宋体"/>
          <w:color w:val="auto"/>
          <w:kern w:val="44"/>
          <w:sz w:val="24"/>
          <w:szCs w:val="24"/>
          <w:highlight w:val="none"/>
        </w:rPr>
        <w:br w:type="page"/>
      </w:r>
    </w:p>
    <w:p w14:paraId="18E0F410">
      <w:pPr>
        <w:pStyle w:val="3"/>
        <w:numPr>
          <w:ilvl w:val="0"/>
          <w:numId w:val="0"/>
        </w:numPr>
        <w:jc w:val="center"/>
        <w:rPr>
          <w:rFonts w:hint="eastAsia" w:ascii="宋体" w:hAnsi="宋体" w:eastAsia="宋体" w:cs="宋体"/>
          <w:color w:val="auto"/>
          <w:kern w:val="44"/>
          <w:sz w:val="28"/>
          <w:szCs w:val="28"/>
          <w:highlight w:val="none"/>
        </w:rPr>
      </w:pPr>
      <w:bookmarkStart w:id="167" w:name="_Toc30075"/>
      <w:r>
        <w:rPr>
          <w:rFonts w:hint="eastAsia" w:ascii="宋体" w:hAnsi="宋体" w:eastAsia="宋体" w:cs="宋体"/>
          <w:b/>
          <w:bCs/>
          <w:color w:val="auto"/>
          <w:kern w:val="44"/>
          <w:sz w:val="28"/>
          <w:szCs w:val="28"/>
          <w:highlight w:val="none"/>
          <w:lang w:val="en-US" w:eastAsia="zh-CN" w:bidi="ar-SA"/>
        </w:rPr>
        <w:t>第二部分</w:t>
      </w:r>
      <w:r>
        <w:rPr>
          <w:rFonts w:hint="eastAsia" w:ascii="宋体" w:hAnsi="宋体" w:cs="宋体"/>
          <w:b/>
          <w:bCs/>
          <w:color w:val="auto"/>
          <w:kern w:val="44"/>
          <w:sz w:val="28"/>
          <w:szCs w:val="28"/>
          <w:highlight w:val="none"/>
          <w:lang w:val="en-US" w:eastAsia="zh-CN" w:bidi="ar-SA"/>
        </w:rPr>
        <w:t xml:space="preserve"> </w:t>
      </w:r>
      <w:r>
        <w:rPr>
          <w:rFonts w:hint="eastAsia" w:ascii="宋体" w:hAnsi="宋体" w:eastAsia="宋体" w:cs="宋体"/>
          <w:color w:val="auto"/>
          <w:kern w:val="44"/>
          <w:sz w:val="28"/>
          <w:szCs w:val="28"/>
          <w:highlight w:val="none"/>
        </w:rPr>
        <w:t>通用合同条款</w:t>
      </w:r>
      <w:bookmarkEnd w:id="167"/>
    </w:p>
    <w:p w14:paraId="07CBEF53">
      <w:pPr>
        <w:rPr>
          <w:rFonts w:hint="eastAsia" w:ascii="宋体" w:hAnsi="宋体" w:eastAsia="宋体" w:cs="宋体"/>
          <w:color w:val="auto"/>
          <w:sz w:val="21"/>
          <w:szCs w:val="24"/>
          <w:highlight w:val="none"/>
        </w:rPr>
      </w:pPr>
      <w:r>
        <w:rPr>
          <w:rFonts w:hint="eastAsia" w:ascii="宋体" w:hAnsi="宋体" w:eastAsia="宋体" w:cs="宋体"/>
          <w:color w:val="auto"/>
          <w:sz w:val="21"/>
          <w:szCs w:val="21"/>
          <w:highlight w:val="none"/>
        </w:rPr>
        <w:t>“合同通用条款”，采用国家工商行政管理局和建设部颁发的《建设工程施工合同（示范文本）》（GF-2017-0201）的“合同通用条款”。</w:t>
      </w:r>
    </w:p>
    <w:p w14:paraId="26194295">
      <w:pPr>
        <w:rPr>
          <w:rFonts w:hint="eastAsia" w:ascii="宋体" w:hAnsi="宋体" w:eastAsia="宋体" w:cs="宋体"/>
          <w:color w:val="auto"/>
          <w:sz w:val="18"/>
          <w:szCs w:val="21"/>
          <w:highlight w:val="none"/>
        </w:rPr>
      </w:pPr>
    </w:p>
    <w:p w14:paraId="339007F1">
      <w:pPr>
        <w:pStyle w:val="34"/>
        <w:spacing w:line="360" w:lineRule="auto"/>
        <w:jc w:val="center"/>
        <w:outlineLvl w:val="0"/>
        <w:rPr>
          <w:rFonts w:hint="eastAsia" w:ascii="宋体" w:hAnsi="宋体" w:eastAsia="宋体" w:cs="宋体"/>
          <w:b/>
          <w:bCs/>
          <w:color w:val="auto"/>
          <w:kern w:val="44"/>
          <w:sz w:val="24"/>
          <w:szCs w:val="24"/>
          <w:highlight w:val="none"/>
        </w:rPr>
      </w:pPr>
    </w:p>
    <w:p w14:paraId="0382EB29">
      <w:pPr>
        <w:pStyle w:val="34"/>
        <w:spacing w:line="360" w:lineRule="auto"/>
        <w:jc w:val="center"/>
        <w:outlineLvl w:val="0"/>
        <w:rPr>
          <w:rFonts w:hint="eastAsia" w:ascii="宋体" w:hAnsi="宋体" w:eastAsia="宋体" w:cs="宋体"/>
          <w:b/>
          <w:bCs/>
          <w:color w:val="auto"/>
          <w:kern w:val="44"/>
          <w:sz w:val="24"/>
          <w:szCs w:val="24"/>
          <w:highlight w:val="none"/>
        </w:rPr>
      </w:pPr>
    </w:p>
    <w:p w14:paraId="670707DA">
      <w:pPr>
        <w:pStyle w:val="34"/>
        <w:spacing w:line="360" w:lineRule="auto"/>
        <w:jc w:val="center"/>
        <w:outlineLvl w:val="0"/>
        <w:rPr>
          <w:rFonts w:hint="eastAsia" w:ascii="宋体" w:hAnsi="宋体" w:eastAsia="宋体" w:cs="宋体"/>
          <w:b/>
          <w:bCs/>
          <w:color w:val="auto"/>
          <w:kern w:val="44"/>
          <w:sz w:val="24"/>
          <w:szCs w:val="24"/>
          <w:highlight w:val="none"/>
        </w:rPr>
      </w:pPr>
    </w:p>
    <w:p w14:paraId="3006C501">
      <w:pPr>
        <w:pStyle w:val="34"/>
        <w:spacing w:line="360" w:lineRule="auto"/>
        <w:jc w:val="center"/>
        <w:outlineLvl w:val="0"/>
        <w:rPr>
          <w:rFonts w:hint="eastAsia" w:ascii="宋体" w:hAnsi="宋体" w:eastAsia="宋体" w:cs="宋体"/>
          <w:b/>
          <w:bCs/>
          <w:color w:val="auto"/>
          <w:kern w:val="44"/>
          <w:sz w:val="24"/>
          <w:szCs w:val="24"/>
          <w:highlight w:val="none"/>
        </w:rPr>
      </w:pPr>
    </w:p>
    <w:p w14:paraId="5327E8E1">
      <w:pPr>
        <w:pStyle w:val="34"/>
        <w:spacing w:line="360" w:lineRule="auto"/>
        <w:jc w:val="center"/>
        <w:outlineLvl w:val="0"/>
        <w:rPr>
          <w:rFonts w:hint="eastAsia" w:ascii="宋体" w:hAnsi="宋体" w:eastAsia="宋体" w:cs="宋体"/>
          <w:b/>
          <w:bCs/>
          <w:color w:val="auto"/>
          <w:kern w:val="44"/>
          <w:sz w:val="24"/>
          <w:szCs w:val="24"/>
          <w:highlight w:val="none"/>
        </w:rPr>
      </w:pPr>
    </w:p>
    <w:p w14:paraId="3242CFCF">
      <w:pPr>
        <w:pStyle w:val="34"/>
        <w:spacing w:line="360" w:lineRule="auto"/>
        <w:jc w:val="center"/>
        <w:outlineLvl w:val="0"/>
        <w:rPr>
          <w:rFonts w:hint="eastAsia" w:ascii="宋体" w:hAnsi="宋体" w:eastAsia="宋体" w:cs="宋体"/>
          <w:b/>
          <w:bCs/>
          <w:color w:val="auto"/>
          <w:kern w:val="44"/>
          <w:sz w:val="24"/>
          <w:szCs w:val="24"/>
          <w:highlight w:val="none"/>
        </w:rPr>
      </w:pPr>
    </w:p>
    <w:p w14:paraId="50EFD75D">
      <w:pPr>
        <w:pStyle w:val="34"/>
        <w:spacing w:line="360" w:lineRule="auto"/>
        <w:jc w:val="center"/>
        <w:outlineLvl w:val="0"/>
        <w:rPr>
          <w:rFonts w:hint="eastAsia" w:ascii="宋体" w:hAnsi="宋体" w:eastAsia="宋体" w:cs="宋体"/>
          <w:b/>
          <w:bCs/>
          <w:color w:val="auto"/>
          <w:kern w:val="44"/>
          <w:sz w:val="24"/>
          <w:szCs w:val="24"/>
          <w:highlight w:val="none"/>
        </w:rPr>
      </w:pPr>
    </w:p>
    <w:p w14:paraId="7001BD88">
      <w:pPr>
        <w:pStyle w:val="34"/>
        <w:spacing w:line="360" w:lineRule="auto"/>
        <w:jc w:val="center"/>
        <w:outlineLvl w:val="0"/>
        <w:rPr>
          <w:rFonts w:hint="eastAsia" w:ascii="宋体" w:hAnsi="宋体" w:eastAsia="宋体" w:cs="宋体"/>
          <w:b/>
          <w:bCs/>
          <w:color w:val="auto"/>
          <w:kern w:val="44"/>
          <w:sz w:val="24"/>
          <w:szCs w:val="24"/>
          <w:highlight w:val="none"/>
        </w:rPr>
      </w:pPr>
    </w:p>
    <w:p w14:paraId="79F3AE88">
      <w:pPr>
        <w:pStyle w:val="34"/>
        <w:spacing w:line="360" w:lineRule="auto"/>
        <w:jc w:val="center"/>
        <w:outlineLvl w:val="0"/>
        <w:rPr>
          <w:rFonts w:hint="eastAsia" w:ascii="宋体" w:hAnsi="宋体" w:eastAsia="宋体" w:cs="宋体"/>
          <w:b/>
          <w:bCs/>
          <w:color w:val="auto"/>
          <w:kern w:val="44"/>
          <w:sz w:val="24"/>
          <w:szCs w:val="24"/>
          <w:highlight w:val="none"/>
        </w:rPr>
      </w:pPr>
    </w:p>
    <w:p w14:paraId="3E3595FF">
      <w:pPr>
        <w:pStyle w:val="34"/>
        <w:spacing w:line="360" w:lineRule="auto"/>
        <w:jc w:val="center"/>
        <w:outlineLvl w:val="0"/>
        <w:rPr>
          <w:rFonts w:hint="eastAsia" w:ascii="宋体" w:hAnsi="宋体" w:eastAsia="宋体" w:cs="宋体"/>
          <w:b/>
          <w:bCs/>
          <w:color w:val="auto"/>
          <w:kern w:val="44"/>
          <w:sz w:val="24"/>
          <w:szCs w:val="24"/>
          <w:highlight w:val="none"/>
        </w:rPr>
      </w:pPr>
    </w:p>
    <w:p w14:paraId="580F065E">
      <w:pPr>
        <w:pStyle w:val="34"/>
        <w:spacing w:line="360" w:lineRule="auto"/>
        <w:jc w:val="center"/>
        <w:outlineLvl w:val="0"/>
        <w:rPr>
          <w:rFonts w:hint="eastAsia" w:ascii="宋体" w:hAnsi="宋体" w:eastAsia="宋体" w:cs="宋体"/>
          <w:b/>
          <w:bCs/>
          <w:color w:val="auto"/>
          <w:kern w:val="44"/>
          <w:sz w:val="24"/>
          <w:szCs w:val="24"/>
          <w:highlight w:val="none"/>
        </w:rPr>
      </w:pPr>
    </w:p>
    <w:p w14:paraId="67AFB849">
      <w:pPr>
        <w:pStyle w:val="34"/>
        <w:spacing w:line="360" w:lineRule="auto"/>
        <w:jc w:val="center"/>
        <w:outlineLvl w:val="0"/>
        <w:rPr>
          <w:rFonts w:hint="eastAsia" w:ascii="宋体" w:hAnsi="宋体" w:eastAsia="宋体" w:cs="宋体"/>
          <w:b/>
          <w:bCs/>
          <w:color w:val="auto"/>
          <w:kern w:val="44"/>
          <w:sz w:val="24"/>
          <w:szCs w:val="24"/>
          <w:highlight w:val="none"/>
        </w:rPr>
      </w:pPr>
    </w:p>
    <w:p w14:paraId="48BDA15F">
      <w:pPr>
        <w:pStyle w:val="34"/>
        <w:spacing w:line="360" w:lineRule="auto"/>
        <w:jc w:val="center"/>
        <w:outlineLvl w:val="0"/>
        <w:rPr>
          <w:rFonts w:hint="eastAsia" w:ascii="宋体" w:hAnsi="宋体" w:eastAsia="宋体" w:cs="宋体"/>
          <w:b/>
          <w:bCs/>
          <w:color w:val="auto"/>
          <w:kern w:val="44"/>
          <w:sz w:val="24"/>
          <w:szCs w:val="24"/>
          <w:highlight w:val="none"/>
        </w:rPr>
      </w:pPr>
    </w:p>
    <w:p w14:paraId="1A2DD22B">
      <w:pPr>
        <w:pStyle w:val="34"/>
        <w:spacing w:line="360" w:lineRule="auto"/>
        <w:jc w:val="center"/>
        <w:outlineLvl w:val="0"/>
        <w:rPr>
          <w:rFonts w:hint="eastAsia" w:ascii="宋体" w:hAnsi="宋体" w:eastAsia="宋体" w:cs="宋体"/>
          <w:b/>
          <w:bCs/>
          <w:color w:val="auto"/>
          <w:kern w:val="44"/>
          <w:sz w:val="24"/>
          <w:szCs w:val="24"/>
          <w:highlight w:val="none"/>
        </w:rPr>
      </w:pPr>
    </w:p>
    <w:p w14:paraId="4C2E7FD3">
      <w:pPr>
        <w:pStyle w:val="34"/>
        <w:spacing w:line="360" w:lineRule="auto"/>
        <w:jc w:val="center"/>
        <w:outlineLvl w:val="0"/>
        <w:rPr>
          <w:rFonts w:hint="eastAsia" w:ascii="宋体" w:hAnsi="宋体" w:eastAsia="宋体" w:cs="宋体"/>
          <w:b/>
          <w:bCs/>
          <w:color w:val="auto"/>
          <w:kern w:val="44"/>
          <w:sz w:val="24"/>
          <w:szCs w:val="24"/>
          <w:highlight w:val="none"/>
        </w:rPr>
      </w:pPr>
    </w:p>
    <w:p w14:paraId="718A805C">
      <w:pPr>
        <w:pStyle w:val="34"/>
        <w:spacing w:line="360" w:lineRule="auto"/>
        <w:jc w:val="center"/>
        <w:outlineLvl w:val="0"/>
        <w:rPr>
          <w:rFonts w:hint="eastAsia" w:ascii="宋体" w:hAnsi="宋体" w:eastAsia="宋体" w:cs="宋体"/>
          <w:b/>
          <w:bCs/>
          <w:color w:val="auto"/>
          <w:kern w:val="44"/>
          <w:sz w:val="24"/>
          <w:szCs w:val="24"/>
          <w:highlight w:val="none"/>
        </w:rPr>
      </w:pPr>
    </w:p>
    <w:p w14:paraId="45FC1019">
      <w:pPr>
        <w:pStyle w:val="34"/>
        <w:spacing w:line="360" w:lineRule="auto"/>
        <w:jc w:val="center"/>
        <w:outlineLvl w:val="0"/>
        <w:rPr>
          <w:rFonts w:hint="eastAsia" w:ascii="宋体" w:hAnsi="宋体" w:eastAsia="宋体" w:cs="宋体"/>
          <w:b/>
          <w:bCs/>
          <w:color w:val="auto"/>
          <w:kern w:val="44"/>
          <w:sz w:val="24"/>
          <w:szCs w:val="24"/>
          <w:highlight w:val="none"/>
        </w:rPr>
      </w:pPr>
    </w:p>
    <w:p w14:paraId="46B8CC36">
      <w:pPr>
        <w:pStyle w:val="34"/>
        <w:spacing w:line="360" w:lineRule="auto"/>
        <w:jc w:val="center"/>
        <w:outlineLvl w:val="0"/>
        <w:rPr>
          <w:rFonts w:hint="eastAsia" w:ascii="宋体" w:hAnsi="宋体" w:eastAsia="宋体" w:cs="宋体"/>
          <w:b/>
          <w:bCs/>
          <w:color w:val="auto"/>
          <w:kern w:val="44"/>
          <w:sz w:val="24"/>
          <w:szCs w:val="24"/>
          <w:highlight w:val="none"/>
        </w:rPr>
      </w:pPr>
    </w:p>
    <w:p w14:paraId="45BF4A17">
      <w:pPr>
        <w:pStyle w:val="34"/>
        <w:spacing w:line="360" w:lineRule="auto"/>
        <w:outlineLvl w:val="0"/>
        <w:rPr>
          <w:rFonts w:hint="eastAsia" w:ascii="宋体" w:hAnsi="宋体" w:eastAsia="宋体" w:cs="宋体"/>
          <w:b/>
          <w:bCs/>
          <w:color w:val="auto"/>
          <w:kern w:val="44"/>
          <w:sz w:val="24"/>
          <w:szCs w:val="24"/>
          <w:highlight w:val="none"/>
        </w:rPr>
      </w:pPr>
    </w:p>
    <w:p w14:paraId="1E6C1AA6">
      <w:pPr>
        <w:pStyle w:val="34"/>
        <w:spacing w:line="360" w:lineRule="auto"/>
        <w:outlineLvl w:val="0"/>
        <w:rPr>
          <w:rFonts w:hint="eastAsia" w:ascii="宋体" w:hAnsi="宋体" w:eastAsia="宋体" w:cs="宋体"/>
          <w:b/>
          <w:bCs/>
          <w:color w:val="auto"/>
          <w:kern w:val="44"/>
          <w:sz w:val="24"/>
          <w:szCs w:val="24"/>
          <w:highlight w:val="none"/>
        </w:rPr>
      </w:pPr>
    </w:p>
    <w:p w14:paraId="62AE1D90">
      <w:pPr>
        <w:pStyle w:val="34"/>
        <w:spacing w:line="360" w:lineRule="auto"/>
        <w:outlineLvl w:val="0"/>
        <w:rPr>
          <w:rFonts w:hint="eastAsia" w:ascii="宋体" w:hAnsi="宋体" w:eastAsia="宋体" w:cs="宋体"/>
          <w:b/>
          <w:bCs/>
          <w:color w:val="auto"/>
          <w:kern w:val="44"/>
          <w:sz w:val="24"/>
          <w:szCs w:val="24"/>
          <w:highlight w:val="none"/>
        </w:rPr>
      </w:pPr>
    </w:p>
    <w:p w14:paraId="6353F000">
      <w:pPr>
        <w:pStyle w:val="34"/>
        <w:spacing w:line="360" w:lineRule="auto"/>
        <w:outlineLvl w:val="0"/>
        <w:rPr>
          <w:rFonts w:hint="eastAsia" w:ascii="宋体" w:hAnsi="宋体" w:eastAsia="宋体" w:cs="宋体"/>
          <w:b/>
          <w:bCs/>
          <w:color w:val="auto"/>
          <w:kern w:val="44"/>
          <w:sz w:val="24"/>
          <w:szCs w:val="24"/>
          <w:highlight w:val="none"/>
        </w:rPr>
      </w:pPr>
    </w:p>
    <w:p w14:paraId="23B984FA">
      <w:pPr>
        <w:pStyle w:val="34"/>
        <w:spacing w:line="360" w:lineRule="auto"/>
        <w:outlineLvl w:val="0"/>
        <w:rPr>
          <w:rFonts w:hint="eastAsia" w:ascii="宋体" w:hAnsi="宋体" w:eastAsia="宋体" w:cs="宋体"/>
          <w:b/>
          <w:bCs/>
          <w:color w:val="auto"/>
          <w:kern w:val="44"/>
          <w:sz w:val="24"/>
          <w:szCs w:val="24"/>
          <w:highlight w:val="none"/>
        </w:rPr>
      </w:pPr>
    </w:p>
    <w:p w14:paraId="12C8DB93">
      <w:pPr>
        <w:pStyle w:val="34"/>
        <w:spacing w:line="360" w:lineRule="auto"/>
        <w:outlineLvl w:val="0"/>
        <w:rPr>
          <w:rFonts w:hint="eastAsia" w:ascii="宋体" w:hAnsi="宋体" w:eastAsia="宋体" w:cs="宋体"/>
          <w:b/>
          <w:bCs/>
          <w:color w:val="auto"/>
          <w:kern w:val="44"/>
          <w:sz w:val="24"/>
          <w:szCs w:val="24"/>
          <w:highlight w:val="none"/>
        </w:rPr>
      </w:pPr>
    </w:p>
    <w:p w14:paraId="6F3EC03A">
      <w:pPr>
        <w:pStyle w:val="34"/>
        <w:spacing w:line="360" w:lineRule="auto"/>
        <w:outlineLvl w:val="0"/>
        <w:rPr>
          <w:rFonts w:hint="eastAsia" w:ascii="宋体" w:hAnsi="宋体" w:eastAsia="宋体" w:cs="宋体"/>
          <w:b/>
          <w:bCs/>
          <w:color w:val="auto"/>
          <w:kern w:val="44"/>
          <w:sz w:val="24"/>
          <w:szCs w:val="24"/>
          <w:highlight w:val="none"/>
        </w:rPr>
      </w:pPr>
    </w:p>
    <w:p w14:paraId="5E6F041E">
      <w:pPr>
        <w:pStyle w:val="34"/>
        <w:spacing w:line="360" w:lineRule="auto"/>
        <w:outlineLvl w:val="0"/>
        <w:rPr>
          <w:rFonts w:hint="eastAsia" w:ascii="宋体" w:hAnsi="宋体" w:eastAsia="宋体" w:cs="宋体"/>
          <w:b/>
          <w:bCs/>
          <w:color w:val="auto"/>
          <w:kern w:val="44"/>
          <w:sz w:val="24"/>
          <w:szCs w:val="24"/>
          <w:highlight w:val="none"/>
        </w:rPr>
      </w:pPr>
    </w:p>
    <w:p w14:paraId="7DDD81DC">
      <w:pPr>
        <w:pStyle w:val="34"/>
        <w:spacing w:line="360" w:lineRule="auto"/>
        <w:outlineLvl w:val="0"/>
        <w:rPr>
          <w:rFonts w:hint="eastAsia" w:ascii="宋体" w:hAnsi="宋体" w:eastAsia="宋体" w:cs="宋体"/>
          <w:b/>
          <w:bCs/>
          <w:color w:val="auto"/>
          <w:kern w:val="44"/>
          <w:sz w:val="24"/>
          <w:szCs w:val="24"/>
          <w:highlight w:val="none"/>
        </w:rPr>
      </w:pPr>
    </w:p>
    <w:p w14:paraId="4BA81282">
      <w:pPr>
        <w:pStyle w:val="34"/>
        <w:spacing w:line="360" w:lineRule="auto"/>
        <w:outlineLvl w:val="0"/>
        <w:rPr>
          <w:rFonts w:hint="eastAsia" w:ascii="宋体" w:hAnsi="宋体" w:eastAsia="宋体" w:cs="宋体"/>
          <w:b/>
          <w:bCs/>
          <w:color w:val="auto"/>
          <w:kern w:val="44"/>
          <w:sz w:val="24"/>
          <w:szCs w:val="24"/>
          <w:highlight w:val="none"/>
        </w:rPr>
      </w:pPr>
    </w:p>
    <w:p w14:paraId="14F69F69">
      <w:pPr>
        <w:pStyle w:val="34"/>
        <w:spacing w:line="360" w:lineRule="auto"/>
        <w:jc w:val="center"/>
        <w:outlineLvl w:val="0"/>
        <w:rPr>
          <w:rFonts w:hint="eastAsia" w:ascii="宋体" w:hAnsi="宋体" w:eastAsia="宋体" w:cs="宋体"/>
          <w:b/>
          <w:bCs/>
          <w:color w:val="auto"/>
          <w:kern w:val="44"/>
          <w:sz w:val="28"/>
          <w:szCs w:val="28"/>
          <w:highlight w:val="none"/>
        </w:rPr>
      </w:pPr>
      <w:bookmarkStart w:id="168" w:name="_Toc11722"/>
      <w:r>
        <w:rPr>
          <w:rFonts w:hint="eastAsia" w:ascii="宋体" w:hAnsi="宋体" w:eastAsia="宋体" w:cs="宋体"/>
          <w:b/>
          <w:bCs/>
          <w:color w:val="auto"/>
          <w:kern w:val="44"/>
          <w:sz w:val="28"/>
          <w:szCs w:val="28"/>
          <w:highlight w:val="none"/>
        </w:rPr>
        <w:t>第三部分</w:t>
      </w:r>
      <w:r>
        <w:rPr>
          <w:rFonts w:hint="eastAsia" w:ascii="宋体" w:hAnsi="宋体" w:eastAsia="宋体" w:cs="宋体"/>
          <w:b/>
          <w:bCs/>
          <w:color w:val="auto"/>
          <w:kern w:val="44"/>
          <w:sz w:val="28"/>
          <w:szCs w:val="28"/>
          <w:highlight w:val="none"/>
          <w:lang w:val="en-US" w:eastAsia="zh-CN"/>
        </w:rPr>
        <w:t xml:space="preserve"> </w:t>
      </w:r>
      <w:r>
        <w:rPr>
          <w:rFonts w:hint="eastAsia" w:ascii="宋体" w:hAnsi="宋体" w:eastAsia="宋体" w:cs="宋体"/>
          <w:b/>
          <w:bCs/>
          <w:color w:val="auto"/>
          <w:kern w:val="44"/>
          <w:sz w:val="28"/>
          <w:szCs w:val="28"/>
          <w:highlight w:val="none"/>
        </w:rPr>
        <w:t>专用合同条款</w:t>
      </w:r>
      <w:bookmarkEnd w:id="168"/>
    </w:p>
    <w:p w14:paraId="1B60D17C">
      <w:pPr>
        <w:pStyle w:val="34"/>
        <w:keepNext/>
        <w:keepLines/>
        <w:pageBreakBefore w:val="0"/>
        <w:kinsoku/>
        <w:overflowPunct/>
        <w:topLinePunct w:val="0"/>
        <w:bidi w:val="0"/>
        <w:spacing w:line="400" w:lineRule="exact"/>
        <w:ind w:left="0" w:leftChars="0" w:right="0"/>
        <w:textAlignment w:val="auto"/>
        <w:outlineLvl w:val="1"/>
        <w:rPr>
          <w:rFonts w:hint="eastAsia" w:ascii="宋体" w:hAnsi="宋体" w:eastAsia="宋体" w:cs="宋体"/>
          <w:b/>
          <w:bCs/>
          <w:color w:val="auto"/>
          <w:kern w:val="2"/>
          <w:sz w:val="21"/>
          <w:szCs w:val="21"/>
          <w:highlight w:val="none"/>
        </w:rPr>
      </w:pPr>
      <w:bookmarkStart w:id="169" w:name="_Toc13688"/>
      <w:bookmarkStart w:id="170" w:name="_Toc12196"/>
      <w:bookmarkStart w:id="171" w:name="_Toc17803"/>
      <w:r>
        <w:rPr>
          <w:rFonts w:hint="eastAsia" w:ascii="宋体" w:hAnsi="宋体" w:eastAsia="宋体" w:cs="宋体"/>
          <w:b/>
          <w:bCs/>
          <w:color w:val="auto"/>
          <w:kern w:val="2"/>
          <w:sz w:val="21"/>
          <w:szCs w:val="21"/>
          <w:highlight w:val="none"/>
        </w:rPr>
        <w:t>1. 一般约定</w:t>
      </w:r>
      <w:bookmarkEnd w:id="169"/>
      <w:bookmarkEnd w:id="170"/>
      <w:bookmarkEnd w:id="171"/>
    </w:p>
    <w:p w14:paraId="0EBCB54A">
      <w:pPr>
        <w:pStyle w:val="34"/>
        <w:keepNext/>
        <w:keepLines/>
        <w:pageBreakBefore w:val="0"/>
        <w:kinsoku/>
        <w:overflowPunct/>
        <w:topLinePunct w:val="0"/>
        <w:bidi w:val="0"/>
        <w:spacing w:line="400" w:lineRule="exact"/>
        <w:ind w:left="0" w:leftChars="0" w:right="0"/>
        <w:textAlignment w:val="auto"/>
        <w:outlineLvl w:val="2"/>
        <w:rPr>
          <w:rFonts w:hint="eastAsia" w:ascii="宋体" w:hAnsi="宋体" w:eastAsia="宋体" w:cs="宋体"/>
          <w:b/>
          <w:bCs/>
          <w:color w:val="auto"/>
          <w:kern w:val="2"/>
          <w:sz w:val="21"/>
          <w:szCs w:val="21"/>
          <w:highlight w:val="none"/>
        </w:rPr>
      </w:pPr>
      <w:bookmarkStart w:id="172" w:name="_Toc14637"/>
      <w:bookmarkStart w:id="173" w:name="_Toc31787"/>
      <w:bookmarkStart w:id="174" w:name="_Toc24876"/>
      <w:r>
        <w:rPr>
          <w:rFonts w:hint="eastAsia" w:ascii="宋体" w:hAnsi="宋体" w:eastAsia="宋体" w:cs="宋体"/>
          <w:b/>
          <w:bCs/>
          <w:color w:val="auto"/>
          <w:kern w:val="2"/>
          <w:sz w:val="21"/>
          <w:szCs w:val="21"/>
          <w:highlight w:val="none"/>
        </w:rPr>
        <w:t>1.1 词语定义</w:t>
      </w:r>
      <w:bookmarkEnd w:id="172"/>
      <w:bookmarkEnd w:id="173"/>
      <w:bookmarkEnd w:id="174"/>
    </w:p>
    <w:p w14:paraId="02CB3806">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合同</w:t>
      </w:r>
    </w:p>
    <w:p w14:paraId="4402AD9C">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1.1.1.10 其他合同文件包括：</w:t>
      </w:r>
      <w:r>
        <w:rPr>
          <w:rFonts w:hint="eastAsia" w:ascii="宋体" w:hAnsi="宋体" w:eastAsia="宋体" w:cs="宋体"/>
          <w:color w:val="auto"/>
          <w:kern w:val="2"/>
          <w:sz w:val="21"/>
          <w:szCs w:val="21"/>
          <w:highlight w:val="none"/>
          <w:u w:val="single"/>
        </w:rPr>
        <w:t xml:space="preserve"> ①发包人、承包人双方确认工程报价单或预算书；② 发包人、承包人、监理单位会签的工程签证单；③发包人、承包人双方就本工程及有关合同文件进行协商、洽谈、变更、解除等所形成的补充协议等书面资料。采购文件及附件（含所有补充通知）；招标控制价  </w:t>
      </w:r>
      <w:r>
        <w:rPr>
          <w:rFonts w:hint="eastAsia" w:ascii="宋体" w:hAnsi="宋体" w:eastAsia="宋体" w:cs="宋体"/>
          <w:color w:val="auto"/>
          <w:kern w:val="2"/>
          <w:sz w:val="21"/>
          <w:szCs w:val="21"/>
          <w:highlight w:val="none"/>
        </w:rPr>
        <w:t>。</w:t>
      </w:r>
    </w:p>
    <w:p w14:paraId="3FFF5747">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1.1.2 合同当事人及其他相关方</w:t>
      </w:r>
    </w:p>
    <w:p w14:paraId="298A3646">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1.1.2.4 监理人：</w:t>
      </w:r>
    </w:p>
    <w:p w14:paraId="461FAB55">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kern w:val="2"/>
          <w:sz w:val="21"/>
          <w:szCs w:val="21"/>
          <w:highlight w:val="none"/>
          <w:u w:val="single"/>
          <w:lang w:val="zh-CN"/>
        </w:rPr>
      </w:pPr>
      <w:r>
        <w:rPr>
          <w:rFonts w:hint="eastAsia" w:ascii="宋体" w:hAnsi="宋体" w:eastAsia="宋体" w:cs="宋体"/>
          <w:color w:val="auto"/>
          <w:kern w:val="2"/>
          <w:sz w:val="21"/>
          <w:szCs w:val="21"/>
          <w:highlight w:val="none"/>
        </w:rPr>
        <w:t>名    称</w:t>
      </w:r>
      <w:r>
        <w:rPr>
          <w:rFonts w:hint="eastAsia" w:ascii="宋体" w:hAnsi="宋体" w:eastAsia="宋体" w:cs="宋体"/>
          <w:color w:val="auto"/>
          <w:kern w:val="2"/>
          <w:sz w:val="21"/>
          <w:szCs w:val="21"/>
          <w:highlight w:val="none"/>
          <w:u w:val="single"/>
          <w:lang w:val="zh-CN"/>
        </w:rPr>
        <w:t>：</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u w:val="single"/>
          <w:lang w:val="zh-CN"/>
        </w:rPr>
        <w:t xml:space="preserve">      ；</w:t>
      </w:r>
    </w:p>
    <w:p w14:paraId="743BE08D">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kern w:val="2"/>
          <w:sz w:val="21"/>
          <w:szCs w:val="21"/>
          <w:highlight w:val="none"/>
          <w:u w:val="single"/>
          <w:lang w:val="zh-CN"/>
        </w:rPr>
      </w:pPr>
      <w:r>
        <w:rPr>
          <w:rFonts w:hint="eastAsia" w:ascii="宋体" w:hAnsi="宋体" w:eastAsia="宋体" w:cs="宋体"/>
          <w:color w:val="auto"/>
          <w:kern w:val="2"/>
          <w:sz w:val="21"/>
          <w:szCs w:val="21"/>
          <w:highlight w:val="none"/>
          <w:u w:val="none"/>
          <w:lang w:val="zh-CN"/>
        </w:rPr>
        <w:t>资质类别和等级</w:t>
      </w:r>
      <w:r>
        <w:rPr>
          <w:rFonts w:hint="eastAsia" w:ascii="宋体" w:hAnsi="宋体" w:eastAsia="宋体" w:cs="宋体"/>
          <w:color w:val="auto"/>
          <w:kern w:val="2"/>
          <w:sz w:val="21"/>
          <w:szCs w:val="21"/>
          <w:highlight w:val="none"/>
          <w:u w:val="single"/>
          <w:lang w:val="zh-CN"/>
        </w:rPr>
        <w:t>：</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u w:val="single"/>
          <w:lang w:val="zh-CN"/>
        </w:rPr>
        <w:t xml:space="preserve">    ；</w:t>
      </w:r>
    </w:p>
    <w:p w14:paraId="3B658841">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kern w:val="2"/>
          <w:sz w:val="21"/>
          <w:szCs w:val="21"/>
          <w:highlight w:val="none"/>
          <w:u w:val="single"/>
          <w:lang w:val="zh-CN"/>
        </w:rPr>
      </w:pPr>
      <w:r>
        <w:rPr>
          <w:rFonts w:hint="eastAsia" w:ascii="宋体" w:hAnsi="宋体" w:eastAsia="宋体" w:cs="宋体"/>
          <w:color w:val="auto"/>
          <w:kern w:val="2"/>
          <w:sz w:val="21"/>
          <w:szCs w:val="21"/>
          <w:highlight w:val="none"/>
          <w:u w:val="none"/>
          <w:lang w:val="zh-CN"/>
        </w:rPr>
        <w:t>联系电话</w:t>
      </w:r>
      <w:r>
        <w:rPr>
          <w:rFonts w:hint="eastAsia" w:ascii="宋体" w:hAnsi="宋体" w:eastAsia="宋体" w:cs="宋体"/>
          <w:color w:val="auto"/>
          <w:kern w:val="2"/>
          <w:sz w:val="21"/>
          <w:szCs w:val="21"/>
          <w:highlight w:val="none"/>
          <w:u w:val="single"/>
          <w:lang w:val="zh-CN"/>
        </w:rPr>
        <w:t>：</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u w:val="single"/>
          <w:lang w:val="zh-CN"/>
        </w:rPr>
        <w:t>             ；</w:t>
      </w:r>
    </w:p>
    <w:p w14:paraId="61518C59">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kern w:val="2"/>
          <w:sz w:val="21"/>
          <w:szCs w:val="21"/>
          <w:highlight w:val="none"/>
          <w:u w:val="single"/>
          <w:lang w:val="zh-CN"/>
        </w:rPr>
      </w:pPr>
      <w:r>
        <w:rPr>
          <w:rFonts w:hint="eastAsia" w:ascii="宋体" w:hAnsi="宋体" w:eastAsia="宋体" w:cs="宋体"/>
          <w:color w:val="auto"/>
          <w:kern w:val="2"/>
          <w:sz w:val="21"/>
          <w:szCs w:val="21"/>
          <w:highlight w:val="none"/>
          <w:u w:val="none"/>
          <w:lang w:val="zh-CN"/>
        </w:rPr>
        <w:t>电子信箱</w:t>
      </w:r>
      <w:r>
        <w:rPr>
          <w:rFonts w:hint="eastAsia" w:ascii="宋体" w:hAnsi="宋体" w:eastAsia="宋体" w:cs="宋体"/>
          <w:color w:val="auto"/>
          <w:kern w:val="2"/>
          <w:sz w:val="21"/>
          <w:szCs w:val="21"/>
          <w:highlight w:val="none"/>
          <w:u w:val="single"/>
          <w:lang w:val="zh-CN"/>
        </w:rPr>
        <w:t xml:space="preserve">：  </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u w:val="single"/>
          <w:lang w:val="zh-CN"/>
        </w:rPr>
        <w:t>；</w:t>
      </w:r>
    </w:p>
    <w:p w14:paraId="1F1EE2F0">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kern w:val="2"/>
          <w:sz w:val="21"/>
          <w:szCs w:val="21"/>
          <w:highlight w:val="none"/>
          <w:u w:val="single"/>
          <w:lang w:val="zh-CN"/>
        </w:rPr>
      </w:pPr>
      <w:r>
        <w:rPr>
          <w:rFonts w:hint="eastAsia" w:ascii="宋体" w:hAnsi="宋体" w:eastAsia="宋体" w:cs="宋体"/>
          <w:color w:val="auto"/>
          <w:kern w:val="2"/>
          <w:sz w:val="21"/>
          <w:szCs w:val="21"/>
          <w:highlight w:val="none"/>
          <w:u w:val="none"/>
          <w:lang w:val="zh-CN"/>
        </w:rPr>
        <w:t>通信地址：</w:t>
      </w:r>
      <w:r>
        <w:rPr>
          <w:rFonts w:hint="eastAsia" w:ascii="宋体" w:hAnsi="宋体" w:eastAsia="宋体" w:cs="宋体"/>
          <w:color w:val="auto"/>
          <w:kern w:val="2"/>
          <w:sz w:val="21"/>
          <w:szCs w:val="21"/>
          <w:highlight w:val="none"/>
          <w:u w:val="single"/>
          <w:lang w:val="zh-CN"/>
        </w:rPr>
        <w:t></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u w:val="single"/>
          <w:lang w:val="zh-CN"/>
        </w:rPr>
        <w:t xml:space="preserve"> 。</w:t>
      </w:r>
    </w:p>
    <w:p w14:paraId="6AD5C2DA">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1.1.2.5 设计人：</w:t>
      </w:r>
    </w:p>
    <w:p w14:paraId="269D6ABE">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名    称：</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u w:val="single"/>
          <w:lang w:val="en-US" w:eastAsia="zh-CN"/>
        </w:rPr>
        <w:t xml:space="preserve">           </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w:t>
      </w:r>
    </w:p>
    <w:p w14:paraId="3900D7FE">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资质类别和等级：</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u w:val="single"/>
          <w:lang w:val="en-US" w:eastAsia="zh-CN"/>
        </w:rPr>
        <w:t xml:space="preserve">          </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w:t>
      </w:r>
    </w:p>
    <w:p w14:paraId="28E6C474">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联系电话：</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w:t>
      </w:r>
    </w:p>
    <w:p w14:paraId="36D8A1E0">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电子信箱：</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w:t>
      </w:r>
    </w:p>
    <w:p w14:paraId="4DC56222">
      <w:pPr>
        <w:pStyle w:val="34"/>
        <w:pageBreakBefore w:val="0"/>
        <w:kinsoku/>
        <w:overflowPunct/>
        <w:topLinePunct w:val="0"/>
        <w:bidi w:val="0"/>
        <w:spacing w:line="400" w:lineRule="exact"/>
        <w:ind w:left="0" w:leftChars="0" w:right="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通信地址：</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w:t>
      </w:r>
    </w:p>
    <w:p w14:paraId="02BB062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1"/>
        <w:rPr>
          <w:rFonts w:hint="eastAsia" w:ascii="宋体" w:hAnsi="宋体" w:eastAsia="宋体" w:cs="宋体"/>
          <w:color w:val="auto"/>
          <w:sz w:val="21"/>
          <w:szCs w:val="21"/>
          <w:highlight w:val="none"/>
        </w:rPr>
      </w:pPr>
      <w:bookmarkStart w:id="175" w:name="_Toc24275"/>
      <w:bookmarkStart w:id="176" w:name="_Toc23527"/>
      <w:r>
        <w:rPr>
          <w:rFonts w:hint="eastAsia" w:ascii="宋体" w:hAnsi="宋体" w:eastAsia="宋体" w:cs="宋体"/>
          <w:color w:val="auto"/>
          <w:sz w:val="21"/>
          <w:szCs w:val="21"/>
          <w:highlight w:val="none"/>
        </w:rPr>
        <w:t>1.1.3 工程和设备</w:t>
      </w:r>
      <w:bookmarkEnd w:id="175"/>
      <w:bookmarkEnd w:id="176"/>
    </w:p>
    <w:p w14:paraId="15289E2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fldChar w:fldCharType="begin"/>
      </w:r>
      <w:r>
        <w:rPr>
          <w:rFonts w:hint="eastAsia" w:ascii="宋体" w:hAnsi="宋体" w:eastAsia="宋体" w:cs="宋体"/>
          <w:color w:val="auto"/>
          <w:sz w:val="21"/>
          <w:szCs w:val="21"/>
          <w:highlight w:val="none"/>
          <w:u w:val="single"/>
        </w:rPr>
        <w:instrText xml:space="preserve"> HYPERLINK "1.1.3.7" </w:instrText>
      </w:r>
      <w:r>
        <w:rPr>
          <w:rFonts w:hint="eastAsia" w:ascii="宋体" w:hAnsi="宋体" w:eastAsia="宋体" w:cs="宋体"/>
          <w:color w:val="auto"/>
          <w:sz w:val="21"/>
          <w:szCs w:val="21"/>
          <w:highlight w:val="none"/>
          <w:u w:val="single"/>
        </w:rPr>
        <w:fldChar w:fldCharType="separate"/>
      </w:r>
      <w:r>
        <w:rPr>
          <w:rFonts w:hint="eastAsia" w:ascii="宋体" w:hAnsi="宋体" w:eastAsia="宋体" w:cs="宋体"/>
          <w:color w:val="auto"/>
          <w:sz w:val="21"/>
          <w:szCs w:val="21"/>
          <w:highlight w:val="none"/>
          <w:u w:val="single"/>
        </w:rPr>
        <w:t>1.1.3.7</w:t>
      </w:r>
      <w:r>
        <w:rPr>
          <w:rFonts w:hint="eastAsia" w:ascii="宋体" w:hAnsi="宋体" w:eastAsia="宋体" w:cs="宋体"/>
          <w:color w:val="auto"/>
          <w:sz w:val="21"/>
          <w:szCs w:val="21"/>
          <w:highlight w:val="none"/>
          <w:u w:val="single"/>
        </w:rPr>
        <w:fldChar w:fldCharType="end"/>
      </w:r>
      <w:r>
        <w:rPr>
          <w:rFonts w:hint="eastAsia" w:ascii="宋体" w:hAnsi="宋体" w:eastAsia="宋体" w:cs="宋体"/>
          <w:color w:val="auto"/>
          <w:sz w:val="21"/>
          <w:szCs w:val="21"/>
          <w:highlight w:val="none"/>
          <w:u w:val="single"/>
        </w:rPr>
        <w:t xml:space="preserve"> 作为施工现场组成部分的其他场所包括：按通用条款。</w:t>
      </w:r>
    </w:p>
    <w:p w14:paraId="0282A15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fldChar w:fldCharType="begin"/>
      </w:r>
      <w:r>
        <w:rPr>
          <w:rFonts w:hint="eastAsia" w:ascii="宋体" w:hAnsi="宋体" w:eastAsia="宋体" w:cs="宋体"/>
          <w:color w:val="auto"/>
          <w:sz w:val="21"/>
          <w:szCs w:val="21"/>
          <w:highlight w:val="none"/>
          <w:u w:val="single"/>
        </w:rPr>
        <w:instrText xml:space="preserve"> HYPERLINK "1.1.3.9" </w:instrText>
      </w:r>
      <w:r>
        <w:rPr>
          <w:rFonts w:hint="eastAsia" w:ascii="宋体" w:hAnsi="宋体" w:eastAsia="宋体" w:cs="宋体"/>
          <w:color w:val="auto"/>
          <w:sz w:val="21"/>
          <w:szCs w:val="21"/>
          <w:highlight w:val="none"/>
          <w:u w:val="single"/>
        </w:rPr>
        <w:fldChar w:fldCharType="separate"/>
      </w:r>
      <w:r>
        <w:rPr>
          <w:rFonts w:hint="eastAsia" w:ascii="宋体" w:hAnsi="宋体" w:eastAsia="宋体" w:cs="宋体"/>
          <w:color w:val="auto"/>
          <w:sz w:val="21"/>
          <w:szCs w:val="21"/>
          <w:highlight w:val="none"/>
          <w:u w:val="single"/>
        </w:rPr>
        <w:t>1.1.3.9</w:t>
      </w:r>
      <w:r>
        <w:rPr>
          <w:rFonts w:hint="eastAsia" w:ascii="宋体" w:hAnsi="宋体" w:eastAsia="宋体" w:cs="宋体"/>
          <w:color w:val="auto"/>
          <w:sz w:val="21"/>
          <w:szCs w:val="21"/>
          <w:highlight w:val="none"/>
          <w:u w:val="single"/>
        </w:rPr>
        <w:fldChar w:fldCharType="end"/>
      </w:r>
      <w:r>
        <w:rPr>
          <w:rFonts w:hint="eastAsia" w:ascii="宋体" w:hAnsi="宋体" w:eastAsia="宋体" w:cs="宋体"/>
          <w:color w:val="auto"/>
          <w:sz w:val="21"/>
          <w:szCs w:val="21"/>
          <w:highlight w:val="none"/>
          <w:u w:val="single"/>
        </w:rPr>
        <w:t xml:space="preserve"> 永久占地包括：依据设计图纸确定。</w:t>
      </w:r>
    </w:p>
    <w:p w14:paraId="1942486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fldChar w:fldCharType="begin"/>
      </w:r>
      <w:r>
        <w:rPr>
          <w:rFonts w:hint="eastAsia" w:ascii="宋体" w:hAnsi="宋体" w:eastAsia="宋体" w:cs="宋体"/>
          <w:color w:val="auto"/>
          <w:sz w:val="21"/>
          <w:szCs w:val="21"/>
          <w:highlight w:val="none"/>
          <w:u w:val="single"/>
        </w:rPr>
        <w:instrText xml:space="preserve"> HYPERLINK "1.1.3.10" </w:instrText>
      </w:r>
      <w:r>
        <w:rPr>
          <w:rFonts w:hint="eastAsia" w:ascii="宋体" w:hAnsi="宋体" w:eastAsia="宋体" w:cs="宋体"/>
          <w:color w:val="auto"/>
          <w:sz w:val="21"/>
          <w:szCs w:val="21"/>
          <w:highlight w:val="none"/>
          <w:u w:val="single"/>
        </w:rPr>
        <w:fldChar w:fldCharType="separate"/>
      </w:r>
      <w:r>
        <w:rPr>
          <w:rFonts w:hint="eastAsia" w:ascii="宋体" w:hAnsi="宋体" w:eastAsia="宋体" w:cs="宋体"/>
          <w:color w:val="auto"/>
          <w:sz w:val="21"/>
          <w:szCs w:val="21"/>
          <w:highlight w:val="none"/>
          <w:u w:val="single"/>
        </w:rPr>
        <w:t>1.1.3.10</w:t>
      </w:r>
      <w:r>
        <w:rPr>
          <w:rFonts w:hint="eastAsia" w:ascii="宋体" w:hAnsi="宋体" w:eastAsia="宋体" w:cs="宋体"/>
          <w:color w:val="auto"/>
          <w:sz w:val="21"/>
          <w:szCs w:val="21"/>
          <w:highlight w:val="none"/>
          <w:u w:val="single"/>
        </w:rPr>
        <w:fldChar w:fldCharType="end"/>
      </w:r>
      <w:r>
        <w:rPr>
          <w:rFonts w:hint="eastAsia" w:ascii="宋体" w:hAnsi="宋体" w:eastAsia="宋体" w:cs="宋体"/>
          <w:color w:val="auto"/>
          <w:sz w:val="21"/>
          <w:szCs w:val="21"/>
          <w:highlight w:val="none"/>
          <w:u w:val="single"/>
        </w:rPr>
        <w:t xml:space="preserve"> 临时占地包括：双方在合同履行过程中确定 </w:t>
      </w:r>
      <w:r>
        <w:rPr>
          <w:rFonts w:hint="eastAsia" w:ascii="宋体" w:hAnsi="宋体" w:eastAsia="宋体" w:cs="宋体"/>
          <w:color w:val="auto"/>
          <w:kern w:val="0"/>
          <w:sz w:val="21"/>
          <w:szCs w:val="21"/>
          <w:highlight w:val="none"/>
        </w:rPr>
        <w:t>。</w:t>
      </w:r>
    </w:p>
    <w:p w14:paraId="23F827AD">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177" w:name="_Toc25264"/>
      <w:bookmarkStart w:id="178" w:name="_Toc9518"/>
      <w:bookmarkStart w:id="179" w:name="_Toc407135196"/>
      <w:bookmarkStart w:id="180" w:name="_Toc389065260"/>
      <w:bookmarkStart w:id="181" w:name="_Toc373227694"/>
      <w:bookmarkStart w:id="182" w:name="_Toc12609351"/>
      <w:bookmarkStart w:id="183" w:name="_Toc373478341"/>
      <w:r>
        <w:rPr>
          <w:rFonts w:hint="eastAsia" w:ascii="宋体" w:hAnsi="宋体" w:eastAsia="宋体" w:cs="宋体"/>
          <w:color w:val="auto"/>
          <w:sz w:val="21"/>
          <w:szCs w:val="21"/>
          <w:highlight w:val="none"/>
        </w:rPr>
        <w:t>1.3 法律</w:t>
      </w:r>
      <w:bookmarkEnd w:id="177"/>
      <w:bookmarkEnd w:id="178"/>
      <w:bookmarkEnd w:id="179"/>
      <w:bookmarkEnd w:id="180"/>
      <w:bookmarkEnd w:id="181"/>
      <w:bookmarkEnd w:id="182"/>
      <w:bookmarkEnd w:id="183"/>
    </w:p>
    <w:p w14:paraId="4E7ACB0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sz w:val="21"/>
          <w:szCs w:val="21"/>
          <w:highlight w:val="none"/>
          <w:u w:val="single"/>
        </w:rPr>
        <w:t xml:space="preserve"> 国家、地方、行政主管部门对建设工程项目的有关规范性文件</w:t>
      </w:r>
      <w:r>
        <w:rPr>
          <w:rFonts w:hint="eastAsia" w:ascii="宋体" w:hAnsi="宋体" w:eastAsia="宋体" w:cs="宋体"/>
          <w:color w:val="auto"/>
          <w:sz w:val="21"/>
          <w:szCs w:val="21"/>
          <w:highlight w:val="none"/>
          <w:u w:val="single"/>
          <w:lang w:val="en-US" w:eastAsia="zh-CN"/>
        </w:rPr>
        <w:t>等</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E0C21D2">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184" w:name="_Toc407135197"/>
      <w:bookmarkStart w:id="185" w:name="_Toc373227695"/>
      <w:bookmarkStart w:id="186" w:name="_Toc389065261"/>
      <w:bookmarkStart w:id="187" w:name="_Toc373478342"/>
      <w:bookmarkStart w:id="188" w:name="_Toc9894"/>
      <w:bookmarkStart w:id="189" w:name="_Toc12609352"/>
      <w:bookmarkStart w:id="190" w:name="_Toc21834"/>
      <w:r>
        <w:rPr>
          <w:rFonts w:hint="eastAsia" w:ascii="宋体" w:hAnsi="宋体" w:eastAsia="宋体" w:cs="宋体"/>
          <w:color w:val="auto"/>
          <w:sz w:val="21"/>
          <w:szCs w:val="21"/>
          <w:highlight w:val="none"/>
        </w:rPr>
        <w:t>1.4 标准和规范</w:t>
      </w:r>
      <w:bookmarkEnd w:id="184"/>
      <w:bookmarkEnd w:id="185"/>
      <w:bookmarkEnd w:id="186"/>
      <w:bookmarkEnd w:id="187"/>
      <w:bookmarkEnd w:id="188"/>
      <w:bookmarkEnd w:id="189"/>
      <w:bookmarkEnd w:id="190"/>
    </w:p>
    <w:p w14:paraId="651017F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适用于工程的标准规范包括：</w:t>
      </w:r>
      <w:r>
        <w:rPr>
          <w:rFonts w:hint="eastAsia" w:ascii="宋体" w:hAnsi="宋体" w:eastAsia="宋体" w:cs="宋体"/>
          <w:color w:val="auto"/>
          <w:spacing w:val="-3"/>
          <w:sz w:val="21"/>
          <w:szCs w:val="21"/>
          <w:highlight w:val="none"/>
          <w:u w:val="single" w:color="auto"/>
        </w:rPr>
        <w:t>经审查的设计施工</w:t>
      </w:r>
      <w:r>
        <w:rPr>
          <w:rFonts w:hint="eastAsia" w:ascii="宋体" w:hAnsi="宋体" w:eastAsia="宋体" w:cs="宋体"/>
          <w:color w:val="auto"/>
          <w:spacing w:val="-4"/>
          <w:sz w:val="21"/>
          <w:szCs w:val="21"/>
          <w:highlight w:val="none"/>
          <w:u w:val="single" w:color="auto"/>
        </w:rPr>
        <w:t>图规定的各类国标标准和</w:t>
      </w:r>
      <w:r>
        <w:rPr>
          <w:rFonts w:hint="eastAsia" w:ascii="宋体" w:hAnsi="宋体" w:eastAsia="宋体" w:cs="宋体"/>
          <w:color w:val="auto"/>
          <w:spacing w:val="-2"/>
          <w:sz w:val="21"/>
          <w:szCs w:val="21"/>
          <w:highlight w:val="none"/>
          <w:u w:val="single" w:color="auto"/>
        </w:rPr>
        <w:t>规范，且不仅限于此</w:t>
      </w:r>
      <w:r>
        <w:rPr>
          <w:rFonts w:hint="eastAsia" w:ascii="宋体" w:hAnsi="宋体" w:eastAsia="宋体" w:cs="宋体"/>
          <w:color w:val="auto"/>
          <w:sz w:val="21"/>
          <w:szCs w:val="21"/>
          <w:highlight w:val="none"/>
        </w:rPr>
        <w:t>。</w:t>
      </w:r>
    </w:p>
    <w:p w14:paraId="24BD800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1.4.2 发包人提供国外标准、规范的名称：</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E64B9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发包人提供国外标准、规范的份数：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13C030B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发包人提供国外标准、规范的名称：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1E3B188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2"/>
        <w:rPr>
          <w:rFonts w:hint="eastAsia" w:ascii="宋体" w:hAnsi="宋体" w:eastAsia="宋体" w:cs="宋体"/>
          <w:color w:val="auto"/>
          <w:sz w:val="21"/>
          <w:szCs w:val="21"/>
          <w:highlight w:val="none"/>
        </w:rPr>
      </w:pPr>
      <w:bookmarkStart w:id="191" w:name="_Toc15832"/>
      <w:bookmarkStart w:id="192" w:name="_Toc11593"/>
      <w:r>
        <w:rPr>
          <w:rFonts w:hint="eastAsia" w:ascii="宋体" w:hAnsi="宋体" w:eastAsia="宋体" w:cs="宋体"/>
          <w:color w:val="auto"/>
          <w:sz w:val="21"/>
          <w:szCs w:val="21"/>
          <w:highlight w:val="none"/>
        </w:rPr>
        <w:t>1.4.3 发包人对工程的技术标准和功能要求的特殊要求：</w:t>
      </w:r>
      <w:bookmarkEnd w:id="191"/>
      <w:bookmarkEnd w:id="192"/>
    </w:p>
    <w:p w14:paraId="16FBBFA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发包人对工程的技术标准和功能要求的特殊要求： 按本工程项目的设计文件和设计施工图纸</w:t>
      </w:r>
      <w:r>
        <w:rPr>
          <w:rFonts w:hint="eastAsia" w:ascii="宋体" w:hAnsi="宋体" w:eastAsia="宋体" w:cs="宋体"/>
          <w:color w:val="auto"/>
          <w:sz w:val="21"/>
          <w:szCs w:val="21"/>
          <w:highlight w:val="none"/>
        </w:rPr>
        <w:t>。</w:t>
      </w:r>
    </w:p>
    <w:p w14:paraId="3E15056C">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193" w:name="_Toc389065262"/>
      <w:bookmarkStart w:id="194" w:name="_Toc12609353"/>
      <w:bookmarkStart w:id="195" w:name="_Toc373227696"/>
      <w:bookmarkStart w:id="196" w:name="_Toc20332"/>
      <w:bookmarkStart w:id="197" w:name="_Toc373478343"/>
      <w:bookmarkStart w:id="198" w:name="_Toc407135198"/>
      <w:bookmarkStart w:id="199" w:name="_Toc21072"/>
      <w:r>
        <w:rPr>
          <w:rFonts w:hint="eastAsia" w:ascii="宋体" w:hAnsi="宋体" w:eastAsia="宋体" w:cs="宋体"/>
          <w:color w:val="auto"/>
          <w:sz w:val="21"/>
          <w:szCs w:val="21"/>
          <w:highlight w:val="none"/>
        </w:rPr>
        <w:t>1.5 合同文件的优先顺序</w:t>
      </w:r>
      <w:bookmarkEnd w:id="193"/>
      <w:bookmarkEnd w:id="194"/>
      <w:bookmarkEnd w:id="195"/>
      <w:bookmarkEnd w:id="196"/>
      <w:bookmarkEnd w:id="197"/>
      <w:bookmarkEnd w:id="198"/>
      <w:bookmarkEnd w:id="199"/>
    </w:p>
    <w:p w14:paraId="55C5B0D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合同文件组成及优先顺序为：</w:t>
      </w:r>
    </w:p>
    <w:p w14:paraId="76E9C8D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（1）合同协议书；</w:t>
      </w:r>
    </w:p>
    <w:p w14:paraId="3C6721F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（2）成交通知书；</w:t>
      </w:r>
    </w:p>
    <w:p w14:paraId="5C29FB9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（3）竞标函及竞标函附录；</w:t>
      </w:r>
    </w:p>
    <w:p w14:paraId="478C5B7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（4）专用合同条款及其附件；</w:t>
      </w:r>
    </w:p>
    <w:p w14:paraId="2BDB9B6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（5）通用合同条款；</w:t>
      </w:r>
    </w:p>
    <w:p w14:paraId="5C75455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（6）技术标准和要求；</w:t>
      </w:r>
    </w:p>
    <w:p w14:paraId="0FD4873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（7）图纸；</w:t>
      </w:r>
    </w:p>
    <w:p w14:paraId="3A540F0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（8）已标价工程量清单或预算书</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另附</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w:t>
      </w:r>
    </w:p>
    <w:p w14:paraId="709E66B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（9）磋商文件（含补充通知和答疑</w:t>
      </w:r>
      <w:r>
        <w:rPr>
          <w:rFonts w:hint="eastAsia" w:ascii="宋体" w:hAnsi="宋体" w:eastAsia="宋体" w:cs="宋体"/>
          <w:color w:val="auto"/>
          <w:sz w:val="21"/>
          <w:szCs w:val="21"/>
          <w:highlight w:val="none"/>
        </w:rPr>
        <w:t>）；</w:t>
      </w:r>
    </w:p>
    <w:p w14:paraId="3952692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（10）履约保证金缴纳证明；</w:t>
      </w:r>
    </w:p>
    <w:p w14:paraId="49FDCC4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（11）其他合同文件（在合同订立及履行过程中形成的与合同有关的文件均构成合同文件组成部分。）</w:t>
      </w:r>
    </w:p>
    <w:p w14:paraId="33ABBA6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设计变更文件一律采取书面形式。包括：</w:t>
      </w:r>
    </w:p>
    <w:p w14:paraId="3D183C4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①设计单位作出的设计变更通知单；</w:t>
      </w:r>
    </w:p>
    <w:p w14:paraId="2B17769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②根据洽商结果写成的洽商记录；</w:t>
      </w:r>
    </w:p>
    <w:p w14:paraId="19A1B01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③比较重要的设计变更和洽商记录所附的变更后的施工图。</w:t>
      </w:r>
    </w:p>
    <w:p w14:paraId="313D43E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设计变更文件经过三方或双方签证认可后生</w:t>
      </w:r>
      <w:r>
        <w:rPr>
          <w:rFonts w:hint="eastAsia" w:ascii="宋体" w:hAnsi="宋体" w:eastAsia="宋体" w:cs="宋体"/>
          <w:color w:val="auto"/>
          <w:spacing w:val="-1"/>
          <w:sz w:val="21"/>
          <w:szCs w:val="21"/>
          <w:highlight w:val="none"/>
        </w:rPr>
        <w:t>效，并作为施工和编审增减工程预</w:t>
      </w:r>
      <w:r>
        <w:rPr>
          <w:rFonts w:hint="eastAsia" w:ascii="宋体" w:hAnsi="宋体" w:eastAsia="宋体" w:cs="宋体"/>
          <w:color w:val="auto"/>
          <w:spacing w:val="-3"/>
          <w:sz w:val="21"/>
          <w:szCs w:val="21"/>
          <w:highlight w:val="none"/>
        </w:rPr>
        <w:t>算的依据</w:t>
      </w:r>
      <w:r>
        <w:rPr>
          <w:rFonts w:hint="eastAsia" w:ascii="宋体" w:hAnsi="宋体" w:eastAsia="宋体" w:cs="宋体"/>
          <w:color w:val="auto"/>
          <w:kern w:val="0"/>
          <w:sz w:val="21"/>
          <w:szCs w:val="21"/>
          <w:highlight w:val="none"/>
        </w:rPr>
        <w:t>。</w:t>
      </w:r>
    </w:p>
    <w:p w14:paraId="51E90C57">
      <w:pPr>
        <w:pStyle w:val="27"/>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违反采购文件实质性内容的约定除外）。专用合同条款及其附件须经合同当事人签字或盖章。</w:t>
      </w:r>
    </w:p>
    <w:p w14:paraId="53D2AE42">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200" w:name="_Toc373478344"/>
      <w:bookmarkStart w:id="201" w:name="_Toc407135199"/>
      <w:bookmarkStart w:id="202" w:name="_Toc389065263"/>
      <w:bookmarkStart w:id="203" w:name="_Toc373227697"/>
      <w:bookmarkStart w:id="204" w:name="_Toc12609354"/>
      <w:bookmarkStart w:id="205" w:name="_Toc335"/>
      <w:bookmarkStart w:id="206" w:name="_Toc15603"/>
      <w:r>
        <w:rPr>
          <w:rFonts w:hint="eastAsia" w:ascii="宋体" w:hAnsi="宋体" w:eastAsia="宋体" w:cs="宋体"/>
          <w:color w:val="auto"/>
          <w:sz w:val="21"/>
          <w:szCs w:val="21"/>
          <w:highlight w:val="none"/>
        </w:rPr>
        <w:t>1.6 图纸和承包人文件</w:t>
      </w:r>
      <w:bookmarkEnd w:id="200"/>
      <w:bookmarkEnd w:id="201"/>
      <w:bookmarkEnd w:id="202"/>
      <w:bookmarkEnd w:id="203"/>
      <w:bookmarkEnd w:id="204"/>
      <w:bookmarkEnd w:id="205"/>
      <w:bookmarkEnd w:id="206"/>
      <w:r>
        <w:rPr>
          <w:rFonts w:hint="eastAsia" w:ascii="宋体" w:hAnsi="宋体" w:eastAsia="宋体" w:cs="宋体"/>
          <w:color w:val="auto"/>
          <w:sz w:val="21"/>
          <w:szCs w:val="21"/>
          <w:highlight w:val="none"/>
        </w:rPr>
        <w:tab/>
      </w:r>
    </w:p>
    <w:p w14:paraId="045372D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1.6.1</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6"/>
          <w:sz w:val="21"/>
          <w:szCs w:val="21"/>
          <w:highlight w:val="none"/>
        </w:rPr>
        <w:t>图纸的提供</w:t>
      </w:r>
    </w:p>
    <w:p w14:paraId="52F0D55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发包人向承包人提供图纸的期限</w:t>
      </w:r>
      <w:r>
        <w:rPr>
          <w:rFonts w:hint="eastAsia" w:ascii="宋体" w:hAnsi="宋体" w:cs="宋体"/>
          <w:color w:val="auto"/>
          <w:spacing w:val="-1"/>
          <w:sz w:val="21"/>
          <w:szCs w:val="21"/>
          <w:highlight w:val="none"/>
          <w:lang w:eastAsia="zh-CN"/>
        </w:rPr>
        <w:t>：自</w:t>
      </w:r>
      <w:r>
        <w:rPr>
          <w:rFonts w:hint="eastAsia" w:ascii="宋体" w:hAnsi="宋体" w:eastAsia="宋体" w:cs="宋体"/>
          <w:color w:val="auto"/>
          <w:spacing w:val="-1"/>
          <w:sz w:val="21"/>
          <w:szCs w:val="21"/>
          <w:highlight w:val="none"/>
          <w:u w:val="single" w:color="auto"/>
        </w:rPr>
        <w:t>合同签订之日起7个工作日内</w:t>
      </w:r>
      <w:r>
        <w:rPr>
          <w:rFonts w:hint="eastAsia" w:ascii="宋体" w:hAnsi="宋体" w:eastAsia="宋体" w:cs="宋体"/>
          <w:color w:val="auto"/>
          <w:spacing w:val="-1"/>
          <w:sz w:val="21"/>
          <w:szCs w:val="21"/>
          <w:highlight w:val="none"/>
        </w:rPr>
        <w:t>；</w:t>
      </w:r>
    </w:p>
    <w:p w14:paraId="6872D00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发包人向承包人提供图纸的数量：</w:t>
      </w:r>
      <w:r>
        <w:rPr>
          <w:rFonts w:hint="eastAsia" w:ascii="宋体" w:hAnsi="宋体" w:eastAsia="宋体" w:cs="宋体"/>
          <w:color w:val="auto"/>
          <w:sz w:val="21"/>
          <w:szCs w:val="21"/>
          <w:highlight w:val="none"/>
          <w:u w:val="single" w:color="auto"/>
        </w:rPr>
        <w:t>贰</w:t>
      </w:r>
      <w:r>
        <w:rPr>
          <w:rFonts w:hint="eastAsia" w:ascii="宋体" w:hAnsi="宋体" w:eastAsia="宋体" w:cs="宋体"/>
          <w:color w:val="auto"/>
          <w:sz w:val="21"/>
          <w:szCs w:val="21"/>
          <w:highlight w:val="none"/>
        </w:rPr>
        <w:t>套（承</w:t>
      </w:r>
      <w:r>
        <w:rPr>
          <w:rFonts w:hint="eastAsia" w:ascii="宋体" w:hAnsi="宋体" w:eastAsia="宋体" w:cs="宋体"/>
          <w:color w:val="auto"/>
          <w:spacing w:val="-1"/>
          <w:sz w:val="21"/>
          <w:szCs w:val="21"/>
          <w:highlight w:val="none"/>
        </w:rPr>
        <w:t>包人需要增加图纸套数的，发包人应代为复制，复制费用由承包人承担</w:t>
      </w:r>
      <w:r>
        <w:rPr>
          <w:rFonts w:hint="eastAsia" w:ascii="宋体" w:hAnsi="宋体" w:eastAsia="宋体" w:cs="宋体"/>
          <w:color w:val="auto"/>
          <w:spacing w:val="2"/>
          <w:sz w:val="21"/>
          <w:szCs w:val="21"/>
          <w:highlight w:val="none"/>
        </w:rPr>
        <w:t>）；</w:t>
      </w:r>
    </w:p>
    <w:p w14:paraId="38A77EEB">
      <w:pPr>
        <w:keepNext w:val="0"/>
        <w:keepLines w:val="0"/>
        <w:pageBreakBefore w:val="0"/>
        <w:widowControl w:val="0"/>
        <w:tabs>
          <w:tab w:val="left" w:pos="45"/>
        </w:tabs>
        <w:kinsoku/>
        <w:wordWrap/>
        <w:overflowPunct/>
        <w:topLinePunct w:val="0"/>
        <w:autoSpaceDE/>
        <w:autoSpaceDN/>
        <w:bidi w:val="0"/>
        <w:adjustRightInd/>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发包人向承包人提供图纸的内容：</w:t>
      </w:r>
      <w:r>
        <w:rPr>
          <w:rFonts w:hint="eastAsia" w:ascii="宋体" w:hAnsi="宋体" w:eastAsia="宋体" w:cs="宋体"/>
          <w:color w:val="auto"/>
          <w:sz w:val="21"/>
          <w:szCs w:val="21"/>
          <w:highlight w:val="none"/>
          <w:u w:val="single" w:color="auto"/>
        </w:rPr>
        <w:t>本合同发</w:t>
      </w:r>
      <w:r>
        <w:rPr>
          <w:rFonts w:hint="eastAsia" w:ascii="宋体" w:hAnsi="宋体" w:eastAsia="宋体" w:cs="宋体"/>
          <w:color w:val="auto"/>
          <w:spacing w:val="-1"/>
          <w:sz w:val="21"/>
          <w:szCs w:val="21"/>
          <w:highlight w:val="none"/>
          <w:u w:val="single" w:color="auto"/>
        </w:rPr>
        <w:t>包内容中的全部图纸（含设计变更</w:t>
      </w:r>
      <w:r>
        <w:rPr>
          <w:rFonts w:hint="eastAsia" w:ascii="宋体" w:hAnsi="宋体" w:cs="宋体"/>
          <w:color w:val="auto"/>
          <w:spacing w:val="-1"/>
          <w:sz w:val="21"/>
          <w:szCs w:val="21"/>
          <w:highlight w:val="none"/>
          <w:u w:val="single" w:color="auto"/>
          <w:lang w:eastAsia="zh-CN"/>
        </w:rPr>
        <w:t>）</w:t>
      </w:r>
      <w:r>
        <w:rPr>
          <w:rFonts w:hint="eastAsia" w:ascii="宋体" w:hAnsi="宋体" w:eastAsia="宋体" w:cs="宋体"/>
          <w:color w:val="auto"/>
          <w:spacing w:val="16"/>
          <w:sz w:val="21"/>
          <w:szCs w:val="21"/>
          <w:highlight w:val="none"/>
          <w:u w:val="single" w:color="auto"/>
        </w:rPr>
        <w:t xml:space="preserve"> </w:t>
      </w:r>
      <w:r>
        <w:rPr>
          <w:rFonts w:hint="eastAsia" w:ascii="宋体" w:hAnsi="宋体" w:eastAsia="宋体" w:cs="宋体"/>
          <w:color w:val="auto"/>
          <w:spacing w:val="-26"/>
          <w:sz w:val="21"/>
          <w:szCs w:val="21"/>
          <w:highlight w:val="none"/>
        </w:rPr>
        <w:t>。</w:t>
      </w:r>
    </w:p>
    <w:p w14:paraId="68461F2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1.6.4 承包人文件</w:t>
      </w:r>
    </w:p>
    <w:p w14:paraId="3559B90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需要由承包人提供的文件，包括：</w:t>
      </w:r>
      <w:r>
        <w:rPr>
          <w:rFonts w:hint="eastAsia" w:ascii="宋体" w:hAnsi="宋体" w:eastAsia="宋体" w:cs="宋体"/>
          <w:color w:val="auto"/>
          <w:spacing w:val="-1"/>
          <w:sz w:val="21"/>
          <w:szCs w:val="21"/>
          <w:highlight w:val="none"/>
          <w:u w:val="single" w:color="auto"/>
        </w:rPr>
        <w:t>实施性施工组织设计及方案；建设项目竣工</w:t>
      </w:r>
      <w:r>
        <w:rPr>
          <w:rFonts w:hint="eastAsia" w:ascii="宋体" w:hAnsi="宋体" w:eastAsia="宋体" w:cs="宋体"/>
          <w:color w:val="auto"/>
          <w:sz w:val="21"/>
          <w:szCs w:val="21"/>
          <w:highlight w:val="none"/>
          <w:u w:val="single" w:color="auto"/>
        </w:rPr>
        <w:t>验收前，承包人应根据合同工作内</w:t>
      </w:r>
      <w:r>
        <w:rPr>
          <w:rFonts w:hint="eastAsia" w:ascii="宋体" w:hAnsi="宋体" w:cs="宋体"/>
          <w:color w:val="auto"/>
          <w:sz w:val="21"/>
          <w:szCs w:val="21"/>
          <w:highlight w:val="none"/>
          <w:u w:val="single" w:color="auto"/>
          <w:lang w:eastAsia="zh-CN"/>
        </w:rPr>
        <w:t>容和</w:t>
      </w:r>
      <w:r>
        <w:rPr>
          <w:rFonts w:hint="eastAsia" w:ascii="宋体" w:hAnsi="宋体" w:eastAsia="宋体" w:cs="宋体"/>
          <w:color w:val="auto"/>
          <w:sz w:val="21"/>
          <w:szCs w:val="21"/>
          <w:highlight w:val="none"/>
          <w:u w:val="single" w:color="auto"/>
        </w:rPr>
        <w:t>要求，分别整理竣</w:t>
      </w:r>
      <w:r>
        <w:rPr>
          <w:rFonts w:hint="eastAsia" w:ascii="宋体" w:hAnsi="宋体" w:eastAsia="宋体" w:cs="宋体"/>
          <w:color w:val="auto"/>
          <w:spacing w:val="-1"/>
          <w:sz w:val="21"/>
          <w:szCs w:val="21"/>
          <w:highlight w:val="none"/>
          <w:u w:val="single" w:color="auto"/>
        </w:rPr>
        <w:t>工验收资料（含竣工图</w:t>
      </w:r>
      <w:r>
        <w:rPr>
          <w:rFonts w:hint="eastAsia" w:ascii="宋体" w:hAnsi="宋体" w:eastAsia="宋体" w:cs="宋体"/>
          <w:color w:val="auto"/>
          <w:sz w:val="21"/>
          <w:szCs w:val="21"/>
          <w:highlight w:val="none"/>
          <w:u w:val="single" w:color="auto"/>
        </w:rPr>
        <w:t>），</w:t>
      </w:r>
      <w:r>
        <w:rPr>
          <w:rFonts w:hint="eastAsia" w:ascii="宋体" w:hAnsi="宋体" w:eastAsia="宋体" w:cs="宋体"/>
          <w:color w:val="auto"/>
          <w:spacing w:val="-1"/>
          <w:sz w:val="21"/>
          <w:szCs w:val="21"/>
          <w:highlight w:val="none"/>
          <w:u w:val="single" w:color="auto"/>
        </w:rPr>
        <w:t>汇总为完整的建设项目竣工资料报发包人（费用由承包人负责</w:t>
      </w:r>
      <w:r>
        <w:rPr>
          <w:rFonts w:hint="eastAsia" w:ascii="宋体" w:hAnsi="宋体" w:eastAsia="宋体" w:cs="宋体"/>
          <w:color w:val="auto"/>
          <w:spacing w:val="8"/>
          <w:sz w:val="21"/>
          <w:szCs w:val="21"/>
          <w:highlight w:val="none"/>
          <w:u w:val="single" w:color="auto"/>
        </w:rPr>
        <w:t>）</w:t>
      </w:r>
      <w:r>
        <w:rPr>
          <w:rFonts w:hint="eastAsia" w:ascii="宋体" w:hAnsi="宋体" w:eastAsia="宋体" w:cs="宋体"/>
          <w:color w:val="auto"/>
          <w:spacing w:val="8"/>
          <w:sz w:val="21"/>
          <w:szCs w:val="21"/>
          <w:highlight w:val="none"/>
        </w:rPr>
        <w:t>；</w:t>
      </w:r>
    </w:p>
    <w:p w14:paraId="443DE42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承包人提供的文件的期限为：</w:t>
      </w:r>
      <w:r>
        <w:rPr>
          <w:rFonts w:hint="eastAsia" w:ascii="宋体" w:hAnsi="宋体" w:eastAsia="宋体" w:cs="宋体"/>
          <w:color w:val="auto"/>
          <w:sz w:val="21"/>
          <w:szCs w:val="21"/>
          <w:highlight w:val="none"/>
          <w:u w:val="single" w:color="auto"/>
        </w:rPr>
        <w:t>开工前及竣工</w:t>
      </w:r>
      <w:r>
        <w:rPr>
          <w:rFonts w:hint="eastAsia" w:ascii="宋体" w:hAnsi="宋体" w:eastAsia="宋体" w:cs="宋体"/>
          <w:color w:val="auto"/>
          <w:spacing w:val="-1"/>
          <w:sz w:val="21"/>
          <w:szCs w:val="21"/>
          <w:highlight w:val="none"/>
          <w:u w:val="single" w:color="auto"/>
        </w:rPr>
        <w:t>验收正式通过后15天</w:t>
      </w:r>
      <w:r>
        <w:rPr>
          <w:rFonts w:hint="eastAsia" w:ascii="宋体" w:hAnsi="宋体" w:eastAsia="宋体" w:cs="宋体"/>
          <w:color w:val="auto"/>
          <w:spacing w:val="-1"/>
          <w:sz w:val="21"/>
          <w:szCs w:val="21"/>
          <w:highlight w:val="none"/>
        </w:rPr>
        <w:t>；</w:t>
      </w:r>
    </w:p>
    <w:p w14:paraId="0DC45F1D">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承包人提供的文件的数量为：</w:t>
      </w:r>
      <w:r>
        <w:rPr>
          <w:rFonts w:hint="eastAsia" w:ascii="宋体" w:hAnsi="宋体" w:eastAsia="宋体" w:cs="宋体"/>
          <w:color w:val="auto"/>
          <w:spacing w:val="-1"/>
          <w:sz w:val="21"/>
          <w:szCs w:val="21"/>
          <w:highlight w:val="none"/>
          <w:u w:val="single" w:color="auto"/>
        </w:rPr>
        <w:t>提供6套</w:t>
      </w:r>
      <w:r>
        <w:rPr>
          <w:rFonts w:hint="eastAsia" w:ascii="宋体" w:hAnsi="宋体" w:eastAsia="宋体" w:cs="宋体"/>
          <w:color w:val="auto"/>
          <w:spacing w:val="-1"/>
          <w:sz w:val="21"/>
          <w:szCs w:val="21"/>
          <w:highlight w:val="none"/>
        </w:rPr>
        <w:t>；</w:t>
      </w:r>
    </w:p>
    <w:p w14:paraId="1D316E1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承包人提供的文件的形式为：</w:t>
      </w:r>
      <w:r>
        <w:rPr>
          <w:rFonts w:hint="eastAsia" w:ascii="宋体" w:hAnsi="宋体" w:eastAsia="宋体" w:cs="宋体"/>
          <w:color w:val="auto"/>
          <w:spacing w:val="-1"/>
          <w:sz w:val="21"/>
          <w:szCs w:val="21"/>
          <w:highlight w:val="none"/>
          <w:u w:val="single" w:color="auto"/>
        </w:rPr>
        <w:t>书面形式和电子版</w:t>
      </w:r>
      <w:r>
        <w:rPr>
          <w:rFonts w:hint="eastAsia" w:ascii="宋体" w:hAnsi="宋体" w:eastAsia="宋体" w:cs="宋体"/>
          <w:color w:val="auto"/>
          <w:spacing w:val="-1"/>
          <w:sz w:val="21"/>
          <w:szCs w:val="21"/>
          <w:highlight w:val="none"/>
        </w:rPr>
        <w:t>；</w:t>
      </w:r>
    </w:p>
    <w:p w14:paraId="61A24E37">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发包人审批承包人文件的期限：</w:t>
      </w:r>
      <w:r>
        <w:rPr>
          <w:rFonts w:hint="eastAsia" w:ascii="宋体" w:hAnsi="宋体" w:eastAsia="宋体" w:cs="宋体"/>
          <w:color w:val="auto"/>
          <w:spacing w:val="-1"/>
          <w:sz w:val="21"/>
          <w:szCs w:val="21"/>
          <w:highlight w:val="none"/>
          <w:u w:val="single" w:color="auto"/>
        </w:rPr>
        <w:t>提交文件后14个工作日内</w:t>
      </w:r>
      <w:r>
        <w:rPr>
          <w:rFonts w:hint="eastAsia" w:ascii="宋体" w:hAnsi="宋体" w:eastAsia="宋体" w:cs="宋体"/>
          <w:color w:val="auto"/>
          <w:spacing w:val="-1"/>
          <w:sz w:val="21"/>
          <w:szCs w:val="21"/>
          <w:highlight w:val="none"/>
        </w:rPr>
        <w:t>。</w:t>
      </w:r>
    </w:p>
    <w:p w14:paraId="0D051FB7">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1.6.5 现场图纸准备</w:t>
      </w:r>
    </w:p>
    <w:p w14:paraId="54F37B4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关于现场图纸准备的约定：</w:t>
      </w:r>
      <w:r>
        <w:rPr>
          <w:rFonts w:hint="eastAsia" w:ascii="宋体" w:hAnsi="宋体" w:eastAsia="宋体" w:cs="宋体"/>
          <w:color w:val="auto"/>
          <w:sz w:val="21"/>
          <w:szCs w:val="21"/>
          <w:highlight w:val="none"/>
          <w:u w:val="single" w:color="auto"/>
        </w:rPr>
        <w:t>承包人在施工现</w:t>
      </w:r>
      <w:r>
        <w:rPr>
          <w:rFonts w:hint="eastAsia" w:ascii="宋体" w:hAnsi="宋体" w:eastAsia="宋体" w:cs="宋体"/>
          <w:color w:val="auto"/>
          <w:spacing w:val="-1"/>
          <w:sz w:val="21"/>
          <w:szCs w:val="21"/>
          <w:highlight w:val="none"/>
          <w:u w:val="single" w:color="auto"/>
        </w:rPr>
        <w:t>场保留一套完整图纸和承包人文件</w:t>
      </w:r>
      <w:r>
        <w:rPr>
          <w:rFonts w:hint="eastAsia" w:ascii="宋体" w:hAnsi="宋体" w:cs="宋体"/>
          <w:color w:val="auto"/>
          <w:spacing w:val="-1"/>
          <w:sz w:val="21"/>
          <w:szCs w:val="21"/>
          <w:highlight w:val="none"/>
          <w:u w:val="single" w:color="auto"/>
          <w:lang w:eastAsia="zh-CN"/>
        </w:rPr>
        <w:t>，</w:t>
      </w:r>
      <w:r>
        <w:rPr>
          <w:rFonts w:hint="eastAsia" w:ascii="宋体" w:hAnsi="宋体" w:eastAsia="宋体" w:cs="宋体"/>
          <w:color w:val="auto"/>
          <w:spacing w:val="-4"/>
          <w:sz w:val="21"/>
          <w:szCs w:val="21"/>
          <w:highlight w:val="none"/>
          <w:u w:val="single" w:color="auto"/>
        </w:rPr>
        <w:t>供发包人、监理人及有关人员进行工程检查时使用</w:t>
      </w:r>
      <w:r>
        <w:rPr>
          <w:rFonts w:hint="eastAsia" w:ascii="宋体" w:hAnsi="宋体" w:eastAsia="宋体" w:cs="宋体"/>
          <w:color w:val="auto"/>
          <w:spacing w:val="-4"/>
          <w:sz w:val="21"/>
          <w:szCs w:val="21"/>
          <w:highlight w:val="none"/>
        </w:rPr>
        <w:t>。</w:t>
      </w:r>
    </w:p>
    <w:p w14:paraId="12E14B45">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207" w:name="_Toc3482"/>
      <w:bookmarkStart w:id="208" w:name="_Toc407135200"/>
      <w:bookmarkStart w:id="209" w:name="_Toc13167"/>
      <w:bookmarkStart w:id="210" w:name="_Toc373478345"/>
      <w:bookmarkStart w:id="211" w:name="_Toc12609355"/>
      <w:bookmarkStart w:id="212" w:name="_Toc373227698"/>
      <w:bookmarkStart w:id="213" w:name="_Toc389065264"/>
      <w:r>
        <w:rPr>
          <w:rFonts w:hint="eastAsia" w:ascii="宋体" w:hAnsi="宋体" w:eastAsia="宋体" w:cs="宋体"/>
          <w:color w:val="auto"/>
          <w:sz w:val="21"/>
          <w:szCs w:val="21"/>
          <w:highlight w:val="none"/>
        </w:rPr>
        <w:t>1.7 联络</w:t>
      </w:r>
      <w:bookmarkEnd w:id="207"/>
      <w:bookmarkEnd w:id="208"/>
      <w:bookmarkEnd w:id="209"/>
      <w:bookmarkEnd w:id="210"/>
      <w:bookmarkEnd w:id="211"/>
      <w:bookmarkEnd w:id="212"/>
      <w:bookmarkEnd w:id="213"/>
    </w:p>
    <w:p w14:paraId="45C3FA6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1.7.1发包人和承包人应当在</w:t>
      </w:r>
      <w:r>
        <w:rPr>
          <w:rFonts w:hint="eastAsia" w:ascii="宋体" w:hAnsi="宋体" w:eastAsia="宋体" w:cs="宋体"/>
          <w:color w:val="auto"/>
          <w:kern w:val="0"/>
          <w:sz w:val="21"/>
          <w:szCs w:val="21"/>
          <w:highlight w:val="none"/>
          <w:u w:val="single"/>
        </w:rPr>
        <w:t>7日历天</w:t>
      </w:r>
      <w:r>
        <w:rPr>
          <w:rFonts w:hint="eastAsia" w:ascii="宋体" w:hAnsi="宋体" w:eastAsia="宋体" w:cs="宋体"/>
          <w:color w:val="auto"/>
          <w:kern w:val="0"/>
          <w:sz w:val="21"/>
          <w:szCs w:val="21"/>
          <w:highlight w:val="none"/>
        </w:rPr>
        <w:t>内将与合同有关的通知、批准、证明、证 书、指示、指令、要求、请求、同意、意见、确定和决定等书面函件送达对方当事人。</w:t>
      </w:r>
    </w:p>
    <w:p w14:paraId="5725117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1.7.2 </w:t>
      </w:r>
      <w:r>
        <w:rPr>
          <w:rFonts w:hint="eastAsia" w:ascii="宋体" w:hAnsi="宋体" w:eastAsia="宋体" w:cs="宋体"/>
          <w:color w:val="auto"/>
          <w:spacing w:val="-3"/>
          <w:sz w:val="21"/>
          <w:szCs w:val="21"/>
          <w:highlight w:val="none"/>
        </w:rPr>
        <w:t>发包人接收文件的地点：</w:t>
      </w:r>
      <w:r>
        <w:rPr>
          <w:rFonts w:hint="eastAsia" w:ascii="宋体" w:hAnsi="宋体" w:eastAsia="宋体" w:cs="宋体"/>
          <w:color w:val="auto"/>
          <w:spacing w:val="-3"/>
          <w:sz w:val="21"/>
          <w:szCs w:val="21"/>
          <w:highlight w:val="none"/>
          <w:u w:val="single" w:color="auto"/>
        </w:rPr>
        <w:t>施工现场发包人办公室</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发包人指定的接收人为：</w:t>
      </w:r>
      <w:r>
        <w:rPr>
          <w:rFonts w:hint="eastAsia" w:ascii="宋体" w:hAnsi="宋体" w:eastAsia="宋体" w:cs="宋体"/>
          <w:color w:val="auto"/>
          <w:spacing w:val="-1"/>
          <w:sz w:val="21"/>
          <w:szCs w:val="21"/>
          <w:highlight w:val="none"/>
          <w:u w:val="single" w:color="auto"/>
        </w:rPr>
        <w:t>业主代表（现场）</w:t>
      </w:r>
      <w:r>
        <w:rPr>
          <w:rFonts w:hint="eastAsia" w:ascii="宋体" w:hAnsi="宋体" w:eastAsia="宋体" w:cs="宋体"/>
          <w:color w:val="auto"/>
          <w:spacing w:val="-1"/>
          <w:sz w:val="21"/>
          <w:szCs w:val="21"/>
          <w:highlight w:val="none"/>
        </w:rPr>
        <w:t>。</w:t>
      </w:r>
    </w:p>
    <w:p w14:paraId="72611E8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承包人接收文件的地点：</w:t>
      </w:r>
      <w:r>
        <w:rPr>
          <w:rFonts w:hint="eastAsia" w:ascii="宋体" w:hAnsi="宋体" w:eastAsia="宋体" w:cs="宋体"/>
          <w:color w:val="auto"/>
          <w:spacing w:val="-3"/>
          <w:sz w:val="21"/>
          <w:szCs w:val="21"/>
          <w:highlight w:val="none"/>
          <w:u w:val="single" w:color="auto"/>
        </w:rPr>
        <w:t>施工现场承包人办公室</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承包人指定的接收人为：</w:t>
      </w:r>
      <w:r>
        <w:rPr>
          <w:rFonts w:hint="eastAsia" w:ascii="宋体" w:hAnsi="宋体" w:eastAsia="宋体" w:cs="宋体"/>
          <w:color w:val="auto"/>
          <w:spacing w:val="-1"/>
          <w:sz w:val="21"/>
          <w:szCs w:val="21"/>
          <w:highlight w:val="none"/>
          <w:u w:val="single" w:color="auto"/>
        </w:rPr>
        <w:t>承包人项目经理</w:t>
      </w:r>
      <w:r>
        <w:rPr>
          <w:rFonts w:hint="eastAsia" w:ascii="宋体" w:hAnsi="宋体" w:eastAsia="宋体" w:cs="宋体"/>
          <w:color w:val="auto"/>
          <w:spacing w:val="-1"/>
          <w:sz w:val="21"/>
          <w:szCs w:val="21"/>
          <w:highlight w:val="none"/>
        </w:rPr>
        <w:t>。</w:t>
      </w:r>
    </w:p>
    <w:p w14:paraId="4755B8C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pacing w:val="-1"/>
          <w:sz w:val="21"/>
          <w:szCs w:val="21"/>
          <w:highlight w:val="none"/>
        </w:rPr>
        <w:t>监理人接收文件的地点：</w:t>
      </w:r>
      <w:r>
        <w:rPr>
          <w:rFonts w:hint="eastAsia" w:ascii="宋体" w:hAnsi="宋体" w:eastAsia="宋体" w:cs="宋体"/>
          <w:color w:val="auto"/>
          <w:spacing w:val="-1"/>
          <w:sz w:val="21"/>
          <w:szCs w:val="21"/>
          <w:highlight w:val="none"/>
          <w:u w:val="single" w:color="auto"/>
        </w:rPr>
        <w:t>施工现场监理人办公室</w:t>
      </w:r>
      <w:r>
        <w:rPr>
          <w:rFonts w:hint="eastAsia" w:ascii="宋体" w:hAnsi="宋体" w:eastAsia="宋体" w:cs="宋体"/>
          <w:color w:val="auto"/>
          <w:spacing w:val="-1"/>
          <w:sz w:val="21"/>
          <w:szCs w:val="21"/>
          <w:highlight w:val="none"/>
        </w:rPr>
        <w:t>；</w:t>
      </w:r>
    </w:p>
    <w:p w14:paraId="499B797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pacing w:val="-1"/>
          <w:sz w:val="21"/>
          <w:szCs w:val="21"/>
          <w:highlight w:val="none"/>
        </w:rPr>
        <w:t>监理人指定的接收人为：</w:t>
      </w:r>
      <w:r>
        <w:rPr>
          <w:rFonts w:hint="eastAsia" w:ascii="宋体" w:hAnsi="宋体" w:eastAsia="宋体" w:cs="宋体"/>
          <w:color w:val="auto"/>
          <w:spacing w:val="-1"/>
          <w:sz w:val="21"/>
          <w:szCs w:val="21"/>
          <w:highlight w:val="none"/>
          <w:u w:val="single" w:color="auto"/>
        </w:rPr>
        <w:t>总监理工程师或总监代表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49EA2CC3">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214" w:name="_Toc21407"/>
      <w:bookmarkStart w:id="215" w:name="_Toc4066"/>
      <w:bookmarkStart w:id="216" w:name="_Toc407135201"/>
      <w:bookmarkStart w:id="217" w:name="_Toc373478346"/>
      <w:bookmarkStart w:id="218" w:name="_Toc373227699"/>
      <w:bookmarkStart w:id="219" w:name="_Toc12609356"/>
      <w:bookmarkStart w:id="220" w:name="_Toc389065265"/>
      <w:r>
        <w:rPr>
          <w:rFonts w:hint="eastAsia" w:ascii="宋体" w:hAnsi="宋体" w:eastAsia="宋体" w:cs="宋体"/>
          <w:color w:val="auto"/>
          <w:sz w:val="21"/>
          <w:szCs w:val="21"/>
          <w:highlight w:val="none"/>
        </w:rPr>
        <w:t>1.10 交通运输</w:t>
      </w:r>
      <w:bookmarkEnd w:id="214"/>
      <w:bookmarkEnd w:id="215"/>
      <w:bookmarkEnd w:id="216"/>
      <w:bookmarkEnd w:id="217"/>
      <w:bookmarkEnd w:id="218"/>
      <w:bookmarkEnd w:id="219"/>
      <w:bookmarkEnd w:id="220"/>
    </w:p>
    <w:p w14:paraId="79F6F0F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2"/>
        <w:rPr>
          <w:rFonts w:hint="eastAsia" w:ascii="宋体" w:hAnsi="宋体" w:eastAsia="宋体" w:cs="宋体"/>
          <w:color w:val="auto"/>
          <w:sz w:val="21"/>
          <w:szCs w:val="21"/>
          <w:highlight w:val="none"/>
        </w:rPr>
      </w:pPr>
      <w:bookmarkStart w:id="221" w:name="_Toc31362"/>
      <w:bookmarkStart w:id="222" w:name="_Toc26000"/>
      <w:r>
        <w:rPr>
          <w:rFonts w:hint="eastAsia" w:ascii="宋体" w:hAnsi="宋体" w:eastAsia="宋体" w:cs="宋体"/>
          <w:color w:val="auto"/>
          <w:sz w:val="21"/>
          <w:szCs w:val="21"/>
          <w:highlight w:val="none"/>
        </w:rPr>
        <w:t>1</w:t>
      </w:r>
      <w:bookmarkStart w:id="223" w:name="_Toc318581155"/>
      <w:bookmarkStart w:id="224" w:name="_Toc312677986"/>
      <w:bookmarkStart w:id="225" w:name="_Toc303539100"/>
      <w:bookmarkStart w:id="226" w:name="_Toc304295521"/>
      <w:bookmarkStart w:id="227" w:name="_Toc300934943"/>
      <w:r>
        <w:rPr>
          <w:rFonts w:hint="eastAsia" w:ascii="宋体" w:hAnsi="宋体" w:eastAsia="宋体" w:cs="宋体"/>
          <w:color w:val="auto"/>
          <w:sz w:val="21"/>
          <w:szCs w:val="21"/>
          <w:highlight w:val="none"/>
        </w:rPr>
        <w:t>.10.1 出入现场的权利</w:t>
      </w:r>
      <w:bookmarkEnd w:id="221"/>
      <w:bookmarkEnd w:id="222"/>
    </w:p>
    <w:p w14:paraId="23686B7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关于出入现场的权利的约定：</w:t>
      </w:r>
      <w:r>
        <w:rPr>
          <w:rFonts w:hint="eastAsia" w:ascii="宋体" w:hAnsi="宋体" w:eastAsia="宋体" w:cs="宋体"/>
          <w:color w:val="auto"/>
          <w:sz w:val="21"/>
          <w:szCs w:val="21"/>
          <w:highlight w:val="none"/>
          <w:u w:val="single"/>
        </w:rPr>
        <w:t xml:space="preserve">  承包人根据工程建设需要，负责施工场地范围内的照明、砖砌围墙设施、临时给排水敷设、施工道路硬化、施工场地硬化施工，并承担因此而发生的费用</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同时负责安全保卫工作。发包人和监理人有权无偿使用承包人修建的临时道路和交通设施，不需要缴纳任何费用 </w:t>
      </w:r>
      <w:r>
        <w:rPr>
          <w:rFonts w:hint="eastAsia" w:ascii="宋体" w:hAnsi="宋体" w:eastAsia="宋体" w:cs="宋体"/>
          <w:color w:val="auto"/>
          <w:sz w:val="21"/>
          <w:szCs w:val="21"/>
          <w:highlight w:val="none"/>
        </w:rPr>
        <w:t>。</w:t>
      </w:r>
    </w:p>
    <w:bookmarkEnd w:id="223"/>
    <w:bookmarkEnd w:id="224"/>
    <w:bookmarkEnd w:id="225"/>
    <w:bookmarkEnd w:id="226"/>
    <w:bookmarkEnd w:id="227"/>
    <w:p w14:paraId="1C2F850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2"/>
        <w:rPr>
          <w:rFonts w:hint="eastAsia" w:ascii="宋体" w:hAnsi="宋体" w:eastAsia="宋体" w:cs="宋体"/>
          <w:color w:val="auto"/>
          <w:sz w:val="21"/>
          <w:szCs w:val="21"/>
          <w:highlight w:val="none"/>
        </w:rPr>
      </w:pPr>
      <w:bookmarkStart w:id="228" w:name="_Toc15276"/>
      <w:bookmarkStart w:id="229" w:name="_Toc21933"/>
      <w:r>
        <w:rPr>
          <w:rFonts w:hint="eastAsia" w:ascii="宋体" w:hAnsi="宋体" w:eastAsia="宋体" w:cs="宋体"/>
          <w:color w:val="auto"/>
          <w:sz w:val="21"/>
          <w:szCs w:val="21"/>
          <w:highlight w:val="none"/>
        </w:rPr>
        <w:t>1</w:t>
      </w:r>
      <w:bookmarkStart w:id="230" w:name="_Toc318581156"/>
      <w:bookmarkStart w:id="231" w:name="_Toc304295522"/>
      <w:bookmarkStart w:id="232" w:name="_Toc312677987"/>
      <w:bookmarkStart w:id="233" w:name="_Toc303539101"/>
      <w:bookmarkStart w:id="234" w:name="_Toc300934944"/>
      <w:r>
        <w:rPr>
          <w:rFonts w:hint="eastAsia" w:ascii="宋体" w:hAnsi="宋体" w:eastAsia="宋体" w:cs="宋体"/>
          <w:color w:val="auto"/>
          <w:sz w:val="21"/>
          <w:szCs w:val="21"/>
          <w:highlight w:val="none"/>
        </w:rPr>
        <w:t>.10.3 场内交通</w:t>
      </w:r>
      <w:bookmarkEnd w:id="228"/>
      <w:bookmarkEnd w:id="229"/>
    </w:p>
    <w:p w14:paraId="6D0516E6">
      <w:pPr>
        <w:pageBreakBefore w:val="0"/>
        <w:widowControl w:val="0"/>
        <w:kinsoku/>
        <w:wordWrap/>
        <w:overflowPunct/>
        <w:topLinePunct w:val="0"/>
        <w:bidi w:val="0"/>
        <w:snapToGrid/>
        <w:spacing w:beforeAutospacing="0" w:afterAutospacing="0" w:line="400" w:lineRule="exact"/>
        <w:ind w:left="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关于场外交通和场内交通的边界的约定：</w:t>
      </w:r>
      <w:r>
        <w:rPr>
          <w:rFonts w:hint="eastAsia" w:ascii="宋体" w:hAnsi="宋体" w:eastAsia="宋体" w:cs="宋体"/>
          <w:color w:val="auto"/>
          <w:sz w:val="21"/>
          <w:szCs w:val="21"/>
          <w:highlight w:val="none"/>
          <w:u w:val="single"/>
        </w:rPr>
        <w:t xml:space="preserve"> 以工程用地红线界定 </w:t>
      </w:r>
      <w:r>
        <w:rPr>
          <w:rFonts w:hint="eastAsia" w:ascii="宋体" w:hAnsi="宋体" w:eastAsia="宋体" w:cs="宋体"/>
          <w:color w:val="auto"/>
          <w:sz w:val="21"/>
          <w:szCs w:val="21"/>
          <w:highlight w:val="none"/>
        </w:rPr>
        <w:t>。</w:t>
      </w:r>
    </w:p>
    <w:p w14:paraId="182B0E1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关于发包人向承包人免费提供满足工程施工需要的场内道路和交通设施的约定：</w:t>
      </w:r>
      <w:r>
        <w:rPr>
          <w:rFonts w:hint="eastAsia" w:ascii="宋体" w:hAnsi="宋体" w:eastAsia="宋体" w:cs="宋体"/>
          <w:color w:val="auto"/>
          <w:spacing w:val="-1"/>
          <w:sz w:val="21"/>
          <w:szCs w:val="21"/>
          <w:highlight w:val="none"/>
          <w:u w:val="single" w:color="auto"/>
        </w:rPr>
        <w:t>施工现场内临时道路由承包人负责建设及拆除并承担相关</w:t>
      </w:r>
      <w:r>
        <w:rPr>
          <w:rFonts w:hint="eastAsia" w:ascii="宋体" w:hAnsi="宋体" w:eastAsia="宋体" w:cs="宋体"/>
          <w:color w:val="auto"/>
          <w:spacing w:val="-2"/>
          <w:sz w:val="21"/>
          <w:szCs w:val="21"/>
          <w:highlight w:val="none"/>
          <w:u w:val="single" w:color="auto"/>
        </w:rPr>
        <w:t>费用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bookmarkEnd w:id="230"/>
      <w:bookmarkEnd w:id="231"/>
      <w:bookmarkEnd w:id="232"/>
      <w:bookmarkEnd w:id="233"/>
      <w:bookmarkEnd w:id="234"/>
      <w:bookmarkStart w:id="235" w:name="_Toc318581157"/>
    </w:p>
    <w:p w14:paraId="0908656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2"/>
        <w:rPr>
          <w:rFonts w:hint="eastAsia" w:ascii="宋体" w:hAnsi="宋体" w:eastAsia="宋体" w:cs="宋体"/>
          <w:color w:val="auto"/>
          <w:sz w:val="21"/>
          <w:szCs w:val="21"/>
          <w:highlight w:val="none"/>
        </w:rPr>
      </w:pPr>
      <w:bookmarkStart w:id="236" w:name="_Toc13497"/>
      <w:bookmarkStart w:id="237" w:name="_Toc23356"/>
      <w:r>
        <w:rPr>
          <w:rFonts w:hint="eastAsia" w:ascii="宋体" w:hAnsi="宋体" w:eastAsia="宋体" w:cs="宋体"/>
          <w:color w:val="auto"/>
          <w:sz w:val="21"/>
          <w:szCs w:val="21"/>
          <w:highlight w:val="none"/>
        </w:rPr>
        <w:t>1.10.4 超大件和超重件的运输</w:t>
      </w:r>
      <w:bookmarkEnd w:id="236"/>
      <w:bookmarkEnd w:id="237"/>
    </w:p>
    <w:p w14:paraId="406F0BE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运输超大件或超重件所需的道路和桥梁临时加固改造费用和其他有关费用由</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sz w:val="21"/>
          <w:szCs w:val="21"/>
          <w:highlight w:val="none"/>
        </w:rPr>
        <w:t>承担。</w:t>
      </w:r>
    </w:p>
    <w:bookmarkEnd w:id="235"/>
    <w:p w14:paraId="67311831">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238" w:name="_Toc5345"/>
      <w:bookmarkStart w:id="239" w:name="_Toc389065266"/>
      <w:bookmarkStart w:id="240" w:name="_Toc12751"/>
      <w:bookmarkStart w:id="241" w:name="_Toc12609357"/>
      <w:bookmarkStart w:id="242" w:name="_Toc373227700"/>
      <w:bookmarkStart w:id="243" w:name="_Toc373478347"/>
      <w:bookmarkStart w:id="244" w:name="_Toc407135202"/>
      <w:r>
        <w:rPr>
          <w:rFonts w:hint="eastAsia" w:ascii="宋体" w:hAnsi="宋体" w:eastAsia="宋体" w:cs="宋体"/>
          <w:color w:val="auto"/>
          <w:sz w:val="21"/>
          <w:szCs w:val="21"/>
          <w:highlight w:val="none"/>
        </w:rPr>
        <w:t>1.11 知识产权</w:t>
      </w:r>
      <w:bookmarkEnd w:id="238"/>
      <w:bookmarkEnd w:id="239"/>
      <w:bookmarkEnd w:id="240"/>
      <w:bookmarkEnd w:id="241"/>
      <w:bookmarkEnd w:id="242"/>
      <w:bookmarkEnd w:id="243"/>
      <w:bookmarkEnd w:id="244"/>
    </w:p>
    <w:p w14:paraId="5BB1AB7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2"/>
          <w:sz w:val="21"/>
          <w:szCs w:val="21"/>
          <w:highlight w:val="none"/>
          <w:u w:val="single" w:color="auto"/>
        </w:rPr>
        <w:t>按通用条款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973C5C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关于发包人提供的上述文件的使用限制的要求：</w:t>
      </w:r>
      <w:r>
        <w:rPr>
          <w:rFonts w:hint="eastAsia" w:ascii="宋体" w:hAnsi="宋体" w:eastAsia="宋体" w:cs="宋体"/>
          <w:color w:val="auto"/>
          <w:spacing w:val="-1"/>
          <w:sz w:val="21"/>
          <w:szCs w:val="21"/>
          <w:highlight w:val="none"/>
          <w:u w:val="single" w:color="auto"/>
        </w:rPr>
        <w:t>仅限该项工程</w:t>
      </w:r>
      <w:r>
        <w:rPr>
          <w:rFonts w:hint="eastAsia" w:ascii="宋体" w:hAnsi="宋体" w:eastAsia="宋体" w:cs="宋体"/>
          <w:color w:val="auto"/>
          <w:spacing w:val="-1"/>
          <w:sz w:val="21"/>
          <w:szCs w:val="21"/>
          <w:highlight w:val="none"/>
        </w:rPr>
        <w:t>。</w:t>
      </w:r>
    </w:p>
    <w:p w14:paraId="6B130F7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1.11.2 关于承包人为实施工程所编制文件的著作权的归属：</w:t>
      </w:r>
      <w:r>
        <w:rPr>
          <w:rFonts w:hint="eastAsia" w:ascii="宋体" w:hAnsi="宋体" w:eastAsia="宋体" w:cs="宋体"/>
          <w:color w:val="auto"/>
          <w:spacing w:val="-2"/>
          <w:sz w:val="21"/>
          <w:szCs w:val="21"/>
          <w:highlight w:val="none"/>
          <w:u w:val="single" w:color="auto"/>
        </w:rPr>
        <w:t>按通用条款</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1"/>
          <w:sz w:val="21"/>
          <w:szCs w:val="21"/>
          <w:highlight w:val="none"/>
        </w:rPr>
        <w:t>关于承包人提供的上述文件的使用限制的要求：</w:t>
      </w:r>
      <w:r>
        <w:rPr>
          <w:rFonts w:hint="eastAsia" w:ascii="宋体" w:hAnsi="宋体" w:eastAsia="宋体" w:cs="宋体"/>
          <w:color w:val="auto"/>
          <w:spacing w:val="-1"/>
          <w:sz w:val="21"/>
          <w:szCs w:val="21"/>
          <w:highlight w:val="none"/>
          <w:u w:val="single" w:color="auto"/>
        </w:rPr>
        <w:t>按通用条款</w:t>
      </w:r>
      <w:r>
        <w:rPr>
          <w:rFonts w:hint="eastAsia" w:ascii="宋体" w:hAnsi="宋体" w:eastAsia="宋体" w:cs="宋体"/>
          <w:color w:val="auto"/>
          <w:spacing w:val="-1"/>
          <w:sz w:val="21"/>
          <w:szCs w:val="21"/>
          <w:highlight w:val="none"/>
        </w:rPr>
        <w:t>。</w:t>
      </w:r>
    </w:p>
    <w:p w14:paraId="2428CB9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pacing w:val="-3"/>
          <w:sz w:val="21"/>
          <w:szCs w:val="21"/>
          <w:highlight w:val="none"/>
        </w:rPr>
        <w:t>1.11.4 承包人在施工过程中所采用的专利、专有技术、技术</w:t>
      </w:r>
      <w:r>
        <w:rPr>
          <w:rFonts w:hint="eastAsia" w:ascii="宋体" w:hAnsi="宋体" w:eastAsia="宋体" w:cs="宋体"/>
          <w:color w:val="auto"/>
          <w:spacing w:val="-4"/>
          <w:sz w:val="21"/>
          <w:szCs w:val="21"/>
          <w:highlight w:val="none"/>
        </w:rPr>
        <w:t>秘密的使用费的承</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担方式：</w:t>
      </w:r>
      <w:r>
        <w:rPr>
          <w:rFonts w:hint="eastAsia" w:ascii="宋体" w:hAnsi="宋体" w:eastAsia="宋体" w:cs="宋体"/>
          <w:color w:val="auto"/>
          <w:spacing w:val="-6"/>
          <w:sz w:val="21"/>
          <w:szCs w:val="21"/>
          <w:highlight w:val="none"/>
          <w:u w:val="single" w:color="auto"/>
        </w:rPr>
        <w:t>由承包人负责</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5A4E9C04">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245" w:name="_Toc389065267"/>
      <w:bookmarkStart w:id="246" w:name="_Toc373478348"/>
      <w:bookmarkStart w:id="247" w:name="_Toc373227701"/>
      <w:bookmarkStart w:id="248" w:name="_Toc407135203"/>
      <w:bookmarkStart w:id="249" w:name="_Toc20400"/>
      <w:bookmarkStart w:id="250" w:name="_Toc32135"/>
      <w:bookmarkStart w:id="251" w:name="_Toc12609358"/>
      <w:r>
        <w:rPr>
          <w:rFonts w:hint="eastAsia" w:ascii="宋体" w:hAnsi="宋体" w:eastAsia="宋体" w:cs="宋体"/>
          <w:color w:val="auto"/>
          <w:sz w:val="21"/>
          <w:szCs w:val="21"/>
          <w:highlight w:val="none"/>
        </w:rPr>
        <w:t>1.13工程量清单错误的修正</w:t>
      </w:r>
      <w:bookmarkEnd w:id="245"/>
      <w:bookmarkEnd w:id="246"/>
      <w:bookmarkEnd w:id="247"/>
      <w:bookmarkEnd w:id="248"/>
      <w:bookmarkEnd w:id="249"/>
      <w:bookmarkEnd w:id="250"/>
      <w:bookmarkEnd w:id="251"/>
    </w:p>
    <w:p w14:paraId="238B4F7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出现工程量清单错误时，是否调整清单综合单价：</w:t>
      </w:r>
      <w:r>
        <w:rPr>
          <w:rFonts w:hint="eastAsia" w:ascii="宋体" w:hAnsi="宋体" w:eastAsia="宋体" w:cs="宋体"/>
          <w:color w:val="auto"/>
          <w:spacing w:val="-1"/>
          <w:sz w:val="21"/>
          <w:szCs w:val="21"/>
          <w:highlight w:val="none"/>
          <w:u w:val="single" w:color="auto"/>
        </w:rPr>
        <w:t>合同履行期间，由于招标工</w:t>
      </w:r>
      <w:r>
        <w:rPr>
          <w:rFonts w:hint="eastAsia" w:ascii="宋体" w:hAnsi="宋体" w:eastAsia="宋体" w:cs="宋体"/>
          <w:color w:val="auto"/>
          <w:sz w:val="21"/>
          <w:szCs w:val="21"/>
          <w:highlight w:val="none"/>
          <w:u w:val="single" w:color="auto"/>
        </w:rPr>
        <w:t>程量清单缺项、漏项，新增分部分项工程清单项目的，按照</w:t>
      </w:r>
      <w:r>
        <w:rPr>
          <w:rFonts w:hint="eastAsia" w:ascii="宋体" w:hAnsi="宋体" w:eastAsia="宋体" w:cs="宋体"/>
          <w:color w:val="auto"/>
          <w:spacing w:val="-1"/>
          <w:sz w:val="21"/>
          <w:szCs w:val="21"/>
          <w:highlight w:val="none"/>
          <w:u w:val="single" w:color="auto"/>
        </w:rPr>
        <w:t>以下规定确定单价，并</w:t>
      </w:r>
      <w:r>
        <w:rPr>
          <w:rFonts w:hint="eastAsia" w:ascii="宋体" w:hAnsi="宋体" w:eastAsia="宋体" w:cs="宋体"/>
          <w:color w:val="auto"/>
          <w:spacing w:val="-2"/>
          <w:sz w:val="21"/>
          <w:szCs w:val="21"/>
          <w:highlight w:val="none"/>
          <w:u w:val="single" w:color="auto"/>
        </w:rPr>
        <w:t>调整清单综合单价</w:t>
      </w:r>
      <w:r>
        <w:rPr>
          <w:rFonts w:hint="eastAsia" w:ascii="宋体" w:hAnsi="宋体" w:eastAsia="宋体" w:cs="宋体"/>
          <w:color w:val="auto"/>
          <w:spacing w:val="-33"/>
          <w:sz w:val="21"/>
          <w:szCs w:val="21"/>
          <w:highlight w:val="none"/>
          <w:u w:val="single" w:color="auto"/>
        </w:rPr>
        <w:t>：（</w:t>
      </w:r>
      <w:r>
        <w:rPr>
          <w:rFonts w:hint="eastAsia" w:ascii="宋体" w:hAnsi="宋体" w:eastAsia="宋体" w:cs="宋体"/>
          <w:color w:val="auto"/>
          <w:spacing w:val="-2"/>
          <w:sz w:val="21"/>
          <w:szCs w:val="21"/>
          <w:highlight w:val="none"/>
          <w:u w:val="single" w:color="auto"/>
        </w:rPr>
        <w:t xml:space="preserve">1）合同中已有相同子目的，按合同该子目价格进行计算； </w:t>
      </w:r>
      <w:r>
        <w:rPr>
          <w:rFonts w:hint="eastAsia" w:ascii="宋体" w:hAnsi="宋体" w:cs="宋体"/>
          <w:color w:val="auto"/>
          <w:spacing w:val="-2"/>
          <w:sz w:val="21"/>
          <w:szCs w:val="21"/>
          <w:highlight w:val="none"/>
          <w:u w:val="single" w:color="auto"/>
          <w:lang w:eastAsia="zh-CN"/>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u w:val="single" w:color="auto"/>
        </w:rPr>
        <w:t>2）合同中只有类似子目的，参照该类似子目价格进行计</w:t>
      </w:r>
      <w:r>
        <w:rPr>
          <w:rFonts w:hint="eastAsia" w:ascii="宋体" w:hAnsi="宋体" w:eastAsia="宋体" w:cs="宋体"/>
          <w:color w:val="auto"/>
          <w:sz w:val="21"/>
          <w:szCs w:val="21"/>
          <w:highlight w:val="none"/>
          <w:u w:val="single" w:color="auto"/>
        </w:rPr>
        <w:t>算</w:t>
      </w:r>
      <w:r>
        <w:rPr>
          <w:rFonts w:hint="eastAsia" w:ascii="宋体" w:hAnsi="宋体" w:eastAsia="宋体" w:cs="宋体"/>
          <w:color w:val="auto"/>
          <w:spacing w:val="-18"/>
          <w:sz w:val="21"/>
          <w:szCs w:val="21"/>
          <w:highlight w:val="none"/>
          <w:u w:val="single" w:color="auto"/>
        </w:rPr>
        <w:t>；（</w:t>
      </w:r>
      <w:r>
        <w:rPr>
          <w:rFonts w:hint="eastAsia" w:ascii="宋体" w:hAnsi="宋体" w:eastAsia="宋体" w:cs="宋体"/>
          <w:color w:val="auto"/>
          <w:sz w:val="21"/>
          <w:szCs w:val="21"/>
          <w:highlight w:val="none"/>
          <w:u w:val="single" w:color="auto"/>
        </w:rPr>
        <w:t>3）合同中没有适用</w:t>
      </w:r>
      <w:r>
        <w:rPr>
          <w:rFonts w:hint="eastAsia" w:ascii="宋体" w:hAnsi="宋体" w:eastAsia="宋体" w:cs="宋体"/>
          <w:color w:val="auto"/>
          <w:spacing w:val="-2"/>
          <w:sz w:val="21"/>
          <w:szCs w:val="21"/>
          <w:highlight w:val="none"/>
          <w:u w:val="single" w:color="auto"/>
        </w:rPr>
        <w:t>或类似子目的价格计算方法：有定额的套定额（含石方工程</w:t>
      </w:r>
      <w:r>
        <w:rPr>
          <w:rFonts w:hint="eastAsia" w:ascii="宋体" w:hAnsi="宋体" w:eastAsia="宋体" w:cs="宋体"/>
          <w:color w:val="auto"/>
          <w:spacing w:val="12"/>
          <w:sz w:val="21"/>
          <w:szCs w:val="21"/>
          <w:highlight w:val="none"/>
          <w:u w:val="single" w:color="auto"/>
        </w:rPr>
        <w:t>），</w:t>
      </w:r>
      <w:r>
        <w:rPr>
          <w:rFonts w:hint="eastAsia" w:ascii="宋体" w:hAnsi="宋体" w:eastAsia="宋体" w:cs="宋体"/>
          <w:color w:val="auto"/>
          <w:spacing w:val="-2"/>
          <w:sz w:val="21"/>
          <w:szCs w:val="21"/>
          <w:highlight w:val="none"/>
          <w:u w:val="single" w:color="auto"/>
        </w:rPr>
        <w:t xml:space="preserve">并乘以下浮系数 </w:t>
      </w:r>
      <w:r>
        <w:rPr>
          <w:rFonts w:hint="eastAsia" w:ascii="宋体" w:hAnsi="宋体" w:cs="宋体"/>
          <w:color w:val="auto"/>
          <w:spacing w:val="-2"/>
          <w:sz w:val="21"/>
          <w:szCs w:val="21"/>
          <w:highlight w:val="none"/>
          <w:u w:val="single" w:color="auto"/>
          <w:lang w:eastAsia="zh-CN"/>
        </w:rPr>
        <w:t>（</w:t>
      </w:r>
      <w:r>
        <w:rPr>
          <w:rFonts w:hint="eastAsia" w:ascii="宋体" w:hAnsi="宋体" w:eastAsia="宋体" w:cs="宋体"/>
          <w:color w:val="auto"/>
          <w:spacing w:val="-3"/>
          <w:sz w:val="21"/>
          <w:szCs w:val="21"/>
          <w:highlight w:val="none"/>
          <w:u w:val="single" w:color="auto"/>
        </w:rPr>
        <w:t>中标价/经招标人审定的工程招标控制价）计算</w:t>
      </w:r>
      <w:r>
        <w:rPr>
          <w:rFonts w:hint="eastAsia" w:ascii="宋体" w:hAnsi="宋体" w:eastAsia="宋体" w:cs="宋体"/>
          <w:color w:val="auto"/>
          <w:spacing w:val="-4"/>
          <w:sz w:val="21"/>
          <w:szCs w:val="21"/>
          <w:highlight w:val="none"/>
          <w:u w:val="single" w:color="auto"/>
        </w:rPr>
        <w:t>，其中材料价格按施工期间的《崇左</w:t>
      </w:r>
      <w:r>
        <w:rPr>
          <w:rFonts w:hint="eastAsia" w:ascii="宋体" w:hAnsi="宋体" w:eastAsia="宋体" w:cs="宋体"/>
          <w:color w:val="auto"/>
          <w:sz w:val="21"/>
          <w:szCs w:val="21"/>
          <w:highlight w:val="none"/>
          <w:u w:val="single" w:color="auto"/>
        </w:rPr>
        <w:t>建设工程造价信息》相应价格信息计算；《崇左建设工程</w:t>
      </w:r>
      <w:r>
        <w:rPr>
          <w:rFonts w:hint="eastAsia" w:ascii="宋体" w:hAnsi="宋体" w:eastAsia="宋体" w:cs="宋体"/>
          <w:color w:val="auto"/>
          <w:spacing w:val="-1"/>
          <w:sz w:val="21"/>
          <w:szCs w:val="21"/>
          <w:highlight w:val="none"/>
          <w:u w:val="single" w:color="auto"/>
        </w:rPr>
        <w:t>造价信息》没有相应价格</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信息的按市场价计算；无定额可套的，根据市场价格协商</w:t>
      </w:r>
      <w:r>
        <w:rPr>
          <w:rFonts w:hint="eastAsia" w:ascii="宋体" w:hAnsi="宋体" w:eastAsia="宋体" w:cs="宋体"/>
          <w:color w:val="auto"/>
          <w:spacing w:val="-1"/>
          <w:sz w:val="21"/>
          <w:szCs w:val="21"/>
          <w:highlight w:val="none"/>
          <w:u w:val="single" w:color="auto"/>
        </w:rPr>
        <w:t>确定综合价格；新增项目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的单价必须事前经招标人审定。除以上情况之外出现工程</w:t>
      </w:r>
      <w:r>
        <w:rPr>
          <w:rFonts w:hint="eastAsia" w:ascii="宋体" w:hAnsi="宋体" w:eastAsia="宋体" w:cs="宋体"/>
          <w:color w:val="auto"/>
          <w:spacing w:val="-1"/>
          <w:sz w:val="21"/>
          <w:szCs w:val="21"/>
          <w:highlight w:val="none"/>
          <w:u w:val="single" w:color="auto"/>
        </w:rPr>
        <w:t>量清单错误的，不调整清</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u w:val="single" w:color="auto"/>
        </w:rPr>
        <w:t>单综合单价</w:t>
      </w:r>
    </w:p>
    <w:p w14:paraId="375FA76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出现工程量清单工程量偏差时，是否调整合同价格：</w:t>
      </w:r>
      <w:r>
        <w:rPr>
          <w:rFonts w:hint="eastAsia" w:ascii="宋体" w:hAnsi="宋体" w:eastAsia="宋体" w:cs="宋体"/>
          <w:color w:val="auto"/>
          <w:spacing w:val="-2"/>
          <w:sz w:val="21"/>
          <w:szCs w:val="21"/>
          <w:highlight w:val="none"/>
          <w:u w:val="single" w:color="auto"/>
        </w:rPr>
        <w:t>☑是</w:t>
      </w:r>
      <w:r>
        <w:rPr>
          <w:rFonts w:hint="eastAsia" w:ascii="宋体" w:hAnsi="宋体" w:eastAsia="宋体" w:cs="宋体"/>
          <w:color w:val="auto"/>
          <w:spacing w:val="-3"/>
          <w:sz w:val="21"/>
          <w:szCs w:val="21"/>
          <w:highlight w:val="none"/>
          <w:u w:val="single" w:color="auto"/>
        </w:rPr>
        <w:t xml:space="preserve">  □否</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允许调整合同价格的工程量偏差范围及其调整办法：</w:t>
      </w:r>
    </w:p>
    <w:p w14:paraId="16248FA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u w:val="single" w:color="auto"/>
        </w:rPr>
        <w:t>除严重不平衡报价外，无论分部分项工程量清单项目中的工程量变化多少均</w:t>
      </w:r>
      <w:r>
        <w:rPr>
          <w:rFonts w:hint="eastAsia" w:ascii="宋体" w:hAnsi="宋体" w:eastAsia="宋体" w:cs="宋体"/>
          <w:color w:val="auto"/>
          <w:spacing w:val="-4"/>
          <w:sz w:val="21"/>
          <w:szCs w:val="21"/>
          <w:highlight w:val="none"/>
          <w:u w:val="single" w:color="auto"/>
        </w:rPr>
        <w:t>不调整</w:t>
      </w:r>
      <w:r>
        <w:rPr>
          <w:rFonts w:hint="eastAsia" w:ascii="宋体" w:hAnsi="宋体" w:eastAsia="宋体" w:cs="宋体"/>
          <w:color w:val="auto"/>
          <w:spacing w:val="-4"/>
          <w:sz w:val="21"/>
          <w:szCs w:val="21"/>
          <w:highlight w:val="none"/>
        </w:rPr>
        <w:t>。</w:t>
      </w:r>
    </w:p>
    <w:p w14:paraId="0878E42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pacing w:val="-2"/>
          <w:sz w:val="21"/>
          <w:szCs w:val="21"/>
          <w:highlight w:val="none"/>
        </w:rPr>
        <w:t>☑</w:t>
      </w:r>
      <w:r>
        <w:rPr>
          <w:rFonts w:hint="eastAsia" w:ascii="宋体" w:hAnsi="宋体" w:eastAsia="宋体" w:cs="宋体"/>
          <w:b/>
          <w:bCs/>
          <w:color w:val="auto"/>
          <w:spacing w:val="-2"/>
          <w:sz w:val="21"/>
          <w:szCs w:val="21"/>
          <w:highlight w:val="none"/>
          <w:u w:val="single" w:color="auto"/>
        </w:rPr>
        <w:t>承包人实际完成的某单项清单项目工程量与招标</w:t>
      </w:r>
      <w:r>
        <w:rPr>
          <w:rFonts w:hint="eastAsia" w:ascii="宋体" w:hAnsi="宋体" w:eastAsia="宋体" w:cs="宋体"/>
          <w:b/>
          <w:bCs/>
          <w:color w:val="auto"/>
          <w:spacing w:val="-3"/>
          <w:sz w:val="21"/>
          <w:szCs w:val="21"/>
          <w:highlight w:val="none"/>
          <w:u w:val="single" w:color="auto"/>
        </w:rPr>
        <w:t>工程量清单工程量偏差超</w:t>
      </w:r>
      <w:r>
        <w:rPr>
          <w:rFonts w:hint="eastAsia" w:ascii="宋体" w:hAnsi="宋体" w:eastAsia="宋体" w:cs="宋体"/>
          <w:b/>
          <w:bCs/>
          <w:color w:val="auto"/>
          <w:spacing w:val="-2"/>
          <w:sz w:val="21"/>
          <w:szCs w:val="21"/>
          <w:highlight w:val="none"/>
          <w:u w:val="single" w:color="auto"/>
        </w:rPr>
        <w:t>过</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b/>
          <w:bCs/>
          <w:color w:val="auto"/>
          <w:spacing w:val="-2"/>
          <w:sz w:val="21"/>
          <w:szCs w:val="21"/>
          <w:highlight w:val="none"/>
          <w:u w:val="single" w:color="auto"/>
        </w:rPr>
        <w:t>15</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b/>
          <w:bCs/>
          <w:color w:val="auto"/>
          <w:spacing w:val="-2"/>
          <w:sz w:val="21"/>
          <w:szCs w:val="21"/>
          <w:highlight w:val="none"/>
          <w:u w:val="single" w:color="auto"/>
        </w:rPr>
        <w:t>%且该单项清单造价超过合同总价</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b/>
          <w:bCs/>
          <w:color w:val="auto"/>
          <w:spacing w:val="-2"/>
          <w:sz w:val="21"/>
          <w:szCs w:val="21"/>
          <w:highlight w:val="none"/>
          <w:u w:val="single" w:color="auto"/>
        </w:rPr>
        <w:t>1</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b/>
          <w:bCs/>
          <w:color w:val="auto"/>
          <w:spacing w:val="-2"/>
          <w:sz w:val="21"/>
          <w:szCs w:val="21"/>
          <w:highlight w:val="none"/>
          <w:u w:val="single" w:color="auto"/>
        </w:rPr>
        <w:t>%以上的，超过后增加部分工程量或减少后剩余部分工程量的综合单价按以下方法调整：有定额的套定额计算，执行本采</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b/>
          <w:bCs/>
          <w:color w:val="auto"/>
          <w:spacing w:val="-2"/>
          <w:sz w:val="21"/>
          <w:szCs w:val="21"/>
          <w:highlight w:val="none"/>
          <w:u w:val="single" w:color="auto"/>
        </w:rPr>
        <w:t>购文件工程计价参考依据，并乘以下浮系数（中标价/经审定的工程招标控制价）结算，其中材料价格有信息价的按施工期间信息价的</w:t>
      </w:r>
      <w:r>
        <w:rPr>
          <w:rFonts w:hint="eastAsia" w:ascii="宋体" w:hAnsi="宋体" w:cs="宋体"/>
          <w:b/>
          <w:bCs/>
          <w:color w:val="auto"/>
          <w:spacing w:val="-2"/>
          <w:sz w:val="21"/>
          <w:szCs w:val="21"/>
          <w:highlight w:val="none"/>
          <w:u w:val="single" w:color="auto"/>
          <w:lang w:eastAsia="zh-CN"/>
        </w:rPr>
        <w:t>算术平均</w:t>
      </w:r>
      <w:r>
        <w:rPr>
          <w:rFonts w:hint="eastAsia" w:ascii="宋体" w:hAnsi="宋体" w:eastAsia="宋体" w:cs="宋体"/>
          <w:b/>
          <w:bCs/>
          <w:color w:val="auto"/>
          <w:spacing w:val="-2"/>
          <w:sz w:val="21"/>
          <w:szCs w:val="21"/>
          <w:highlight w:val="none"/>
          <w:u w:val="single" w:color="auto"/>
        </w:rPr>
        <w:t>价计取，无信息价的</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b/>
          <w:bCs/>
          <w:color w:val="auto"/>
          <w:spacing w:val="-2"/>
          <w:sz w:val="21"/>
          <w:szCs w:val="21"/>
          <w:highlight w:val="none"/>
          <w:u w:val="single" w:color="auto"/>
        </w:rPr>
        <w:t>由发包人、监理单位及承包人根据市场价格协商议</w:t>
      </w:r>
      <w:r>
        <w:rPr>
          <w:rFonts w:hint="eastAsia" w:ascii="宋体" w:hAnsi="宋体" w:eastAsia="宋体" w:cs="宋体"/>
          <w:b/>
          <w:bCs/>
          <w:color w:val="auto"/>
          <w:spacing w:val="-3"/>
          <w:sz w:val="21"/>
          <w:szCs w:val="21"/>
          <w:highlight w:val="none"/>
          <w:u w:val="single" w:color="auto"/>
        </w:rPr>
        <w:t>定</w:t>
      </w:r>
      <w:r>
        <w:rPr>
          <w:rFonts w:hint="eastAsia" w:ascii="宋体" w:hAnsi="宋体" w:eastAsia="宋体" w:cs="宋体"/>
          <w:color w:val="auto"/>
          <w:sz w:val="21"/>
          <w:szCs w:val="21"/>
          <w:highlight w:val="none"/>
          <w:u w:val="single" w:color="auto"/>
        </w:rPr>
        <w:t>。</w:t>
      </w:r>
    </w:p>
    <w:p w14:paraId="1626D2D3">
      <w:pPr>
        <w:pStyle w:val="3"/>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252" w:name="_Toc12609359"/>
      <w:bookmarkStart w:id="253" w:name="_Toc5597"/>
      <w:bookmarkStart w:id="254" w:name="_Toc351203634"/>
      <w:bookmarkStart w:id="255" w:name="_Toc389065268"/>
      <w:bookmarkStart w:id="256" w:name="_Toc23674"/>
      <w:bookmarkStart w:id="257" w:name="_Toc407135204"/>
      <w:bookmarkStart w:id="258" w:name="_Toc373478349"/>
      <w:bookmarkStart w:id="259" w:name="_Toc373227702"/>
      <w:r>
        <w:rPr>
          <w:rFonts w:hint="eastAsia" w:ascii="宋体" w:hAnsi="宋体" w:eastAsia="宋体" w:cs="宋体"/>
          <w:color w:val="auto"/>
          <w:sz w:val="21"/>
          <w:szCs w:val="21"/>
          <w:highlight w:val="none"/>
        </w:rPr>
        <w:t>2</w:t>
      </w:r>
      <w:bookmarkStart w:id="260" w:name="_Toc296347156"/>
      <w:bookmarkStart w:id="261" w:name="_Toc296890985"/>
      <w:bookmarkStart w:id="262" w:name="_Toc296891197"/>
      <w:bookmarkStart w:id="263" w:name="_Toc292559362"/>
      <w:bookmarkStart w:id="264" w:name="_Toc296503157"/>
      <w:bookmarkStart w:id="265" w:name="_Toc296944496"/>
      <w:bookmarkStart w:id="266" w:name="_Toc297120457"/>
      <w:bookmarkStart w:id="267" w:name="_Toc296346658"/>
      <w:bookmarkStart w:id="268" w:name="_Toc297048343"/>
      <w:bookmarkStart w:id="269" w:name="_Toc292559867"/>
      <w:r>
        <w:rPr>
          <w:rFonts w:hint="eastAsia" w:ascii="宋体" w:hAnsi="宋体" w:eastAsia="宋体" w:cs="宋体"/>
          <w:color w:val="auto"/>
          <w:sz w:val="21"/>
          <w:szCs w:val="21"/>
          <w:highlight w:val="none"/>
        </w:rPr>
        <w:t>. 发包人</w:t>
      </w:r>
      <w:bookmarkEnd w:id="252"/>
      <w:bookmarkEnd w:id="253"/>
      <w:bookmarkEnd w:id="254"/>
      <w:bookmarkEnd w:id="255"/>
      <w:bookmarkEnd w:id="256"/>
      <w:bookmarkEnd w:id="257"/>
      <w:bookmarkEnd w:id="258"/>
      <w:bookmarkEnd w:id="259"/>
    </w:p>
    <w:bookmarkEnd w:id="260"/>
    <w:bookmarkEnd w:id="261"/>
    <w:bookmarkEnd w:id="262"/>
    <w:bookmarkEnd w:id="263"/>
    <w:bookmarkEnd w:id="264"/>
    <w:bookmarkEnd w:id="265"/>
    <w:bookmarkEnd w:id="266"/>
    <w:bookmarkEnd w:id="267"/>
    <w:bookmarkEnd w:id="268"/>
    <w:bookmarkEnd w:id="269"/>
    <w:p w14:paraId="50F89857">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270" w:name="_Toc407135205"/>
      <w:bookmarkStart w:id="271" w:name="_Toc12609360"/>
      <w:bookmarkStart w:id="272" w:name="_Toc10236"/>
      <w:bookmarkStart w:id="273" w:name="_Toc373478350"/>
      <w:bookmarkStart w:id="274" w:name="_Toc389065269"/>
      <w:bookmarkStart w:id="275" w:name="_Toc1593"/>
      <w:bookmarkStart w:id="276" w:name="_Toc373227703"/>
      <w:r>
        <w:rPr>
          <w:rFonts w:hint="eastAsia" w:ascii="宋体" w:hAnsi="宋体" w:eastAsia="宋体" w:cs="宋体"/>
          <w:color w:val="auto"/>
          <w:sz w:val="21"/>
          <w:szCs w:val="21"/>
          <w:highlight w:val="none"/>
        </w:rPr>
        <w:t>2.2 发包人代表</w:t>
      </w:r>
      <w:bookmarkEnd w:id="270"/>
      <w:bookmarkEnd w:id="271"/>
      <w:bookmarkEnd w:id="272"/>
      <w:bookmarkEnd w:id="273"/>
      <w:bookmarkEnd w:id="274"/>
      <w:bookmarkEnd w:id="275"/>
      <w:bookmarkEnd w:id="276"/>
    </w:p>
    <w:p w14:paraId="70F4C55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p>
    <w:p w14:paraId="20CF8A8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4EE1894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6BFFA9B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1ADDF32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5177FE9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FDA697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0494FA7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发包人对发包人代表的授权范围如下：</w:t>
      </w:r>
      <w:r>
        <w:rPr>
          <w:rFonts w:hint="eastAsia" w:ascii="宋体" w:hAnsi="宋体" w:eastAsia="宋体" w:cs="宋体"/>
          <w:color w:val="auto"/>
          <w:sz w:val="21"/>
          <w:szCs w:val="21"/>
          <w:highlight w:val="none"/>
          <w:u w:val="single"/>
        </w:rPr>
        <w:t xml:space="preserve"> 代表发包人与监理工程师协调与本工程有关的事宜，并行使合同约定的发包人权利，履行合同约定发包人的职责。督促指导监理工程师行使职权，协调施工现场各方面的关系，协调工程质量，进度和安全文明施工中存在的问题，解决有关设计和技术签证，办理、签认现场经济技术签证，审核工程进度报表  </w:t>
      </w:r>
      <w:r>
        <w:rPr>
          <w:rFonts w:hint="eastAsia" w:ascii="宋体" w:hAnsi="宋体" w:eastAsia="宋体" w:cs="宋体"/>
          <w:color w:val="auto"/>
          <w:sz w:val="21"/>
          <w:szCs w:val="21"/>
          <w:highlight w:val="none"/>
        </w:rPr>
        <w:t>。</w:t>
      </w:r>
    </w:p>
    <w:p w14:paraId="3B314413">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277" w:name="_Toc389065270"/>
      <w:bookmarkStart w:id="278" w:name="_Toc16467"/>
      <w:bookmarkStart w:id="279" w:name="_Toc407135206"/>
      <w:bookmarkStart w:id="280" w:name="_Toc12609361"/>
      <w:bookmarkStart w:id="281" w:name="_Toc373478351"/>
      <w:bookmarkStart w:id="282" w:name="_Toc373227704"/>
      <w:bookmarkStart w:id="283" w:name="_Toc14444"/>
      <w:r>
        <w:rPr>
          <w:rFonts w:hint="eastAsia" w:ascii="宋体" w:hAnsi="宋体" w:eastAsia="宋体" w:cs="宋体"/>
          <w:color w:val="auto"/>
          <w:sz w:val="21"/>
          <w:szCs w:val="21"/>
          <w:highlight w:val="none"/>
        </w:rPr>
        <w:t>2.4 施工现场、施工条件和基础资料的提供</w:t>
      </w:r>
      <w:bookmarkEnd w:id="277"/>
      <w:bookmarkEnd w:id="278"/>
      <w:bookmarkEnd w:id="279"/>
      <w:bookmarkEnd w:id="280"/>
      <w:bookmarkEnd w:id="281"/>
      <w:bookmarkEnd w:id="282"/>
      <w:bookmarkEnd w:id="283"/>
    </w:p>
    <w:p w14:paraId="4CA8DD4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提供施工现场</w:t>
      </w:r>
    </w:p>
    <w:p w14:paraId="753378B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关于发包人移交施工现场的期限要求：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3"/>
          <w:sz w:val="21"/>
          <w:szCs w:val="21"/>
          <w:highlight w:val="none"/>
          <w:u w:val="single" w:color="auto"/>
        </w:rPr>
        <w:t>开工前7天，满足工程进展要求。</w:t>
      </w:r>
      <w:r>
        <w:rPr>
          <w:rFonts w:hint="eastAsia" w:ascii="宋体" w:hAnsi="宋体" w:eastAsia="宋体" w:cs="宋体"/>
          <w:color w:val="auto"/>
          <w:spacing w:val="-4"/>
          <w:sz w:val="21"/>
          <w:szCs w:val="21"/>
          <w:highlight w:val="none"/>
          <w:u w:val="single" w:color="auto"/>
        </w:rPr>
        <w:t>施工场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地内的道路由承包人自行完成，施工场地内的道路及与市</w:t>
      </w:r>
      <w:r>
        <w:rPr>
          <w:rFonts w:hint="eastAsia" w:ascii="宋体" w:hAnsi="宋体" w:eastAsia="宋体" w:cs="宋体"/>
          <w:color w:val="auto"/>
          <w:spacing w:val="-1"/>
          <w:sz w:val="21"/>
          <w:szCs w:val="21"/>
          <w:highlight w:val="none"/>
          <w:u w:val="single" w:color="auto"/>
        </w:rPr>
        <w:t>政道路接口路段的日常清</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u w:val="single" w:color="auto"/>
        </w:rPr>
        <w:t>洁与维护由承包人承担，费用由承包人承担</w:t>
      </w:r>
      <w:r>
        <w:rPr>
          <w:rFonts w:hint="eastAsia" w:ascii="宋体" w:hAnsi="宋体" w:eastAsia="宋体" w:cs="宋体"/>
          <w:color w:val="auto"/>
          <w:sz w:val="21"/>
          <w:szCs w:val="21"/>
          <w:highlight w:val="none"/>
        </w:rPr>
        <w:t>。</w:t>
      </w:r>
    </w:p>
    <w:p w14:paraId="763DE35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提供施工条件</w:t>
      </w:r>
    </w:p>
    <w:p w14:paraId="496E6B4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关于发包人应负责提供施工所需要的条件，</w:t>
      </w:r>
      <w:r>
        <w:rPr>
          <w:rFonts w:hint="eastAsia" w:ascii="宋体" w:hAnsi="宋体" w:eastAsia="宋体" w:cs="宋体"/>
          <w:color w:val="auto"/>
          <w:spacing w:val="-1"/>
          <w:sz w:val="21"/>
          <w:szCs w:val="21"/>
          <w:highlight w:val="none"/>
        </w:rPr>
        <w:t>包括：</w:t>
      </w:r>
      <w:r>
        <w:rPr>
          <w:rFonts w:hint="eastAsia" w:ascii="宋体" w:hAnsi="宋体" w:eastAsia="宋体" w:cs="宋体"/>
          <w:color w:val="auto"/>
          <w:spacing w:val="-1"/>
          <w:sz w:val="21"/>
          <w:szCs w:val="21"/>
          <w:highlight w:val="none"/>
          <w:u w:val="single" w:color="auto"/>
        </w:rPr>
        <w:t>施工所需电接入点和水接入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点由发包人确定，由承包人负责接至施工现场并安装计量表</w:t>
      </w:r>
      <w:r>
        <w:rPr>
          <w:rFonts w:hint="eastAsia" w:ascii="宋体" w:hAnsi="宋体" w:eastAsia="宋体" w:cs="宋体"/>
          <w:color w:val="auto"/>
          <w:spacing w:val="-1"/>
          <w:sz w:val="21"/>
          <w:szCs w:val="21"/>
          <w:highlight w:val="none"/>
          <w:u w:val="single" w:color="auto"/>
        </w:rPr>
        <w:t>，根据水电收费部门核</w:t>
      </w:r>
      <w:r>
        <w:rPr>
          <w:rFonts w:hint="eastAsia" w:ascii="宋体" w:hAnsi="宋体" w:eastAsia="宋体" w:cs="宋体"/>
          <w:color w:val="auto"/>
          <w:spacing w:val="-3"/>
          <w:sz w:val="21"/>
          <w:szCs w:val="21"/>
          <w:highlight w:val="none"/>
          <w:u w:val="single" w:color="auto"/>
        </w:rPr>
        <w:t>定的费用、支付时间向发包人支付。红线范围内的管道/管线、计量设备由承包人自</w:t>
      </w:r>
      <w:r>
        <w:rPr>
          <w:rFonts w:hint="eastAsia" w:ascii="宋体" w:hAnsi="宋体" w:eastAsia="宋体" w:cs="宋体"/>
          <w:color w:val="auto"/>
          <w:sz w:val="21"/>
          <w:szCs w:val="21"/>
          <w:highlight w:val="none"/>
          <w:u w:val="single" w:color="auto"/>
        </w:rPr>
        <w:t>行解决，电讯线路的开通由承包人自行解决并承担费用；承</w:t>
      </w:r>
      <w:r>
        <w:rPr>
          <w:rFonts w:hint="eastAsia" w:ascii="宋体" w:hAnsi="宋体" w:eastAsia="宋体" w:cs="宋体"/>
          <w:color w:val="auto"/>
          <w:spacing w:val="-1"/>
          <w:sz w:val="21"/>
          <w:szCs w:val="21"/>
          <w:highlight w:val="none"/>
          <w:u w:val="single" w:color="auto"/>
        </w:rPr>
        <w:t>包人使用的水、电、通</w:t>
      </w:r>
      <w:r>
        <w:rPr>
          <w:rFonts w:hint="eastAsia" w:ascii="宋体" w:hAnsi="宋体" w:eastAsia="宋体" w:cs="宋体"/>
          <w:color w:val="auto"/>
          <w:sz w:val="21"/>
          <w:szCs w:val="21"/>
          <w:highlight w:val="none"/>
          <w:u w:val="single" w:color="auto"/>
        </w:rPr>
        <w:t>讯费用由承包人负责。若供电部门的原因造成停电，承包人</w:t>
      </w:r>
      <w:r>
        <w:rPr>
          <w:rFonts w:hint="eastAsia" w:ascii="宋体" w:hAnsi="宋体" w:eastAsia="宋体" w:cs="宋体"/>
          <w:color w:val="auto"/>
          <w:spacing w:val="-1"/>
          <w:sz w:val="21"/>
          <w:szCs w:val="21"/>
          <w:highlight w:val="none"/>
          <w:u w:val="single" w:color="auto"/>
        </w:rPr>
        <w:t>必须自行解决施工用电</w:t>
      </w:r>
      <w:r>
        <w:rPr>
          <w:rFonts w:hint="eastAsia" w:ascii="宋体" w:hAnsi="宋体" w:cs="宋体"/>
          <w:color w:val="auto"/>
          <w:spacing w:val="-1"/>
          <w:sz w:val="21"/>
          <w:szCs w:val="21"/>
          <w:highlight w:val="none"/>
          <w:u w:val="single" w:color="auto"/>
          <w:lang w:eastAsia="zh-CN"/>
        </w:rPr>
        <w:t>，</w:t>
      </w:r>
      <w:r>
        <w:rPr>
          <w:rFonts w:hint="eastAsia" w:ascii="宋体" w:hAnsi="宋体" w:eastAsia="宋体" w:cs="宋体"/>
          <w:color w:val="auto"/>
          <w:spacing w:val="-2"/>
          <w:sz w:val="21"/>
          <w:szCs w:val="21"/>
          <w:highlight w:val="none"/>
          <w:u w:val="single" w:color="auto"/>
        </w:rPr>
        <w:t>费用由承包人负责。发包人在开工前负责办理好法律</w:t>
      </w:r>
      <w:r>
        <w:rPr>
          <w:rFonts w:hint="eastAsia" w:ascii="宋体" w:hAnsi="宋体" w:eastAsia="宋体" w:cs="宋体"/>
          <w:color w:val="auto"/>
          <w:spacing w:val="-3"/>
          <w:sz w:val="21"/>
          <w:szCs w:val="21"/>
          <w:highlight w:val="none"/>
          <w:u w:val="single" w:color="auto"/>
        </w:rPr>
        <w:t>规定由其办理的许可、批准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或备案，包括但不限于建设用地规划许可证、建设工程规划</w:t>
      </w:r>
      <w:r>
        <w:rPr>
          <w:rFonts w:hint="eastAsia" w:ascii="宋体" w:hAnsi="宋体" w:eastAsia="宋体" w:cs="宋体"/>
          <w:color w:val="auto"/>
          <w:spacing w:val="-1"/>
          <w:sz w:val="21"/>
          <w:szCs w:val="21"/>
          <w:highlight w:val="none"/>
          <w:u w:val="single" w:color="auto"/>
        </w:rPr>
        <w:t>许可证、建设工程施工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许可证、施工所需临时用水、临时用电、中断道路交通、临</w:t>
      </w:r>
      <w:r>
        <w:rPr>
          <w:rFonts w:hint="eastAsia" w:ascii="宋体" w:hAnsi="宋体" w:eastAsia="宋体" w:cs="宋体"/>
          <w:color w:val="auto"/>
          <w:spacing w:val="-1"/>
          <w:sz w:val="21"/>
          <w:szCs w:val="21"/>
          <w:highlight w:val="none"/>
          <w:u w:val="single" w:color="auto"/>
        </w:rPr>
        <w:t>时占用土地等许可和批</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准。发包人应协助承包人办理法律规定的有关施工证件和批</w:t>
      </w:r>
      <w:r>
        <w:rPr>
          <w:rFonts w:hint="eastAsia" w:ascii="宋体" w:hAnsi="宋体" w:eastAsia="宋体" w:cs="宋体"/>
          <w:color w:val="auto"/>
          <w:spacing w:val="-1"/>
          <w:sz w:val="21"/>
          <w:szCs w:val="21"/>
          <w:highlight w:val="none"/>
          <w:u w:val="single" w:color="auto"/>
        </w:rPr>
        <w:t>件。发包人未能在约定</w:t>
      </w:r>
      <w:r>
        <w:rPr>
          <w:rFonts w:hint="eastAsia" w:ascii="宋体" w:hAnsi="宋体" w:eastAsia="宋体" w:cs="宋体"/>
          <w:color w:val="auto"/>
          <w:sz w:val="21"/>
          <w:szCs w:val="21"/>
          <w:highlight w:val="none"/>
          <w:u w:val="single" w:color="auto"/>
        </w:rPr>
        <w:t>期</w:t>
      </w:r>
      <w:r>
        <w:rPr>
          <w:rFonts w:hint="eastAsia" w:ascii="宋体" w:hAnsi="宋体" w:cs="宋体"/>
          <w:color w:val="auto"/>
          <w:sz w:val="21"/>
          <w:szCs w:val="21"/>
          <w:highlight w:val="none"/>
          <w:u w:val="single" w:color="auto"/>
          <w:lang w:eastAsia="zh-CN"/>
        </w:rPr>
        <w:t>限内</w:t>
      </w:r>
      <w:r>
        <w:rPr>
          <w:rFonts w:hint="eastAsia" w:ascii="宋体" w:hAnsi="宋体" w:eastAsia="宋体" w:cs="宋体"/>
          <w:color w:val="auto"/>
          <w:sz w:val="21"/>
          <w:szCs w:val="21"/>
          <w:highlight w:val="none"/>
          <w:u w:val="single" w:color="auto"/>
        </w:rPr>
        <w:t>办理施工所需证件要求承包人先行进场施工的，由此导</w:t>
      </w:r>
      <w:r>
        <w:rPr>
          <w:rFonts w:hint="eastAsia" w:ascii="宋体" w:hAnsi="宋体" w:eastAsia="宋体" w:cs="宋体"/>
          <w:color w:val="auto"/>
          <w:spacing w:val="-1"/>
          <w:sz w:val="21"/>
          <w:szCs w:val="21"/>
          <w:highlight w:val="none"/>
          <w:u w:val="single" w:color="auto"/>
        </w:rPr>
        <w:t>致承包人遭受行政处罚</w:t>
      </w:r>
      <w:r>
        <w:rPr>
          <w:rFonts w:hint="eastAsia" w:ascii="宋体" w:hAnsi="宋体" w:eastAsia="宋体" w:cs="宋体"/>
          <w:color w:val="auto"/>
          <w:spacing w:val="-3"/>
          <w:sz w:val="21"/>
          <w:szCs w:val="21"/>
          <w:highlight w:val="none"/>
          <w:u w:val="single" w:color="auto"/>
        </w:rPr>
        <w:t>及其他经济损失等不良后果，由发包人承担。开工前7天内由发包人组织承包人、设</w:t>
      </w:r>
      <w:r>
        <w:rPr>
          <w:rFonts w:hint="eastAsia" w:ascii="宋体" w:hAnsi="宋体" w:eastAsia="宋体" w:cs="宋体"/>
          <w:color w:val="auto"/>
          <w:spacing w:val="-1"/>
          <w:sz w:val="21"/>
          <w:szCs w:val="21"/>
          <w:highlight w:val="none"/>
          <w:u w:val="single" w:color="auto"/>
        </w:rPr>
        <w:t>计、勘察和监理单位进行图纸会审和设计交底</w:t>
      </w:r>
      <w:r>
        <w:rPr>
          <w:rFonts w:hint="eastAsia" w:ascii="宋体" w:hAnsi="宋体" w:eastAsia="宋体" w:cs="宋体"/>
          <w:color w:val="auto"/>
          <w:spacing w:val="-1"/>
          <w:sz w:val="21"/>
          <w:szCs w:val="21"/>
          <w:highlight w:val="none"/>
        </w:rPr>
        <w:t>。</w:t>
      </w:r>
    </w:p>
    <w:p w14:paraId="528D9FD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工程地质和地下管线资料的提供时间：</w:t>
      </w:r>
      <w:r>
        <w:rPr>
          <w:rFonts w:hint="eastAsia" w:ascii="宋体" w:hAnsi="宋体" w:eastAsia="宋体" w:cs="宋体"/>
          <w:color w:val="auto"/>
          <w:spacing w:val="1"/>
          <w:sz w:val="21"/>
          <w:szCs w:val="21"/>
          <w:highlight w:val="none"/>
          <w:u w:val="single" w:color="auto"/>
        </w:rPr>
        <w:t>由发</w:t>
      </w:r>
      <w:r>
        <w:rPr>
          <w:rFonts w:hint="eastAsia" w:ascii="宋体" w:hAnsi="宋体" w:eastAsia="宋体" w:cs="宋体"/>
          <w:color w:val="auto"/>
          <w:sz w:val="21"/>
          <w:szCs w:val="21"/>
          <w:highlight w:val="none"/>
          <w:u w:val="single" w:color="auto"/>
        </w:rPr>
        <w:t>包人在开工前7天提供。</w:t>
      </w:r>
    </w:p>
    <w:p w14:paraId="43DB2EBF">
      <w:pPr>
        <w:pStyle w:val="27"/>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水准点与</w:t>
      </w:r>
      <w:r>
        <w:rPr>
          <w:rFonts w:hint="eastAsia" w:hAnsi="宋体" w:cs="宋体"/>
          <w:color w:val="auto"/>
          <w:sz w:val="21"/>
          <w:szCs w:val="21"/>
          <w:highlight w:val="none"/>
          <w:lang w:eastAsia="zh-CN"/>
        </w:rPr>
        <w:t>坐标</w:t>
      </w:r>
      <w:r>
        <w:rPr>
          <w:rFonts w:hint="eastAsia" w:ascii="宋体" w:hAnsi="宋体" w:eastAsia="宋体" w:cs="宋体"/>
          <w:color w:val="auto"/>
          <w:sz w:val="21"/>
          <w:szCs w:val="21"/>
          <w:highlight w:val="none"/>
        </w:rPr>
        <w:t>控制点交验要求：</w:t>
      </w:r>
      <w:r>
        <w:rPr>
          <w:rFonts w:hint="eastAsia" w:ascii="宋体" w:hAnsi="宋体" w:eastAsia="宋体" w:cs="宋体"/>
          <w:color w:val="auto"/>
          <w:sz w:val="21"/>
          <w:szCs w:val="21"/>
          <w:highlight w:val="none"/>
          <w:u w:val="single" w:color="auto"/>
        </w:rPr>
        <w:t>于开工前3日内</w:t>
      </w:r>
      <w:r>
        <w:rPr>
          <w:rFonts w:hint="eastAsia" w:ascii="宋体" w:hAnsi="宋体" w:eastAsia="宋体" w:cs="宋体"/>
          <w:color w:val="auto"/>
          <w:spacing w:val="-1"/>
          <w:sz w:val="21"/>
          <w:szCs w:val="21"/>
          <w:highlight w:val="none"/>
          <w:u w:val="single" w:color="auto"/>
        </w:rPr>
        <w:t>现场交验，双方做好签认工作</w:t>
      </w:r>
      <w:r>
        <w:rPr>
          <w:rFonts w:hint="eastAsia" w:ascii="宋体" w:hAnsi="宋体" w:eastAsia="宋体" w:cs="宋体"/>
          <w:color w:val="auto"/>
          <w:spacing w:val="-1"/>
          <w:sz w:val="21"/>
          <w:szCs w:val="21"/>
          <w:highlight w:val="none"/>
          <w:u w:val="single" w:color="auto"/>
          <w:lang w:eastAsia="zh-CN"/>
        </w:rPr>
        <w:t>。</w:t>
      </w:r>
    </w:p>
    <w:p w14:paraId="1036965C">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284" w:name="_Toc10989"/>
      <w:bookmarkStart w:id="285" w:name="_Toc29736"/>
      <w:bookmarkStart w:id="286" w:name="_Toc373227705"/>
      <w:bookmarkStart w:id="287" w:name="_Toc12609362"/>
      <w:bookmarkStart w:id="288" w:name="_Toc389065271"/>
      <w:bookmarkStart w:id="289" w:name="_Toc373478352"/>
      <w:bookmarkStart w:id="290" w:name="_Toc407135207"/>
      <w:r>
        <w:rPr>
          <w:rFonts w:hint="eastAsia" w:ascii="宋体" w:hAnsi="宋体" w:eastAsia="宋体" w:cs="宋体"/>
          <w:color w:val="auto"/>
          <w:sz w:val="21"/>
          <w:szCs w:val="21"/>
          <w:highlight w:val="none"/>
        </w:rPr>
        <w:t>2.5 资金来源证明及支付担保</w:t>
      </w:r>
      <w:bookmarkEnd w:id="284"/>
      <w:bookmarkEnd w:id="285"/>
      <w:bookmarkEnd w:id="286"/>
      <w:bookmarkEnd w:id="287"/>
      <w:bookmarkEnd w:id="288"/>
      <w:bookmarkEnd w:id="289"/>
      <w:bookmarkEnd w:id="290"/>
    </w:p>
    <w:p w14:paraId="022F3CC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发包人提供资金来源证明的期限要求</w:t>
      </w:r>
      <w:r>
        <w:rPr>
          <w:rFonts w:hint="eastAsia" w:ascii="宋体" w:hAnsi="宋体" w:cs="宋体"/>
          <w:color w:val="auto"/>
          <w:sz w:val="21"/>
          <w:szCs w:val="21"/>
          <w:highlight w:val="none"/>
          <w:lang w:eastAsia="zh-CN"/>
        </w:rPr>
        <w:t>：</w:t>
      </w:r>
    </w:p>
    <w:p w14:paraId="56D8B31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是否提供支付担保：无。【发包人要求承包人提供履约担保的，应当同时向承包人提供工程款支付担保。工程款支付担保可以全额担保，也可以分阶段担保。分阶段担保的，除保修金以外的全部款项，完成一个阶段清算后再进入下一阶段，有效期截至工程竣工结算款支付完毕。发包人未按合同约定及时支付工程款的，工程担保保证人需承担担保责任。对政府投资项目，由建设单位提供落实财政资金来源的证明文件</w:t>
      </w:r>
      <w:r>
        <w:rPr>
          <w:rFonts w:hint="eastAsia" w:ascii="宋体" w:hAnsi="宋体" w:cs="宋体"/>
          <w:color w:val="auto"/>
          <w:sz w:val="21"/>
          <w:szCs w:val="21"/>
          <w:highlight w:val="none"/>
          <w:lang w:eastAsia="zh-CN"/>
        </w:rPr>
        <w:t>】</w:t>
      </w:r>
    </w:p>
    <w:p w14:paraId="48E8081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支付担保的形式：可以是银行转账、电汇或网上支付、保函（银行保函、电子保函、保证保险保函、工程担保保函）等形式。工程担保保证人应将出具的保函相关信息录入“广西建筑市场监管云”平台（http://gxjzsc.caihcloud.com），以实现保函查询及验真功能。</w:t>
      </w:r>
    </w:p>
    <w:p w14:paraId="5F9278A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发包人提供的支付担保格式见合同附件9。</w:t>
      </w:r>
    </w:p>
    <w:p w14:paraId="5D696BED">
      <w:pPr>
        <w:pStyle w:val="3"/>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291" w:name="_Toc30057"/>
      <w:bookmarkStart w:id="292" w:name="_Toc373227706"/>
      <w:bookmarkStart w:id="293" w:name="_Toc389065272"/>
      <w:bookmarkStart w:id="294" w:name="_Toc373478353"/>
      <w:bookmarkStart w:id="295" w:name="_Toc407135208"/>
      <w:bookmarkStart w:id="296" w:name="_Toc12609363"/>
      <w:bookmarkStart w:id="297" w:name="_Toc351203635"/>
      <w:bookmarkStart w:id="298" w:name="_Toc9140"/>
      <w:r>
        <w:rPr>
          <w:rFonts w:hint="eastAsia" w:ascii="宋体" w:hAnsi="宋体" w:eastAsia="宋体" w:cs="宋体"/>
          <w:color w:val="auto"/>
          <w:sz w:val="21"/>
          <w:szCs w:val="21"/>
          <w:highlight w:val="none"/>
        </w:rPr>
        <w:t>3</w:t>
      </w:r>
      <w:bookmarkStart w:id="299" w:name="_Toc296890986"/>
      <w:bookmarkStart w:id="300" w:name="_Toc297048344"/>
      <w:bookmarkStart w:id="301" w:name="_Toc297120458"/>
      <w:bookmarkStart w:id="302" w:name="_Toc292559868"/>
      <w:bookmarkStart w:id="303" w:name="_Toc296891198"/>
      <w:bookmarkStart w:id="304" w:name="_Toc296347157"/>
      <w:bookmarkStart w:id="305" w:name="_Toc296503158"/>
      <w:bookmarkStart w:id="306" w:name="_Toc296944497"/>
      <w:bookmarkStart w:id="307" w:name="_Toc292559363"/>
      <w:bookmarkStart w:id="308" w:name="_Toc296346659"/>
      <w:r>
        <w:rPr>
          <w:rFonts w:hint="eastAsia" w:ascii="宋体" w:hAnsi="宋体" w:eastAsia="宋体" w:cs="宋体"/>
          <w:color w:val="auto"/>
          <w:sz w:val="21"/>
          <w:szCs w:val="21"/>
          <w:highlight w:val="none"/>
        </w:rPr>
        <w:t>. 承包人</w:t>
      </w:r>
      <w:bookmarkEnd w:id="291"/>
      <w:bookmarkEnd w:id="292"/>
      <w:bookmarkEnd w:id="293"/>
      <w:bookmarkEnd w:id="294"/>
      <w:bookmarkEnd w:id="295"/>
      <w:bookmarkEnd w:id="296"/>
      <w:bookmarkEnd w:id="297"/>
      <w:bookmarkEnd w:id="298"/>
    </w:p>
    <w:bookmarkEnd w:id="299"/>
    <w:bookmarkEnd w:id="300"/>
    <w:bookmarkEnd w:id="301"/>
    <w:bookmarkEnd w:id="302"/>
    <w:bookmarkEnd w:id="303"/>
    <w:bookmarkEnd w:id="304"/>
    <w:bookmarkEnd w:id="305"/>
    <w:bookmarkEnd w:id="306"/>
    <w:bookmarkEnd w:id="307"/>
    <w:bookmarkEnd w:id="308"/>
    <w:p w14:paraId="6049FB74">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309" w:name="_Toc373227707"/>
      <w:bookmarkStart w:id="310" w:name="_Toc373478354"/>
      <w:bookmarkStart w:id="311" w:name="_Toc407135209"/>
      <w:bookmarkStart w:id="312" w:name="_Toc21836"/>
      <w:bookmarkStart w:id="313" w:name="_Toc4601"/>
      <w:bookmarkStart w:id="314" w:name="_Toc12609364"/>
      <w:bookmarkStart w:id="315" w:name="_Toc389065273"/>
      <w:r>
        <w:rPr>
          <w:rFonts w:hint="eastAsia" w:ascii="宋体" w:hAnsi="宋体" w:eastAsia="宋体" w:cs="宋体"/>
          <w:color w:val="auto"/>
          <w:sz w:val="21"/>
          <w:szCs w:val="21"/>
          <w:highlight w:val="none"/>
        </w:rPr>
        <w:t>3.1 承包人的一般义务</w:t>
      </w:r>
      <w:bookmarkEnd w:id="309"/>
      <w:bookmarkEnd w:id="310"/>
      <w:bookmarkEnd w:id="311"/>
      <w:bookmarkEnd w:id="312"/>
      <w:bookmarkEnd w:id="313"/>
      <w:bookmarkEnd w:id="314"/>
      <w:bookmarkEnd w:id="315"/>
    </w:p>
    <w:p w14:paraId="56C5B62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1）落实国家以工代赈政策</w:t>
      </w:r>
    </w:p>
    <w:p w14:paraId="137DB7B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w:t>
      </w:r>
      <w:r>
        <w:rPr>
          <w:rFonts w:hint="default" w:ascii="宋体" w:hAnsi="宋体" w:cs="宋体"/>
          <w:color w:val="auto"/>
          <w:kern w:val="0"/>
          <w:sz w:val="21"/>
          <w:szCs w:val="21"/>
          <w:highlight w:val="none"/>
          <w:lang w:val="en-US" w:eastAsia="zh-CN"/>
        </w:rPr>
        <w:t>）承包人应按照</w:t>
      </w:r>
      <w:r>
        <w:rPr>
          <w:rFonts w:hint="eastAsia" w:ascii="宋体" w:hAnsi="宋体" w:cs="宋体"/>
          <w:color w:val="auto"/>
          <w:kern w:val="0"/>
          <w:sz w:val="21"/>
          <w:szCs w:val="21"/>
          <w:highlight w:val="none"/>
          <w:lang w:val="en-US" w:eastAsia="zh-CN"/>
        </w:rPr>
        <w:t>国家</w:t>
      </w:r>
      <w:r>
        <w:rPr>
          <w:rFonts w:hint="default" w:ascii="宋体" w:hAnsi="宋体" w:cs="宋体"/>
          <w:color w:val="auto"/>
          <w:kern w:val="0"/>
          <w:sz w:val="21"/>
          <w:szCs w:val="21"/>
          <w:highlight w:val="none"/>
          <w:lang w:val="en-US" w:eastAsia="zh-CN"/>
        </w:rPr>
        <w:t>以工代赈项目管理规定，项目建设以人力施工方式为主，最大限度减少机械设备施工，吸纳当地有劳动能力的农民以及低收入、易地搬迁、脱贫等群众参加以工代赈工程建设。</w:t>
      </w:r>
    </w:p>
    <w:p w14:paraId="02E1A6C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w:t>
      </w:r>
      <w:r>
        <w:rPr>
          <w:rFonts w:hint="default" w:ascii="宋体" w:hAnsi="宋体" w:cs="宋体"/>
          <w:color w:val="auto"/>
          <w:kern w:val="0"/>
          <w:sz w:val="21"/>
          <w:szCs w:val="21"/>
          <w:highlight w:val="none"/>
          <w:lang w:val="en-US" w:eastAsia="zh-CN"/>
        </w:rPr>
        <w:t>)承包人应建立群众务工台账，做好群众务工考勤登记，做为竣工验收材料提交发包人，并作为项目验收的核查重点，并及时群众务工信息提交给监理单位，以便监理单位及时做好监理记录。</w:t>
      </w:r>
    </w:p>
    <w:p w14:paraId="348A4CE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r>
        <w:rPr>
          <w:rFonts w:hint="default" w:ascii="宋体" w:hAnsi="宋体" w:cs="宋体"/>
          <w:color w:val="auto"/>
          <w:kern w:val="0"/>
          <w:sz w:val="21"/>
          <w:szCs w:val="21"/>
          <w:highlight w:val="none"/>
          <w:lang w:val="en-US" w:eastAsia="zh-CN"/>
        </w:rPr>
        <w:t>）承包人应定期核定务工群众劳务报酬，形成工资发放表，按程序报项目业主单位审定后在相关村村务公示栏进行公示，公示期一般不少于7天，公示无异议后方能按程序发放，做为竣工验收材料提交发包人，并作为项目验收的核查重点。</w:t>
      </w:r>
    </w:p>
    <w:p w14:paraId="1E45FC1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4</w:t>
      </w:r>
      <w:r>
        <w:rPr>
          <w:rFonts w:hint="default" w:ascii="宋体" w:hAnsi="宋体" w:cs="宋体"/>
          <w:color w:val="auto"/>
          <w:kern w:val="0"/>
          <w:sz w:val="21"/>
          <w:szCs w:val="21"/>
          <w:highlight w:val="none"/>
          <w:lang w:val="en-US" w:eastAsia="zh-CN"/>
        </w:rPr>
        <w:t>）承包人应建立劳务报酬发放台账，并由县级发展改革部门、项目所在乡镇政府、村委会逐级审定并签字确认</w:t>
      </w:r>
      <w:r>
        <w:rPr>
          <w:rFonts w:hint="eastAsia" w:ascii="宋体" w:hAnsi="宋体" w:cs="宋体"/>
          <w:color w:val="auto"/>
          <w:kern w:val="0"/>
          <w:sz w:val="21"/>
          <w:szCs w:val="21"/>
          <w:highlight w:val="none"/>
          <w:lang w:val="en-US" w:eastAsia="zh-CN"/>
        </w:rPr>
        <w:t>，</w:t>
      </w:r>
      <w:r>
        <w:rPr>
          <w:rFonts w:hint="default" w:ascii="宋体" w:hAnsi="宋体" w:cs="宋体"/>
          <w:color w:val="auto"/>
          <w:kern w:val="0"/>
          <w:sz w:val="21"/>
          <w:szCs w:val="21"/>
          <w:highlight w:val="none"/>
          <w:lang w:val="en-US" w:eastAsia="zh-CN"/>
        </w:rPr>
        <w:t>劳务报酬发放</w:t>
      </w:r>
      <w:r>
        <w:rPr>
          <w:rFonts w:hint="eastAsia" w:ascii="宋体" w:hAnsi="宋体" w:cs="宋体"/>
          <w:color w:val="auto"/>
          <w:kern w:val="0"/>
          <w:sz w:val="21"/>
          <w:szCs w:val="21"/>
          <w:highlight w:val="none"/>
          <w:lang w:val="en-US" w:eastAsia="zh-CN"/>
        </w:rPr>
        <w:t>不应低于本批次以工代赈项目（标段）比例要求</w:t>
      </w:r>
      <w:r>
        <w:rPr>
          <w:rFonts w:hint="default" w:ascii="宋体" w:hAnsi="宋体" w:cs="宋体"/>
          <w:color w:val="auto"/>
          <w:kern w:val="0"/>
          <w:sz w:val="21"/>
          <w:szCs w:val="21"/>
          <w:highlight w:val="none"/>
          <w:lang w:val="en-US" w:eastAsia="zh-CN"/>
        </w:rPr>
        <w:t>。</w:t>
      </w:r>
    </w:p>
    <w:p w14:paraId="35E6A27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both"/>
        <w:textAlignment w:val="auto"/>
        <w:outlineLvl w:val="3"/>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5</w:t>
      </w:r>
      <w:r>
        <w:rPr>
          <w:rFonts w:hint="default" w:ascii="宋体" w:hAnsi="宋体" w:cs="宋体"/>
          <w:color w:val="auto"/>
          <w:kern w:val="0"/>
          <w:sz w:val="21"/>
          <w:szCs w:val="21"/>
          <w:highlight w:val="none"/>
          <w:lang w:val="en-US" w:eastAsia="zh-CN"/>
        </w:rPr>
        <w:t>）承包方应利用施工场地、机械设备开展技能培训，</w:t>
      </w:r>
      <w:r>
        <w:rPr>
          <w:rFonts w:hint="eastAsia" w:ascii="宋体" w:hAnsi="宋体" w:cs="宋体"/>
          <w:color w:val="auto"/>
          <w:kern w:val="0"/>
          <w:sz w:val="21"/>
          <w:szCs w:val="21"/>
          <w:highlight w:val="none"/>
          <w:lang w:val="en-US" w:eastAsia="zh-CN"/>
        </w:rPr>
        <w:t>且培训人数不应低于本批次以工代赈项目（标段）计划培训务工群众人数，</w:t>
      </w:r>
      <w:r>
        <w:rPr>
          <w:rFonts w:hint="default" w:ascii="宋体" w:hAnsi="宋体" w:cs="宋体"/>
          <w:color w:val="auto"/>
          <w:kern w:val="0"/>
          <w:sz w:val="21"/>
          <w:szCs w:val="21"/>
          <w:highlight w:val="none"/>
          <w:lang w:val="en-US" w:eastAsia="zh-CN"/>
        </w:rPr>
        <w:t>确保参与务工群众掌握相关施工技能，建立就业技能培训台账，做为竣工验收材料提交发包人，并将台账作为项目验收的核查重点。</w:t>
      </w:r>
    </w:p>
    <w:p w14:paraId="7798353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6</w:t>
      </w:r>
      <w:r>
        <w:rPr>
          <w:rFonts w:hint="default" w:ascii="宋体" w:hAnsi="宋体" w:cs="宋体"/>
          <w:color w:val="auto"/>
          <w:kern w:val="0"/>
          <w:sz w:val="21"/>
          <w:szCs w:val="21"/>
          <w:highlight w:val="none"/>
          <w:lang w:val="en-US" w:eastAsia="zh-CN"/>
        </w:rPr>
        <w:t>）项目建成后，承包方应在项目点设置永久性公示牌，公示项目建设相关信息和当地群众参与务工、获取劳务报酬等受益情况。</w:t>
      </w:r>
    </w:p>
    <w:p w14:paraId="52D8E55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承包人提交的竣工资料的内容：</w:t>
      </w:r>
    </w:p>
    <w:p w14:paraId="4508E33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①竣工图纸；②设计变更、洽商记录、现场签证；③施工资料：控制资料</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含：材料检</w:t>
      </w:r>
      <w:r>
        <w:rPr>
          <w:rFonts w:hint="eastAsia" w:ascii="宋体" w:hAnsi="宋体" w:cs="宋体"/>
          <w:color w:val="auto"/>
          <w:sz w:val="21"/>
          <w:szCs w:val="21"/>
          <w:highlight w:val="none"/>
          <w:u w:val="single"/>
          <w:lang w:eastAsia="zh-CN"/>
        </w:rPr>
        <w:t>验报告</w:t>
      </w:r>
      <w:r>
        <w:rPr>
          <w:rFonts w:hint="eastAsia" w:ascii="宋体" w:hAnsi="宋体" w:eastAsia="宋体" w:cs="宋体"/>
          <w:color w:val="auto"/>
          <w:sz w:val="21"/>
          <w:szCs w:val="21"/>
          <w:highlight w:val="none"/>
          <w:u w:val="single"/>
        </w:rPr>
        <w:t>、施工记录、检验批质量、隐蔽工程记录、分项工程验收记录、分部工程验收记录</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；④管理资料（含：开工报审表、施工日志、施工组织设计） </w:t>
      </w:r>
      <w:r>
        <w:rPr>
          <w:rFonts w:hint="eastAsia" w:ascii="宋体" w:hAnsi="宋体" w:eastAsia="宋体" w:cs="宋体"/>
          <w:color w:val="auto"/>
          <w:sz w:val="21"/>
          <w:szCs w:val="21"/>
          <w:highlight w:val="none"/>
        </w:rPr>
        <w:t>。</w:t>
      </w:r>
    </w:p>
    <w:p w14:paraId="2F9A001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承包人需要提交的竣工资料套数：</w:t>
      </w:r>
      <w:r>
        <w:rPr>
          <w:rFonts w:hint="eastAsia" w:ascii="宋体" w:hAnsi="宋体" w:eastAsia="宋体" w:cs="宋体"/>
          <w:color w:val="auto"/>
          <w:sz w:val="21"/>
          <w:szCs w:val="21"/>
          <w:highlight w:val="none"/>
          <w:u w:val="single"/>
        </w:rPr>
        <w:t xml:space="preserve"> 一式</w:t>
      </w:r>
      <w:r>
        <w:rPr>
          <w:rFonts w:hint="eastAsia" w:ascii="宋体" w:hAnsi="宋体" w:cs="宋体"/>
          <w:color w:val="auto"/>
          <w:sz w:val="21"/>
          <w:szCs w:val="21"/>
          <w:highlight w:val="none"/>
          <w:u w:val="single"/>
          <w:lang w:eastAsia="zh-CN"/>
        </w:rPr>
        <w:t>三套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EB79DD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承包人提交的竣工资料的费用承担：</w:t>
      </w:r>
      <w:r>
        <w:rPr>
          <w:rFonts w:hint="eastAsia" w:ascii="宋体" w:hAnsi="宋体" w:eastAsia="宋体" w:cs="宋体"/>
          <w:color w:val="auto"/>
          <w:sz w:val="21"/>
          <w:szCs w:val="21"/>
          <w:highlight w:val="none"/>
          <w:u w:val="single"/>
        </w:rPr>
        <w:t xml:space="preserve">  承包人承担            </w:t>
      </w:r>
      <w:r>
        <w:rPr>
          <w:rFonts w:hint="eastAsia" w:ascii="宋体" w:hAnsi="宋体" w:eastAsia="宋体" w:cs="宋体"/>
          <w:color w:val="auto"/>
          <w:sz w:val="21"/>
          <w:szCs w:val="21"/>
          <w:highlight w:val="none"/>
        </w:rPr>
        <w:t>。</w:t>
      </w:r>
    </w:p>
    <w:p w14:paraId="3E06B57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承包人提交的竣工资料移交时间：</w:t>
      </w:r>
      <w:r>
        <w:rPr>
          <w:rFonts w:hint="eastAsia" w:ascii="宋体" w:hAnsi="宋体" w:eastAsia="宋体" w:cs="宋体"/>
          <w:color w:val="auto"/>
          <w:sz w:val="21"/>
          <w:szCs w:val="21"/>
          <w:highlight w:val="none"/>
          <w:u w:val="single"/>
        </w:rPr>
        <w:t xml:space="preserve">   竣工验收整改完成后15日内  </w:t>
      </w:r>
      <w:r>
        <w:rPr>
          <w:rFonts w:hint="eastAsia" w:ascii="宋体" w:hAnsi="宋体" w:eastAsia="宋体" w:cs="宋体"/>
          <w:color w:val="auto"/>
          <w:sz w:val="21"/>
          <w:szCs w:val="21"/>
          <w:highlight w:val="none"/>
        </w:rPr>
        <w:t>。</w:t>
      </w:r>
    </w:p>
    <w:p w14:paraId="79352A5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承包人提交的竣工资料形式要求：</w:t>
      </w:r>
      <w:r>
        <w:rPr>
          <w:rFonts w:hint="eastAsia" w:ascii="宋体" w:hAnsi="宋体" w:eastAsia="宋体" w:cs="宋体"/>
          <w:color w:val="auto"/>
          <w:sz w:val="21"/>
          <w:szCs w:val="21"/>
          <w:highlight w:val="none"/>
          <w:u w:val="single"/>
        </w:rPr>
        <w:t xml:space="preserve">按当地建设行政主管部门和城市建设档案管 理机构的相关要求，纸质及电子文档并装订成册   </w:t>
      </w:r>
      <w:r>
        <w:rPr>
          <w:rFonts w:hint="eastAsia" w:ascii="宋体" w:hAnsi="宋体" w:eastAsia="宋体" w:cs="宋体"/>
          <w:color w:val="auto"/>
          <w:sz w:val="21"/>
          <w:szCs w:val="21"/>
          <w:highlight w:val="none"/>
        </w:rPr>
        <w:t>。</w:t>
      </w:r>
    </w:p>
    <w:p w14:paraId="0221B29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）承包人应履行的其他义务：</w:t>
      </w:r>
    </w:p>
    <w:p w14:paraId="494A848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1）对开工的项目，须组建项目工会。</w:t>
      </w:r>
    </w:p>
    <w:p w14:paraId="7AAA003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施工场地周围地下管线和邻近建筑物、构筑物（含文物保护建筑）、古树名木的保护要求及费用承担：承包人施工时应探明并负责保护且承包费用，施工时如属承包人自身原因损坏地下管线、邻近建筑物、构筑物，所发生费用由承包人承担。</w:t>
      </w:r>
    </w:p>
    <w:p w14:paraId="4114CB6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3）取土场及弃土场由承包人自行解决，但不得违反相关管理规定，并承担相关费用。</w:t>
      </w:r>
    </w:p>
    <w:p w14:paraId="2A00267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4）承包人的临时占地（含项目部驻地等）租用费（含拆迁补偿）、临时用地的环保、恢复及所有临时性占地的青苗补偿及地面附着物发生的费用均由承包人负责。</w:t>
      </w:r>
    </w:p>
    <w:p w14:paraId="3928727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5）承包人应按监理人的指示负责拆除、清理已征用土地上的零星拆迁垃圾、杂物以及场地中的树根等并承担相关费用。</w:t>
      </w:r>
    </w:p>
    <w:p w14:paraId="6C414E9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6）各合同承包人应允许本工程其他承包人在本合同承包人施工场地上架设施工用电线路，线路走向由监理人会同各有关合同承包人</w:t>
      </w:r>
      <w:r>
        <w:rPr>
          <w:rFonts w:hint="eastAsia" w:ascii="宋体" w:hAnsi="宋体" w:cs="宋体"/>
          <w:color w:val="auto"/>
          <w:sz w:val="21"/>
          <w:szCs w:val="21"/>
          <w:highlight w:val="none"/>
          <w:lang w:eastAsia="zh-CN"/>
        </w:rPr>
        <w:t>协商</w:t>
      </w:r>
      <w:r>
        <w:rPr>
          <w:rFonts w:hint="eastAsia" w:ascii="宋体" w:hAnsi="宋体" w:eastAsia="宋体" w:cs="宋体"/>
          <w:color w:val="auto"/>
          <w:sz w:val="21"/>
          <w:szCs w:val="21"/>
          <w:highlight w:val="none"/>
        </w:rPr>
        <w:t>确定。12</w:t>
      </w:r>
    </w:p>
    <w:p w14:paraId="0E8494B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7）承包人应充分理解有一些设施（如施工道路）将会由一个以上的承包人使用，如果在使用过程中发生干扰时，应立即通知监理人并服从监理人的决定。</w:t>
      </w:r>
    </w:p>
    <w:p w14:paraId="1782424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8）凡属于需要承包人交付给其他承包人的工作面以及与其他承包人交叉作业的工作面，承包人必须服从发包人的决定，按规定的完工日期完成并将清理好的工作面移交给发包人。</w:t>
      </w:r>
    </w:p>
    <w:p w14:paraId="3200598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9）承包人应为发包人现场代表对施工现场的检查监督提供必要的配合，并对这种配合对施工的影响应有充分的考虑。</w:t>
      </w:r>
    </w:p>
    <w:p w14:paraId="0FD40C1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10）配合发包人</w:t>
      </w:r>
      <w:r>
        <w:rPr>
          <w:rFonts w:hint="eastAsia" w:ascii="宋体" w:hAnsi="宋体" w:cs="宋体"/>
          <w:color w:val="auto"/>
          <w:sz w:val="21"/>
          <w:szCs w:val="21"/>
          <w:highlight w:val="none"/>
          <w:lang w:eastAsia="zh-CN"/>
        </w:rPr>
        <w:t>做好</w:t>
      </w:r>
      <w:r>
        <w:rPr>
          <w:rFonts w:hint="eastAsia" w:ascii="宋体" w:hAnsi="宋体" w:eastAsia="宋体" w:cs="宋体"/>
          <w:color w:val="auto"/>
          <w:sz w:val="21"/>
          <w:szCs w:val="21"/>
          <w:highlight w:val="none"/>
        </w:rPr>
        <w:t>安全文明宣传、领导检查宣传等工作，相关费用由承包人承担。</w:t>
      </w:r>
    </w:p>
    <w:p w14:paraId="7D19651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11）承包人须自行承担本工程水电报装（含变压器、设备、电等）、使用、维护、拆除、恢复等工作，并负责相关费用。</w:t>
      </w:r>
    </w:p>
    <w:p w14:paraId="3B564B7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12）对上述2）～11）项工作，费用已包括在有关单价和总价中，发包人不再另行支付由此所发生的一切费用。</w:t>
      </w:r>
    </w:p>
    <w:p w14:paraId="4030C47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经过城市道路的施工车辆，必须按交警、城管、环保、环卫等部门规定通行。施工车辆的营运手续办理、清洗等一切费用由承包人承担。由于车辆带泥或洒漏造成的道路、环境等污染，其责任和费用均由承包人承担。</w:t>
      </w:r>
    </w:p>
    <w:p w14:paraId="77A7806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14）土料场由承包人自行解决。</w:t>
      </w:r>
    </w:p>
    <w:p w14:paraId="10D5F32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承包人应负责施工场内交通管制和协调通行工作。连接施工场内外道路出口处须设洗车场，对从施工场地进入市区道路的所有车辆进行清洗，并派专人在出口处负责看守，严禁与工程施工无关的人员及车辆进出施工场地，所发生的费用由承包人承担。如承包人违反以上有关规定，由此所造成的一切后果由承包人负责。</w:t>
      </w:r>
    </w:p>
    <w:p w14:paraId="4403B0B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16）承包人修建的临时道路和交通设施，应免费提供给发包人、监理人和其他合同段的承包人使用。</w:t>
      </w:r>
    </w:p>
    <w:p w14:paraId="79A74B2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17）承包人在施工期间应协调好与邻近相关单位（含居民、农民）的关系，应避免发生矛盾与冲突，否则，由此造成的一切后果由承包人承担。</w:t>
      </w:r>
    </w:p>
    <w:p w14:paraId="50359DC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18）由承包人按国家和自治区有关征收、管理和使用新型墙体材料专项基金、散装水泥专项基金的有关规定向管理部门缴纳新型墙体材料专项基金、散装水泥专项基金。</w:t>
      </w:r>
    </w:p>
    <w:p w14:paraId="37F691A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19）</w:t>
      </w:r>
      <w:r>
        <w:rPr>
          <w:rFonts w:hint="eastAsia" w:ascii="宋体" w:hAnsi="宋体" w:eastAsia="宋体" w:cs="宋体"/>
          <w:color w:val="auto"/>
          <w:sz w:val="21"/>
          <w:szCs w:val="21"/>
          <w:highlight w:val="none"/>
        </w:rPr>
        <w:t>积极</w:t>
      </w:r>
      <w:r>
        <w:rPr>
          <w:rFonts w:hint="eastAsia" w:ascii="宋体" w:hAnsi="宋体" w:cs="宋体"/>
          <w:color w:val="auto"/>
          <w:sz w:val="21"/>
          <w:szCs w:val="21"/>
          <w:highlight w:val="none"/>
          <w:lang w:eastAsia="zh-CN"/>
        </w:rPr>
        <w:t>协助</w:t>
      </w:r>
      <w:r>
        <w:rPr>
          <w:rFonts w:hint="eastAsia" w:ascii="宋体" w:hAnsi="宋体" w:eastAsia="宋体" w:cs="宋体"/>
          <w:color w:val="auto"/>
          <w:sz w:val="21"/>
          <w:szCs w:val="21"/>
          <w:highlight w:val="none"/>
        </w:rPr>
        <w:t>配合第三方审计机构开展跟踪审计工作，保障审计工作顺利进行。</w:t>
      </w:r>
    </w:p>
    <w:p w14:paraId="36F38E5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20）按照《中华人民共和国工会法</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国务院关于进一步做好为农民工服务工作的意见》（国发〔2014〕40号）、《中华全国总工会关于深入贯彻落实</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国务院关于进一步做好为农民工服务工作的意见</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的实施意见》（总工发〔2015〕14号）有关要求，深入开展“农民工入会集中行动”。</w:t>
      </w:r>
    </w:p>
    <w:p w14:paraId="76D5FDF3">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316" w:name="_Toc12609365"/>
      <w:bookmarkStart w:id="317" w:name="_Toc373478355"/>
      <w:bookmarkStart w:id="318" w:name="_Toc373227708"/>
      <w:bookmarkStart w:id="319" w:name="_Toc25147"/>
      <w:bookmarkStart w:id="320" w:name="_Toc23465"/>
      <w:bookmarkStart w:id="321" w:name="_Toc389065274"/>
      <w:bookmarkStart w:id="322" w:name="_Toc407135210"/>
      <w:r>
        <w:rPr>
          <w:rFonts w:hint="eastAsia" w:ascii="宋体" w:hAnsi="宋体" w:eastAsia="宋体" w:cs="宋体"/>
          <w:color w:val="auto"/>
          <w:sz w:val="21"/>
          <w:szCs w:val="21"/>
          <w:highlight w:val="none"/>
        </w:rPr>
        <w:t>3.2 项目经理</w:t>
      </w:r>
      <w:bookmarkEnd w:id="316"/>
      <w:bookmarkEnd w:id="317"/>
      <w:bookmarkEnd w:id="318"/>
      <w:bookmarkEnd w:id="319"/>
      <w:bookmarkEnd w:id="320"/>
      <w:bookmarkEnd w:id="321"/>
      <w:bookmarkEnd w:id="322"/>
    </w:p>
    <w:p w14:paraId="1481C84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3.2.1 </w:t>
      </w:r>
      <w:r>
        <w:rPr>
          <w:rFonts w:hint="eastAsia" w:ascii="宋体" w:hAnsi="宋体" w:eastAsia="宋体" w:cs="宋体"/>
          <w:color w:val="auto"/>
          <w:sz w:val="21"/>
          <w:szCs w:val="21"/>
          <w:highlight w:val="none"/>
        </w:rPr>
        <w:t>项目经理：</w:t>
      </w:r>
    </w:p>
    <w:p w14:paraId="359C1AB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58CEB63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3D9DDA5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建造师执业资格等级：</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56B61C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建造师注册证书号：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260D4F1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建造师执业印章号：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4E0E9C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安全生产考核合格证书号：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94185A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E27174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345D882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7976A9E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承包人对项目经理的授权范围如下：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项目经理仅限于工程的现场施工管理，但 未经承包人盖章同意，不得以承包人名义向外采购材料设备、租用建筑周转材料、 雇用劳动力、签订分包合同等从事一切为承包人设立义务或责任的行为</w:t>
      </w:r>
      <w:r>
        <w:rPr>
          <w:rFonts w:hint="eastAsia" w:ascii="宋体" w:hAnsi="宋体" w:eastAsia="宋体" w:cs="宋体"/>
          <w:color w:val="auto"/>
          <w:sz w:val="21"/>
          <w:szCs w:val="21"/>
          <w:highlight w:val="none"/>
        </w:rPr>
        <w:t>。</w:t>
      </w:r>
    </w:p>
    <w:p w14:paraId="31FB0BF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关于项目经理每月在施工现场的时间要求：</w:t>
      </w:r>
      <w:r>
        <w:rPr>
          <w:rFonts w:hint="eastAsia" w:ascii="宋体" w:hAnsi="宋体" w:eastAsia="宋体" w:cs="宋体"/>
          <w:color w:val="auto"/>
          <w:sz w:val="21"/>
          <w:szCs w:val="21"/>
          <w:highlight w:val="none"/>
          <w:u w:val="single"/>
        </w:rPr>
        <w:t xml:space="preserve"> 发包人对项目经理、项目总工、质 量员、安全员等主要管理人员进行考勤，以上人员每月出勤必须在21天以上，每缺 勤一日，应向发包人支付违约金1000元/人</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人民币</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323C0D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承包人未提交劳动合同，以及没有为项目经理缴纳社会保险证明的违约责任：</w:t>
      </w:r>
    </w:p>
    <w:p w14:paraId="2CDCDFE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u w:val="single"/>
        </w:rPr>
        <w:t xml:space="preserve">视为承包人未能按照合同要求委派合格的项目经理并承担相应的违约责任 </w:t>
      </w:r>
      <w:r>
        <w:rPr>
          <w:rFonts w:hint="eastAsia" w:ascii="宋体" w:hAnsi="宋体" w:eastAsia="宋体" w:cs="宋体"/>
          <w:color w:val="auto"/>
          <w:sz w:val="21"/>
          <w:szCs w:val="21"/>
          <w:highlight w:val="none"/>
        </w:rPr>
        <w:t>。</w:t>
      </w:r>
    </w:p>
    <w:p w14:paraId="0B9C49C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项目经理未经批准，擅自离开施工现场的违约责任：</w:t>
      </w:r>
      <w:r>
        <w:rPr>
          <w:rFonts w:hint="eastAsia" w:ascii="宋体" w:hAnsi="宋体" w:eastAsia="宋体" w:cs="宋体"/>
          <w:color w:val="auto"/>
          <w:sz w:val="21"/>
          <w:szCs w:val="21"/>
          <w:highlight w:val="none"/>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eastAsia="宋体" w:cs="宋体"/>
          <w:b/>
          <w:bCs/>
          <w:color w:val="auto"/>
          <w:sz w:val="21"/>
          <w:szCs w:val="21"/>
          <w:highlight w:val="none"/>
          <w:u w:val="single"/>
        </w:rPr>
        <w:t>100</w:t>
      </w:r>
      <w:r>
        <w:rPr>
          <w:rFonts w:hint="eastAsia" w:ascii="宋体" w:hAnsi="宋体" w:eastAsia="宋体" w:cs="宋体"/>
          <w:b/>
          <w:bCs/>
          <w:color w:val="auto"/>
          <w:sz w:val="21"/>
          <w:szCs w:val="21"/>
          <w:highlight w:val="none"/>
          <w:u w:val="single"/>
          <w:lang w:val="en-US" w:eastAsia="zh-CN"/>
        </w:rPr>
        <w:t>0</w:t>
      </w:r>
      <w:r>
        <w:rPr>
          <w:rFonts w:hint="eastAsia" w:ascii="宋体" w:hAnsi="宋体" w:eastAsia="宋体" w:cs="宋体"/>
          <w:b/>
          <w:bCs/>
          <w:color w:val="auto"/>
          <w:sz w:val="21"/>
          <w:szCs w:val="21"/>
          <w:highlight w:val="none"/>
          <w:u w:val="single"/>
        </w:rPr>
        <w:t xml:space="preserve">0.00 </w:t>
      </w:r>
      <w:r>
        <w:rPr>
          <w:rFonts w:hint="eastAsia" w:ascii="宋体" w:hAnsi="宋体" w:eastAsia="宋体" w:cs="宋体"/>
          <w:color w:val="auto"/>
          <w:sz w:val="21"/>
          <w:szCs w:val="21"/>
          <w:highlight w:val="none"/>
          <w:u w:val="single"/>
        </w:rPr>
        <w:t xml:space="preserve">元/日（人民币）  </w:t>
      </w:r>
      <w:r>
        <w:rPr>
          <w:rFonts w:hint="eastAsia" w:ascii="宋体" w:hAnsi="宋体" w:eastAsia="宋体" w:cs="宋体"/>
          <w:color w:val="auto"/>
          <w:sz w:val="21"/>
          <w:szCs w:val="21"/>
          <w:highlight w:val="none"/>
        </w:rPr>
        <w:t>。</w:t>
      </w:r>
    </w:p>
    <w:p w14:paraId="1721D72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 承包人擅自更换项目经理的违约责任：</w:t>
      </w:r>
      <w:r>
        <w:rPr>
          <w:rFonts w:hint="eastAsia" w:ascii="宋体" w:hAnsi="宋体" w:eastAsia="宋体" w:cs="宋体"/>
          <w:color w:val="auto"/>
          <w:sz w:val="21"/>
          <w:szCs w:val="21"/>
          <w:highlight w:val="none"/>
          <w:u w:val="single"/>
        </w:rPr>
        <w:t>承包人项目经理必须与承包人投标时所承诺的人员一致，并在（开工日期）前到任。在监理人向承包人颁发 （竣工证明材料名称）前，项目经理不得同时兼任其他任何项目的项目经理</w:t>
      </w:r>
      <w:r>
        <w:rPr>
          <w:rFonts w:hint="eastAsia" w:ascii="宋体" w:hAnsi="宋体" w:eastAsia="宋体" w:cs="宋体"/>
          <w:color w:val="auto"/>
          <w:kern w:val="0"/>
          <w:sz w:val="21"/>
          <w:szCs w:val="21"/>
          <w:highlight w:val="none"/>
          <w:u w:val="single"/>
        </w:rPr>
        <w:t>（符合桂建管</w:t>
      </w:r>
      <w:r>
        <w:rPr>
          <w:rFonts w:hint="eastAsia" w:ascii="宋体" w:hAnsi="宋体" w:eastAsia="宋体" w:cs="宋体"/>
          <w:color w:val="auto"/>
          <w:sz w:val="21"/>
          <w:szCs w:val="21"/>
          <w:highlight w:val="none"/>
          <w:u w:val="single"/>
        </w:rPr>
        <w:t>﹝2013﹞</w:t>
      </w:r>
      <w:r>
        <w:rPr>
          <w:rFonts w:hint="eastAsia" w:ascii="宋体" w:hAnsi="宋体" w:eastAsia="宋体" w:cs="宋体"/>
          <w:color w:val="auto"/>
          <w:kern w:val="0"/>
          <w:sz w:val="21"/>
          <w:szCs w:val="21"/>
          <w:highlight w:val="none"/>
          <w:u w:val="single"/>
        </w:rPr>
        <w:t>17号和</w:t>
      </w:r>
      <w:r>
        <w:rPr>
          <w:rFonts w:hint="eastAsia" w:ascii="宋体" w:hAnsi="宋体" w:eastAsia="宋体" w:cs="宋体"/>
          <w:color w:val="auto"/>
          <w:sz w:val="21"/>
          <w:szCs w:val="21"/>
          <w:highlight w:val="none"/>
          <w:u w:val="single"/>
        </w:rPr>
        <w:t>桂建﹝2014﹞25号</w:t>
      </w:r>
      <w:r>
        <w:rPr>
          <w:rFonts w:hint="eastAsia" w:ascii="宋体" w:hAnsi="宋体" w:eastAsia="宋体" w:cs="宋体"/>
          <w:color w:val="auto"/>
          <w:kern w:val="0"/>
          <w:sz w:val="21"/>
          <w:szCs w:val="21"/>
          <w:highlight w:val="none"/>
          <w:u w:val="single"/>
        </w:rPr>
        <w:t>文除外）</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eastAsia="zh-CN"/>
        </w:rPr>
        <w:t>即除非</w:t>
      </w:r>
      <w:r>
        <w:rPr>
          <w:rFonts w:hint="eastAsia" w:ascii="宋体" w:hAnsi="宋体" w:eastAsia="宋体" w:cs="宋体"/>
          <w:color w:val="auto"/>
          <w:sz w:val="21"/>
          <w:szCs w:val="21"/>
          <w:highlight w:val="none"/>
          <w:u w:val="single"/>
        </w:rPr>
        <w:t>拟派项目经理出现以下情形：①因自身原因导致工程质量出现重大质量、安全事故；②有违法、违纪、被暂定或吊销项目经理资格证的；③发包人同意更换的；④严重疾病需要休养，时间</w:t>
      </w:r>
      <w:r>
        <w:rPr>
          <w:rFonts w:hint="eastAsia" w:ascii="宋体" w:hAnsi="宋体" w:cs="宋体"/>
          <w:color w:val="auto"/>
          <w:sz w:val="21"/>
          <w:szCs w:val="21"/>
          <w:highlight w:val="none"/>
          <w:u w:val="single"/>
          <w:lang w:eastAsia="zh-CN"/>
        </w:rPr>
        <w:t>超过工期一半</w:t>
      </w:r>
      <w:r>
        <w:rPr>
          <w:rFonts w:hint="eastAsia" w:ascii="宋体" w:hAnsi="宋体" w:eastAsia="宋体" w:cs="宋体"/>
          <w:color w:val="auto"/>
          <w:sz w:val="21"/>
          <w:szCs w:val="21"/>
          <w:highlight w:val="none"/>
          <w:u w:val="single"/>
        </w:rPr>
        <w:t>，由区级医院出具病重说明的。否则，承包人不得以项目经理离职、岗位调动等理由更换项目经理，未经发包人书面同意，承包人擅自更换项目经理的视为违约，违约金处</w:t>
      </w:r>
      <w:r>
        <w:rPr>
          <w:rFonts w:hint="eastAsia" w:ascii="宋体" w:hAnsi="宋体" w:eastAsia="宋体" w:cs="宋体"/>
          <w:b/>
          <w:bCs/>
          <w:color w:val="auto"/>
          <w:sz w:val="21"/>
          <w:szCs w:val="21"/>
          <w:highlight w:val="none"/>
          <w:u w:val="single"/>
          <w:lang w:val="en-US" w:eastAsia="zh-CN"/>
        </w:rPr>
        <w:t>3000</w:t>
      </w:r>
      <w:r>
        <w:rPr>
          <w:rFonts w:hint="eastAsia" w:ascii="宋体" w:hAnsi="宋体" w:eastAsia="宋体" w:cs="宋体"/>
          <w:b/>
          <w:bCs/>
          <w:color w:val="auto"/>
          <w:sz w:val="21"/>
          <w:szCs w:val="21"/>
          <w:highlight w:val="none"/>
          <w:u w:val="single"/>
        </w:rPr>
        <w:t xml:space="preserve">00.00 </w:t>
      </w:r>
      <w:r>
        <w:rPr>
          <w:rFonts w:hint="eastAsia" w:ascii="宋体" w:hAnsi="宋体" w:eastAsia="宋体" w:cs="宋体"/>
          <w:color w:val="auto"/>
          <w:sz w:val="21"/>
          <w:szCs w:val="21"/>
          <w:highlight w:val="none"/>
          <w:u w:val="single"/>
        </w:rPr>
        <w:t>元/人•次（人民币）</w:t>
      </w:r>
      <w:r>
        <w:rPr>
          <w:rFonts w:hint="eastAsia" w:ascii="宋体" w:hAnsi="宋体" w:eastAsia="宋体" w:cs="宋体"/>
          <w:color w:val="auto"/>
          <w:sz w:val="21"/>
          <w:szCs w:val="21"/>
          <w:highlight w:val="none"/>
        </w:rPr>
        <w:t>。</w:t>
      </w:r>
    </w:p>
    <w:p w14:paraId="1D6EEFA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 承包人无正当理由拒绝更换项目经理的违约责任：</w:t>
      </w:r>
      <w:r>
        <w:rPr>
          <w:rFonts w:hint="eastAsia" w:ascii="宋体" w:hAnsi="宋体" w:eastAsia="宋体" w:cs="宋体"/>
          <w:color w:val="auto"/>
          <w:sz w:val="21"/>
          <w:szCs w:val="21"/>
          <w:highlight w:val="none"/>
          <w:u w:val="single"/>
        </w:rPr>
        <w:t>因承包人项目经理不称职，发包人要求调换而未及时调换的，视为承包人违约，必须向发包人</w:t>
      </w:r>
      <w:r>
        <w:rPr>
          <w:rFonts w:hint="eastAsia" w:ascii="宋体" w:hAnsi="宋体" w:cs="宋体"/>
          <w:color w:val="auto"/>
          <w:sz w:val="21"/>
          <w:szCs w:val="21"/>
          <w:highlight w:val="none"/>
          <w:u w:val="single"/>
          <w:lang w:eastAsia="zh-CN"/>
        </w:rPr>
        <w:t>缴纳</w:t>
      </w:r>
      <w:r>
        <w:rPr>
          <w:rFonts w:hint="eastAsia" w:ascii="宋体" w:hAnsi="宋体" w:eastAsia="宋体" w:cs="宋体"/>
          <w:color w:val="auto"/>
          <w:sz w:val="21"/>
          <w:szCs w:val="21"/>
          <w:highlight w:val="none"/>
          <w:u w:val="single"/>
        </w:rPr>
        <w:t>处罚金</w:t>
      </w:r>
      <w:r>
        <w:rPr>
          <w:rFonts w:hint="eastAsia" w:ascii="宋体" w:hAnsi="宋体" w:eastAsia="宋体" w:cs="宋体"/>
          <w:b/>
          <w:bCs/>
          <w:color w:val="auto"/>
          <w:sz w:val="21"/>
          <w:szCs w:val="21"/>
          <w:highlight w:val="none"/>
          <w:u w:val="single"/>
        </w:rPr>
        <w:t>2</w:t>
      </w:r>
      <w:r>
        <w:rPr>
          <w:rFonts w:hint="eastAsia" w:ascii="宋体" w:hAnsi="宋体" w:eastAsia="宋体" w:cs="宋体"/>
          <w:b/>
          <w:bCs/>
          <w:color w:val="auto"/>
          <w:sz w:val="21"/>
          <w:szCs w:val="21"/>
          <w:highlight w:val="none"/>
          <w:u w:val="single"/>
          <w:lang w:val="en-US" w:eastAsia="zh-CN"/>
        </w:rPr>
        <w:t>0</w:t>
      </w:r>
      <w:r>
        <w:rPr>
          <w:rFonts w:hint="eastAsia" w:ascii="宋体" w:hAnsi="宋体" w:eastAsia="宋体" w:cs="宋体"/>
          <w:b/>
          <w:bCs/>
          <w:color w:val="auto"/>
          <w:sz w:val="21"/>
          <w:szCs w:val="21"/>
          <w:highlight w:val="none"/>
          <w:u w:val="single"/>
        </w:rPr>
        <w:t>000.00元</w:t>
      </w:r>
      <w:r>
        <w:rPr>
          <w:rFonts w:hint="eastAsia" w:ascii="宋体" w:hAnsi="宋体" w:eastAsia="宋体" w:cs="宋体"/>
          <w:color w:val="auto"/>
          <w:sz w:val="21"/>
          <w:szCs w:val="21"/>
          <w:highlight w:val="none"/>
          <w:u w:val="single"/>
        </w:rPr>
        <w:t>/人•次（人民币）</w:t>
      </w:r>
      <w:r>
        <w:rPr>
          <w:rFonts w:hint="eastAsia" w:ascii="宋体" w:hAnsi="宋体" w:eastAsia="宋体" w:cs="宋体"/>
          <w:color w:val="auto"/>
          <w:sz w:val="21"/>
          <w:szCs w:val="21"/>
          <w:highlight w:val="none"/>
        </w:rPr>
        <w:t>。</w:t>
      </w:r>
    </w:p>
    <w:p w14:paraId="2AF24702">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323" w:name="_Toc373478356"/>
      <w:bookmarkStart w:id="324" w:name="_Toc407135211"/>
      <w:bookmarkStart w:id="325" w:name="_Toc10963"/>
      <w:bookmarkStart w:id="326" w:name="_Toc27225"/>
      <w:bookmarkStart w:id="327" w:name="_Toc389065275"/>
      <w:bookmarkStart w:id="328" w:name="_Toc373227709"/>
      <w:bookmarkStart w:id="329" w:name="_Toc12609366"/>
      <w:r>
        <w:rPr>
          <w:rFonts w:hint="eastAsia" w:ascii="宋体" w:hAnsi="宋体" w:eastAsia="宋体" w:cs="宋体"/>
          <w:color w:val="auto"/>
          <w:sz w:val="21"/>
          <w:szCs w:val="21"/>
          <w:highlight w:val="none"/>
        </w:rPr>
        <w:t>3.3 承包人人员</w:t>
      </w:r>
      <w:bookmarkEnd w:id="323"/>
      <w:bookmarkEnd w:id="324"/>
      <w:bookmarkEnd w:id="325"/>
      <w:bookmarkEnd w:id="326"/>
      <w:bookmarkEnd w:id="327"/>
      <w:bookmarkEnd w:id="328"/>
      <w:bookmarkEnd w:id="329"/>
    </w:p>
    <w:p w14:paraId="0BB1055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承包人提交项目管理机构及施工现场管理人员安排报告（格式见合同附件5）的期限：</w:t>
      </w:r>
    </w:p>
    <w:p w14:paraId="3B4156E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理工程师下发开工令且工程开工前7天内 </w:t>
      </w:r>
      <w:r>
        <w:rPr>
          <w:rFonts w:hint="eastAsia" w:ascii="宋体" w:hAnsi="宋体" w:eastAsia="宋体" w:cs="宋体"/>
          <w:color w:val="auto"/>
          <w:sz w:val="21"/>
          <w:szCs w:val="21"/>
          <w:highlight w:val="none"/>
        </w:rPr>
        <w:t>。</w:t>
      </w:r>
    </w:p>
    <w:p w14:paraId="29C1808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承包人无正当理由拒绝撤换主要施工管理人员的违约责任：</w:t>
      </w:r>
      <w:r>
        <w:rPr>
          <w:rFonts w:hint="eastAsia" w:ascii="宋体" w:hAnsi="宋体" w:eastAsia="宋体" w:cs="宋体"/>
          <w:color w:val="auto"/>
          <w:sz w:val="21"/>
          <w:szCs w:val="21"/>
          <w:highlight w:val="none"/>
          <w:u w:val="single"/>
        </w:rPr>
        <w:t>因承包人主要施工管理人员不称职，发包人要求调换而无正当理由拒绝撤换或未及时调换的，视为承包人违约，必须向发包人</w:t>
      </w:r>
      <w:r>
        <w:rPr>
          <w:rFonts w:hint="eastAsia" w:ascii="宋体" w:hAnsi="宋体" w:cs="宋体"/>
          <w:color w:val="auto"/>
          <w:sz w:val="21"/>
          <w:szCs w:val="21"/>
          <w:highlight w:val="none"/>
          <w:u w:val="single"/>
          <w:lang w:eastAsia="zh-CN"/>
        </w:rPr>
        <w:t>缴纳</w:t>
      </w:r>
      <w:r>
        <w:rPr>
          <w:rFonts w:hint="eastAsia" w:ascii="宋体" w:hAnsi="宋体" w:eastAsia="宋体" w:cs="宋体"/>
          <w:color w:val="auto"/>
          <w:sz w:val="21"/>
          <w:szCs w:val="21"/>
          <w:highlight w:val="none"/>
          <w:u w:val="single"/>
        </w:rPr>
        <w:t>处罚金，处罚标准：技术负责人</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b/>
          <w:bCs/>
          <w:color w:val="auto"/>
          <w:sz w:val="21"/>
          <w:szCs w:val="21"/>
          <w:highlight w:val="none"/>
          <w:u w:val="single"/>
        </w:rPr>
        <w:t xml:space="preserve">000.00 </w:t>
      </w:r>
      <w:r>
        <w:rPr>
          <w:rFonts w:hint="eastAsia" w:ascii="宋体" w:hAnsi="宋体" w:eastAsia="宋体" w:cs="宋体"/>
          <w:color w:val="auto"/>
          <w:sz w:val="21"/>
          <w:szCs w:val="21"/>
          <w:highlight w:val="none"/>
          <w:u w:val="single"/>
        </w:rPr>
        <w:t>元/人•次（人民币）；专业工程师</w:t>
      </w:r>
      <w:bookmarkStart w:id="330" w:name="OLE_LINK8"/>
      <w:r>
        <w:rPr>
          <w:rFonts w:hint="eastAsia" w:ascii="宋体" w:hAnsi="宋体" w:eastAsia="宋体" w:cs="宋体"/>
          <w:color w:val="auto"/>
          <w:sz w:val="21"/>
          <w:szCs w:val="21"/>
          <w:highlight w:val="none"/>
          <w:u w:val="single"/>
        </w:rPr>
        <w:t xml:space="preserve"> </w:t>
      </w:r>
      <w:bookmarkEnd w:id="330"/>
      <w:r>
        <w:rPr>
          <w:rFonts w:hint="eastAsia" w:ascii="宋体" w:hAnsi="宋体" w:eastAsia="宋体" w:cs="宋体"/>
          <w:color w:val="auto"/>
          <w:sz w:val="21"/>
          <w:szCs w:val="21"/>
          <w:highlight w:val="none"/>
          <w:u w:val="single"/>
          <w:lang w:val="en-US" w:eastAsia="zh-CN"/>
        </w:rPr>
        <w:t>30</w:t>
      </w:r>
      <w:r>
        <w:rPr>
          <w:rFonts w:hint="eastAsia" w:ascii="宋体" w:hAnsi="宋体" w:eastAsia="宋体" w:cs="宋体"/>
          <w:b/>
          <w:bCs/>
          <w:color w:val="auto"/>
          <w:sz w:val="21"/>
          <w:szCs w:val="21"/>
          <w:highlight w:val="none"/>
          <w:u w:val="single"/>
        </w:rPr>
        <w:t>00.00</w:t>
      </w:r>
      <w:r>
        <w:rPr>
          <w:rFonts w:hint="eastAsia" w:ascii="宋体" w:hAnsi="宋体" w:eastAsia="宋体" w:cs="宋体"/>
          <w:color w:val="auto"/>
          <w:sz w:val="21"/>
          <w:szCs w:val="21"/>
          <w:highlight w:val="none"/>
          <w:u w:val="single"/>
        </w:rPr>
        <w:t>元/人•次（人民币）</w:t>
      </w:r>
      <w:r>
        <w:rPr>
          <w:rFonts w:hint="eastAsia" w:ascii="宋体" w:hAnsi="宋体" w:eastAsia="宋体" w:cs="宋体"/>
          <w:color w:val="auto"/>
          <w:sz w:val="21"/>
          <w:szCs w:val="21"/>
          <w:highlight w:val="none"/>
        </w:rPr>
        <w:t>。</w:t>
      </w:r>
    </w:p>
    <w:p w14:paraId="4E56819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3.3.4 承包人主要施工管理人员离开施工现场的批准要求：</w:t>
      </w:r>
      <w:r>
        <w:rPr>
          <w:rFonts w:hint="eastAsia" w:ascii="宋体" w:hAnsi="宋体" w:eastAsia="宋体" w:cs="宋体"/>
          <w:color w:val="auto"/>
          <w:sz w:val="21"/>
          <w:szCs w:val="21"/>
          <w:highlight w:val="none"/>
          <w:u w:val="single"/>
        </w:rPr>
        <w:t xml:space="preserve"> 向发包人提出申请，并提供相关证明材料，须经监理单位和现场发包负责人同意后离开 </w:t>
      </w:r>
      <w:r>
        <w:rPr>
          <w:rFonts w:hint="eastAsia" w:ascii="宋体" w:hAnsi="宋体" w:eastAsia="宋体" w:cs="宋体"/>
          <w:color w:val="auto"/>
          <w:sz w:val="21"/>
          <w:szCs w:val="21"/>
          <w:highlight w:val="none"/>
        </w:rPr>
        <w:t>。</w:t>
      </w:r>
    </w:p>
    <w:p w14:paraId="50D8231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3.3.5 承包人擅自更换主要施工管理人员的违约责任：</w:t>
      </w:r>
      <w:r>
        <w:rPr>
          <w:rFonts w:hint="eastAsia" w:ascii="宋体" w:hAnsi="宋体" w:eastAsia="宋体" w:cs="宋体"/>
          <w:color w:val="auto"/>
          <w:sz w:val="21"/>
          <w:szCs w:val="21"/>
          <w:highlight w:val="none"/>
          <w:u w:val="single"/>
        </w:rPr>
        <w:t>项目技术负责人、专职安全员及其承诺的其它在场管理人员未经发包人书面同意不准擅自更换，擅自更换项目技术负责人处</w:t>
      </w:r>
      <w:bookmarkStart w:id="331" w:name="OLE_LINK10"/>
      <w:r>
        <w:rPr>
          <w:rFonts w:hint="eastAsia" w:ascii="宋体" w:hAnsi="宋体" w:eastAsia="宋体" w:cs="宋体"/>
          <w:color w:val="auto"/>
          <w:sz w:val="21"/>
          <w:szCs w:val="21"/>
          <w:highlight w:val="none"/>
          <w:u w:val="single"/>
          <w:lang w:val="en-US" w:eastAsia="zh-CN"/>
        </w:rPr>
        <w:t>50</w:t>
      </w:r>
      <w:r>
        <w:rPr>
          <w:rFonts w:hint="eastAsia" w:ascii="宋体" w:hAnsi="宋体" w:eastAsia="宋体" w:cs="宋体"/>
          <w:b/>
          <w:bCs/>
          <w:color w:val="auto"/>
          <w:sz w:val="21"/>
          <w:szCs w:val="21"/>
          <w:highlight w:val="none"/>
          <w:u w:val="single"/>
        </w:rPr>
        <w:t>000.00</w:t>
      </w:r>
      <w:r>
        <w:rPr>
          <w:rFonts w:hint="eastAsia" w:ascii="宋体" w:hAnsi="宋体" w:eastAsia="宋体" w:cs="宋体"/>
          <w:color w:val="auto"/>
          <w:sz w:val="21"/>
          <w:szCs w:val="21"/>
          <w:highlight w:val="none"/>
          <w:u w:val="single"/>
        </w:rPr>
        <w:t>元/人•次（人民币）</w:t>
      </w:r>
      <w:bookmarkEnd w:id="331"/>
      <w:r>
        <w:rPr>
          <w:rFonts w:hint="eastAsia" w:ascii="宋体" w:hAnsi="宋体" w:eastAsia="宋体" w:cs="宋体"/>
          <w:color w:val="auto"/>
          <w:sz w:val="21"/>
          <w:szCs w:val="21"/>
          <w:highlight w:val="none"/>
          <w:u w:val="single"/>
        </w:rPr>
        <w:t>违约金；擅自更换专职安全员处</w:t>
      </w:r>
      <w:bookmarkStart w:id="332" w:name="OLE_LINK11"/>
      <w:r>
        <w:rPr>
          <w:rFonts w:hint="eastAsia" w:ascii="宋体" w:hAnsi="宋体" w:eastAsia="宋体" w:cs="宋体"/>
          <w:color w:val="auto"/>
          <w:sz w:val="21"/>
          <w:szCs w:val="21"/>
          <w:highlight w:val="none"/>
          <w:u w:val="single"/>
          <w:lang w:val="en-US" w:eastAsia="zh-CN"/>
        </w:rPr>
        <w:t>50</w:t>
      </w:r>
      <w:r>
        <w:rPr>
          <w:rFonts w:hint="eastAsia" w:ascii="宋体" w:hAnsi="宋体" w:eastAsia="宋体" w:cs="宋体"/>
          <w:b/>
          <w:bCs/>
          <w:color w:val="auto"/>
          <w:sz w:val="21"/>
          <w:szCs w:val="21"/>
          <w:highlight w:val="none"/>
          <w:u w:val="single"/>
        </w:rPr>
        <w:t>000.00</w:t>
      </w:r>
      <w:r>
        <w:rPr>
          <w:rFonts w:hint="eastAsia" w:ascii="宋体" w:hAnsi="宋体" w:eastAsia="宋体" w:cs="宋体"/>
          <w:color w:val="auto"/>
          <w:sz w:val="21"/>
          <w:szCs w:val="21"/>
          <w:highlight w:val="none"/>
          <w:u w:val="single"/>
        </w:rPr>
        <w:t>元/人•次（人民币）</w:t>
      </w:r>
      <w:bookmarkEnd w:id="332"/>
      <w:r>
        <w:rPr>
          <w:rFonts w:hint="eastAsia" w:ascii="宋体" w:hAnsi="宋体" w:eastAsia="宋体" w:cs="宋体"/>
          <w:color w:val="auto"/>
          <w:sz w:val="21"/>
          <w:szCs w:val="21"/>
          <w:highlight w:val="none"/>
          <w:u w:val="single"/>
        </w:rPr>
        <w:t>违约金；擅自更换其它在场管理人员处</w:t>
      </w:r>
      <w:r>
        <w:rPr>
          <w:rFonts w:hint="eastAsia" w:ascii="宋体" w:hAnsi="宋体" w:eastAsia="宋体" w:cs="宋体"/>
          <w:color w:val="auto"/>
          <w:sz w:val="21"/>
          <w:szCs w:val="21"/>
          <w:highlight w:val="none"/>
          <w:u w:val="single"/>
          <w:lang w:val="en-US" w:eastAsia="zh-CN"/>
        </w:rPr>
        <w:t>50</w:t>
      </w:r>
      <w:r>
        <w:rPr>
          <w:rFonts w:hint="eastAsia" w:ascii="宋体" w:hAnsi="宋体" w:eastAsia="宋体" w:cs="宋体"/>
          <w:b/>
          <w:bCs/>
          <w:color w:val="auto"/>
          <w:sz w:val="21"/>
          <w:szCs w:val="21"/>
          <w:highlight w:val="none"/>
          <w:u w:val="single"/>
        </w:rPr>
        <w:t>000.00</w:t>
      </w:r>
      <w:r>
        <w:rPr>
          <w:rFonts w:hint="eastAsia" w:ascii="宋体" w:hAnsi="宋体" w:eastAsia="宋体" w:cs="宋体"/>
          <w:color w:val="auto"/>
          <w:sz w:val="21"/>
          <w:szCs w:val="21"/>
          <w:highlight w:val="none"/>
          <w:u w:val="single"/>
        </w:rPr>
        <w:t>元/人•次（人民币）违约金</w:t>
      </w:r>
      <w:r>
        <w:rPr>
          <w:rFonts w:hint="eastAsia" w:ascii="宋体" w:hAnsi="宋体" w:eastAsia="宋体" w:cs="宋体"/>
          <w:color w:val="auto"/>
          <w:sz w:val="21"/>
          <w:szCs w:val="21"/>
          <w:highlight w:val="none"/>
        </w:rPr>
        <w:t>。</w:t>
      </w:r>
    </w:p>
    <w:p w14:paraId="0406E34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承包人主要施工管理人员擅自离开施工现场的违约责任：</w:t>
      </w:r>
      <w:r>
        <w:rPr>
          <w:rFonts w:hint="eastAsia" w:ascii="宋体" w:hAnsi="宋体" w:eastAsia="宋体" w:cs="宋体"/>
          <w:color w:val="auto"/>
          <w:sz w:val="21"/>
          <w:szCs w:val="21"/>
          <w:highlight w:val="none"/>
          <w:u w:val="single"/>
        </w:rPr>
        <w:t>未经发包人同意，项目技术负责人擅自离岗的</w:t>
      </w:r>
      <w:bookmarkStart w:id="333" w:name="OLE_LINK13"/>
      <w:r>
        <w:rPr>
          <w:rFonts w:hint="eastAsia" w:ascii="宋体" w:hAnsi="宋体" w:eastAsia="宋体" w:cs="宋体"/>
          <w:color w:val="auto"/>
          <w:sz w:val="21"/>
          <w:szCs w:val="21"/>
          <w:highlight w:val="none"/>
          <w:u w:val="single"/>
        </w:rPr>
        <w:t>（每个月连续缺勤7天，累计15天视为擅自离岗）</w:t>
      </w:r>
      <w:bookmarkEnd w:id="333"/>
      <w:r>
        <w:rPr>
          <w:rFonts w:hint="eastAsia" w:ascii="宋体" w:hAnsi="宋体" w:eastAsia="宋体" w:cs="宋体"/>
          <w:color w:val="auto"/>
          <w:sz w:val="21"/>
          <w:szCs w:val="21"/>
          <w:highlight w:val="none"/>
          <w:u w:val="single"/>
        </w:rPr>
        <w:t>，视为承包人违约，发包人有权处违约金</w:t>
      </w:r>
      <w:bookmarkStart w:id="334" w:name="OLE_LINK14"/>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b/>
          <w:bCs/>
          <w:color w:val="auto"/>
          <w:sz w:val="21"/>
          <w:szCs w:val="21"/>
          <w:highlight w:val="none"/>
          <w:u w:val="single"/>
        </w:rPr>
        <w:t>000.00</w:t>
      </w:r>
      <w:r>
        <w:rPr>
          <w:rFonts w:hint="eastAsia" w:ascii="宋体" w:hAnsi="宋体" w:eastAsia="宋体" w:cs="宋体"/>
          <w:color w:val="auto"/>
          <w:sz w:val="21"/>
          <w:szCs w:val="21"/>
          <w:highlight w:val="none"/>
          <w:u w:val="single"/>
        </w:rPr>
        <w:t>元/人•次（人民币）</w:t>
      </w:r>
      <w:bookmarkEnd w:id="334"/>
      <w:r>
        <w:rPr>
          <w:rFonts w:hint="eastAsia" w:ascii="宋体" w:hAnsi="宋体" w:eastAsia="宋体" w:cs="宋体"/>
          <w:color w:val="auto"/>
          <w:sz w:val="21"/>
          <w:szCs w:val="21"/>
          <w:highlight w:val="none"/>
          <w:u w:val="single"/>
        </w:rPr>
        <w:t>；未经发包人同意，专职安全员擅自离岗的</w:t>
      </w:r>
      <w:bookmarkStart w:id="335" w:name="OLE_LINK15"/>
      <w:r>
        <w:rPr>
          <w:rFonts w:hint="eastAsia" w:ascii="宋体" w:hAnsi="宋体" w:eastAsia="宋体" w:cs="宋体"/>
          <w:color w:val="auto"/>
          <w:sz w:val="21"/>
          <w:szCs w:val="21"/>
          <w:highlight w:val="none"/>
          <w:u w:val="single"/>
        </w:rPr>
        <w:t>（每个月连续缺勤7天，累计15天视为擅自离岗）</w:t>
      </w:r>
      <w:bookmarkEnd w:id="335"/>
      <w:r>
        <w:rPr>
          <w:rFonts w:hint="eastAsia" w:ascii="宋体" w:hAnsi="宋体" w:eastAsia="宋体" w:cs="宋体"/>
          <w:color w:val="auto"/>
          <w:sz w:val="21"/>
          <w:szCs w:val="21"/>
          <w:highlight w:val="none"/>
          <w:u w:val="single"/>
        </w:rPr>
        <w:t>，视为承包人违约，发包人有权处违约金</w:t>
      </w:r>
      <w:bookmarkStart w:id="336" w:name="OLE_LINK16"/>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b/>
          <w:bCs/>
          <w:color w:val="auto"/>
          <w:sz w:val="21"/>
          <w:szCs w:val="21"/>
          <w:highlight w:val="none"/>
          <w:u w:val="single"/>
        </w:rPr>
        <w:t>00</w:t>
      </w:r>
      <w:r>
        <w:rPr>
          <w:rFonts w:hint="eastAsia" w:ascii="宋体" w:hAnsi="宋体" w:eastAsia="宋体" w:cs="宋体"/>
          <w:b/>
          <w:bCs/>
          <w:color w:val="auto"/>
          <w:sz w:val="21"/>
          <w:szCs w:val="21"/>
          <w:highlight w:val="none"/>
          <w:u w:val="single"/>
          <w:lang w:val="en-US" w:eastAsia="zh-CN"/>
        </w:rPr>
        <w:t>0</w:t>
      </w:r>
      <w:r>
        <w:rPr>
          <w:rFonts w:hint="eastAsia" w:ascii="宋体" w:hAnsi="宋体" w:eastAsia="宋体" w:cs="宋体"/>
          <w:b/>
          <w:bCs/>
          <w:color w:val="auto"/>
          <w:sz w:val="21"/>
          <w:szCs w:val="21"/>
          <w:highlight w:val="none"/>
          <w:u w:val="single"/>
        </w:rPr>
        <w:t>0.00</w:t>
      </w:r>
      <w:r>
        <w:rPr>
          <w:rFonts w:hint="eastAsia" w:ascii="宋体" w:hAnsi="宋体" w:eastAsia="宋体" w:cs="宋体"/>
          <w:color w:val="auto"/>
          <w:sz w:val="21"/>
          <w:szCs w:val="21"/>
          <w:highlight w:val="none"/>
          <w:u w:val="single"/>
        </w:rPr>
        <w:t>元/人•次（人民币）</w:t>
      </w:r>
      <w:bookmarkEnd w:id="336"/>
      <w:r>
        <w:rPr>
          <w:rFonts w:hint="eastAsia" w:ascii="宋体" w:hAnsi="宋体" w:eastAsia="宋体" w:cs="宋体"/>
          <w:color w:val="auto"/>
          <w:sz w:val="21"/>
          <w:szCs w:val="21"/>
          <w:highlight w:val="none"/>
          <w:u w:val="single"/>
        </w:rPr>
        <w:t>；其它在场管理人员擅自离岗的（每个月连续缺勤7天，累计15天视为擅自离岗），视为承包人违约，发包人有权处违约金</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b/>
          <w:bCs/>
          <w:color w:val="auto"/>
          <w:sz w:val="21"/>
          <w:szCs w:val="21"/>
          <w:highlight w:val="none"/>
          <w:u w:val="single"/>
        </w:rPr>
        <w:t>00</w:t>
      </w:r>
      <w:r>
        <w:rPr>
          <w:rFonts w:hint="eastAsia" w:ascii="宋体" w:hAnsi="宋体" w:eastAsia="宋体" w:cs="宋体"/>
          <w:b/>
          <w:bCs/>
          <w:color w:val="auto"/>
          <w:sz w:val="21"/>
          <w:szCs w:val="21"/>
          <w:highlight w:val="none"/>
          <w:u w:val="single"/>
          <w:lang w:val="en-US" w:eastAsia="zh-CN"/>
        </w:rPr>
        <w:t>0</w:t>
      </w:r>
      <w:r>
        <w:rPr>
          <w:rFonts w:hint="eastAsia" w:ascii="宋体" w:hAnsi="宋体" w:eastAsia="宋体" w:cs="宋体"/>
          <w:b/>
          <w:bCs/>
          <w:color w:val="auto"/>
          <w:sz w:val="21"/>
          <w:szCs w:val="21"/>
          <w:highlight w:val="none"/>
          <w:u w:val="single"/>
        </w:rPr>
        <w:t>0.00</w:t>
      </w:r>
      <w:r>
        <w:rPr>
          <w:rFonts w:hint="eastAsia" w:ascii="宋体" w:hAnsi="宋体" w:eastAsia="宋体" w:cs="宋体"/>
          <w:color w:val="auto"/>
          <w:sz w:val="21"/>
          <w:szCs w:val="21"/>
          <w:highlight w:val="none"/>
          <w:u w:val="single"/>
        </w:rPr>
        <w:t>元/人•次（人民币）</w:t>
      </w:r>
      <w:r>
        <w:rPr>
          <w:rFonts w:hint="eastAsia" w:ascii="宋体" w:hAnsi="宋体" w:eastAsia="宋体" w:cs="宋体"/>
          <w:color w:val="auto"/>
          <w:sz w:val="21"/>
          <w:szCs w:val="21"/>
          <w:highlight w:val="none"/>
        </w:rPr>
        <w:t>。</w:t>
      </w:r>
    </w:p>
    <w:p w14:paraId="70872054">
      <w:pPr>
        <w:pStyle w:val="11"/>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3.3.6工程例会要求：承包人项目经理、项目技术负责人、水电负责人、质量 员、安全员必须参加由监理人主持的每周工程例会，因故不能参加的应提前4小时 向监理或项目总监提出书面申请并在获得总监批准后方可缺席（最多只能1人缺席 ），否则承包人须向发包人支付违约金 500元/人•次</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 xml:space="preserve">迟到的承包人须向发包人支 付违约金 200元/人•次。 </w:t>
      </w:r>
    </w:p>
    <w:p w14:paraId="4CA3D847">
      <w:pPr>
        <w:pStyle w:val="11"/>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3.3.7对承包人工作人员的要求：对于下列承包人工作人员，发包人有权要求 及时更换，承包人在收到书面通知后必须在24小时内将其调离本工程范围，否则承 包人支付违约金 1000元/人•次；同时，承包人应在48 小时内用发包人批准的合格 的人员代替上述调离的人员。</w:t>
      </w:r>
    </w:p>
    <w:p w14:paraId="38FFFE12">
      <w:pPr>
        <w:pStyle w:val="11"/>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（1）分部分项工程经两次验收仍不能满足要求的主要责任者（指施工员、班组长、质量员、工长）； </w:t>
      </w:r>
    </w:p>
    <w:p w14:paraId="31D1D4A4">
      <w:pPr>
        <w:pStyle w:val="11"/>
        <w:pageBreakBefore w:val="0"/>
        <w:widowControl w:val="0"/>
        <w:numPr>
          <w:ilvl w:val="0"/>
          <w:numId w:val="6"/>
        </w:numPr>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专业水平达不到岗位要求、工作责任心不强的施工人员； </w:t>
      </w:r>
    </w:p>
    <w:p w14:paraId="0D53BFB3">
      <w:pPr>
        <w:pStyle w:val="11"/>
        <w:pageBreakBefore w:val="0"/>
        <w:widowControl w:val="0"/>
        <w:numPr>
          <w:ilvl w:val="0"/>
          <w:numId w:val="6"/>
        </w:numPr>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不能积极配合监理和</w:t>
      </w:r>
      <w:r>
        <w:rPr>
          <w:rFonts w:hint="eastAsia" w:hAnsi="宋体" w:cs="宋体"/>
          <w:color w:val="auto"/>
          <w:sz w:val="21"/>
          <w:szCs w:val="21"/>
          <w:highlight w:val="none"/>
          <w:lang w:val="en-US" w:eastAsia="zh-CN"/>
        </w:rPr>
        <w:t>发包人</w:t>
      </w:r>
      <w:r>
        <w:rPr>
          <w:rFonts w:hint="eastAsia" w:ascii="宋体" w:hAnsi="宋体" w:eastAsia="宋体" w:cs="宋体"/>
          <w:color w:val="auto"/>
          <w:sz w:val="21"/>
          <w:szCs w:val="21"/>
          <w:highlight w:val="none"/>
          <w:lang w:val="en-US" w:eastAsia="zh-CN"/>
        </w:rPr>
        <w:t xml:space="preserve">管理的工作人员； </w:t>
      </w:r>
    </w:p>
    <w:p w14:paraId="51CF902F">
      <w:pPr>
        <w:pStyle w:val="11"/>
        <w:pageBreakBefore w:val="0"/>
        <w:widowControl w:val="0"/>
        <w:numPr>
          <w:ilvl w:val="0"/>
          <w:numId w:val="6"/>
        </w:numPr>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违反发包人或承包人工地现场管理规定者； </w:t>
      </w:r>
    </w:p>
    <w:p w14:paraId="7DEE288C">
      <w:pPr>
        <w:pStyle w:val="11"/>
        <w:pageBreakBefore w:val="0"/>
        <w:widowControl w:val="0"/>
        <w:numPr>
          <w:ilvl w:val="0"/>
          <w:numId w:val="6"/>
        </w:numPr>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高空抛弃建筑垃圾者及随地大小便者； </w:t>
      </w:r>
    </w:p>
    <w:p w14:paraId="3BA50001">
      <w:pPr>
        <w:pStyle w:val="11"/>
        <w:pageBreakBefore w:val="0"/>
        <w:widowControl w:val="0"/>
        <w:numPr>
          <w:ilvl w:val="0"/>
          <w:numId w:val="6"/>
        </w:numPr>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无证上岗者； </w:t>
      </w:r>
    </w:p>
    <w:p w14:paraId="57DF5F85">
      <w:pPr>
        <w:pStyle w:val="11"/>
        <w:pageBreakBefore w:val="0"/>
        <w:widowControl w:val="0"/>
        <w:numPr>
          <w:ilvl w:val="0"/>
          <w:numId w:val="6"/>
        </w:numPr>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与投标书及本合同规定名册不符者； </w:t>
      </w:r>
    </w:p>
    <w:p w14:paraId="64F79804">
      <w:pPr>
        <w:pStyle w:val="11"/>
        <w:pageBreakBefore w:val="0"/>
        <w:widowControl w:val="0"/>
        <w:numPr>
          <w:ilvl w:val="0"/>
          <w:numId w:val="0"/>
        </w:numPr>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（8）与本工程施工无关及对本工程产生不良影响的其他人员。</w:t>
      </w:r>
    </w:p>
    <w:p w14:paraId="217B86E8">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337" w:name="_Toc407135212"/>
      <w:bookmarkStart w:id="338" w:name="_Toc373478357"/>
      <w:bookmarkStart w:id="339" w:name="_Toc373227710"/>
      <w:bookmarkStart w:id="340" w:name="_Toc25444"/>
      <w:bookmarkStart w:id="341" w:name="_Toc389065276"/>
      <w:bookmarkStart w:id="342" w:name="_Toc16226"/>
      <w:bookmarkStart w:id="343" w:name="_Toc12609367"/>
      <w:r>
        <w:rPr>
          <w:rFonts w:hint="eastAsia" w:ascii="宋体" w:hAnsi="宋体" w:eastAsia="宋体" w:cs="宋体"/>
          <w:color w:val="auto"/>
          <w:sz w:val="21"/>
          <w:szCs w:val="21"/>
          <w:highlight w:val="none"/>
        </w:rPr>
        <w:t>3</w:t>
      </w:r>
      <w:bookmarkStart w:id="344" w:name="_Toc296346660"/>
      <w:bookmarkStart w:id="345" w:name="_Toc297123492"/>
      <w:bookmarkStart w:id="346" w:name="_Toc292559869"/>
      <w:bookmarkStart w:id="347" w:name="_Toc296890987"/>
      <w:bookmarkStart w:id="348" w:name="_Toc297048345"/>
      <w:bookmarkStart w:id="349" w:name="_Toc297216151"/>
      <w:bookmarkStart w:id="350" w:name="_Toc304295523"/>
      <w:bookmarkStart w:id="351" w:name="_Toc296891199"/>
      <w:bookmarkStart w:id="352" w:name="_Toc296347158"/>
      <w:bookmarkStart w:id="353" w:name="_Toc296503159"/>
      <w:bookmarkStart w:id="354" w:name="_Toc312677988"/>
      <w:bookmarkStart w:id="355" w:name="_Toc297120459"/>
      <w:bookmarkStart w:id="356" w:name="_Toc300934945"/>
      <w:bookmarkStart w:id="357" w:name="_Toc296944498"/>
      <w:bookmarkStart w:id="358" w:name="_Toc303539102"/>
      <w:bookmarkStart w:id="359" w:name="_Toc292559364"/>
      <w:r>
        <w:rPr>
          <w:rFonts w:hint="eastAsia" w:ascii="宋体" w:hAnsi="宋体" w:eastAsia="宋体" w:cs="宋体"/>
          <w:color w:val="auto"/>
          <w:sz w:val="21"/>
          <w:szCs w:val="21"/>
          <w:highlight w:val="none"/>
        </w:rPr>
        <w:t>.5 分包</w:t>
      </w:r>
      <w:bookmarkEnd w:id="337"/>
      <w:bookmarkEnd w:id="338"/>
      <w:bookmarkEnd w:id="339"/>
      <w:bookmarkEnd w:id="340"/>
      <w:bookmarkEnd w:id="341"/>
      <w:bookmarkEnd w:id="342"/>
      <w:bookmarkEnd w:id="343"/>
    </w:p>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14:paraId="7CD59C1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360" w:name="_Toc296890988"/>
      <w:bookmarkStart w:id="361" w:name="_Toc297048346"/>
      <w:bookmarkStart w:id="362" w:name="_Toc297120460"/>
      <w:bookmarkStart w:id="363" w:name="_Toc300934946"/>
      <w:bookmarkStart w:id="364" w:name="_Toc296347159"/>
      <w:bookmarkStart w:id="365" w:name="_Toc292559365"/>
      <w:bookmarkStart w:id="366" w:name="_Toc296346661"/>
      <w:bookmarkStart w:id="367" w:name="_Toc303539103"/>
      <w:bookmarkStart w:id="368" w:name="_Toc296944499"/>
      <w:bookmarkStart w:id="369" w:name="_Toc304295524"/>
      <w:bookmarkStart w:id="370" w:name="_Toc297123493"/>
      <w:bookmarkStart w:id="371" w:name="_Toc297216152"/>
      <w:bookmarkStart w:id="372" w:name="_Toc296503160"/>
      <w:bookmarkStart w:id="373" w:name="_Toc312677989"/>
      <w:bookmarkStart w:id="374" w:name="_Toc296891200"/>
      <w:bookmarkStart w:id="375" w:name="_Toc292559870"/>
      <w:bookmarkStart w:id="376" w:name="_Toc318581158"/>
      <w:r>
        <w:rPr>
          <w:rFonts w:hint="eastAsia" w:ascii="宋体" w:hAnsi="宋体" w:eastAsia="宋体" w:cs="宋体"/>
          <w:color w:val="auto"/>
          <w:sz w:val="21"/>
          <w:szCs w:val="21"/>
          <w:highlight w:val="none"/>
        </w:rPr>
        <w:t>.5.1 分包的一般约定</w:t>
      </w:r>
    </w:p>
    <w:p w14:paraId="24AE7FF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禁止分包的工程包括：</w:t>
      </w:r>
      <w:r>
        <w:rPr>
          <w:rFonts w:hint="eastAsia" w:ascii="宋体" w:hAnsi="宋体" w:eastAsia="宋体" w:cs="宋体"/>
          <w:color w:val="auto"/>
          <w:sz w:val="21"/>
          <w:szCs w:val="21"/>
          <w:highlight w:val="none"/>
          <w:u w:val="single"/>
        </w:rPr>
        <w:t xml:space="preserve">本项目禁止分包                          </w:t>
      </w:r>
      <w:r>
        <w:rPr>
          <w:rFonts w:hint="eastAsia" w:ascii="宋体" w:hAnsi="宋体" w:eastAsia="宋体" w:cs="宋体"/>
          <w:color w:val="auto"/>
          <w:sz w:val="21"/>
          <w:szCs w:val="21"/>
          <w:highlight w:val="none"/>
        </w:rPr>
        <w:t>。</w:t>
      </w:r>
    </w:p>
    <w:p w14:paraId="799B97B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sz w:val="21"/>
          <w:szCs w:val="21"/>
          <w:highlight w:val="none"/>
          <w:u w:val="single"/>
        </w:rPr>
        <w:t xml:space="preserve">   项目招标清单所列范围      </w:t>
      </w:r>
      <w:r>
        <w:rPr>
          <w:rFonts w:hint="eastAsia" w:ascii="宋体" w:hAnsi="宋体" w:eastAsia="宋体" w:cs="宋体"/>
          <w:color w:val="auto"/>
          <w:sz w:val="21"/>
          <w:szCs w:val="21"/>
          <w:highlight w:val="none"/>
        </w:rPr>
        <w:t>。</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02A4D46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377" w:name="_Toc318581159"/>
      <w:bookmarkStart w:id="378" w:name="_Toc312677990"/>
      <w:r>
        <w:rPr>
          <w:rFonts w:hint="eastAsia" w:ascii="宋体" w:hAnsi="宋体" w:eastAsia="宋体" w:cs="宋体"/>
          <w:color w:val="auto"/>
          <w:sz w:val="21"/>
          <w:szCs w:val="21"/>
          <w:highlight w:val="none"/>
        </w:rPr>
        <w:t>.5.2 分包的确定</w:t>
      </w:r>
    </w:p>
    <w:p w14:paraId="5E53CBF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354F4D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其他关于分包的约定：</w:t>
      </w:r>
    </w:p>
    <w:p w14:paraId="180F96C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6。</w:t>
      </w:r>
    </w:p>
    <w:p w14:paraId="41ECDC2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（2）在相关分包合同签订并报送有关建设行政主管部门备案后7天内，承包人应当将一份副本提交给监理人，承包人应保障分包工作不得再次分包。</w:t>
      </w:r>
    </w:p>
    <w:p w14:paraId="2B6AF95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（3）未经承包人和监理人审批同意的分包工程和分包人，承包人有权拒绝验收分包工程和支付相应款项，由此引起的发包人费用增加和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或</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延误的工期由发包人承担。</w:t>
      </w:r>
    </w:p>
    <w:p w14:paraId="7894C8C4">
      <w:pPr>
        <w:pStyle w:val="11"/>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（4）承包人有以下情况之一者，发包人有权解除合同，并视情况扣除其履约保证金：</w:t>
      </w:r>
    </w:p>
    <w:p w14:paraId="0C9C15D6">
      <w:pPr>
        <w:pStyle w:val="11"/>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①个人承包工程，包括本人单位及外单位人员承包，发包人不承认其个人拥有任何资质等级及营业许可资格。没收全部履约保证金。</w:t>
      </w:r>
    </w:p>
    <w:p w14:paraId="068BA7F5">
      <w:pPr>
        <w:pStyle w:val="11"/>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②几个人联合承包工程，就地组织暗分包队伍，不具备完成本工程的技术、机械能力，被发包人判定为没有能力履行的承包人。没收全部履约保证金。</w:t>
      </w:r>
    </w:p>
    <w:p w14:paraId="7CE88655">
      <w:pPr>
        <w:pStyle w:val="11"/>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③就地转包全部的工程，以谋取高额转让费、管理费的承包人。没收全部履约保证金。</w:t>
      </w:r>
    </w:p>
    <w:p w14:paraId="201767D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④承包人有部分分包现象（其中包括冒充承包人下属单位的</w:t>
      </w:r>
      <w:r>
        <w:rPr>
          <w:rFonts w:hint="eastAsia" w:ascii="宋体" w:hAnsi="宋体" w:cs="宋体"/>
          <w:color w:val="auto"/>
          <w:sz w:val="21"/>
          <w:szCs w:val="21"/>
          <w:highlight w:val="none"/>
          <w:lang w:eastAsia="zh-CN"/>
        </w:rPr>
        <w:t>挂钩</w:t>
      </w:r>
      <w:r>
        <w:rPr>
          <w:rFonts w:hint="eastAsia" w:ascii="宋体" w:hAnsi="宋体" w:eastAsia="宋体" w:cs="宋体"/>
          <w:color w:val="auto"/>
          <w:sz w:val="21"/>
          <w:szCs w:val="21"/>
          <w:highlight w:val="none"/>
        </w:rPr>
        <w:t>单位，凭口头协议参与施工的分包人及其他暗分包个体户），一经发现核实，发包人将采取驱逐该暗分包人措施。没收全部履约保证金。</w:t>
      </w:r>
    </w:p>
    <w:p w14:paraId="589B66F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3.5.4 分包合同价款</w:t>
      </w:r>
    </w:p>
    <w:bookmarkEnd w:id="377"/>
    <w:bookmarkEnd w:id="378"/>
    <w:p w14:paraId="3F7E80A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379" w:name="_Toc373478358"/>
      <w:bookmarkStart w:id="380" w:name="_Toc389065277"/>
      <w:bookmarkStart w:id="381" w:name="_Toc373227711"/>
      <w:r>
        <w:rPr>
          <w:rFonts w:hint="eastAsia" w:ascii="宋体" w:hAnsi="宋体" w:eastAsia="宋体" w:cs="宋体"/>
          <w:color w:val="auto"/>
          <w:sz w:val="21"/>
          <w:szCs w:val="21"/>
          <w:highlight w:val="none"/>
        </w:rPr>
        <w:t>关于分包合同价款支付的约定：</w:t>
      </w:r>
      <w:r>
        <w:rPr>
          <w:rFonts w:hint="eastAsia" w:ascii="宋体" w:hAnsi="宋体" w:eastAsia="宋体" w:cs="宋体"/>
          <w:color w:val="auto"/>
          <w:sz w:val="21"/>
          <w:szCs w:val="21"/>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3305A811">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382" w:name="_Toc12609368"/>
      <w:bookmarkStart w:id="383" w:name="_Toc407135213"/>
      <w:bookmarkStart w:id="384" w:name="_Toc18853"/>
      <w:bookmarkStart w:id="385" w:name="_Toc1876"/>
      <w:r>
        <w:rPr>
          <w:rFonts w:hint="eastAsia" w:ascii="宋体" w:hAnsi="宋体" w:eastAsia="宋体" w:cs="宋体"/>
          <w:color w:val="auto"/>
          <w:sz w:val="21"/>
          <w:szCs w:val="21"/>
          <w:highlight w:val="none"/>
        </w:rPr>
        <w:t>3.6 工程照管与成品、半成品保护</w:t>
      </w:r>
      <w:bookmarkEnd w:id="379"/>
      <w:bookmarkEnd w:id="380"/>
      <w:bookmarkEnd w:id="381"/>
      <w:bookmarkEnd w:id="382"/>
      <w:bookmarkEnd w:id="383"/>
      <w:bookmarkEnd w:id="384"/>
      <w:bookmarkEnd w:id="385"/>
    </w:p>
    <w:p w14:paraId="28D7040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承包人负责照管工程及工程相关的材料、工程设备的起始时间：</w:t>
      </w:r>
      <w:r>
        <w:rPr>
          <w:rFonts w:hint="eastAsia" w:ascii="宋体" w:hAnsi="宋体" w:eastAsia="宋体" w:cs="宋体"/>
          <w:color w:val="auto"/>
          <w:kern w:val="0"/>
          <w:sz w:val="21"/>
          <w:szCs w:val="21"/>
          <w:highlight w:val="none"/>
          <w:u w:val="single"/>
        </w:rPr>
        <w:t>工程接收证书颁发前，承</w:t>
      </w:r>
    </w:p>
    <w:p w14:paraId="515E152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u w:val="single"/>
        </w:rPr>
        <w:t>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w:t>
      </w:r>
      <w:r>
        <w:rPr>
          <w:rFonts w:hint="eastAsia" w:ascii="宋体" w:hAnsi="宋体" w:eastAsia="宋体" w:cs="宋体"/>
          <w:color w:val="auto"/>
          <w:kern w:val="0"/>
          <w:sz w:val="21"/>
          <w:szCs w:val="21"/>
          <w:highlight w:val="none"/>
        </w:rPr>
        <w:t>。</w:t>
      </w:r>
    </w:p>
    <w:p w14:paraId="4A99D056">
      <w:pPr>
        <w:pStyle w:val="27"/>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 xml:space="preserve">3.7 </w:t>
      </w:r>
      <w:bookmarkStart w:id="386" w:name="OLE_LINK4"/>
      <w:r>
        <w:rPr>
          <w:rFonts w:hint="eastAsia" w:ascii="宋体" w:hAnsi="宋体" w:eastAsia="宋体" w:cs="宋体"/>
          <w:b/>
          <w:bCs/>
          <w:color w:val="auto"/>
          <w:kern w:val="2"/>
          <w:sz w:val="21"/>
          <w:szCs w:val="21"/>
          <w:highlight w:val="none"/>
          <w:lang w:val="en-US" w:eastAsia="zh-CN" w:bidi="ar-SA"/>
        </w:rPr>
        <w:t>履约保证金</w:t>
      </w:r>
      <w:bookmarkEnd w:id="386"/>
      <w:r>
        <w:rPr>
          <w:rFonts w:hint="eastAsia" w:ascii="宋体" w:hAnsi="宋体" w:eastAsia="宋体" w:cs="宋体"/>
          <w:b/>
          <w:bCs/>
          <w:color w:val="auto"/>
          <w:kern w:val="2"/>
          <w:sz w:val="21"/>
          <w:szCs w:val="21"/>
          <w:highlight w:val="none"/>
          <w:lang w:val="en-US" w:eastAsia="zh-CN" w:bidi="ar-SA"/>
        </w:rPr>
        <w:t xml:space="preserve"> </w:t>
      </w:r>
    </w:p>
    <w:p w14:paraId="21063C71">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本项目不收取履约保证金。</w:t>
      </w:r>
    </w:p>
    <w:p w14:paraId="2192B8E6">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承包人提供履约担保的形式、金额及</w:t>
      </w:r>
      <w:r>
        <w:rPr>
          <w:rFonts w:hint="eastAsia" w:hAnsi="宋体" w:cs="宋体"/>
          <w:color w:val="auto"/>
          <w:kern w:val="2"/>
          <w:sz w:val="21"/>
          <w:szCs w:val="21"/>
          <w:highlight w:val="none"/>
          <w:lang w:val="en-US" w:eastAsia="zh-CN" w:bidi="ar-SA"/>
        </w:rPr>
        <w:t>期限</w:t>
      </w:r>
      <w:r>
        <w:rPr>
          <w:rFonts w:hint="eastAsia" w:ascii="宋体" w:hAnsi="宋体" w:eastAsia="宋体" w:cs="宋体"/>
          <w:color w:val="auto"/>
          <w:kern w:val="2"/>
          <w:sz w:val="21"/>
          <w:szCs w:val="21"/>
          <w:highlight w:val="none"/>
          <w:lang w:val="en-US" w:eastAsia="zh-CN" w:bidi="ar-SA"/>
        </w:rPr>
        <w:t>：</w:t>
      </w:r>
    </w:p>
    <w:p w14:paraId="529D0229">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履约保证金的形式：可以采用现金、银行保函、工程担保或保证保险等形式。</w:t>
      </w:r>
    </w:p>
    <w:p w14:paraId="49ABC352">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承包人在收到成交通知书后，须在30日内向发包人提交</w:t>
      </w:r>
      <w:r>
        <w:rPr>
          <w:rFonts w:hint="eastAsia" w:ascii="宋体" w:hAnsi="宋体" w:eastAsia="宋体" w:cs="宋体"/>
          <w:color w:val="auto"/>
          <w:kern w:val="2"/>
          <w:sz w:val="21"/>
          <w:szCs w:val="21"/>
          <w:highlight w:val="none"/>
          <w:u w:val="single"/>
          <w:lang w:val="en-US" w:eastAsia="zh-CN" w:bidi="ar-SA"/>
        </w:rPr>
        <w:t>合同价款的  %</w:t>
      </w:r>
      <w:r>
        <w:rPr>
          <w:rFonts w:hint="eastAsia" w:ascii="宋体" w:hAnsi="宋体" w:eastAsia="宋体" w:cs="宋体"/>
          <w:color w:val="auto"/>
          <w:kern w:val="2"/>
          <w:sz w:val="21"/>
          <w:szCs w:val="21"/>
          <w:highlight w:val="none"/>
          <w:lang w:val="en-US" w:eastAsia="zh-CN" w:bidi="ar-SA"/>
        </w:rPr>
        <w:t>的履约 担保（格式见合同附件7）。履约担保的有效期应当自本合同生效之日起至发包人签认并由监理人向承包人出具《竣工验收证书》（竣工证明材料名称）之日止。如果 承包人无法获得一份不带具体截止日期的担保，履约担保中应当有“变更工程竣工日期的，保证期间按照变更后的竣工日期做相应调整”或类似约定的条款。如若工程在合同约定工期内未能完工的，承包人应于履约担保期限届满前30日及时办理续保事宜，否则，因承包人没有及时办理续保导致履约保证金与合同工期脱节的，承包人应承担由此给发包人造成的全部损失，并且，发包人有权在应付工程款中扣除 相当于履约担保额的保证金。</w:t>
      </w:r>
    </w:p>
    <w:p w14:paraId="6BBAC50B">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承包人向发包人完成（施工）竣工资料移交手续后，可向发包人申请退还履约保证金，发包人应在收到申请之日起28个日历天内扣减承包人赔偿金和其他应从承 包人扣回的款项后，将履约金退给承包人（无息）。</w:t>
      </w:r>
    </w:p>
    <w:p w14:paraId="06D55FA2">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承包人在中标后7个工作日内，按照《保障农民工工资支付条例》规定及广西壮族自治区有关规定开设农民工工资专用账户，并按比例将农民工工资保证金存入 账户，也可以使用银行保函。工程竣工验收结算经审定后，按照规定程序，将农民 工工资保障金没有使用或剩余的金额退还给承包人。</w:t>
      </w:r>
    </w:p>
    <w:p w14:paraId="18106341">
      <w:pPr>
        <w:pStyle w:val="3"/>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387" w:name="_Toc407135215"/>
      <w:bookmarkStart w:id="388" w:name="_Toc10419"/>
      <w:bookmarkStart w:id="389" w:name="_Toc373227713"/>
      <w:bookmarkStart w:id="390" w:name="_Toc389065279"/>
      <w:bookmarkStart w:id="391" w:name="_Toc12609370"/>
      <w:bookmarkStart w:id="392" w:name="_Toc351203636"/>
      <w:bookmarkStart w:id="393" w:name="_Toc25737"/>
      <w:bookmarkStart w:id="394" w:name="_Toc373478360"/>
      <w:r>
        <w:rPr>
          <w:rFonts w:hint="eastAsia" w:ascii="宋体" w:hAnsi="宋体" w:eastAsia="宋体" w:cs="宋体"/>
          <w:color w:val="auto"/>
          <w:sz w:val="21"/>
          <w:szCs w:val="21"/>
          <w:highlight w:val="none"/>
        </w:rPr>
        <w:t>4</w:t>
      </w:r>
      <w:bookmarkStart w:id="395" w:name="_Toc292559366"/>
      <w:bookmarkStart w:id="396" w:name="_Toc267251413"/>
      <w:bookmarkStart w:id="397" w:name="_Toc297048348"/>
      <w:bookmarkStart w:id="398" w:name="_Toc292559871"/>
      <w:bookmarkStart w:id="399" w:name="_Toc296347161"/>
      <w:bookmarkStart w:id="400" w:name="_Toc296890990"/>
      <w:bookmarkStart w:id="401" w:name="_Toc296891202"/>
      <w:bookmarkStart w:id="402" w:name="_Toc296346663"/>
      <w:bookmarkStart w:id="403" w:name="_Toc296944501"/>
      <w:bookmarkStart w:id="404" w:name="_Toc297120462"/>
      <w:bookmarkStart w:id="405" w:name="_Toc296503162"/>
      <w:r>
        <w:rPr>
          <w:rFonts w:hint="eastAsia" w:ascii="宋体" w:hAnsi="宋体" w:eastAsia="宋体" w:cs="宋体"/>
          <w:color w:val="auto"/>
          <w:sz w:val="21"/>
          <w:szCs w:val="21"/>
          <w:highlight w:val="none"/>
        </w:rPr>
        <w:t>. 监</w:t>
      </w:r>
      <w:bookmarkEnd w:id="395"/>
      <w:bookmarkEnd w:id="396"/>
      <w:bookmarkEnd w:id="397"/>
      <w:bookmarkEnd w:id="398"/>
      <w:bookmarkEnd w:id="399"/>
      <w:bookmarkEnd w:id="400"/>
      <w:bookmarkEnd w:id="401"/>
      <w:bookmarkEnd w:id="402"/>
      <w:bookmarkEnd w:id="403"/>
      <w:bookmarkEnd w:id="404"/>
      <w:bookmarkEnd w:id="405"/>
      <w:r>
        <w:rPr>
          <w:rFonts w:hint="eastAsia" w:ascii="宋体" w:hAnsi="宋体" w:eastAsia="宋体" w:cs="宋体"/>
          <w:color w:val="auto"/>
          <w:sz w:val="21"/>
          <w:szCs w:val="21"/>
          <w:highlight w:val="none"/>
        </w:rPr>
        <w:t>理人</w:t>
      </w:r>
      <w:bookmarkEnd w:id="387"/>
      <w:bookmarkEnd w:id="388"/>
      <w:bookmarkEnd w:id="389"/>
      <w:bookmarkEnd w:id="390"/>
      <w:bookmarkEnd w:id="391"/>
      <w:bookmarkEnd w:id="392"/>
      <w:bookmarkEnd w:id="393"/>
      <w:bookmarkEnd w:id="394"/>
    </w:p>
    <w:p w14:paraId="4A305AA3">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406" w:name="_Toc12609371"/>
      <w:bookmarkStart w:id="407" w:name="_Toc7180"/>
      <w:bookmarkStart w:id="408" w:name="_Toc1078"/>
      <w:bookmarkStart w:id="409" w:name="_Toc373478361"/>
      <w:bookmarkStart w:id="410" w:name="_Toc373227714"/>
      <w:bookmarkStart w:id="411" w:name="_Toc389065280"/>
      <w:bookmarkStart w:id="412" w:name="_Toc407135216"/>
      <w:r>
        <w:rPr>
          <w:rFonts w:hint="eastAsia" w:ascii="宋体" w:hAnsi="宋体" w:eastAsia="宋体" w:cs="宋体"/>
          <w:color w:val="auto"/>
          <w:sz w:val="21"/>
          <w:szCs w:val="21"/>
          <w:highlight w:val="none"/>
        </w:rPr>
        <w:t>4.1 监理人的一般规定</w:t>
      </w:r>
      <w:bookmarkEnd w:id="406"/>
      <w:bookmarkEnd w:id="407"/>
      <w:bookmarkEnd w:id="408"/>
      <w:bookmarkEnd w:id="409"/>
      <w:bookmarkEnd w:id="410"/>
      <w:bookmarkEnd w:id="411"/>
      <w:bookmarkEnd w:id="412"/>
    </w:p>
    <w:p w14:paraId="1C6458D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关于监理人的监理内容：</w:t>
      </w:r>
      <w:r>
        <w:rPr>
          <w:rFonts w:hint="eastAsia" w:ascii="宋体" w:hAnsi="宋体" w:eastAsia="宋体" w:cs="宋体"/>
          <w:color w:val="auto"/>
          <w:sz w:val="21"/>
          <w:szCs w:val="21"/>
          <w:highlight w:val="none"/>
          <w:u w:val="single"/>
        </w:rPr>
        <w:t>施工过程中的质量、进度、费用控制，安全生产监督管理、合同、</w:t>
      </w:r>
    </w:p>
    <w:p w14:paraId="450A7EA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信息方面的协调管理；保修阶段检查和记录工程质量缺陷，对缺陷原因进行调查分析并确定责任归属，审核修复方案，监督修复过程并验收，审核修复费用。具体工作包括审查施工承包人提交的施工组织设计，专项施工方案与工程建设强制性标准的符合性；检查施工承包人工程质量、安全、施工进度；审查施工承包人报送的工程材料、构配件、设备质量证明文件的有效性和符合性；签发工程暂停令和复工令；验收隐蔽工程、分部分项工程；参与工程变更的审核签认，协助发包人核签现场发生的签证，最终须经发包人认可后作为结算的依据，审核月进度工作报表并报发包人审批；审核工程款支付申请；参加工程竣工验收等。</w:t>
      </w:r>
    </w:p>
    <w:p w14:paraId="24AB415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关于监理人的监理权限：</w:t>
      </w:r>
      <w:r>
        <w:rPr>
          <w:rFonts w:hint="eastAsia" w:ascii="宋体" w:hAnsi="宋体" w:eastAsia="宋体" w:cs="宋体"/>
          <w:color w:val="auto"/>
          <w:sz w:val="21"/>
          <w:szCs w:val="21"/>
          <w:highlight w:val="none"/>
          <w:u w:val="single"/>
        </w:rPr>
        <w:t xml:space="preserve"> 工程暂停令和复工令签发、参与工程变更的审核签认、审核月进度工作报表以及审核工程款支付申请最终均须经发包人审批确认 </w:t>
      </w:r>
      <w:r>
        <w:rPr>
          <w:rFonts w:hint="eastAsia" w:ascii="宋体" w:hAnsi="宋体" w:eastAsia="宋体" w:cs="宋体"/>
          <w:color w:val="auto"/>
          <w:sz w:val="21"/>
          <w:szCs w:val="21"/>
          <w:highlight w:val="none"/>
        </w:rPr>
        <w:t xml:space="preserve">。 </w:t>
      </w:r>
    </w:p>
    <w:p w14:paraId="74A6BBC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关于监理人在施工现场的办公场所、生活场所的提供和费用承担的约定：</w:t>
      </w:r>
      <w:r>
        <w:rPr>
          <w:rFonts w:hint="eastAsia" w:ascii="宋体" w:hAnsi="宋体" w:eastAsia="宋体" w:cs="宋体"/>
          <w:color w:val="auto"/>
          <w:sz w:val="21"/>
          <w:szCs w:val="21"/>
          <w:highlight w:val="none"/>
          <w:u w:val="single"/>
        </w:rPr>
        <w:t xml:space="preserve">  由监理人自行承担    </w:t>
      </w:r>
      <w:r>
        <w:rPr>
          <w:rFonts w:hint="eastAsia" w:ascii="宋体" w:hAnsi="宋体" w:eastAsia="宋体" w:cs="宋体"/>
          <w:color w:val="auto"/>
          <w:sz w:val="21"/>
          <w:szCs w:val="21"/>
          <w:highlight w:val="none"/>
        </w:rPr>
        <w:t>。</w:t>
      </w:r>
    </w:p>
    <w:p w14:paraId="687B68D2">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413" w:name="_Toc373227715"/>
      <w:bookmarkStart w:id="414" w:name="_Toc373478362"/>
      <w:bookmarkStart w:id="415" w:name="_Toc18829"/>
      <w:bookmarkStart w:id="416" w:name="_Toc12609372"/>
      <w:bookmarkStart w:id="417" w:name="_Toc28955"/>
      <w:bookmarkStart w:id="418" w:name="_Toc389065281"/>
      <w:bookmarkStart w:id="419" w:name="_Toc407135217"/>
      <w:r>
        <w:rPr>
          <w:rFonts w:hint="eastAsia" w:ascii="宋体" w:hAnsi="宋体" w:eastAsia="宋体" w:cs="宋体"/>
          <w:color w:val="auto"/>
          <w:sz w:val="21"/>
          <w:szCs w:val="21"/>
          <w:highlight w:val="none"/>
        </w:rPr>
        <w:t>4.2 监理人员</w:t>
      </w:r>
      <w:bookmarkEnd w:id="413"/>
      <w:bookmarkEnd w:id="414"/>
      <w:bookmarkEnd w:id="415"/>
      <w:bookmarkEnd w:id="416"/>
      <w:bookmarkEnd w:id="417"/>
      <w:bookmarkEnd w:id="418"/>
      <w:bookmarkEnd w:id="419"/>
    </w:p>
    <w:p w14:paraId="06FB0A5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总监理工程师：</w:t>
      </w:r>
    </w:p>
    <w:p w14:paraId="37DEA8A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F0D6FC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5E5E0A1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监理工程师执业资格证书号：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69A600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7692E1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058F55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6A487C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关于监理人的其他约定：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 xml:space="preserve">  /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299BF6C">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关于监理人的其他约定：工程监理在执行下列职责前应事先得到发包人的特别认可：</w:t>
      </w:r>
    </w:p>
    <w:p w14:paraId="14E2C94B">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 下达开工、停工指令或通知；</w:t>
      </w:r>
    </w:p>
    <w:p w14:paraId="4DE8A272">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 认可工程任何部分的分包及确认或同意分包人；</w:t>
      </w:r>
    </w:p>
    <w:p w14:paraId="18CFE6AC">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 批准任何工期顺延；</w:t>
      </w:r>
    </w:p>
    <w:p w14:paraId="37754D6E">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 对工期、工程造价有任何影响的变更指示；</w:t>
      </w:r>
    </w:p>
    <w:p w14:paraId="6F9ED7BD">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 确定变更估价；</w:t>
      </w:r>
    </w:p>
    <w:p w14:paraId="091CE95D">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 决定暂定金额、暂定项目、选择项目的使用或不使用；</w:t>
      </w:r>
    </w:p>
    <w:p w14:paraId="0E4CF040">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 发出接收证书或通过工程竣工验收；</w:t>
      </w:r>
    </w:p>
    <w:p w14:paraId="4CD91567">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 认可承包人的任何费用索赔。</w:t>
      </w:r>
    </w:p>
    <w:p w14:paraId="4C199FCE">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一切有关上述事宜而没有发包人签认的指令或行动将被视作无效。</w:t>
      </w:r>
    </w:p>
    <w:p w14:paraId="6FEB5DDF">
      <w:pPr>
        <w:pStyle w:val="27"/>
        <w:keepNext w:val="0"/>
        <w:keepLines w:val="0"/>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尽管</w:t>
      </w:r>
      <w:r>
        <w:rPr>
          <w:rFonts w:hint="eastAsia" w:hAnsi="宋体" w:cs="宋体"/>
          <w:color w:val="auto"/>
          <w:kern w:val="2"/>
          <w:sz w:val="21"/>
          <w:szCs w:val="21"/>
          <w:highlight w:val="none"/>
          <w:lang w:val="en-US" w:eastAsia="zh-CN" w:bidi="ar-SA"/>
        </w:rPr>
        <w:t>有</w:t>
      </w:r>
      <w:r>
        <w:rPr>
          <w:rFonts w:hint="eastAsia" w:ascii="宋体" w:hAnsi="宋体" w:eastAsia="宋体" w:cs="宋体"/>
          <w:color w:val="auto"/>
          <w:kern w:val="2"/>
          <w:sz w:val="21"/>
          <w:szCs w:val="21"/>
          <w:highlight w:val="none"/>
          <w:lang w:val="en-US" w:eastAsia="zh-CN" w:bidi="ar-SA"/>
        </w:rPr>
        <w:t>上述需征求特别许可的义务，但如果工程监理认为事故的发生会影响人员生命、工程或附近财产的安全，工程监理可以在不减轻承包人任何合同规定的责任和义务的情况下，指示承包人采取工程监理认为必要有效的措施及办法以排除及减低危险。尽管没有得到发包人的认可</w:t>
      </w:r>
      <w:r>
        <w:rPr>
          <w:rFonts w:hint="eastAsia"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承包人应立即执行该等有关的指令，此类指令承包人必须在发出后24小时内得到发包人的认可。除上述的紧急指令外，承包人因遵守须经发包人特别认可的而又未经发包人认可的指令而引致的索赔都不会获得接受。</w:t>
      </w:r>
    </w:p>
    <w:p w14:paraId="448C6DBD">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420" w:name="_Toc16536"/>
      <w:bookmarkStart w:id="421" w:name="_Toc389065282"/>
      <w:bookmarkStart w:id="422" w:name="_Toc373227716"/>
      <w:bookmarkStart w:id="423" w:name="_Toc12609373"/>
      <w:bookmarkStart w:id="424" w:name="_Toc373478363"/>
      <w:bookmarkStart w:id="425" w:name="_Toc407135218"/>
      <w:bookmarkStart w:id="426" w:name="_Toc12244"/>
      <w:r>
        <w:rPr>
          <w:rFonts w:hint="eastAsia" w:ascii="宋体" w:hAnsi="宋体" w:eastAsia="宋体" w:cs="宋体"/>
          <w:color w:val="auto"/>
          <w:sz w:val="21"/>
          <w:szCs w:val="21"/>
          <w:highlight w:val="none"/>
        </w:rPr>
        <w:t>4.4 商定或确定</w:t>
      </w:r>
      <w:bookmarkEnd w:id="420"/>
      <w:bookmarkEnd w:id="421"/>
      <w:bookmarkEnd w:id="422"/>
      <w:bookmarkEnd w:id="423"/>
      <w:bookmarkEnd w:id="424"/>
      <w:bookmarkEnd w:id="425"/>
      <w:bookmarkEnd w:id="426"/>
    </w:p>
    <w:p w14:paraId="4CF89A0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427" w:name="_Toc267251418"/>
      <w:r>
        <w:rPr>
          <w:rFonts w:hint="eastAsia" w:ascii="宋体" w:hAnsi="宋体" w:eastAsia="宋体" w:cs="宋体"/>
          <w:color w:val="auto"/>
          <w:sz w:val="21"/>
          <w:szCs w:val="21"/>
          <w:highlight w:val="none"/>
        </w:rPr>
        <w:t>在发包人和承包人不能通过协商达成一致意见时，发包人授权监理人对以下事项进行确定：</w:t>
      </w:r>
    </w:p>
    <w:p w14:paraId="045FD963">
      <w:pPr>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对隐蔽工程及中间部位的验收工作</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39E8515">
      <w:pPr>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479E90B0">
      <w:pPr>
        <w:pageBreakBefore w:val="0"/>
        <w:widowControl w:val="0"/>
        <w:kinsoku/>
        <w:wordWrap/>
        <w:overflowPunct/>
        <w:topLinePunct w:val="0"/>
        <w:autoSpaceDE w:val="0"/>
        <w:autoSpaceDN w:val="0"/>
        <w:bidi w:val="0"/>
        <w:adjustRightInd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53182622">
      <w:pPr>
        <w:pStyle w:val="3"/>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428" w:name="_Toc6238"/>
      <w:bookmarkStart w:id="429" w:name="_Toc373478364"/>
      <w:bookmarkStart w:id="430" w:name="_Toc10684"/>
      <w:bookmarkStart w:id="431" w:name="_Toc407135219"/>
      <w:bookmarkStart w:id="432" w:name="_Toc389065283"/>
      <w:bookmarkStart w:id="433" w:name="_Toc351203637"/>
      <w:bookmarkStart w:id="434" w:name="_Toc12609374"/>
      <w:bookmarkStart w:id="435" w:name="_Toc373227717"/>
      <w:r>
        <w:rPr>
          <w:rFonts w:hint="eastAsia" w:ascii="宋体" w:hAnsi="宋体" w:eastAsia="宋体" w:cs="宋体"/>
          <w:color w:val="auto"/>
          <w:sz w:val="21"/>
          <w:szCs w:val="21"/>
          <w:highlight w:val="none"/>
        </w:rPr>
        <w:t>5</w:t>
      </w:r>
      <w:bookmarkEnd w:id="427"/>
      <w:bookmarkStart w:id="436" w:name="_Toc292559872"/>
      <w:bookmarkStart w:id="437" w:name="_Toc297048349"/>
      <w:bookmarkStart w:id="438" w:name="_Toc297120463"/>
      <w:bookmarkStart w:id="439" w:name="_Toc296890991"/>
      <w:bookmarkStart w:id="440" w:name="_Toc292559367"/>
      <w:bookmarkStart w:id="441" w:name="_Toc296503163"/>
      <w:bookmarkStart w:id="442" w:name="_Toc296944502"/>
      <w:bookmarkStart w:id="443" w:name="_Toc296346664"/>
      <w:bookmarkStart w:id="444" w:name="_Toc296891203"/>
      <w:bookmarkStart w:id="445" w:name="_Toc296347162"/>
      <w:r>
        <w:rPr>
          <w:rFonts w:hint="eastAsia" w:ascii="宋体" w:hAnsi="宋体" w:eastAsia="宋体" w:cs="宋体"/>
          <w:color w:val="auto"/>
          <w:sz w:val="21"/>
          <w:szCs w:val="21"/>
          <w:highlight w:val="none"/>
        </w:rPr>
        <w:t>. 工程质量</w:t>
      </w:r>
      <w:bookmarkEnd w:id="428"/>
      <w:bookmarkEnd w:id="429"/>
      <w:bookmarkEnd w:id="430"/>
      <w:bookmarkEnd w:id="431"/>
      <w:bookmarkEnd w:id="432"/>
      <w:bookmarkEnd w:id="433"/>
      <w:bookmarkEnd w:id="434"/>
      <w:bookmarkEnd w:id="435"/>
    </w:p>
    <w:p w14:paraId="6D81FAAC">
      <w:pPr>
        <w:pStyle w:val="4"/>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446" w:name="_Toc389065284"/>
      <w:bookmarkStart w:id="447" w:name="_Toc12609375"/>
      <w:bookmarkStart w:id="448" w:name="_Toc373227718"/>
      <w:bookmarkStart w:id="449" w:name="_Toc4558"/>
      <w:bookmarkStart w:id="450" w:name="_Toc373478365"/>
      <w:bookmarkStart w:id="451" w:name="_Toc23730"/>
      <w:bookmarkStart w:id="452" w:name="_Toc407135220"/>
      <w:r>
        <w:rPr>
          <w:rFonts w:hint="eastAsia" w:ascii="宋体" w:hAnsi="宋体" w:eastAsia="宋体" w:cs="宋体"/>
          <w:color w:val="auto"/>
          <w:sz w:val="21"/>
          <w:szCs w:val="21"/>
          <w:highlight w:val="none"/>
        </w:rPr>
        <w:t>5.1 质量要求</w:t>
      </w:r>
      <w:bookmarkEnd w:id="446"/>
      <w:bookmarkEnd w:id="447"/>
      <w:bookmarkEnd w:id="448"/>
      <w:bookmarkEnd w:id="449"/>
      <w:bookmarkEnd w:id="450"/>
      <w:bookmarkEnd w:id="451"/>
      <w:bookmarkEnd w:id="452"/>
    </w:p>
    <w:p w14:paraId="390FEF2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w:t>
      </w:r>
      <w:bookmarkStart w:id="453" w:name="_Toc312677997"/>
      <w:bookmarkStart w:id="454" w:name="_Toc303539106"/>
      <w:bookmarkStart w:id="455" w:name="_Toc297216155"/>
      <w:bookmarkStart w:id="456" w:name="_Toc318581164"/>
      <w:bookmarkStart w:id="457" w:name="_Toc297123496"/>
      <w:bookmarkStart w:id="458" w:name="_Toc300934949"/>
      <w:bookmarkStart w:id="459" w:name="_Toc304295527"/>
      <w:r>
        <w:rPr>
          <w:rFonts w:hint="eastAsia" w:ascii="宋体" w:hAnsi="宋体" w:eastAsia="宋体" w:cs="宋体"/>
          <w:color w:val="auto"/>
          <w:sz w:val="21"/>
          <w:szCs w:val="21"/>
          <w:highlight w:val="none"/>
        </w:rPr>
        <w:t>.1.1 特殊质量标准和要求：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严格执行广西壮族自治区住房和城乡建设厅《关于严格实行房屋建筑和市政基础设施工程质量终身责任承诺、永久性质量责任标牌、终身责任信息档案等制 度的通知》</w:t>
      </w:r>
      <w:r>
        <w:rPr>
          <w:rFonts w:hint="eastAsia" w:ascii="宋体" w:hAnsi="宋体" w:cs="宋体"/>
          <w:b w:val="0"/>
          <w:bCs w:val="0"/>
          <w:color w:val="auto"/>
          <w:sz w:val="21"/>
          <w:szCs w:val="21"/>
          <w:highlight w:val="none"/>
          <w:u w:val="single"/>
          <w:lang w:eastAsia="zh-CN"/>
        </w:rPr>
        <w:t>（</w:t>
      </w:r>
      <w:r>
        <w:rPr>
          <w:rFonts w:hint="eastAsia" w:ascii="宋体" w:hAnsi="宋体" w:eastAsia="宋体" w:cs="宋体"/>
          <w:b w:val="0"/>
          <w:bCs w:val="0"/>
          <w:color w:val="auto"/>
          <w:sz w:val="21"/>
          <w:szCs w:val="21"/>
          <w:highlight w:val="none"/>
          <w:u w:val="single"/>
        </w:rPr>
        <w:t>桂建管</w:t>
      </w:r>
      <w:r>
        <w:rPr>
          <w:rFonts w:hint="eastAsia" w:ascii="宋体" w:hAnsi="宋体" w:cs="宋体"/>
          <w:b w:val="0"/>
          <w:bCs w:val="0"/>
          <w:color w:val="auto"/>
          <w:sz w:val="21"/>
          <w:szCs w:val="21"/>
          <w:highlight w:val="none"/>
          <w:u w:val="single"/>
          <w:lang w:eastAsia="zh-CN"/>
        </w:rPr>
        <w:t>〔2014〕</w:t>
      </w:r>
      <w:r>
        <w:rPr>
          <w:rFonts w:hint="eastAsia" w:ascii="宋体" w:hAnsi="宋体" w:eastAsia="宋体" w:cs="宋体"/>
          <w:b w:val="0"/>
          <w:bCs w:val="0"/>
          <w:color w:val="auto"/>
          <w:sz w:val="21"/>
          <w:szCs w:val="21"/>
          <w:highlight w:val="none"/>
          <w:u w:val="single"/>
        </w:rPr>
        <w:t>96 号</w:t>
      </w:r>
      <w:r>
        <w:rPr>
          <w:rFonts w:hint="eastAsia" w:ascii="宋体" w:hAnsi="宋体" w:cs="宋体"/>
          <w:b w:val="0"/>
          <w:bCs w:val="0"/>
          <w:color w:val="auto"/>
          <w:sz w:val="21"/>
          <w:szCs w:val="21"/>
          <w:highlight w:val="none"/>
          <w:u w:val="single"/>
          <w:lang w:eastAsia="zh-CN"/>
        </w:rPr>
        <w:t>）</w:t>
      </w:r>
      <w:r>
        <w:rPr>
          <w:rFonts w:hint="eastAsia" w:ascii="宋体" w:hAnsi="宋体" w:eastAsia="宋体" w:cs="宋体"/>
          <w:b w:val="0"/>
          <w:bCs w:val="0"/>
          <w:color w:val="auto"/>
          <w:sz w:val="21"/>
          <w:szCs w:val="21"/>
          <w:highlight w:val="none"/>
          <w:u w:val="single"/>
        </w:rPr>
        <w:t>要求，落实建设工程质量终身责任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5B4FC5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关于工程奖项的约定： 无。</w:t>
      </w:r>
    </w:p>
    <w:p w14:paraId="340BBD8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2"/>
        <w:rPr>
          <w:rFonts w:hint="eastAsia" w:ascii="宋体" w:hAnsi="宋体" w:eastAsia="宋体" w:cs="宋体"/>
          <w:color w:val="auto"/>
          <w:sz w:val="21"/>
          <w:szCs w:val="21"/>
          <w:highlight w:val="none"/>
        </w:rPr>
      </w:pPr>
      <w:bookmarkStart w:id="460" w:name="_Toc11545"/>
      <w:bookmarkStart w:id="461" w:name="_Toc26823"/>
      <w:r>
        <w:rPr>
          <w:rFonts w:hint="eastAsia" w:ascii="宋体" w:hAnsi="宋体" w:eastAsia="宋体" w:cs="宋体"/>
          <w:color w:val="auto"/>
          <w:sz w:val="21"/>
          <w:szCs w:val="21"/>
          <w:highlight w:val="none"/>
        </w:rPr>
        <w:t>5.3 隐蔽工程检查</w:t>
      </w:r>
      <w:bookmarkEnd w:id="460"/>
      <w:bookmarkEnd w:id="461"/>
    </w:p>
    <w:p w14:paraId="1A301F4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w:t>
      </w:r>
      <w:r>
        <w:rPr>
          <w:rFonts w:hint="eastAsia" w:ascii="宋体" w:hAnsi="宋体" w:cs="宋体"/>
          <w:color w:val="auto"/>
          <w:sz w:val="21"/>
          <w:szCs w:val="21"/>
          <w:highlight w:val="none"/>
          <w:lang w:eastAsia="zh-CN"/>
        </w:rPr>
        <w:t>，在</w:t>
      </w:r>
      <w:r>
        <w:rPr>
          <w:rFonts w:hint="eastAsia" w:ascii="宋体" w:hAnsi="宋体" w:eastAsia="宋体" w:cs="宋体"/>
          <w:color w:val="auto"/>
          <w:sz w:val="21"/>
          <w:szCs w:val="21"/>
          <w:highlight w:val="none"/>
        </w:rPr>
        <w:t>双</w:t>
      </w:r>
      <w:r>
        <w:rPr>
          <w:rFonts w:hint="eastAsia" w:ascii="宋体" w:hAnsi="宋体" w:cs="宋体"/>
          <w:color w:val="auto"/>
          <w:sz w:val="21"/>
          <w:szCs w:val="21"/>
          <w:highlight w:val="none"/>
          <w:lang w:eastAsia="zh-CN"/>
        </w:rPr>
        <w:t>方在商定</w:t>
      </w:r>
      <w:r>
        <w:rPr>
          <w:rFonts w:hint="eastAsia" w:ascii="宋体" w:hAnsi="宋体" w:eastAsia="宋体" w:cs="宋体"/>
          <w:color w:val="auto"/>
          <w:sz w:val="21"/>
          <w:szCs w:val="21"/>
          <w:highlight w:val="none"/>
        </w:rPr>
        <w:t>时限内修改后按上述</w:t>
      </w:r>
      <w:r>
        <w:rPr>
          <w:rFonts w:hint="eastAsia" w:ascii="宋体" w:hAnsi="宋体" w:cs="宋体"/>
          <w:color w:val="auto"/>
          <w:sz w:val="21"/>
          <w:szCs w:val="21"/>
          <w:highlight w:val="none"/>
          <w:lang w:eastAsia="zh-CN"/>
        </w:rPr>
        <w:t>顺序</w:t>
      </w:r>
      <w:r>
        <w:rPr>
          <w:rFonts w:hint="eastAsia" w:ascii="宋体" w:hAnsi="宋体" w:eastAsia="宋体" w:cs="宋体"/>
          <w:color w:val="auto"/>
          <w:sz w:val="21"/>
          <w:szCs w:val="21"/>
          <w:highlight w:val="none"/>
        </w:rPr>
        <w:t>重新验收。</w:t>
      </w:r>
    </w:p>
    <w:p w14:paraId="1746BD5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监理人不能按时进行检查时，应提前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024433F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小时。</w:t>
      </w:r>
    </w:p>
    <w:p w14:paraId="17C1F8EA">
      <w:pPr>
        <w:pStyle w:val="3"/>
        <w:pageBreakBefore w:val="0"/>
        <w:widowControl w:val="0"/>
        <w:kinsoku/>
        <w:wordWrap/>
        <w:overflowPunct/>
        <w:topLinePunct w:val="0"/>
        <w:bidi w:val="0"/>
        <w:snapToGrid/>
        <w:spacing w:before="0"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bookmarkStart w:id="462" w:name="_Toc407135221"/>
      <w:bookmarkStart w:id="463" w:name="_Toc17579"/>
      <w:bookmarkStart w:id="464" w:name="_Toc351203638"/>
      <w:bookmarkStart w:id="465" w:name="_Toc8890"/>
      <w:bookmarkStart w:id="466" w:name="_Toc373478366"/>
      <w:bookmarkStart w:id="467" w:name="_Toc389065285"/>
      <w:bookmarkStart w:id="468" w:name="_Toc12609376"/>
      <w:bookmarkStart w:id="469" w:name="_Toc373227719"/>
      <w:r>
        <w:rPr>
          <w:rFonts w:hint="eastAsia" w:ascii="宋体" w:hAnsi="宋体" w:eastAsia="宋体" w:cs="宋体"/>
          <w:color w:val="auto"/>
          <w:sz w:val="21"/>
          <w:szCs w:val="21"/>
          <w:highlight w:val="none"/>
        </w:rPr>
        <w:t>6. 安全文明施工与环境保护</w:t>
      </w:r>
      <w:bookmarkEnd w:id="462"/>
      <w:bookmarkEnd w:id="463"/>
      <w:bookmarkEnd w:id="464"/>
      <w:bookmarkEnd w:id="465"/>
      <w:bookmarkEnd w:id="466"/>
      <w:bookmarkEnd w:id="467"/>
      <w:bookmarkEnd w:id="468"/>
      <w:bookmarkEnd w:id="469"/>
    </w:p>
    <w:bookmarkEnd w:id="436"/>
    <w:bookmarkEnd w:id="437"/>
    <w:bookmarkEnd w:id="438"/>
    <w:bookmarkEnd w:id="439"/>
    <w:bookmarkEnd w:id="440"/>
    <w:bookmarkEnd w:id="441"/>
    <w:bookmarkEnd w:id="442"/>
    <w:bookmarkEnd w:id="443"/>
    <w:bookmarkEnd w:id="444"/>
    <w:bookmarkEnd w:id="445"/>
    <w:bookmarkEnd w:id="453"/>
    <w:bookmarkEnd w:id="454"/>
    <w:bookmarkEnd w:id="455"/>
    <w:bookmarkEnd w:id="456"/>
    <w:bookmarkEnd w:id="457"/>
    <w:bookmarkEnd w:id="458"/>
    <w:bookmarkEnd w:id="459"/>
    <w:p w14:paraId="4A5F622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6.1</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安全文明施工</w:t>
      </w:r>
    </w:p>
    <w:p w14:paraId="47093D6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 项目安全生产的达标目标及相应事项的约</w:t>
      </w:r>
      <w:r>
        <w:rPr>
          <w:rFonts w:hint="eastAsia" w:ascii="宋体" w:hAnsi="宋体" w:eastAsia="宋体" w:cs="宋体"/>
          <w:color w:val="auto"/>
          <w:spacing w:val="-1"/>
          <w:sz w:val="21"/>
          <w:szCs w:val="21"/>
          <w:highlight w:val="none"/>
        </w:rPr>
        <w:t>定</w:t>
      </w:r>
      <w:r>
        <w:rPr>
          <w:rFonts w:hint="eastAsia" w:ascii="宋体" w:hAnsi="宋体" w:cs="宋体"/>
          <w:color w:val="auto"/>
          <w:spacing w:val="-1"/>
          <w:sz w:val="21"/>
          <w:szCs w:val="21"/>
          <w:highlight w:val="none"/>
          <w:lang w:eastAsia="zh-CN"/>
        </w:rPr>
        <w:t>：由</w:t>
      </w:r>
      <w:r>
        <w:rPr>
          <w:rFonts w:hint="eastAsia" w:ascii="宋体" w:hAnsi="宋体" w:eastAsia="宋体" w:cs="宋体"/>
          <w:color w:val="auto"/>
          <w:spacing w:val="-1"/>
          <w:sz w:val="21"/>
          <w:szCs w:val="21"/>
          <w:highlight w:val="none"/>
          <w:u w:val="single" w:color="auto"/>
        </w:rPr>
        <w:t>承包人负责，所发生费用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由承包人承担。承包人的施工安全防护和文明施工措施，应</w:t>
      </w:r>
      <w:r>
        <w:rPr>
          <w:rFonts w:hint="eastAsia" w:ascii="宋体" w:hAnsi="宋体" w:eastAsia="宋体" w:cs="宋体"/>
          <w:color w:val="auto"/>
          <w:spacing w:val="-1"/>
          <w:sz w:val="21"/>
          <w:szCs w:val="21"/>
          <w:highlight w:val="none"/>
          <w:u w:val="single" w:color="auto"/>
        </w:rPr>
        <w:t>执行《</w:t>
      </w:r>
      <w:r>
        <w:rPr>
          <w:rFonts w:hint="eastAsia" w:ascii="宋体" w:hAnsi="宋体" w:cs="宋体"/>
          <w:color w:val="auto"/>
          <w:spacing w:val="-1"/>
          <w:sz w:val="21"/>
          <w:szCs w:val="21"/>
          <w:highlight w:val="none"/>
          <w:u w:val="single" w:color="auto"/>
          <w:lang w:eastAsia="zh-CN"/>
        </w:rPr>
        <w:t>中华人民共和国安全生产法</w:t>
      </w:r>
      <w:r>
        <w:rPr>
          <w:rFonts w:hint="eastAsia" w:ascii="宋体" w:hAnsi="宋体" w:eastAsia="宋体" w:cs="宋体"/>
          <w:color w:val="auto"/>
          <w:sz w:val="21"/>
          <w:szCs w:val="21"/>
          <w:highlight w:val="none"/>
          <w:u w:val="single" w:color="auto"/>
        </w:rPr>
        <w:t>》的有关要求</w:t>
      </w:r>
      <w:r>
        <w:rPr>
          <w:rFonts w:hint="eastAsia" w:ascii="宋体" w:hAnsi="宋体" w:cs="宋体"/>
          <w:color w:val="auto"/>
          <w:sz w:val="21"/>
          <w:szCs w:val="21"/>
          <w:highlight w:val="none"/>
          <w:u w:val="single" w:color="auto"/>
          <w:lang w:eastAsia="zh-CN"/>
        </w:rPr>
        <w:t>，在</w:t>
      </w:r>
      <w:r>
        <w:rPr>
          <w:rFonts w:hint="eastAsia" w:ascii="宋体" w:hAnsi="宋体" w:eastAsia="宋体" w:cs="宋体"/>
          <w:color w:val="auto"/>
          <w:sz w:val="21"/>
          <w:szCs w:val="21"/>
          <w:highlight w:val="none"/>
          <w:u w:val="single" w:color="auto"/>
        </w:rPr>
        <w:t>施工中必须遵守国家颁布的《</w:t>
      </w:r>
      <w:r>
        <w:rPr>
          <w:rFonts w:hint="eastAsia" w:ascii="宋体" w:hAnsi="宋体" w:cs="宋体"/>
          <w:color w:val="auto"/>
          <w:sz w:val="21"/>
          <w:szCs w:val="21"/>
          <w:highlight w:val="none"/>
          <w:u w:val="single" w:color="auto"/>
          <w:lang w:eastAsia="zh-CN"/>
        </w:rPr>
        <w:t>建设工程安全生产管理条例</w:t>
      </w:r>
      <w:r>
        <w:rPr>
          <w:rFonts w:hint="eastAsia" w:ascii="宋体" w:hAnsi="宋体" w:eastAsia="宋体" w:cs="宋体"/>
          <w:color w:val="auto"/>
          <w:sz w:val="21"/>
          <w:szCs w:val="21"/>
          <w:highlight w:val="none"/>
          <w:u w:val="single" w:color="auto"/>
        </w:rPr>
        <w:t>》、广西壮族自治区关于安全施工的法律法规和有关标准</w:t>
      </w:r>
      <w:r>
        <w:rPr>
          <w:rFonts w:hint="eastAsia" w:ascii="宋体" w:hAnsi="宋体" w:eastAsia="宋体" w:cs="宋体"/>
          <w:color w:val="auto"/>
          <w:spacing w:val="-1"/>
          <w:sz w:val="21"/>
          <w:szCs w:val="21"/>
          <w:highlight w:val="none"/>
          <w:u w:val="single" w:color="auto"/>
        </w:rPr>
        <w:t>和规范。要求达到《建</w:t>
      </w:r>
      <w:r>
        <w:rPr>
          <w:rFonts w:hint="eastAsia" w:ascii="宋体" w:hAnsi="宋体" w:eastAsia="宋体" w:cs="宋体"/>
          <w:color w:val="auto"/>
          <w:sz w:val="21"/>
          <w:szCs w:val="21"/>
          <w:highlight w:val="none"/>
          <w:u w:val="single" w:color="auto"/>
        </w:rPr>
        <w:t>筑施工安全检查标准》（JGJ59-2011）的标准和符合</w:t>
      </w:r>
      <w:r>
        <w:rPr>
          <w:rFonts w:hint="eastAsia" w:ascii="宋体" w:hAnsi="宋体" w:eastAsia="宋体" w:cs="宋体"/>
          <w:color w:val="auto"/>
          <w:spacing w:val="-1"/>
          <w:sz w:val="21"/>
          <w:szCs w:val="21"/>
          <w:highlight w:val="none"/>
          <w:u w:val="single" w:color="auto"/>
        </w:rPr>
        <w:t>《广西安全文明施工费使用管</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u w:val="single" w:color="auto"/>
        </w:rPr>
        <w:t>理细则》桂建质</w:t>
      </w:r>
      <w:r>
        <w:rPr>
          <w:rFonts w:hint="eastAsia" w:ascii="宋体" w:hAnsi="宋体" w:cs="宋体"/>
          <w:color w:val="auto"/>
          <w:spacing w:val="-1"/>
          <w:sz w:val="21"/>
          <w:szCs w:val="21"/>
          <w:highlight w:val="none"/>
          <w:u w:val="single" w:color="auto"/>
          <w:lang w:eastAsia="zh-CN"/>
        </w:rPr>
        <w:t>〔2015〕16号</w:t>
      </w:r>
      <w:r>
        <w:rPr>
          <w:rFonts w:hint="eastAsia" w:ascii="宋体" w:hAnsi="宋体" w:eastAsia="宋体" w:cs="宋体"/>
          <w:color w:val="auto"/>
          <w:spacing w:val="-1"/>
          <w:sz w:val="21"/>
          <w:szCs w:val="21"/>
          <w:highlight w:val="none"/>
          <w:u w:val="single" w:color="auto"/>
        </w:rPr>
        <w:t>文的要求</w:t>
      </w:r>
      <w:r>
        <w:rPr>
          <w:rFonts w:hint="eastAsia" w:ascii="宋体" w:hAnsi="宋体" w:eastAsia="宋体" w:cs="宋体"/>
          <w:color w:val="auto"/>
          <w:spacing w:val="-1"/>
          <w:sz w:val="21"/>
          <w:szCs w:val="21"/>
          <w:highlight w:val="none"/>
        </w:rPr>
        <w:t>。</w:t>
      </w:r>
    </w:p>
    <w:p w14:paraId="289A902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关于安全文明施工奖项的约定：</w:t>
      </w:r>
      <w:r>
        <w:rPr>
          <w:rFonts w:hint="eastAsia" w:ascii="宋体" w:hAnsi="宋体" w:eastAsia="宋体" w:cs="宋体"/>
          <w:color w:val="auto"/>
          <w:spacing w:val="-1"/>
          <w:sz w:val="21"/>
          <w:szCs w:val="21"/>
          <w:highlight w:val="none"/>
          <w:u w:val="single" w:color="auto"/>
        </w:rPr>
        <w:t>无</w:t>
      </w:r>
      <w:r>
        <w:rPr>
          <w:rFonts w:hint="eastAsia" w:ascii="宋体" w:hAnsi="宋体" w:eastAsia="宋体" w:cs="宋体"/>
          <w:color w:val="auto"/>
          <w:spacing w:val="-1"/>
          <w:sz w:val="21"/>
          <w:szCs w:val="21"/>
          <w:highlight w:val="none"/>
        </w:rPr>
        <w:t>。</w:t>
      </w:r>
    </w:p>
    <w:p w14:paraId="7448F46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6.1.4 关于治安保卫的特别约定：</w:t>
      </w:r>
      <w:r>
        <w:rPr>
          <w:rFonts w:hint="eastAsia" w:ascii="宋体" w:hAnsi="宋体" w:eastAsia="宋体" w:cs="宋体"/>
          <w:color w:val="auto"/>
          <w:sz w:val="21"/>
          <w:szCs w:val="21"/>
          <w:highlight w:val="none"/>
          <w:u w:val="single" w:color="auto"/>
        </w:rPr>
        <w:t>承包人应承担</w:t>
      </w:r>
      <w:r>
        <w:rPr>
          <w:rFonts w:hint="eastAsia" w:ascii="宋体" w:hAnsi="宋体" w:eastAsia="宋体" w:cs="宋体"/>
          <w:color w:val="auto"/>
          <w:spacing w:val="-1"/>
          <w:sz w:val="21"/>
          <w:szCs w:val="21"/>
          <w:highlight w:val="none"/>
          <w:u w:val="single" w:color="auto"/>
        </w:rPr>
        <w:t>施工安全保卫工作及非夜间施</w:t>
      </w:r>
      <w:r>
        <w:rPr>
          <w:rFonts w:hint="eastAsia" w:ascii="宋体" w:hAnsi="宋体" w:eastAsia="宋体" w:cs="宋体"/>
          <w:color w:val="auto"/>
          <w:sz w:val="21"/>
          <w:szCs w:val="21"/>
          <w:highlight w:val="none"/>
          <w:u w:val="single" w:color="auto"/>
        </w:rPr>
        <w:t>工照明的责任，承包人应采取一切合理的预防措施，</w:t>
      </w:r>
      <w:r>
        <w:rPr>
          <w:rFonts w:hint="eastAsia" w:ascii="宋体" w:hAnsi="宋体" w:eastAsia="宋体" w:cs="宋体"/>
          <w:color w:val="auto"/>
          <w:spacing w:val="-1"/>
          <w:sz w:val="21"/>
          <w:szCs w:val="21"/>
          <w:highlight w:val="none"/>
          <w:u w:val="single" w:color="auto"/>
        </w:rPr>
        <w:t>防止人员伤亡、财产损失事故</w:t>
      </w:r>
      <w:r>
        <w:rPr>
          <w:rFonts w:hint="eastAsia" w:ascii="宋体" w:hAnsi="宋体" w:cs="宋体"/>
          <w:color w:val="auto"/>
          <w:spacing w:val="-1"/>
          <w:sz w:val="21"/>
          <w:szCs w:val="21"/>
          <w:highlight w:val="none"/>
          <w:u w:val="single" w:color="auto"/>
          <w:lang w:eastAsia="zh-CN"/>
        </w:rPr>
        <w:t>，</w:t>
      </w:r>
      <w:r>
        <w:rPr>
          <w:rFonts w:hint="eastAsia" w:ascii="宋体" w:hAnsi="宋体" w:eastAsia="宋体" w:cs="宋体"/>
          <w:color w:val="auto"/>
          <w:spacing w:val="-2"/>
          <w:sz w:val="21"/>
          <w:szCs w:val="21"/>
          <w:highlight w:val="none"/>
          <w:u w:val="single" w:color="auto"/>
        </w:rPr>
        <w:t>费用由承包人承担。承包人生活设施及施</w:t>
      </w:r>
      <w:r>
        <w:rPr>
          <w:rFonts w:hint="eastAsia" w:ascii="宋体" w:hAnsi="宋体" w:cs="宋体"/>
          <w:color w:val="auto"/>
          <w:spacing w:val="-2"/>
          <w:sz w:val="21"/>
          <w:szCs w:val="21"/>
          <w:highlight w:val="none"/>
          <w:u w:val="single" w:color="auto"/>
          <w:lang w:eastAsia="zh-CN"/>
        </w:rPr>
        <w:t>工现</w:t>
      </w:r>
      <w:r>
        <w:rPr>
          <w:rFonts w:hint="eastAsia" w:ascii="宋体" w:hAnsi="宋体" w:eastAsia="宋体" w:cs="宋体"/>
          <w:color w:val="auto"/>
          <w:spacing w:val="-2"/>
          <w:sz w:val="21"/>
          <w:szCs w:val="21"/>
          <w:highlight w:val="none"/>
          <w:u w:val="single" w:color="auto"/>
        </w:rPr>
        <w:t>场</w:t>
      </w:r>
      <w:r>
        <w:rPr>
          <w:rFonts w:hint="eastAsia" w:ascii="宋体" w:hAnsi="宋体" w:eastAsia="宋体" w:cs="宋体"/>
          <w:color w:val="auto"/>
          <w:spacing w:val="-3"/>
          <w:sz w:val="21"/>
          <w:szCs w:val="21"/>
          <w:highlight w:val="none"/>
          <w:u w:val="single" w:color="auto"/>
        </w:rPr>
        <w:t>应自费配备消防设备，防止火灾发</w:t>
      </w:r>
      <w:r>
        <w:rPr>
          <w:rFonts w:hint="eastAsia" w:ascii="宋体" w:hAnsi="宋体" w:eastAsia="宋体" w:cs="宋体"/>
          <w:color w:val="auto"/>
          <w:spacing w:val="10"/>
          <w:sz w:val="21"/>
          <w:szCs w:val="21"/>
          <w:highlight w:val="none"/>
          <w:u w:val="single" w:color="auto"/>
        </w:rPr>
        <w:t>生。</w:t>
      </w:r>
    </w:p>
    <w:p w14:paraId="38908CD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关于编制施工场地治安管理计划的约定：</w:t>
      </w:r>
      <w:r>
        <w:rPr>
          <w:rFonts w:hint="eastAsia" w:ascii="宋体" w:hAnsi="宋体" w:eastAsia="宋体" w:cs="宋体"/>
          <w:color w:val="auto"/>
          <w:sz w:val="21"/>
          <w:szCs w:val="21"/>
          <w:highlight w:val="none"/>
          <w:u w:val="single" w:color="auto"/>
        </w:rPr>
        <w:t>承</w:t>
      </w:r>
      <w:r>
        <w:rPr>
          <w:rFonts w:hint="eastAsia" w:ascii="宋体" w:hAnsi="宋体" w:eastAsia="宋体" w:cs="宋体"/>
          <w:color w:val="auto"/>
          <w:spacing w:val="-1"/>
          <w:sz w:val="21"/>
          <w:szCs w:val="21"/>
          <w:highlight w:val="none"/>
          <w:u w:val="single" w:color="auto"/>
        </w:rPr>
        <w:t>包人负责，所发生费用由承包人承担。承包人于开工前提供施工场地治安管理计划</w:t>
      </w:r>
      <w:r>
        <w:rPr>
          <w:rFonts w:hint="eastAsia" w:ascii="宋体" w:hAnsi="宋体" w:eastAsia="宋体" w:cs="宋体"/>
          <w:color w:val="auto"/>
          <w:spacing w:val="-1"/>
          <w:sz w:val="21"/>
          <w:szCs w:val="21"/>
          <w:highlight w:val="none"/>
        </w:rPr>
        <w:t>。</w:t>
      </w:r>
    </w:p>
    <w:p w14:paraId="44C5108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6.1.5 文明施工</w:t>
      </w:r>
    </w:p>
    <w:p w14:paraId="0F076A3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合同当事人对文明施工的要求：严格执行《</w:t>
      </w:r>
      <w:r>
        <w:rPr>
          <w:rFonts w:hint="eastAsia" w:ascii="宋体" w:hAnsi="宋体" w:cs="宋体"/>
          <w:color w:val="auto"/>
          <w:sz w:val="21"/>
          <w:szCs w:val="21"/>
          <w:highlight w:val="none"/>
          <w:lang w:eastAsia="zh-CN"/>
        </w:rPr>
        <w:t>中华人民共和国大气污染防治法</w:t>
      </w:r>
      <w:r>
        <w:rPr>
          <w:rFonts w:hint="eastAsia" w:ascii="宋体" w:hAnsi="宋体" w:eastAsia="宋体" w:cs="宋体"/>
          <w:color w:val="auto"/>
          <w:spacing w:val="-1"/>
          <w:sz w:val="21"/>
          <w:szCs w:val="21"/>
          <w:highlight w:val="none"/>
        </w:rPr>
        <w:t>》（主席令第三十</w:t>
      </w:r>
      <w:r>
        <w:rPr>
          <w:rFonts w:hint="eastAsia" w:ascii="宋体" w:hAnsi="宋体" w:eastAsia="宋体" w:cs="宋体"/>
          <w:color w:val="auto"/>
          <w:sz w:val="21"/>
          <w:szCs w:val="21"/>
          <w:highlight w:val="none"/>
        </w:rPr>
        <w:t xml:space="preserve"> 一号）的有关规定，与辖区卫生防疫、环卫管理部门或有合</w:t>
      </w:r>
      <w:r>
        <w:rPr>
          <w:rFonts w:hint="eastAsia" w:ascii="宋体" w:hAnsi="宋体" w:eastAsia="宋体" w:cs="宋体"/>
          <w:color w:val="auto"/>
          <w:spacing w:val="-1"/>
          <w:sz w:val="21"/>
          <w:szCs w:val="21"/>
          <w:highlight w:val="none"/>
        </w:rPr>
        <w:t>法资质资格的企业签订</w:t>
      </w:r>
      <w:r>
        <w:rPr>
          <w:rFonts w:hint="eastAsia" w:ascii="宋体" w:hAnsi="宋体" w:eastAsia="宋体" w:cs="宋体"/>
          <w:color w:val="auto"/>
          <w:sz w:val="21"/>
          <w:szCs w:val="21"/>
          <w:highlight w:val="none"/>
        </w:rPr>
        <w:t xml:space="preserve"> 病媒生物消杀协议、生活垃圾清运协议、渣土密闭运输协议</w:t>
      </w:r>
      <w:r>
        <w:rPr>
          <w:rFonts w:hint="eastAsia" w:ascii="宋体" w:hAnsi="宋体" w:eastAsia="宋体" w:cs="宋体"/>
          <w:color w:val="auto"/>
          <w:spacing w:val="-1"/>
          <w:sz w:val="21"/>
          <w:szCs w:val="21"/>
          <w:highlight w:val="none"/>
        </w:rPr>
        <w:t>、在线远程监控扬尘监</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测协议，遵守“一口两池三包四协议</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”的有关规定，施工前办理排水</w:t>
      </w:r>
      <w:r>
        <w:rPr>
          <w:rFonts w:hint="eastAsia" w:ascii="宋体" w:hAnsi="宋体" w:eastAsia="宋体" w:cs="宋体"/>
          <w:color w:val="auto"/>
          <w:spacing w:val="-2"/>
          <w:sz w:val="21"/>
          <w:szCs w:val="21"/>
          <w:highlight w:val="none"/>
        </w:rPr>
        <w:t>许可证，严格</w:t>
      </w:r>
      <w:r>
        <w:rPr>
          <w:rFonts w:hint="eastAsia" w:ascii="宋体" w:hAnsi="宋体" w:eastAsia="宋体" w:cs="宋体"/>
          <w:color w:val="auto"/>
          <w:sz w:val="21"/>
          <w:szCs w:val="21"/>
          <w:highlight w:val="none"/>
        </w:rPr>
        <w:t xml:space="preserve"> 执行排水许可，做好工地泥浆水、临时生活污水的排放管理</w:t>
      </w:r>
      <w:r>
        <w:rPr>
          <w:rFonts w:hint="eastAsia" w:ascii="宋体" w:hAnsi="宋体" w:eastAsia="宋体" w:cs="宋体"/>
          <w:color w:val="auto"/>
          <w:spacing w:val="-1"/>
          <w:sz w:val="21"/>
          <w:szCs w:val="21"/>
          <w:highlight w:val="none"/>
        </w:rPr>
        <w:t>，现场设置三级沉淀池</w:t>
      </w:r>
      <w:r>
        <w:rPr>
          <w:rFonts w:hint="eastAsia" w:ascii="宋体" w:hAnsi="宋体" w:eastAsia="宋体" w:cs="宋体"/>
          <w:color w:val="auto"/>
          <w:sz w:val="21"/>
          <w:szCs w:val="21"/>
          <w:highlight w:val="none"/>
        </w:rPr>
        <w:t xml:space="preserve"> 及化粪池，避免生活污水及施工废水直排市政排水管网及内</w:t>
      </w:r>
      <w:r>
        <w:rPr>
          <w:rFonts w:hint="eastAsia" w:ascii="宋体" w:hAnsi="宋体" w:eastAsia="宋体" w:cs="宋体"/>
          <w:color w:val="auto"/>
          <w:spacing w:val="-1"/>
          <w:sz w:val="21"/>
          <w:szCs w:val="21"/>
          <w:highlight w:val="none"/>
        </w:rPr>
        <w:t>河。采取道路硬化、裸</w:t>
      </w:r>
      <w:r>
        <w:rPr>
          <w:rFonts w:hint="eastAsia" w:ascii="宋体" w:hAnsi="宋体" w:eastAsia="宋体" w:cs="宋体"/>
          <w:color w:val="auto"/>
          <w:sz w:val="21"/>
          <w:szCs w:val="21"/>
          <w:highlight w:val="none"/>
        </w:rPr>
        <w:t>土</w:t>
      </w:r>
      <w:r>
        <w:rPr>
          <w:rFonts w:hint="eastAsia" w:ascii="宋体" w:hAnsi="宋体" w:cs="宋体"/>
          <w:color w:val="auto"/>
          <w:sz w:val="21"/>
          <w:szCs w:val="21"/>
          <w:highlight w:val="none"/>
          <w:lang w:eastAsia="zh-CN"/>
        </w:rPr>
        <w:t>覆盖</w:t>
      </w:r>
      <w:r>
        <w:rPr>
          <w:rFonts w:hint="eastAsia" w:ascii="宋体" w:hAnsi="宋体" w:eastAsia="宋体" w:cs="宋体"/>
          <w:color w:val="auto"/>
          <w:sz w:val="21"/>
          <w:szCs w:val="21"/>
          <w:highlight w:val="none"/>
        </w:rPr>
        <w:t>（种草、绿网）、洗车出门、保洁路口、在线监测、</w:t>
      </w:r>
      <w:r>
        <w:rPr>
          <w:rFonts w:hint="eastAsia" w:ascii="宋体" w:hAnsi="宋体" w:eastAsia="宋体" w:cs="宋体"/>
          <w:color w:val="auto"/>
          <w:spacing w:val="-1"/>
          <w:sz w:val="21"/>
          <w:szCs w:val="21"/>
          <w:highlight w:val="none"/>
        </w:rPr>
        <w:t>抑尘喷淋等有效措施，</w:t>
      </w:r>
      <w:r>
        <w:rPr>
          <w:rFonts w:hint="eastAsia" w:ascii="宋体" w:hAnsi="宋体" w:eastAsia="宋体" w:cs="宋体"/>
          <w:color w:val="auto"/>
          <w:sz w:val="21"/>
          <w:szCs w:val="21"/>
          <w:highlight w:val="none"/>
        </w:rPr>
        <w:t xml:space="preserve"> 确保建设工程各项安全防护、文明施工措施及其费用在工地</w:t>
      </w:r>
      <w:r>
        <w:rPr>
          <w:rFonts w:hint="eastAsia" w:ascii="宋体" w:hAnsi="宋体" w:eastAsia="宋体" w:cs="宋体"/>
          <w:color w:val="auto"/>
          <w:spacing w:val="-1"/>
          <w:sz w:val="21"/>
          <w:szCs w:val="21"/>
          <w:highlight w:val="none"/>
        </w:rPr>
        <w:t>一线按标准落实到位。</w:t>
      </w:r>
    </w:p>
    <w:p w14:paraId="2322096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6.1.6关于安全生产费总额、支付比例、支付期</w:t>
      </w:r>
      <w:r>
        <w:rPr>
          <w:rFonts w:hint="eastAsia" w:ascii="宋体" w:hAnsi="宋体" w:eastAsia="宋体" w:cs="宋体"/>
          <w:color w:val="auto"/>
          <w:spacing w:val="-1"/>
          <w:sz w:val="21"/>
          <w:szCs w:val="21"/>
          <w:highlight w:val="none"/>
        </w:rPr>
        <w:t>限、转入和结余收回的约定：</w:t>
      </w:r>
    </w:p>
    <w:p w14:paraId="1069817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（1）本合同价款已包含安全文明施工费元。</w:t>
      </w:r>
    </w:p>
    <w:p w14:paraId="792E0F2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（2）使用要求：专款专用。具体按</w:t>
      </w:r>
      <w:r>
        <w:rPr>
          <w:rFonts w:hint="eastAsia" w:ascii="宋体" w:hAnsi="宋体" w:eastAsia="宋体" w:cs="宋体"/>
          <w:color w:val="auto"/>
          <w:spacing w:val="-3"/>
          <w:sz w:val="21"/>
          <w:szCs w:val="21"/>
          <w:highlight w:val="none"/>
          <w:u w:val="single" w:color="auto"/>
        </w:rPr>
        <w:t>《广西壮族自治区建设工程安</w:t>
      </w:r>
      <w:r>
        <w:rPr>
          <w:rFonts w:hint="eastAsia" w:ascii="宋体" w:hAnsi="宋体" w:eastAsia="宋体" w:cs="宋体"/>
          <w:color w:val="auto"/>
          <w:spacing w:val="-4"/>
          <w:sz w:val="21"/>
          <w:szCs w:val="21"/>
          <w:highlight w:val="none"/>
          <w:u w:val="single" w:color="auto"/>
        </w:rPr>
        <w:t>全文明施工费</w:t>
      </w:r>
      <w:r>
        <w:rPr>
          <w:rFonts w:hint="eastAsia" w:ascii="宋体" w:hAnsi="宋体" w:eastAsia="宋体" w:cs="宋体"/>
          <w:color w:val="auto"/>
          <w:spacing w:val="-1"/>
          <w:sz w:val="21"/>
          <w:szCs w:val="21"/>
          <w:highlight w:val="none"/>
          <w:u w:val="single" w:color="auto"/>
        </w:rPr>
        <w:t>使用管理细则》（桂建质〔2015〕16号</w:t>
      </w:r>
      <w:r>
        <w:rPr>
          <w:rFonts w:hint="eastAsia" w:ascii="宋体" w:hAnsi="宋体" w:eastAsia="宋体" w:cs="宋体"/>
          <w:color w:val="auto"/>
          <w:spacing w:val="-1"/>
          <w:sz w:val="21"/>
          <w:szCs w:val="21"/>
          <w:highlight w:val="none"/>
        </w:rPr>
        <w:t>相关规定执行。</w:t>
      </w:r>
    </w:p>
    <w:p w14:paraId="326D8F6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（3）支付约定：与进度款同期支付。</w:t>
      </w:r>
    </w:p>
    <w:p w14:paraId="2D8EF5B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（4）建设单位按规定将安全生产费用转入施工单位设立的安全生产费用专户。</w:t>
      </w:r>
    </w:p>
    <w:p w14:paraId="26E935C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（5）工程施工完成后安全生产费用尚有结余的，结余部分由建设单位收回。</w:t>
      </w:r>
    </w:p>
    <w:p w14:paraId="5309A36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（6）施工单位将安全生产费用使用情况定期报告建设单位和监理</w:t>
      </w:r>
      <w:r>
        <w:rPr>
          <w:rFonts w:hint="eastAsia" w:ascii="宋体" w:hAnsi="宋体" w:eastAsia="宋体" w:cs="宋体"/>
          <w:color w:val="auto"/>
          <w:spacing w:val="-4"/>
          <w:sz w:val="21"/>
          <w:szCs w:val="21"/>
          <w:highlight w:val="none"/>
        </w:rPr>
        <w:t>单位，并提供</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相应的材料接受建设行政主管部门对此事项监管。</w:t>
      </w:r>
    </w:p>
    <w:p w14:paraId="352F715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（7）安全生产费用专户：</w:t>
      </w:r>
      <w:r>
        <w:rPr>
          <w:rFonts w:hint="eastAsia" w:ascii="宋体" w:hAnsi="宋体" w:eastAsia="宋体" w:cs="宋体"/>
          <w:color w:val="auto"/>
          <w:spacing w:val="-77"/>
          <w:sz w:val="21"/>
          <w:szCs w:val="21"/>
          <w:highlight w:val="none"/>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77"/>
          <w:sz w:val="21"/>
          <w:szCs w:val="21"/>
          <w:highlight w:val="none"/>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77"/>
          <w:sz w:val="21"/>
          <w:szCs w:val="21"/>
          <w:highlight w:val="none"/>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pacing w:val="-6"/>
          <w:sz w:val="21"/>
          <w:szCs w:val="21"/>
          <w:highlight w:val="none"/>
        </w:rPr>
        <w:t>×公司安全生产费用专户。</w:t>
      </w:r>
      <w:r>
        <w:rPr>
          <w:rFonts w:hint="eastAsia" w:ascii="宋体" w:hAnsi="宋体" w:eastAsia="宋体" w:cs="宋体"/>
          <w:color w:val="auto"/>
          <w:spacing w:val="-7"/>
          <w:sz w:val="21"/>
          <w:szCs w:val="21"/>
          <w:highlight w:val="none"/>
        </w:rPr>
        <w:t>账号</w:t>
      </w:r>
      <w:r>
        <w:rPr>
          <w:rFonts w:hint="eastAsia" w:ascii="宋体" w:hAnsi="宋体" w:cs="宋体"/>
          <w:color w:val="auto"/>
          <w:spacing w:val="-7"/>
          <w:sz w:val="21"/>
          <w:szCs w:val="21"/>
          <w:highlight w:val="none"/>
          <w:lang w:eastAsia="zh-CN"/>
        </w:rPr>
        <w:t>：</w:t>
      </w:r>
    </w:p>
    <w:p w14:paraId="15E7329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6.3</w:t>
      </w:r>
      <w:r>
        <w:rPr>
          <w:rFonts w:hint="eastAsia" w:ascii="宋体" w:hAnsi="宋体" w:eastAsia="宋体" w:cs="宋体"/>
          <w:color w:val="auto"/>
          <w:spacing w:val="-4"/>
          <w:sz w:val="21"/>
          <w:szCs w:val="21"/>
          <w:highlight w:val="none"/>
        </w:rPr>
        <w:t xml:space="preserve"> </w:t>
      </w:r>
      <w:r>
        <w:rPr>
          <w:rFonts w:hint="eastAsia" w:ascii="宋体" w:hAnsi="宋体" w:eastAsia="宋体" w:cs="宋体"/>
          <w:b/>
          <w:bCs/>
          <w:color w:val="auto"/>
          <w:spacing w:val="-4"/>
          <w:sz w:val="21"/>
          <w:szCs w:val="21"/>
          <w:highlight w:val="none"/>
        </w:rPr>
        <w:t>环境保护</w:t>
      </w:r>
    </w:p>
    <w:p w14:paraId="1BBFA56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u w:val="single" w:color="auto"/>
        </w:rPr>
        <w:t>因施工需要，经发包人批准，由承包人办理有关施工场地交通、环卫和施工噪</w:t>
      </w:r>
      <w:r>
        <w:rPr>
          <w:rFonts w:hint="eastAsia" w:ascii="宋体" w:hAnsi="宋体" w:eastAsia="宋体" w:cs="宋体"/>
          <w:color w:val="auto"/>
          <w:spacing w:val="1"/>
          <w:sz w:val="21"/>
          <w:szCs w:val="21"/>
          <w:highlight w:val="none"/>
          <w:u w:val="single" w:color="auto"/>
        </w:rPr>
        <w:t>音管理等手续，费用由承包人负责。</w:t>
      </w:r>
    </w:p>
    <w:p w14:paraId="5450F2C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经过城市道路的施工车辆，必须按交警、城管、</w:t>
      </w:r>
      <w:r>
        <w:rPr>
          <w:rFonts w:hint="eastAsia" w:ascii="宋体" w:hAnsi="宋体" w:eastAsia="宋体" w:cs="宋体"/>
          <w:color w:val="auto"/>
          <w:spacing w:val="-1"/>
          <w:sz w:val="21"/>
          <w:szCs w:val="21"/>
          <w:highlight w:val="none"/>
          <w:u w:val="single" w:color="auto"/>
        </w:rPr>
        <w:t>运输等部门相关规定执行。由</w:t>
      </w:r>
      <w:r>
        <w:rPr>
          <w:rFonts w:hint="eastAsia" w:ascii="宋体" w:hAnsi="宋体" w:eastAsia="宋体" w:cs="宋体"/>
          <w:color w:val="auto"/>
          <w:sz w:val="21"/>
          <w:szCs w:val="21"/>
          <w:highlight w:val="none"/>
          <w:u w:val="single" w:color="auto"/>
        </w:rPr>
        <w:t>于施工车辆造成的道路、环境等污染，其责任和费用均由承包人承担。</w:t>
      </w:r>
    </w:p>
    <w:p w14:paraId="433B4E0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宜优先使用低VOCs含量的涂料、油漆和有机溶剂。</w:t>
      </w:r>
    </w:p>
    <w:p w14:paraId="657EC86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2"/>
        <w:rPr>
          <w:rFonts w:hint="eastAsia" w:ascii="宋体" w:hAnsi="宋体" w:eastAsia="宋体" w:cs="宋体"/>
          <w:color w:val="auto"/>
          <w:sz w:val="21"/>
          <w:szCs w:val="21"/>
          <w:highlight w:val="none"/>
        </w:rPr>
      </w:pPr>
      <w:bookmarkStart w:id="470" w:name="_Toc20098"/>
      <w:bookmarkStart w:id="471" w:name="_Toc25928"/>
      <w:r>
        <w:rPr>
          <w:rFonts w:hint="eastAsia" w:ascii="宋体" w:hAnsi="宋体" w:eastAsia="宋体" w:cs="宋体"/>
          <w:b/>
          <w:bCs/>
          <w:color w:val="auto"/>
          <w:spacing w:val="-6"/>
          <w:sz w:val="21"/>
          <w:szCs w:val="21"/>
          <w:highlight w:val="none"/>
        </w:rPr>
        <w:t>7.</w:t>
      </w:r>
      <w:r>
        <w:rPr>
          <w:rFonts w:hint="eastAsia" w:ascii="宋体" w:hAnsi="宋体" w:eastAsia="宋体" w:cs="宋体"/>
          <w:color w:val="auto"/>
          <w:spacing w:val="13"/>
          <w:sz w:val="21"/>
          <w:szCs w:val="21"/>
          <w:highlight w:val="none"/>
        </w:rPr>
        <w:t xml:space="preserve"> </w:t>
      </w:r>
      <w:r>
        <w:rPr>
          <w:rFonts w:hint="eastAsia" w:ascii="宋体" w:hAnsi="宋体" w:eastAsia="宋体" w:cs="宋体"/>
          <w:b/>
          <w:bCs/>
          <w:color w:val="auto"/>
          <w:spacing w:val="-6"/>
          <w:sz w:val="21"/>
          <w:szCs w:val="21"/>
          <w:highlight w:val="none"/>
        </w:rPr>
        <w:t>工期和进度</w:t>
      </w:r>
      <w:bookmarkEnd w:id="470"/>
      <w:bookmarkEnd w:id="471"/>
    </w:p>
    <w:p w14:paraId="42BF074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7.1</w:t>
      </w:r>
      <w:r>
        <w:rPr>
          <w:rFonts w:hint="eastAsia" w:ascii="宋体" w:hAnsi="宋体" w:eastAsia="宋体" w:cs="宋体"/>
          <w:color w:val="auto"/>
          <w:spacing w:val="-4"/>
          <w:sz w:val="21"/>
          <w:szCs w:val="21"/>
          <w:highlight w:val="none"/>
        </w:rPr>
        <w:t xml:space="preserve"> </w:t>
      </w:r>
      <w:r>
        <w:rPr>
          <w:rFonts w:hint="eastAsia" w:ascii="宋体" w:hAnsi="宋体" w:eastAsia="宋体" w:cs="宋体"/>
          <w:b/>
          <w:bCs/>
          <w:color w:val="auto"/>
          <w:spacing w:val="-4"/>
          <w:sz w:val="21"/>
          <w:szCs w:val="21"/>
          <w:highlight w:val="none"/>
        </w:rPr>
        <w:t>施工组织设计</w:t>
      </w:r>
    </w:p>
    <w:p w14:paraId="2676069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7.1.1 合同当事人约定的施工组织设计</w:t>
      </w:r>
      <w:r>
        <w:rPr>
          <w:rFonts w:hint="eastAsia" w:ascii="宋体" w:hAnsi="宋体" w:eastAsia="宋体" w:cs="宋体"/>
          <w:color w:val="auto"/>
          <w:spacing w:val="-1"/>
          <w:sz w:val="21"/>
          <w:szCs w:val="21"/>
          <w:highlight w:val="none"/>
        </w:rPr>
        <w:t>应包括的其他内容：</w:t>
      </w:r>
      <w:r>
        <w:rPr>
          <w:rFonts w:hint="eastAsia" w:ascii="宋体" w:hAnsi="宋体" w:eastAsia="宋体" w:cs="宋体"/>
          <w:color w:val="auto"/>
          <w:spacing w:val="-1"/>
          <w:sz w:val="21"/>
          <w:szCs w:val="21"/>
          <w:highlight w:val="none"/>
          <w:u w:val="single" w:color="auto"/>
        </w:rPr>
        <w:t>施工进度计划包括</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总进度计划、分阶段和分项进度计划、设备材料人</w:t>
      </w:r>
      <w:r>
        <w:rPr>
          <w:rFonts w:hint="eastAsia" w:ascii="宋体" w:hAnsi="宋体" w:eastAsia="宋体" w:cs="宋体"/>
          <w:color w:val="auto"/>
          <w:spacing w:val="-1"/>
          <w:sz w:val="21"/>
          <w:szCs w:val="21"/>
          <w:highlight w:val="none"/>
          <w:u w:val="single" w:color="auto"/>
        </w:rPr>
        <w:t>员进场计划；施工方案说明包括</w:t>
      </w:r>
      <w:r>
        <w:rPr>
          <w:rFonts w:hint="eastAsia" w:ascii="宋体" w:hAnsi="宋体" w:eastAsia="宋体" w:cs="宋体"/>
          <w:color w:val="auto"/>
          <w:spacing w:val="1"/>
          <w:sz w:val="21"/>
          <w:szCs w:val="21"/>
          <w:highlight w:val="none"/>
          <w:u w:val="single" w:color="auto"/>
        </w:rPr>
        <w:t>分部、分项工程或工程部位的名称及施工顺</w:t>
      </w:r>
      <w:r>
        <w:rPr>
          <w:rFonts w:hint="eastAsia" w:ascii="宋体" w:hAnsi="宋体" w:eastAsia="宋体" w:cs="宋体"/>
          <w:color w:val="auto"/>
          <w:sz w:val="21"/>
          <w:szCs w:val="21"/>
          <w:highlight w:val="none"/>
          <w:u w:val="single" w:color="auto"/>
        </w:rPr>
        <w:t>序和方法。</w:t>
      </w:r>
    </w:p>
    <w:p w14:paraId="0D836A0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7.1.2 施工组织设计的提交和修改</w:t>
      </w:r>
    </w:p>
    <w:p w14:paraId="3128FD8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承包人提交详细施工组织设计的期限的约定：</w:t>
      </w:r>
      <w:r>
        <w:rPr>
          <w:rFonts w:hint="eastAsia" w:ascii="宋体" w:hAnsi="宋体" w:eastAsia="宋体" w:cs="宋体"/>
          <w:color w:val="auto"/>
          <w:spacing w:val="-3"/>
          <w:sz w:val="21"/>
          <w:szCs w:val="21"/>
          <w:highlight w:val="none"/>
          <w:u w:val="single" w:color="auto"/>
        </w:rPr>
        <w:t>承包人应在开工前7日内，提交详</w:t>
      </w:r>
      <w:r>
        <w:rPr>
          <w:rFonts w:hint="eastAsia" w:ascii="宋体" w:hAnsi="宋体" w:eastAsia="宋体" w:cs="宋体"/>
          <w:color w:val="auto"/>
          <w:spacing w:val="-1"/>
          <w:sz w:val="21"/>
          <w:szCs w:val="21"/>
          <w:highlight w:val="none"/>
          <w:u w:val="single" w:color="auto"/>
        </w:rPr>
        <w:t>细的施工组织设计，并报送监理人和发包人</w:t>
      </w:r>
      <w:r>
        <w:rPr>
          <w:rFonts w:hint="eastAsia" w:ascii="宋体" w:hAnsi="宋体" w:eastAsia="宋体" w:cs="宋体"/>
          <w:color w:val="auto"/>
          <w:spacing w:val="-1"/>
          <w:sz w:val="21"/>
          <w:szCs w:val="21"/>
          <w:highlight w:val="none"/>
        </w:rPr>
        <w:t>。</w:t>
      </w:r>
    </w:p>
    <w:p w14:paraId="34BFF34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发包人和监理人在收到详细的施工组织设计</w:t>
      </w:r>
      <w:r>
        <w:rPr>
          <w:rFonts w:hint="eastAsia" w:ascii="宋体" w:hAnsi="宋体" w:eastAsia="宋体" w:cs="宋体"/>
          <w:color w:val="auto"/>
          <w:spacing w:val="-1"/>
          <w:sz w:val="21"/>
          <w:szCs w:val="21"/>
          <w:highlight w:val="none"/>
        </w:rPr>
        <w:t>后确认或提出修改意见的期限：</w:t>
      </w:r>
      <w:r>
        <w:rPr>
          <w:rFonts w:hint="eastAsia" w:ascii="宋体" w:hAnsi="宋体" w:eastAsia="宋体" w:cs="宋体"/>
          <w:color w:val="auto"/>
          <w:spacing w:val="-1"/>
          <w:sz w:val="21"/>
          <w:szCs w:val="21"/>
          <w:highlight w:val="none"/>
          <w:u w:val="single" w:color="auto"/>
        </w:rPr>
        <w:t>收</w:t>
      </w:r>
      <w:r>
        <w:rPr>
          <w:rFonts w:hint="eastAsia" w:ascii="宋体" w:hAnsi="宋体" w:eastAsia="宋体" w:cs="宋体"/>
          <w:color w:val="auto"/>
          <w:sz w:val="21"/>
          <w:szCs w:val="21"/>
          <w:highlight w:val="none"/>
          <w:u w:val="single" w:color="auto"/>
        </w:rPr>
        <w:t>到详细施工组织设计后14天内确定或提出修改意</w:t>
      </w:r>
      <w:r>
        <w:rPr>
          <w:rFonts w:hint="eastAsia" w:ascii="宋体" w:hAnsi="宋体" w:eastAsia="宋体" w:cs="宋体"/>
          <w:color w:val="auto"/>
          <w:spacing w:val="-1"/>
          <w:sz w:val="21"/>
          <w:szCs w:val="21"/>
          <w:highlight w:val="none"/>
          <w:u w:val="single" w:color="auto"/>
        </w:rPr>
        <w:t>见。对监理人和发包人提出合理意见和要求，承包人应自行修改完善</w:t>
      </w:r>
      <w:r>
        <w:rPr>
          <w:rFonts w:hint="eastAsia" w:ascii="宋体" w:hAnsi="宋体" w:eastAsia="宋体" w:cs="宋体"/>
          <w:color w:val="auto"/>
          <w:spacing w:val="-1"/>
          <w:sz w:val="21"/>
          <w:szCs w:val="21"/>
          <w:highlight w:val="none"/>
        </w:rPr>
        <w:t>。</w:t>
      </w:r>
    </w:p>
    <w:p w14:paraId="63EF06A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7.2</w:t>
      </w:r>
      <w:r>
        <w:rPr>
          <w:rFonts w:hint="eastAsia" w:ascii="宋体" w:hAnsi="宋体" w:eastAsia="宋体" w:cs="宋体"/>
          <w:color w:val="auto"/>
          <w:spacing w:val="-4"/>
          <w:sz w:val="21"/>
          <w:szCs w:val="21"/>
          <w:highlight w:val="none"/>
        </w:rPr>
        <w:t xml:space="preserve"> </w:t>
      </w:r>
      <w:r>
        <w:rPr>
          <w:rFonts w:hint="eastAsia" w:ascii="宋体" w:hAnsi="宋体" w:eastAsia="宋体" w:cs="宋体"/>
          <w:b/>
          <w:bCs/>
          <w:color w:val="auto"/>
          <w:spacing w:val="-4"/>
          <w:sz w:val="21"/>
          <w:szCs w:val="21"/>
          <w:highlight w:val="none"/>
        </w:rPr>
        <w:t>施工进度计划</w:t>
      </w:r>
    </w:p>
    <w:p w14:paraId="579DB77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7.2.2 施工进度计划的修订</w:t>
      </w:r>
    </w:p>
    <w:p w14:paraId="6AF1445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发包人和监理人在收到修订的施工进度计划</w:t>
      </w:r>
      <w:r>
        <w:rPr>
          <w:rFonts w:hint="eastAsia" w:ascii="宋体" w:hAnsi="宋体" w:eastAsia="宋体" w:cs="宋体"/>
          <w:color w:val="auto"/>
          <w:spacing w:val="-1"/>
          <w:sz w:val="21"/>
          <w:szCs w:val="21"/>
          <w:highlight w:val="none"/>
        </w:rPr>
        <w:t>后确认或提出修改意见的期限：</w:t>
      </w:r>
      <w:r>
        <w:rPr>
          <w:rFonts w:hint="eastAsia" w:ascii="宋体" w:hAnsi="宋体" w:eastAsia="宋体" w:cs="宋体"/>
          <w:color w:val="auto"/>
          <w:spacing w:val="-1"/>
          <w:sz w:val="21"/>
          <w:szCs w:val="21"/>
          <w:highlight w:val="none"/>
          <w:u w:val="single" w:color="auto"/>
        </w:rPr>
        <w:t>承</w:t>
      </w:r>
      <w:r>
        <w:rPr>
          <w:rFonts w:hint="eastAsia" w:ascii="宋体" w:hAnsi="宋体" w:eastAsia="宋体" w:cs="宋体"/>
          <w:color w:val="auto"/>
          <w:spacing w:val="-2"/>
          <w:sz w:val="21"/>
          <w:szCs w:val="21"/>
          <w:highlight w:val="none"/>
          <w:u w:val="single" w:color="auto"/>
        </w:rPr>
        <w:t>包人应在开工前7日编制详细的施工进度计划和施工方案说明报送监理人和发包人，</w:t>
      </w:r>
      <w:r>
        <w:rPr>
          <w:rFonts w:hint="eastAsia" w:ascii="宋体" w:hAnsi="宋体" w:eastAsia="宋体" w:cs="宋体"/>
          <w:color w:val="auto"/>
          <w:sz w:val="21"/>
          <w:szCs w:val="21"/>
          <w:highlight w:val="none"/>
          <w:u w:val="single" w:color="auto"/>
        </w:rPr>
        <w:t>其内容包括：施工组织设计、专项方案、项目人员配备表等</w:t>
      </w:r>
      <w:r>
        <w:rPr>
          <w:rFonts w:hint="eastAsia" w:ascii="宋体" w:hAnsi="宋体" w:eastAsia="宋体" w:cs="宋体"/>
          <w:color w:val="auto"/>
          <w:spacing w:val="-1"/>
          <w:sz w:val="21"/>
          <w:szCs w:val="21"/>
          <w:highlight w:val="none"/>
          <w:u w:val="single" w:color="auto"/>
        </w:rPr>
        <w:t>。监理人和发包人应在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14天内批复或提出修改意见，否则该进度计划视为已得到批</w:t>
      </w:r>
      <w:r>
        <w:rPr>
          <w:rFonts w:hint="eastAsia" w:ascii="宋体" w:hAnsi="宋体" w:eastAsia="宋体" w:cs="宋体"/>
          <w:color w:val="auto"/>
          <w:spacing w:val="-1"/>
          <w:sz w:val="21"/>
          <w:szCs w:val="21"/>
          <w:highlight w:val="none"/>
          <w:u w:val="single" w:color="auto"/>
        </w:rPr>
        <w:t>准。经监理人和发包人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批准的施工进度计划称施工进度计划，是控制合同工程进度</w:t>
      </w:r>
      <w:r>
        <w:rPr>
          <w:rFonts w:hint="eastAsia" w:ascii="宋体" w:hAnsi="宋体" w:eastAsia="宋体" w:cs="宋体"/>
          <w:color w:val="auto"/>
          <w:spacing w:val="-1"/>
          <w:sz w:val="21"/>
          <w:szCs w:val="21"/>
          <w:highlight w:val="none"/>
          <w:u w:val="single" w:color="auto"/>
        </w:rPr>
        <w:t>的依据。承包人还应根</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据合同进度计划，编制更为详细的分阶段或分项进度计划，</w:t>
      </w:r>
      <w:r>
        <w:rPr>
          <w:rFonts w:hint="eastAsia" w:ascii="宋体" w:hAnsi="宋体" w:eastAsia="宋体" w:cs="宋体"/>
          <w:color w:val="auto"/>
          <w:spacing w:val="-1"/>
          <w:sz w:val="21"/>
          <w:szCs w:val="21"/>
          <w:highlight w:val="none"/>
          <w:u w:val="single" w:color="auto"/>
        </w:rPr>
        <w:t>报监理人和发包人审批</w:t>
      </w:r>
      <w:r>
        <w:rPr>
          <w:rFonts w:hint="eastAsia" w:ascii="宋体" w:hAnsi="宋体" w:eastAsia="宋体" w:cs="宋体"/>
          <w:color w:val="auto"/>
          <w:position w:val="1"/>
          <w:sz w:val="21"/>
          <w:szCs w:val="21"/>
          <w:highlight w:val="none"/>
        </w:rPr>
        <w:t>。</w:t>
      </w:r>
    </w:p>
    <w:p w14:paraId="7728FA7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7.2.3承包人所报的施工组织设计应包含详细、完整</w:t>
      </w:r>
      <w:r>
        <w:rPr>
          <w:rFonts w:hint="eastAsia" w:ascii="宋体" w:hAnsi="宋体" w:eastAsia="宋体" w:cs="宋体"/>
          <w:b/>
          <w:bCs/>
          <w:color w:val="auto"/>
          <w:spacing w:val="-3"/>
          <w:sz w:val="21"/>
          <w:szCs w:val="21"/>
          <w:highlight w:val="none"/>
        </w:rPr>
        <w:t>的</w:t>
      </w:r>
      <w:r>
        <w:rPr>
          <w:rFonts w:hint="eastAsia" w:ascii="宋体" w:hAnsi="宋体" w:cs="宋体"/>
          <w:b/>
          <w:bCs/>
          <w:color w:val="auto"/>
          <w:spacing w:val="-3"/>
          <w:sz w:val="21"/>
          <w:szCs w:val="21"/>
          <w:highlight w:val="none"/>
          <w:lang w:eastAsia="zh-CN"/>
        </w:rPr>
        <w:t>施工</w:t>
      </w:r>
      <w:r>
        <w:rPr>
          <w:rFonts w:hint="eastAsia" w:ascii="宋体" w:hAnsi="宋体" w:eastAsia="宋体" w:cs="宋体"/>
          <w:b/>
          <w:bCs/>
          <w:color w:val="auto"/>
          <w:spacing w:val="-3"/>
          <w:sz w:val="21"/>
          <w:szCs w:val="21"/>
          <w:highlight w:val="none"/>
        </w:rPr>
        <w:t>进度计划及符合</w:t>
      </w:r>
      <w:r>
        <w:rPr>
          <w:rFonts w:hint="eastAsia" w:ascii="宋体" w:hAnsi="宋体" w:eastAsia="宋体" w:cs="宋体"/>
          <w:b/>
          <w:bCs/>
          <w:color w:val="auto"/>
          <w:spacing w:val="-2"/>
          <w:sz w:val="21"/>
          <w:szCs w:val="21"/>
          <w:highlight w:val="none"/>
        </w:rPr>
        <w:t>行业相关规定的施工方案。进度计划应包括发包人直接发包的</w:t>
      </w:r>
      <w:r>
        <w:rPr>
          <w:rFonts w:hint="eastAsia" w:ascii="宋体" w:hAnsi="宋体" w:eastAsia="宋体" w:cs="宋体"/>
          <w:b/>
          <w:bCs/>
          <w:color w:val="auto"/>
          <w:spacing w:val="-3"/>
          <w:sz w:val="21"/>
          <w:szCs w:val="21"/>
          <w:highlight w:val="none"/>
        </w:rPr>
        <w:t>各专业工程进退场时</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间、预埋时间、竣工时间、各分项工程的开始和完工、验收时间等</w:t>
      </w:r>
      <w:r>
        <w:rPr>
          <w:rFonts w:hint="eastAsia" w:ascii="宋体" w:hAnsi="宋体" w:eastAsia="宋体" w:cs="宋体"/>
          <w:b/>
          <w:bCs/>
          <w:color w:val="auto"/>
          <w:spacing w:val="-3"/>
          <w:sz w:val="21"/>
          <w:szCs w:val="21"/>
          <w:highlight w:val="none"/>
        </w:rPr>
        <w:t>。此施工总进度</w:t>
      </w:r>
      <w:r>
        <w:rPr>
          <w:rFonts w:hint="eastAsia" w:ascii="宋体" w:hAnsi="宋体" w:eastAsia="宋体" w:cs="宋体"/>
          <w:b/>
          <w:bCs/>
          <w:color w:val="auto"/>
          <w:spacing w:val="-2"/>
          <w:sz w:val="21"/>
          <w:szCs w:val="21"/>
          <w:highlight w:val="none"/>
        </w:rPr>
        <w:t>计划一经发包人和监理人确认后，承包人应在每月的25日，向发包人和监</w:t>
      </w:r>
      <w:r>
        <w:rPr>
          <w:rFonts w:hint="eastAsia" w:ascii="宋体" w:hAnsi="宋体" w:eastAsia="宋体" w:cs="宋体"/>
          <w:b/>
          <w:bCs/>
          <w:color w:val="auto"/>
          <w:spacing w:val="-3"/>
          <w:sz w:val="21"/>
          <w:szCs w:val="21"/>
          <w:highlight w:val="none"/>
        </w:rPr>
        <w:t>理人提交</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3"/>
          <w:sz w:val="21"/>
          <w:szCs w:val="21"/>
          <w:highlight w:val="none"/>
        </w:rPr>
        <w:t>最新的、经过修改的、动态的施工总进度计划（无论是否已发生变更</w:t>
      </w:r>
      <w:r>
        <w:rPr>
          <w:rFonts w:hint="eastAsia" w:ascii="宋体" w:hAnsi="宋体" w:eastAsia="宋体" w:cs="宋体"/>
          <w:b/>
          <w:bCs/>
          <w:color w:val="auto"/>
          <w:spacing w:val="13"/>
          <w:sz w:val="21"/>
          <w:szCs w:val="21"/>
          <w:highlight w:val="none"/>
        </w:rPr>
        <w:t>），</w:t>
      </w:r>
      <w:r>
        <w:rPr>
          <w:rFonts w:hint="eastAsia" w:ascii="宋体" w:hAnsi="宋体" w:eastAsia="宋体" w:cs="宋体"/>
          <w:b/>
          <w:bCs/>
          <w:color w:val="auto"/>
          <w:spacing w:val="-3"/>
          <w:sz w:val="21"/>
          <w:szCs w:val="21"/>
          <w:highlight w:val="none"/>
        </w:rPr>
        <w:t>并由其审</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核确认，但对于发包人明确不得延误的阶段性施工目标不得擅自更改（合</w:t>
      </w:r>
      <w:r>
        <w:rPr>
          <w:rFonts w:hint="eastAsia" w:ascii="宋体" w:hAnsi="宋体" w:eastAsia="宋体" w:cs="宋体"/>
          <w:b/>
          <w:bCs/>
          <w:color w:val="auto"/>
          <w:spacing w:val="-3"/>
          <w:sz w:val="21"/>
          <w:szCs w:val="21"/>
          <w:highlight w:val="none"/>
        </w:rPr>
        <w:t>同已明确</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规定需延期或非承包人原因影响的除外）。如工程发生较大调整或</w:t>
      </w:r>
      <w:r>
        <w:rPr>
          <w:rFonts w:hint="eastAsia" w:ascii="宋体" w:hAnsi="宋体" w:eastAsia="宋体" w:cs="宋体"/>
          <w:b/>
          <w:bCs/>
          <w:color w:val="auto"/>
          <w:spacing w:val="-3"/>
          <w:sz w:val="21"/>
          <w:szCs w:val="21"/>
          <w:highlight w:val="none"/>
        </w:rPr>
        <w:t>发包人和监理人</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明确要求需要提交时，承包人应在接到通知5日内按发包人和监理人的要</w:t>
      </w:r>
      <w:r>
        <w:rPr>
          <w:rFonts w:hint="eastAsia" w:ascii="宋体" w:hAnsi="宋体" w:eastAsia="宋体" w:cs="宋体"/>
          <w:b/>
          <w:bCs/>
          <w:color w:val="auto"/>
          <w:spacing w:val="-3"/>
          <w:sz w:val="21"/>
          <w:szCs w:val="21"/>
          <w:highlight w:val="none"/>
        </w:rPr>
        <w:t>求，将最</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3"/>
          <w:sz w:val="21"/>
          <w:szCs w:val="21"/>
          <w:highlight w:val="none"/>
        </w:rPr>
        <w:t>新的施工总进度计划予以提交。</w:t>
      </w:r>
    </w:p>
    <w:p w14:paraId="30B493D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7.2.4承包人应按照经监理人及发包人批准的施工组</w:t>
      </w:r>
      <w:r>
        <w:rPr>
          <w:rFonts w:hint="eastAsia" w:ascii="宋体" w:hAnsi="宋体" w:eastAsia="宋体" w:cs="宋体"/>
          <w:b/>
          <w:bCs/>
          <w:color w:val="auto"/>
          <w:spacing w:val="-3"/>
          <w:sz w:val="21"/>
          <w:szCs w:val="21"/>
          <w:highlight w:val="none"/>
        </w:rPr>
        <w:t>织设计中提供的施工进度</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计划按时完成工程进度。发包人每月考核一次，如承包人在考核期内</w:t>
      </w:r>
      <w:r>
        <w:rPr>
          <w:rFonts w:hint="eastAsia" w:ascii="宋体" w:hAnsi="宋体" w:eastAsia="宋体" w:cs="宋体"/>
          <w:b/>
          <w:bCs/>
          <w:color w:val="auto"/>
          <w:spacing w:val="-3"/>
          <w:sz w:val="21"/>
          <w:szCs w:val="21"/>
          <w:highlight w:val="none"/>
        </w:rPr>
        <w:t>未能完成当月</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工程进度，则每逾期一天，应向发包人支付违约金人民币1000元（</w:t>
      </w:r>
      <w:r>
        <w:rPr>
          <w:rFonts w:hint="eastAsia" w:ascii="宋体" w:hAnsi="宋体" w:eastAsia="宋体" w:cs="宋体"/>
          <w:b/>
          <w:bCs/>
          <w:color w:val="auto"/>
          <w:spacing w:val="-3"/>
          <w:sz w:val="21"/>
          <w:szCs w:val="21"/>
          <w:highlight w:val="none"/>
        </w:rPr>
        <w:t>该罚款与总工期</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4"/>
          <w:sz w:val="21"/>
          <w:szCs w:val="21"/>
          <w:highlight w:val="none"/>
        </w:rPr>
        <w:t>延期罚款不冲突</w:t>
      </w:r>
      <w:r>
        <w:rPr>
          <w:rFonts w:hint="eastAsia" w:ascii="宋体" w:hAnsi="宋体" w:eastAsia="宋体" w:cs="宋体"/>
          <w:b/>
          <w:bCs/>
          <w:color w:val="auto"/>
          <w:spacing w:val="11"/>
          <w:sz w:val="21"/>
          <w:szCs w:val="21"/>
          <w:highlight w:val="none"/>
        </w:rPr>
        <w:t>），</w:t>
      </w:r>
      <w:r>
        <w:rPr>
          <w:rFonts w:hint="eastAsia" w:ascii="宋体" w:hAnsi="宋体" w:eastAsia="宋体" w:cs="宋体"/>
          <w:b/>
          <w:bCs/>
          <w:color w:val="auto"/>
          <w:spacing w:val="-4"/>
          <w:sz w:val="21"/>
          <w:szCs w:val="21"/>
          <w:highlight w:val="none"/>
        </w:rPr>
        <w:t>并在当月进度款中抵扣。</w:t>
      </w:r>
    </w:p>
    <w:p w14:paraId="5D4BA79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7.3</w:t>
      </w:r>
      <w:r>
        <w:rPr>
          <w:rFonts w:hint="eastAsia" w:ascii="宋体" w:hAnsi="宋体" w:eastAsia="宋体" w:cs="宋体"/>
          <w:color w:val="auto"/>
          <w:spacing w:val="11"/>
          <w:sz w:val="21"/>
          <w:szCs w:val="21"/>
          <w:highlight w:val="none"/>
        </w:rPr>
        <w:t xml:space="preserve"> </w:t>
      </w:r>
      <w:r>
        <w:rPr>
          <w:rFonts w:hint="eastAsia" w:ascii="宋体" w:hAnsi="宋体" w:eastAsia="宋体" w:cs="宋体"/>
          <w:b/>
          <w:bCs/>
          <w:color w:val="auto"/>
          <w:spacing w:val="-8"/>
          <w:sz w:val="21"/>
          <w:szCs w:val="21"/>
          <w:highlight w:val="none"/>
        </w:rPr>
        <w:t>开工</w:t>
      </w:r>
    </w:p>
    <w:p w14:paraId="3848D01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7.3.1 开工准备</w:t>
      </w:r>
    </w:p>
    <w:p w14:paraId="74F3891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关于承包人提交工程开工报审表的期限：</w:t>
      </w:r>
      <w:r>
        <w:rPr>
          <w:rFonts w:hint="eastAsia" w:ascii="宋体" w:hAnsi="宋体" w:eastAsia="宋体" w:cs="宋体"/>
          <w:color w:val="auto"/>
          <w:sz w:val="21"/>
          <w:szCs w:val="21"/>
          <w:highlight w:val="none"/>
          <w:u w:val="single" w:color="auto"/>
        </w:rPr>
        <w:t>按</w:t>
      </w:r>
      <w:r>
        <w:rPr>
          <w:rFonts w:hint="eastAsia" w:ascii="宋体" w:hAnsi="宋体" w:eastAsia="宋体" w:cs="宋体"/>
          <w:color w:val="auto"/>
          <w:spacing w:val="-1"/>
          <w:sz w:val="21"/>
          <w:szCs w:val="21"/>
          <w:highlight w:val="none"/>
          <w:u w:val="single" w:color="auto"/>
        </w:rPr>
        <w:t>审批的施工组织设计约定的期限</w:t>
      </w:r>
      <w:r>
        <w:rPr>
          <w:rFonts w:hint="eastAsia" w:ascii="宋体" w:hAnsi="宋体" w:eastAsia="宋体" w:cs="宋体"/>
          <w:color w:val="auto"/>
          <w:spacing w:val="-1"/>
          <w:sz w:val="21"/>
          <w:szCs w:val="21"/>
          <w:highlight w:val="none"/>
        </w:rPr>
        <w:t>。</w:t>
      </w:r>
    </w:p>
    <w:p w14:paraId="4879338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关于发包人应完成的其他开工准备工作及期限</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u w:val="single" w:color="auto"/>
        </w:rPr>
        <w:t>①开工前14天完成施工现场“</w:t>
      </w:r>
      <w:r>
        <w:rPr>
          <w:rFonts w:hint="eastAsia" w:ascii="宋体" w:hAnsi="宋体" w:eastAsia="宋体" w:cs="宋体"/>
          <w:color w:val="auto"/>
          <w:spacing w:val="-4"/>
          <w:sz w:val="21"/>
          <w:szCs w:val="21"/>
          <w:highlight w:val="none"/>
          <w:u w:val="single" w:color="auto"/>
        </w:rPr>
        <w:t>三通一平</w:t>
      </w:r>
      <w:r>
        <w:rPr>
          <w:rFonts w:hint="eastAsia" w:ascii="宋体" w:hAnsi="宋体" w:eastAsia="宋体" w:cs="宋体"/>
          <w:color w:val="auto"/>
          <w:spacing w:val="-76"/>
          <w:sz w:val="21"/>
          <w:szCs w:val="21"/>
          <w:highlight w:val="none"/>
          <w:u w:val="single" w:color="auto"/>
        </w:rPr>
        <w:t xml:space="preserve"> </w:t>
      </w:r>
      <w:r>
        <w:rPr>
          <w:rFonts w:hint="eastAsia" w:ascii="宋体" w:hAnsi="宋体" w:eastAsia="宋体" w:cs="宋体"/>
          <w:color w:val="auto"/>
          <w:spacing w:val="-4"/>
          <w:sz w:val="21"/>
          <w:szCs w:val="21"/>
          <w:highlight w:val="none"/>
          <w:u w:val="single" w:color="auto"/>
        </w:rPr>
        <w:t>”工作，并满足施工要求；②开工前7天内发包人确定施工用水、用电接入</w:t>
      </w:r>
      <w:r>
        <w:rPr>
          <w:rFonts w:hint="eastAsia" w:ascii="宋体" w:hAnsi="宋体" w:eastAsia="宋体" w:cs="宋体"/>
          <w:color w:val="auto"/>
          <w:spacing w:val="-3"/>
          <w:sz w:val="21"/>
          <w:szCs w:val="21"/>
          <w:highlight w:val="none"/>
          <w:u w:val="single" w:color="auto"/>
        </w:rPr>
        <w:t>点；③按监理核批的施工组织设计，开工前7天内由承包方完成施工临时道路的修建</w:t>
      </w:r>
      <w:r>
        <w:rPr>
          <w:rFonts w:hint="eastAsia" w:ascii="宋体" w:hAnsi="宋体" w:cs="宋体"/>
          <w:color w:val="auto"/>
          <w:spacing w:val="-3"/>
          <w:sz w:val="21"/>
          <w:szCs w:val="21"/>
          <w:highlight w:val="none"/>
          <w:u w:val="single" w:color="auto"/>
          <w:lang w:eastAsia="zh-CN"/>
        </w:rPr>
        <w:t>，</w:t>
      </w:r>
      <w:r>
        <w:rPr>
          <w:rFonts w:hint="eastAsia" w:ascii="宋体" w:hAnsi="宋体" w:eastAsia="宋体" w:cs="宋体"/>
          <w:color w:val="auto"/>
          <w:spacing w:val="-3"/>
          <w:sz w:val="21"/>
          <w:szCs w:val="21"/>
          <w:highlight w:val="none"/>
          <w:u w:val="single" w:color="auto"/>
        </w:rPr>
        <w:t xml:space="preserve"> 并承担修建费用；④开工前7天内将工程管线的资料提供给承包人并确保图纸的准</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z w:val="21"/>
          <w:szCs w:val="21"/>
          <w:highlight w:val="none"/>
          <w:u w:val="single" w:color="auto"/>
        </w:rPr>
        <w:t>确性、有效性及完整性，如因图纸有误造成的损失由发包</w:t>
      </w:r>
      <w:r>
        <w:rPr>
          <w:rFonts w:hint="eastAsia" w:ascii="宋体" w:hAnsi="宋体" w:eastAsia="宋体" w:cs="宋体"/>
          <w:color w:val="auto"/>
          <w:spacing w:val="-1"/>
          <w:sz w:val="21"/>
          <w:szCs w:val="21"/>
          <w:highlight w:val="none"/>
          <w:u w:val="single" w:color="auto"/>
        </w:rPr>
        <w:t>人承担及由此产生的相关</w:t>
      </w:r>
      <w:r>
        <w:rPr>
          <w:rFonts w:hint="eastAsia" w:ascii="宋体" w:hAnsi="宋体" w:eastAsia="宋体" w:cs="宋体"/>
          <w:color w:val="auto"/>
          <w:spacing w:val="-3"/>
          <w:sz w:val="21"/>
          <w:szCs w:val="21"/>
          <w:highlight w:val="none"/>
          <w:u w:val="single" w:color="auto"/>
        </w:rPr>
        <w:t>费用；⑤开工前7天内由发包人办理的施工所需证件、批件，因发包人证件资料不齐</w:t>
      </w:r>
      <w:r>
        <w:rPr>
          <w:rFonts w:hint="eastAsia" w:ascii="宋体" w:hAnsi="宋体" w:eastAsia="宋体" w:cs="宋体"/>
          <w:color w:val="auto"/>
          <w:sz w:val="21"/>
          <w:szCs w:val="21"/>
          <w:highlight w:val="none"/>
          <w:u w:val="single" w:color="auto"/>
        </w:rPr>
        <w:t>全，无法办理导致工程无法顺利进行，工期相应顺延；⑥</w:t>
      </w:r>
      <w:r>
        <w:rPr>
          <w:rFonts w:hint="eastAsia" w:ascii="宋体" w:hAnsi="宋体" w:eastAsia="宋体" w:cs="宋体"/>
          <w:color w:val="auto"/>
          <w:spacing w:val="-1"/>
          <w:sz w:val="21"/>
          <w:szCs w:val="21"/>
          <w:highlight w:val="none"/>
          <w:u w:val="single" w:color="auto"/>
        </w:rPr>
        <w:t>开工前组织承包人和设计单位进行图纸会审，并由设计单位向承包人进行设计交底</w:t>
      </w:r>
      <w:r>
        <w:rPr>
          <w:rFonts w:hint="eastAsia" w:ascii="宋体" w:hAnsi="宋体" w:eastAsia="宋体" w:cs="宋体"/>
          <w:color w:val="auto"/>
          <w:spacing w:val="-1"/>
          <w:sz w:val="21"/>
          <w:szCs w:val="21"/>
          <w:highlight w:val="none"/>
        </w:rPr>
        <w:t>。</w:t>
      </w:r>
    </w:p>
    <w:p w14:paraId="1EB7052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关于承包人应完成的其他开工准备工作及期限：</w:t>
      </w:r>
      <w:r>
        <w:rPr>
          <w:rFonts w:hint="eastAsia" w:ascii="宋体" w:hAnsi="宋体" w:eastAsia="宋体" w:cs="宋体"/>
          <w:color w:val="auto"/>
          <w:spacing w:val="-1"/>
          <w:sz w:val="21"/>
          <w:szCs w:val="21"/>
          <w:highlight w:val="none"/>
          <w:u w:val="single" w:color="auto"/>
        </w:rPr>
        <w:t>开工前7天</w:t>
      </w:r>
      <w:r>
        <w:rPr>
          <w:rFonts w:hint="eastAsia" w:ascii="宋体" w:hAnsi="宋体" w:eastAsia="宋体" w:cs="宋体"/>
          <w:color w:val="auto"/>
          <w:spacing w:val="-1"/>
          <w:sz w:val="21"/>
          <w:szCs w:val="21"/>
          <w:highlight w:val="none"/>
        </w:rPr>
        <w:t>。</w:t>
      </w:r>
    </w:p>
    <w:p w14:paraId="7144E30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7.3.2 开工通知</w:t>
      </w:r>
    </w:p>
    <w:p w14:paraId="13258AB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因发包人原因造成监理人未能在计划开工日期之日起</w:t>
      </w:r>
      <w:r>
        <w:rPr>
          <w:rFonts w:hint="eastAsia" w:ascii="宋体" w:hAnsi="宋体" w:eastAsia="宋体" w:cs="宋体"/>
          <w:color w:val="auto"/>
          <w:spacing w:val="-2"/>
          <w:sz w:val="21"/>
          <w:szCs w:val="21"/>
          <w:highlight w:val="none"/>
          <w:u w:val="single" w:color="auto"/>
        </w:rPr>
        <w:t>180</w:t>
      </w:r>
      <w:r>
        <w:rPr>
          <w:rFonts w:hint="eastAsia" w:ascii="宋体" w:hAnsi="宋体" w:eastAsia="宋体" w:cs="宋体"/>
          <w:color w:val="auto"/>
          <w:spacing w:val="-2"/>
          <w:sz w:val="21"/>
          <w:szCs w:val="21"/>
          <w:highlight w:val="none"/>
        </w:rPr>
        <w:t>天</w:t>
      </w:r>
      <w:r>
        <w:rPr>
          <w:rFonts w:hint="eastAsia" w:ascii="宋体" w:hAnsi="宋体" w:eastAsia="宋体" w:cs="宋体"/>
          <w:color w:val="auto"/>
          <w:spacing w:val="-3"/>
          <w:sz w:val="21"/>
          <w:szCs w:val="21"/>
          <w:highlight w:val="none"/>
        </w:rPr>
        <w:t>内发出开工通知的，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承包人有权提出价格调整要求，或者解除合同。</w:t>
      </w:r>
    </w:p>
    <w:p w14:paraId="485A3DE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7.4</w:t>
      </w:r>
      <w:r>
        <w:rPr>
          <w:rFonts w:hint="eastAsia" w:ascii="宋体" w:hAnsi="宋体" w:eastAsia="宋体" w:cs="宋体"/>
          <w:color w:val="auto"/>
          <w:spacing w:val="-4"/>
          <w:sz w:val="21"/>
          <w:szCs w:val="21"/>
          <w:highlight w:val="none"/>
        </w:rPr>
        <w:t xml:space="preserve"> </w:t>
      </w:r>
      <w:r>
        <w:rPr>
          <w:rFonts w:hint="eastAsia" w:ascii="宋体" w:hAnsi="宋体" w:eastAsia="宋体" w:cs="宋体"/>
          <w:b/>
          <w:bCs/>
          <w:color w:val="auto"/>
          <w:spacing w:val="-4"/>
          <w:sz w:val="21"/>
          <w:szCs w:val="21"/>
          <w:highlight w:val="none"/>
        </w:rPr>
        <w:t>测量放线</w:t>
      </w:r>
    </w:p>
    <w:p w14:paraId="740FD65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7.4.1发包人通过监理人向承包人提供测量基准点、基准线和水准点及其书面资</w:t>
      </w:r>
      <w:r>
        <w:rPr>
          <w:rFonts w:hint="eastAsia" w:ascii="宋体" w:hAnsi="宋体" w:eastAsia="宋体" w:cs="宋体"/>
          <w:color w:val="auto"/>
          <w:spacing w:val="-2"/>
          <w:sz w:val="21"/>
          <w:szCs w:val="21"/>
          <w:highlight w:val="none"/>
        </w:rPr>
        <w:t>料的期限：</w:t>
      </w:r>
    </w:p>
    <w:p w14:paraId="1A7B4B4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u w:val="single" w:color="auto"/>
        </w:rPr>
        <w:t>开工前7天，发包人用书面形式交给承包人。承包人应根据国家测绘基准、测绘系统</w:t>
      </w:r>
      <w:r>
        <w:rPr>
          <w:rFonts w:hint="eastAsia" w:ascii="宋体" w:hAnsi="宋体" w:eastAsia="宋体" w:cs="宋体"/>
          <w:color w:val="auto"/>
          <w:sz w:val="21"/>
          <w:szCs w:val="21"/>
          <w:highlight w:val="none"/>
          <w:u w:val="single" w:color="auto"/>
        </w:rPr>
        <w:t>和工程测量技术规范，按上述基准点（线）以及合同工</w:t>
      </w:r>
      <w:r>
        <w:rPr>
          <w:rFonts w:hint="eastAsia" w:ascii="宋体" w:hAnsi="宋体" w:eastAsia="宋体" w:cs="宋体"/>
          <w:color w:val="auto"/>
          <w:spacing w:val="-1"/>
          <w:sz w:val="21"/>
          <w:szCs w:val="21"/>
          <w:highlight w:val="none"/>
          <w:u w:val="single" w:color="auto"/>
        </w:rPr>
        <w:t>程精度要求，测设施工控制网，并在7个工作日期限内，将施工控制网资料报送监理人审批</w:t>
      </w:r>
      <w:r>
        <w:rPr>
          <w:rFonts w:hint="eastAsia" w:ascii="宋体" w:hAnsi="宋体" w:eastAsia="宋体" w:cs="宋体"/>
          <w:color w:val="auto"/>
          <w:spacing w:val="-1"/>
          <w:sz w:val="21"/>
          <w:szCs w:val="21"/>
          <w:highlight w:val="none"/>
        </w:rPr>
        <w:t>。</w:t>
      </w:r>
    </w:p>
    <w:p w14:paraId="004A108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7.5</w:t>
      </w:r>
      <w:r>
        <w:rPr>
          <w:rFonts w:hint="eastAsia" w:ascii="宋体" w:hAnsi="宋体" w:eastAsia="宋体" w:cs="宋体"/>
          <w:color w:val="auto"/>
          <w:spacing w:val="17"/>
          <w:sz w:val="21"/>
          <w:szCs w:val="21"/>
          <w:highlight w:val="none"/>
        </w:rPr>
        <w:t xml:space="preserve"> </w:t>
      </w:r>
      <w:r>
        <w:rPr>
          <w:rFonts w:hint="eastAsia" w:ascii="宋体" w:hAnsi="宋体" w:eastAsia="宋体" w:cs="宋体"/>
          <w:b/>
          <w:bCs/>
          <w:color w:val="auto"/>
          <w:spacing w:val="-7"/>
          <w:sz w:val="21"/>
          <w:szCs w:val="21"/>
          <w:highlight w:val="none"/>
        </w:rPr>
        <w:t>工期延误</w:t>
      </w:r>
    </w:p>
    <w:p w14:paraId="6C27D45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7.5.1 因发包人原因导致工期延误</w:t>
      </w:r>
    </w:p>
    <w:p w14:paraId="0627DBF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（7）因发包人原因导致工期延误的其他情形：</w:t>
      </w:r>
      <w:r>
        <w:rPr>
          <w:rFonts w:hint="eastAsia" w:ascii="宋体" w:hAnsi="宋体" w:eastAsia="宋体" w:cs="宋体"/>
          <w:color w:val="auto"/>
          <w:spacing w:val="-3"/>
          <w:sz w:val="21"/>
          <w:szCs w:val="21"/>
          <w:highlight w:val="none"/>
          <w:u w:val="single" w:color="auto"/>
        </w:rPr>
        <w:t>①重大设计变更而</w:t>
      </w:r>
      <w:r>
        <w:rPr>
          <w:rFonts w:hint="eastAsia" w:ascii="宋体" w:hAnsi="宋体" w:eastAsia="宋体" w:cs="宋体"/>
          <w:color w:val="auto"/>
          <w:spacing w:val="-4"/>
          <w:sz w:val="21"/>
          <w:szCs w:val="21"/>
          <w:highlight w:val="none"/>
          <w:u w:val="single" w:color="auto"/>
        </w:rPr>
        <w:t>影响施工进度</w:t>
      </w:r>
      <w:r>
        <w:rPr>
          <w:rFonts w:hint="eastAsia" w:ascii="宋体" w:hAnsi="宋体" w:cs="宋体"/>
          <w:color w:val="auto"/>
          <w:spacing w:val="-4"/>
          <w:sz w:val="21"/>
          <w:szCs w:val="21"/>
          <w:highlight w:val="none"/>
          <w:u w:val="single" w:color="auto"/>
          <w:lang w:eastAsia="zh-CN"/>
        </w:rPr>
        <w:t>，</w:t>
      </w:r>
      <w:r>
        <w:rPr>
          <w:rFonts w:hint="eastAsia" w:ascii="宋体" w:hAnsi="宋体" w:eastAsia="宋体" w:cs="宋体"/>
          <w:color w:val="auto"/>
          <w:spacing w:val="-2"/>
          <w:sz w:val="21"/>
          <w:szCs w:val="21"/>
          <w:highlight w:val="none"/>
          <w:u w:val="single" w:color="auto"/>
        </w:rPr>
        <w:t>工程变更和工程量增加的；②发包人未能按合同要求配合施工或因发包人</w:t>
      </w:r>
      <w:r>
        <w:rPr>
          <w:rFonts w:hint="eastAsia" w:ascii="宋体" w:hAnsi="宋体" w:eastAsia="宋体" w:cs="宋体"/>
          <w:color w:val="auto"/>
          <w:spacing w:val="-3"/>
          <w:sz w:val="21"/>
          <w:szCs w:val="21"/>
          <w:highlight w:val="none"/>
          <w:u w:val="single" w:color="auto"/>
        </w:rPr>
        <w:t>原因造</w:t>
      </w:r>
      <w:r>
        <w:rPr>
          <w:rFonts w:hint="eastAsia" w:ascii="宋体" w:hAnsi="宋体" w:eastAsia="宋体" w:cs="宋体"/>
          <w:color w:val="auto"/>
          <w:sz w:val="21"/>
          <w:szCs w:val="21"/>
          <w:highlight w:val="none"/>
          <w:u w:val="single" w:color="auto"/>
        </w:rPr>
        <w:t>成的延误、故障、人为阻止施工导致停工时；③下雨天日降雨</w:t>
      </w:r>
      <w:r>
        <w:rPr>
          <w:rFonts w:hint="eastAsia" w:ascii="宋体" w:hAnsi="宋体" w:eastAsia="宋体" w:cs="宋体"/>
          <w:color w:val="auto"/>
          <w:spacing w:val="-1"/>
          <w:sz w:val="21"/>
          <w:szCs w:val="21"/>
          <w:highlight w:val="none"/>
          <w:u w:val="single" w:color="auto"/>
        </w:rPr>
        <w:t>量达60mm以上持续4</w:t>
      </w:r>
      <w:r>
        <w:rPr>
          <w:rFonts w:hint="eastAsia" w:ascii="宋体" w:hAnsi="宋体" w:eastAsia="宋体" w:cs="宋体"/>
          <w:color w:val="auto"/>
          <w:sz w:val="21"/>
          <w:szCs w:val="21"/>
          <w:highlight w:val="none"/>
          <w:u w:val="single" w:color="auto"/>
        </w:rPr>
        <w:t>小时及以上的大雨的，且经监理方确认确实影响到施工的</w:t>
      </w:r>
      <w:r>
        <w:rPr>
          <w:rFonts w:hint="eastAsia" w:ascii="宋体" w:hAnsi="宋体" w:eastAsia="宋体" w:cs="宋体"/>
          <w:color w:val="auto"/>
          <w:spacing w:val="-1"/>
          <w:sz w:val="21"/>
          <w:szCs w:val="21"/>
          <w:highlight w:val="none"/>
          <w:u w:val="single" w:color="auto"/>
        </w:rPr>
        <w:t>情形，可顺延一天，</w:t>
      </w:r>
      <w:r>
        <w:rPr>
          <w:rFonts w:hint="eastAsia" w:ascii="宋体" w:hAnsi="宋体" w:cs="宋体"/>
          <w:color w:val="auto"/>
          <w:spacing w:val="-1"/>
          <w:sz w:val="21"/>
          <w:szCs w:val="21"/>
          <w:highlight w:val="none"/>
          <w:u w:val="single" w:color="auto"/>
          <w:lang w:eastAsia="zh-CN"/>
        </w:rPr>
        <w:t>以此类推</w:t>
      </w:r>
      <w:r>
        <w:rPr>
          <w:rFonts w:hint="eastAsia" w:ascii="宋体" w:hAnsi="宋体" w:eastAsia="宋体" w:cs="宋体"/>
          <w:color w:val="auto"/>
          <w:spacing w:val="-3"/>
          <w:sz w:val="21"/>
          <w:szCs w:val="21"/>
          <w:highlight w:val="none"/>
          <w:u w:val="single" w:color="auto"/>
        </w:rPr>
        <w:t>；④每日非承包人原因停水停电，累计超过4小时可顺延一日；或一周内，非承包人原因停水、停电累计超过8个小时可顺延一日；⑤非承包人责任而造成的停工和</w:t>
      </w:r>
      <w:r>
        <w:rPr>
          <w:rFonts w:hint="eastAsia" w:ascii="宋体" w:hAnsi="宋体" w:eastAsia="宋体" w:cs="宋体"/>
          <w:color w:val="auto"/>
          <w:sz w:val="21"/>
          <w:szCs w:val="21"/>
          <w:highlight w:val="none"/>
          <w:u w:val="single" w:color="auto"/>
        </w:rPr>
        <w:t>工期延误及工程师同意或承包人有证据证明可顺延工期的</w:t>
      </w:r>
      <w:r>
        <w:rPr>
          <w:rFonts w:hint="eastAsia" w:ascii="宋体" w:hAnsi="宋体" w:eastAsia="宋体" w:cs="宋体"/>
          <w:color w:val="auto"/>
          <w:spacing w:val="-1"/>
          <w:sz w:val="21"/>
          <w:szCs w:val="21"/>
          <w:highlight w:val="none"/>
          <w:u w:val="single" w:color="auto"/>
        </w:rPr>
        <w:t>其他情形，且经监理方确</w:t>
      </w:r>
      <w:r>
        <w:rPr>
          <w:rFonts w:hint="eastAsia" w:ascii="宋体" w:hAnsi="宋体" w:eastAsia="宋体" w:cs="宋体"/>
          <w:color w:val="auto"/>
          <w:spacing w:val="-3"/>
          <w:sz w:val="21"/>
          <w:szCs w:val="21"/>
          <w:highlight w:val="none"/>
          <w:u w:val="single" w:color="auto"/>
        </w:rPr>
        <w:t>认确实影响到施工的情形；发生专用条款第7.7项约定的异常恶劣的气候条件的情形</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z w:val="21"/>
          <w:szCs w:val="21"/>
          <w:highlight w:val="none"/>
          <w:u w:val="single" w:color="auto"/>
        </w:rPr>
        <w:t>并对工程进度产生影响的；⑥其余工期顺延的情况按本合同《</w:t>
      </w:r>
      <w:r>
        <w:rPr>
          <w:rFonts w:hint="eastAsia" w:ascii="宋体" w:hAnsi="宋体" w:eastAsia="宋体" w:cs="宋体"/>
          <w:color w:val="auto"/>
          <w:spacing w:val="-1"/>
          <w:sz w:val="21"/>
          <w:szCs w:val="21"/>
          <w:highlight w:val="none"/>
          <w:u w:val="single" w:color="auto"/>
        </w:rPr>
        <w:t>通用条款》第7.5.1</w:t>
      </w:r>
      <w:r>
        <w:rPr>
          <w:rFonts w:hint="eastAsia" w:ascii="宋体" w:hAnsi="宋体" w:eastAsia="宋体" w:cs="宋体"/>
          <w:color w:val="auto"/>
          <w:spacing w:val="1"/>
          <w:sz w:val="21"/>
          <w:szCs w:val="21"/>
          <w:highlight w:val="none"/>
          <w:u w:val="single" w:color="auto"/>
        </w:rPr>
        <w:t>条第（1</w:t>
      </w:r>
      <w:r>
        <w:rPr>
          <w:rFonts w:hint="eastAsia" w:ascii="宋体" w:hAnsi="宋体" w:eastAsia="宋体" w:cs="宋体"/>
          <w:color w:val="auto"/>
          <w:spacing w:val="-12"/>
          <w:sz w:val="21"/>
          <w:szCs w:val="21"/>
          <w:highlight w:val="none"/>
          <w:u w:val="single" w:color="auto"/>
        </w:rPr>
        <w:t>）～（</w:t>
      </w:r>
      <w:r>
        <w:rPr>
          <w:rFonts w:hint="eastAsia" w:ascii="宋体" w:hAnsi="宋体" w:eastAsia="宋体" w:cs="宋体"/>
          <w:color w:val="auto"/>
          <w:spacing w:val="1"/>
          <w:sz w:val="21"/>
          <w:szCs w:val="21"/>
          <w:highlight w:val="none"/>
          <w:u w:val="single" w:color="auto"/>
        </w:rPr>
        <w:t>6）款的规定执行；⑦按施工条件规定，发包</w:t>
      </w:r>
      <w:r>
        <w:rPr>
          <w:rFonts w:hint="eastAsia" w:ascii="宋体" w:hAnsi="宋体" w:eastAsia="宋体" w:cs="宋体"/>
          <w:color w:val="auto"/>
          <w:sz w:val="21"/>
          <w:szCs w:val="21"/>
          <w:highlight w:val="none"/>
          <w:u w:val="single" w:color="auto"/>
        </w:rPr>
        <w:t>人不能提供“三通一平”影响进场施工；⑧未按协议规定拨付工程进度款而影响</w:t>
      </w:r>
      <w:r>
        <w:rPr>
          <w:rFonts w:hint="eastAsia" w:ascii="宋体" w:hAnsi="宋体" w:eastAsia="宋体" w:cs="宋体"/>
          <w:color w:val="auto"/>
          <w:spacing w:val="-1"/>
          <w:sz w:val="21"/>
          <w:szCs w:val="21"/>
          <w:highlight w:val="none"/>
          <w:u w:val="single" w:color="auto"/>
        </w:rPr>
        <w:t>施工；⑨发包人或监理人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发出错误的施工指令导致工期延误；⑩政府指令性停工（</w:t>
      </w:r>
      <w:r>
        <w:rPr>
          <w:rFonts w:hint="eastAsia" w:ascii="宋体" w:hAnsi="宋体" w:eastAsia="宋体" w:cs="宋体"/>
          <w:color w:val="auto"/>
          <w:spacing w:val="-1"/>
          <w:sz w:val="21"/>
          <w:szCs w:val="21"/>
          <w:highlight w:val="none"/>
          <w:u w:val="single" w:color="auto"/>
        </w:rPr>
        <w:t>除高考、中考、东盟、春</w:t>
      </w:r>
      <w:r>
        <w:rPr>
          <w:rFonts w:hint="eastAsia" w:ascii="宋体" w:hAnsi="宋体" w:eastAsia="宋体" w:cs="宋体"/>
          <w:color w:val="auto"/>
          <w:spacing w:val="1"/>
          <w:sz w:val="21"/>
          <w:szCs w:val="21"/>
          <w:highlight w:val="none"/>
          <w:u w:val="single" w:color="auto"/>
        </w:rPr>
        <w:t>节休假以外）</w:t>
      </w:r>
      <w:r>
        <w:rPr>
          <w:rFonts w:hint="eastAsia" w:ascii="宋体" w:hAnsi="宋体" w:cs="宋体"/>
          <w:color w:val="auto"/>
          <w:spacing w:val="1"/>
          <w:sz w:val="21"/>
          <w:szCs w:val="21"/>
          <w:highlight w:val="none"/>
          <w:u w:val="single" w:color="auto"/>
          <w:lang w:eastAsia="zh-CN"/>
        </w:rPr>
        <w:t>，或</w:t>
      </w:r>
      <w:r>
        <w:rPr>
          <w:rFonts w:hint="eastAsia" w:ascii="宋体" w:hAnsi="宋体" w:eastAsia="宋体" w:cs="宋体"/>
          <w:color w:val="auto"/>
          <w:spacing w:val="1"/>
          <w:sz w:val="21"/>
          <w:szCs w:val="21"/>
          <w:highlight w:val="none"/>
          <w:u w:val="single" w:color="auto"/>
        </w:rPr>
        <w:t>不可抗力因素而延误工期。</w:t>
      </w:r>
    </w:p>
    <w:p w14:paraId="1D95A78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以上延误工期情况发生后十四日内，承包人应向监理和发包人提出书面申请，</w:t>
      </w:r>
      <w:r>
        <w:rPr>
          <w:rFonts w:hint="eastAsia" w:ascii="宋体" w:hAnsi="宋体" w:eastAsia="宋体" w:cs="宋体"/>
          <w:b/>
          <w:bCs/>
          <w:color w:val="auto"/>
          <w:spacing w:val="-2"/>
          <w:sz w:val="21"/>
          <w:szCs w:val="21"/>
          <w:highlight w:val="none"/>
        </w:rPr>
        <w:t>监理人及时审核确认无误后书面报告发包人。若承包人不提出或逾期提出，</w:t>
      </w:r>
      <w:r>
        <w:rPr>
          <w:rFonts w:hint="eastAsia" w:ascii="宋体" w:hAnsi="宋体" w:eastAsia="宋体" w:cs="宋体"/>
          <w:b/>
          <w:bCs/>
          <w:color w:val="auto"/>
          <w:spacing w:val="-3"/>
          <w:sz w:val="21"/>
          <w:szCs w:val="21"/>
          <w:highlight w:val="none"/>
        </w:rPr>
        <w:t>则视为</w:t>
      </w:r>
      <w:r>
        <w:rPr>
          <w:rFonts w:hint="eastAsia" w:ascii="宋体" w:hAnsi="宋体" w:eastAsia="宋体" w:cs="宋体"/>
          <w:b/>
          <w:bCs/>
          <w:color w:val="auto"/>
          <w:spacing w:val="-2"/>
          <w:sz w:val="21"/>
          <w:szCs w:val="21"/>
          <w:highlight w:val="none"/>
        </w:rPr>
        <w:t>承包人放弃此权利。若发包人14日内未回复，</w:t>
      </w:r>
      <w:r>
        <w:rPr>
          <w:rFonts w:hint="eastAsia" w:ascii="宋体" w:hAnsi="宋体" w:cs="宋体"/>
          <w:b/>
          <w:bCs/>
          <w:color w:val="auto"/>
          <w:spacing w:val="-2"/>
          <w:sz w:val="21"/>
          <w:szCs w:val="21"/>
          <w:highlight w:val="none"/>
          <w:lang w:eastAsia="zh-CN"/>
        </w:rPr>
        <w:t>视为</w:t>
      </w:r>
      <w:r>
        <w:rPr>
          <w:rFonts w:hint="eastAsia" w:ascii="宋体" w:hAnsi="宋体" w:eastAsia="宋体" w:cs="宋体"/>
          <w:b/>
          <w:bCs/>
          <w:color w:val="auto"/>
          <w:spacing w:val="-2"/>
          <w:sz w:val="21"/>
          <w:szCs w:val="21"/>
          <w:highlight w:val="none"/>
        </w:rPr>
        <w:t>默认承包人工</w:t>
      </w:r>
      <w:r>
        <w:rPr>
          <w:rFonts w:hint="eastAsia" w:ascii="宋体" w:hAnsi="宋体" w:eastAsia="宋体" w:cs="宋体"/>
          <w:b/>
          <w:bCs/>
          <w:color w:val="auto"/>
          <w:spacing w:val="-3"/>
          <w:sz w:val="21"/>
          <w:szCs w:val="21"/>
          <w:highlight w:val="none"/>
        </w:rPr>
        <w:t>期延误。</w:t>
      </w:r>
    </w:p>
    <w:p w14:paraId="1A90C12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7.5.2 因承包人原因导致工期延误</w:t>
      </w:r>
    </w:p>
    <w:p w14:paraId="796C948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双方约定经监理工程师确认，工期相应顺延的</w:t>
      </w:r>
      <w:r>
        <w:rPr>
          <w:rFonts w:hint="eastAsia" w:ascii="宋体" w:hAnsi="宋体" w:eastAsia="宋体" w:cs="宋体"/>
          <w:color w:val="auto"/>
          <w:spacing w:val="-1"/>
          <w:sz w:val="21"/>
          <w:szCs w:val="21"/>
          <w:highlight w:val="none"/>
        </w:rPr>
        <w:t>情况：</w:t>
      </w:r>
      <w:r>
        <w:rPr>
          <w:rFonts w:hint="eastAsia" w:ascii="宋体" w:hAnsi="宋体" w:eastAsia="宋体" w:cs="宋体"/>
          <w:color w:val="auto"/>
          <w:spacing w:val="-1"/>
          <w:sz w:val="21"/>
          <w:szCs w:val="21"/>
          <w:highlight w:val="none"/>
          <w:u w:val="single" w:color="auto"/>
        </w:rPr>
        <w:t>不可抗力的原因</w:t>
      </w:r>
      <w:r>
        <w:rPr>
          <w:rFonts w:hint="eastAsia" w:ascii="宋体" w:hAnsi="宋体" w:eastAsia="宋体" w:cs="宋体"/>
          <w:color w:val="auto"/>
          <w:spacing w:val="-1"/>
          <w:sz w:val="21"/>
          <w:szCs w:val="21"/>
          <w:highlight w:val="none"/>
        </w:rPr>
        <w:t>。</w:t>
      </w:r>
    </w:p>
    <w:p w14:paraId="2C0EFB7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因承包人原因造成工期延误，逾期竣工违约金的计算方法为：</w:t>
      </w:r>
      <w:r>
        <w:rPr>
          <w:rFonts w:hint="eastAsia" w:ascii="宋体" w:hAnsi="宋体" w:eastAsia="宋体" w:cs="宋体"/>
          <w:color w:val="auto"/>
          <w:spacing w:val="-4"/>
          <w:sz w:val="21"/>
          <w:szCs w:val="21"/>
          <w:highlight w:val="none"/>
          <w:u w:val="single" w:color="auto"/>
        </w:rPr>
        <w:t>非上述原因，承包</w:t>
      </w:r>
      <w:r>
        <w:rPr>
          <w:rFonts w:hint="eastAsia" w:ascii="宋体" w:hAnsi="宋体" w:eastAsia="宋体" w:cs="宋体"/>
          <w:color w:val="auto"/>
          <w:sz w:val="21"/>
          <w:szCs w:val="21"/>
          <w:highlight w:val="none"/>
          <w:u w:val="single" w:color="auto"/>
        </w:rPr>
        <w:t>人不能按合同约定的时间竣工，承包人应承担违约责任</w:t>
      </w:r>
      <w:r>
        <w:rPr>
          <w:rFonts w:hint="eastAsia" w:ascii="宋体" w:hAnsi="宋体" w:eastAsia="宋体" w:cs="宋体"/>
          <w:color w:val="auto"/>
          <w:spacing w:val="-1"/>
          <w:sz w:val="21"/>
          <w:szCs w:val="21"/>
          <w:highlight w:val="none"/>
          <w:u w:val="single" w:color="auto"/>
        </w:rPr>
        <w:t>。应向发包人支付误期赔偿费（每天赔偿金额为合同价款的万分之四</w:t>
      </w:r>
      <w:r>
        <w:rPr>
          <w:rFonts w:hint="eastAsia" w:ascii="宋体" w:hAnsi="宋体" w:eastAsia="宋体" w:cs="宋体"/>
          <w:color w:val="auto"/>
          <w:spacing w:val="11"/>
          <w:sz w:val="21"/>
          <w:szCs w:val="21"/>
          <w:highlight w:val="none"/>
          <w:u w:val="single" w:color="auto"/>
        </w:rPr>
        <w:t>），</w:t>
      </w:r>
      <w:r>
        <w:rPr>
          <w:rFonts w:hint="eastAsia" w:ascii="宋体" w:hAnsi="宋体" w:eastAsia="宋体" w:cs="宋体"/>
          <w:color w:val="auto"/>
          <w:spacing w:val="-1"/>
          <w:sz w:val="21"/>
          <w:szCs w:val="21"/>
          <w:highlight w:val="none"/>
          <w:u w:val="single" w:color="auto"/>
        </w:rPr>
        <w:t>误期时间从规定竣工日期起直到全部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工程或相应部分工程竣工验收各方签章日期之间的天数</w:t>
      </w:r>
      <w:r>
        <w:rPr>
          <w:rFonts w:hint="eastAsia" w:ascii="宋体" w:hAnsi="宋体" w:eastAsia="宋体" w:cs="宋体"/>
          <w:color w:val="auto"/>
          <w:spacing w:val="-1"/>
          <w:sz w:val="21"/>
          <w:szCs w:val="21"/>
          <w:highlight w:val="none"/>
          <w:u w:val="single" w:color="auto"/>
        </w:rPr>
        <w:t>（扣除发包人批准顺延的工</w:t>
      </w:r>
      <w:r>
        <w:rPr>
          <w:rFonts w:hint="eastAsia" w:ascii="宋体" w:hAnsi="宋体" w:eastAsia="宋体" w:cs="宋体"/>
          <w:color w:val="auto"/>
          <w:sz w:val="21"/>
          <w:szCs w:val="21"/>
          <w:highlight w:val="none"/>
          <w:u w:val="single" w:color="auto"/>
        </w:rPr>
        <w:t>期）。发包人可从应向承包人支付的任何金额中扣除此</w:t>
      </w:r>
      <w:r>
        <w:rPr>
          <w:rFonts w:hint="eastAsia" w:ascii="宋体" w:hAnsi="宋体" w:eastAsia="宋体" w:cs="宋体"/>
          <w:color w:val="auto"/>
          <w:spacing w:val="-1"/>
          <w:sz w:val="21"/>
          <w:szCs w:val="21"/>
          <w:highlight w:val="none"/>
          <w:u w:val="single" w:color="auto"/>
        </w:rPr>
        <w:t>项</w:t>
      </w:r>
      <w:r>
        <w:rPr>
          <w:rFonts w:hint="eastAsia" w:ascii="宋体" w:hAnsi="宋体" w:cs="宋体"/>
          <w:color w:val="auto"/>
          <w:spacing w:val="-1"/>
          <w:sz w:val="21"/>
          <w:szCs w:val="21"/>
          <w:highlight w:val="none"/>
          <w:u w:val="single" w:color="auto"/>
          <w:lang w:eastAsia="zh-CN"/>
        </w:rPr>
        <w:t>赔偿</w:t>
      </w:r>
      <w:r>
        <w:rPr>
          <w:rFonts w:hint="eastAsia" w:ascii="宋体" w:hAnsi="宋体" w:eastAsia="宋体" w:cs="宋体"/>
          <w:color w:val="auto"/>
          <w:spacing w:val="-1"/>
          <w:sz w:val="21"/>
          <w:szCs w:val="21"/>
          <w:highlight w:val="none"/>
          <w:u w:val="single" w:color="auto"/>
        </w:rPr>
        <w:t>费或其他方式收回此</w:t>
      </w:r>
      <w:r>
        <w:rPr>
          <w:rFonts w:hint="eastAsia" w:ascii="宋体" w:hAnsi="宋体" w:eastAsia="宋体" w:cs="宋体"/>
          <w:color w:val="auto"/>
          <w:sz w:val="21"/>
          <w:szCs w:val="21"/>
          <w:highlight w:val="none"/>
          <w:u w:val="single" w:color="auto"/>
        </w:rPr>
        <w:t>款，此赔偿款的支付并不能解除承包人应完成工程的责</w:t>
      </w:r>
      <w:r>
        <w:rPr>
          <w:rFonts w:hint="eastAsia" w:ascii="宋体" w:hAnsi="宋体" w:eastAsia="宋体" w:cs="宋体"/>
          <w:color w:val="auto"/>
          <w:spacing w:val="-1"/>
          <w:sz w:val="21"/>
          <w:szCs w:val="21"/>
          <w:highlight w:val="none"/>
          <w:u w:val="single" w:color="auto"/>
        </w:rPr>
        <w:t>任或合同规定的其他责任。</w:t>
      </w:r>
    </w:p>
    <w:p w14:paraId="150CB40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因承包人原因造成工期延误，逾期竣工违约金的上限：</w:t>
      </w:r>
      <w:r>
        <w:rPr>
          <w:rFonts w:hint="eastAsia" w:ascii="宋体" w:hAnsi="宋体" w:eastAsia="宋体" w:cs="宋体"/>
          <w:color w:val="auto"/>
          <w:spacing w:val="-1"/>
          <w:sz w:val="21"/>
          <w:szCs w:val="21"/>
          <w:highlight w:val="none"/>
          <w:u w:val="single" w:color="auto"/>
        </w:rPr>
        <w:t>签约合同价扣除发包人材料价款、暂估专业工程、暂列金额后的3%。</w:t>
      </w:r>
    </w:p>
    <w:p w14:paraId="4BAE6DD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7.6</w:t>
      </w:r>
      <w:r>
        <w:rPr>
          <w:rFonts w:hint="eastAsia" w:ascii="宋体" w:hAnsi="宋体" w:eastAsia="宋体" w:cs="宋体"/>
          <w:color w:val="auto"/>
          <w:spacing w:val="-4"/>
          <w:sz w:val="21"/>
          <w:szCs w:val="21"/>
          <w:highlight w:val="none"/>
        </w:rPr>
        <w:t xml:space="preserve"> </w:t>
      </w:r>
      <w:r>
        <w:rPr>
          <w:rFonts w:hint="eastAsia" w:ascii="宋体" w:hAnsi="宋体" w:eastAsia="宋体" w:cs="宋体"/>
          <w:b/>
          <w:bCs/>
          <w:color w:val="auto"/>
          <w:spacing w:val="-4"/>
          <w:sz w:val="21"/>
          <w:szCs w:val="21"/>
          <w:highlight w:val="none"/>
        </w:rPr>
        <w:t>不利物质条件</w:t>
      </w:r>
    </w:p>
    <w:p w14:paraId="7A805C5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不利物质条件的其他情形和有关约定：</w:t>
      </w:r>
      <w:r>
        <w:rPr>
          <w:rFonts w:hint="eastAsia" w:ascii="宋体" w:hAnsi="宋体" w:eastAsia="宋体" w:cs="宋体"/>
          <w:color w:val="auto"/>
          <w:sz w:val="21"/>
          <w:szCs w:val="21"/>
          <w:highlight w:val="none"/>
          <w:u w:val="single" w:color="auto"/>
        </w:rPr>
        <w:t>因不</w:t>
      </w:r>
      <w:r>
        <w:rPr>
          <w:rFonts w:hint="eastAsia" w:ascii="宋体" w:hAnsi="宋体" w:eastAsia="宋体" w:cs="宋体"/>
          <w:color w:val="auto"/>
          <w:spacing w:val="-1"/>
          <w:sz w:val="21"/>
          <w:szCs w:val="21"/>
          <w:highlight w:val="none"/>
          <w:u w:val="single" w:color="auto"/>
        </w:rPr>
        <w:t>利物质条件的原因导致承包人暂停施工的，由监理方确认是否给予工期顺延或费用补偿</w:t>
      </w:r>
      <w:r>
        <w:rPr>
          <w:rFonts w:hint="eastAsia" w:ascii="宋体" w:hAnsi="宋体" w:eastAsia="宋体" w:cs="宋体"/>
          <w:color w:val="auto"/>
          <w:spacing w:val="-1"/>
          <w:sz w:val="21"/>
          <w:szCs w:val="21"/>
          <w:highlight w:val="none"/>
        </w:rPr>
        <w:t>。</w:t>
      </w:r>
    </w:p>
    <w:p w14:paraId="54FEF44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7.7</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异常恶劣的气候条件</w:t>
      </w:r>
    </w:p>
    <w:p w14:paraId="4318402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u w:val="single" w:color="auto"/>
        </w:rPr>
        <w:t>5</w:t>
      </w:r>
      <w:r>
        <w:rPr>
          <w:rFonts w:hint="eastAsia" w:ascii="宋体" w:hAnsi="宋体" w:eastAsia="宋体" w:cs="宋体"/>
          <w:b/>
          <w:bCs/>
          <w:color w:val="auto"/>
          <w:spacing w:val="-2"/>
          <w:sz w:val="21"/>
          <w:szCs w:val="21"/>
          <w:highlight w:val="none"/>
          <w:u w:val="single" w:color="auto"/>
        </w:rPr>
        <w:t>级</w:t>
      </w:r>
      <w:r>
        <w:rPr>
          <w:rFonts w:hint="eastAsia" w:ascii="宋体" w:hAnsi="宋体" w:eastAsia="宋体" w:cs="宋体"/>
          <w:color w:val="auto"/>
          <w:spacing w:val="-2"/>
          <w:sz w:val="21"/>
          <w:szCs w:val="21"/>
          <w:highlight w:val="none"/>
          <w:u w:val="single" w:color="auto"/>
        </w:rPr>
        <w:t>以上的地震；</w:t>
      </w:r>
    </w:p>
    <w:p w14:paraId="314B1A2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b/>
          <w:bCs/>
          <w:color w:val="auto"/>
          <w:spacing w:val="-2"/>
          <w:sz w:val="21"/>
          <w:szCs w:val="21"/>
          <w:highlight w:val="none"/>
          <w:u w:val="single" w:color="auto"/>
        </w:rPr>
        <w:t>6</w:t>
      </w:r>
      <w:r>
        <w:rPr>
          <w:rFonts w:hint="eastAsia" w:ascii="宋体" w:hAnsi="宋体" w:eastAsia="宋体" w:cs="宋体"/>
          <w:color w:val="auto"/>
          <w:spacing w:val="-2"/>
          <w:sz w:val="21"/>
          <w:szCs w:val="21"/>
          <w:highlight w:val="none"/>
          <w:u w:val="single" w:color="auto"/>
        </w:rPr>
        <w:t>级以上的大风；</w:t>
      </w:r>
    </w:p>
    <w:p w14:paraId="4DA1CBD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1"/>
          <w:sz w:val="21"/>
          <w:szCs w:val="21"/>
          <w:highlight w:val="none"/>
        </w:rPr>
        <w:t>（3）</w:t>
      </w:r>
      <w:r>
        <w:rPr>
          <w:rFonts w:hint="eastAsia" w:ascii="宋体" w:hAnsi="宋体" w:eastAsia="宋体" w:cs="宋体"/>
          <w:color w:val="auto"/>
          <w:spacing w:val="-1"/>
          <w:sz w:val="21"/>
          <w:szCs w:val="21"/>
          <w:highlight w:val="none"/>
          <w:u w:val="single" w:color="auto"/>
        </w:rPr>
        <w:t>60mm以上持续4小时及以上的大雨；</w:t>
      </w:r>
      <w:r>
        <w:rPr>
          <w:rFonts w:hint="eastAsia" w:ascii="宋体" w:hAnsi="宋体" w:eastAsia="宋体" w:cs="宋体"/>
          <w:color w:val="auto"/>
          <w:spacing w:val="4"/>
          <w:sz w:val="21"/>
          <w:szCs w:val="21"/>
          <w:highlight w:val="none"/>
        </w:rPr>
        <w:t xml:space="preserve"> </w:t>
      </w:r>
    </w:p>
    <w:p w14:paraId="23D4700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4"/>
          <w:sz w:val="21"/>
          <w:szCs w:val="21"/>
          <w:highlight w:val="none"/>
          <w:u w:val="single" w:color="auto"/>
        </w:rPr>
        <w:t>日最高温度40℃以上的高温天气；</w:t>
      </w:r>
    </w:p>
    <w:p w14:paraId="25E07A0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w:t>
      </w:r>
      <w:r>
        <w:rPr>
          <w:rFonts w:hint="eastAsia" w:ascii="宋体" w:hAnsi="宋体" w:eastAsia="宋体" w:cs="宋体"/>
          <w:color w:val="auto"/>
          <w:spacing w:val="-1"/>
          <w:sz w:val="21"/>
          <w:szCs w:val="21"/>
          <w:highlight w:val="none"/>
          <w:u w:val="single" w:color="auto"/>
        </w:rPr>
        <w:t>50年以上未发生过的严寒天气；</w:t>
      </w:r>
    </w:p>
    <w:p w14:paraId="2408B4D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b/>
          <w:bCs/>
          <w:color w:val="auto"/>
          <w:sz w:val="21"/>
          <w:szCs w:val="21"/>
          <w:highlight w:val="none"/>
          <w:u w:val="single" w:color="auto"/>
        </w:rPr>
        <w:t>50年</w:t>
      </w:r>
      <w:r>
        <w:rPr>
          <w:rFonts w:hint="eastAsia" w:ascii="宋体" w:hAnsi="宋体" w:eastAsia="宋体" w:cs="宋体"/>
          <w:color w:val="auto"/>
          <w:sz w:val="21"/>
          <w:szCs w:val="21"/>
          <w:highlight w:val="none"/>
          <w:u w:val="single" w:color="auto"/>
        </w:rPr>
        <w:t>以上未发生过的洪水。</w:t>
      </w:r>
    </w:p>
    <w:p w14:paraId="448D27C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7.9</w:t>
      </w:r>
      <w:r>
        <w:rPr>
          <w:rFonts w:hint="eastAsia" w:ascii="宋体" w:hAnsi="宋体" w:eastAsia="宋体" w:cs="宋体"/>
          <w:color w:val="auto"/>
          <w:spacing w:val="-4"/>
          <w:sz w:val="21"/>
          <w:szCs w:val="21"/>
          <w:highlight w:val="none"/>
        </w:rPr>
        <w:t xml:space="preserve"> </w:t>
      </w:r>
      <w:r>
        <w:rPr>
          <w:rFonts w:hint="eastAsia" w:ascii="宋体" w:hAnsi="宋体" w:eastAsia="宋体" w:cs="宋体"/>
          <w:b/>
          <w:bCs/>
          <w:color w:val="auto"/>
          <w:spacing w:val="-4"/>
          <w:sz w:val="21"/>
          <w:szCs w:val="21"/>
          <w:highlight w:val="none"/>
        </w:rPr>
        <w:t>提前竣工</w:t>
      </w:r>
    </w:p>
    <w:p w14:paraId="3B577BD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7.9.2提前竣工（赶工）增加费的计算方法：</w:t>
      </w:r>
      <w:r>
        <w:rPr>
          <w:rFonts w:hint="eastAsia" w:ascii="宋体" w:hAnsi="宋体" w:eastAsia="宋体" w:cs="宋体"/>
          <w:color w:val="auto"/>
          <w:spacing w:val="-1"/>
          <w:sz w:val="21"/>
          <w:szCs w:val="21"/>
          <w:highlight w:val="none"/>
          <w:u w:val="single" w:color="auto"/>
        </w:rPr>
        <w:t>无</w:t>
      </w:r>
      <w:r>
        <w:rPr>
          <w:rFonts w:hint="eastAsia" w:ascii="宋体" w:hAnsi="宋体" w:eastAsia="宋体" w:cs="宋体"/>
          <w:color w:val="auto"/>
          <w:spacing w:val="-1"/>
          <w:sz w:val="21"/>
          <w:szCs w:val="21"/>
          <w:highlight w:val="none"/>
        </w:rPr>
        <w:t>。</w:t>
      </w:r>
    </w:p>
    <w:p w14:paraId="2AED61C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2"/>
        <w:rPr>
          <w:rFonts w:hint="eastAsia" w:ascii="宋体" w:hAnsi="宋体" w:eastAsia="宋体" w:cs="宋体"/>
          <w:color w:val="auto"/>
          <w:sz w:val="21"/>
          <w:szCs w:val="21"/>
          <w:highlight w:val="none"/>
        </w:rPr>
      </w:pPr>
      <w:bookmarkStart w:id="472" w:name="_Toc27516"/>
      <w:bookmarkStart w:id="473" w:name="_Toc22696"/>
      <w:r>
        <w:rPr>
          <w:rFonts w:hint="eastAsia" w:ascii="宋体" w:hAnsi="宋体" w:eastAsia="宋体" w:cs="宋体"/>
          <w:b/>
          <w:bCs/>
          <w:color w:val="auto"/>
          <w:spacing w:val="-3"/>
          <w:sz w:val="21"/>
          <w:szCs w:val="21"/>
          <w:highlight w:val="none"/>
        </w:rPr>
        <w:t>8.</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材料与设备</w:t>
      </w:r>
      <w:bookmarkEnd w:id="472"/>
      <w:bookmarkEnd w:id="473"/>
    </w:p>
    <w:p w14:paraId="4B3936D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8.2</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承包人采购材料与工程设备</w:t>
      </w:r>
    </w:p>
    <w:p w14:paraId="47E354E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除已标价工程量清单《发包人提供主要材料和工程设备一</w:t>
      </w:r>
      <w:r>
        <w:rPr>
          <w:rFonts w:hint="eastAsia" w:ascii="宋体" w:hAnsi="宋体" w:eastAsia="宋体" w:cs="宋体"/>
          <w:color w:val="auto"/>
          <w:spacing w:val="-4"/>
          <w:sz w:val="21"/>
          <w:szCs w:val="21"/>
          <w:highlight w:val="none"/>
        </w:rPr>
        <w:t>览表》（表-21）中明</w:t>
      </w:r>
      <w:r>
        <w:rPr>
          <w:rFonts w:hint="eastAsia" w:ascii="宋体" w:hAnsi="宋体" w:eastAsia="宋体" w:cs="宋体"/>
          <w:color w:val="auto"/>
          <w:sz w:val="21"/>
          <w:szCs w:val="21"/>
          <w:highlight w:val="none"/>
        </w:rPr>
        <w:t xml:space="preserve"> 确的材料、工程设备外，由承包人负责材料和工程设</w:t>
      </w:r>
      <w:r>
        <w:rPr>
          <w:rFonts w:hint="eastAsia" w:ascii="宋体" w:hAnsi="宋体" w:eastAsia="宋体" w:cs="宋体"/>
          <w:color w:val="auto"/>
          <w:spacing w:val="-1"/>
          <w:sz w:val="21"/>
          <w:szCs w:val="21"/>
          <w:highlight w:val="none"/>
        </w:rPr>
        <w:t>备的采购、运输和保管。</w:t>
      </w:r>
    </w:p>
    <w:p w14:paraId="4DC5D30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对发包人在招标时有“参照或相当于**品牌、级别</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”约定的材</w:t>
      </w:r>
      <w:r>
        <w:rPr>
          <w:rFonts w:hint="eastAsia" w:ascii="宋体" w:hAnsi="宋体" w:eastAsia="宋体" w:cs="宋体"/>
          <w:color w:val="auto"/>
          <w:spacing w:val="-2"/>
          <w:sz w:val="21"/>
          <w:szCs w:val="21"/>
          <w:highlight w:val="none"/>
        </w:rPr>
        <w:t>料或设备，承包</w:t>
      </w:r>
      <w:r>
        <w:rPr>
          <w:rFonts w:hint="eastAsia" w:ascii="宋体" w:hAnsi="宋体" w:eastAsia="宋体" w:cs="宋体"/>
          <w:color w:val="auto"/>
          <w:sz w:val="21"/>
          <w:szCs w:val="21"/>
          <w:highlight w:val="none"/>
        </w:rPr>
        <w:t>人采购时必须按</w:t>
      </w:r>
      <w:r>
        <w:rPr>
          <w:rFonts w:hint="eastAsia" w:ascii="宋体" w:hAnsi="宋体" w:cs="宋体"/>
          <w:color w:val="auto"/>
          <w:sz w:val="21"/>
          <w:szCs w:val="21"/>
          <w:highlight w:val="none"/>
          <w:lang w:eastAsia="zh-CN"/>
        </w:rPr>
        <w:t>类似</w:t>
      </w:r>
      <w:r>
        <w:rPr>
          <w:rFonts w:hint="eastAsia" w:ascii="宋体" w:hAnsi="宋体" w:eastAsia="宋体" w:cs="宋体"/>
          <w:color w:val="auto"/>
          <w:sz w:val="21"/>
          <w:szCs w:val="21"/>
          <w:highlight w:val="none"/>
        </w:rPr>
        <w:t>或优于所约</w:t>
      </w:r>
      <w:r>
        <w:rPr>
          <w:rFonts w:hint="eastAsia" w:ascii="宋体" w:hAnsi="宋体" w:cs="宋体"/>
          <w:color w:val="auto"/>
          <w:sz w:val="21"/>
          <w:szCs w:val="21"/>
          <w:highlight w:val="none"/>
          <w:lang w:eastAsia="zh-CN"/>
        </w:rPr>
        <w:t>定的</w:t>
      </w:r>
      <w:r>
        <w:rPr>
          <w:rFonts w:hint="eastAsia" w:ascii="宋体" w:hAnsi="宋体" w:eastAsia="宋体" w:cs="宋体"/>
          <w:color w:val="auto"/>
          <w:sz w:val="21"/>
          <w:szCs w:val="21"/>
          <w:highlight w:val="none"/>
        </w:rPr>
        <w:t>品牌、等级进行采购</w:t>
      </w:r>
      <w:r>
        <w:rPr>
          <w:rFonts w:hint="eastAsia" w:ascii="宋体" w:hAnsi="宋体" w:eastAsia="宋体" w:cs="宋体"/>
          <w:color w:val="auto"/>
          <w:spacing w:val="-1"/>
          <w:sz w:val="21"/>
          <w:szCs w:val="21"/>
          <w:highlight w:val="none"/>
        </w:rPr>
        <w:t>，施工期间该部分材料或</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设备如未超过招标约定的风险幅度的或</w:t>
      </w:r>
      <w:r>
        <w:rPr>
          <w:rFonts w:hint="eastAsia" w:ascii="宋体" w:hAnsi="宋体" w:eastAsia="宋体" w:cs="宋体"/>
          <w:b/>
          <w:bCs/>
          <w:color w:val="auto"/>
          <w:spacing w:val="-1"/>
          <w:sz w:val="21"/>
          <w:szCs w:val="21"/>
          <w:highlight w:val="none"/>
        </w:rPr>
        <w:t>当发包人与承包人</w:t>
      </w:r>
      <w:r>
        <w:rPr>
          <w:rFonts w:hint="eastAsia" w:ascii="宋体" w:hAnsi="宋体" w:eastAsia="宋体" w:cs="宋体"/>
          <w:b/>
          <w:bCs/>
          <w:color w:val="auto"/>
          <w:spacing w:val="-2"/>
          <w:sz w:val="21"/>
          <w:szCs w:val="21"/>
          <w:highlight w:val="none"/>
        </w:rPr>
        <w:t>对采购文件所约定的材料</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3"/>
          <w:sz w:val="21"/>
          <w:szCs w:val="21"/>
          <w:highlight w:val="none"/>
        </w:rPr>
        <w:t>有争议时，发包人有权要求承包人按采购文件有“参照或相当于</w:t>
      </w:r>
      <w:r>
        <w:rPr>
          <w:rFonts w:hint="eastAsia" w:ascii="宋体" w:hAnsi="宋体" w:eastAsia="宋体" w:cs="宋体"/>
          <w:color w:val="auto"/>
          <w:spacing w:val="-89"/>
          <w:sz w:val="21"/>
          <w:szCs w:val="21"/>
          <w:highlight w:val="none"/>
        </w:rPr>
        <w:t xml:space="preserve"> </w:t>
      </w:r>
      <w:r>
        <w:rPr>
          <w:rFonts w:hint="eastAsia" w:ascii="宋体" w:hAnsi="宋体" w:eastAsia="宋体" w:cs="宋体"/>
          <w:b/>
          <w:bCs/>
          <w:color w:val="auto"/>
          <w:spacing w:val="-3"/>
          <w:sz w:val="21"/>
          <w:szCs w:val="21"/>
          <w:highlight w:val="none"/>
        </w:rPr>
        <w:t>”标明材料品牌的</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1"/>
          <w:sz w:val="21"/>
          <w:szCs w:val="21"/>
          <w:highlight w:val="none"/>
        </w:rPr>
        <w:t>材料进行采购，</w:t>
      </w:r>
      <w:r>
        <w:rPr>
          <w:rFonts w:hint="eastAsia" w:ascii="宋体" w:hAnsi="宋体" w:eastAsia="宋体" w:cs="宋体"/>
          <w:color w:val="auto"/>
          <w:spacing w:val="-1"/>
          <w:sz w:val="21"/>
          <w:szCs w:val="21"/>
          <w:highlight w:val="none"/>
        </w:rPr>
        <w:t>结算时按投标单价支付，不得</w:t>
      </w:r>
      <w:r>
        <w:rPr>
          <w:rFonts w:hint="eastAsia" w:ascii="宋体" w:hAnsi="宋体" w:eastAsia="宋体" w:cs="宋体"/>
          <w:color w:val="auto"/>
          <w:spacing w:val="-2"/>
          <w:sz w:val="21"/>
          <w:szCs w:val="21"/>
          <w:highlight w:val="none"/>
        </w:rPr>
        <w:t>调整。</w:t>
      </w:r>
    </w:p>
    <w:p w14:paraId="4EF3940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对发包人在招标时，没有明确约定参照或相当于**品牌</w:t>
      </w:r>
      <w:r>
        <w:rPr>
          <w:rFonts w:hint="eastAsia" w:ascii="宋体" w:hAnsi="宋体" w:eastAsia="宋体" w:cs="宋体"/>
          <w:color w:val="auto"/>
          <w:spacing w:val="-1"/>
          <w:sz w:val="21"/>
          <w:szCs w:val="21"/>
          <w:highlight w:val="none"/>
        </w:rPr>
        <w:t>、档次的材料和设备，</w:t>
      </w:r>
      <w:r>
        <w:rPr>
          <w:rFonts w:hint="eastAsia" w:ascii="宋体" w:hAnsi="宋体" w:eastAsia="宋体" w:cs="宋体"/>
          <w:color w:val="auto"/>
          <w:sz w:val="21"/>
          <w:szCs w:val="21"/>
          <w:highlight w:val="none"/>
        </w:rPr>
        <w:t>或双方对材料和设备选择有争议的，发包人有权要</w:t>
      </w:r>
      <w:r>
        <w:rPr>
          <w:rFonts w:hint="eastAsia" w:ascii="宋体" w:hAnsi="宋体" w:eastAsia="宋体" w:cs="宋体"/>
          <w:color w:val="auto"/>
          <w:spacing w:val="-1"/>
          <w:sz w:val="21"/>
          <w:szCs w:val="21"/>
          <w:highlight w:val="none"/>
        </w:rPr>
        <w:t>求承包人按不低于招标控制价相同细目的材料或设备价格进行采购，结算时按投标单价支付，不得调整。</w:t>
      </w:r>
    </w:p>
    <w:p w14:paraId="3F3EEFF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禁止使用松木、松木包装材料设备、种子、苗木、花卉及繁殖材料。</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
          <w:sz w:val="21"/>
          <w:szCs w:val="21"/>
          <w:highlight w:val="none"/>
        </w:rPr>
        <w:t>本工程必须使用预拌砂浆。</w:t>
      </w:r>
    </w:p>
    <w:p w14:paraId="51EEE44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要求涉木产品供货商对应施检疫的产品提供《植物</w:t>
      </w:r>
      <w:r>
        <w:rPr>
          <w:rFonts w:hint="eastAsia" w:ascii="宋体" w:hAnsi="宋体" w:eastAsia="宋体" w:cs="宋体"/>
          <w:color w:val="auto"/>
          <w:spacing w:val="-1"/>
          <w:sz w:val="21"/>
          <w:szCs w:val="21"/>
          <w:highlight w:val="none"/>
        </w:rPr>
        <w:t>检疫证书》；涉及松木质包</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装材料的，积极配合林业部门做好检疫工作。</w:t>
      </w:r>
    </w:p>
    <w:p w14:paraId="3156A78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8.2.1</w:t>
      </w:r>
      <w:r>
        <w:rPr>
          <w:rFonts w:hint="eastAsia" w:ascii="宋体" w:hAnsi="宋体" w:eastAsia="宋体" w:cs="宋体"/>
          <w:color w:val="auto"/>
          <w:spacing w:val="39"/>
          <w:sz w:val="21"/>
          <w:szCs w:val="21"/>
          <w:highlight w:val="none"/>
        </w:rPr>
        <w:t xml:space="preserve"> </w:t>
      </w:r>
      <w:r>
        <w:rPr>
          <w:rFonts w:hint="eastAsia" w:ascii="宋体" w:hAnsi="宋体" w:eastAsia="宋体" w:cs="宋体"/>
          <w:b/>
          <w:bCs/>
          <w:color w:val="auto"/>
          <w:spacing w:val="-3"/>
          <w:sz w:val="21"/>
          <w:szCs w:val="21"/>
          <w:highlight w:val="none"/>
        </w:rPr>
        <w:t>由承包人采购、供应的材料，承包人需提前三天向监理</w:t>
      </w:r>
      <w:r>
        <w:rPr>
          <w:rFonts w:hint="eastAsia" w:ascii="宋体" w:hAnsi="宋体" w:eastAsia="宋体" w:cs="宋体"/>
          <w:b/>
          <w:bCs/>
          <w:color w:val="auto"/>
          <w:spacing w:val="-4"/>
          <w:sz w:val="21"/>
          <w:szCs w:val="21"/>
          <w:highlight w:val="none"/>
        </w:rPr>
        <w:t>人及发包人报验</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并提供详细进货清单，进货清单应含有所进货物的品牌、规格、型号、数量及</w:t>
      </w:r>
      <w:r>
        <w:rPr>
          <w:rFonts w:hint="eastAsia" w:ascii="宋体" w:hAnsi="宋体" w:eastAsia="宋体" w:cs="宋体"/>
          <w:b/>
          <w:bCs/>
          <w:color w:val="auto"/>
          <w:spacing w:val="-3"/>
          <w:sz w:val="21"/>
          <w:szCs w:val="21"/>
          <w:highlight w:val="none"/>
        </w:rPr>
        <w:t>质量</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等级等内容，待监理人及发包人回复同意后方可进货，若承包人材料进</w:t>
      </w:r>
      <w:r>
        <w:rPr>
          <w:rFonts w:hint="eastAsia" w:ascii="宋体" w:hAnsi="宋体" w:eastAsia="宋体" w:cs="宋体"/>
          <w:b/>
          <w:bCs/>
          <w:color w:val="auto"/>
          <w:spacing w:val="-3"/>
          <w:sz w:val="21"/>
          <w:szCs w:val="21"/>
          <w:highlight w:val="none"/>
        </w:rPr>
        <w:t>场前未报验</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、进场材料与报验材料不符及进场材料为假冒伪劣材料的，每发生一例，承包</w:t>
      </w:r>
      <w:r>
        <w:rPr>
          <w:rFonts w:hint="eastAsia" w:ascii="宋体" w:hAnsi="宋体" w:eastAsia="宋体" w:cs="宋体"/>
          <w:b/>
          <w:bCs/>
          <w:color w:val="auto"/>
          <w:spacing w:val="-3"/>
          <w:sz w:val="21"/>
          <w:szCs w:val="21"/>
          <w:highlight w:val="none"/>
        </w:rPr>
        <w:t>人应</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向发包人支付违约金30000元。该款项直接从工程进度款或履约保证金中扣</w:t>
      </w:r>
      <w:r>
        <w:rPr>
          <w:rFonts w:hint="eastAsia" w:ascii="宋体" w:hAnsi="宋体" w:eastAsia="宋体" w:cs="宋体"/>
          <w:b/>
          <w:bCs/>
          <w:color w:val="auto"/>
          <w:spacing w:val="-3"/>
          <w:sz w:val="21"/>
          <w:szCs w:val="21"/>
          <w:highlight w:val="none"/>
        </w:rPr>
        <w:t>除，无</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需经承包人同意，承包人还应无条件负责将材料退场，并承担由此产生</w:t>
      </w:r>
      <w:r>
        <w:rPr>
          <w:rFonts w:hint="eastAsia" w:ascii="宋体" w:hAnsi="宋体" w:eastAsia="宋体" w:cs="宋体"/>
          <w:b/>
          <w:bCs/>
          <w:color w:val="auto"/>
          <w:spacing w:val="-3"/>
          <w:sz w:val="21"/>
          <w:szCs w:val="21"/>
          <w:highlight w:val="none"/>
        </w:rPr>
        <w:t>的一切费用</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3"/>
          <w:sz w:val="21"/>
          <w:szCs w:val="21"/>
          <w:highlight w:val="none"/>
        </w:rPr>
        <w:t>及责任，由此延误的工期不予顺延。</w:t>
      </w:r>
    </w:p>
    <w:p w14:paraId="1C119AE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8.2.2</w:t>
      </w:r>
      <w:r>
        <w:rPr>
          <w:rFonts w:hint="eastAsia" w:ascii="宋体" w:hAnsi="宋体" w:eastAsia="宋体" w:cs="宋体"/>
          <w:color w:val="auto"/>
          <w:spacing w:val="-2"/>
          <w:sz w:val="21"/>
          <w:szCs w:val="21"/>
          <w:highlight w:val="none"/>
        </w:rPr>
        <w:t xml:space="preserve"> </w:t>
      </w:r>
      <w:r>
        <w:rPr>
          <w:rFonts w:hint="eastAsia" w:ascii="宋体" w:hAnsi="宋体" w:eastAsia="宋体" w:cs="宋体"/>
          <w:b/>
          <w:bCs/>
          <w:color w:val="auto"/>
          <w:spacing w:val="-2"/>
          <w:sz w:val="21"/>
          <w:szCs w:val="21"/>
          <w:highlight w:val="none"/>
        </w:rPr>
        <w:t>承包人采购材料进场同时，需提供与报验相同的产品合格证及相关</w:t>
      </w:r>
      <w:r>
        <w:rPr>
          <w:rFonts w:hint="eastAsia" w:ascii="宋体" w:hAnsi="宋体" w:eastAsia="宋体" w:cs="宋体"/>
          <w:b/>
          <w:bCs/>
          <w:color w:val="auto"/>
          <w:spacing w:val="-3"/>
          <w:sz w:val="21"/>
          <w:szCs w:val="21"/>
          <w:highlight w:val="none"/>
        </w:rPr>
        <w:t>检测</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报告，若不能提供的，该批材料按不合格产品清退出场，并按8.2.1条处理。</w:t>
      </w:r>
    </w:p>
    <w:p w14:paraId="06BAC30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8.4</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材料与工程设备的保管与使用</w:t>
      </w:r>
    </w:p>
    <w:p w14:paraId="0225293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8.4.1发包人供应的材料设备的保管费用的承担：</w:t>
      </w:r>
      <w:r>
        <w:rPr>
          <w:rFonts w:hint="eastAsia" w:ascii="宋体" w:hAnsi="宋体" w:eastAsia="宋体" w:cs="宋体"/>
          <w:color w:val="auto"/>
          <w:spacing w:val="-3"/>
          <w:sz w:val="21"/>
          <w:szCs w:val="21"/>
          <w:highlight w:val="none"/>
          <w:u w:val="single" w:color="auto"/>
        </w:rPr>
        <w:t>由发包人供应给承包人施工使</w:t>
      </w:r>
      <w:r>
        <w:rPr>
          <w:rFonts w:hint="eastAsia" w:ascii="宋体" w:hAnsi="宋体" w:eastAsia="宋体" w:cs="宋体"/>
          <w:color w:val="auto"/>
          <w:spacing w:val="-1"/>
          <w:sz w:val="21"/>
          <w:szCs w:val="21"/>
          <w:highlight w:val="none"/>
          <w:u w:val="single" w:color="auto"/>
        </w:rPr>
        <w:t>用的材料、设备，保管费由承包人承担</w:t>
      </w:r>
      <w:r>
        <w:rPr>
          <w:rFonts w:hint="eastAsia" w:ascii="宋体" w:hAnsi="宋体" w:eastAsia="宋体" w:cs="宋体"/>
          <w:color w:val="auto"/>
          <w:spacing w:val="-1"/>
          <w:sz w:val="21"/>
          <w:szCs w:val="21"/>
          <w:highlight w:val="none"/>
        </w:rPr>
        <w:t>。</w:t>
      </w:r>
    </w:p>
    <w:p w14:paraId="7E2785C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8.6</w:t>
      </w:r>
      <w:r>
        <w:rPr>
          <w:rFonts w:hint="eastAsia" w:ascii="宋体" w:hAnsi="宋体" w:eastAsia="宋体" w:cs="宋体"/>
          <w:color w:val="auto"/>
          <w:spacing w:val="11"/>
          <w:sz w:val="21"/>
          <w:szCs w:val="21"/>
          <w:highlight w:val="none"/>
        </w:rPr>
        <w:t xml:space="preserve"> </w:t>
      </w:r>
      <w:r>
        <w:rPr>
          <w:rFonts w:hint="eastAsia" w:ascii="宋体" w:hAnsi="宋体" w:eastAsia="宋体" w:cs="宋体"/>
          <w:b/>
          <w:bCs/>
          <w:color w:val="auto"/>
          <w:spacing w:val="-7"/>
          <w:sz w:val="21"/>
          <w:szCs w:val="21"/>
          <w:highlight w:val="none"/>
        </w:rPr>
        <w:t>样品</w:t>
      </w:r>
    </w:p>
    <w:p w14:paraId="04AA8AC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8.6.1 样品的报送与封存</w:t>
      </w:r>
    </w:p>
    <w:p w14:paraId="7A98AD8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需要承包人报送样品的材料或工程设备，样品的种类、名称、规格、数量要求</w:t>
      </w:r>
      <w:r>
        <w:rPr>
          <w:rFonts w:hint="eastAsia" w:ascii="宋体" w:hAnsi="宋体" w:eastAsia="宋体" w:cs="宋体"/>
          <w:color w:val="auto"/>
          <w:spacing w:val="9"/>
          <w:sz w:val="21"/>
          <w:szCs w:val="21"/>
          <w:highlight w:val="none"/>
        </w:rPr>
        <w:t xml:space="preserve">  </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主要材料涉及品种、款式、颜色等方面内容的，承包</w:t>
      </w:r>
      <w:r>
        <w:rPr>
          <w:rFonts w:hint="eastAsia" w:ascii="宋体" w:hAnsi="宋体" w:eastAsia="宋体" w:cs="宋体"/>
          <w:color w:val="auto"/>
          <w:spacing w:val="-1"/>
          <w:sz w:val="21"/>
          <w:szCs w:val="21"/>
          <w:highlight w:val="none"/>
        </w:rPr>
        <w:t>人应提交拟选用合格的材料</w:t>
      </w:r>
      <w:r>
        <w:rPr>
          <w:rFonts w:hint="eastAsia" w:ascii="宋体" w:hAnsi="宋体" w:eastAsia="宋体" w:cs="宋体"/>
          <w:color w:val="auto"/>
          <w:sz w:val="21"/>
          <w:szCs w:val="21"/>
          <w:highlight w:val="none"/>
        </w:rPr>
        <w:t xml:space="preserve"> 样品送发包人选定。选定的样品应封存于现场，承包人应在</w:t>
      </w:r>
      <w:r>
        <w:rPr>
          <w:rFonts w:hint="eastAsia" w:ascii="宋体" w:hAnsi="宋体" w:eastAsia="宋体" w:cs="宋体"/>
          <w:color w:val="auto"/>
          <w:spacing w:val="-1"/>
          <w:sz w:val="21"/>
          <w:szCs w:val="21"/>
          <w:highlight w:val="none"/>
        </w:rPr>
        <w:t>现场为保存样品提供适</w:t>
      </w:r>
      <w:r>
        <w:rPr>
          <w:rFonts w:hint="eastAsia" w:ascii="宋体" w:hAnsi="宋体" w:eastAsia="宋体" w:cs="宋体"/>
          <w:color w:val="auto"/>
          <w:sz w:val="21"/>
          <w:szCs w:val="21"/>
          <w:highlight w:val="none"/>
        </w:rPr>
        <w:t xml:space="preserve"> 当和固定的场所并保持适当和良好的储存环境条件，特别是</w:t>
      </w:r>
      <w:r>
        <w:rPr>
          <w:rFonts w:hint="eastAsia" w:ascii="宋体" w:hAnsi="宋体" w:eastAsia="宋体" w:cs="宋体"/>
          <w:color w:val="auto"/>
          <w:spacing w:val="-1"/>
          <w:sz w:val="21"/>
          <w:szCs w:val="21"/>
          <w:highlight w:val="none"/>
        </w:rPr>
        <w:t>主要装饰、安装工程材</w:t>
      </w:r>
      <w:r>
        <w:rPr>
          <w:rFonts w:hint="eastAsia" w:ascii="宋体" w:hAnsi="宋体" w:eastAsia="宋体" w:cs="宋体"/>
          <w:color w:val="auto"/>
          <w:sz w:val="21"/>
          <w:szCs w:val="21"/>
          <w:highlight w:val="none"/>
        </w:rPr>
        <w:t xml:space="preserve"> 料样品至少封存到竣工结算审定完成后（根据工程设计实施</w:t>
      </w:r>
      <w:r>
        <w:rPr>
          <w:rFonts w:hint="eastAsia" w:ascii="宋体" w:hAnsi="宋体" w:eastAsia="宋体" w:cs="宋体"/>
          <w:color w:val="auto"/>
          <w:spacing w:val="-1"/>
          <w:sz w:val="21"/>
          <w:szCs w:val="21"/>
          <w:highlight w:val="none"/>
        </w:rPr>
        <w:t>情况，包括但不限于地</w:t>
      </w:r>
      <w:r>
        <w:rPr>
          <w:rFonts w:hint="eastAsia" w:ascii="宋体" w:hAnsi="宋体" w:eastAsia="宋体" w:cs="宋体"/>
          <w:color w:val="auto"/>
          <w:sz w:val="21"/>
          <w:szCs w:val="21"/>
          <w:highlight w:val="none"/>
        </w:rPr>
        <w:t xml:space="preserve"> 面、天面、内外墙面装饰材料，防水材料，门窗，电线电缆</w:t>
      </w:r>
      <w:r>
        <w:rPr>
          <w:rFonts w:hint="eastAsia" w:ascii="宋体" w:hAnsi="宋体" w:eastAsia="宋体" w:cs="宋体"/>
          <w:color w:val="auto"/>
          <w:spacing w:val="-1"/>
          <w:sz w:val="21"/>
          <w:szCs w:val="21"/>
          <w:highlight w:val="none"/>
        </w:rPr>
        <w:t>，桥架，给排水管等材</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料）。</w:t>
      </w:r>
    </w:p>
    <w:p w14:paraId="3535CB4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8.8</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施工设备和临时设施</w:t>
      </w:r>
    </w:p>
    <w:p w14:paraId="1B27B40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8.8.1 承包人提供的施工设备和临时设施</w:t>
      </w:r>
    </w:p>
    <w:p w14:paraId="4FAF0C6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除专用合同条款另有约定的其他独立承包人和监理人指示</w:t>
      </w:r>
      <w:r>
        <w:rPr>
          <w:rFonts w:hint="eastAsia" w:ascii="宋体" w:hAnsi="宋体" w:cs="宋体"/>
          <w:color w:val="auto"/>
          <w:sz w:val="21"/>
          <w:szCs w:val="21"/>
          <w:highlight w:val="none"/>
          <w:lang w:eastAsia="zh-CN"/>
        </w:rPr>
        <w:t>的其</w:t>
      </w:r>
      <w:r>
        <w:rPr>
          <w:rFonts w:hint="eastAsia" w:ascii="宋体" w:hAnsi="宋体" w:eastAsia="宋体" w:cs="宋体"/>
          <w:color w:val="auto"/>
          <w:sz w:val="21"/>
          <w:szCs w:val="21"/>
          <w:highlight w:val="none"/>
        </w:rPr>
        <w:t>他人提供条件外， 承包人运入施工场地的所有施工设备以及在施工场地建设</w:t>
      </w:r>
      <w:r>
        <w:rPr>
          <w:rFonts w:hint="eastAsia" w:ascii="宋体" w:hAnsi="宋体" w:eastAsia="宋体" w:cs="宋体"/>
          <w:color w:val="auto"/>
          <w:spacing w:val="-1"/>
          <w:sz w:val="21"/>
          <w:szCs w:val="21"/>
          <w:highlight w:val="none"/>
        </w:rPr>
        <w:t>的临时设施仅限于用于合</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同工程。</w:t>
      </w:r>
      <w:r>
        <w:rPr>
          <w:rFonts w:hint="eastAsia" w:ascii="宋体" w:hAnsi="宋体" w:eastAsia="宋体" w:cs="宋体"/>
          <w:b/>
          <w:bCs/>
          <w:color w:val="auto"/>
          <w:spacing w:val="-2"/>
          <w:sz w:val="21"/>
          <w:szCs w:val="21"/>
          <w:highlight w:val="none"/>
          <w:u w:val="single" w:color="auto"/>
        </w:rPr>
        <w:t>免费提供给发包人、监理工程师和其他合同段的承包人使用。</w:t>
      </w:r>
      <w:r>
        <w:rPr>
          <w:rFonts w:hint="eastAsia" w:ascii="宋体" w:hAnsi="宋体" w:eastAsia="宋体" w:cs="宋体"/>
          <w:color w:val="auto"/>
          <w:spacing w:val="-2"/>
          <w:sz w:val="21"/>
          <w:szCs w:val="21"/>
          <w:highlight w:val="none"/>
        </w:rPr>
        <w:t>承包人用于</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1"/>
          <w:sz w:val="21"/>
          <w:szCs w:val="21"/>
          <w:highlight w:val="none"/>
        </w:rPr>
        <w:t>本工程的主要机械设备清单见合同附件4。</w:t>
      </w:r>
    </w:p>
    <w:p w14:paraId="39F53C4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关于修建临时设施费用承担的约定：</w:t>
      </w:r>
    </w:p>
    <w:p w14:paraId="0FBAEC7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3"/>
          <w:sz w:val="21"/>
          <w:szCs w:val="21"/>
          <w:highlight w:val="none"/>
          <w:u w:val="single" w:color="auto"/>
        </w:rPr>
        <w:t>除专用合同条款另有约定外，承包人的临时用地（含项目部</w:t>
      </w:r>
      <w:r>
        <w:rPr>
          <w:rFonts w:hint="eastAsia" w:ascii="宋体" w:hAnsi="宋体" w:eastAsia="宋体" w:cs="宋体"/>
          <w:color w:val="auto"/>
          <w:spacing w:val="-4"/>
          <w:sz w:val="21"/>
          <w:szCs w:val="21"/>
          <w:highlight w:val="none"/>
          <w:u w:val="single" w:color="auto"/>
        </w:rPr>
        <w:t>驻地等）租用</w:t>
      </w:r>
      <w:r>
        <w:rPr>
          <w:rFonts w:hint="eastAsia" w:ascii="宋体" w:hAnsi="宋体" w:eastAsia="宋体" w:cs="宋体"/>
          <w:color w:val="auto"/>
          <w:spacing w:val="-1"/>
          <w:sz w:val="21"/>
          <w:szCs w:val="21"/>
          <w:highlight w:val="none"/>
          <w:u w:val="single" w:color="auto"/>
        </w:rPr>
        <w:t>费（含拆迁补偿）、临时用地的环保、恢复、临时用地的青苗补偿及地面附着物拆</w:t>
      </w:r>
      <w:r>
        <w:rPr>
          <w:rFonts w:hint="eastAsia" w:ascii="宋体" w:hAnsi="宋体" w:eastAsia="宋体" w:cs="宋体"/>
          <w:color w:val="auto"/>
          <w:sz w:val="21"/>
          <w:szCs w:val="21"/>
          <w:highlight w:val="none"/>
          <w:u w:val="single" w:color="auto"/>
        </w:rPr>
        <w:t>除等费用均由承包人负责，费用在投标报价中综合考虑。</w:t>
      </w:r>
    </w:p>
    <w:p w14:paraId="6252AE71">
      <w:pPr>
        <w:pageBreakBefore w:val="0"/>
        <w:widowControl w:val="0"/>
        <w:tabs>
          <w:tab w:val="left" w:pos="627"/>
        </w:tabs>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u w:val="single" w:color="auto"/>
        </w:rPr>
        <w:t>（2）承包人负责合同实施期间其合同段内临时交通道路（含场内外连接公共交</w:t>
      </w:r>
      <w:r>
        <w:rPr>
          <w:rFonts w:hint="eastAsia" w:ascii="宋体" w:hAnsi="宋体" w:eastAsia="宋体" w:cs="宋体"/>
          <w:color w:val="auto"/>
          <w:spacing w:val="1"/>
          <w:sz w:val="21"/>
          <w:szCs w:val="21"/>
          <w:highlight w:val="none"/>
          <w:u w:val="single" w:color="auto"/>
        </w:rPr>
        <w:t>通道路）和交通设施的修建、维修、养护和交通管</w:t>
      </w:r>
      <w:r>
        <w:rPr>
          <w:rFonts w:hint="eastAsia" w:ascii="宋体" w:hAnsi="宋体" w:eastAsia="宋体" w:cs="宋体"/>
          <w:color w:val="auto"/>
          <w:sz w:val="21"/>
          <w:szCs w:val="21"/>
          <w:highlight w:val="none"/>
          <w:u w:val="single" w:color="auto"/>
        </w:rPr>
        <w:t>理工作，并承担一切费用。</w:t>
      </w:r>
    </w:p>
    <w:p w14:paraId="3993EB5C">
      <w:pPr>
        <w:pageBreakBefore w:val="0"/>
        <w:widowControl w:val="0"/>
        <w:tabs>
          <w:tab w:val="left" w:pos="146"/>
        </w:tabs>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u w:val="single" w:color="auto"/>
        </w:rPr>
        <w:t>（3）承包人修建的临时道路和交通设施，应免费提供给发包人、</w:t>
      </w:r>
      <w:r>
        <w:rPr>
          <w:rFonts w:hint="eastAsia" w:ascii="宋体" w:hAnsi="宋体" w:eastAsia="宋体" w:cs="宋体"/>
          <w:color w:val="auto"/>
          <w:spacing w:val="-7"/>
          <w:sz w:val="21"/>
          <w:szCs w:val="21"/>
          <w:highlight w:val="none"/>
          <w:u w:val="single" w:color="auto"/>
        </w:rPr>
        <w:t>监理人和其他合同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段的承包人使用，如共同使用的路基损坏严重，发包人或</w:t>
      </w:r>
      <w:r>
        <w:rPr>
          <w:rFonts w:hint="eastAsia" w:ascii="宋体" w:hAnsi="宋体" w:eastAsia="宋体" w:cs="宋体"/>
          <w:color w:val="auto"/>
          <w:spacing w:val="-1"/>
          <w:sz w:val="21"/>
          <w:szCs w:val="21"/>
          <w:highlight w:val="none"/>
          <w:u w:val="single" w:color="auto"/>
        </w:rPr>
        <w:t>监理人将负责通知有关承</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u w:val="single" w:color="auto"/>
        </w:rPr>
        <w:t>包人共同出资修复，若使用频率相差悬殊，则按比例分摊</w:t>
      </w:r>
      <w:r>
        <w:rPr>
          <w:rFonts w:hint="eastAsia" w:ascii="宋体" w:hAnsi="宋体" w:eastAsia="宋体" w:cs="宋体"/>
          <w:color w:val="auto"/>
          <w:spacing w:val="-1"/>
          <w:sz w:val="21"/>
          <w:szCs w:val="21"/>
          <w:highlight w:val="none"/>
        </w:rPr>
        <w:t>。</w:t>
      </w:r>
    </w:p>
    <w:p w14:paraId="2696DB1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8.8.2 发包人提供的施工设备和临时设施</w:t>
      </w:r>
    </w:p>
    <w:p w14:paraId="4CC6F74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发包人提供的施工设备和临时设施：</w:t>
      </w:r>
      <w:r>
        <w:rPr>
          <w:rFonts w:hint="eastAsia" w:ascii="宋体" w:hAnsi="宋体" w:eastAsia="宋体" w:cs="宋体"/>
          <w:b/>
          <w:bCs/>
          <w:color w:val="auto"/>
          <w:spacing w:val="-1"/>
          <w:sz w:val="21"/>
          <w:szCs w:val="21"/>
          <w:highlight w:val="none"/>
          <w:u w:val="single" w:color="auto"/>
        </w:rPr>
        <w:t>除专用合</w:t>
      </w:r>
      <w:r>
        <w:rPr>
          <w:rFonts w:hint="eastAsia" w:ascii="宋体" w:hAnsi="宋体" w:eastAsia="宋体" w:cs="宋体"/>
          <w:b/>
          <w:bCs/>
          <w:color w:val="auto"/>
          <w:spacing w:val="-2"/>
          <w:sz w:val="21"/>
          <w:szCs w:val="21"/>
          <w:highlight w:val="none"/>
          <w:u w:val="single" w:color="auto"/>
        </w:rPr>
        <w:t>同条款另有约定的其他独立承包人和监理人指示的他人提供条件外，承包人运入施工场地的所有施</w:t>
      </w:r>
      <w:r>
        <w:rPr>
          <w:rFonts w:hint="eastAsia" w:ascii="宋体" w:hAnsi="宋体" w:eastAsia="宋体" w:cs="宋体"/>
          <w:b/>
          <w:bCs/>
          <w:color w:val="auto"/>
          <w:spacing w:val="-3"/>
          <w:sz w:val="21"/>
          <w:szCs w:val="21"/>
          <w:highlight w:val="none"/>
          <w:u w:val="single" w:color="auto"/>
        </w:rPr>
        <w:t>工设备以及在施</w:t>
      </w:r>
      <w:r>
        <w:rPr>
          <w:rFonts w:hint="eastAsia" w:ascii="宋体" w:hAnsi="宋体" w:eastAsia="宋体" w:cs="宋体"/>
          <w:b/>
          <w:bCs/>
          <w:color w:val="auto"/>
          <w:spacing w:val="-2"/>
          <w:sz w:val="21"/>
          <w:szCs w:val="21"/>
          <w:highlight w:val="none"/>
          <w:u w:val="single" w:color="auto"/>
        </w:rPr>
        <w:t>工场地建设的临时设施仅限</w:t>
      </w:r>
      <w:r>
        <w:rPr>
          <w:rFonts w:hint="eastAsia" w:ascii="宋体" w:hAnsi="宋体" w:cs="宋体"/>
          <w:b/>
          <w:bCs/>
          <w:color w:val="auto"/>
          <w:spacing w:val="-2"/>
          <w:sz w:val="21"/>
          <w:szCs w:val="21"/>
          <w:highlight w:val="none"/>
          <w:u w:val="single" w:color="auto"/>
          <w:lang w:eastAsia="zh-CN"/>
        </w:rPr>
        <w:t>于使</w:t>
      </w:r>
      <w:r>
        <w:rPr>
          <w:rFonts w:hint="eastAsia" w:ascii="宋体" w:hAnsi="宋体" w:eastAsia="宋体" w:cs="宋体"/>
          <w:b/>
          <w:bCs/>
          <w:color w:val="auto"/>
          <w:spacing w:val="-2"/>
          <w:sz w:val="21"/>
          <w:szCs w:val="21"/>
          <w:highlight w:val="none"/>
          <w:u w:val="single" w:color="auto"/>
        </w:rPr>
        <w:t>用本合同工程</w:t>
      </w:r>
      <w:r>
        <w:rPr>
          <w:rFonts w:hint="eastAsia" w:ascii="宋体" w:hAnsi="宋体" w:eastAsia="宋体" w:cs="宋体"/>
          <w:color w:val="auto"/>
          <w:spacing w:val="-2"/>
          <w:sz w:val="21"/>
          <w:szCs w:val="21"/>
          <w:highlight w:val="none"/>
          <w:u w:val="single" w:color="auto"/>
        </w:rPr>
        <w:t>，</w:t>
      </w:r>
      <w:r>
        <w:rPr>
          <w:rFonts w:hint="eastAsia" w:ascii="宋体" w:hAnsi="宋体" w:eastAsia="宋体" w:cs="宋体"/>
          <w:b/>
          <w:bCs/>
          <w:color w:val="auto"/>
          <w:spacing w:val="-2"/>
          <w:sz w:val="21"/>
          <w:szCs w:val="21"/>
          <w:highlight w:val="none"/>
          <w:u w:val="single" w:color="auto"/>
        </w:rPr>
        <w:t>塔吊和井架免费提供给发包人监</w:t>
      </w:r>
      <w:r>
        <w:rPr>
          <w:rFonts w:hint="eastAsia" w:ascii="宋体" w:hAnsi="宋体" w:eastAsia="宋体" w:cs="宋体"/>
          <w:b/>
          <w:bCs/>
          <w:color w:val="auto"/>
          <w:spacing w:val="-3"/>
          <w:sz w:val="21"/>
          <w:szCs w:val="21"/>
          <w:highlight w:val="none"/>
          <w:u w:val="single" w:color="auto"/>
        </w:rPr>
        <w:t>理工程师用于本工程项目相关配套工程</w:t>
      </w:r>
      <w:r>
        <w:rPr>
          <w:rFonts w:hint="eastAsia" w:ascii="宋体" w:hAnsi="宋体" w:eastAsia="宋体" w:cs="宋体"/>
          <w:color w:val="auto"/>
          <w:spacing w:val="-3"/>
          <w:sz w:val="21"/>
          <w:szCs w:val="21"/>
          <w:highlight w:val="none"/>
        </w:rPr>
        <w:t>。</w:t>
      </w:r>
    </w:p>
    <w:p w14:paraId="6917EDD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发包人提供的施工设备和临时设施的运行、维护、拆除、清运费用的承担</w:t>
      </w:r>
      <w:r>
        <w:rPr>
          <w:rFonts w:hint="eastAsia" w:ascii="宋体" w:hAnsi="宋体" w:eastAsia="宋体" w:cs="宋体"/>
          <w:color w:val="auto"/>
          <w:spacing w:val="-3"/>
          <w:sz w:val="21"/>
          <w:szCs w:val="21"/>
          <w:highlight w:val="none"/>
        </w:rPr>
        <w:t>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u w:val="single" w:color="auto"/>
        </w:rPr>
        <w:t>承包人</w:t>
      </w:r>
      <w:r>
        <w:rPr>
          <w:rFonts w:hint="eastAsia" w:ascii="宋体" w:hAnsi="宋体" w:eastAsia="宋体" w:cs="宋体"/>
          <w:color w:val="auto"/>
          <w:spacing w:val="-3"/>
          <w:sz w:val="21"/>
          <w:szCs w:val="21"/>
          <w:highlight w:val="none"/>
        </w:rPr>
        <w:t>。</w:t>
      </w:r>
    </w:p>
    <w:p w14:paraId="250AD94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2"/>
        <w:rPr>
          <w:rFonts w:hint="eastAsia" w:ascii="宋体" w:hAnsi="宋体" w:eastAsia="宋体" w:cs="宋体"/>
          <w:color w:val="auto"/>
          <w:sz w:val="21"/>
          <w:szCs w:val="21"/>
          <w:highlight w:val="none"/>
        </w:rPr>
      </w:pPr>
      <w:bookmarkStart w:id="474" w:name="_Toc1715"/>
      <w:bookmarkStart w:id="475" w:name="_Toc682"/>
      <w:r>
        <w:rPr>
          <w:rFonts w:hint="eastAsia" w:ascii="宋体" w:hAnsi="宋体" w:eastAsia="宋体" w:cs="宋体"/>
          <w:b/>
          <w:bCs/>
          <w:color w:val="auto"/>
          <w:spacing w:val="-3"/>
          <w:sz w:val="21"/>
          <w:szCs w:val="21"/>
          <w:highlight w:val="none"/>
        </w:rPr>
        <w:t>9.</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试验与检验</w:t>
      </w:r>
      <w:bookmarkEnd w:id="474"/>
      <w:bookmarkEnd w:id="475"/>
    </w:p>
    <w:p w14:paraId="1CB0DDC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9.1</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试验设备与试验人员</w:t>
      </w:r>
    </w:p>
    <w:p w14:paraId="6E1BEC0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9.1.2 试验设备</w:t>
      </w:r>
    </w:p>
    <w:p w14:paraId="63B46F2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施工现场需要配置的试验场所：</w:t>
      </w:r>
      <w:r>
        <w:rPr>
          <w:rFonts w:hint="eastAsia" w:ascii="宋体" w:hAnsi="宋体" w:eastAsia="宋体" w:cs="宋体"/>
          <w:color w:val="auto"/>
          <w:sz w:val="21"/>
          <w:szCs w:val="21"/>
          <w:highlight w:val="none"/>
          <w:u w:val="single" w:color="auto"/>
        </w:rPr>
        <w:t>按有关规定执行，其余</w:t>
      </w:r>
      <w:r>
        <w:rPr>
          <w:rFonts w:hint="eastAsia" w:ascii="宋体" w:hAnsi="宋体" w:eastAsia="宋体" w:cs="宋体"/>
          <w:color w:val="auto"/>
          <w:spacing w:val="-1"/>
          <w:sz w:val="21"/>
          <w:szCs w:val="21"/>
          <w:highlight w:val="none"/>
          <w:u w:val="single" w:color="auto"/>
        </w:rPr>
        <w:t>均按本合同《通用条款</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u w:val="single" w:color="auto"/>
        </w:rPr>
        <w:t>》第 9.1.2款规定执行</w:t>
      </w:r>
      <w:r>
        <w:rPr>
          <w:rFonts w:hint="eastAsia" w:ascii="宋体" w:hAnsi="宋体" w:eastAsia="宋体" w:cs="宋体"/>
          <w:color w:val="auto"/>
          <w:spacing w:val="-2"/>
          <w:sz w:val="21"/>
          <w:szCs w:val="21"/>
          <w:highlight w:val="none"/>
        </w:rPr>
        <w:t>。</w:t>
      </w:r>
    </w:p>
    <w:p w14:paraId="63FB18C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施工现场需要配备的试验设备：</w:t>
      </w:r>
      <w:r>
        <w:rPr>
          <w:rFonts w:hint="eastAsia" w:ascii="宋体" w:hAnsi="宋体" w:eastAsia="宋体" w:cs="宋体"/>
          <w:color w:val="auto"/>
          <w:sz w:val="21"/>
          <w:szCs w:val="21"/>
          <w:highlight w:val="none"/>
          <w:u w:val="single" w:color="auto"/>
        </w:rPr>
        <w:t>按有关规定执行，其余</w:t>
      </w:r>
      <w:r>
        <w:rPr>
          <w:rFonts w:hint="eastAsia" w:ascii="宋体" w:hAnsi="宋体" w:eastAsia="宋体" w:cs="宋体"/>
          <w:color w:val="auto"/>
          <w:spacing w:val="-1"/>
          <w:sz w:val="21"/>
          <w:szCs w:val="21"/>
          <w:highlight w:val="none"/>
          <w:u w:val="single" w:color="auto"/>
        </w:rPr>
        <w:t>均按本合同《通用条款</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u w:val="single" w:color="auto"/>
        </w:rPr>
        <w:t>》第 9.1.2款规定执行</w:t>
      </w:r>
      <w:r>
        <w:rPr>
          <w:rFonts w:hint="eastAsia" w:ascii="宋体" w:hAnsi="宋体" w:eastAsia="宋体" w:cs="宋体"/>
          <w:color w:val="auto"/>
          <w:spacing w:val="-2"/>
          <w:sz w:val="21"/>
          <w:szCs w:val="21"/>
          <w:highlight w:val="none"/>
        </w:rPr>
        <w:t>。</w:t>
      </w:r>
    </w:p>
    <w:p w14:paraId="15B65F9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施工现场需要具备的其他试验条件：</w:t>
      </w:r>
      <w:r>
        <w:rPr>
          <w:rFonts w:hint="eastAsia" w:ascii="宋体" w:hAnsi="宋体" w:eastAsia="宋体" w:cs="宋体"/>
          <w:color w:val="auto"/>
          <w:sz w:val="21"/>
          <w:szCs w:val="21"/>
          <w:highlight w:val="none"/>
          <w:u w:val="single" w:color="auto"/>
        </w:rPr>
        <w:t>按有关规定执行，</w:t>
      </w:r>
      <w:r>
        <w:rPr>
          <w:rFonts w:hint="eastAsia" w:ascii="宋体" w:hAnsi="宋体" w:eastAsia="宋体" w:cs="宋体"/>
          <w:color w:val="auto"/>
          <w:spacing w:val="-1"/>
          <w:sz w:val="21"/>
          <w:szCs w:val="21"/>
          <w:highlight w:val="none"/>
          <w:u w:val="single" w:color="auto"/>
        </w:rPr>
        <w:t>其余均按本合同《通用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u w:val="single" w:color="auto"/>
        </w:rPr>
        <w:t>条款》第 9.1.2款规定执行</w:t>
      </w:r>
      <w:r>
        <w:rPr>
          <w:rFonts w:hint="eastAsia" w:ascii="宋体" w:hAnsi="宋体" w:eastAsia="宋体" w:cs="宋体"/>
          <w:color w:val="auto"/>
          <w:spacing w:val="-1"/>
          <w:sz w:val="21"/>
          <w:szCs w:val="21"/>
          <w:highlight w:val="none"/>
        </w:rPr>
        <w:t>。</w:t>
      </w:r>
    </w:p>
    <w:p w14:paraId="7D47807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9.4</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现场工艺试验</w:t>
      </w:r>
    </w:p>
    <w:p w14:paraId="76D21A8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现场工艺试验的有关约定：</w:t>
      </w:r>
      <w:r>
        <w:rPr>
          <w:rFonts w:hint="eastAsia" w:ascii="宋体" w:hAnsi="宋体" w:eastAsia="宋体" w:cs="宋体"/>
          <w:color w:val="auto"/>
          <w:spacing w:val="-1"/>
          <w:sz w:val="21"/>
          <w:szCs w:val="21"/>
          <w:highlight w:val="none"/>
          <w:u w:val="single" w:color="auto"/>
        </w:rPr>
        <w:t>按照通用条款执行</w:t>
      </w:r>
      <w:r>
        <w:rPr>
          <w:rFonts w:hint="eastAsia" w:ascii="宋体" w:hAnsi="宋体" w:eastAsia="宋体" w:cs="宋体"/>
          <w:color w:val="auto"/>
          <w:spacing w:val="-1"/>
          <w:sz w:val="21"/>
          <w:szCs w:val="21"/>
          <w:highlight w:val="none"/>
        </w:rPr>
        <w:t>。</w:t>
      </w:r>
    </w:p>
    <w:p w14:paraId="6A0C9D5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9.5</w:t>
      </w:r>
      <w:r>
        <w:rPr>
          <w:rFonts w:hint="eastAsia" w:ascii="宋体" w:hAnsi="宋体" w:eastAsia="宋体" w:cs="宋体"/>
          <w:color w:val="auto"/>
          <w:spacing w:val="-4"/>
          <w:sz w:val="21"/>
          <w:szCs w:val="21"/>
          <w:highlight w:val="none"/>
        </w:rPr>
        <w:t xml:space="preserve"> </w:t>
      </w:r>
      <w:r>
        <w:rPr>
          <w:rFonts w:hint="eastAsia" w:ascii="宋体" w:hAnsi="宋体" w:eastAsia="宋体" w:cs="宋体"/>
          <w:b/>
          <w:bCs/>
          <w:color w:val="auto"/>
          <w:spacing w:val="-4"/>
          <w:sz w:val="21"/>
          <w:szCs w:val="21"/>
          <w:highlight w:val="none"/>
        </w:rPr>
        <w:t>检验费用</w:t>
      </w:r>
    </w:p>
    <w:p w14:paraId="48CAF3A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根据《建设工程质量检测管理办法》（建设部令第141号）以及《广西壮族自治</w:t>
      </w:r>
      <w:r>
        <w:rPr>
          <w:rFonts w:hint="eastAsia" w:ascii="宋体" w:hAnsi="宋体" w:eastAsia="宋体" w:cs="宋体"/>
          <w:color w:val="auto"/>
          <w:sz w:val="21"/>
          <w:szCs w:val="21"/>
          <w:highlight w:val="none"/>
        </w:rPr>
        <w:t>区建设工程质量检测管理规定》（桂建管〔2013〕11</w:t>
      </w:r>
      <w:r>
        <w:rPr>
          <w:rFonts w:hint="eastAsia" w:ascii="宋体" w:hAnsi="宋体" w:eastAsia="宋体" w:cs="宋体"/>
          <w:color w:val="auto"/>
          <w:spacing w:val="-1"/>
          <w:sz w:val="21"/>
          <w:szCs w:val="21"/>
          <w:highlight w:val="none"/>
        </w:rPr>
        <w:t>号）规定，工程质量检测业务</w:t>
      </w:r>
      <w:r>
        <w:rPr>
          <w:rFonts w:hint="eastAsia" w:ascii="宋体" w:hAnsi="宋体" w:eastAsia="宋体" w:cs="宋体"/>
          <w:color w:val="auto"/>
          <w:sz w:val="21"/>
          <w:szCs w:val="21"/>
          <w:highlight w:val="none"/>
        </w:rPr>
        <w:t>由发包人委托有相应资质的检测机构检测。费用从发</w:t>
      </w:r>
      <w:r>
        <w:rPr>
          <w:rFonts w:hint="eastAsia" w:ascii="宋体" w:hAnsi="宋体" w:eastAsia="宋体" w:cs="宋体"/>
          <w:color w:val="auto"/>
          <w:spacing w:val="-1"/>
          <w:sz w:val="21"/>
          <w:szCs w:val="21"/>
          <w:highlight w:val="none"/>
        </w:rPr>
        <w:t>包人的项目建设经费中支出并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直接支付给检测机构，不计入合同价款内。</w:t>
      </w:r>
    </w:p>
    <w:p w14:paraId="07A41B3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2"/>
        <w:rPr>
          <w:rFonts w:hint="eastAsia" w:ascii="宋体" w:hAnsi="宋体" w:eastAsia="宋体" w:cs="宋体"/>
          <w:color w:val="auto"/>
          <w:sz w:val="21"/>
          <w:szCs w:val="21"/>
          <w:highlight w:val="none"/>
        </w:rPr>
      </w:pPr>
      <w:bookmarkStart w:id="476" w:name="_Toc9544"/>
      <w:bookmarkStart w:id="477" w:name="_Toc11511"/>
      <w:r>
        <w:rPr>
          <w:rFonts w:hint="eastAsia" w:ascii="宋体" w:hAnsi="宋体" w:eastAsia="宋体" w:cs="宋体"/>
          <w:b/>
          <w:bCs/>
          <w:color w:val="auto"/>
          <w:spacing w:val="-10"/>
          <w:sz w:val="21"/>
          <w:szCs w:val="21"/>
          <w:highlight w:val="none"/>
        </w:rPr>
        <w:t>10.</w:t>
      </w:r>
      <w:r>
        <w:rPr>
          <w:rFonts w:hint="eastAsia" w:ascii="宋体" w:hAnsi="宋体" w:eastAsia="宋体" w:cs="宋体"/>
          <w:color w:val="auto"/>
          <w:spacing w:val="9"/>
          <w:sz w:val="21"/>
          <w:szCs w:val="21"/>
          <w:highlight w:val="none"/>
        </w:rPr>
        <w:t xml:space="preserve"> </w:t>
      </w:r>
      <w:r>
        <w:rPr>
          <w:rFonts w:hint="eastAsia" w:ascii="宋体" w:hAnsi="宋体" w:eastAsia="宋体" w:cs="宋体"/>
          <w:b/>
          <w:bCs/>
          <w:color w:val="auto"/>
          <w:spacing w:val="-10"/>
          <w:sz w:val="21"/>
          <w:szCs w:val="21"/>
          <w:highlight w:val="none"/>
        </w:rPr>
        <w:t>变更</w:t>
      </w:r>
      <w:bookmarkEnd w:id="476"/>
      <w:bookmarkEnd w:id="477"/>
    </w:p>
    <w:p w14:paraId="7E99A9F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10.1</w:t>
      </w:r>
      <w:r>
        <w:rPr>
          <w:rFonts w:hint="eastAsia" w:ascii="宋体" w:hAnsi="宋体" w:eastAsia="宋体" w:cs="宋体"/>
          <w:color w:val="auto"/>
          <w:spacing w:val="-5"/>
          <w:sz w:val="21"/>
          <w:szCs w:val="21"/>
          <w:highlight w:val="none"/>
        </w:rPr>
        <w:t xml:space="preserve"> </w:t>
      </w:r>
      <w:r>
        <w:rPr>
          <w:rFonts w:hint="eastAsia" w:ascii="宋体" w:hAnsi="宋体" w:eastAsia="宋体" w:cs="宋体"/>
          <w:b/>
          <w:bCs/>
          <w:color w:val="auto"/>
          <w:spacing w:val="-5"/>
          <w:sz w:val="21"/>
          <w:szCs w:val="21"/>
          <w:highlight w:val="none"/>
        </w:rPr>
        <w:t>变更的范围</w:t>
      </w:r>
    </w:p>
    <w:p w14:paraId="705A76D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关于</w:t>
      </w:r>
      <w:r>
        <w:rPr>
          <w:rFonts w:hint="eastAsia" w:ascii="宋体" w:hAnsi="宋体" w:cs="宋体"/>
          <w:color w:val="auto"/>
          <w:spacing w:val="-1"/>
          <w:sz w:val="21"/>
          <w:szCs w:val="21"/>
          <w:highlight w:val="none"/>
          <w:lang w:eastAsia="zh-CN"/>
        </w:rPr>
        <w:t>变更</w:t>
      </w:r>
      <w:r>
        <w:rPr>
          <w:rFonts w:hint="eastAsia" w:ascii="宋体" w:hAnsi="宋体" w:eastAsia="宋体" w:cs="宋体"/>
          <w:color w:val="auto"/>
          <w:spacing w:val="-1"/>
          <w:sz w:val="21"/>
          <w:szCs w:val="21"/>
          <w:highlight w:val="none"/>
        </w:rPr>
        <w:t>范围的约定：</w:t>
      </w:r>
      <w:r>
        <w:rPr>
          <w:rFonts w:hint="eastAsia" w:ascii="宋体" w:hAnsi="宋体" w:eastAsia="宋体" w:cs="宋体"/>
          <w:color w:val="auto"/>
          <w:spacing w:val="-1"/>
          <w:sz w:val="21"/>
          <w:szCs w:val="21"/>
          <w:highlight w:val="none"/>
          <w:u w:val="single" w:color="auto"/>
        </w:rPr>
        <w:t>按照通用条款执行</w:t>
      </w:r>
      <w:r>
        <w:rPr>
          <w:rFonts w:hint="eastAsia" w:ascii="宋体" w:hAnsi="宋体" w:eastAsia="宋体" w:cs="宋体"/>
          <w:color w:val="auto"/>
          <w:spacing w:val="-1"/>
          <w:sz w:val="21"/>
          <w:szCs w:val="21"/>
          <w:highlight w:val="none"/>
        </w:rPr>
        <w:t>。</w:t>
      </w:r>
    </w:p>
    <w:p w14:paraId="3451EFF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10.3</w:t>
      </w:r>
      <w:r>
        <w:rPr>
          <w:rFonts w:hint="eastAsia" w:ascii="宋体" w:hAnsi="宋体" w:eastAsia="宋体" w:cs="宋体"/>
          <w:color w:val="auto"/>
          <w:spacing w:val="-5"/>
          <w:sz w:val="21"/>
          <w:szCs w:val="21"/>
          <w:highlight w:val="none"/>
        </w:rPr>
        <w:t xml:space="preserve"> </w:t>
      </w:r>
      <w:r>
        <w:rPr>
          <w:rFonts w:hint="eastAsia" w:ascii="宋体" w:hAnsi="宋体" w:eastAsia="宋体" w:cs="宋体"/>
          <w:b/>
          <w:bCs/>
          <w:color w:val="auto"/>
          <w:spacing w:val="-5"/>
          <w:sz w:val="21"/>
          <w:szCs w:val="21"/>
          <w:highlight w:val="none"/>
        </w:rPr>
        <w:t>变更程序</w:t>
      </w:r>
    </w:p>
    <w:p w14:paraId="0795A48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10.3.1国有投资项目：</w:t>
      </w:r>
    </w:p>
    <w:p w14:paraId="3951519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10.3.1变更的提出</w:t>
      </w:r>
    </w:p>
    <w:p w14:paraId="455A44A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1）在合同履行过程中，可能发生第10.1 款约定</w:t>
      </w:r>
      <w:r>
        <w:rPr>
          <w:rFonts w:hint="eastAsia" w:ascii="宋体" w:hAnsi="宋体" w:eastAsia="宋体" w:cs="宋体"/>
          <w:color w:val="auto"/>
          <w:spacing w:val="-3"/>
          <w:sz w:val="21"/>
          <w:szCs w:val="21"/>
          <w:highlight w:val="none"/>
        </w:rPr>
        <w:t>情形的，监理人可向承包人发</w:t>
      </w:r>
      <w:r>
        <w:rPr>
          <w:rFonts w:hint="eastAsia" w:ascii="宋体" w:hAnsi="宋体" w:eastAsia="宋体" w:cs="宋体"/>
          <w:color w:val="auto"/>
          <w:sz w:val="21"/>
          <w:szCs w:val="21"/>
          <w:highlight w:val="none"/>
        </w:rPr>
        <w:t>出变更意向书。变更意向书应说明变更的具体内容和发包人</w:t>
      </w:r>
      <w:r>
        <w:rPr>
          <w:rFonts w:hint="eastAsia" w:ascii="宋体" w:hAnsi="宋体" w:eastAsia="宋体" w:cs="宋体"/>
          <w:color w:val="auto"/>
          <w:spacing w:val="-1"/>
          <w:sz w:val="21"/>
          <w:szCs w:val="21"/>
          <w:highlight w:val="none"/>
        </w:rPr>
        <w:t>对变更的时间要求，并</w:t>
      </w:r>
      <w:r>
        <w:rPr>
          <w:rFonts w:hint="eastAsia" w:ascii="宋体" w:hAnsi="宋体" w:eastAsia="宋体" w:cs="宋体"/>
          <w:color w:val="auto"/>
          <w:sz w:val="21"/>
          <w:szCs w:val="21"/>
          <w:highlight w:val="none"/>
        </w:rPr>
        <w:t>附必要的图纸和相关资料。变更意向书应要求承包人提交包</w:t>
      </w:r>
      <w:r>
        <w:rPr>
          <w:rFonts w:hint="eastAsia" w:ascii="宋体" w:hAnsi="宋体" w:eastAsia="宋体" w:cs="宋体"/>
          <w:color w:val="auto"/>
          <w:spacing w:val="-1"/>
          <w:sz w:val="21"/>
          <w:szCs w:val="21"/>
          <w:highlight w:val="none"/>
        </w:rPr>
        <w:t>括拟实施变更工作的计</w:t>
      </w:r>
      <w:r>
        <w:rPr>
          <w:rFonts w:hint="eastAsia" w:ascii="宋体" w:hAnsi="宋体" w:eastAsia="宋体" w:cs="宋体"/>
          <w:color w:val="auto"/>
          <w:sz w:val="21"/>
          <w:szCs w:val="21"/>
          <w:highlight w:val="none"/>
        </w:rPr>
        <w:t xml:space="preserve"> 划、措施和竣工时间等内容的实施方案。发包人同意承包人</w:t>
      </w:r>
      <w:r>
        <w:rPr>
          <w:rFonts w:hint="eastAsia" w:ascii="宋体" w:hAnsi="宋体" w:eastAsia="宋体" w:cs="宋体"/>
          <w:color w:val="auto"/>
          <w:spacing w:val="-1"/>
          <w:sz w:val="21"/>
          <w:szCs w:val="21"/>
          <w:highlight w:val="none"/>
        </w:rPr>
        <w:t>根据变更意向书要求提</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交</w:t>
      </w:r>
      <w:r>
        <w:rPr>
          <w:rFonts w:hint="eastAsia" w:ascii="宋体" w:hAnsi="宋体" w:eastAsia="宋体" w:cs="宋体"/>
          <w:color w:val="auto"/>
          <w:sz w:val="21"/>
          <w:szCs w:val="21"/>
          <w:highlight w:val="none"/>
        </w:rPr>
        <w:t xml:space="preserve">变更实施方案的，由监理人按第10.3.2 </w:t>
      </w:r>
      <w:r>
        <w:rPr>
          <w:rFonts w:hint="eastAsia" w:ascii="宋体" w:hAnsi="宋体" w:eastAsia="宋体" w:cs="宋体"/>
          <w:color w:val="auto"/>
          <w:spacing w:val="-1"/>
          <w:sz w:val="21"/>
          <w:szCs w:val="21"/>
          <w:highlight w:val="none"/>
        </w:rPr>
        <w:t>项约定发出变更指示。</w:t>
      </w:r>
    </w:p>
    <w:p w14:paraId="646D9E4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2）在合同履行过程中，发生第10.1 款约定情形的，监理人应按照第10.3.2  项</w:t>
      </w:r>
      <w:r>
        <w:rPr>
          <w:rFonts w:hint="eastAsia" w:ascii="宋体" w:hAnsi="宋体" w:eastAsia="宋体" w:cs="宋体"/>
          <w:color w:val="auto"/>
          <w:spacing w:val="-2"/>
          <w:sz w:val="21"/>
          <w:szCs w:val="21"/>
          <w:highlight w:val="none"/>
        </w:rPr>
        <w:t>约定向承包人发出变更指示。</w:t>
      </w:r>
    </w:p>
    <w:p w14:paraId="0F81AF9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3）承包人收到监理人按合同约定发出的图纸和文件，经检查认为其中存在第</w:t>
      </w:r>
    </w:p>
    <w:p w14:paraId="2DE73FA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10.1 款约定情形的，可向监理人提出书面变更建议。变更建议应阐明要</w:t>
      </w:r>
      <w:r>
        <w:rPr>
          <w:rFonts w:hint="eastAsia" w:ascii="宋体" w:hAnsi="宋体" w:eastAsia="宋体" w:cs="宋体"/>
          <w:color w:val="auto"/>
          <w:spacing w:val="-4"/>
          <w:sz w:val="21"/>
          <w:szCs w:val="21"/>
          <w:highlight w:val="none"/>
        </w:rPr>
        <w:t>求变更的依</w:t>
      </w:r>
      <w:r>
        <w:rPr>
          <w:rFonts w:hint="eastAsia" w:ascii="宋体" w:hAnsi="宋体" w:eastAsia="宋体" w:cs="宋体"/>
          <w:color w:val="auto"/>
          <w:sz w:val="21"/>
          <w:szCs w:val="21"/>
          <w:highlight w:val="none"/>
        </w:rPr>
        <w:t>据，并附必要的图纸和说明。监理人收到承包人书面建议后</w:t>
      </w:r>
      <w:r>
        <w:rPr>
          <w:rFonts w:hint="eastAsia" w:ascii="宋体" w:hAnsi="宋体" w:eastAsia="宋体" w:cs="宋体"/>
          <w:color w:val="auto"/>
          <w:spacing w:val="-1"/>
          <w:sz w:val="21"/>
          <w:szCs w:val="21"/>
          <w:highlight w:val="none"/>
        </w:rPr>
        <w:t>，应与发包人共同研究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 确认存在变更的，应在收到承包人书面建议后的14 天内作出变更指示。经研究后</w:t>
      </w:r>
      <w:r>
        <w:rPr>
          <w:rFonts w:hint="eastAsia" w:ascii="宋体" w:hAnsi="宋体" w:eastAsia="宋体" w:cs="宋体"/>
          <w:color w:val="auto"/>
          <w:spacing w:val="-1"/>
          <w:sz w:val="21"/>
          <w:szCs w:val="21"/>
          <w:highlight w:val="none"/>
        </w:rPr>
        <w:t>不同意作为变更的，应由监理人书面答复承包人。</w:t>
      </w:r>
    </w:p>
    <w:p w14:paraId="4149B95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4）若承包人收到监理人的变更意向书后认为难以实施此项变更，应立即通知</w:t>
      </w:r>
      <w:r>
        <w:rPr>
          <w:rFonts w:hint="eastAsia" w:ascii="宋体" w:hAnsi="宋体" w:eastAsia="宋体" w:cs="宋体"/>
          <w:color w:val="auto"/>
          <w:sz w:val="21"/>
          <w:szCs w:val="21"/>
          <w:highlight w:val="none"/>
        </w:rPr>
        <w:t>监理人，说明原因并附详细依据。监理人与承包人和发</w:t>
      </w:r>
      <w:r>
        <w:rPr>
          <w:rFonts w:hint="eastAsia" w:ascii="宋体" w:hAnsi="宋体" w:eastAsia="宋体" w:cs="宋体"/>
          <w:color w:val="auto"/>
          <w:spacing w:val="-1"/>
          <w:sz w:val="21"/>
          <w:szCs w:val="21"/>
          <w:highlight w:val="none"/>
        </w:rPr>
        <w:t>包人协商后确定撤销、改变或不改变原变更意向书。</w:t>
      </w:r>
    </w:p>
    <w:p w14:paraId="3E05797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10.3.2 变更指示</w:t>
      </w:r>
    </w:p>
    <w:p w14:paraId="6FA69FF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4"/>
          <w:sz w:val="21"/>
          <w:szCs w:val="21"/>
          <w:highlight w:val="none"/>
          <w:lang w:eastAsia="zh-CN"/>
        </w:rPr>
        <w:t>（</w:t>
      </w:r>
      <w:r>
        <w:rPr>
          <w:rFonts w:hint="eastAsia" w:ascii="宋体" w:hAnsi="宋体" w:eastAsia="宋体" w:cs="宋体"/>
          <w:color w:val="auto"/>
          <w:spacing w:val="-4"/>
          <w:sz w:val="21"/>
          <w:szCs w:val="21"/>
          <w:highlight w:val="none"/>
        </w:rPr>
        <w:t>l）变更指示只能由监理人发出。</w:t>
      </w:r>
    </w:p>
    <w:p w14:paraId="72A08C6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2）变更指示应说明变更的目的、范围、变更内容以及变更的工程量及其进度</w:t>
      </w:r>
      <w:r>
        <w:rPr>
          <w:rFonts w:hint="eastAsia" w:ascii="宋体" w:hAnsi="宋体" w:eastAsia="宋体" w:cs="宋体"/>
          <w:color w:val="auto"/>
          <w:sz w:val="21"/>
          <w:szCs w:val="21"/>
          <w:highlight w:val="none"/>
        </w:rPr>
        <w:t>和技术要求，并附有关图纸和文件。承包人收到变更指</w:t>
      </w:r>
      <w:r>
        <w:rPr>
          <w:rFonts w:hint="eastAsia" w:ascii="宋体" w:hAnsi="宋体" w:eastAsia="宋体" w:cs="宋体"/>
          <w:color w:val="auto"/>
          <w:spacing w:val="-1"/>
          <w:sz w:val="21"/>
          <w:szCs w:val="21"/>
          <w:highlight w:val="none"/>
        </w:rPr>
        <w:t>示后，应按变更指示进行变</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更工作。</w:t>
      </w:r>
    </w:p>
    <w:p w14:paraId="76D9504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4"/>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10.3.3变更执行</w:t>
      </w:r>
    </w:p>
    <w:p w14:paraId="31578F1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⑴设计变更和工程签证，属不可抗力（自然灾害、突发事件等）造成变更的，</w:t>
      </w:r>
      <w:r>
        <w:rPr>
          <w:rFonts w:hint="eastAsia" w:ascii="宋体" w:hAnsi="宋体" w:eastAsia="宋体" w:cs="宋体"/>
          <w:b/>
          <w:bCs/>
          <w:color w:val="auto"/>
          <w:spacing w:val="-3"/>
          <w:sz w:val="21"/>
          <w:szCs w:val="21"/>
          <w:highlight w:val="none"/>
        </w:rPr>
        <w:t>按特事特办原则予以办理。</w:t>
      </w:r>
    </w:p>
    <w:p w14:paraId="758C687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⑵工程设计变更和签证工程发生后10个工作日内，由承包人将有关变更</w:t>
      </w:r>
      <w:r>
        <w:rPr>
          <w:rFonts w:hint="eastAsia" w:ascii="宋体" w:hAnsi="宋体" w:eastAsia="宋体" w:cs="宋体"/>
          <w:b/>
          <w:bCs/>
          <w:color w:val="auto"/>
          <w:spacing w:val="-3"/>
          <w:sz w:val="21"/>
          <w:szCs w:val="21"/>
          <w:highlight w:val="none"/>
        </w:rPr>
        <w:t>文件、</w:t>
      </w:r>
      <w:r>
        <w:rPr>
          <w:rFonts w:hint="eastAsia" w:ascii="宋体" w:hAnsi="宋体" w:eastAsia="宋体" w:cs="宋体"/>
          <w:b/>
          <w:bCs/>
          <w:color w:val="auto"/>
          <w:spacing w:val="-2"/>
          <w:sz w:val="21"/>
          <w:szCs w:val="21"/>
          <w:highlight w:val="none"/>
        </w:rPr>
        <w:t>签证单审批件、工程联系单、预算书等工程</w:t>
      </w:r>
      <w:r>
        <w:rPr>
          <w:rFonts w:hint="eastAsia" w:ascii="宋体" w:hAnsi="宋体" w:cs="宋体"/>
          <w:b/>
          <w:bCs/>
          <w:color w:val="auto"/>
          <w:spacing w:val="-2"/>
          <w:sz w:val="21"/>
          <w:szCs w:val="21"/>
          <w:highlight w:val="none"/>
          <w:lang w:eastAsia="zh-CN"/>
        </w:rPr>
        <w:t>资料</w:t>
      </w:r>
      <w:r>
        <w:rPr>
          <w:rFonts w:hint="eastAsia" w:ascii="宋体" w:hAnsi="宋体" w:eastAsia="宋体" w:cs="宋体"/>
          <w:b/>
          <w:bCs/>
          <w:color w:val="auto"/>
          <w:spacing w:val="-2"/>
          <w:sz w:val="21"/>
          <w:szCs w:val="21"/>
          <w:highlight w:val="none"/>
        </w:rPr>
        <w:t>作为进度款支付、事后抽查</w:t>
      </w:r>
      <w:r>
        <w:rPr>
          <w:rFonts w:hint="eastAsia" w:ascii="宋体" w:hAnsi="宋体" w:eastAsia="宋体" w:cs="宋体"/>
          <w:b/>
          <w:bCs/>
          <w:color w:val="auto"/>
          <w:spacing w:val="-3"/>
          <w:sz w:val="21"/>
          <w:szCs w:val="21"/>
          <w:highlight w:val="none"/>
        </w:rPr>
        <w:t>和工</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3"/>
          <w:sz w:val="21"/>
          <w:szCs w:val="21"/>
          <w:highlight w:val="none"/>
        </w:rPr>
        <w:t>程结算的主要依据。</w:t>
      </w:r>
    </w:p>
    <w:p w14:paraId="02139F8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⑶建设单位在实施项目过程中，若发生单价变动，由建设单位、监理单位</w:t>
      </w:r>
      <w:r>
        <w:rPr>
          <w:rFonts w:hint="eastAsia" w:ascii="宋体" w:hAnsi="宋体" w:eastAsia="宋体" w:cs="宋体"/>
          <w:b/>
          <w:bCs/>
          <w:color w:val="auto"/>
          <w:spacing w:val="-3"/>
          <w:sz w:val="21"/>
          <w:szCs w:val="21"/>
          <w:highlight w:val="none"/>
        </w:rPr>
        <w:t>与施工单位共同商定并签字确认。</w:t>
      </w:r>
    </w:p>
    <w:p w14:paraId="667FBDE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⑷发包人在工程设计变更和工程签证过程中必须认真负责、实事求是，不</w:t>
      </w:r>
      <w:r>
        <w:rPr>
          <w:rFonts w:hint="eastAsia" w:ascii="宋体" w:hAnsi="宋体" w:eastAsia="宋体" w:cs="宋体"/>
          <w:b/>
          <w:bCs/>
          <w:color w:val="auto"/>
          <w:spacing w:val="-3"/>
          <w:sz w:val="21"/>
          <w:szCs w:val="21"/>
          <w:highlight w:val="none"/>
        </w:rPr>
        <w:t>得弄</w:t>
      </w:r>
      <w:r>
        <w:rPr>
          <w:rFonts w:hint="eastAsia" w:ascii="宋体" w:hAnsi="宋体" w:eastAsia="宋体" w:cs="宋体"/>
          <w:b/>
          <w:bCs/>
          <w:color w:val="auto"/>
          <w:spacing w:val="-2"/>
          <w:sz w:val="21"/>
          <w:szCs w:val="21"/>
          <w:highlight w:val="none"/>
        </w:rPr>
        <w:t>虚作假，凡因上述问题所造成的损失，相应等额扣除建设单位项目管理</w:t>
      </w:r>
      <w:r>
        <w:rPr>
          <w:rFonts w:hint="eastAsia" w:ascii="宋体" w:hAnsi="宋体" w:eastAsia="宋体" w:cs="宋体"/>
          <w:b/>
          <w:bCs/>
          <w:color w:val="auto"/>
          <w:spacing w:val="-3"/>
          <w:sz w:val="21"/>
          <w:szCs w:val="21"/>
          <w:highlight w:val="none"/>
        </w:rPr>
        <w:t>费或其他财</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5"/>
          <w:sz w:val="21"/>
          <w:szCs w:val="21"/>
          <w:highlight w:val="none"/>
        </w:rPr>
        <w:t>政拨款。</w:t>
      </w:r>
    </w:p>
    <w:p w14:paraId="7111115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（5）承包人应当在设计变更和工程签证发生后14</w:t>
      </w:r>
      <w:r>
        <w:rPr>
          <w:rFonts w:hint="eastAsia" w:ascii="宋体" w:hAnsi="宋体" w:eastAsia="宋体" w:cs="宋体"/>
          <w:b/>
          <w:bCs/>
          <w:color w:val="auto"/>
          <w:spacing w:val="-3"/>
          <w:sz w:val="21"/>
          <w:szCs w:val="21"/>
          <w:highlight w:val="none"/>
        </w:rPr>
        <w:t>天内，将调整原因、金额以</w:t>
      </w:r>
      <w:r>
        <w:rPr>
          <w:rFonts w:hint="eastAsia" w:ascii="宋体" w:hAnsi="宋体" w:eastAsia="宋体" w:cs="宋体"/>
          <w:b/>
          <w:bCs/>
          <w:color w:val="auto"/>
          <w:sz w:val="21"/>
          <w:szCs w:val="21"/>
          <w:highlight w:val="none"/>
        </w:rPr>
        <w:t>书面形式向监理人和发包人申报，经监理人和发包人按第（1</w:t>
      </w:r>
      <w:r>
        <w:rPr>
          <w:rFonts w:hint="eastAsia" w:ascii="宋体" w:hAnsi="宋体" w:eastAsia="宋体" w:cs="宋体"/>
          <w:b/>
          <w:bCs/>
          <w:color w:val="auto"/>
          <w:spacing w:val="-20"/>
          <w:sz w:val="21"/>
          <w:szCs w:val="21"/>
          <w:highlight w:val="none"/>
        </w:rPr>
        <w:t>）（</w:t>
      </w:r>
      <w:r>
        <w:rPr>
          <w:rFonts w:hint="eastAsia" w:ascii="宋体" w:hAnsi="宋体" w:eastAsia="宋体" w:cs="宋体"/>
          <w:b/>
          <w:bCs/>
          <w:color w:val="auto"/>
          <w:sz w:val="21"/>
          <w:szCs w:val="21"/>
          <w:highlight w:val="none"/>
        </w:rPr>
        <w:t>2</w:t>
      </w:r>
      <w:r>
        <w:rPr>
          <w:rFonts w:hint="eastAsia" w:ascii="宋体" w:hAnsi="宋体" w:eastAsia="宋体" w:cs="宋体"/>
          <w:b/>
          <w:bCs/>
          <w:color w:val="auto"/>
          <w:spacing w:val="-20"/>
          <w:sz w:val="21"/>
          <w:szCs w:val="21"/>
          <w:highlight w:val="none"/>
        </w:rPr>
        <w:t>）（</w:t>
      </w:r>
      <w:r>
        <w:rPr>
          <w:rFonts w:hint="eastAsia" w:ascii="宋体" w:hAnsi="宋体" w:eastAsia="宋体" w:cs="宋体"/>
          <w:b/>
          <w:bCs/>
          <w:color w:val="auto"/>
          <w:sz w:val="21"/>
          <w:szCs w:val="21"/>
          <w:highlight w:val="none"/>
        </w:rPr>
        <w:t>3</w:t>
      </w:r>
      <w:r>
        <w:rPr>
          <w:rFonts w:hint="eastAsia" w:ascii="宋体" w:hAnsi="宋体" w:eastAsia="宋体" w:cs="宋体"/>
          <w:b/>
          <w:bCs/>
          <w:color w:val="auto"/>
          <w:spacing w:val="-20"/>
          <w:sz w:val="21"/>
          <w:szCs w:val="21"/>
          <w:highlight w:val="none"/>
        </w:rPr>
        <w:t>）（</w:t>
      </w:r>
      <w:r>
        <w:rPr>
          <w:rFonts w:hint="eastAsia" w:ascii="宋体" w:hAnsi="宋体" w:eastAsia="宋体" w:cs="宋体"/>
          <w:b/>
          <w:bCs/>
          <w:color w:val="auto"/>
          <w:sz w:val="21"/>
          <w:szCs w:val="21"/>
          <w:highlight w:val="none"/>
        </w:rPr>
        <w:t>4）</w:t>
      </w:r>
      <w:r>
        <w:rPr>
          <w:rFonts w:hint="eastAsia" w:ascii="宋体" w:hAnsi="宋体" w:eastAsia="宋体" w:cs="宋体"/>
          <w:color w:val="auto"/>
          <w:spacing w:val="-1"/>
          <w:sz w:val="21"/>
          <w:szCs w:val="21"/>
          <w:highlight w:val="none"/>
        </w:rPr>
        <w:t xml:space="preserve"> </w:t>
      </w:r>
      <w:r>
        <w:rPr>
          <w:rFonts w:hint="eastAsia" w:ascii="宋体" w:hAnsi="宋体" w:cs="宋体"/>
          <w:color w:val="auto"/>
          <w:spacing w:val="-1"/>
          <w:sz w:val="21"/>
          <w:szCs w:val="21"/>
          <w:highlight w:val="none"/>
          <w:lang w:eastAsia="zh-CN"/>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b/>
          <w:bCs/>
          <w:color w:val="auto"/>
          <w:spacing w:val="-2"/>
          <w:sz w:val="21"/>
          <w:szCs w:val="21"/>
          <w:highlight w:val="none"/>
        </w:rPr>
        <w:t>5）条款的要求初步确认调整金额后将其作为追加合同价款，按不高于6</w:t>
      </w:r>
      <w:r>
        <w:rPr>
          <w:rFonts w:hint="eastAsia" w:ascii="宋体" w:hAnsi="宋体" w:eastAsia="宋体" w:cs="宋体"/>
          <w:b/>
          <w:bCs/>
          <w:color w:val="auto"/>
          <w:spacing w:val="-3"/>
          <w:sz w:val="21"/>
          <w:szCs w:val="21"/>
          <w:highlight w:val="none"/>
        </w:rPr>
        <w:t>0%的比例与</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工程进度款同期支付，调整金额待工程单项结算或结算时</w:t>
      </w:r>
      <w:r>
        <w:rPr>
          <w:rFonts w:hint="eastAsia" w:ascii="宋体" w:hAnsi="宋体" w:cs="宋体"/>
          <w:b/>
          <w:bCs/>
          <w:color w:val="auto"/>
          <w:spacing w:val="-2"/>
          <w:sz w:val="21"/>
          <w:szCs w:val="21"/>
          <w:highlight w:val="none"/>
          <w:lang w:eastAsia="zh-CN"/>
        </w:rPr>
        <w:t>，以</w:t>
      </w:r>
      <w:r>
        <w:rPr>
          <w:rFonts w:hint="eastAsia" w:ascii="宋体" w:hAnsi="宋体" w:eastAsia="宋体" w:cs="宋体"/>
          <w:b/>
          <w:bCs/>
          <w:color w:val="auto"/>
          <w:spacing w:val="-2"/>
          <w:sz w:val="21"/>
          <w:szCs w:val="21"/>
          <w:highlight w:val="none"/>
        </w:rPr>
        <w:t>符合必须送</w:t>
      </w:r>
      <w:r>
        <w:rPr>
          <w:rFonts w:hint="eastAsia" w:ascii="宋体" w:hAnsi="宋体" w:cs="宋体"/>
          <w:b/>
          <w:bCs/>
          <w:color w:val="auto"/>
          <w:spacing w:val="-2"/>
          <w:sz w:val="21"/>
          <w:szCs w:val="21"/>
          <w:highlight w:val="none"/>
          <w:lang w:eastAsia="zh-CN"/>
        </w:rPr>
        <w:t>财政厅</w:t>
      </w:r>
      <w:r>
        <w:rPr>
          <w:rFonts w:hint="eastAsia" w:ascii="宋体" w:hAnsi="宋体" w:eastAsia="宋体" w:cs="宋体"/>
          <w:b/>
          <w:bCs/>
          <w:color w:val="auto"/>
          <w:spacing w:val="-3"/>
          <w:sz w:val="21"/>
          <w:szCs w:val="21"/>
          <w:highlight w:val="none"/>
        </w:rPr>
        <w:t>审核结算条件的由自治区财政部门最终审定的结算为准。</w:t>
      </w:r>
    </w:p>
    <w:p w14:paraId="570B5AB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（6）当设计变更和工程签证需要调整合同价款的调</w:t>
      </w:r>
      <w:r>
        <w:rPr>
          <w:rFonts w:hint="eastAsia" w:ascii="宋体" w:hAnsi="宋体" w:eastAsia="宋体" w:cs="宋体"/>
          <w:b/>
          <w:bCs/>
          <w:color w:val="auto"/>
          <w:spacing w:val="-3"/>
          <w:sz w:val="21"/>
          <w:szCs w:val="21"/>
          <w:highlight w:val="none"/>
        </w:rPr>
        <w:t>整情况发生后，承包人未</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在上述规定时间内申报的，视为承包人已放</w:t>
      </w:r>
      <w:r>
        <w:rPr>
          <w:rFonts w:hint="eastAsia" w:ascii="宋体" w:hAnsi="宋体" w:eastAsia="宋体" w:cs="宋体"/>
          <w:b/>
          <w:bCs/>
          <w:color w:val="auto"/>
          <w:spacing w:val="-3"/>
          <w:sz w:val="21"/>
          <w:szCs w:val="21"/>
          <w:highlight w:val="none"/>
        </w:rPr>
        <w:t>弃此项权利。</w:t>
      </w:r>
    </w:p>
    <w:p w14:paraId="62C8E63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（7）承包人所整理的变更签证资料应含有：工程联</w:t>
      </w:r>
      <w:r>
        <w:rPr>
          <w:rFonts w:hint="eastAsia" w:ascii="宋体" w:hAnsi="宋体" w:eastAsia="宋体" w:cs="宋体"/>
          <w:b/>
          <w:bCs/>
          <w:color w:val="auto"/>
          <w:spacing w:val="-3"/>
          <w:sz w:val="21"/>
          <w:szCs w:val="21"/>
          <w:highlight w:val="none"/>
        </w:rPr>
        <w:t>系单或变更通知、工程签</w:t>
      </w:r>
      <w:r>
        <w:rPr>
          <w:rFonts w:hint="eastAsia" w:ascii="宋体" w:hAnsi="宋体" w:eastAsia="宋体" w:cs="宋体"/>
          <w:b/>
          <w:bCs/>
          <w:color w:val="auto"/>
          <w:spacing w:val="-2"/>
          <w:sz w:val="21"/>
          <w:szCs w:val="21"/>
          <w:highlight w:val="none"/>
        </w:rPr>
        <w:t>证单、原始测量记录及现场图片。承包人在原始测量记录上签字的人</w:t>
      </w:r>
      <w:r>
        <w:rPr>
          <w:rFonts w:hint="eastAsia" w:ascii="宋体" w:hAnsi="宋体" w:eastAsia="宋体" w:cs="宋体"/>
          <w:b/>
          <w:bCs/>
          <w:color w:val="auto"/>
          <w:spacing w:val="-3"/>
          <w:sz w:val="21"/>
          <w:szCs w:val="21"/>
          <w:highlight w:val="none"/>
        </w:rPr>
        <w:t>员应具有承包</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3"/>
          <w:sz w:val="21"/>
          <w:szCs w:val="21"/>
          <w:highlight w:val="none"/>
        </w:rPr>
        <w:t>人的委托，否则原始测量记录无效。</w:t>
      </w:r>
    </w:p>
    <w:p w14:paraId="6C2D6E7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（8）工程变更的其他规定：</w:t>
      </w:r>
    </w:p>
    <w:p w14:paraId="7627DAF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1"/>
          <w:sz w:val="21"/>
          <w:szCs w:val="21"/>
          <w:highlight w:val="none"/>
          <w:lang w:eastAsia="zh-CN"/>
        </w:rPr>
        <w:t>1）</w:t>
      </w:r>
      <w:r>
        <w:rPr>
          <w:rFonts w:hint="eastAsia" w:ascii="宋体" w:hAnsi="宋体" w:eastAsia="宋体" w:cs="宋体"/>
          <w:color w:val="auto"/>
          <w:spacing w:val="-1"/>
          <w:sz w:val="21"/>
          <w:szCs w:val="21"/>
          <w:highlight w:val="none"/>
        </w:rPr>
        <w:t>已办理施工图备案并且正在施工的项目不得擅自提高设计标准和安全储备进</w:t>
      </w:r>
      <w:r>
        <w:rPr>
          <w:rFonts w:hint="eastAsia" w:ascii="宋体" w:hAnsi="宋体" w:eastAsia="宋体" w:cs="宋体"/>
          <w:color w:val="auto"/>
          <w:spacing w:val="-3"/>
          <w:sz w:val="21"/>
          <w:szCs w:val="21"/>
          <w:highlight w:val="none"/>
        </w:rPr>
        <w:t>行工程变</w:t>
      </w:r>
      <w:r>
        <w:rPr>
          <w:rFonts w:hint="eastAsia" w:ascii="宋体" w:hAnsi="宋体" w:eastAsia="宋体" w:cs="宋体"/>
          <w:b/>
          <w:bCs/>
          <w:color w:val="auto"/>
          <w:spacing w:val="-3"/>
          <w:sz w:val="21"/>
          <w:szCs w:val="21"/>
          <w:highlight w:val="none"/>
        </w:rPr>
        <w:t>更</w:t>
      </w:r>
      <w:r>
        <w:rPr>
          <w:rFonts w:hint="eastAsia" w:ascii="宋体" w:hAnsi="宋体" w:eastAsia="宋体" w:cs="宋体"/>
          <w:color w:val="auto"/>
          <w:spacing w:val="-3"/>
          <w:sz w:val="21"/>
          <w:szCs w:val="21"/>
          <w:highlight w:val="none"/>
        </w:rPr>
        <w:t>；</w:t>
      </w:r>
    </w:p>
    <w:p w14:paraId="14B318F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1"/>
          <w:sz w:val="21"/>
          <w:szCs w:val="21"/>
          <w:highlight w:val="none"/>
          <w:lang w:eastAsia="zh-CN"/>
        </w:rPr>
        <w:t>2）</w:t>
      </w:r>
      <w:r>
        <w:rPr>
          <w:rFonts w:hint="eastAsia" w:ascii="宋体" w:hAnsi="宋体" w:eastAsia="宋体" w:cs="宋体"/>
          <w:color w:val="auto"/>
          <w:spacing w:val="-1"/>
          <w:sz w:val="21"/>
          <w:szCs w:val="21"/>
          <w:highlight w:val="none"/>
        </w:rPr>
        <w:t>因施工组织设计不合理引起的工程变化不得进行工程变更；</w:t>
      </w:r>
    </w:p>
    <w:p w14:paraId="54904E3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由于施工现场排水组织不畅造成的软土</w:t>
      </w:r>
      <w:r>
        <w:rPr>
          <w:rFonts w:hint="eastAsia" w:ascii="宋体" w:hAnsi="宋体" w:eastAsia="宋体" w:cs="宋体"/>
          <w:color w:val="auto"/>
          <w:spacing w:val="-1"/>
          <w:sz w:val="21"/>
          <w:szCs w:val="21"/>
          <w:highlight w:val="none"/>
        </w:rPr>
        <w:t>处理，积水排放不得进行工程变更；</w:t>
      </w:r>
    </w:p>
    <w:p w14:paraId="4D2B015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4）涉及</w:t>
      </w:r>
      <w:r>
        <w:rPr>
          <w:rFonts w:hint="eastAsia" w:ascii="宋体" w:hAnsi="宋体" w:eastAsia="宋体" w:cs="宋体"/>
          <w:color w:val="auto"/>
          <w:sz w:val="21"/>
          <w:szCs w:val="21"/>
          <w:highlight w:val="none"/>
        </w:rPr>
        <w:t>不平衡报价的工程变量，应对合同单价进行调</w:t>
      </w:r>
      <w:r>
        <w:rPr>
          <w:rFonts w:hint="eastAsia" w:ascii="宋体" w:hAnsi="宋体" w:eastAsia="宋体" w:cs="宋体"/>
          <w:color w:val="auto"/>
          <w:spacing w:val="-1"/>
          <w:sz w:val="21"/>
          <w:szCs w:val="21"/>
          <w:highlight w:val="none"/>
        </w:rPr>
        <w:t>整，确定合理单价后方</w:t>
      </w:r>
      <w:r>
        <w:rPr>
          <w:rFonts w:hint="eastAsia" w:ascii="宋体" w:hAnsi="宋体" w:eastAsia="宋体" w:cs="宋体"/>
          <w:color w:val="auto"/>
          <w:spacing w:val="-3"/>
          <w:sz w:val="21"/>
          <w:szCs w:val="21"/>
          <w:highlight w:val="none"/>
        </w:rPr>
        <w:t>能进行工程变量；</w:t>
      </w:r>
    </w:p>
    <w:p w14:paraId="318CCC7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eastAsia="宋体" w:cs="宋体"/>
          <w:color w:val="auto"/>
          <w:sz w:val="21"/>
          <w:szCs w:val="21"/>
          <w:highlight w:val="none"/>
        </w:rPr>
        <w:t>因征地拆迁原因引起的工程变量，需县</w:t>
      </w:r>
      <w:r>
        <w:rPr>
          <w:rFonts w:hint="eastAsia" w:ascii="宋体" w:hAnsi="宋体" w:eastAsia="宋体" w:cs="宋体"/>
          <w:color w:val="auto"/>
          <w:spacing w:val="-1"/>
          <w:sz w:val="21"/>
          <w:szCs w:val="21"/>
          <w:highlight w:val="none"/>
        </w:rPr>
        <w:t>（区）、开发区（管委会）提供不能</w:t>
      </w:r>
      <w:r>
        <w:rPr>
          <w:rFonts w:hint="eastAsia" w:ascii="宋体" w:hAnsi="宋体" w:eastAsia="宋体" w:cs="宋体"/>
          <w:color w:val="auto"/>
          <w:sz w:val="21"/>
          <w:szCs w:val="21"/>
          <w:highlight w:val="none"/>
        </w:rPr>
        <w:t>按要求完成征地拆迁任务的书面证明材料，并经市政</w:t>
      </w:r>
      <w:r>
        <w:rPr>
          <w:rFonts w:hint="eastAsia" w:ascii="宋体" w:hAnsi="宋体" w:eastAsia="宋体" w:cs="宋体"/>
          <w:color w:val="auto"/>
          <w:spacing w:val="-1"/>
          <w:sz w:val="21"/>
          <w:szCs w:val="21"/>
          <w:highlight w:val="none"/>
        </w:rPr>
        <w:t>府或其授权的机构同意才能进</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行工程变量。</w:t>
      </w:r>
    </w:p>
    <w:p w14:paraId="48A89BA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b/>
          <w:bCs/>
          <w:color w:val="auto"/>
          <w:spacing w:val="-2"/>
          <w:sz w:val="21"/>
          <w:szCs w:val="21"/>
          <w:highlight w:val="none"/>
          <w:lang w:eastAsia="zh-CN"/>
        </w:rPr>
        <w:t>6）</w:t>
      </w:r>
      <w:r>
        <w:rPr>
          <w:rFonts w:hint="eastAsia" w:ascii="宋体" w:hAnsi="宋体" w:eastAsia="宋体" w:cs="宋体"/>
          <w:b/>
          <w:bCs/>
          <w:color w:val="auto"/>
          <w:spacing w:val="-2"/>
          <w:sz w:val="21"/>
          <w:szCs w:val="21"/>
          <w:highlight w:val="none"/>
        </w:rPr>
        <w:t>工程项目征地红线范围内施工或检测便道由承包人负责修建</w:t>
      </w:r>
      <w:r>
        <w:rPr>
          <w:rFonts w:hint="eastAsia" w:ascii="宋体" w:hAnsi="宋体" w:eastAsia="宋体" w:cs="宋体"/>
          <w:b/>
          <w:bCs/>
          <w:color w:val="auto"/>
          <w:spacing w:val="-3"/>
          <w:sz w:val="21"/>
          <w:szCs w:val="21"/>
          <w:highlight w:val="none"/>
        </w:rPr>
        <w:t>，费用由承包人在合同价款中考虑，不得以此进行工程变更；</w:t>
      </w:r>
    </w:p>
    <w:p w14:paraId="53CB078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b/>
          <w:bCs/>
          <w:color w:val="auto"/>
          <w:spacing w:val="-2"/>
          <w:sz w:val="21"/>
          <w:szCs w:val="21"/>
          <w:highlight w:val="none"/>
          <w:lang w:eastAsia="zh-CN"/>
        </w:rPr>
        <w:t>7）</w:t>
      </w:r>
      <w:r>
        <w:rPr>
          <w:rFonts w:hint="eastAsia" w:ascii="宋体" w:hAnsi="宋体" w:eastAsia="宋体" w:cs="宋体"/>
          <w:b/>
          <w:bCs/>
          <w:color w:val="auto"/>
          <w:spacing w:val="-2"/>
          <w:sz w:val="21"/>
          <w:szCs w:val="21"/>
          <w:highlight w:val="none"/>
        </w:rPr>
        <w:t>采购文件工程量清单中有土石方综合报价的，土石</w:t>
      </w:r>
      <w:r>
        <w:rPr>
          <w:rFonts w:hint="eastAsia" w:ascii="宋体" w:hAnsi="宋体" w:eastAsia="宋体" w:cs="宋体"/>
          <w:b/>
          <w:bCs/>
          <w:color w:val="auto"/>
          <w:spacing w:val="-3"/>
          <w:sz w:val="21"/>
          <w:szCs w:val="21"/>
          <w:highlight w:val="none"/>
        </w:rPr>
        <w:t>成分比例不得进行工程变更</w:t>
      </w:r>
    </w:p>
    <w:p w14:paraId="74CC1EE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b/>
          <w:bCs/>
          <w:color w:val="auto"/>
          <w:spacing w:val="-2"/>
          <w:sz w:val="21"/>
          <w:szCs w:val="21"/>
          <w:highlight w:val="none"/>
          <w:lang w:eastAsia="zh-CN"/>
        </w:rPr>
        <w:t>8）</w:t>
      </w:r>
      <w:r>
        <w:rPr>
          <w:rFonts w:hint="eastAsia" w:ascii="宋体" w:hAnsi="宋体" w:eastAsia="宋体" w:cs="宋体"/>
          <w:b/>
          <w:bCs/>
          <w:color w:val="auto"/>
          <w:spacing w:val="-2"/>
          <w:sz w:val="21"/>
          <w:szCs w:val="21"/>
          <w:highlight w:val="none"/>
        </w:rPr>
        <w:t>中标后，桩基的成孔方式、施工工艺、施工方案等不得</w:t>
      </w:r>
      <w:r>
        <w:rPr>
          <w:rFonts w:hint="eastAsia" w:ascii="宋体" w:hAnsi="宋体" w:eastAsia="宋体" w:cs="宋体"/>
          <w:b/>
          <w:bCs/>
          <w:color w:val="auto"/>
          <w:spacing w:val="-3"/>
          <w:sz w:val="21"/>
          <w:szCs w:val="21"/>
          <w:highlight w:val="none"/>
        </w:rPr>
        <w:t>进行工程变更；</w:t>
      </w:r>
    </w:p>
    <w:p w14:paraId="093F873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10.3.4 非国有投资项目</w:t>
      </w:r>
      <w:r>
        <w:rPr>
          <w:rFonts w:hint="eastAsia" w:ascii="宋体" w:hAnsi="宋体" w:cs="宋体"/>
          <w:color w:val="auto"/>
          <w:spacing w:val="-2"/>
          <w:sz w:val="21"/>
          <w:szCs w:val="21"/>
          <w:highlight w:val="none"/>
          <w:lang w:eastAsia="zh-CN"/>
        </w:rPr>
        <w:t>：</w:t>
      </w:r>
    </w:p>
    <w:p w14:paraId="72EBF0B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10.4</w:t>
      </w:r>
      <w:r>
        <w:rPr>
          <w:rFonts w:hint="eastAsia" w:ascii="宋体" w:hAnsi="宋体" w:eastAsia="宋体" w:cs="宋体"/>
          <w:color w:val="auto"/>
          <w:spacing w:val="-5"/>
          <w:sz w:val="21"/>
          <w:szCs w:val="21"/>
          <w:highlight w:val="none"/>
        </w:rPr>
        <w:t xml:space="preserve"> </w:t>
      </w:r>
      <w:r>
        <w:rPr>
          <w:rFonts w:hint="eastAsia" w:ascii="宋体" w:hAnsi="宋体" w:eastAsia="宋体" w:cs="宋体"/>
          <w:b/>
          <w:bCs/>
          <w:color w:val="auto"/>
          <w:spacing w:val="-5"/>
          <w:sz w:val="21"/>
          <w:szCs w:val="21"/>
          <w:highlight w:val="none"/>
        </w:rPr>
        <w:t>变更估价</w:t>
      </w:r>
    </w:p>
    <w:p w14:paraId="50024C2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10.4.1 变更估价原则</w:t>
      </w:r>
    </w:p>
    <w:p w14:paraId="7AC4BBF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关于变更估价的约定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工程变更合同价款按下</w:t>
      </w:r>
      <w:r>
        <w:rPr>
          <w:rFonts w:hint="eastAsia" w:ascii="宋体" w:hAnsi="宋体" w:eastAsia="宋体" w:cs="宋体"/>
          <w:color w:val="auto"/>
          <w:spacing w:val="-1"/>
          <w:sz w:val="21"/>
          <w:szCs w:val="21"/>
          <w:highlight w:val="none"/>
          <w:u w:val="single" w:color="auto"/>
        </w:rPr>
        <w:t>列方法进行</w:t>
      </w:r>
      <w:r>
        <w:rPr>
          <w:rFonts w:hint="eastAsia" w:ascii="宋体" w:hAnsi="宋体" w:eastAsia="宋体" w:cs="宋体"/>
          <w:color w:val="auto"/>
          <w:spacing w:val="-48"/>
          <w:sz w:val="21"/>
          <w:szCs w:val="21"/>
          <w:highlight w:val="none"/>
          <w:u w:val="single" w:color="auto"/>
        </w:rPr>
        <w:t>：（</w:t>
      </w:r>
      <w:r>
        <w:rPr>
          <w:rFonts w:hint="eastAsia" w:ascii="宋体" w:hAnsi="宋体" w:eastAsia="宋体" w:cs="宋体"/>
          <w:color w:val="auto"/>
          <w:spacing w:val="-1"/>
          <w:sz w:val="21"/>
          <w:szCs w:val="21"/>
          <w:highlight w:val="none"/>
          <w:u w:val="single" w:color="auto"/>
        </w:rPr>
        <w:t>1）合同中已有相</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
          <w:sz w:val="21"/>
          <w:szCs w:val="21"/>
          <w:highlight w:val="none"/>
          <w:u w:val="single" w:color="auto"/>
        </w:rPr>
        <w:t>同清单项目的，按合同该清单项目价格进行计算</w:t>
      </w:r>
      <w:r>
        <w:rPr>
          <w:rFonts w:hint="eastAsia" w:ascii="宋体" w:hAnsi="宋体" w:eastAsia="宋体" w:cs="宋体"/>
          <w:color w:val="auto"/>
          <w:spacing w:val="-34"/>
          <w:sz w:val="21"/>
          <w:szCs w:val="21"/>
          <w:highlight w:val="none"/>
          <w:u w:val="single" w:color="auto"/>
        </w:rPr>
        <w:t>；（</w:t>
      </w:r>
      <w:r>
        <w:rPr>
          <w:rFonts w:hint="eastAsia" w:ascii="宋体" w:hAnsi="宋体" w:eastAsia="宋体" w:cs="宋体"/>
          <w:color w:val="auto"/>
          <w:spacing w:val="-1"/>
          <w:sz w:val="21"/>
          <w:szCs w:val="21"/>
          <w:highlight w:val="none"/>
          <w:u w:val="single" w:color="auto"/>
        </w:rPr>
        <w:t>2）合同中只有类似清单项目的</w:t>
      </w:r>
      <w:r>
        <w:rPr>
          <w:rFonts w:hint="eastAsia" w:ascii="宋体" w:hAnsi="宋体" w:cs="宋体"/>
          <w:color w:val="auto"/>
          <w:spacing w:val="-1"/>
          <w:sz w:val="21"/>
          <w:szCs w:val="21"/>
          <w:highlight w:val="none"/>
          <w:u w:val="single" w:color="auto"/>
          <w:lang w:eastAsia="zh-CN"/>
        </w:rPr>
        <w:t>，</w:t>
      </w:r>
      <w:r>
        <w:rPr>
          <w:rFonts w:hint="eastAsia" w:ascii="宋体" w:hAnsi="宋体" w:eastAsia="宋体" w:cs="宋体"/>
          <w:color w:val="auto"/>
          <w:spacing w:val="-2"/>
          <w:sz w:val="21"/>
          <w:szCs w:val="21"/>
          <w:highlight w:val="none"/>
          <w:u w:val="single" w:color="auto"/>
        </w:rPr>
        <w:t>参照该类似清单项目价格进行计算</w:t>
      </w:r>
      <w:r>
        <w:rPr>
          <w:rFonts w:hint="eastAsia" w:ascii="宋体" w:hAnsi="宋体" w:eastAsia="宋体" w:cs="宋体"/>
          <w:color w:val="auto"/>
          <w:spacing w:val="-36"/>
          <w:sz w:val="21"/>
          <w:szCs w:val="21"/>
          <w:highlight w:val="none"/>
          <w:u w:val="single" w:color="auto"/>
        </w:rPr>
        <w:t>；（</w:t>
      </w:r>
      <w:r>
        <w:rPr>
          <w:rFonts w:hint="eastAsia" w:ascii="宋体" w:hAnsi="宋体" w:eastAsia="宋体" w:cs="宋体"/>
          <w:color w:val="auto"/>
          <w:spacing w:val="-2"/>
          <w:sz w:val="21"/>
          <w:szCs w:val="21"/>
          <w:highlight w:val="none"/>
          <w:u w:val="single" w:color="auto"/>
        </w:rPr>
        <w:t>3）合同中没有适用或类似清单项目的价格</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计算方法：有定额的套定额，并 </w:t>
      </w:r>
      <w:r>
        <w:rPr>
          <w:rFonts w:hint="eastAsia" w:ascii="宋体" w:hAnsi="宋体" w:cs="宋体"/>
          <w:color w:val="auto"/>
          <w:spacing w:val="-2"/>
          <w:sz w:val="21"/>
          <w:szCs w:val="21"/>
          <w:highlight w:val="none"/>
          <w:u w:val="single" w:color="auto"/>
          <w:lang w:eastAsia="zh-CN"/>
        </w:rPr>
        <w:t>（</w:t>
      </w:r>
      <w:r>
        <w:rPr>
          <w:rFonts w:hint="eastAsia" w:ascii="宋体" w:hAnsi="宋体" w:eastAsia="宋体" w:cs="宋体"/>
          <w:color w:val="auto"/>
          <w:spacing w:val="-72"/>
          <w:sz w:val="21"/>
          <w:szCs w:val="21"/>
          <w:highlight w:val="none"/>
          <w:u w:val="single" w:color="auto"/>
        </w:rPr>
        <w:t xml:space="preserve"> </w:t>
      </w:r>
      <w:r>
        <w:rPr>
          <w:rFonts w:hint="eastAsia" w:ascii="宋体" w:hAnsi="宋体" w:eastAsia="宋体" w:cs="宋体"/>
          <w:color w:val="auto"/>
          <w:spacing w:val="-101"/>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u w:val="single" w:color="auto"/>
        </w:rPr>
        <w:t>乘以下浮系数=中标价/经审定的工程招标控制</w:t>
      </w:r>
      <w:r>
        <w:rPr>
          <w:rFonts w:hint="eastAsia" w:ascii="宋体" w:hAnsi="宋体" w:eastAsia="宋体" w:cs="宋体"/>
          <w:color w:val="auto"/>
          <w:spacing w:val="-3"/>
          <w:sz w:val="21"/>
          <w:szCs w:val="21"/>
          <w:highlight w:val="none"/>
          <w:u w:val="single" w:color="auto"/>
        </w:rPr>
        <w:t>价，</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3"/>
          <w:sz w:val="21"/>
          <w:szCs w:val="21"/>
          <w:highlight w:val="none"/>
          <w:u w:val="single" w:color="auto"/>
        </w:rPr>
        <w:t>不乘下浮系数）计算，其中：材料设备价格按施工期间的《崇左市建设工程</w:t>
      </w:r>
      <w:r>
        <w:rPr>
          <w:rFonts w:hint="eastAsia" w:ascii="宋体" w:hAnsi="宋体" w:eastAsia="宋体" w:cs="宋体"/>
          <w:color w:val="auto"/>
          <w:sz w:val="21"/>
          <w:szCs w:val="21"/>
          <w:highlight w:val="none"/>
          <w:u w:val="single" w:color="auto"/>
        </w:rPr>
        <w:t>造价信息》相应信息价的算术平均值计算，《崇左市建设工程</w:t>
      </w:r>
      <w:r>
        <w:rPr>
          <w:rFonts w:hint="eastAsia" w:ascii="宋体" w:hAnsi="宋体" w:eastAsia="宋体" w:cs="宋体"/>
          <w:color w:val="auto"/>
          <w:spacing w:val="-1"/>
          <w:sz w:val="21"/>
          <w:szCs w:val="21"/>
          <w:highlight w:val="none"/>
          <w:u w:val="single" w:color="auto"/>
        </w:rPr>
        <w:t>造价信息》没有相应</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信息价的，由建设单位、施工单位、监理单位或造价咨询单位</w:t>
      </w:r>
      <w:r>
        <w:rPr>
          <w:rFonts w:hint="eastAsia" w:ascii="宋体" w:hAnsi="宋体" w:eastAsia="宋体" w:cs="宋体"/>
          <w:color w:val="auto"/>
          <w:spacing w:val="-1"/>
          <w:sz w:val="21"/>
          <w:szCs w:val="21"/>
          <w:highlight w:val="none"/>
          <w:u w:val="single" w:color="auto"/>
        </w:rPr>
        <w:t>根据市场行情协商确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定；无定额可套的，由建设单位、施工单位、监理单位或造价</w:t>
      </w:r>
      <w:r>
        <w:rPr>
          <w:rFonts w:hint="eastAsia" w:ascii="宋体" w:hAnsi="宋体" w:eastAsia="宋体" w:cs="宋体"/>
          <w:color w:val="auto"/>
          <w:spacing w:val="-1"/>
          <w:sz w:val="21"/>
          <w:szCs w:val="21"/>
          <w:highlight w:val="none"/>
          <w:u w:val="single" w:color="auto"/>
        </w:rPr>
        <w:t>咨询单位根据市场行</w:t>
      </w:r>
      <w:r>
        <w:rPr>
          <w:rFonts w:hint="eastAsia" w:ascii="宋体" w:hAnsi="宋体" w:eastAsia="宋体" w:cs="宋体"/>
          <w:color w:val="auto"/>
          <w:sz w:val="21"/>
          <w:szCs w:val="21"/>
          <w:highlight w:val="none"/>
          <w:u w:val="single" w:color="auto"/>
        </w:rPr>
        <w:t>情协商确定包含除税金以外所有费用的税前综合价格</w:t>
      </w:r>
      <w:r>
        <w:rPr>
          <w:rFonts w:hint="eastAsia" w:ascii="宋体" w:hAnsi="宋体" w:eastAsia="宋体" w:cs="宋体"/>
          <w:color w:val="auto"/>
          <w:sz w:val="21"/>
          <w:szCs w:val="21"/>
          <w:highlight w:val="none"/>
        </w:rPr>
        <w:t>。以上约</w:t>
      </w:r>
      <w:r>
        <w:rPr>
          <w:rFonts w:hint="eastAsia" w:ascii="宋体" w:hAnsi="宋体" w:eastAsia="宋体" w:cs="宋体"/>
          <w:color w:val="auto"/>
          <w:spacing w:val="-1"/>
          <w:sz w:val="21"/>
          <w:szCs w:val="21"/>
          <w:highlight w:val="none"/>
        </w:rPr>
        <w:t>定同时适用于招标工</w:t>
      </w:r>
      <w:r>
        <w:rPr>
          <w:rFonts w:hint="eastAsia" w:ascii="宋体" w:hAnsi="宋体" w:eastAsia="宋体" w:cs="宋体"/>
          <w:color w:val="auto"/>
          <w:sz w:val="21"/>
          <w:szCs w:val="21"/>
          <w:highlight w:val="none"/>
        </w:rPr>
        <w:t xml:space="preserve"> 程量清单缺项以及工程量清单项目特征与图纸不符时的价款确</w:t>
      </w:r>
      <w:r>
        <w:rPr>
          <w:rFonts w:hint="eastAsia" w:ascii="宋体" w:hAnsi="宋体" w:eastAsia="宋体" w:cs="宋体"/>
          <w:color w:val="auto"/>
          <w:spacing w:val="-1"/>
          <w:sz w:val="21"/>
          <w:szCs w:val="21"/>
          <w:highlight w:val="none"/>
        </w:rPr>
        <w:t>定。</w:t>
      </w:r>
      <w:r>
        <w:rPr>
          <w:rFonts w:hint="eastAsia" w:ascii="宋体" w:hAnsi="宋体" w:eastAsia="宋体" w:cs="宋体"/>
          <w:color w:val="auto"/>
          <w:spacing w:val="-1"/>
          <w:sz w:val="21"/>
          <w:szCs w:val="21"/>
          <w:highlight w:val="none"/>
          <w:u w:val="single" w:color="auto"/>
        </w:rPr>
        <w:t>对于政府及国有</w:t>
      </w:r>
      <w:r>
        <w:rPr>
          <w:rFonts w:hint="eastAsia" w:ascii="宋体" w:hAnsi="宋体" w:eastAsia="宋体" w:cs="宋体"/>
          <w:color w:val="auto"/>
          <w:spacing w:val="1"/>
          <w:sz w:val="21"/>
          <w:szCs w:val="21"/>
          <w:highlight w:val="none"/>
          <w:u w:val="single" w:color="auto"/>
        </w:rPr>
        <w:t>资金投资的项目，新增项目的单价必须经发包人审定。</w:t>
      </w:r>
    </w:p>
    <w:p w14:paraId="6DDA9BC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工程变更导致实际完成的变更工程量与已标价</w:t>
      </w:r>
      <w:r>
        <w:rPr>
          <w:rFonts w:hint="eastAsia" w:ascii="宋体" w:hAnsi="宋体" w:eastAsia="宋体" w:cs="宋体"/>
          <w:color w:val="auto"/>
          <w:spacing w:val="-1"/>
          <w:sz w:val="21"/>
          <w:szCs w:val="21"/>
          <w:highlight w:val="none"/>
          <w:u w:val="single" w:color="auto"/>
        </w:rPr>
        <w:t>清单或预算书中列明的该项目工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u w:val="single" w:color="auto"/>
        </w:rPr>
        <w:t>程量有偏差时，其综合单价的确定按专用条款“</w:t>
      </w:r>
      <w:r>
        <w:rPr>
          <w:rFonts w:hint="eastAsia" w:ascii="宋体" w:hAnsi="宋体" w:eastAsia="宋体" w:cs="宋体"/>
          <w:color w:val="auto"/>
          <w:spacing w:val="-86"/>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1.13工程量清单错误的修正</w:t>
      </w:r>
      <w:r>
        <w:rPr>
          <w:rFonts w:hint="eastAsia" w:ascii="宋体" w:hAnsi="宋体" w:eastAsia="宋体" w:cs="宋体"/>
          <w:color w:val="auto"/>
          <w:spacing w:val="-88"/>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”执行</w:t>
      </w:r>
      <w:r>
        <w:rPr>
          <w:rFonts w:hint="eastAsia" w:ascii="宋体" w:hAnsi="宋体" w:eastAsia="宋体" w:cs="宋体"/>
          <w:color w:val="auto"/>
          <w:sz w:val="21"/>
          <w:szCs w:val="21"/>
          <w:highlight w:val="none"/>
          <w:u w:val="single" w:color="auto"/>
        </w:rPr>
        <w:t>。</w:t>
      </w:r>
    </w:p>
    <w:p w14:paraId="6B4D6AD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10.5</w:t>
      </w:r>
      <w:r>
        <w:rPr>
          <w:rFonts w:hint="eastAsia" w:ascii="宋体" w:hAnsi="宋体" w:eastAsia="宋体" w:cs="宋体"/>
          <w:color w:val="auto"/>
          <w:spacing w:val="-4"/>
          <w:sz w:val="21"/>
          <w:szCs w:val="21"/>
          <w:highlight w:val="none"/>
        </w:rPr>
        <w:t xml:space="preserve"> </w:t>
      </w:r>
      <w:r>
        <w:rPr>
          <w:rFonts w:hint="eastAsia" w:ascii="宋体" w:hAnsi="宋体" w:eastAsia="宋体" w:cs="宋体"/>
          <w:b/>
          <w:bCs/>
          <w:color w:val="auto"/>
          <w:spacing w:val="-4"/>
          <w:sz w:val="21"/>
          <w:szCs w:val="21"/>
          <w:highlight w:val="none"/>
        </w:rPr>
        <w:t>承包人的合理化建议</w:t>
      </w:r>
    </w:p>
    <w:p w14:paraId="4CB61F9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color="auto"/>
        </w:rPr>
        <w:t>监理人应在</w:t>
      </w:r>
      <w:r>
        <w:rPr>
          <w:rFonts w:hint="eastAsia" w:ascii="宋体" w:hAnsi="宋体" w:eastAsia="宋体" w:cs="宋体"/>
          <w:color w:val="auto"/>
          <w:spacing w:val="-1"/>
          <w:sz w:val="21"/>
          <w:szCs w:val="21"/>
          <w:highlight w:val="none"/>
          <w:u w:val="single" w:color="auto"/>
        </w:rPr>
        <w:t>收到承包人提交的合理化建</w:t>
      </w:r>
      <w:r>
        <w:rPr>
          <w:rFonts w:hint="eastAsia" w:ascii="宋体" w:hAnsi="宋体" w:eastAsia="宋体" w:cs="宋体"/>
          <w:color w:val="auto"/>
          <w:spacing w:val="-3"/>
          <w:sz w:val="21"/>
          <w:szCs w:val="21"/>
          <w:highlight w:val="none"/>
          <w:u w:val="single" w:color="auto"/>
        </w:rPr>
        <w:t>议后7天内审查完毕并报送发包人，发现其中存在技术上的缺陷，应通知承包人修改</w:t>
      </w:r>
      <w:r>
        <w:rPr>
          <w:rFonts w:hint="eastAsia" w:ascii="宋体" w:hAnsi="宋体" w:eastAsia="宋体" w:cs="宋体"/>
          <w:color w:val="auto"/>
          <w:position w:val="1"/>
          <w:sz w:val="21"/>
          <w:szCs w:val="21"/>
          <w:highlight w:val="none"/>
        </w:rPr>
        <w:t>。</w:t>
      </w:r>
    </w:p>
    <w:p w14:paraId="0340D5E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color="auto"/>
        </w:rPr>
        <w:t>发包</w:t>
      </w:r>
      <w:r>
        <w:rPr>
          <w:rFonts w:hint="eastAsia" w:ascii="宋体" w:hAnsi="宋体" w:eastAsia="宋体" w:cs="宋体"/>
          <w:color w:val="auto"/>
          <w:spacing w:val="-1"/>
          <w:sz w:val="21"/>
          <w:szCs w:val="21"/>
          <w:highlight w:val="none"/>
          <w:u w:val="single" w:color="auto"/>
        </w:rPr>
        <w:t>人应在收到监理人报送的合理化建</w:t>
      </w:r>
      <w:r>
        <w:rPr>
          <w:rFonts w:hint="eastAsia" w:ascii="宋体" w:hAnsi="宋体" w:eastAsia="宋体" w:cs="宋体"/>
          <w:color w:val="auto"/>
          <w:spacing w:val="-2"/>
          <w:sz w:val="21"/>
          <w:szCs w:val="21"/>
          <w:highlight w:val="none"/>
          <w:u w:val="single" w:color="auto"/>
        </w:rPr>
        <w:t>议后15</w:t>
      </w:r>
      <w:r>
        <w:rPr>
          <w:rFonts w:hint="eastAsia" w:ascii="宋体" w:hAnsi="宋体" w:cs="宋体"/>
          <w:color w:val="auto"/>
          <w:spacing w:val="-2"/>
          <w:sz w:val="21"/>
          <w:szCs w:val="21"/>
          <w:highlight w:val="none"/>
          <w:u w:val="single" w:color="auto"/>
          <w:lang w:eastAsia="zh-CN"/>
        </w:rPr>
        <w:t>日内</w:t>
      </w:r>
      <w:r>
        <w:rPr>
          <w:rFonts w:hint="eastAsia" w:ascii="宋体" w:hAnsi="宋体" w:eastAsia="宋体" w:cs="宋体"/>
          <w:color w:val="auto"/>
          <w:spacing w:val="-2"/>
          <w:sz w:val="21"/>
          <w:szCs w:val="21"/>
          <w:highlight w:val="none"/>
          <w:u w:val="single" w:color="auto"/>
        </w:rPr>
        <w:t>审批完毕</w:t>
      </w:r>
      <w:r>
        <w:rPr>
          <w:rFonts w:hint="eastAsia" w:ascii="宋体" w:hAnsi="宋体" w:eastAsia="宋体" w:cs="宋体"/>
          <w:color w:val="auto"/>
          <w:spacing w:val="-2"/>
          <w:sz w:val="21"/>
          <w:szCs w:val="21"/>
          <w:highlight w:val="none"/>
        </w:rPr>
        <w:t>。</w:t>
      </w:r>
    </w:p>
    <w:p w14:paraId="53DB5C7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承包人提出的合理化建议降低了合同价格或者提高了</w:t>
      </w:r>
      <w:r>
        <w:rPr>
          <w:rFonts w:hint="eastAsia" w:ascii="宋体" w:hAnsi="宋体" w:eastAsia="宋体" w:cs="宋体"/>
          <w:color w:val="auto"/>
          <w:spacing w:val="-1"/>
          <w:sz w:val="21"/>
          <w:szCs w:val="21"/>
          <w:highlight w:val="none"/>
        </w:rPr>
        <w:t>工程经济效益的奖励的方</w:t>
      </w:r>
      <w:r>
        <w:rPr>
          <w:rFonts w:hint="eastAsia" w:ascii="宋体" w:hAnsi="宋体" w:eastAsia="宋体" w:cs="宋体"/>
          <w:color w:val="auto"/>
          <w:spacing w:val="-2"/>
          <w:sz w:val="21"/>
          <w:szCs w:val="21"/>
          <w:highlight w:val="none"/>
        </w:rPr>
        <w:t>法和金额为：</w:t>
      </w:r>
      <w:r>
        <w:rPr>
          <w:rFonts w:hint="eastAsia" w:ascii="宋体" w:hAnsi="宋体" w:eastAsia="宋体" w:cs="宋体"/>
          <w:color w:val="auto"/>
          <w:spacing w:val="-2"/>
          <w:sz w:val="21"/>
          <w:szCs w:val="21"/>
          <w:highlight w:val="none"/>
          <w:u w:val="single" w:color="auto"/>
        </w:rPr>
        <w:t>无</w:t>
      </w:r>
      <w:r>
        <w:rPr>
          <w:rFonts w:hint="eastAsia" w:ascii="宋体" w:hAnsi="宋体" w:eastAsia="宋体" w:cs="宋体"/>
          <w:color w:val="auto"/>
          <w:spacing w:val="-2"/>
          <w:sz w:val="21"/>
          <w:szCs w:val="21"/>
          <w:highlight w:val="none"/>
        </w:rPr>
        <w:t>。</w:t>
      </w:r>
    </w:p>
    <w:p w14:paraId="5D72B6C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10.7</w:t>
      </w:r>
      <w:r>
        <w:rPr>
          <w:rFonts w:hint="eastAsia" w:ascii="宋体" w:hAnsi="宋体" w:eastAsia="宋体" w:cs="宋体"/>
          <w:color w:val="auto"/>
          <w:spacing w:val="19"/>
          <w:sz w:val="21"/>
          <w:szCs w:val="21"/>
          <w:highlight w:val="none"/>
        </w:rPr>
        <w:t xml:space="preserve"> </w:t>
      </w:r>
      <w:r>
        <w:rPr>
          <w:rFonts w:hint="eastAsia" w:ascii="宋体" w:hAnsi="宋体" w:eastAsia="宋体" w:cs="宋体"/>
          <w:b/>
          <w:bCs/>
          <w:color w:val="auto"/>
          <w:spacing w:val="-9"/>
          <w:sz w:val="21"/>
          <w:szCs w:val="21"/>
          <w:highlight w:val="none"/>
        </w:rPr>
        <w:t>暂估价</w:t>
      </w:r>
    </w:p>
    <w:p w14:paraId="0B5EEF5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暂估价材料和工程设备的明细详见已标价工程量清单《材料（工程设备）暂估</w:t>
      </w:r>
      <w:r>
        <w:rPr>
          <w:rFonts w:hint="eastAsia" w:ascii="宋体" w:hAnsi="宋体" w:eastAsia="宋体" w:cs="宋体"/>
          <w:color w:val="auto"/>
          <w:sz w:val="21"/>
          <w:szCs w:val="21"/>
          <w:highlight w:val="none"/>
        </w:rPr>
        <w:t>价格及调整表》（表12-2）和《专业工程暂</w:t>
      </w:r>
      <w:r>
        <w:rPr>
          <w:rFonts w:hint="eastAsia" w:ascii="宋体" w:hAnsi="宋体" w:eastAsia="宋体" w:cs="宋体"/>
          <w:color w:val="auto"/>
          <w:spacing w:val="-1"/>
          <w:sz w:val="21"/>
          <w:szCs w:val="21"/>
          <w:highlight w:val="none"/>
        </w:rPr>
        <w:t>估价表》（表12-3）。</w:t>
      </w:r>
    </w:p>
    <w:p w14:paraId="6BD5BAE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10.7.1 依法必须招标的暂估价项目</w:t>
      </w:r>
    </w:p>
    <w:p w14:paraId="0C47B2F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对于依法必须招标的暂估价项目的确认和批准</w:t>
      </w:r>
      <w:r>
        <w:rPr>
          <w:rFonts w:hint="eastAsia" w:ascii="宋体" w:hAnsi="宋体" w:eastAsia="宋体" w:cs="宋体"/>
          <w:color w:val="auto"/>
          <w:spacing w:val="-1"/>
          <w:sz w:val="21"/>
          <w:szCs w:val="21"/>
          <w:highlight w:val="none"/>
        </w:rPr>
        <w:t>采取第</w:t>
      </w:r>
      <w:r>
        <w:rPr>
          <w:rFonts w:hint="eastAsia" w:ascii="宋体" w:hAnsi="宋体" w:eastAsia="宋体" w:cs="宋体"/>
          <w:color w:val="auto"/>
          <w:spacing w:val="-1"/>
          <w:sz w:val="21"/>
          <w:szCs w:val="21"/>
          <w:highlight w:val="none"/>
          <w:u w:val="single" w:color="auto"/>
        </w:rPr>
        <w:t>1</w:t>
      </w:r>
      <w:r>
        <w:rPr>
          <w:rFonts w:hint="eastAsia" w:ascii="宋体" w:hAnsi="宋体" w:eastAsia="宋体" w:cs="宋体"/>
          <w:color w:val="auto"/>
          <w:spacing w:val="-1"/>
          <w:sz w:val="21"/>
          <w:szCs w:val="21"/>
          <w:highlight w:val="none"/>
        </w:rPr>
        <w:t>种方式确定。</w:t>
      </w:r>
    </w:p>
    <w:p w14:paraId="4572F2C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10.7.2 不属于依法必须招标的暂估价项目</w:t>
      </w:r>
    </w:p>
    <w:p w14:paraId="0FEF1BA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对于不属于依法必须招标的暂估价项目的确认和批准</w:t>
      </w:r>
      <w:r>
        <w:rPr>
          <w:rFonts w:hint="eastAsia" w:ascii="宋体" w:hAnsi="宋体" w:eastAsia="宋体" w:cs="宋体"/>
          <w:color w:val="auto"/>
          <w:spacing w:val="-1"/>
          <w:sz w:val="21"/>
          <w:szCs w:val="21"/>
          <w:highlight w:val="none"/>
        </w:rPr>
        <w:t>采取第</w:t>
      </w:r>
      <w:r>
        <w:rPr>
          <w:rFonts w:hint="eastAsia" w:ascii="宋体" w:hAnsi="宋体" w:eastAsia="宋体" w:cs="宋体"/>
          <w:color w:val="auto"/>
          <w:spacing w:val="-1"/>
          <w:sz w:val="21"/>
          <w:szCs w:val="21"/>
          <w:highlight w:val="none"/>
          <w:u w:val="single" w:color="auto"/>
        </w:rPr>
        <w:t>1</w:t>
      </w:r>
      <w:r>
        <w:rPr>
          <w:rFonts w:hint="eastAsia" w:ascii="宋体" w:hAnsi="宋体" w:eastAsia="宋体" w:cs="宋体"/>
          <w:color w:val="auto"/>
          <w:spacing w:val="-1"/>
          <w:sz w:val="21"/>
          <w:szCs w:val="21"/>
          <w:highlight w:val="none"/>
        </w:rPr>
        <w:t>种方式确定。</w:t>
      </w:r>
    </w:p>
    <w:p w14:paraId="6855B7B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第3种方式：承包人直接实施的暂估价项目</w:t>
      </w:r>
      <w:r>
        <w:rPr>
          <w:rFonts w:hint="eastAsia" w:ascii="宋体" w:hAnsi="宋体" w:eastAsia="宋体" w:cs="宋体"/>
          <w:color w:val="auto"/>
          <w:spacing w:val="-3"/>
          <w:sz w:val="21"/>
          <w:szCs w:val="21"/>
          <w:highlight w:val="none"/>
        </w:rPr>
        <w:t>承包人直接实施的暂估价项目的约定：</w:t>
      </w:r>
      <w:r>
        <w:rPr>
          <w:rFonts w:hint="eastAsia" w:ascii="宋体" w:hAnsi="宋体" w:eastAsia="宋体" w:cs="宋体"/>
          <w:color w:val="auto"/>
          <w:spacing w:val="-3"/>
          <w:sz w:val="21"/>
          <w:szCs w:val="21"/>
          <w:highlight w:val="none"/>
          <w:u w:val="single" w:color="auto"/>
        </w:rPr>
        <w:t>无</w:t>
      </w:r>
      <w:r>
        <w:rPr>
          <w:rFonts w:hint="eastAsia" w:ascii="宋体" w:hAnsi="宋体" w:eastAsia="宋体" w:cs="宋体"/>
          <w:color w:val="auto"/>
          <w:spacing w:val="-3"/>
          <w:sz w:val="21"/>
          <w:szCs w:val="21"/>
          <w:highlight w:val="none"/>
        </w:rPr>
        <w:t>。</w:t>
      </w:r>
    </w:p>
    <w:p w14:paraId="0A87567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10.8</w:t>
      </w:r>
      <w:r>
        <w:rPr>
          <w:rFonts w:hint="eastAsia" w:ascii="宋体" w:hAnsi="宋体" w:eastAsia="宋体" w:cs="宋体"/>
          <w:color w:val="auto"/>
          <w:spacing w:val="18"/>
          <w:sz w:val="21"/>
          <w:szCs w:val="21"/>
          <w:highlight w:val="none"/>
        </w:rPr>
        <w:t xml:space="preserve"> </w:t>
      </w:r>
      <w:r>
        <w:rPr>
          <w:rFonts w:hint="eastAsia" w:ascii="宋体" w:hAnsi="宋体" w:eastAsia="宋体" w:cs="宋体"/>
          <w:b/>
          <w:bCs/>
          <w:color w:val="auto"/>
          <w:spacing w:val="-8"/>
          <w:sz w:val="21"/>
          <w:szCs w:val="21"/>
          <w:highlight w:val="none"/>
        </w:rPr>
        <w:t>暂列金额</w:t>
      </w:r>
    </w:p>
    <w:p w14:paraId="725463B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合同当事人关于暂列金额使用的约定：</w:t>
      </w:r>
      <w:r>
        <w:rPr>
          <w:rFonts w:hint="eastAsia" w:ascii="宋体" w:hAnsi="宋体" w:eastAsia="宋体" w:cs="宋体"/>
          <w:color w:val="auto"/>
          <w:spacing w:val="-1"/>
          <w:sz w:val="21"/>
          <w:szCs w:val="21"/>
          <w:highlight w:val="none"/>
          <w:u w:val="single" w:color="auto"/>
        </w:rPr>
        <w:t>无</w:t>
      </w:r>
      <w:r>
        <w:rPr>
          <w:rFonts w:hint="eastAsia" w:ascii="宋体" w:hAnsi="宋体" w:eastAsia="宋体" w:cs="宋体"/>
          <w:color w:val="auto"/>
          <w:spacing w:val="-1"/>
          <w:sz w:val="21"/>
          <w:szCs w:val="21"/>
          <w:highlight w:val="none"/>
        </w:rPr>
        <w:t>。</w:t>
      </w:r>
    </w:p>
    <w:p w14:paraId="3B22A70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2"/>
        <w:rPr>
          <w:rFonts w:hint="eastAsia" w:ascii="宋体" w:hAnsi="宋体" w:eastAsia="宋体" w:cs="宋体"/>
          <w:color w:val="auto"/>
          <w:sz w:val="21"/>
          <w:szCs w:val="21"/>
          <w:highlight w:val="none"/>
        </w:rPr>
      </w:pPr>
      <w:bookmarkStart w:id="478" w:name="_Toc28681"/>
      <w:bookmarkStart w:id="479" w:name="_Toc19409"/>
      <w:r>
        <w:rPr>
          <w:rFonts w:hint="eastAsia" w:ascii="宋体" w:hAnsi="宋体" w:eastAsia="宋体" w:cs="宋体"/>
          <w:b/>
          <w:bCs/>
          <w:color w:val="auto"/>
          <w:spacing w:val="-8"/>
          <w:sz w:val="21"/>
          <w:szCs w:val="21"/>
          <w:highlight w:val="none"/>
        </w:rPr>
        <w:t>11.</w:t>
      </w:r>
      <w:r>
        <w:rPr>
          <w:rFonts w:hint="eastAsia" w:ascii="宋体" w:hAnsi="宋体" w:eastAsia="宋体" w:cs="宋体"/>
          <w:color w:val="auto"/>
          <w:spacing w:val="12"/>
          <w:sz w:val="21"/>
          <w:szCs w:val="21"/>
          <w:highlight w:val="none"/>
        </w:rPr>
        <w:t xml:space="preserve"> </w:t>
      </w:r>
      <w:r>
        <w:rPr>
          <w:rFonts w:hint="eastAsia" w:ascii="宋体" w:hAnsi="宋体" w:eastAsia="宋体" w:cs="宋体"/>
          <w:b/>
          <w:bCs/>
          <w:color w:val="auto"/>
          <w:spacing w:val="-8"/>
          <w:sz w:val="21"/>
          <w:szCs w:val="21"/>
          <w:highlight w:val="none"/>
        </w:rPr>
        <w:t>价格调整</w:t>
      </w:r>
      <w:bookmarkEnd w:id="478"/>
      <w:bookmarkEnd w:id="479"/>
    </w:p>
    <w:p w14:paraId="2F6BCA8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①法律变化引起的调整；</w:t>
      </w:r>
    </w:p>
    <w:p w14:paraId="2E3FF5F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②工程变更、项目特征不符、工程量清单缺项、工程</w:t>
      </w:r>
      <w:r>
        <w:rPr>
          <w:rFonts w:hint="eastAsia" w:ascii="宋体" w:hAnsi="宋体" w:eastAsia="宋体" w:cs="宋体"/>
          <w:color w:val="auto"/>
          <w:spacing w:val="-1"/>
          <w:sz w:val="21"/>
          <w:szCs w:val="21"/>
          <w:highlight w:val="none"/>
        </w:rPr>
        <w:t>量偏差引起的调整；</w:t>
      </w:r>
    </w:p>
    <w:p w14:paraId="4ADF5E4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③计日工引起的调整。</w:t>
      </w:r>
    </w:p>
    <w:p w14:paraId="082392EE">
      <w:pPr>
        <w:pStyle w:val="9"/>
        <w:pageBreakBefore w:val="0"/>
        <w:widowControl w:val="0"/>
        <w:kinsoku/>
        <w:wordWrap/>
        <w:overflowPunct/>
        <w:topLinePunct w:val="0"/>
        <w:bidi w:val="0"/>
        <w:snapToGrid/>
        <w:spacing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p>
    <w:p w14:paraId="3906F3B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11.1</w:t>
      </w:r>
      <w:r>
        <w:rPr>
          <w:rFonts w:hint="eastAsia" w:ascii="宋体" w:hAnsi="宋体" w:eastAsia="宋体" w:cs="宋体"/>
          <w:color w:val="auto"/>
          <w:spacing w:val="-4"/>
          <w:sz w:val="21"/>
          <w:szCs w:val="21"/>
          <w:highlight w:val="none"/>
        </w:rPr>
        <w:t xml:space="preserve"> </w:t>
      </w:r>
      <w:r>
        <w:rPr>
          <w:rFonts w:hint="eastAsia" w:ascii="宋体" w:hAnsi="宋体" w:eastAsia="宋体" w:cs="宋体"/>
          <w:b/>
          <w:bCs/>
          <w:color w:val="auto"/>
          <w:spacing w:val="-4"/>
          <w:sz w:val="21"/>
          <w:szCs w:val="21"/>
          <w:highlight w:val="none"/>
        </w:rPr>
        <w:t>市场价格波动引起的调整</w:t>
      </w:r>
    </w:p>
    <w:p w14:paraId="5D19D20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市场价格波动是否调整合同价格的约定：</w:t>
      </w:r>
      <w:r>
        <w:rPr>
          <w:rFonts w:hint="eastAsia" w:ascii="宋体" w:hAnsi="宋体" w:eastAsia="宋体" w:cs="宋体"/>
          <w:color w:val="auto"/>
          <w:spacing w:val="-1"/>
          <w:sz w:val="21"/>
          <w:szCs w:val="21"/>
          <w:highlight w:val="none"/>
          <w:u w:val="single" w:color="auto"/>
        </w:rPr>
        <w:t>否</w:t>
      </w:r>
      <w:r>
        <w:rPr>
          <w:rFonts w:hint="eastAsia" w:ascii="宋体" w:hAnsi="宋体" w:eastAsia="宋体" w:cs="宋体"/>
          <w:color w:val="auto"/>
          <w:spacing w:val="-1"/>
          <w:sz w:val="21"/>
          <w:szCs w:val="21"/>
          <w:highlight w:val="none"/>
        </w:rPr>
        <w:t>。</w:t>
      </w:r>
    </w:p>
    <w:p w14:paraId="4A11BEC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因市场价格波动调整合同价格，采用以下第</w:t>
      </w:r>
      <w:r>
        <w:rPr>
          <w:rFonts w:hint="eastAsia" w:ascii="宋体" w:hAnsi="宋体" w:eastAsia="宋体" w:cs="宋体"/>
          <w:color w:val="auto"/>
          <w:spacing w:val="-1"/>
          <w:sz w:val="21"/>
          <w:szCs w:val="21"/>
          <w:highlight w:val="none"/>
          <w:u w:val="single" w:color="auto"/>
        </w:rPr>
        <w:t>/</w:t>
      </w:r>
      <w:r>
        <w:rPr>
          <w:rFonts w:hint="eastAsia" w:ascii="宋体" w:hAnsi="宋体" w:eastAsia="宋体" w:cs="宋体"/>
          <w:color w:val="auto"/>
          <w:spacing w:val="-1"/>
          <w:sz w:val="21"/>
          <w:szCs w:val="21"/>
          <w:highlight w:val="none"/>
        </w:rPr>
        <w:t>种方式对合同价格进行调整：</w:t>
      </w:r>
    </w:p>
    <w:p w14:paraId="34E454B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第1种方式：采用价格指数进行价格调整。</w:t>
      </w:r>
    </w:p>
    <w:p w14:paraId="289D4CC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关于各可调因子、定值和变值权重，以及基本价格指数及其来源的约定</w:t>
      </w:r>
      <w:r>
        <w:rPr>
          <w:rFonts w:hint="eastAsia" w:ascii="宋体" w:hAnsi="宋体" w:cs="宋体"/>
          <w:color w:val="auto"/>
          <w:spacing w:val="-1"/>
          <w:sz w:val="21"/>
          <w:szCs w:val="21"/>
          <w:highlight w:val="none"/>
          <w:lang w:eastAsia="zh-CN"/>
        </w:rPr>
        <w:t>：</w:t>
      </w:r>
    </w:p>
    <w:p w14:paraId="34CF85B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第2种方式：采用造价信息进行价格调整。</w:t>
      </w:r>
    </w:p>
    <w:p w14:paraId="0A058AE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（1）允许调整主要材料和工程设备、基期价格、风险系数、投标</w:t>
      </w:r>
      <w:r>
        <w:rPr>
          <w:rFonts w:hint="eastAsia" w:ascii="宋体" w:hAnsi="宋体" w:eastAsia="宋体" w:cs="宋体"/>
          <w:color w:val="auto"/>
          <w:spacing w:val="-4"/>
          <w:sz w:val="21"/>
          <w:szCs w:val="21"/>
          <w:highlight w:val="none"/>
        </w:rPr>
        <w:t>报价详见《允</w:t>
      </w:r>
      <w:r>
        <w:rPr>
          <w:rFonts w:hint="eastAsia" w:ascii="宋体" w:hAnsi="宋体" w:eastAsia="宋体" w:cs="宋体"/>
          <w:color w:val="auto"/>
          <w:sz w:val="21"/>
          <w:szCs w:val="21"/>
          <w:highlight w:val="none"/>
        </w:rPr>
        <w:t xml:space="preserve"> 许调整主要材料和工程设备一览表》（表-22）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价差调</w:t>
      </w:r>
      <w:r>
        <w:rPr>
          <w:rFonts w:hint="eastAsia" w:ascii="宋体" w:hAnsi="宋体" w:eastAsia="宋体" w:cs="宋体"/>
          <w:color w:val="auto"/>
          <w:spacing w:val="-1"/>
          <w:sz w:val="21"/>
          <w:szCs w:val="21"/>
          <w:highlight w:val="none"/>
        </w:rPr>
        <w:t>整部分仅计算税金，除此表列明的材料、设备外，其余材料设备价差原则上不予调整。</w:t>
      </w:r>
    </w:p>
    <w:p w14:paraId="7FD855B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（2）主要材料和工程设备确认价：</w:t>
      </w:r>
    </w:p>
    <w:p w14:paraId="2C6FC6D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按施工期间《市建设工程造价信息》材料信息价</w:t>
      </w:r>
      <w:r>
        <w:rPr>
          <w:rFonts w:hint="eastAsia" w:ascii="宋体" w:hAnsi="宋体" w:eastAsia="宋体" w:cs="宋体"/>
          <w:color w:val="auto"/>
          <w:spacing w:val="-1"/>
          <w:sz w:val="21"/>
          <w:szCs w:val="21"/>
          <w:highlight w:val="none"/>
        </w:rPr>
        <w:t>的加权平均价计算，信息价没</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有的按通用条款规定确定。</w:t>
      </w:r>
    </w:p>
    <w:p w14:paraId="4BCA032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（3）价差计算方法：</w:t>
      </w:r>
    </w:p>
    <w:p w14:paraId="15518C0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①《允许调整主要材料和工程设备一览表》中载明的材</w:t>
      </w:r>
      <w:r>
        <w:rPr>
          <w:rFonts w:hint="eastAsia" w:ascii="宋体" w:hAnsi="宋体" w:eastAsia="宋体" w:cs="宋体"/>
          <w:color w:val="auto"/>
          <w:spacing w:val="-1"/>
          <w:sz w:val="21"/>
          <w:szCs w:val="21"/>
          <w:highlight w:val="none"/>
        </w:rPr>
        <w:t>料和设备投标报价低于</w:t>
      </w:r>
      <w:r>
        <w:rPr>
          <w:rFonts w:hint="eastAsia" w:ascii="宋体" w:hAnsi="宋体" w:eastAsia="宋体" w:cs="宋体"/>
          <w:color w:val="auto"/>
          <w:sz w:val="21"/>
          <w:szCs w:val="21"/>
          <w:highlight w:val="none"/>
        </w:rPr>
        <w:t>基准价格的：合同履行期间材料和设备单价涨幅以基准价</w:t>
      </w:r>
      <w:r>
        <w:rPr>
          <w:rFonts w:hint="eastAsia" w:ascii="宋体" w:hAnsi="宋体" w:eastAsia="宋体" w:cs="宋体"/>
          <w:color w:val="auto"/>
          <w:spacing w:val="-1"/>
          <w:sz w:val="21"/>
          <w:szCs w:val="21"/>
          <w:highlight w:val="none"/>
        </w:rPr>
        <w:t>格为基础超过约定的风险</w:t>
      </w:r>
      <w:r>
        <w:rPr>
          <w:rFonts w:hint="eastAsia" w:ascii="宋体" w:hAnsi="宋体" w:eastAsia="宋体" w:cs="宋体"/>
          <w:color w:val="auto"/>
          <w:sz w:val="21"/>
          <w:szCs w:val="21"/>
          <w:highlight w:val="none"/>
        </w:rPr>
        <w:t>范围时，或材料和设备单价跌幅以投标报价为基础超过约</w:t>
      </w:r>
      <w:r>
        <w:rPr>
          <w:rFonts w:hint="eastAsia" w:ascii="宋体" w:hAnsi="宋体" w:eastAsia="宋体" w:cs="宋体"/>
          <w:color w:val="auto"/>
          <w:spacing w:val="-1"/>
          <w:sz w:val="21"/>
          <w:szCs w:val="21"/>
          <w:highlight w:val="none"/>
        </w:rPr>
        <w:t>定的风险范围时，对其超</w:t>
      </w:r>
      <w:r>
        <w:rPr>
          <w:rFonts w:hint="eastAsia" w:ascii="宋体" w:hAnsi="宋体" w:cs="宋体"/>
          <w:color w:val="auto"/>
          <w:spacing w:val="-1"/>
          <w:sz w:val="21"/>
          <w:szCs w:val="21"/>
          <w:highlight w:val="none"/>
          <w:lang w:eastAsia="zh-CN"/>
        </w:rPr>
        <w:t>过的</w:t>
      </w:r>
      <w:r>
        <w:rPr>
          <w:rFonts w:hint="eastAsia" w:ascii="宋体" w:hAnsi="宋体" w:eastAsia="宋体" w:cs="宋体"/>
          <w:color w:val="auto"/>
          <w:spacing w:val="-3"/>
          <w:sz w:val="21"/>
          <w:szCs w:val="21"/>
          <w:highlight w:val="none"/>
        </w:rPr>
        <w:t>部分进行价差调整，价差计算公式：价格上涨价差=确认价-基准价*（1+风险系数</w:t>
      </w:r>
      <w:r>
        <w:rPr>
          <w:rFonts w:hint="eastAsia" w:ascii="宋体" w:hAnsi="宋体" w:eastAsia="宋体" w:cs="宋体"/>
          <w:color w:val="auto"/>
          <w:spacing w:val="13"/>
          <w:sz w:val="21"/>
          <w:szCs w:val="21"/>
          <w:highlight w:val="none"/>
        </w:rPr>
        <w:t xml:space="preserve"> </w:t>
      </w:r>
      <w:r>
        <w:rPr>
          <w:rFonts w:hint="eastAsia" w:ascii="宋体" w:hAnsi="宋体" w:cs="宋体"/>
          <w:color w:val="auto"/>
          <w:spacing w:val="13"/>
          <w:sz w:val="21"/>
          <w:szCs w:val="21"/>
          <w:highlight w:val="none"/>
          <w:lang w:eastAsia="zh-CN"/>
        </w:rPr>
        <w:t>），</w:t>
      </w:r>
      <w:r>
        <w:rPr>
          <w:rFonts w:hint="eastAsia" w:ascii="宋体" w:hAnsi="宋体" w:eastAsia="宋体" w:cs="宋体"/>
          <w:color w:val="auto"/>
          <w:spacing w:val="-4"/>
          <w:sz w:val="21"/>
          <w:szCs w:val="21"/>
          <w:highlight w:val="none"/>
        </w:rPr>
        <w:t>价格下跌价差=确认价-投标报价*（1</w:t>
      </w:r>
      <w:r>
        <w:rPr>
          <w:rFonts w:hint="eastAsia" w:ascii="宋体" w:hAnsi="宋体" w:eastAsia="宋体" w:cs="宋体"/>
          <w:color w:val="auto"/>
          <w:spacing w:val="-5"/>
          <w:sz w:val="21"/>
          <w:szCs w:val="21"/>
          <w:highlight w:val="none"/>
        </w:rPr>
        <w:t>+风险系数）。</w:t>
      </w:r>
    </w:p>
    <w:p w14:paraId="264AB40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②承包人在《允许调整主要材料和工程设备一览表》中载</w:t>
      </w:r>
      <w:r>
        <w:rPr>
          <w:rFonts w:hint="eastAsia" w:ascii="宋体" w:hAnsi="宋体" w:eastAsia="宋体" w:cs="宋体"/>
          <w:color w:val="auto"/>
          <w:spacing w:val="-1"/>
          <w:sz w:val="21"/>
          <w:szCs w:val="21"/>
          <w:highlight w:val="none"/>
        </w:rPr>
        <w:t>明的材料和设备投标</w:t>
      </w:r>
      <w:r>
        <w:rPr>
          <w:rFonts w:hint="eastAsia" w:ascii="宋体" w:hAnsi="宋体" w:eastAsia="宋体" w:cs="宋体"/>
          <w:color w:val="auto"/>
          <w:sz w:val="21"/>
          <w:szCs w:val="21"/>
          <w:highlight w:val="none"/>
        </w:rPr>
        <w:t>报价高于基准价格的：合同履行期间材料和设备单价跌幅以基</w:t>
      </w:r>
      <w:r>
        <w:rPr>
          <w:rFonts w:hint="eastAsia" w:ascii="宋体" w:hAnsi="宋体" w:eastAsia="宋体" w:cs="宋体"/>
          <w:color w:val="auto"/>
          <w:spacing w:val="-1"/>
          <w:sz w:val="21"/>
          <w:szCs w:val="21"/>
          <w:highlight w:val="none"/>
        </w:rPr>
        <w:t>准价格为基础超过约</w:t>
      </w:r>
      <w:r>
        <w:rPr>
          <w:rFonts w:hint="eastAsia" w:ascii="宋体" w:hAnsi="宋体" w:eastAsia="宋体" w:cs="宋体"/>
          <w:color w:val="auto"/>
          <w:sz w:val="21"/>
          <w:szCs w:val="21"/>
          <w:highlight w:val="none"/>
        </w:rPr>
        <w:t xml:space="preserve"> 定的风险范围时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或材料和设备单价涨幅以投标报价为基础超</w:t>
      </w:r>
      <w:r>
        <w:rPr>
          <w:rFonts w:hint="eastAsia" w:ascii="宋体" w:hAnsi="宋体" w:eastAsia="宋体" w:cs="宋体"/>
          <w:color w:val="auto"/>
          <w:spacing w:val="-1"/>
          <w:sz w:val="21"/>
          <w:szCs w:val="21"/>
          <w:highlight w:val="none"/>
        </w:rPr>
        <w:t>过约定的风险范围时</w:t>
      </w:r>
      <w:r>
        <w:rPr>
          <w:rFonts w:hint="eastAsia" w:ascii="宋体" w:hAnsi="宋体" w:cs="宋体"/>
          <w:color w:val="auto"/>
          <w:spacing w:val="-1"/>
          <w:sz w:val="21"/>
          <w:szCs w:val="21"/>
          <w:highlight w:val="none"/>
          <w:lang w:eastAsia="zh-CN"/>
        </w:rPr>
        <w:t>，</w:t>
      </w:r>
      <w:r>
        <w:rPr>
          <w:rFonts w:hint="eastAsia" w:ascii="宋体" w:hAnsi="宋体" w:eastAsia="宋体" w:cs="宋体"/>
          <w:color w:val="auto"/>
          <w:spacing w:val="-2"/>
          <w:sz w:val="21"/>
          <w:szCs w:val="21"/>
          <w:highlight w:val="none"/>
        </w:rPr>
        <w:t>对其超过部分进行价差调整。价差计算公式：价格上涨价差=确认价-投标报价*</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（1+风险系数</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1"/>
          <w:sz w:val="21"/>
          <w:szCs w:val="21"/>
          <w:highlight w:val="none"/>
        </w:rPr>
        <w:t>价格下跌价差=确认价-基准价*（1+风险系数。）</w:t>
      </w:r>
    </w:p>
    <w:p w14:paraId="0F78EE4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③承包人在《允许调整主要材料和工程设备一览表》中载</w:t>
      </w:r>
      <w:r>
        <w:rPr>
          <w:rFonts w:hint="eastAsia" w:ascii="宋体" w:hAnsi="宋体" w:eastAsia="宋体" w:cs="宋体"/>
          <w:color w:val="auto"/>
          <w:spacing w:val="-1"/>
          <w:sz w:val="21"/>
          <w:szCs w:val="21"/>
          <w:highlight w:val="none"/>
        </w:rPr>
        <w:t>明的材料和设备单价</w:t>
      </w:r>
      <w:r>
        <w:rPr>
          <w:rFonts w:hint="eastAsia" w:ascii="宋体" w:hAnsi="宋体" w:eastAsia="宋体" w:cs="宋体"/>
          <w:color w:val="auto"/>
          <w:sz w:val="21"/>
          <w:szCs w:val="21"/>
          <w:highlight w:val="none"/>
        </w:rPr>
        <w:t>等于基准单价的：合同履行期间材料和设备单价涨跌幅</w:t>
      </w:r>
      <w:r>
        <w:rPr>
          <w:rFonts w:hint="eastAsia" w:ascii="宋体" w:hAnsi="宋体" w:eastAsia="宋体" w:cs="宋体"/>
          <w:color w:val="auto"/>
          <w:spacing w:val="-1"/>
          <w:sz w:val="21"/>
          <w:szCs w:val="21"/>
          <w:highlight w:val="none"/>
        </w:rPr>
        <w:t>以基准单价为基础超过约定</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的风险范围时，对其超过部分进行价差调整。价差计算公式：上涨或下跌价差=确认</w:t>
      </w:r>
      <w:r>
        <w:rPr>
          <w:rFonts w:hint="eastAsia" w:ascii="宋体" w:hAnsi="宋体" w:eastAsia="宋体" w:cs="宋体"/>
          <w:color w:val="auto"/>
          <w:spacing w:val="-1"/>
          <w:sz w:val="21"/>
          <w:szCs w:val="21"/>
          <w:highlight w:val="none"/>
        </w:rPr>
        <w:t>价-基准单价*（1+风险系数</w:t>
      </w:r>
      <w:r>
        <w:rPr>
          <w:rFonts w:hint="eastAsia" w:ascii="宋体" w:hAnsi="宋体" w:eastAsia="宋体" w:cs="宋体"/>
          <w:color w:val="auto"/>
          <w:spacing w:val="1"/>
          <w:sz w:val="21"/>
          <w:szCs w:val="21"/>
          <w:highlight w:val="none"/>
        </w:rPr>
        <w:t>））</w:t>
      </w:r>
    </w:p>
    <w:p w14:paraId="5DAC3D8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第3种方式：</w:t>
      </w:r>
      <w:r>
        <w:rPr>
          <w:rFonts w:hint="eastAsia" w:ascii="宋体" w:hAnsi="宋体" w:eastAsia="宋体" w:cs="宋体"/>
          <w:color w:val="auto"/>
          <w:spacing w:val="-1"/>
          <w:sz w:val="21"/>
          <w:szCs w:val="21"/>
          <w:highlight w:val="none"/>
          <w:u w:val="single" w:color="auto"/>
        </w:rPr>
        <w:t>除有政策性文件要求调整的材料外，其余材料设备一律</w:t>
      </w:r>
      <w:r>
        <w:rPr>
          <w:rFonts w:hint="eastAsia" w:ascii="宋体" w:hAnsi="宋体" w:cs="宋体"/>
          <w:color w:val="auto"/>
          <w:spacing w:val="-1"/>
          <w:sz w:val="21"/>
          <w:szCs w:val="21"/>
          <w:highlight w:val="none"/>
          <w:u w:val="single" w:color="auto"/>
          <w:lang w:eastAsia="zh-CN"/>
        </w:rPr>
        <w:t>不予</w:t>
      </w:r>
      <w:r>
        <w:rPr>
          <w:rFonts w:hint="eastAsia" w:ascii="宋体" w:hAnsi="宋体" w:eastAsia="宋体" w:cs="宋体"/>
          <w:color w:val="auto"/>
          <w:spacing w:val="-1"/>
          <w:sz w:val="21"/>
          <w:szCs w:val="21"/>
          <w:highlight w:val="none"/>
          <w:u w:val="single" w:color="auto"/>
        </w:rPr>
        <w:t>调整</w:t>
      </w:r>
      <w:r>
        <w:rPr>
          <w:rFonts w:hint="eastAsia" w:ascii="宋体" w:hAnsi="宋体" w:eastAsia="宋体" w:cs="宋体"/>
          <w:color w:val="auto"/>
          <w:position w:val="1"/>
          <w:sz w:val="21"/>
          <w:szCs w:val="21"/>
          <w:highlight w:val="none"/>
        </w:rPr>
        <w:t>。</w:t>
      </w:r>
    </w:p>
    <w:p w14:paraId="207651FC">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0"/>
        <w:rPr>
          <w:rFonts w:hint="eastAsia" w:ascii="宋体" w:hAnsi="宋体" w:eastAsia="宋体" w:cs="宋体"/>
          <w:b w:val="0"/>
          <w:color w:val="auto"/>
          <w:sz w:val="21"/>
          <w:szCs w:val="21"/>
          <w:highlight w:val="none"/>
        </w:rPr>
      </w:pPr>
      <w:bookmarkStart w:id="480" w:name="_Toc28692"/>
      <w:bookmarkStart w:id="481" w:name="_Toc6285"/>
      <w:r>
        <w:rPr>
          <w:rFonts w:hint="eastAsia" w:ascii="宋体" w:hAnsi="宋体" w:eastAsia="宋体" w:cs="宋体"/>
          <w:b w:val="0"/>
          <w:bCs/>
          <w:color w:val="auto"/>
          <w:spacing w:val="-4"/>
          <w:sz w:val="21"/>
          <w:szCs w:val="21"/>
          <w:highlight w:val="none"/>
        </w:rPr>
        <w:t>12.</w:t>
      </w:r>
      <w:r>
        <w:rPr>
          <w:rFonts w:hint="eastAsia" w:ascii="宋体" w:hAnsi="宋体" w:eastAsia="宋体" w:cs="宋体"/>
          <w:b w:val="0"/>
          <w:color w:val="auto"/>
          <w:spacing w:val="-4"/>
          <w:sz w:val="21"/>
          <w:szCs w:val="21"/>
          <w:highlight w:val="none"/>
        </w:rPr>
        <w:t xml:space="preserve"> </w:t>
      </w:r>
      <w:r>
        <w:rPr>
          <w:rFonts w:hint="eastAsia" w:ascii="宋体" w:hAnsi="宋体" w:eastAsia="宋体" w:cs="宋体"/>
          <w:b w:val="0"/>
          <w:bCs/>
          <w:color w:val="auto"/>
          <w:spacing w:val="-4"/>
          <w:sz w:val="21"/>
          <w:szCs w:val="21"/>
          <w:highlight w:val="none"/>
        </w:rPr>
        <w:t>合同价格、计量与支付</w:t>
      </w:r>
      <w:bookmarkEnd w:id="480"/>
      <w:bookmarkEnd w:id="481"/>
    </w:p>
    <w:p w14:paraId="3CC15AE3">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482" w:name="_Toc9886"/>
      <w:bookmarkStart w:id="483" w:name="_Toc23488"/>
      <w:r>
        <w:rPr>
          <w:rFonts w:hint="eastAsia" w:ascii="宋体" w:hAnsi="宋体" w:eastAsia="宋体" w:cs="宋体"/>
          <w:b w:val="0"/>
          <w:bCs/>
          <w:color w:val="auto"/>
          <w:spacing w:val="-5"/>
          <w:sz w:val="21"/>
          <w:szCs w:val="21"/>
          <w:highlight w:val="none"/>
        </w:rPr>
        <w:t>12.1</w:t>
      </w:r>
      <w:r>
        <w:rPr>
          <w:rFonts w:hint="eastAsia" w:ascii="宋体" w:hAnsi="宋体" w:eastAsia="宋体" w:cs="宋体"/>
          <w:b w:val="0"/>
          <w:color w:val="auto"/>
          <w:spacing w:val="-5"/>
          <w:sz w:val="21"/>
          <w:szCs w:val="21"/>
          <w:highlight w:val="none"/>
        </w:rPr>
        <w:t xml:space="preserve"> </w:t>
      </w:r>
      <w:r>
        <w:rPr>
          <w:rFonts w:hint="eastAsia" w:ascii="宋体" w:hAnsi="宋体" w:eastAsia="宋体" w:cs="宋体"/>
          <w:b w:val="0"/>
          <w:bCs/>
          <w:color w:val="auto"/>
          <w:spacing w:val="-5"/>
          <w:sz w:val="21"/>
          <w:szCs w:val="21"/>
          <w:highlight w:val="none"/>
        </w:rPr>
        <w:t>合同价格形式</w:t>
      </w:r>
      <w:bookmarkEnd w:id="482"/>
      <w:bookmarkEnd w:id="483"/>
    </w:p>
    <w:p w14:paraId="4AFE49E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本工程采用</w:t>
      </w:r>
      <w:r>
        <w:rPr>
          <w:rFonts w:hint="eastAsia" w:ascii="宋体" w:hAnsi="宋体" w:eastAsia="宋体" w:cs="宋体"/>
          <w:color w:val="auto"/>
          <w:spacing w:val="-3"/>
          <w:sz w:val="21"/>
          <w:szCs w:val="21"/>
          <w:highlight w:val="none"/>
          <w:u w:val="single" w:color="auto"/>
        </w:rPr>
        <w:t>（1）</w:t>
      </w:r>
      <w:r>
        <w:rPr>
          <w:rFonts w:hint="eastAsia" w:ascii="宋体" w:hAnsi="宋体" w:eastAsia="宋体" w:cs="宋体"/>
          <w:color w:val="auto"/>
          <w:spacing w:val="-3"/>
          <w:sz w:val="21"/>
          <w:szCs w:val="21"/>
          <w:highlight w:val="none"/>
        </w:rPr>
        <w:t>合同价格形式，合同价格包含增值税，本工程计价时采用的增</w:t>
      </w:r>
      <w:r>
        <w:rPr>
          <w:rFonts w:hint="eastAsia" w:ascii="宋体" w:hAnsi="宋体" w:eastAsia="宋体" w:cs="宋体"/>
          <w:color w:val="auto"/>
          <w:spacing w:val="-1"/>
          <w:sz w:val="21"/>
          <w:szCs w:val="21"/>
          <w:highlight w:val="none"/>
        </w:rPr>
        <w:t>值税计税方法为：☑一般计税法□简易计税法。</w:t>
      </w:r>
    </w:p>
    <w:p w14:paraId="2364CD7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（1）单价合同。</w:t>
      </w:r>
    </w:p>
    <w:p w14:paraId="2C92EF5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采用综合单价合同方式时，工程量按建设单位、监理单</w:t>
      </w:r>
      <w:r>
        <w:rPr>
          <w:rFonts w:hint="eastAsia" w:ascii="宋体" w:hAnsi="宋体" w:eastAsia="宋体" w:cs="宋体"/>
          <w:color w:val="auto"/>
          <w:spacing w:val="-1"/>
          <w:sz w:val="21"/>
          <w:szCs w:val="21"/>
          <w:highlight w:val="none"/>
        </w:rPr>
        <w:t>位、施工单位三方确认</w:t>
      </w:r>
      <w:r>
        <w:rPr>
          <w:rFonts w:hint="eastAsia" w:ascii="宋体" w:hAnsi="宋体" w:eastAsia="宋体" w:cs="宋体"/>
          <w:color w:val="auto"/>
          <w:sz w:val="21"/>
          <w:szCs w:val="21"/>
          <w:highlight w:val="none"/>
        </w:rPr>
        <w:t>的与实际相符的竣工图结算。如发现竣工图</w:t>
      </w:r>
      <w:r>
        <w:rPr>
          <w:rFonts w:hint="eastAsia" w:ascii="宋体" w:hAnsi="宋体" w:eastAsia="宋体" w:cs="宋体"/>
          <w:color w:val="auto"/>
          <w:spacing w:val="-1"/>
          <w:sz w:val="21"/>
          <w:szCs w:val="21"/>
          <w:highlight w:val="none"/>
        </w:rPr>
        <w:t>与实际不符，按不利于施工单位的原则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结算。</w:t>
      </w:r>
    </w:p>
    <w:p w14:paraId="3A378A6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综合单价包含的风险范围：</w:t>
      </w:r>
      <w:r>
        <w:rPr>
          <w:rFonts w:hint="eastAsia" w:ascii="宋体" w:hAnsi="宋体" w:eastAsia="宋体" w:cs="宋体"/>
          <w:color w:val="auto"/>
          <w:sz w:val="21"/>
          <w:szCs w:val="21"/>
          <w:highlight w:val="none"/>
          <w:u w:val="single" w:color="auto"/>
        </w:rPr>
        <w:t>除工程变更、项目</w:t>
      </w:r>
      <w:r>
        <w:rPr>
          <w:rFonts w:hint="eastAsia" w:ascii="宋体" w:hAnsi="宋体" w:eastAsia="宋体" w:cs="宋体"/>
          <w:color w:val="auto"/>
          <w:spacing w:val="-1"/>
          <w:sz w:val="21"/>
          <w:szCs w:val="21"/>
          <w:highlight w:val="none"/>
          <w:u w:val="single" w:color="auto"/>
        </w:rPr>
        <w:t>特征不符、工程量清单缺项、工</w:t>
      </w:r>
      <w:r>
        <w:rPr>
          <w:rFonts w:hint="eastAsia" w:ascii="宋体" w:hAnsi="宋体" w:eastAsia="宋体" w:cs="宋体"/>
          <w:color w:val="auto"/>
          <w:spacing w:val="1"/>
          <w:sz w:val="21"/>
          <w:szCs w:val="21"/>
          <w:highlight w:val="none"/>
          <w:u w:val="single" w:color="auto"/>
        </w:rPr>
        <w:t>程量偏差、政策性调整约定的材料和设备价格变动风</w:t>
      </w:r>
      <w:r>
        <w:rPr>
          <w:rFonts w:hint="eastAsia" w:ascii="宋体" w:hAnsi="宋体" w:eastAsia="宋体" w:cs="宋体"/>
          <w:color w:val="auto"/>
          <w:sz w:val="21"/>
          <w:szCs w:val="21"/>
          <w:highlight w:val="none"/>
          <w:u w:val="single" w:color="auto"/>
        </w:rPr>
        <w:t>险以外的其他风险因素。</w:t>
      </w:r>
    </w:p>
    <w:p w14:paraId="4597ADE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风险费用的计算方法：单价采用固定综合单价，风险费用已综合考</w:t>
      </w:r>
      <w:r>
        <w:rPr>
          <w:rFonts w:hint="eastAsia" w:ascii="宋体" w:hAnsi="宋体" w:eastAsia="宋体" w:cs="宋体"/>
          <w:b/>
          <w:bCs/>
          <w:color w:val="auto"/>
          <w:spacing w:val="-3"/>
          <w:sz w:val="21"/>
          <w:szCs w:val="21"/>
          <w:highlight w:val="none"/>
        </w:rPr>
        <w:t>虑在单价中</w:t>
      </w:r>
      <w:r>
        <w:rPr>
          <w:rFonts w:hint="eastAsia" w:ascii="宋体" w:hAnsi="宋体" w:eastAsia="宋体" w:cs="宋体"/>
          <w:b/>
          <w:bCs/>
          <w:color w:val="auto"/>
          <w:spacing w:val="-3"/>
          <w:position w:val="1"/>
          <w:sz w:val="21"/>
          <w:szCs w:val="21"/>
          <w:highlight w:val="none"/>
        </w:rPr>
        <w:t>。</w:t>
      </w:r>
    </w:p>
    <w:p w14:paraId="3A1046B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风险范围以外合同价格的调整方法：</w:t>
      </w:r>
    </w:p>
    <w:p w14:paraId="2118368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①</w:t>
      </w:r>
      <w:r>
        <w:rPr>
          <w:rFonts w:hint="eastAsia" w:ascii="宋体" w:hAnsi="宋体" w:eastAsia="宋体" w:cs="宋体"/>
          <w:b/>
          <w:bCs/>
          <w:color w:val="auto"/>
          <w:spacing w:val="-2"/>
          <w:sz w:val="21"/>
          <w:szCs w:val="21"/>
          <w:highlight w:val="none"/>
        </w:rPr>
        <w:t>本合同实施期间因工程变更、项目特征不符、工程量清单缺项引起工程项目</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、工程量变化的，其工程量按实际发生并监理工程师及发包人确认，变更合同</w:t>
      </w:r>
      <w:r>
        <w:rPr>
          <w:rFonts w:hint="eastAsia" w:ascii="宋体" w:hAnsi="宋体" w:eastAsia="宋体" w:cs="宋体"/>
          <w:b/>
          <w:bCs/>
          <w:color w:val="auto"/>
          <w:spacing w:val="-3"/>
          <w:sz w:val="21"/>
          <w:szCs w:val="21"/>
          <w:highlight w:val="none"/>
        </w:rPr>
        <w:t>价款</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按下列方法进行：工程量清单中有相同细目的按投标人投标时的中标单</w:t>
      </w:r>
      <w:r>
        <w:rPr>
          <w:rFonts w:hint="eastAsia" w:ascii="宋体" w:hAnsi="宋体" w:eastAsia="宋体" w:cs="宋体"/>
          <w:b/>
          <w:bCs/>
          <w:color w:val="auto"/>
          <w:spacing w:val="-3"/>
          <w:sz w:val="21"/>
          <w:szCs w:val="21"/>
          <w:highlight w:val="none"/>
        </w:rPr>
        <w:t>价进行结算</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w:t>
      </w:r>
      <w:r>
        <w:rPr>
          <w:rFonts w:hint="eastAsia" w:ascii="宋体" w:hAnsi="宋体" w:eastAsia="宋体" w:cs="宋体"/>
          <w:b/>
          <w:bCs/>
          <w:color w:val="auto"/>
          <w:spacing w:val="-4"/>
          <w:sz w:val="21"/>
          <w:szCs w:val="21"/>
          <w:highlight w:val="none"/>
        </w:rPr>
        <w:t>工程量清单中有类似细目的参考类似中标单价结算；工程量清单中没有适用或类</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似于变更工程的价格，则有定额的套定额计算，执行本采购文件工程计</w:t>
      </w:r>
      <w:r>
        <w:rPr>
          <w:rFonts w:hint="eastAsia" w:ascii="宋体" w:hAnsi="宋体" w:eastAsia="宋体" w:cs="宋体"/>
          <w:b/>
          <w:bCs/>
          <w:color w:val="auto"/>
          <w:spacing w:val="-3"/>
          <w:sz w:val="21"/>
          <w:szCs w:val="21"/>
          <w:highlight w:val="none"/>
        </w:rPr>
        <w:t>价参考</w:t>
      </w:r>
      <w:r>
        <w:rPr>
          <w:rFonts w:hint="eastAsia" w:ascii="宋体" w:hAnsi="宋体" w:eastAsia="宋体" w:cs="宋体"/>
          <w:b/>
          <w:bCs/>
          <w:color w:val="auto"/>
          <w:spacing w:val="-3"/>
          <w:sz w:val="21"/>
          <w:szCs w:val="21"/>
          <w:highlight w:val="none"/>
          <w:lang w:val="en-US" w:eastAsia="zh-CN"/>
        </w:rPr>
        <w:t>依据</w:t>
      </w:r>
      <w:r>
        <w:rPr>
          <w:rFonts w:hint="eastAsia" w:ascii="宋体" w:hAnsi="宋体" w:cs="宋体"/>
          <w:b/>
          <w:bCs/>
          <w:color w:val="auto"/>
          <w:spacing w:val="-3"/>
          <w:sz w:val="21"/>
          <w:szCs w:val="21"/>
          <w:highlight w:val="none"/>
          <w:lang w:val="en-US" w:eastAsia="zh-CN"/>
        </w:rPr>
        <w:t>，</w:t>
      </w:r>
      <w:r>
        <w:rPr>
          <w:rFonts w:hint="eastAsia" w:ascii="宋体" w:hAnsi="宋体" w:eastAsia="宋体" w:cs="宋体"/>
          <w:b/>
          <w:bCs/>
          <w:color w:val="auto"/>
          <w:spacing w:val="-4"/>
          <w:sz w:val="21"/>
          <w:szCs w:val="21"/>
          <w:highlight w:val="none"/>
        </w:rPr>
        <w:t>并乘以下浮系数（中标价/经审定的工程招标控制价）结算，其中材料价格有信</w:t>
      </w:r>
      <w:r>
        <w:rPr>
          <w:rFonts w:hint="eastAsia" w:ascii="宋体" w:hAnsi="宋体" w:eastAsia="宋体" w:cs="宋体"/>
          <w:b/>
          <w:bCs/>
          <w:color w:val="auto"/>
          <w:spacing w:val="-2"/>
          <w:sz w:val="21"/>
          <w:szCs w:val="21"/>
          <w:highlight w:val="none"/>
        </w:rPr>
        <w:t>息价的按施工期间信息价的</w:t>
      </w:r>
      <w:r>
        <w:rPr>
          <w:rFonts w:hint="eastAsia" w:ascii="宋体" w:hAnsi="宋体" w:cs="宋体"/>
          <w:b/>
          <w:bCs/>
          <w:color w:val="auto"/>
          <w:spacing w:val="-2"/>
          <w:sz w:val="21"/>
          <w:szCs w:val="21"/>
          <w:highlight w:val="none"/>
          <w:lang w:eastAsia="zh-CN"/>
        </w:rPr>
        <w:t>算术平均</w:t>
      </w:r>
      <w:r>
        <w:rPr>
          <w:rFonts w:hint="eastAsia" w:ascii="宋体" w:hAnsi="宋体" w:eastAsia="宋体" w:cs="宋体"/>
          <w:b/>
          <w:bCs/>
          <w:color w:val="auto"/>
          <w:spacing w:val="-2"/>
          <w:sz w:val="21"/>
          <w:szCs w:val="21"/>
          <w:highlight w:val="none"/>
        </w:rPr>
        <w:t>价计取，无信息价的由发包人、监理单位</w:t>
      </w:r>
      <w:r>
        <w:rPr>
          <w:rFonts w:hint="eastAsia" w:ascii="宋体" w:hAnsi="宋体" w:eastAsia="宋体" w:cs="宋体"/>
          <w:b/>
          <w:bCs/>
          <w:color w:val="auto"/>
          <w:spacing w:val="-3"/>
          <w:sz w:val="21"/>
          <w:szCs w:val="21"/>
          <w:highlight w:val="none"/>
        </w:rPr>
        <w:t>及承</w:t>
      </w:r>
      <w:r>
        <w:rPr>
          <w:rFonts w:hint="eastAsia" w:ascii="宋体" w:hAnsi="宋体" w:eastAsia="宋体" w:cs="宋体"/>
          <w:b/>
          <w:bCs/>
          <w:color w:val="auto"/>
          <w:spacing w:val="-2"/>
          <w:sz w:val="21"/>
          <w:szCs w:val="21"/>
          <w:highlight w:val="none"/>
        </w:rPr>
        <w:t>包人根据市场价格协商议定；新增项目无定额可套的，由发包人、监理</w:t>
      </w:r>
      <w:r>
        <w:rPr>
          <w:rFonts w:hint="eastAsia" w:ascii="宋体" w:hAnsi="宋体" w:eastAsia="宋体" w:cs="宋体"/>
          <w:b/>
          <w:bCs/>
          <w:color w:val="auto"/>
          <w:spacing w:val="-3"/>
          <w:sz w:val="21"/>
          <w:szCs w:val="21"/>
          <w:highlight w:val="none"/>
        </w:rPr>
        <w:t>单位及承包</w:t>
      </w:r>
      <w:r>
        <w:rPr>
          <w:rFonts w:hint="eastAsia" w:ascii="宋体" w:hAnsi="宋体" w:eastAsia="宋体" w:cs="宋体"/>
          <w:b/>
          <w:bCs/>
          <w:color w:val="auto"/>
          <w:spacing w:val="-2"/>
          <w:sz w:val="21"/>
          <w:szCs w:val="21"/>
          <w:highlight w:val="none"/>
        </w:rPr>
        <w:t>人根据市场协商确定；新增结算单价=综合单价×（中标价/经审定的工程招</w:t>
      </w:r>
      <w:r>
        <w:rPr>
          <w:rFonts w:hint="eastAsia" w:ascii="宋体" w:hAnsi="宋体" w:eastAsia="宋体" w:cs="宋体"/>
          <w:b/>
          <w:bCs/>
          <w:color w:val="auto"/>
          <w:spacing w:val="-3"/>
          <w:sz w:val="21"/>
          <w:szCs w:val="21"/>
          <w:highlight w:val="none"/>
        </w:rPr>
        <w:t>标控制</w:t>
      </w:r>
      <w:r>
        <w:rPr>
          <w:rFonts w:hint="eastAsia" w:ascii="宋体" w:hAnsi="宋体" w:eastAsia="宋体" w:cs="宋体"/>
          <w:b/>
          <w:bCs/>
          <w:color w:val="auto"/>
          <w:spacing w:val="-6"/>
          <w:sz w:val="21"/>
          <w:szCs w:val="21"/>
          <w:highlight w:val="none"/>
        </w:rPr>
        <w:t>价）。</w:t>
      </w:r>
    </w:p>
    <w:p w14:paraId="4E8A18B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②工程量偏差：如果承包人实际完成工程量与招标工程量偏差超过15%以上且该单项造价超过合同总价1%以上的，则超过15%以上增加部分工程量或减少后剩余部分工程量的综合单价按以下方法计算：有定额的套定额计算，执行本采购文</w:t>
      </w:r>
      <w:r>
        <w:rPr>
          <w:rFonts w:hint="eastAsia" w:ascii="宋体" w:hAnsi="宋体" w:eastAsia="宋体" w:cs="宋体"/>
          <w:b/>
          <w:bCs/>
          <w:color w:val="auto"/>
          <w:spacing w:val="-3"/>
          <w:sz w:val="21"/>
          <w:szCs w:val="21"/>
          <w:highlight w:val="none"/>
        </w:rPr>
        <w:t>件工</w:t>
      </w:r>
      <w:r>
        <w:rPr>
          <w:rFonts w:hint="eastAsia" w:ascii="宋体" w:hAnsi="宋体" w:eastAsia="宋体" w:cs="宋体"/>
          <w:b/>
          <w:bCs/>
          <w:color w:val="auto"/>
          <w:spacing w:val="-2"/>
          <w:sz w:val="21"/>
          <w:szCs w:val="21"/>
          <w:highlight w:val="none"/>
        </w:rPr>
        <w:t>程计价参考依据，并乘以下浮系数（中标价/经审定的工程招标控制价）结算</w:t>
      </w:r>
      <w:r>
        <w:rPr>
          <w:rFonts w:hint="eastAsia" w:ascii="宋体" w:hAnsi="宋体" w:eastAsia="宋体" w:cs="宋体"/>
          <w:b/>
          <w:bCs/>
          <w:color w:val="auto"/>
          <w:spacing w:val="-3"/>
          <w:sz w:val="21"/>
          <w:szCs w:val="21"/>
          <w:highlight w:val="none"/>
        </w:rPr>
        <w:t>，其</w:t>
      </w:r>
      <w:r>
        <w:rPr>
          <w:rFonts w:hint="eastAsia" w:ascii="宋体" w:hAnsi="宋体" w:eastAsia="宋体" w:cs="宋体"/>
          <w:b/>
          <w:bCs/>
          <w:color w:val="auto"/>
          <w:spacing w:val="-2"/>
          <w:sz w:val="21"/>
          <w:szCs w:val="21"/>
          <w:highlight w:val="none"/>
        </w:rPr>
        <w:t>中材料价格有信息价的按施工期间信息价的</w:t>
      </w:r>
      <w:r>
        <w:rPr>
          <w:rFonts w:hint="eastAsia" w:ascii="宋体" w:hAnsi="宋体" w:cs="宋体"/>
          <w:b/>
          <w:bCs/>
          <w:color w:val="auto"/>
          <w:spacing w:val="-2"/>
          <w:sz w:val="21"/>
          <w:szCs w:val="21"/>
          <w:highlight w:val="none"/>
          <w:lang w:eastAsia="zh-CN"/>
        </w:rPr>
        <w:t>算术平均</w:t>
      </w:r>
      <w:r>
        <w:rPr>
          <w:rFonts w:hint="eastAsia" w:ascii="宋体" w:hAnsi="宋体" w:eastAsia="宋体" w:cs="宋体"/>
          <w:b/>
          <w:bCs/>
          <w:color w:val="auto"/>
          <w:spacing w:val="-2"/>
          <w:sz w:val="21"/>
          <w:szCs w:val="21"/>
          <w:highlight w:val="none"/>
        </w:rPr>
        <w:t>价计取，无信息价</w:t>
      </w:r>
      <w:r>
        <w:rPr>
          <w:rFonts w:hint="eastAsia" w:ascii="宋体" w:hAnsi="宋体" w:eastAsia="宋体" w:cs="宋体"/>
          <w:b/>
          <w:bCs/>
          <w:color w:val="auto"/>
          <w:spacing w:val="-3"/>
          <w:sz w:val="21"/>
          <w:szCs w:val="21"/>
          <w:highlight w:val="none"/>
        </w:rPr>
        <w:t>的由发包人</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3"/>
          <w:sz w:val="21"/>
          <w:szCs w:val="21"/>
          <w:highlight w:val="none"/>
        </w:rPr>
        <w:t>、监理单位及承包人根据市场价格协商议定。</w:t>
      </w:r>
    </w:p>
    <w:p w14:paraId="186D28E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③政策性调整：</w:t>
      </w:r>
      <w:r>
        <w:rPr>
          <w:rFonts w:hint="eastAsia" w:ascii="宋体" w:hAnsi="宋体" w:eastAsia="宋体" w:cs="宋体"/>
          <w:color w:val="auto"/>
          <w:spacing w:val="-1"/>
          <w:sz w:val="21"/>
          <w:szCs w:val="21"/>
          <w:highlight w:val="none"/>
        </w:rPr>
        <w:t>按自治区</w:t>
      </w:r>
      <w:r>
        <w:rPr>
          <w:rFonts w:hint="eastAsia" w:ascii="宋体" w:hAnsi="宋体" w:cs="宋体"/>
          <w:color w:val="auto"/>
          <w:spacing w:val="-1"/>
          <w:sz w:val="21"/>
          <w:szCs w:val="21"/>
          <w:highlight w:val="none"/>
          <w:lang w:eastAsia="zh-CN"/>
        </w:rPr>
        <w:t>住房和城乡建设厅</w:t>
      </w:r>
      <w:r>
        <w:rPr>
          <w:rFonts w:hint="eastAsia" w:ascii="宋体" w:hAnsi="宋体" w:eastAsia="宋体" w:cs="宋体"/>
          <w:color w:val="auto"/>
          <w:spacing w:val="-1"/>
          <w:sz w:val="21"/>
          <w:szCs w:val="21"/>
          <w:highlight w:val="none"/>
        </w:rPr>
        <w:t>或工程所在地住房城乡建设主管部门</w:t>
      </w:r>
      <w:r>
        <w:rPr>
          <w:rFonts w:hint="eastAsia" w:ascii="宋体" w:hAnsi="宋体" w:eastAsia="宋体" w:cs="宋体"/>
          <w:color w:val="auto"/>
          <w:spacing w:val="-2"/>
          <w:sz w:val="21"/>
          <w:szCs w:val="21"/>
          <w:highlight w:val="none"/>
        </w:rPr>
        <w:t>颁布的文件执行。</w:t>
      </w:r>
    </w:p>
    <w:p w14:paraId="55C760D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④材料及设备</w:t>
      </w:r>
      <w:r>
        <w:rPr>
          <w:rFonts w:hint="eastAsia" w:ascii="宋体" w:hAnsi="宋体" w:cs="宋体"/>
          <w:b/>
          <w:bCs/>
          <w:color w:val="auto"/>
          <w:spacing w:val="-2"/>
          <w:sz w:val="21"/>
          <w:szCs w:val="21"/>
          <w:highlight w:val="none"/>
          <w:lang w:eastAsia="zh-CN"/>
        </w:rPr>
        <w:t>价格</w:t>
      </w:r>
      <w:r>
        <w:rPr>
          <w:rFonts w:hint="eastAsia" w:ascii="宋体" w:hAnsi="宋体" w:eastAsia="宋体" w:cs="宋体"/>
          <w:b/>
          <w:bCs/>
          <w:color w:val="auto"/>
          <w:spacing w:val="-2"/>
          <w:sz w:val="21"/>
          <w:szCs w:val="21"/>
          <w:highlight w:val="none"/>
        </w:rPr>
        <w:t>风险：无</w:t>
      </w:r>
    </w:p>
    <w:p w14:paraId="617769B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材料及设备风险的约定：无</w:t>
      </w:r>
    </w:p>
    <w:p w14:paraId="4AC454E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⑤其它：措施项目费调整原则按《</w:t>
      </w:r>
      <w:r>
        <w:rPr>
          <w:rFonts w:hint="eastAsia" w:ascii="宋体" w:hAnsi="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rPr>
        <w:t>GB50500-2013</w:t>
      </w:r>
      <w:r>
        <w:rPr>
          <w:rFonts w:hint="eastAsia" w:ascii="宋体" w:hAnsi="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rPr>
        <w:t>建设工程工程</w:t>
      </w:r>
      <w:r>
        <w:rPr>
          <w:rFonts w:hint="eastAsia" w:ascii="宋体" w:hAnsi="宋体" w:eastAsia="宋体" w:cs="宋体"/>
          <w:b/>
          <w:bCs/>
          <w:color w:val="auto"/>
          <w:spacing w:val="-3"/>
          <w:sz w:val="21"/>
          <w:szCs w:val="21"/>
          <w:highlight w:val="none"/>
        </w:rPr>
        <w:t>量清单计价规</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2"/>
          <w:sz w:val="21"/>
          <w:szCs w:val="21"/>
          <w:highlight w:val="none"/>
        </w:rPr>
        <w:t>范-广西壮族自治区实施细则》第9.3.2款执行。无约定的参照我</w:t>
      </w:r>
      <w:r>
        <w:rPr>
          <w:rFonts w:hint="eastAsia" w:ascii="宋体" w:hAnsi="宋体" w:eastAsia="宋体" w:cs="宋体"/>
          <w:b/>
          <w:bCs/>
          <w:color w:val="auto"/>
          <w:spacing w:val="-3"/>
          <w:sz w:val="21"/>
          <w:szCs w:val="21"/>
          <w:highlight w:val="none"/>
        </w:rPr>
        <w:t>区现行《建设工程</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3"/>
          <w:sz w:val="21"/>
          <w:szCs w:val="21"/>
          <w:highlight w:val="none"/>
        </w:rPr>
        <w:t>工程量清单计价规范</w:t>
      </w:r>
      <w:r>
        <w:rPr>
          <w:rFonts w:hint="eastAsia" w:ascii="宋体" w:hAnsi="宋体" w:cs="宋体"/>
          <w:b/>
          <w:bCs/>
          <w:color w:val="auto"/>
          <w:spacing w:val="-3"/>
          <w:sz w:val="21"/>
          <w:szCs w:val="21"/>
          <w:highlight w:val="none"/>
          <w:lang w:eastAsia="zh-CN"/>
        </w:rPr>
        <w:t>》等</w:t>
      </w:r>
      <w:r>
        <w:rPr>
          <w:rFonts w:hint="eastAsia" w:ascii="宋体" w:hAnsi="宋体" w:eastAsia="宋体" w:cs="宋体"/>
          <w:b/>
          <w:bCs/>
          <w:color w:val="auto"/>
          <w:spacing w:val="-3"/>
          <w:sz w:val="21"/>
          <w:szCs w:val="21"/>
          <w:highlight w:val="none"/>
        </w:rPr>
        <w:t>相关规定执行。</w:t>
      </w:r>
    </w:p>
    <w:p w14:paraId="0C8C4EB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本工程最终结算以业主有关部门审定为准。</w:t>
      </w:r>
    </w:p>
    <w:p w14:paraId="34D1CE2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（2）总价合同。</w:t>
      </w:r>
    </w:p>
    <w:p w14:paraId="353FF9A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总价包含的风险范围：包含除工程变更、政策</w:t>
      </w:r>
      <w:r>
        <w:rPr>
          <w:rFonts w:hint="eastAsia" w:ascii="宋体" w:hAnsi="宋体" w:eastAsia="宋体" w:cs="宋体"/>
          <w:color w:val="auto"/>
          <w:spacing w:val="-1"/>
          <w:sz w:val="21"/>
          <w:szCs w:val="21"/>
          <w:highlight w:val="none"/>
        </w:rPr>
        <w:t>性调整、</w:t>
      </w:r>
      <w:r>
        <w:rPr>
          <w:rFonts w:hint="eastAsia" w:ascii="宋体" w:hAnsi="宋体" w:eastAsia="宋体" w:cs="宋体"/>
          <w:color w:val="auto"/>
          <w:spacing w:val="-1"/>
          <w:sz w:val="21"/>
          <w:szCs w:val="21"/>
          <w:highlight w:val="none"/>
          <w:u w:val="single" w:color="auto"/>
        </w:rPr>
        <w:t>本工程《承包人提供主</w:t>
      </w:r>
      <w:r>
        <w:rPr>
          <w:rFonts w:hint="eastAsia" w:ascii="宋体" w:hAnsi="宋体" w:eastAsia="宋体" w:cs="宋体"/>
          <w:color w:val="auto"/>
          <w:sz w:val="21"/>
          <w:szCs w:val="21"/>
          <w:highlight w:val="none"/>
          <w:u w:val="single" w:color="auto"/>
        </w:rPr>
        <w:t>要材料和设备一览表》中约定的材料和设备价格变动风险</w:t>
      </w:r>
      <w:r>
        <w:rPr>
          <w:rFonts w:hint="eastAsia" w:ascii="宋体" w:hAnsi="宋体" w:eastAsia="宋体" w:cs="宋体"/>
          <w:color w:val="auto"/>
          <w:spacing w:val="-1"/>
          <w:sz w:val="21"/>
          <w:szCs w:val="21"/>
          <w:highlight w:val="none"/>
          <w:u w:val="single" w:color="auto"/>
        </w:rPr>
        <w:t>以外的其他风险。除工程变更外，结算时不再对招标施工图对应的工程量重新计量</w:t>
      </w:r>
      <w:r>
        <w:rPr>
          <w:rFonts w:hint="eastAsia" w:ascii="宋体" w:hAnsi="宋体" w:eastAsia="宋体" w:cs="宋体"/>
          <w:color w:val="auto"/>
          <w:spacing w:val="-1"/>
          <w:sz w:val="21"/>
          <w:szCs w:val="21"/>
          <w:highlight w:val="none"/>
        </w:rPr>
        <w:t>。</w:t>
      </w:r>
    </w:p>
    <w:p w14:paraId="4AA8A29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风险范围以外合同价格的调整方法：</w:t>
      </w:r>
    </w:p>
    <w:p w14:paraId="7849741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①工程变更：按10.4.1变更估价原则的约定调整。</w:t>
      </w:r>
    </w:p>
    <w:p w14:paraId="0FE64AB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②政策性调整：按自治区</w:t>
      </w:r>
      <w:r>
        <w:rPr>
          <w:rFonts w:hint="eastAsia" w:ascii="宋体" w:hAnsi="宋体" w:cs="宋体"/>
          <w:color w:val="auto"/>
          <w:sz w:val="21"/>
          <w:szCs w:val="21"/>
          <w:highlight w:val="none"/>
          <w:lang w:eastAsia="zh-CN"/>
        </w:rPr>
        <w:t>住房和城乡建设厅</w:t>
      </w:r>
      <w:r>
        <w:rPr>
          <w:rFonts w:hint="eastAsia" w:ascii="宋体" w:hAnsi="宋体" w:eastAsia="宋体" w:cs="宋体"/>
          <w:color w:val="auto"/>
          <w:sz w:val="21"/>
          <w:szCs w:val="21"/>
          <w:highlight w:val="none"/>
        </w:rPr>
        <w:t>或工程所在地住</w:t>
      </w:r>
      <w:r>
        <w:rPr>
          <w:rFonts w:hint="eastAsia" w:ascii="宋体" w:hAnsi="宋体" w:eastAsia="宋体" w:cs="宋体"/>
          <w:color w:val="auto"/>
          <w:spacing w:val="-1"/>
          <w:sz w:val="21"/>
          <w:szCs w:val="21"/>
          <w:highlight w:val="none"/>
        </w:rPr>
        <w:t>房城乡建设主管部门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颁布的文件执行。</w:t>
      </w:r>
    </w:p>
    <w:p w14:paraId="09199C9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③材料价格风险：按11.1的约定调整。</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2"/>
          <w:sz w:val="21"/>
          <w:szCs w:val="21"/>
          <w:highlight w:val="none"/>
        </w:rPr>
        <w:t>4其它：</w:t>
      </w:r>
    </w:p>
    <w:p w14:paraId="2D2ADB2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（3）其他价格方式</w:t>
      </w:r>
      <w:r>
        <w:rPr>
          <w:rFonts w:hint="eastAsia" w:ascii="宋体" w:hAnsi="宋体" w:cs="宋体"/>
          <w:color w:val="auto"/>
          <w:spacing w:val="-2"/>
          <w:sz w:val="21"/>
          <w:szCs w:val="21"/>
          <w:highlight w:val="none"/>
          <w:lang w:eastAsia="zh-CN"/>
        </w:rPr>
        <w:t>：</w:t>
      </w:r>
    </w:p>
    <w:p w14:paraId="3549EA7B">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484" w:name="_Toc26546"/>
      <w:bookmarkStart w:id="485" w:name="_Toc5790"/>
      <w:r>
        <w:rPr>
          <w:rFonts w:hint="eastAsia" w:ascii="宋体" w:hAnsi="宋体" w:eastAsia="宋体" w:cs="宋体"/>
          <w:b w:val="0"/>
          <w:bCs/>
          <w:color w:val="auto"/>
          <w:spacing w:val="-8"/>
          <w:sz w:val="21"/>
          <w:szCs w:val="21"/>
          <w:highlight w:val="none"/>
        </w:rPr>
        <w:t>12.2</w:t>
      </w:r>
      <w:r>
        <w:rPr>
          <w:rFonts w:hint="eastAsia" w:ascii="宋体" w:hAnsi="宋体" w:eastAsia="宋体" w:cs="宋体"/>
          <w:b w:val="0"/>
          <w:color w:val="auto"/>
          <w:spacing w:val="12"/>
          <w:sz w:val="21"/>
          <w:szCs w:val="21"/>
          <w:highlight w:val="none"/>
        </w:rPr>
        <w:t xml:space="preserve"> </w:t>
      </w:r>
      <w:r>
        <w:rPr>
          <w:rFonts w:hint="eastAsia" w:ascii="宋体" w:hAnsi="宋体" w:eastAsia="宋体" w:cs="宋体"/>
          <w:b w:val="0"/>
          <w:bCs/>
          <w:color w:val="auto"/>
          <w:spacing w:val="-8"/>
          <w:sz w:val="21"/>
          <w:szCs w:val="21"/>
          <w:highlight w:val="none"/>
        </w:rPr>
        <w:t>预付款</w:t>
      </w:r>
      <w:bookmarkEnd w:id="484"/>
      <w:bookmarkEnd w:id="485"/>
    </w:p>
    <w:p w14:paraId="5D1A8531">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486" w:name="_Toc5776"/>
      <w:bookmarkStart w:id="487" w:name="_Toc7252"/>
      <w:r>
        <w:rPr>
          <w:rFonts w:hint="eastAsia" w:ascii="宋体" w:hAnsi="宋体" w:eastAsia="宋体" w:cs="宋体"/>
          <w:b w:val="0"/>
          <w:color w:val="auto"/>
          <w:spacing w:val="-3"/>
          <w:sz w:val="21"/>
          <w:szCs w:val="21"/>
          <w:highlight w:val="none"/>
        </w:rPr>
        <w:t>12.2.1 预付款的支付</w:t>
      </w:r>
      <w:bookmarkEnd w:id="486"/>
      <w:bookmarkEnd w:id="487"/>
    </w:p>
    <w:p w14:paraId="7A0A303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预付款支付比例或金额：合同总额的30%。（预付款在成交供应商开具发票后10</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z w:val="21"/>
          <w:szCs w:val="21"/>
          <w:highlight w:val="none"/>
        </w:rPr>
        <w:t>个工作日内支付）其他款项在成交供应商开具发票后30日</w:t>
      </w:r>
      <w:r>
        <w:rPr>
          <w:rFonts w:hint="eastAsia" w:ascii="宋体" w:hAnsi="宋体" w:eastAsia="宋体" w:cs="宋体"/>
          <w:color w:val="auto"/>
          <w:spacing w:val="-1"/>
          <w:sz w:val="21"/>
          <w:szCs w:val="21"/>
          <w:highlight w:val="none"/>
        </w:rPr>
        <w:t>内支付。（实际预付款数额以届时</w:t>
      </w:r>
      <w:r>
        <w:rPr>
          <w:rFonts w:hint="eastAsia" w:ascii="宋体" w:hAnsi="宋体" w:cs="宋体"/>
          <w:color w:val="auto"/>
          <w:spacing w:val="-1"/>
          <w:sz w:val="21"/>
          <w:szCs w:val="21"/>
          <w:highlight w:val="none"/>
          <w:lang w:val="en-US" w:eastAsia="zh-CN"/>
        </w:rPr>
        <w:t>大新</w:t>
      </w:r>
      <w:r>
        <w:rPr>
          <w:rFonts w:hint="eastAsia" w:ascii="宋体" w:hAnsi="宋体" w:eastAsia="宋体" w:cs="宋体"/>
          <w:color w:val="auto"/>
          <w:spacing w:val="-1"/>
          <w:sz w:val="21"/>
          <w:szCs w:val="21"/>
          <w:highlight w:val="none"/>
        </w:rPr>
        <w:t>县财政资金支付能力为准）</w:t>
      </w:r>
    </w:p>
    <w:p w14:paraId="617E95A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预付款支付期限：</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2"/>
          <w:sz w:val="21"/>
          <w:szCs w:val="21"/>
          <w:highlight w:val="none"/>
        </w:rPr>
        <w:t>自签订合同后，承包人开出发票</w:t>
      </w:r>
      <w:r>
        <w:rPr>
          <w:rFonts w:hint="eastAsia" w:ascii="宋体" w:hAnsi="宋体" w:eastAsia="宋体" w:cs="宋体"/>
          <w:color w:val="auto"/>
          <w:spacing w:val="-3"/>
          <w:sz w:val="21"/>
          <w:szCs w:val="21"/>
          <w:highlight w:val="none"/>
        </w:rPr>
        <w:t>后30日内。</w:t>
      </w:r>
    </w:p>
    <w:p w14:paraId="712D014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预付款扣回与还清：</w:t>
      </w:r>
      <w:r>
        <w:rPr>
          <w:rFonts w:hint="eastAsia" w:ascii="宋体" w:hAnsi="宋体" w:eastAsia="宋体" w:cs="宋体"/>
          <w:color w:val="auto"/>
          <w:sz w:val="21"/>
          <w:szCs w:val="21"/>
          <w:highlight w:val="none"/>
        </w:rPr>
        <w:t>按每次支付工程进度款扣回，直至扣回全部预付款数止</w:t>
      </w:r>
      <w:r>
        <w:rPr>
          <w:rFonts w:hint="eastAsia" w:ascii="宋体" w:hAnsi="宋体" w:eastAsia="宋体" w:cs="宋体"/>
          <w:color w:val="auto"/>
          <w:spacing w:val="-1"/>
          <w:sz w:val="21"/>
          <w:szCs w:val="21"/>
          <w:highlight w:val="none"/>
        </w:rPr>
        <w:t>。</w:t>
      </w:r>
    </w:p>
    <w:p w14:paraId="23FA5AA1">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488" w:name="_Toc2889"/>
      <w:bookmarkStart w:id="489" w:name="_Toc25860"/>
      <w:r>
        <w:rPr>
          <w:rFonts w:hint="eastAsia" w:ascii="宋体" w:hAnsi="宋体" w:eastAsia="宋体" w:cs="宋体"/>
          <w:b w:val="0"/>
          <w:color w:val="auto"/>
          <w:spacing w:val="-3"/>
          <w:sz w:val="21"/>
          <w:szCs w:val="21"/>
          <w:highlight w:val="none"/>
        </w:rPr>
        <w:t>12.2.2 预付款担保</w:t>
      </w:r>
      <w:bookmarkEnd w:id="488"/>
      <w:bookmarkEnd w:id="489"/>
    </w:p>
    <w:p w14:paraId="517D8F1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承包人提交预付款担保的期限：</w:t>
      </w:r>
      <w:r>
        <w:rPr>
          <w:rFonts w:hint="eastAsia" w:ascii="宋体" w:hAnsi="宋体" w:eastAsia="宋体" w:cs="宋体"/>
          <w:color w:val="auto"/>
          <w:sz w:val="21"/>
          <w:szCs w:val="21"/>
          <w:highlight w:val="none"/>
          <w:u w:val="single" w:color="auto"/>
        </w:rPr>
        <w:t>承包人应在合同签订</w:t>
      </w:r>
      <w:r>
        <w:rPr>
          <w:rFonts w:hint="eastAsia" w:ascii="宋体" w:hAnsi="宋体" w:eastAsia="宋体" w:cs="宋体"/>
          <w:color w:val="auto"/>
          <w:spacing w:val="-1"/>
          <w:sz w:val="21"/>
          <w:szCs w:val="21"/>
          <w:highlight w:val="none"/>
          <w:u w:val="single" w:color="auto"/>
        </w:rPr>
        <w:t>后</w:t>
      </w:r>
      <w:r>
        <w:rPr>
          <w:rFonts w:hint="eastAsia" w:ascii="宋体" w:hAnsi="宋体" w:cs="宋体"/>
          <w:color w:val="auto"/>
          <w:spacing w:val="-1"/>
          <w:sz w:val="21"/>
          <w:szCs w:val="21"/>
          <w:highlight w:val="none"/>
          <w:u w:val="single" w:color="auto"/>
          <w:lang w:eastAsia="zh-CN"/>
        </w:rPr>
        <w:t>，在</w:t>
      </w:r>
      <w:r>
        <w:rPr>
          <w:rFonts w:hint="eastAsia" w:ascii="宋体" w:hAnsi="宋体" w:eastAsia="宋体" w:cs="宋体"/>
          <w:color w:val="auto"/>
          <w:spacing w:val="-1"/>
          <w:sz w:val="21"/>
          <w:szCs w:val="21"/>
          <w:highlight w:val="none"/>
          <w:u w:val="single" w:color="auto"/>
        </w:rPr>
        <w:t>申请预付款前提供同</w:t>
      </w:r>
      <w:r>
        <w:rPr>
          <w:rFonts w:hint="eastAsia" w:ascii="宋体" w:hAnsi="宋体" w:eastAsia="宋体" w:cs="宋体"/>
          <w:color w:val="auto"/>
          <w:spacing w:val="-2"/>
          <w:sz w:val="21"/>
          <w:szCs w:val="21"/>
          <w:highlight w:val="none"/>
          <w:u w:val="single" w:color="auto"/>
        </w:rPr>
        <w:t>等数额的预付款担保</w:t>
      </w:r>
      <w:r>
        <w:rPr>
          <w:rFonts w:hint="eastAsia" w:ascii="宋体" w:hAnsi="宋体" w:eastAsia="宋体" w:cs="宋体"/>
          <w:color w:val="auto"/>
          <w:spacing w:val="-2"/>
          <w:sz w:val="21"/>
          <w:szCs w:val="21"/>
          <w:highlight w:val="none"/>
        </w:rPr>
        <w:t>。</w:t>
      </w:r>
    </w:p>
    <w:p w14:paraId="1A9CDF6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预付款担保的形式为：可以是银行转账、电汇或</w:t>
      </w:r>
      <w:r>
        <w:rPr>
          <w:rFonts w:hint="eastAsia" w:ascii="宋体" w:hAnsi="宋体" w:eastAsia="宋体" w:cs="宋体"/>
          <w:color w:val="auto"/>
          <w:spacing w:val="-1"/>
          <w:sz w:val="21"/>
          <w:szCs w:val="21"/>
          <w:highlight w:val="none"/>
        </w:rPr>
        <w:t>网上支付、保函（银行保函、电子保函、保证保险保函、工程担保保函）等形式。工程担保保证人应将出</w:t>
      </w:r>
      <w:r>
        <w:rPr>
          <w:rFonts w:hint="eastAsia" w:ascii="宋体" w:hAnsi="宋体" w:eastAsia="宋体" w:cs="宋体"/>
          <w:color w:val="auto"/>
          <w:spacing w:val="-2"/>
          <w:sz w:val="21"/>
          <w:szCs w:val="21"/>
          <w:highlight w:val="none"/>
        </w:rPr>
        <w:t>具的保</w:t>
      </w:r>
      <w:r>
        <w:rPr>
          <w:rFonts w:hint="eastAsia" w:ascii="宋体" w:hAnsi="宋体" w:eastAsia="宋体" w:cs="宋体"/>
          <w:color w:val="auto"/>
          <w:spacing w:val="-1"/>
          <w:sz w:val="21"/>
          <w:szCs w:val="21"/>
          <w:highlight w:val="none"/>
        </w:rPr>
        <w:t>函相关信息录入“广西建筑市场监管云</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spacing w:val="-1"/>
          <w:sz w:val="21"/>
          <w:szCs w:val="21"/>
          <w:highlight w:val="none"/>
        </w:rPr>
        <w:t>”平台（http://gxjzsc.ca</w:t>
      </w:r>
      <w:r>
        <w:rPr>
          <w:rFonts w:hint="eastAsia" w:ascii="宋体" w:hAnsi="宋体" w:eastAsia="宋体" w:cs="宋体"/>
          <w:color w:val="auto"/>
          <w:spacing w:val="-2"/>
          <w:sz w:val="21"/>
          <w:szCs w:val="21"/>
          <w:highlight w:val="none"/>
        </w:rPr>
        <w:t>ihcloud.com</w:t>
      </w:r>
      <w:r>
        <w:rPr>
          <w:rFonts w:hint="eastAsia" w:ascii="宋体" w:hAnsi="宋体" w:eastAsia="宋体" w:cs="宋体"/>
          <w:color w:val="auto"/>
          <w:spacing w:val="-26"/>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以实现保函查询及验真功能。</w:t>
      </w:r>
    </w:p>
    <w:p w14:paraId="61584BF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预付款担保格式见合同附件8。预付款支付申</w:t>
      </w:r>
      <w:r>
        <w:rPr>
          <w:rFonts w:hint="eastAsia" w:ascii="宋体" w:hAnsi="宋体" w:eastAsia="宋体" w:cs="宋体"/>
          <w:color w:val="auto"/>
          <w:spacing w:val="-1"/>
          <w:sz w:val="21"/>
          <w:szCs w:val="21"/>
          <w:highlight w:val="none"/>
        </w:rPr>
        <w:t>请（核准）表见合同附件10</w:t>
      </w:r>
    </w:p>
    <w:p w14:paraId="2F2C1125">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490" w:name="_Toc11423"/>
      <w:bookmarkStart w:id="491" w:name="_Toc31975"/>
      <w:r>
        <w:rPr>
          <w:rFonts w:hint="eastAsia" w:ascii="宋体" w:hAnsi="宋体" w:eastAsia="宋体" w:cs="宋体"/>
          <w:b w:val="0"/>
          <w:bCs/>
          <w:color w:val="auto"/>
          <w:spacing w:val="-9"/>
          <w:sz w:val="21"/>
          <w:szCs w:val="21"/>
          <w:highlight w:val="none"/>
        </w:rPr>
        <w:t>12.3</w:t>
      </w:r>
      <w:r>
        <w:rPr>
          <w:rFonts w:hint="eastAsia" w:ascii="宋体" w:hAnsi="宋体" w:eastAsia="宋体" w:cs="宋体"/>
          <w:b w:val="0"/>
          <w:color w:val="auto"/>
          <w:spacing w:val="10"/>
          <w:sz w:val="21"/>
          <w:szCs w:val="21"/>
          <w:highlight w:val="none"/>
        </w:rPr>
        <w:t xml:space="preserve"> </w:t>
      </w:r>
      <w:r>
        <w:rPr>
          <w:rFonts w:hint="eastAsia" w:ascii="宋体" w:hAnsi="宋体" w:eastAsia="宋体" w:cs="宋体"/>
          <w:b w:val="0"/>
          <w:bCs/>
          <w:color w:val="auto"/>
          <w:spacing w:val="-9"/>
          <w:sz w:val="21"/>
          <w:szCs w:val="21"/>
          <w:highlight w:val="none"/>
        </w:rPr>
        <w:t>计量</w:t>
      </w:r>
      <w:bookmarkEnd w:id="490"/>
      <w:bookmarkEnd w:id="491"/>
    </w:p>
    <w:p w14:paraId="2BD88DC5">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492" w:name="_Toc28765"/>
      <w:bookmarkStart w:id="493" w:name="_Toc12409"/>
      <w:r>
        <w:rPr>
          <w:rFonts w:hint="eastAsia" w:ascii="宋体" w:hAnsi="宋体" w:eastAsia="宋体" w:cs="宋体"/>
          <w:b w:val="0"/>
          <w:color w:val="auto"/>
          <w:spacing w:val="-3"/>
          <w:sz w:val="21"/>
          <w:szCs w:val="21"/>
          <w:highlight w:val="none"/>
        </w:rPr>
        <w:t>12.3.1 计量原则</w:t>
      </w:r>
      <w:bookmarkEnd w:id="492"/>
      <w:bookmarkEnd w:id="493"/>
    </w:p>
    <w:p w14:paraId="07507E8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工程量计算规则：</w:t>
      </w:r>
      <w:r>
        <w:rPr>
          <w:rFonts w:hint="eastAsia" w:ascii="宋体" w:hAnsi="宋体" w:eastAsia="宋体" w:cs="宋体"/>
          <w:color w:val="auto"/>
          <w:spacing w:val="-3"/>
          <w:sz w:val="21"/>
          <w:szCs w:val="21"/>
          <w:highlight w:val="none"/>
          <w:u w:val="single" w:color="auto"/>
        </w:rPr>
        <w:t>工程的计量均以《建设工程工程量清单计价规范》（GB50500</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0"/>
          <w:sz w:val="21"/>
          <w:szCs w:val="21"/>
          <w:highlight w:val="none"/>
          <w:u w:val="single" w:color="auto"/>
        </w:rPr>
        <w:t>-2013）及广西壮族自治区实施细则、《建设工程工程量清单计算规范》（GB508</w:t>
      </w:r>
      <w:r>
        <w:rPr>
          <w:rFonts w:hint="eastAsia" w:ascii="宋体" w:hAnsi="宋体" w:eastAsia="宋体" w:cs="宋体"/>
          <w:color w:val="auto"/>
          <w:spacing w:val="-11"/>
          <w:sz w:val="21"/>
          <w:szCs w:val="21"/>
          <w:highlight w:val="none"/>
          <w:u w:val="single" w:color="auto"/>
        </w:rPr>
        <w:t>54~508</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u w:val="single" w:color="auto"/>
        </w:rPr>
        <w:t>62－2013）及广西实施细则、本工程补充项目清单为准。</w:t>
      </w:r>
      <w:r>
        <w:rPr>
          <w:rFonts w:hint="eastAsia" w:ascii="宋体" w:hAnsi="宋体" w:eastAsia="宋体" w:cs="宋体"/>
          <w:b/>
          <w:bCs/>
          <w:color w:val="auto"/>
          <w:spacing w:val="-1"/>
          <w:sz w:val="21"/>
          <w:szCs w:val="21"/>
          <w:highlight w:val="none"/>
          <w:u w:val="single" w:color="auto"/>
        </w:rPr>
        <w:t>如有不明之处，应以造价</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1"/>
          <w:sz w:val="21"/>
          <w:szCs w:val="21"/>
          <w:highlight w:val="none"/>
          <w:u w:val="single" w:color="auto"/>
        </w:rPr>
        <w:t>管理部门指定的计量方法为准。</w:t>
      </w:r>
      <w:r>
        <w:rPr>
          <w:rFonts w:hint="eastAsia" w:ascii="宋体" w:hAnsi="宋体" w:eastAsia="宋体" w:cs="宋体"/>
          <w:color w:val="auto"/>
          <w:spacing w:val="-1"/>
          <w:sz w:val="21"/>
          <w:szCs w:val="21"/>
          <w:highlight w:val="none"/>
          <w:u w:val="single" w:color="auto"/>
        </w:rPr>
        <w:t>除合同另有约定外，承包人实际完成的工程量按约</w:t>
      </w:r>
      <w:r>
        <w:rPr>
          <w:rFonts w:hint="eastAsia" w:ascii="宋体" w:hAnsi="宋体" w:eastAsia="宋体" w:cs="宋体"/>
          <w:color w:val="auto"/>
          <w:spacing w:val="1"/>
          <w:sz w:val="21"/>
          <w:szCs w:val="21"/>
          <w:highlight w:val="none"/>
          <w:u w:val="single" w:color="auto"/>
        </w:rPr>
        <w:t>定的工程量计算规则</w:t>
      </w:r>
      <w:r>
        <w:rPr>
          <w:rFonts w:hint="eastAsia" w:ascii="宋体" w:hAnsi="宋体" w:cs="宋体"/>
          <w:color w:val="auto"/>
          <w:spacing w:val="1"/>
          <w:sz w:val="21"/>
          <w:szCs w:val="21"/>
          <w:highlight w:val="none"/>
          <w:u w:val="single" w:color="auto"/>
          <w:lang w:eastAsia="zh-CN"/>
        </w:rPr>
        <w:t>和具</w:t>
      </w:r>
      <w:r>
        <w:rPr>
          <w:rFonts w:hint="eastAsia" w:ascii="宋体" w:hAnsi="宋体" w:eastAsia="宋体" w:cs="宋体"/>
          <w:color w:val="auto"/>
          <w:spacing w:val="1"/>
          <w:sz w:val="21"/>
          <w:szCs w:val="21"/>
          <w:highlight w:val="none"/>
          <w:u w:val="single" w:color="auto"/>
        </w:rPr>
        <w:t>有合同约束力的图纸进</w:t>
      </w:r>
      <w:r>
        <w:rPr>
          <w:rFonts w:hint="eastAsia" w:ascii="宋体" w:hAnsi="宋体" w:eastAsia="宋体" w:cs="宋体"/>
          <w:color w:val="auto"/>
          <w:sz w:val="21"/>
          <w:szCs w:val="21"/>
          <w:highlight w:val="none"/>
          <w:u w:val="single" w:color="auto"/>
        </w:rPr>
        <w:t>行计量。</w:t>
      </w:r>
    </w:p>
    <w:p w14:paraId="00E11FE8">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494" w:name="_Toc5594"/>
      <w:bookmarkStart w:id="495" w:name="_Toc22007"/>
      <w:r>
        <w:rPr>
          <w:rFonts w:hint="eastAsia" w:ascii="宋体" w:hAnsi="宋体" w:eastAsia="宋体" w:cs="宋体"/>
          <w:b w:val="0"/>
          <w:color w:val="auto"/>
          <w:spacing w:val="-3"/>
          <w:sz w:val="21"/>
          <w:szCs w:val="21"/>
          <w:highlight w:val="none"/>
        </w:rPr>
        <w:t>12.3.2 计量周期</w:t>
      </w:r>
      <w:bookmarkEnd w:id="494"/>
      <w:bookmarkEnd w:id="495"/>
    </w:p>
    <w:p w14:paraId="42FD414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关于计量周期的约定：</w:t>
      </w:r>
      <w:r>
        <w:rPr>
          <w:rFonts w:hint="eastAsia" w:ascii="宋体" w:hAnsi="宋体" w:eastAsia="宋体" w:cs="宋体"/>
          <w:color w:val="auto"/>
          <w:spacing w:val="-1"/>
          <w:sz w:val="21"/>
          <w:szCs w:val="21"/>
          <w:highlight w:val="none"/>
          <w:u w:val="single" w:color="auto"/>
        </w:rPr>
        <w:t>每月25日前，</w:t>
      </w:r>
      <w:r>
        <w:rPr>
          <w:rFonts w:hint="eastAsia" w:ascii="宋体" w:hAnsi="宋体" w:eastAsia="宋体" w:cs="宋体"/>
          <w:b/>
          <w:bCs/>
          <w:color w:val="auto"/>
          <w:spacing w:val="-1"/>
          <w:sz w:val="21"/>
          <w:szCs w:val="21"/>
          <w:highlight w:val="none"/>
          <w:u w:val="single" w:color="auto"/>
        </w:rPr>
        <w:t>计量期为上个月2</w:t>
      </w:r>
      <w:r>
        <w:rPr>
          <w:rFonts w:hint="eastAsia" w:ascii="宋体" w:hAnsi="宋体" w:eastAsia="宋体" w:cs="宋体"/>
          <w:b/>
          <w:bCs/>
          <w:color w:val="auto"/>
          <w:spacing w:val="-2"/>
          <w:sz w:val="21"/>
          <w:szCs w:val="21"/>
          <w:highlight w:val="none"/>
          <w:u w:val="single" w:color="auto"/>
        </w:rPr>
        <w:t>1日至本月20日</w:t>
      </w:r>
      <w:r>
        <w:rPr>
          <w:rFonts w:hint="eastAsia" w:ascii="宋体" w:hAnsi="宋体" w:eastAsia="宋体" w:cs="宋体"/>
          <w:color w:val="auto"/>
          <w:spacing w:val="-2"/>
          <w:sz w:val="21"/>
          <w:szCs w:val="21"/>
          <w:highlight w:val="none"/>
        </w:rPr>
        <w:t>。</w:t>
      </w:r>
    </w:p>
    <w:p w14:paraId="1FC0E24F">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496" w:name="_Toc20509"/>
      <w:bookmarkStart w:id="497" w:name="_Toc23142"/>
      <w:r>
        <w:rPr>
          <w:rFonts w:hint="eastAsia" w:ascii="宋体" w:hAnsi="宋体" w:eastAsia="宋体" w:cs="宋体"/>
          <w:b w:val="0"/>
          <w:color w:val="auto"/>
          <w:spacing w:val="-2"/>
          <w:sz w:val="21"/>
          <w:szCs w:val="21"/>
          <w:highlight w:val="none"/>
        </w:rPr>
        <w:t>12.3.3 单价合同的计量</w:t>
      </w:r>
      <w:r>
        <w:rPr>
          <w:rFonts w:hint="eastAsia" w:ascii="宋体" w:hAnsi="宋体" w:eastAsia="宋体" w:cs="宋体"/>
          <w:b w:val="0"/>
          <w:color w:val="auto"/>
          <w:sz w:val="21"/>
          <w:szCs w:val="21"/>
          <w:highlight w:val="none"/>
        </w:rPr>
        <w:t xml:space="preserve">   </w:t>
      </w:r>
      <w:r>
        <w:rPr>
          <w:rFonts w:hint="eastAsia" w:ascii="宋体" w:hAnsi="宋体" w:eastAsia="宋体" w:cs="宋体"/>
          <w:b w:val="0"/>
          <w:color w:val="auto"/>
          <w:spacing w:val="-6"/>
          <w:sz w:val="21"/>
          <w:szCs w:val="21"/>
          <w:highlight w:val="none"/>
        </w:rPr>
        <w:t>关于单价合同计量的约定：</w:t>
      </w:r>
      <w:bookmarkEnd w:id="496"/>
      <w:bookmarkEnd w:id="497"/>
    </w:p>
    <w:p w14:paraId="083C531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1"/>
          <w:sz w:val="21"/>
          <w:szCs w:val="21"/>
          <w:highlight w:val="none"/>
          <w:lang w:eastAsia="zh-CN"/>
        </w:rPr>
        <w:t>（1）</w:t>
      </w:r>
      <w:r>
        <w:rPr>
          <w:rFonts w:hint="eastAsia" w:ascii="宋体" w:hAnsi="宋体" w:eastAsia="宋体" w:cs="宋体"/>
          <w:color w:val="auto"/>
          <w:spacing w:val="-1"/>
          <w:sz w:val="21"/>
          <w:szCs w:val="21"/>
          <w:highlight w:val="none"/>
        </w:rPr>
        <w:t xml:space="preserve"> 工程量清单所列的工程量，不能作</w:t>
      </w:r>
      <w:r>
        <w:rPr>
          <w:rFonts w:hint="eastAsia" w:ascii="宋体" w:hAnsi="宋体" w:eastAsia="宋体" w:cs="宋体"/>
          <w:color w:val="auto"/>
          <w:spacing w:val="-2"/>
          <w:sz w:val="21"/>
          <w:szCs w:val="21"/>
          <w:highlight w:val="none"/>
        </w:rPr>
        <w:t>为承包人按合同履行其责任依据，实际</w:t>
      </w:r>
      <w:r>
        <w:rPr>
          <w:rFonts w:hint="eastAsia" w:ascii="宋体" w:hAnsi="宋体" w:eastAsia="宋体" w:cs="宋体"/>
          <w:color w:val="auto"/>
          <w:sz w:val="21"/>
          <w:szCs w:val="21"/>
          <w:highlight w:val="none"/>
        </w:rPr>
        <w:t>施工中发生的工程量增加或减少并不影响承包人履行合同的</w:t>
      </w:r>
      <w:r>
        <w:rPr>
          <w:rFonts w:hint="eastAsia" w:ascii="宋体" w:hAnsi="宋体" w:eastAsia="宋体" w:cs="宋体"/>
          <w:color w:val="auto"/>
          <w:spacing w:val="-1"/>
          <w:sz w:val="21"/>
          <w:szCs w:val="21"/>
          <w:highlight w:val="none"/>
        </w:rPr>
        <w:t>责任，工程结算以完成的实际工程量为准。</w:t>
      </w:r>
    </w:p>
    <w:p w14:paraId="368A75D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1"/>
          <w:sz w:val="21"/>
          <w:szCs w:val="21"/>
          <w:highlight w:val="none"/>
          <w:lang w:eastAsia="zh-CN"/>
        </w:rPr>
        <w:t>（2）</w:t>
      </w:r>
      <w:r>
        <w:rPr>
          <w:rFonts w:hint="eastAsia" w:ascii="宋体" w:hAnsi="宋体" w:eastAsia="宋体" w:cs="宋体"/>
          <w:color w:val="auto"/>
          <w:spacing w:val="-1"/>
          <w:sz w:val="21"/>
          <w:szCs w:val="21"/>
          <w:highlight w:val="none"/>
        </w:rPr>
        <w:t xml:space="preserve"> 除另有规定外，工程师应按照合同</w:t>
      </w:r>
      <w:r>
        <w:rPr>
          <w:rFonts w:hint="eastAsia" w:ascii="宋体" w:hAnsi="宋体" w:eastAsia="宋体" w:cs="宋体"/>
          <w:color w:val="auto"/>
          <w:spacing w:val="-2"/>
          <w:sz w:val="21"/>
          <w:szCs w:val="21"/>
          <w:highlight w:val="none"/>
        </w:rPr>
        <w:t>通过计量来核实确定已完成的工程量和</w:t>
      </w:r>
      <w:r>
        <w:rPr>
          <w:rFonts w:hint="eastAsia" w:ascii="宋体" w:hAnsi="宋体" w:eastAsia="宋体" w:cs="宋体"/>
          <w:color w:val="auto"/>
          <w:sz w:val="21"/>
          <w:szCs w:val="21"/>
          <w:highlight w:val="none"/>
        </w:rPr>
        <w:t>价款，承包人应得到该价款扣除保留金后的金额。当工</w:t>
      </w:r>
      <w:r>
        <w:rPr>
          <w:rFonts w:hint="eastAsia" w:ascii="宋体" w:hAnsi="宋体" w:eastAsia="宋体" w:cs="宋体"/>
          <w:color w:val="auto"/>
          <w:spacing w:val="-1"/>
          <w:sz w:val="21"/>
          <w:szCs w:val="21"/>
          <w:highlight w:val="none"/>
        </w:rPr>
        <w:t>程师要对已完工的工程量进行计量时，应</w:t>
      </w:r>
      <w:r>
        <w:rPr>
          <w:rFonts w:hint="eastAsia" w:ascii="宋体" w:hAnsi="宋体" w:cs="宋体"/>
          <w:color w:val="auto"/>
          <w:spacing w:val="-1"/>
          <w:sz w:val="21"/>
          <w:szCs w:val="21"/>
          <w:highlight w:val="none"/>
          <w:lang w:eastAsia="zh-CN"/>
        </w:rPr>
        <w:t>适时</w:t>
      </w:r>
      <w:r>
        <w:rPr>
          <w:rFonts w:hint="eastAsia" w:ascii="宋体" w:hAnsi="宋体" w:eastAsia="宋体" w:cs="宋体"/>
          <w:color w:val="auto"/>
          <w:spacing w:val="-1"/>
          <w:sz w:val="21"/>
          <w:szCs w:val="21"/>
          <w:highlight w:val="none"/>
        </w:rPr>
        <w:t>通知承包人参加。</w:t>
      </w:r>
    </w:p>
    <w:p w14:paraId="0FF8281C">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498" w:name="_Toc3537"/>
      <w:bookmarkStart w:id="499" w:name="_Toc27277"/>
      <w:r>
        <w:rPr>
          <w:rFonts w:hint="eastAsia" w:ascii="宋体" w:hAnsi="宋体" w:eastAsia="宋体" w:cs="宋体"/>
          <w:b w:val="0"/>
          <w:color w:val="auto"/>
          <w:spacing w:val="-2"/>
          <w:sz w:val="21"/>
          <w:szCs w:val="21"/>
          <w:highlight w:val="none"/>
        </w:rPr>
        <w:t>12.3.4 总价合同的计量</w:t>
      </w:r>
      <w:bookmarkEnd w:id="498"/>
      <w:bookmarkEnd w:id="499"/>
    </w:p>
    <w:p w14:paraId="70BABA8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（1）总价合同计量约定：进度款按支付分解表支付，支付分解表</w:t>
      </w:r>
      <w:r>
        <w:rPr>
          <w:rFonts w:hint="eastAsia" w:ascii="宋体" w:hAnsi="宋体" w:eastAsia="宋体" w:cs="宋体"/>
          <w:color w:val="auto"/>
          <w:spacing w:val="-4"/>
          <w:sz w:val="21"/>
          <w:szCs w:val="21"/>
          <w:highlight w:val="none"/>
        </w:rPr>
        <w:t>在招标完成后</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签订</w:t>
      </w:r>
      <w:r>
        <w:rPr>
          <w:rFonts w:hint="eastAsia" w:ascii="宋体" w:hAnsi="宋体" w:eastAsia="宋体" w:cs="宋体"/>
          <w:color w:val="auto"/>
          <w:spacing w:val="-1"/>
          <w:sz w:val="21"/>
          <w:szCs w:val="21"/>
          <w:highlight w:val="none"/>
        </w:rPr>
        <w:t>合同之前制定，具体详见本专用合同条款12.4.6。</w:t>
      </w:r>
    </w:p>
    <w:p w14:paraId="4D661DD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12.3.6 其他价格形式合同的计量</w:t>
      </w:r>
      <w:r>
        <w:rPr>
          <w:rFonts w:hint="eastAsia" w:ascii="宋体" w:hAnsi="宋体" w:eastAsia="宋体" w:cs="宋体"/>
          <w:color w:val="auto"/>
          <w:spacing w:val="-3"/>
          <w:sz w:val="21"/>
          <w:szCs w:val="21"/>
          <w:highlight w:val="none"/>
        </w:rPr>
        <w:t>其他价格形式的计量方式和程序</w:t>
      </w:r>
      <w:r>
        <w:rPr>
          <w:rFonts w:hint="eastAsia" w:ascii="宋体" w:hAnsi="宋体" w:cs="宋体"/>
          <w:color w:val="auto"/>
          <w:spacing w:val="-3"/>
          <w:sz w:val="21"/>
          <w:szCs w:val="21"/>
          <w:highlight w:val="none"/>
          <w:lang w:eastAsia="zh-CN"/>
        </w:rPr>
        <w:t>：</w:t>
      </w:r>
    </w:p>
    <w:p w14:paraId="6F8A7F14">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00" w:name="_Toc20505"/>
      <w:bookmarkStart w:id="501" w:name="_Toc26176"/>
      <w:r>
        <w:rPr>
          <w:rFonts w:hint="eastAsia" w:ascii="宋体" w:hAnsi="宋体" w:eastAsia="宋体" w:cs="宋体"/>
          <w:b w:val="0"/>
          <w:bCs/>
          <w:color w:val="auto"/>
          <w:spacing w:val="-5"/>
          <w:sz w:val="21"/>
          <w:szCs w:val="21"/>
          <w:highlight w:val="none"/>
        </w:rPr>
        <w:t>12.4</w:t>
      </w:r>
      <w:r>
        <w:rPr>
          <w:rFonts w:hint="eastAsia" w:ascii="宋体" w:hAnsi="宋体" w:eastAsia="宋体" w:cs="宋体"/>
          <w:b w:val="0"/>
          <w:color w:val="auto"/>
          <w:spacing w:val="-5"/>
          <w:sz w:val="21"/>
          <w:szCs w:val="21"/>
          <w:highlight w:val="none"/>
        </w:rPr>
        <w:t xml:space="preserve"> </w:t>
      </w:r>
      <w:r>
        <w:rPr>
          <w:rFonts w:hint="eastAsia" w:ascii="宋体" w:hAnsi="宋体" w:eastAsia="宋体" w:cs="宋体"/>
          <w:b w:val="0"/>
          <w:bCs/>
          <w:color w:val="auto"/>
          <w:spacing w:val="-5"/>
          <w:sz w:val="21"/>
          <w:szCs w:val="21"/>
          <w:highlight w:val="none"/>
        </w:rPr>
        <w:t>工程进度款支付</w:t>
      </w:r>
      <w:bookmarkEnd w:id="500"/>
      <w:bookmarkEnd w:id="501"/>
    </w:p>
    <w:p w14:paraId="5F79B64C">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02" w:name="_Toc24082"/>
      <w:bookmarkStart w:id="503" w:name="_Toc22424"/>
      <w:r>
        <w:rPr>
          <w:rFonts w:hint="eastAsia" w:ascii="宋体" w:hAnsi="宋体" w:eastAsia="宋体" w:cs="宋体"/>
          <w:b w:val="0"/>
          <w:color w:val="auto"/>
          <w:spacing w:val="-3"/>
          <w:sz w:val="21"/>
          <w:szCs w:val="21"/>
          <w:highlight w:val="none"/>
        </w:rPr>
        <w:t>12.4.1 付款周期</w:t>
      </w:r>
      <w:bookmarkEnd w:id="502"/>
      <w:bookmarkEnd w:id="503"/>
    </w:p>
    <w:p w14:paraId="599FA85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工程项目施工设备进场施工后，可拨付合同价款的30%作为预付款；合同内进度款支付限额为已完成工程量的90%，工程变更部分进度款支付限额为已完成工程量的70%；第二次付款时按工程进度支付并抵扣预付款；工程竣工验收合格后，工程款支付至合同价款的</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审计结算后，拨付至全部价款的97%</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建设单位按价款结算总额的3%预留工程质量保证金</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保修期为贰年整</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保修期满后结清。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所有款项发包人应当在收到承包人开具的发票之日起</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个工作日内将资金支付到合同约定的承包人账户，实际支付款项以届时县财政资金支付能力为准</w:t>
      </w:r>
      <w:r>
        <w:rPr>
          <w:rFonts w:hint="eastAsia" w:ascii="宋体" w:hAnsi="宋体" w:eastAsia="宋体" w:cs="宋体"/>
          <w:color w:val="auto"/>
          <w:sz w:val="21"/>
          <w:szCs w:val="21"/>
          <w:highlight w:val="none"/>
        </w:rPr>
        <w:t>。</w:t>
      </w:r>
    </w:p>
    <w:p w14:paraId="4E4AA9E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注：在每次拨付款项前，发包人在承包人开具等额发票30日内支付相应款项。</w:t>
      </w:r>
    </w:p>
    <w:p w14:paraId="507A5DA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z w:val="21"/>
          <w:szCs w:val="21"/>
          <w:highlight w:val="none"/>
        </w:rPr>
        <w:t>2.合同约定的工程质量缺陷责任期满后由成交</w:t>
      </w:r>
      <w:r>
        <w:rPr>
          <w:rFonts w:hint="eastAsia" w:ascii="宋体" w:hAnsi="宋体" w:eastAsia="宋体" w:cs="宋体"/>
          <w:color w:val="auto"/>
          <w:spacing w:val="-1"/>
          <w:sz w:val="21"/>
          <w:szCs w:val="21"/>
          <w:highlight w:val="none"/>
        </w:rPr>
        <w:t>供应商向采购人提出返还保证金</w:t>
      </w:r>
      <w:r>
        <w:rPr>
          <w:rFonts w:hint="eastAsia" w:ascii="宋体" w:hAnsi="宋体" w:eastAsia="宋体" w:cs="宋体"/>
          <w:color w:val="auto"/>
          <w:spacing w:val="-3"/>
          <w:sz w:val="21"/>
          <w:szCs w:val="21"/>
          <w:highlight w:val="none"/>
        </w:rPr>
        <w:t>的申请，采购人在接到成交供应商返还保证金申请后，于14 天内会同成交供应商按照合同约定的内容进行核实。如无异议，采购人在核实后 14 天内将保证金返还成</w:t>
      </w:r>
      <w:r>
        <w:rPr>
          <w:rFonts w:hint="eastAsia" w:ascii="宋体" w:hAnsi="宋体" w:eastAsia="宋体" w:cs="宋体"/>
          <w:color w:val="auto"/>
          <w:sz w:val="21"/>
          <w:szCs w:val="21"/>
          <w:highlight w:val="none"/>
        </w:rPr>
        <w:t>交供应商，逾期未返还的，依法承担违约责任。采购人</w:t>
      </w:r>
      <w:r>
        <w:rPr>
          <w:rFonts w:hint="eastAsia" w:ascii="宋体" w:hAnsi="宋体" w:eastAsia="宋体" w:cs="宋体"/>
          <w:color w:val="auto"/>
          <w:spacing w:val="-1"/>
          <w:sz w:val="21"/>
          <w:szCs w:val="21"/>
          <w:highlight w:val="none"/>
        </w:rPr>
        <w:t>在接到成交供应商返还保证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金申请后 14 天内不予答复，经催告后 14</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1"/>
          <w:sz w:val="21"/>
          <w:szCs w:val="21"/>
          <w:highlight w:val="none"/>
        </w:rPr>
        <w:t>天内仍不予答复，视同认可成交供应商</w:t>
      </w:r>
      <w:r>
        <w:rPr>
          <w:rFonts w:hint="eastAsia" w:ascii="宋体" w:hAnsi="宋体" w:eastAsia="宋体" w:cs="宋体"/>
          <w:color w:val="auto"/>
          <w:spacing w:val="-2"/>
          <w:sz w:val="21"/>
          <w:szCs w:val="21"/>
          <w:highlight w:val="none"/>
        </w:rPr>
        <w:t>的返还保证金申请。</w:t>
      </w:r>
    </w:p>
    <w:p w14:paraId="1CB4695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default" w:ascii="宋体" w:hAnsi="宋体" w:eastAsia="宋体" w:cs="宋体"/>
          <w:color w:val="auto"/>
          <w:spacing w:val="-2"/>
          <w:sz w:val="21"/>
          <w:szCs w:val="21"/>
          <w:highlight w:val="none"/>
          <w:lang w:val="en-US" w:eastAsia="zh-CN"/>
        </w:rPr>
      </w:pPr>
      <w:r>
        <w:rPr>
          <w:rFonts w:hint="eastAsia" w:ascii="宋体" w:hAnsi="宋体" w:cs="宋体"/>
          <w:color w:val="auto"/>
          <w:spacing w:val="-2"/>
          <w:sz w:val="21"/>
          <w:szCs w:val="21"/>
          <w:highlight w:val="none"/>
          <w:lang w:val="en-US" w:eastAsia="zh-CN"/>
        </w:rPr>
        <w:t>3.劳务报酬发放：承包人聘请及技能培训群众务工不低于（）人，及时足额发放务工群众劳务报酬，劳务报酬比例不低于（）万元。</w:t>
      </w:r>
    </w:p>
    <w:p w14:paraId="1F944D7F">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04" w:name="_Toc27206"/>
      <w:bookmarkStart w:id="505" w:name="_Toc4622"/>
      <w:r>
        <w:rPr>
          <w:rFonts w:hint="eastAsia" w:ascii="宋体" w:hAnsi="宋体" w:eastAsia="宋体" w:cs="宋体"/>
          <w:b w:val="0"/>
          <w:color w:val="auto"/>
          <w:spacing w:val="-2"/>
          <w:sz w:val="21"/>
          <w:szCs w:val="21"/>
          <w:highlight w:val="none"/>
        </w:rPr>
        <w:t>12.4.2 进度付款申请单的编制</w:t>
      </w:r>
      <w:bookmarkEnd w:id="504"/>
      <w:bookmarkEnd w:id="505"/>
    </w:p>
    <w:p w14:paraId="61A9494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关于进度付款申请单编制的约定：</w:t>
      </w:r>
      <w:r>
        <w:rPr>
          <w:rFonts w:hint="eastAsia" w:ascii="宋体" w:hAnsi="宋体" w:eastAsia="宋体" w:cs="宋体"/>
          <w:color w:val="auto"/>
          <w:sz w:val="21"/>
          <w:szCs w:val="21"/>
          <w:highlight w:val="none"/>
          <w:u w:val="single" w:color="auto"/>
        </w:rPr>
        <w:t>每月25日</w:t>
      </w:r>
      <w:r>
        <w:rPr>
          <w:rFonts w:hint="eastAsia" w:ascii="宋体" w:hAnsi="宋体" w:eastAsia="宋体" w:cs="宋体"/>
          <w:color w:val="auto"/>
          <w:spacing w:val="-1"/>
          <w:sz w:val="21"/>
          <w:szCs w:val="21"/>
          <w:highlight w:val="none"/>
          <w:u w:val="single" w:color="auto"/>
        </w:rPr>
        <w:t>前，按发包人提供的工程款进度付款申请材料格式和内容填报</w:t>
      </w:r>
      <w:r>
        <w:rPr>
          <w:rFonts w:hint="eastAsia" w:ascii="宋体" w:hAnsi="宋体" w:eastAsia="宋体" w:cs="宋体"/>
          <w:color w:val="auto"/>
          <w:spacing w:val="-1"/>
          <w:sz w:val="21"/>
          <w:szCs w:val="21"/>
          <w:highlight w:val="none"/>
        </w:rPr>
        <w:t>。</w:t>
      </w:r>
    </w:p>
    <w:p w14:paraId="4C28274F">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06" w:name="_Toc14893"/>
      <w:bookmarkStart w:id="507" w:name="_Toc20270"/>
      <w:r>
        <w:rPr>
          <w:rFonts w:hint="eastAsia" w:ascii="宋体" w:hAnsi="宋体" w:eastAsia="宋体" w:cs="宋体"/>
          <w:b w:val="0"/>
          <w:color w:val="auto"/>
          <w:spacing w:val="-2"/>
          <w:sz w:val="21"/>
          <w:szCs w:val="21"/>
          <w:highlight w:val="none"/>
        </w:rPr>
        <w:t>12.4.3 进度付款申请单的提交</w:t>
      </w:r>
      <w:bookmarkEnd w:id="506"/>
      <w:bookmarkEnd w:id="507"/>
    </w:p>
    <w:p w14:paraId="680F85A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（1）单价合同进度付款申请单提交的约定：</w:t>
      </w:r>
      <w:r>
        <w:rPr>
          <w:rFonts w:hint="eastAsia" w:ascii="宋体" w:hAnsi="宋体" w:eastAsia="宋体" w:cs="宋体"/>
          <w:color w:val="auto"/>
          <w:spacing w:val="-3"/>
          <w:sz w:val="21"/>
          <w:szCs w:val="21"/>
          <w:highlight w:val="none"/>
          <w:u w:val="single" w:color="auto"/>
        </w:rPr>
        <w:t>申请工程进度款时，</w:t>
      </w:r>
      <w:r>
        <w:rPr>
          <w:rFonts w:hint="eastAsia" w:ascii="宋体" w:hAnsi="宋体" w:eastAsia="宋体" w:cs="宋体"/>
          <w:color w:val="auto"/>
          <w:spacing w:val="-4"/>
          <w:sz w:val="21"/>
          <w:szCs w:val="21"/>
          <w:highlight w:val="none"/>
          <w:u w:val="single" w:color="auto"/>
        </w:rPr>
        <w:t>承包人应配合</w:t>
      </w:r>
      <w:r>
        <w:rPr>
          <w:rFonts w:hint="eastAsia" w:ascii="宋体" w:hAnsi="宋体" w:eastAsia="宋体" w:cs="宋体"/>
          <w:color w:val="auto"/>
          <w:sz w:val="21"/>
          <w:szCs w:val="21"/>
          <w:highlight w:val="none"/>
          <w:u w:val="single" w:color="auto"/>
        </w:rPr>
        <w:t>发包人提供以下资料①《工程用款支付证书》；②已完工</w:t>
      </w:r>
      <w:r>
        <w:rPr>
          <w:rFonts w:hint="eastAsia" w:ascii="宋体" w:hAnsi="宋体" w:eastAsia="宋体" w:cs="宋体"/>
          <w:color w:val="auto"/>
          <w:spacing w:val="-1"/>
          <w:sz w:val="21"/>
          <w:szCs w:val="21"/>
          <w:highlight w:val="none"/>
          <w:u w:val="single" w:color="auto"/>
        </w:rPr>
        <w:t>程量计算书；③监理审核</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color="auto"/>
        </w:rPr>
        <w:t>计算书；④其他需要补充说明的材料；⑤若乙方账户变动</w:t>
      </w:r>
      <w:r>
        <w:rPr>
          <w:rFonts w:hint="eastAsia" w:ascii="宋体" w:hAnsi="宋体" w:eastAsia="宋体" w:cs="宋体"/>
          <w:color w:val="auto"/>
          <w:spacing w:val="-1"/>
          <w:sz w:val="21"/>
          <w:szCs w:val="21"/>
          <w:highlight w:val="none"/>
          <w:u w:val="single" w:color="auto"/>
        </w:rPr>
        <w:t>，则须提交账户变更信息</w:t>
      </w:r>
      <w:r>
        <w:rPr>
          <w:rFonts w:hint="eastAsia" w:ascii="宋体" w:hAnsi="宋体" w:eastAsia="宋体" w:cs="宋体"/>
          <w:color w:val="auto"/>
          <w:position w:val="1"/>
          <w:sz w:val="21"/>
          <w:szCs w:val="21"/>
          <w:highlight w:val="none"/>
        </w:rPr>
        <w:t>。</w:t>
      </w:r>
    </w:p>
    <w:p w14:paraId="765A856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（2）总价合同进度付款申请单提交的约定</w:t>
      </w:r>
      <w:r>
        <w:rPr>
          <w:rFonts w:hint="eastAsia" w:ascii="宋体" w:hAnsi="宋体" w:cs="宋体"/>
          <w:color w:val="auto"/>
          <w:spacing w:val="-1"/>
          <w:sz w:val="21"/>
          <w:szCs w:val="21"/>
          <w:highlight w:val="none"/>
          <w:lang w:eastAsia="zh-CN"/>
        </w:rPr>
        <w:t>：</w:t>
      </w:r>
    </w:p>
    <w:p w14:paraId="37043A3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（3）其他价格形式合同进度付款申请单提交的约定</w:t>
      </w:r>
      <w:r>
        <w:rPr>
          <w:rFonts w:hint="eastAsia" w:ascii="宋体" w:hAnsi="宋体" w:cs="宋体"/>
          <w:color w:val="auto"/>
          <w:spacing w:val="-1"/>
          <w:sz w:val="21"/>
          <w:szCs w:val="21"/>
          <w:highlight w:val="none"/>
          <w:lang w:eastAsia="zh-CN"/>
        </w:rPr>
        <w:t>：</w:t>
      </w:r>
    </w:p>
    <w:p w14:paraId="39FEBF62">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08" w:name="_Toc19012"/>
      <w:bookmarkStart w:id="509" w:name="_Toc26706"/>
      <w:r>
        <w:rPr>
          <w:rFonts w:hint="eastAsia" w:ascii="宋体" w:hAnsi="宋体" w:eastAsia="宋体" w:cs="宋体"/>
          <w:b w:val="0"/>
          <w:color w:val="auto"/>
          <w:spacing w:val="-2"/>
          <w:sz w:val="21"/>
          <w:szCs w:val="21"/>
          <w:highlight w:val="none"/>
        </w:rPr>
        <w:t>12.4.4 进度款审核和支付</w:t>
      </w:r>
      <w:bookmarkEnd w:id="508"/>
      <w:bookmarkEnd w:id="509"/>
    </w:p>
    <w:p w14:paraId="1E2EBF0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（1）监理人审查并报送发包人的期限：</w:t>
      </w:r>
      <w:r>
        <w:rPr>
          <w:rFonts w:hint="eastAsia" w:ascii="宋体" w:hAnsi="宋体" w:eastAsia="宋体" w:cs="宋体"/>
          <w:color w:val="auto"/>
          <w:spacing w:val="-1"/>
          <w:sz w:val="21"/>
          <w:szCs w:val="21"/>
          <w:highlight w:val="none"/>
          <w:u w:val="single" w:color="auto"/>
        </w:rPr>
        <w:t>每月25日送达发包人</w:t>
      </w:r>
      <w:r>
        <w:rPr>
          <w:rFonts w:hint="eastAsia" w:ascii="宋体" w:hAnsi="宋体" w:eastAsia="宋体" w:cs="宋体"/>
          <w:color w:val="auto"/>
          <w:spacing w:val="-1"/>
          <w:sz w:val="21"/>
          <w:szCs w:val="21"/>
          <w:highlight w:val="none"/>
        </w:rPr>
        <w:t>。</w:t>
      </w:r>
    </w:p>
    <w:p w14:paraId="6726EDD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（2）发包人支付进度款的期限：</w:t>
      </w:r>
      <w:r>
        <w:rPr>
          <w:rFonts w:hint="eastAsia" w:ascii="宋体" w:hAnsi="宋体" w:eastAsia="宋体" w:cs="宋体"/>
          <w:color w:val="auto"/>
          <w:spacing w:val="-2"/>
          <w:sz w:val="21"/>
          <w:szCs w:val="21"/>
          <w:highlight w:val="none"/>
          <w:u w:val="single" w:color="auto"/>
        </w:rPr>
        <w:t>发包人按月完成审批并签发进度款支付证书，</w:t>
      </w:r>
      <w:r>
        <w:rPr>
          <w:rFonts w:hint="eastAsia" w:ascii="宋体" w:hAnsi="宋体" w:eastAsia="宋体" w:cs="宋体"/>
          <w:color w:val="auto"/>
          <w:spacing w:val="-1"/>
          <w:sz w:val="21"/>
          <w:szCs w:val="21"/>
          <w:highlight w:val="none"/>
          <w:u w:val="single" w:color="auto"/>
        </w:rPr>
        <w:t>进度款的支付按本专用条款12.4.1的约定支付</w:t>
      </w:r>
      <w:r>
        <w:rPr>
          <w:rFonts w:hint="eastAsia" w:ascii="宋体" w:hAnsi="宋体" w:eastAsia="宋体" w:cs="宋体"/>
          <w:color w:val="auto"/>
          <w:spacing w:val="-1"/>
          <w:sz w:val="21"/>
          <w:szCs w:val="21"/>
          <w:highlight w:val="none"/>
        </w:rPr>
        <w:t>。</w:t>
      </w:r>
    </w:p>
    <w:p w14:paraId="5E1DA83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发包人逾期支付进度款的违约金的计算方式：</w:t>
      </w:r>
      <w:r>
        <w:rPr>
          <w:rFonts w:hint="eastAsia" w:ascii="宋体" w:hAnsi="宋体" w:eastAsia="宋体" w:cs="宋体"/>
          <w:color w:val="auto"/>
          <w:spacing w:val="-1"/>
          <w:sz w:val="21"/>
          <w:szCs w:val="21"/>
          <w:highlight w:val="none"/>
          <w:u w:val="single" w:color="auto"/>
        </w:rPr>
        <w:t>无</w:t>
      </w:r>
      <w:r>
        <w:rPr>
          <w:rFonts w:hint="eastAsia" w:ascii="宋体" w:hAnsi="宋体" w:eastAsia="宋体" w:cs="宋体"/>
          <w:color w:val="auto"/>
          <w:spacing w:val="-1"/>
          <w:sz w:val="21"/>
          <w:szCs w:val="21"/>
          <w:highlight w:val="none"/>
        </w:rPr>
        <w:t>。</w:t>
      </w:r>
    </w:p>
    <w:p w14:paraId="3755482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进度款支付方式：</w:t>
      </w:r>
      <w:r>
        <w:rPr>
          <w:rFonts w:hint="eastAsia" w:ascii="宋体" w:hAnsi="宋体" w:eastAsia="宋体" w:cs="宋体"/>
          <w:color w:val="auto"/>
          <w:spacing w:val="-3"/>
          <w:sz w:val="21"/>
          <w:szCs w:val="21"/>
          <w:highlight w:val="none"/>
          <w:u w:val="single" w:color="auto"/>
        </w:rPr>
        <w:t>银行转账</w:t>
      </w:r>
      <w:r>
        <w:rPr>
          <w:rFonts w:hint="eastAsia" w:ascii="宋体" w:hAnsi="宋体" w:eastAsia="宋体" w:cs="宋体"/>
          <w:color w:val="auto"/>
          <w:spacing w:val="-3"/>
          <w:sz w:val="21"/>
          <w:szCs w:val="21"/>
          <w:highlight w:val="none"/>
        </w:rPr>
        <w:t>。承包人申请进度款之前需提供合法合规的本次申</w:t>
      </w:r>
      <w:r>
        <w:rPr>
          <w:rFonts w:hint="eastAsia" w:ascii="宋体" w:hAnsi="宋体" w:eastAsia="宋体" w:cs="宋体"/>
          <w:color w:val="auto"/>
          <w:spacing w:val="-1"/>
          <w:sz w:val="21"/>
          <w:szCs w:val="21"/>
          <w:highlight w:val="none"/>
        </w:rPr>
        <w:t>请款项额度的发票。</w:t>
      </w:r>
    </w:p>
    <w:p w14:paraId="628E2D5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（3）农民工工资支付</w:t>
      </w:r>
    </w:p>
    <w:p w14:paraId="2C8888C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1）人工费用是指发包人向承包人专用账户拨付的专项用于支付农民工工资的工程款。农民工工资专用账户是指承包人在工程建设项目</w:t>
      </w:r>
      <w:r>
        <w:rPr>
          <w:rFonts w:hint="eastAsia" w:ascii="宋体" w:hAnsi="宋体" w:eastAsia="宋体" w:cs="宋体"/>
          <w:color w:val="auto"/>
          <w:spacing w:val="-2"/>
          <w:sz w:val="21"/>
          <w:szCs w:val="21"/>
          <w:highlight w:val="none"/>
        </w:rPr>
        <w:t xml:space="preserve">所在地银行业金融机构 </w:t>
      </w:r>
      <w:r>
        <w:rPr>
          <w:rFonts w:hint="eastAsia" w:ascii="宋体" w:hAnsi="宋体" w:cs="宋体"/>
          <w:color w:val="auto"/>
          <w:spacing w:val="-2"/>
          <w:sz w:val="21"/>
          <w:szCs w:val="21"/>
          <w:highlight w:val="none"/>
          <w:lang w:eastAsia="zh-CN"/>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简称银行）开立的，专项用于支付农民工工资的专用存款账户。</w:t>
      </w:r>
    </w:p>
    <w:p w14:paraId="68A8ADE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2）人工费</w:t>
      </w:r>
      <w:r>
        <w:rPr>
          <w:rFonts w:hint="eastAsia" w:ascii="宋体" w:hAnsi="宋体" w:cs="宋体"/>
          <w:color w:val="auto"/>
          <w:sz w:val="21"/>
          <w:szCs w:val="21"/>
          <w:highlight w:val="none"/>
          <w:lang w:eastAsia="zh-CN"/>
        </w:rPr>
        <w:t>应用</w:t>
      </w:r>
      <w:r>
        <w:rPr>
          <w:rFonts w:hint="eastAsia" w:ascii="宋体" w:hAnsi="宋体" w:eastAsia="宋体" w:cs="宋体"/>
          <w:color w:val="auto"/>
          <w:sz w:val="21"/>
          <w:szCs w:val="21"/>
          <w:highlight w:val="none"/>
        </w:rPr>
        <w:t>与工程进度款分账管理。必须</w:t>
      </w:r>
      <w:r>
        <w:rPr>
          <w:rFonts w:hint="eastAsia" w:ascii="宋体" w:hAnsi="宋体" w:eastAsia="宋体" w:cs="宋体"/>
          <w:color w:val="auto"/>
          <w:spacing w:val="-1"/>
          <w:sz w:val="21"/>
          <w:szCs w:val="21"/>
          <w:highlight w:val="none"/>
        </w:rPr>
        <w:t>按时足额支付，人工费拨付周期</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不得超过1个月，最少每月支付一次</w:t>
      </w:r>
      <w:r>
        <w:rPr>
          <w:rFonts w:hint="eastAsia" w:ascii="宋体" w:hAnsi="宋体" w:cs="宋体"/>
          <w:color w:val="auto"/>
          <w:spacing w:val="-3"/>
          <w:sz w:val="21"/>
          <w:szCs w:val="21"/>
          <w:highlight w:val="none"/>
          <w:lang w:eastAsia="zh-CN"/>
        </w:rPr>
        <w:t>，在</w:t>
      </w:r>
      <w:r>
        <w:rPr>
          <w:rFonts w:hint="eastAsia" w:ascii="宋体" w:hAnsi="宋体" w:eastAsia="宋体" w:cs="宋体"/>
          <w:color w:val="auto"/>
          <w:spacing w:val="-3"/>
          <w:sz w:val="21"/>
          <w:szCs w:val="21"/>
          <w:highlight w:val="none"/>
        </w:rPr>
        <w:t>无工程款申请的月份</w:t>
      </w:r>
      <w:r>
        <w:rPr>
          <w:rFonts w:hint="eastAsia" w:ascii="宋体" w:hAnsi="宋体" w:cs="宋体"/>
          <w:color w:val="auto"/>
          <w:spacing w:val="-3"/>
          <w:sz w:val="21"/>
          <w:szCs w:val="21"/>
          <w:highlight w:val="none"/>
          <w:lang w:eastAsia="zh-CN"/>
        </w:rPr>
        <w:t>，由</w:t>
      </w:r>
      <w:r>
        <w:rPr>
          <w:rFonts w:hint="eastAsia" w:ascii="宋体" w:hAnsi="宋体" w:eastAsia="宋体" w:cs="宋体"/>
          <w:color w:val="auto"/>
          <w:spacing w:val="-3"/>
          <w:sz w:val="21"/>
          <w:szCs w:val="21"/>
          <w:highlight w:val="none"/>
        </w:rPr>
        <w:t>承包人单独上报人工费</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z w:val="21"/>
          <w:szCs w:val="21"/>
          <w:highlight w:val="none"/>
        </w:rPr>
        <w:t>划拨申请；若因发包人未按照合同约定划拨工程款项导致拖</w:t>
      </w:r>
      <w:r>
        <w:rPr>
          <w:rFonts w:hint="eastAsia" w:ascii="宋体" w:hAnsi="宋体" w:eastAsia="宋体" w:cs="宋体"/>
          <w:color w:val="auto"/>
          <w:spacing w:val="-1"/>
          <w:sz w:val="21"/>
          <w:szCs w:val="21"/>
          <w:highlight w:val="none"/>
        </w:rPr>
        <w:t>欠工资的，由发包人以</w:t>
      </w:r>
      <w:r>
        <w:rPr>
          <w:rFonts w:hint="eastAsia" w:ascii="宋体" w:hAnsi="宋体" w:eastAsia="宋体" w:cs="宋体"/>
          <w:color w:val="auto"/>
          <w:sz w:val="21"/>
          <w:szCs w:val="21"/>
          <w:highlight w:val="none"/>
        </w:rPr>
        <w:t>未结清的工程款项为限先行垫付所拖欠的工资；</w:t>
      </w:r>
      <w:r>
        <w:rPr>
          <w:rFonts w:hint="eastAsia" w:ascii="宋体" w:hAnsi="宋体" w:eastAsia="宋体" w:cs="宋体"/>
          <w:color w:val="auto"/>
          <w:spacing w:val="-1"/>
          <w:sz w:val="21"/>
          <w:szCs w:val="21"/>
          <w:highlight w:val="none"/>
        </w:rPr>
        <w:t>承包人向发包人申请工程进度款时</w:t>
      </w:r>
      <w:r>
        <w:rPr>
          <w:rFonts w:hint="eastAsia" w:ascii="宋体" w:hAnsi="宋体" w:eastAsia="宋体" w:cs="宋体"/>
          <w:color w:val="auto"/>
          <w:sz w:val="21"/>
          <w:szCs w:val="21"/>
          <w:highlight w:val="none"/>
        </w:rPr>
        <w:t xml:space="preserve"> 必须把农民工工资部分单独列明，如果未单独列明，监理</w:t>
      </w:r>
      <w:r>
        <w:rPr>
          <w:rFonts w:hint="eastAsia" w:ascii="宋体" w:hAnsi="宋体" w:eastAsia="宋体" w:cs="宋体"/>
          <w:color w:val="auto"/>
          <w:spacing w:val="-1"/>
          <w:sz w:val="21"/>
          <w:szCs w:val="21"/>
          <w:highlight w:val="none"/>
        </w:rPr>
        <w:t>单位不得签支付证书等支</w:t>
      </w:r>
      <w:r>
        <w:rPr>
          <w:rFonts w:hint="eastAsia" w:ascii="宋体" w:hAnsi="宋体" w:eastAsia="宋体" w:cs="宋体"/>
          <w:color w:val="auto"/>
          <w:sz w:val="21"/>
          <w:szCs w:val="21"/>
          <w:highlight w:val="none"/>
        </w:rPr>
        <w:t xml:space="preserve"> 付工程款的手续，发包人单位不得审批和支付工程款。发</w:t>
      </w:r>
      <w:r>
        <w:rPr>
          <w:rFonts w:hint="eastAsia" w:ascii="宋体" w:hAnsi="宋体" w:eastAsia="宋体" w:cs="宋体"/>
          <w:color w:val="auto"/>
          <w:spacing w:val="-1"/>
          <w:sz w:val="21"/>
          <w:szCs w:val="21"/>
          <w:highlight w:val="none"/>
        </w:rPr>
        <w:t>包人必须把工程款分账出</w:t>
      </w:r>
      <w:r>
        <w:rPr>
          <w:rFonts w:hint="eastAsia" w:ascii="宋体" w:hAnsi="宋体" w:eastAsia="宋体" w:cs="宋体"/>
          <w:color w:val="auto"/>
          <w:sz w:val="21"/>
          <w:szCs w:val="21"/>
          <w:highlight w:val="none"/>
        </w:rPr>
        <w:t xml:space="preserve"> 来的人工费转入承包人农民工工资支付专用账户，转入农</w:t>
      </w:r>
      <w:r>
        <w:rPr>
          <w:rFonts w:hint="eastAsia" w:ascii="宋体" w:hAnsi="宋体" w:eastAsia="宋体" w:cs="宋体"/>
          <w:color w:val="auto"/>
          <w:spacing w:val="-1"/>
          <w:sz w:val="21"/>
          <w:szCs w:val="21"/>
          <w:highlight w:val="none"/>
        </w:rPr>
        <w:t>民工工资支付专用账户环</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节必须有银行流水凭证。</w:t>
      </w:r>
    </w:p>
    <w:p w14:paraId="117CF22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3）发包人依据工程进度，审核承包人申报的工程进度款，按照与承包人约定</w:t>
      </w:r>
      <w:r>
        <w:rPr>
          <w:rFonts w:hint="eastAsia" w:ascii="宋体" w:hAnsi="宋体" w:eastAsia="宋体" w:cs="宋体"/>
          <w:color w:val="auto"/>
          <w:sz w:val="21"/>
          <w:szCs w:val="21"/>
          <w:highlight w:val="none"/>
        </w:rPr>
        <w:t>的人工费支付比例 15%（房建项目不少于2</w:t>
      </w:r>
      <w:r>
        <w:rPr>
          <w:rFonts w:hint="eastAsia" w:ascii="宋体" w:hAnsi="宋体" w:eastAsia="宋体" w:cs="宋体"/>
          <w:color w:val="auto"/>
          <w:spacing w:val="-1"/>
          <w:sz w:val="21"/>
          <w:szCs w:val="21"/>
          <w:highlight w:val="none"/>
        </w:rPr>
        <w:t>0%，市政项目不少于15%</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将人工费及</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t>时足额拨付至承包人的农民工工资专用账户，其余工程进</w:t>
      </w:r>
      <w:r>
        <w:rPr>
          <w:rFonts w:hint="eastAsia" w:ascii="宋体" w:hAnsi="宋体" w:eastAsia="宋体" w:cs="宋体"/>
          <w:color w:val="auto"/>
          <w:spacing w:val="-1"/>
          <w:sz w:val="21"/>
          <w:szCs w:val="21"/>
          <w:highlight w:val="none"/>
        </w:rPr>
        <w:t>度款项由发包人支付到承</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包人的单位基本户。</w:t>
      </w:r>
    </w:p>
    <w:p w14:paraId="0CA01B4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4）工程建设领域总包单位对农民工工资支付负总责，</w:t>
      </w:r>
      <w:r>
        <w:rPr>
          <w:rFonts w:hint="eastAsia" w:ascii="宋体" w:hAnsi="宋体" w:eastAsia="宋体" w:cs="宋体"/>
          <w:color w:val="auto"/>
          <w:spacing w:val="-1"/>
          <w:sz w:val="21"/>
          <w:szCs w:val="21"/>
          <w:highlight w:val="none"/>
        </w:rPr>
        <w:t>推行分包单位农民工工</w:t>
      </w:r>
      <w:r>
        <w:rPr>
          <w:rFonts w:hint="eastAsia" w:ascii="宋体" w:hAnsi="宋体" w:eastAsia="宋体" w:cs="宋体"/>
          <w:color w:val="auto"/>
          <w:sz w:val="21"/>
          <w:szCs w:val="21"/>
          <w:highlight w:val="none"/>
        </w:rPr>
        <w:t>资委托总包单位代发制度（以下简称总包代发制度）。</w:t>
      </w:r>
      <w:r>
        <w:rPr>
          <w:rFonts w:hint="eastAsia" w:ascii="宋体" w:hAnsi="宋体" w:eastAsia="宋体" w:cs="宋体"/>
          <w:color w:val="auto"/>
          <w:spacing w:val="-1"/>
          <w:sz w:val="21"/>
          <w:szCs w:val="21"/>
          <w:highlight w:val="none"/>
        </w:rPr>
        <w:t>工程建设项目</w:t>
      </w:r>
      <w:r>
        <w:rPr>
          <w:rFonts w:hint="eastAsia" w:ascii="宋体" w:hAnsi="宋体" w:cs="宋体"/>
          <w:color w:val="auto"/>
          <w:spacing w:val="-1"/>
          <w:sz w:val="21"/>
          <w:szCs w:val="21"/>
          <w:highlight w:val="none"/>
          <w:lang w:eastAsia="zh-CN"/>
        </w:rPr>
        <w:t>实行</w:t>
      </w:r>
      <w:r>
        <w:rPr>
          <w:rFonts w:hint="eastAsia" w:ascii="宋体" w:hAnsi="宋体" w:eastAsia="宋体" w:cs="宋体"/>
          <w:color w:val="auto"/>
          <w:spacing w:val="-1"/>
          <w:sz w:val="21"/>
          <w:szCs w:val="21"/>
          <w:highlight w:val="none"/>
        </w:rPr>
        <w:t>总包代发</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制度的，总包单位与分包单位签订委托工资支付协议。</w:t>
      </w:r>
    </w:p>
    <w:p w14:paraId="683592C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5）凡未向付款单位提供农民工工资专用账户的，或者请款单位在申请工程进度款时未将人工费单列的，付款单位有权拒绝支付工程进度款。</w:t>
      </w:r>
    </w:p>
    <w:p w14:paraId="1B85B19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6）人工费使用要求：专款专用，除发放农民工</w:t>
      </w:r>
      <w:r>
        <w:rPr>
          <w:rFonts w:hint="eastAsia" w:ascii="宋体" w:hAnsi="宋体" w:eastAsia="宋体" w:cs="宋体"/>
          <w:color w:val="auto"/>
          <w:spacing w:val="-1"/>
          <w:sz w:val="21"/>
          <w:szCs w:val="21"/>
          <w:highlight w:val="none"/>
        </w:rPr>
        <w:t>工资外，不得用于其他用途。</w:t>
      </w:r>
    </w:p>
    <w:p w14:paraId="0F63C8D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7）承包人将人工费支付情况定期报告发包人和监理单位，并提供相应的材料接受建设行政主管部门和劳动保障行政主管部门对此事项监管。</w:t>
      </w:r>
    </w:p>
    <w:p w14:paraId="0ADC9C0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pacing w:val="-5"/>
          <w:sz w:val="21"/>
          <w:szCs w:val="21"/>
          <w:highlight w:val="none"/>
        </w:rPr>
        <w:t>8）人工费支付专用账户：</w:t>
      </w:r>
      <w:r>
        <w:rPr>
          <w:rFonts w:hint="eastAsia" w:ascii="宋体" w:hAnsi="宋体" w:eastAsia="宋体" w:cs="宋体"/>
          <w:color w:val="auto"/>
          <w:spacing w:val="-5"/>
          <w:sz w:val="21"/>
          <w:szCs w:val="21"/>
          <w:highlight w:val="none"/>
          <w:u w:val="single"/>
          <w:lang w:eastAsia="zh-CN"/>
        </w:rPr>
        <w:t>XXXX公司农民工工资支付专户</w:t>
      </w:r>
      <w:r>
        <w:rPr>
          <w:rFonts w:hint="eastAsia" w:ascii="宋体" w:hAnsi="宋体" w:eastAsia="宋体" w:cs="宋体"/>
          <w:color w:val="auto"/>
          <w:spacing w:val="-6"/>
          <w:sz w:val="21"/>
          <w:szCs w:val="21"/>
          <w:highlight w:val="none"/>
          <w:u w:val="none"/>
        </w:rPr>
        <w:t>。账号：</w:t>
      </w:r>
      <w:r>
        <w:rPr>
          <w:rFonts w:hint="eastAsia" w:ascii="宋体" w:hAnsi="宋体" w:eastAsia="宋体" w:cs="宋体"/>
          <w:color w:val="auto"/>
          <w:spacing w:val="-6"/>
          <w:sz w:val="21"/>
          <w:szCs w:val="21"/>
          <w:highlight w:val="none"/>
          <w:u w:val="single"/>
          <w:lang w:val="en-US" w:eastAsia="zh-CN"/>
        </w:rPr>
        <w:t xml:space="preserve">                   </w:t>
      </w:r>
      <w:r>
        <w:rPr>
          <w:rFonts w:hint="eastAsia" w:ascii="宋体" w:hAnsi="宋体" w:eastAsia="宋体" w:cs="宋体"/>
          <w:color w:val="auto"/>
          <w:spacing w:val="-6"/>
          <w:sz w:val="21"/>
          <w:szCs w:val="21"/>
          <w:highlight w:val="none"/>
          <w:u w:val="none"/>
        </w:rPr>
        <w:t>。</w:t>
      </w:r>
    </w:p>
    <w:p w14:paraId="6C7CA1E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12.4.6 支付分解表的编制</w:t>
      </w:r>
    </w:p>
    <w:p w14:paraId="421E6FC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（1）总价合同支付分解表的编制与审批：</w:t>
      </w:r>
      <w:r>
        <w:rPr>
          <w:rFonts w:hint="eastAsia" w:ascii="宋体" w:hAnsi="宋体" w:eastAsia="宋体" w:cs="宋体"/>
          <w:color w:val="auto"/>
          <w:spacing w:val="-1"/>
          <w:sz w:val="21"/>
          <w:szCs w:val="21"/>
          <w:highlight w:val="none"/>
          <w:u w:val="single" w:color="auto"/>
        </w:rPr>
        <w:t>总价合同支付分</w:t>
      </w:r>
      <w:r>
        <w:rPr>
          <w:rFonts w:hint="eastAsia" w:ascii="宋体" w:hAnsi="宋体" w:cs="宋体"/>
          <w:color w:val="auto"/>
          <w:spacing w:val="-1"/>
          <w:sz w:val="21"/>
          <w:szCs w:val="21"/>
          <w:highlight w:val="none"/>
          <w:u w:val="single" w:color="auto"/>
          <w:lang w:eastAsia="zh-CN"/>
        </w:rPr>
        <w:t>解表</w:t>
      </w:r>
      <w:r>
        <w:rPr>
          <w:rFonts w:hint="eastAsia" w:ascii="宋体" w:hAnsi="宋体" w:eastAsia="宋体" w:cs="宋体"/>
          <w:color w:val="auto"/>
          <w:spacing w:val="-1"/>
          <w:sz w:val="21"/>
          <w:szCs w:val="21"/>
          <w:highlight w:val="none"/>
          <w:u w:val="single" w:color="auto"/>
        </w:rPr>
        <w:t>在招标完成</w:t>
      </w:r>
      <w:r>
        <w:rPr>
          <w:rFonts w:hint="eastAsia" w:ascii="宋体" w:hAnsi="宋体" w:eastAsia="宋体" w:cs="宋体"/>
          <w:color w:val="auto"/>
          <w:sz w:val="21"/>
          <w:szCs w:val="21"/>
          <w:highlight w:val="none"/>
          <w:u w:val="single" w:color="auto"/>
        </w:rPr>
        <w:t>后由发包人和承包人共同编制</w:t>
      </w:r>
      <w:r>
        <w:rPr>
          <w:rFonts w:hint="eastAsia" w:ascii="宋体" w:hAnsi="宋体" w:cs="宋体"/>
          <w:color w:val="auto"/>
          <w:sz w:val="21"/>
          <w:szCs w:val="21"/>
          <w:highlight w:val="none"/>
          <w:u w:val="single" w:color="auto"/>
          <w:lang w:eastAsia="zh-CN"/>
        </w:rPr>
        <w:t>，由</w:t>
      </w:r>
      <w:r>
        <w:rPr>
          <w:rFonts w:hint="eastAsia" w:ascii="宋体" w:hAnsi="宋体" w:eastAsia="宋体" w:cs="宋体"/>
          <w:color w:val="auto"/>
          <w:sz w:val="21"/>
          <w:szCs w:val="21"/>
          <w:highlight w:val="none"/>
          <w:u w:val="single" w:color="auto"/>
        </w:rPr>
        <w:t>发包人审批，并作为本合同</w:t>
      </w:r>
      <w:r>
        <w:rPr>
          <w:rFonts w:hint="eastAsia" w:ascii="宋体" w:hAnsi="宋体" w:eastAsia="宋体" w:cs="宋体"/>
          <w:color w:val="auto"/>
          <w:spacing w:val="-1"/>
          <w:sz w:val="21"/>
          <w:szCs w:val="21"/>
          <w:highlight w:val="none"/>
          <w:u w:val="single" w:color="auto"/>
        </w:rPr>
        <w:t>内容，具体详见合同附</w:t>
      </w:r>
      <w:r>
        <w:rPr>
          <w:rFonts w:hint="eastAsia" w:ascii="宋体" w:hAnsi="宋体" w:eastAsia="宋体" w:cs="宋体"/>
          <w:color w:val="auto"/>
          <w:spacing w:val="6"/>
          <w:sz w:val="21"/>
          <w:szCs w:val="21"/>
          <w:highlight w:val="none"/>
          <w:u w:val="single" w:color="auto"/>
        </w:rPr>
        <w:t>件14。</w:t>
      </w:r>
    </w:p>
    <w:p w14:paraId="048034B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（2）单价合同的总价项目支付分解表的编制与审批：总价项目不采用支付分</w:t>
      </w:r>
      <w:r>
        <w:rPr>
          <w:rFonts w:hint="eastAsia" w:ascii="宋体" w:hAnsi="宋体" w:eastAsia="宋体" w:cs="宋体"/>
          <w:color w:val="auto"/>
          <w:sz w:val="21"/>
          <w:szCs w:val="21"/>
          <w:highlight w:val="none"/>
        </w:rPr>
        <w:t>解表的方式计算，而按《建设工程工程量清单计价规范（GB50500</w:t>
      </w:r>
      <w:r>
        <w:rPr>
          <w:rFonts w:hint="eastAsia" w:ascii="宋体" w:hAnsi="宋体" w:eastAsia="宋体" w:cs="宋体"/>
          <w:color w:val="auto"/>
          <w:spacing w:val="-1"/>
          <w:sz w:val="21"/>
          <w:szCs w:val="21"/>
          <w:highlight w:val="none"/>
        </w:rPr>
        <w:t>-2013）广西壮族自治区实施细则》的规定执行。</w:t>
      </w:r>
    </w:p>
    <w:p w14:paraId="7AE54B19">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0"/>
        <w:rPr>
          <w:rFonts w:hint="eastAsia" w:ascii="宋体" w:hAnsi="宋体" w:eastAsia="宋体" w:cs="宋体"/>
          <w:b w:val="0"/>
          <w:color w:val="auto"/>
          <w:sz w:val="21"/>
          <w:szCs w:val="21"/>
          <w:highlight w:val="none"/>
        </w:rPr>
      </w:pPr>
      <w:bookmarkStart w:id="510" w:name="_Toc18580"/>
      <w:bookmarkStart w:id="511" w:name="_Toc9027"/>
      <w:r>
        <w:rPr>
          <w:rFonts w:hint="eastAsia" w:ascii="宋体" w:hAnsi="宋体" w:eastAsia="宋体" w:cs="宋体"/>
          <w:b w:val="0"/>
          <w:bCs/>
          <w:color w:val="auto"/>
          <w:spacing w:val="-5"/>
          <w:sz w:val="21"/>
          <w:szCs w:val="21"/>
          <w:highlight w:val="none"/>
        </w:rPr>
        <w:t>13.</w:t>
      </w:r>
      <w:r>
        <w:rPr>
          <w:rFonts w:hint="eastAsia" w:ascii="宋体" w:hAnsi="宋体" w:eastAsia="宋体" w:cs="宋体"/>
          <w:b w:val="0"/>
          <w:color w:val="auto"/>
          <w:spacing w:val="-5"/>
          <w:sz w:val="21"/>
          <w:szCs w:val="21"/>
          <w:highlight w:val="none"/>
        </w:rPr>
        <w:t xml:space="preserve"> </w:t>
      </w:r>
      <w:r>
        <w:rPr>
          <w:rFonts w:hint="eastAsia" w:ascii="宋体" w:hAnsi="宋体" w:eastAsia="宋体" w:cs="宋体"/>
          <w:b w:val="0"/>
          <w:bCs/>
          <w:color w:val="auto"/>
          <w:spacing w:val="-5"/>
          <w:sz w:val="21"/>
          <w:szCs w:val="21"/>
          <w:highlight w:val="none"/>
        </w:rPr>
        <w:t>验收和工程试车</w:t>
      </w:r>
      <w:bookmarkEnd w:id="510"/>
      <w:bookmarkEnd w:id="511"/>
    </w:p>
    <w:p w14:paraId="1C186F55">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12" w:name="_Toc10785"/>
      <w:bookmarkStart w:id="513" w:name="_Toc1412"/>
      <w:r>
        <w:rPr>
          <w:rFonts w:hint="eastAsia" w:ascii="宋体" w:hAnsi="宋体" w:eastAsia="宋体" w:cs="宋体"/>
          <w:b w:val="0"/>
          <w:bCs/>
          <w:color w:val="auto"/>
          <w:spacing w:val="-4"/>
          <w:sz w:val="21"/>
          <w:szCs w:val="21"/>
          <w:highlight w:val="none"/>
        </w:rPr>
        <w:t>13.1</w:t>
      </w:r>
      <w:r>
        <w:rPr>
          <w:rFonts w:hint="eastAsia" w:ascii="宋体" w:hAnsi="宋体" w:eastAsia="宋体" w:cs="宋体"/>
          <w:b w:val="0"/>
          <w:color w:val="auto"/>
          <w:spacing w:val="-4"/>
          <w:sz w:val="21"/>
          <w:szCs w:val="21"/>
          <w:highlight w:val="none"/>
        </w:rPr>
        <w:t xml:space="preserve"> </w:t>
      </w:r>
      <w:r>
        <w:rPr>
          <w:rFonts w:hint="eastAsia" w:ascii="宋体" w:hAnsi="宋体" w:eastAsia="宋体" w:cs="宋体"/>
          <w:b w:val="0"/>
          <w:bCs/>
          <w:color w:val="auto"/>
          <w:spacing w:val="-4"/>
          <w:sz w:val="21"/>
          <w:szCs w:val="21"/>
          <w:highlight w:val="none"/>
        </w:rPr>
        <w:t>分部分项工程验收</w:t>
      </w:r>
      <w:bookmarkEnd w:id="512"/>
      <w:bookmarkEnd w:id="513"/>
    </w:p>
    <w:p w14:paraId="68161C5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13.1.2监理人不能按时进行验收时，应提前</w:t>
      </w:r>
      <w:r>
        <w:rPr>
          <w:rFonts w:hint="eastAsia" w:ascii="宋体" w:hAnsi="宋体" w:eastAsia="宋体" w:cs="宋体"/>
          <w:color w:val="auto"/>
          <w:spacing w:val="-2"/>
          <w:sz w:val="21"/>
          <w:szCs w:val="21"/>
          <w:highlight w:val="none"/>
          <w:u w:val="single" w:color="auto"/>
        </w:rPr>
        <w:t>24</w:t>
      </w:r>
      <w:r>
        <w:rPr>
          <w:rFonts w:hint="eastAsia" w:ascii="宋体" w:hAnsi="宋体" w:eastAsia="宋体" w:cs="宋体"/>
          <w:color w:val="auto"/>
          <w:spacing w:val="-2"/>
          <w:sz w:val="21"/>
          <w:szCs w:val="21"/>
          <w:highlight w:val="none"/>
        </w:rPr>
        <w:t>小时提交书面延期要求。</w:t>
      </w:r>
      <w:r>
        <w:rPr>
          <w:rFonts w:hint="eastAsia" w:ascii="宋体" w:hAnsi="宋体" w:eastAsia="宋体" w:cs="宋体"/>
          <w:color w:val="auto"/>
          <w:spacing w:val="-1"/>
          <w:sz w:val="21"/>
          <w:szCs w:val="21"/>
          <w:highlight w:val="none"/>
        </w:rPr>
        <w:t>关于延期最长不得超过：</w:t>
      </w:r>
      <w:r>
        <w:rPr>
          <w:rFonts w:hint="eastAsia" w:ascii="宋体" w:hAnsi="宋体" w:eastAsia="宋体" w:cs="宋体"/>
          <w:color w:val="auto"/>
          <w:spacing w:val="-1"/>
          <w:sz w:val="21"/>
          <w:szCs w:val="21"/>
          <w:highlight w:val="none"/>
          <w:u w:val="single" w:color="auto"/>
        </w:rPr>
        <w:t>48</w:t>
      </w:r>
      <w:r>
        <w:rPr>
          <w:rFonts w:hint="eastAsia" w:ascii="宋体" w:hAnsi="宋体" w:eastAsia="宋体" w:cs="宋体"/>
          <w:color w:val="auto"/>
          <w:spacing w:val="-1"/>
          <w:sz w:val="21"/>
          <w:szCs w:val="21"/>
          <w:highlight w:val="none"/>
        </w:rPr>
        <w:t>小时。</w:t>
      </w:r>
    </w:p>
    <w:p w14:paraId="3902C53A">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14" w:name="_Toc11891"/>
      <w:bookmarkStart w:id="515" w:name="_Toc15352"/>
      <w:r>
        <w:rPr>
          <w:rFonts w:hint="eastAsia" w:ascii="宋体" w:hAnsi="宋体" w:eastAsia="宋体" w:cs="宋体"/>
          <w:b w:val="0"/>
          <w:bCs/>
          <w:color w:val="auto"/>
          <w:spacing w:val="-5"/>
          <w:sz w:val="21"/>
          <w:szCs w:val="21"/>
          <w:highlight w:val="none"/>
        </w:rPr>
        <w:t>13.2</w:t>
      </w:r>
      <w:r>
        <w:rPr>
          <w:rFonts w:hint="eastAsia" w:ascii="宋体" w:hAnsi="宋体" w:eastAsia="宋体" w:cs="宋体"/>
          <w:b w:val="0"/>
          <w:color w:val="auto"/>
          <w:spacing w:val="-5"/>
          <w:sz w:val="21"/>
          <w:szCs w:val="21"/>
          <w:highlight w:val="none"/>
        </w:rPr>
        <w:t xml:space="preserve"> </w:t>
      </w:r>
      <w:r>
        <w:rPr>
          <w:rFonts w:hint="eastAsia" w:ascii="宋体" w:hAnsi="宋体" w:eastAsia="宋体" w:cs="宋体"/>
          <w:b w:val="0"/>
          <w:bCs/>
          <w:color w:val="auto"/>
          <w:spacing w:val="-5"/>
          <w:sz w:val="21"/>
          <w:szCs w:val="21"/>
          <w:highlight w:val="none"/>
        </w:rPr>
        <w:t>竣工验收</w:t>
      </w:r>
      <w:bookmarkEnd w:id="514"/>
      <w:bookmarkEnd w:id="515"/>
    </w:p>
    <w:p w14:paraId="6B8C7F8F">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16" w:name="_Toc32166"/>
      <w:bookmarkStart w:id="517" w:name="_Toc11073"/>
      <w:r>
        <w:rPr>
          <w:rFonts w:hint="eastAsia" w:ascii="宋体" w:hAnsi="宋体" w:eastAsia="宋体" w:cs="宋体"/>
          <w:b w:val="0"/>
          <w:color w:val="auto"/>
          <w:spacing w:val="-3"/>
          <w:sz w:val="21"/>
          <w:szCs w:val="21"/>
          <w:highlight w:val="none"/>
        </w:rPr>
        <w:t>13.2.1竣工验收条件</w:t>
      </w:r>
      <w:bookmarkEnd w:id="516"/>
      <w:bookmarkEnd w:id="517"/>
    </w:p>
    <w:p w14:paraId="5902E54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（3）承包人负责整理和提交的竣工验收资料应当符合工程所在地</w:t>
      </w:r>
      <w:r>
        <w:rPr>
          <w:rFonts w:hint="eastAsia" w:ascii="宋体" w:hAnsi="宋体" w:eastAsia="宋体" w:cs="宋体"/>
          <w:color w:val="auto"/>
          <w:spacing w:val="-4"/>
          <w:sz w:val="21"/>
          <w:szCs w:val="21"/>
          <w:highlight w:val="none"/>
        </w:rPr>
        <w:t>建设行政主管</w:t>
      </w:r>
      <w:r>
        <w:rPr>
          <w:rFonts w:hint="eastAsia" w:ascii="宋体" w:hAnsi="宋体" w:eastAsia="宋体" w:cs="宋体"/>
          <w:color w:val="auto"/>
          <w:sz w:val="21"/>
          <w:szCs w:val="21"/>
          <w:highlight w:val="none"/>
        </w:rPr>
        <w:t xml:space="preserve"> 部门和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或</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城市建设档案管理机构有关施工资料的</w:t>
      </w:r>
      <w:r>
        <w:rPr>
          <w:rFonts w:hint="eastAsia" w:ascii="宋体" w:hAnsi="宋体" w:eastAsia="宋体" w:cs="宋体"/>
          <w:color w:val="auto"/>
          <w:spacing w:val="-1"/>
          <w:sz w:val="21"/>
          <w:szCs w:val="21"/>
          <w:highlight w:val="none"/>
        </w:rPr>
        <w:t>要求，具体内容包括：</w:t>
      </w:r>
      <w:r>
        <w:rPr>
          <w:rFonts w:hint="eastAsia" w:ascii="宋体" w:hAnsi="宋体" w:eastAsia="宋体" w:cs="宋体"/>
          <w:color w:val="auto"/>
          <w:spacing w:val="-1"/>
          <w:sz w:val="21"/>
          <w:szCs w:val="21"/>
          <w:highlight w:val="none"/>
          <w:u w:val="single" w:color="auto"/>
        </w:rPr>
        <w:t>提供完整的（含现场照片、录像）竣工资料</w:t>
      </w:r>
      <w:r>
        <w:rPr>
          <w:rFonts w:hint="eastAsia" w:ascii="宋体" w:hAnsi="宋体" w:eastAsia="宋体" w:cs="宋体"/>
          <w:color w:val="auto"/>
          <w:spacing w:val="-1"/>
          <w:sz w:val="21"/>
          <w:szCs w:val="21"/>
          <w:highlight w:val="none"/>
        </w:rPr>
        <w:t>。</w:t>
      </w:r>
    </w:p>
    <w:p w14:paraId="0F24DB7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竣工验收资料的份数：</w:t>
      </w:r>
      <w:r>
        <w:rPr>
          <w:rFonts w:hint="eastAsia" w:ascii="宋体" w:hAnsi="宋体" w:eastAsia="宋体" w:cs="宋体"/>
          <w:color w:val="auto"/>
          <w:spacing w:val="-1"/>
          <w:sz w:val="21"/>
          <w:szCs w:val="21"/>
          <w:highlight w:val="none"/>
          <w:u w:val="single" w:color="auto"/>
        </w:rPr>
        <w:t>一式陆份及竣工验收报告</w:t>
      </w:r>
      <w:r>
        <w:rPr>
          <w:rFonts w:hint="eastAsia" w:ascii="宋体" w:hAnsi="宋体" w:eastAsia="宋体" w:cs="宋体"/>
          <w:color w:val="auto"/>
          <w:spacing w:val="-1"/>
          <w:sz w:val="21"/>
          <w:szCs w:val="21"/>
          <w:highlight w:val="none"/>
        </w:rPr>
        <w:t>。</w:t>
      </w:r>
    </w:p>
    <w:p w14:paraId="53D19F8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承包人提供竣工图的约定：</w:t>
      </w:r>
      <w:r>
        <w:rPr>
          <w:rFonts w:hint="eastAsia" w:ascii="宋体" w:hAnsi="宋体" w:eastAsia="宋体" w:cs="宋体"/>
          <w:color w:val="auto"/>
          <w:sz w:val="21"/>
          <w:szCs w:val="21"/>
          <w:highlight w:val="none"/>
          <w:u w:val="single" w:color="auto"/>
        </w:rPr>
        <w:t>竣工验收正式通过后5天（工</w:t>
      </w:r>
      <w:r>
        <w:rPr>
          <w:rFonts w:hint="eastAsia" w:ascii="宋体" w:hAnsi="宋体" w:eastAsia="宋体" w:cs="宋体"/>
          <w:color w:val="auto"/>
          <w:spacing w:val="-1"/>
          <w:sz w:val="21"/>
          <w:szCs w:val="21"/>
          <w:highlight w:val="none"/>
          <w:u w:val="single" w:color="auto"/>
        </w:rPr>
        <w:t>程造价在500万元以下</w:t>
      </w:r>
      <w:r>
        <w:rPr>
          <w:rFonts w:hint="eastAsia" w:ascii="宋体" w:hAnsi="宋体" w:eastAsia="宋体" w:cs="宋体"/>
          <w:color w:val="auto"/>
          <w:sz w:val="21"/>
          <w:szCs w:val="21"/>
          <w:highlight w:val="none"/>
          <w:u w:val="single" w:color="auto"/>
        </w:rPr>
        <w:t>含500万元）、10天（工程造价在500万元至1000万元之间含100</w:t>
      </w:r>
      <w:r>
        <w:rPr>
          <w:rFonts w:hint="eastAsia" w:ascii="宋体" w:hAnsi="宋体" w:eastAsia="宋体" w:cs="宋体"/>
          <w:color w:val="auto"/>
          <w:spacing w:val="-1"/>
          <w:sz w:val="21"/>
          <w:szCs w:val="21"/>
          <w:highlight w:val="none"/>
          <w:u w:val="single" w:color="auto"/>
        </w:rPr>
        <w:t>0万元）、15天（工</w:t>
      </w:r>
      <w:r>
        <w:rPr>
          <w:rFonts w:hint="eastAsia" w:ascii="宋体" w:hAnsi="宋体" w:eastAsia="宋体" w:cs="宋体"/>
          <w:color w:val="auto"/>
          <w:sz w:val="21"/>
          <w:szCs w:val="21"/>
          <w:highlight w:val="none"/>
          <w:u w:val="single" w:color="auto"/>
        </w:rPr>
        <w:t>程造价在1000万元以上</w:t>
      </w:r>
      <w:r>
        <w:rPr>
          <w:rFonts w:hint="eastAsia" w:ascii="宋体" w:hAnsi="宋体" w:eastAsia="宋体" w:cs="宋体"/>
          <w:color w:val="auto"/>
          <w:spacing w:val="11"/>
          <w:sz w:val="21"/>
          <w:szCs w:val="21"/>
          <w:highlight w:val="none"/>
          <w:u w:val="single" w:color="auto"/>
        </w:rPr>
        <w:t>），</w:t>
      </w:r>
      <w:r>
        <w:rPr>
          <w:rFonts w:hint="eastAsia" w:ascii="宋体" w:hAnsi="宋体" w:eastAsia="宋体" w:cs="宋体"/>
          <w:color w:val="auto"/>
          <w:sz w:val="21"/>
          <w:szCs w:val="21"/>
          <w:highlight w:val="none"/>
          <w:u w:val="single" w:color="auto"/>
        </w:rPr>
        <w:t>提供竣工图的数量分别为2套、4套、6套。</w:t>
      </w:r>
    </w:p>
    <w:p w14:paraId="50A5A79E">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18" w:name="_Toc18811"/>
      <w:bookmarkStart w:id="519" w:name="_Toc21358"/>
      <w:r>
        <w:rPr>
          <w:rFonts w:hint="eastAsia" w:ascii="宋体" w:hAnsi="宋体" w:eastAsia="宋体" w:cs="宋体"/>
          <w:b w:val="0"/>
          <w:color w:val="auto"/>
          <w:spacing w:val="-3"/>
          <w:sz w:val="21"/>
          <w:szCs w:val="21"/>
          <w:highlight w:val="none"/>
        </w:rPr>
        <w:t>13.2.2竣工验收程序</w:t>
      </w:r>
      <w:bookmarkEnd w:id="518"/>
      <w:bookmarkEnd w:id="519"/>
    </w:p>
    <w:p w14:paraId="6F802B4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关于竣工验收程序的约定</w:t>
      </w:r>
      <w:r>
        <w:rPr>
          <w:rFonts w:hint="eastAsia" w:ascii="宋体" w:hAnsi="宋体" w:eastAsia="宋体" w:cs="宋体"/>
          <w:color w:val="auto"/>
          <w:spacing w:val="-47"/>
          <w:sz w:val="21"/>
          <w:szCs w:val="21"/>
          <w:highlight w:val="none"/>
        </w:rPr>
        <w:t>：</w:t>
      </w:r>
      <w:r>
        <w:rPr>
          <w:rFonts w:hint="eastAsia" w:ascii="宋体" w:hAnsi="宋体" w:eastAsia="宋体" w:cs="宋体"/>
          <w:color w:val="auto"/>
          <w:spacing w:val="-47"/>
          <w:sz w:val="21"/>
          <w:szCs w:val="21"/>
          <w:highlight w:val="none"/>
          <w:u w:val="single" w:color="auto"/>
        </w:rPr>
        <w:t>（</w:t>
      </w:r>
      <w:r>
        <w:rPr>
          <w:rFonts w:hint="eastAsia" w:ascii="宋体" w:hAnsi="宋体" w:eastAsia="宋体" w:cs="宋体"/>
          <w:color w:val="auto"/>
          <w:sz w:val="21"/>
          <w:szCs w:val="21"/>
          <w:highlight w:val="none"/>
          <w:u w:val="single" w:color="auto"/>
        </w:rPr>
        <w:t>1）发包人收到竣</w:t>
      </w:r>
      <w:r>
        <w:rPr>
          <w:rFonts w:hint="eastAsia" w:ascii="宋体" w:hAnsi="宋体" w:eastAsia="宋体" w:cs="宋体"/>
          <w:color w:val="auto"/>
          <w:spacing w:val="-1"/>
          <w:sz w:val="21"/>
          <w:szCs w:val="21"/>
          <w:highlight w:val="none"/>
          <w:u w:val="single" w:color="auto"/>
        </w:rPr>
        <w:t>工验收报告后尽快协调有关部门</w:t>
      </w:r>
      <w:r>
        <w:rPr>
          <w:rFonts w:hint="eastAsia" w:ascii="宋体" w:hAnsi="宋体" w:eastAsia="宋体" w:cs="宋体"/>
          <w:color w:val="auto"/>
          <w:sz w:val="21"/>
          <w:szCs w:val="21"/>
          <w:highlight w:val="none"/>
          <w:u w:val="single" w:color="auto"/>
        </w:rPr>
        <w:t>组织有关单位验收，并在验收后14天内给予认可或</w:t>
      </w:r>
      <w:r>
        <w:rPr>
          <w:rFonts w:hint="eastAsia" w:ascii="宋体" w:hAnsi="宋体" w:eastAsia="宋体" w:cs="宋体"/>
          <w:color w:val="auto"/>
          <w:spacing w:val="-1"/>
          <w:sz w:val="21"/>
          <w:szCs w:val="21"/>
          <w:highlight w:val="none"/>
          <w:u w:val="single" w:color="auto"/>
        </w:rPr>
        <w:t>提出修改意见。承包人按要求修改，并承担由自身原因造成修改的费用</w:t>
      </w:r>
      <w:r>
        <w:rPr>
          <w:rFonts w:hint="eastAsia" w:ascii="宋体" w:hAnsi="宋体" w:eastAsia="宋体" w:cs="宋体"/>
          <w:color w:val="auto"/>
          <w:spacing w:val="-1"/>
          <w:sz w:val="21"/>
          <w:szCs w:val="21"/>
          <w:highlight w:val="none"/>
        </w:rPr>
        <w:t>。</w:t>
      </w:r>
    </w:p>
    <w:p w14:paraId="2215EFEB">
      <w:pPr>
        <w:pageBreakBefore w:val="0"/>
        <w:widowControl w:val="0"/>
        <w:tabs>
          <w:tab w:val="left" w:pos="627"/>
        </w:tabs>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u w:val="single" w:color="auto"/>
        </w:rPr>
        <w:t>（2）发包人收到承包人送交的竣工验收报告后无特殊情况不组织验收，或验收</w:t>
      </w:r>
      <w:r>
        <w:rPr>
          <w:rFonts w:hint="eastAsia" w:ascii="宋体" w:hAnsi="宋体" w:eastAsia="宋体" w:cs="宋体"/>
          <w:color w:val="auto"/>
          <w:spacing w:val="1"/>
          <w:sz w:val="21"/>
          <w:szCs w:val="21"/>
          <w:highlight w:val="none"/>
          <w:u w:val="single" w:color="auto"/>
        </w:rPr>
        <w:t>后14天内不提出修改意见，视为竣工验收报</w:t>
      </w:r>
      <w:r>
        <w:rPr>
          <w:rFonts w:hint="eastAsia" w:ascii="宋体" w:hAnsi="宋体" w:eastAsia="宋体" w:cs="宋体"/>
          <w:color w:val="auto"/>
          <w:sz w:val="21"/>
          <w:szCs w:val="21"/>
          <w:highlight w:val="none"/>
          <w:u w:val="single" w:color="auto"/>
        </w:rPr>
        <w:t>告已被认可。</w:t>
      </w:r>
    </w:p>
    <w:p w14:paraId="7A58B7B9">
      <w:pPr>
        <w:pageBreakBefore w:val="0"/>
        <w:widowControl w:val="0"/>
        <w:tabs>
          <w:tab w:val="left" w:pos="627"/>
        </w:tabs>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u w:val="single" w:color="auto"/>
        </w:rPr>
        <w:t>（3）发包人收到承包人竣工验收报告后至组织验收移交前工程保管及一切意外</w:t>
      </w:r>
      <w:r>
        <w:rPr>
          <w:rFonts w:hint="eastAsia" w:ascii="宋体" w:hAnsi="宋体" w:eastAsia="宋体" w:cs="宋体"/>
          <w:color w:val="auto"/>
          <w:spacing w:val="-2"/>
          <w:sz w:val="21"/>
          <w:szCs w:val="21"/>
          <w:highlight w:val="none"/>
          <w:u w:val="single" w:color="auto"/>
        </w:rPr>
        <w:t>责任仍由承包人负责</w:t>
      </w:r>
      <w:r>
        <w:rPr>
          <w:rFonts w:hint="eastAsia" w:ascii="宋体" w:hAnsi="宋体" w:eastAsia="宋体" w:cs="宋体"/>
          <w:color w:val="auto"/>
          <w:spacing w:val="-2"/>
          <w:sz w:val="21"/>
          <w:szCs w:val="21"/>
          <w:highlight w:val="none"/>
        </w:rPr>
        <w:t>。</w:t>
      </w:r>
    </w:p>
    <w:p w14:paraId="3403EEF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发包人不按照本项约定组织竣工验收、颁发</w:t>
      </w:r>
      <w:r>
        <w:rPr>
          <w:rFonts w:hint="eastAsia" w:ascii="宋体" w:hAnsi="宋体" w:cs="宋体"/>
          <w:color w:val="auto"/>
          <w:sz w:val="21"/>
          <w:szCs w:val="21"/>
          <w:highlight w:val="none"/>
          <w:lang w:eastAsia="zh-CN"/>
        </w:rPr>
        <w:t>工程验收</w:t>
      </w:r>
      <w:r>
        <w:rPr>
          <w:rFonts w:hint="eastAsia" w:ascii="宋体" w:hAnsi="宋体" w:eastAsia="宋体" w:cs="宋体"/>
          <w:color w:val="auto"/>
          <w:sz w:val="21"/>
          <w:szCs w:val="21"/>
          <w:highlight w:val="none"/>
        </w:rPr>
        <w:t>证书的违约金的计算方</w:t>
      </w:r>
      <w:r>
        <w:rPr>
          <w:rFonts w:hint="eastAsia" w:ascii="宋体" w:hAnsi="宋体" w:eastAsia="宋体" w:cs="宋体"/>
          <w:color w:val="auto"/>
          <w:spacing w:val="-1"/>
          <w:sz w:val="21"/>
          <w:szCs w:val="21"/>
          <w:highlight w:val="none"/>
        </w:rPr>
        <w:t>法：</w:t>
      </w:r>
      <w:r>
        <w:rPr>
          <w:rFonts w:hint="eastAsia" w:ascii="宋体" w:hAnsi="宋体" w:eastAsia="宋体" w:cs="宋体"/>
          <w:color w:val="auto"/>
          <w:spacing w:val="-1"/>
          <w:sz w:val="21"/>
          <w:szCs w:val="21"/>
          <w:highlight w:val="none"/>
          <w:u w:val="single" w:color="auto"/>
        </w:rPr>
        <w:t>无</w:t>
      </w:r>
      <w:r>
        <w:rPr>
          <w:rFonts w:hint="eastAsia" w:ascii="宋体" w:hAnsi="宋体" w:eastAsia="宋体" w:cs="宋体"/>
          <w:color w:val="auto"/>
          <w:position w:val="1"/>
          <w:sz w:val="21"/>
          <w:szCs w:val="21"/>
          <w:highlight w:val="none"/>
        </w:rPr>
        <w:t>。</w:t>
      </w:r>
    </w:p>
    <w:p w14:paraId="1D13E17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13.2.5移交、接收全部与部分工程</w:t>
      </w:r>
    </w:p>
    <w:p w14:paraId="61ACD2B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承包人向发包人移交工程的期限：</w:t>
      </w:r>
      <w:r>
        <w:rPr>
          <w:rFonts w:hint="eastAsia" w:ascii="宋体" w:hAnsi="宋体" w:eastAsia="宋体" w:cs="宋体"/>
          <w:color w:val="auto"/>
          <w:sz w:val="21"/>
          <w:szCs w:val="21"/>
          <w:highlight w:val="none"/>
          <w:u w:val="single" w:color="auto"/>
        </w:rPr>
        <w:t>在工程竣工保修期</w:t>
      </w:r>
      <w:r>
        <w:rPr>
          <w:rFonts w:hint="eastAsia" w:ascii="宋体" w:hAnsi="宋体" w:eastAsia="宋体" w:cs="宋体"/>
          <w:color w:val="auto"/>
          <w:spacing w:val="-1"/>
          <w:sz w:val="21"/>
          <w:szCs w:val="21"/>
          <w:highlight w:val="none"/>
          <w:u w:val="single" w:color="auto"/>
        </w:rPr>
        <w:t>满并对验收发现的问题完</w:t>
      </w:r>
      <w:r>
        <w:rPr>
          <w:rFonts w:hint="eastAsia" w:ascii="宋体" w:hAnsi="宋体" w:eastAsia="宋体" w:cs="宋体"/>
          <w:color w:val="auto"/>
          <w:spacing w:val="-3"/>
          <w:sz w:val="21"/>
          <w:szCs w:val="21"/>
          <w:highlight w:val="none"/>
          <w:u w:val="single" w:color="auto"/>
        </w:rPr>
        <w:t>成整改后</w:t>
      </w:r>
      <w:r>
        <w:rPr>
          <w:rFonts w:hint="eastAsia" w:ascii="宋体" w:hAnsi="宋体" w:eastAsia="宋体" w:cs="宋体"/>
          <w:color w:val="auto"/>
          <w:spacing w:val="-3"/>
          <w:sz w:val="21"/>
          <w:szCs w:val="21"/>
          <w:highlight w:val="none"/>
        </w:rPr>
        <w:t>。</w:t>
      </w:r>
    </w:p>
    <w:p w14:paraId="564F950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发包人未按本合同约定接收全部或部分工程的，违约金的计算方法为：</w:t>
      </w:r>
      <w:r>
        <w:rPr>
          <w:rFonts w:hint="eastAsia" w:ascii="宋体" w:hAnsi="宋体" w:eastAsia="宋体" w:cs="宋体"/>
          <w:color w:val="auto"/>
          <w:spacing w:val="-2"/>
          <w:sz w:val="21"/>
          <w:szCs w:val="21"/>
          <w:highlight w:val="none"/>
          <w:u w:val="single" w:color="auto"/>
        </w:rPr>
        <w:t>无</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承包人未按时移交工程的，违约金的计算方法为：</w:t>
      </w:r>
      <w:r>
        <w:rPr>
          <w:rFonts w:hint="eastAsia" w:ascii="宋体" w:hAnsi="宋体" w:eastAsia="宋体" w:cs="宋体"/>
          <w:color w:val="auto"/>
          <w:sz w:val="21"/>
          <w:szCs w:val="21"/>
          <w:highlight w:val="none"/>
          <w:u w:val="single" w:color="auto"/>
        </w:rPr>
        <w:t>按专</w:t>
      </w:r>
      <w:r>
        <w:rPr>
          <w:rFonts w:hint="eastAsia" w:ascii="宋体" w:hAnsi="宋体" w:eastAsia="宋体" w:cs="宋体"/>
          <w:color w:val="auto"/>
          <w:spacing w:val="-1"/>
          <w:sz w:val="21"/>
          <w:szCs w:val="21"/>
          <w:highlight w:val="none"/>
          <w:u w:val="single" w:color="auto"/>
        </w:rPr>
        <w:t>用条款7.5.2执行</w:t>
      </w:r>
      <w:r>
        <w:rPr>
          <w:rFonts w:hint="eastAsia" w:ascii="宋体" w:hAnsi="宋体" w:eastAsia="宋体" w:cs="宋体"/>
          <w:color w:val="auto"/>
          <w:spacing w:val="-1"/>
          <w:sz w:val="21"/>
          <w:szCs w:val="21"/>
          <w:highlight w:val="none"/>
        </w:rPr>
        <w:t>。</w:t>
      </w:r>
    </w:p>
    <w:p w14:paraId="2D147888">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20" w:name="_Toc25549"/>
      <w:bookmarkStart w:id="521" w:name="_Toc23311"/>
      <w:r>
        <w:rPr>
          <w:rFonts w:hint="eastAsia" w:ascii="宋体" w:hAnsi="宋体" w:eastAsia="宋体" w:cs="宋体"/>
          <w:b w:val="0"/>
          <w:bCs/>
          <w:color w:val="auto"/>
          <w:spacing w:val="-8"/>
          <w:sz w:val="21"/>
          <w:szCs w:val="21"/>
          <w:highlight w:val="none"/>
        </w:rPr>
        <w:t>13.3</w:t>
      </w:r>
      <w:r>
        <w:rPr>
          <w:rFonts w:hint="eastAsia" w:ascii="宋体" w:hAnsi="宋体" w:eastAsia="宋体" w:cs="宋体"/>
          <w:b w:val="0"/>
          <w:color w:val="auto"/>
          <w:spacing w:val="18"/>
          <w:sz w:val="21"/>
          <w:szCs w:val="21"/>
          <w:highlight w:val="none"/>
        </w:rPr>
        <w:t xml:space="preserve"> </w:t>
      </w:r>
      <w:r>
        <w:rPr>
          <w:rFonts w:hint="eastAsia" w:ascii="宋体" w:hAnsi="宋体" w:eastAsia="宋体" w:cs="宋体"/>
          <w:b w:val="0"/>
          <w:bCs/>
          <w:color w:val="auto"/>
          <w:spacing w:val="-8"/>
          <w:sz w:val="21"/>
          <w:szCs w:val="21"/>
          <w:highlight w:val="none"/>
        </w:rPr>
        <w:t>工程试车</w:t>
      </w:r>
      <w:bookmarkEnd w:id="520"/>
      <w:bookmarkEnd w:id="521"/>
    </w:p>
    <w:p w14:paraId="1FDD1F32">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22" w:name="_Toc8956"/>
      <w:bookmarkStart w:id="523" w:name="_Toc5883"/>
      <w:r>
        <w:rPr>
          <w:rFonts w:hint="eastAsia" w:ascii="宋体" w:hAnsi="宋体" w:eastAsia="宋体" w:cs="宋体"/>
          <w:b w:val="0"/>
          <w:color w:val="auto"/>
          <w:spacing w:val="-3"/>
          <w:sz w:val="21"/>
          <w:szCs w:val="21"/>
          <w:highlight w:val="none"/>
        </w:rPr>
        <w:t>13.3.1 试车程序</w:t>
      </w:r>
      <w:bookmarkEnd w:id="522"/>
      <w:bookmarkEnd w:id="523"/>
    </w:p>
    <w:p w14:paraId="1E272E9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工程试车内容：</w:t>
      </w:r>
      <w:r>
        <w:rPr>
          <w:rFonts w:hint="eastAsia" w:ascii="宋体" w:hAnsi="宋体" w:eastAsia="宋体" w:cs="宋体"/>
          <w:color w:val="auto"/>
          <w:spacing w:val="-1"/>
          <w:sz w:val="21"/>
          <w:szCs w:val="21"/>
          <w:highlight w:val="none"/>
          <w:u w:val="single" w:color="auto"/>
        </w:rPr>
        <w:t>按通用条款</w:t>
      </w:r>
      <w:r>
        <w:rPr>
          <w:rFonts w:hint="eastAsia" w:ascii="宋体" w:hAnsi="宋体" w:eastAsia="宋体" w:cs="宋体"/>
          <w:color w:val="auto"/>
          <w:spacing w:val="-1"/>
          <w:sz w:val="21"/>
          <w:szCs w:val="21"/>
          <w:highlight w:val="none"/>
        </w:rPr>
        <w:t>。</w:t>
      </w:r>
    </w:p>
    <w:p w14:paraId="2713E98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（1）单机无负荷试车费用由</w:t>
      </w:r>
      <w:r>
        <w:rPr>
          <w:rFonts w:hint="eastAsia" w:ascii="宋体" w:hAnsi="宋体" w:eastAsia="宋体" w:cs="宋体"/>
          <w:color w:val="auto"/>
          <w:spacing w:val="-1"/>
          <w:sz w:val="21"/>
          <w:szCs w:val="21"/>
          <w:highlight w:val="none"/>
          <w:u w:val="single" w:color="auto"/>
        </w:rPr>
        <w:t>承包人</w:t>
      </w:r>
      <w:r>
        <w:rPr>
          <w:rFonts w:hint="eastAsia" w:ascii="宋体" w:hAnsi="宋体" w:eastAsia="宋体" w:cs="宋体"/>
          <w:color w:val="auto"/>
          <w:spacing w:val="-1"/>
          <w:sz w:val="21"/>
          <w:szCs w:val="21"/>
          <w:highlight w:val="none"/>
        </w:rPr>
        <w:t>承担；</w:t>
      </w:r>
    </w:p>
    <w:p w14:paraId="2B7DB1F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（2）无负荷联动试车费用由</w:t>
      </w:r>
      <w:r>
        <w:rPr>
          <w:rFonts w:hint="eastAsia" w:ascii="宋体" w:hAnsi="宋体" w:eastAsia="宋体" w:cs="宋体"/>
          <w:color w:val="auto"/>
          <w:spacing w:val="-1"/>
          <w:sz w:val="21"/>
          <w:szCs w:val="21"/>
          <w:highlight w:val="none"/>
          <w:u w:val="single" w:color="auto"/>
        </w:rPr>
        <w:t>承包人</w:t>
      </w:r>
      <w:r>
        <w:rPr>
          <w:rFonts w:hint="eastAsia" w:ascii="宋体" w:hAnsi="宋体" w:eastAsia="宋体" w:cs="宋体"/>
          <w:color w:val="auto"/>
          <w:spacing w:val="-1"/>
          <w:sz w:val="21"/>
          <w:szCs w:val="21"/>
          <w:highlight w:val="none"/>
        </w:rPr>
        <w:t>承担。</w:t>
      </w:r>
    </w:p>
    <w:p w14:paraId="262B93A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13.3.3 投料试车</w:t>
      </w:r>
    </w:p>
    <w:p w14:paraId="07E3190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关于投料试车相关事项的约定：</w:t>
      </w:r>
      <w:r>
        <w:rPr>
          <w:rFonts w:hint="eastAsia" w:ascii="宋体" w:hAnsi="宋体" w:eastAsia="宋体" w:cs="宋体"/>
          <w:color w:val="auto"/>
          <w:spacing w:val="-1"/>
          <w:sz w:val="21"/>
          <w:szCs w:val="21"/>
          <w:highlight w:val="none"/>
          <w:u w:val="single" w:color="auto"/>
        </w:rPr>
        <w:t>按通用条款</w:t>
      </w:r>
      <w:r>
        <w:rPr>
          <w:rFonts w:hint="eastAsia" w:ascii="宋体" w:hAnsi="宋体" w:eastAsia="宋体" w:cs="宋体"/>
          <w:color w:val="auto"/>
          <w:spacing w:val="-1"/>
          <w:sz w:val="21"/>
          <w:szCs w:val="21"/>
          <w:highlight w:val="none"/>
        </w:rPr>
        <w:t>。</w:t>
      </w:r>
    </w:p>
    <w:p w14:paraId="2E0C081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13.6</w:t>
      </w:r>
      <w:r>
        <w:rPr>
          <w:rFonts w:hint="eastAsia" w:ascii="宋体" w:hAnsi="宋体" w:eastAsia="宋体" w:cs="宋体"/>
          <w:color w:val="auto"/>
          <w:spacing w:val="-5"/>
          <w:sz w:val="21"/>
          <w:szCs w:val="21"/>
          <w:highlight w:val="none"/>
        </w:rPr>
        <w:t xml:space="preserve"> </w:t>
      </w:r>
      <w:r>
        <w:rPr>
          <w:rFonts w:hint="eastAsia" w:ascii="宋体" w:hAnsi="宋体" w:eastAsia="宋体" w:cs="宋体"/>
          <w:b/>
          <w:bCs/>
          <w:color w:val="auto"/>
          <w:spacing w:val="-5"/>
          <w:sz w:val="21"/>
          <w:szCs w:val="21"/>
          <w:highlight w:val="none"/>
        </w:rPr>
        <w:t>竣工退场</w:t>
      </w:r>
    </w:p>
    <w:p w14:paraId="4404406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13.6.1 竣工退场</w:t>
      </w:r>
    </w:p>
    <w:p w14:paraId="3F06427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承包人完成竣工退场的期限：</w:t>
      </w:r>
      <w:r>
        <w:rPr>
          <w:rFonts w:hint="eastAsia" w:ascii="宋体" w:hAnsi="宋体" w:eastAsia="宋体" w:cs="宋体"/>
          <w:color w:val="auto"/>
          <w:spacing w:val="-3"/>
          <w:sz w:val="21"/>
          <w:szCs w:val="21"/>
          <w:highlight w:val="none"/>
          <w:u w:val="single" w:color="auto"/>
        </w:rPr>
        <w:t>监理人颁发（出具）工程接收证书后7天内，承包</w:t>
      </w:r>
      <w:r>
        <w:rPr>
          <w:rFonts w:hint="eastAsia" w:ascii="宋体" w:hAnsi="宋体" w:eastAsia="宋体" w:cs="宋体"/>
          <w:color w:val="auto"/>
          <w:sz w:val="21"/>
          <w:szCs w:val="21"/>
          <w:highlight w:val="none"/>
          <w:u w:val="single" w:color="auto"/>
        </w:rPr>
        <w:t>人负责按照通用条</w:t>
      </w:r>
      <w:r>
        <w:rPr>
          <w:rFonts w:hint="eastAsia" w:ascii="宋体" w:hAnsi="宋体" w:cs="宋体"/>
          <w:color w:val="auto"/>
          <w:sz w:val="21"/>
          <w:szCs w:val="21"/>
          <w:highlight w:val="none"/>
          <w:u w:val="single" w:color="auto"/>
          <w:lang w:eastAsia="zh-CN"/>
        </w:rPr>
        <w:t>款和</w:t>
      </w:r>
      <w:r>
        <w:rPr>
          <w:rFonts w:hint="eastAsia" w:ascii="宋体" w:hAnsi="宋体" w:eastAsia="宋体" w:cs="宋体"/>
          <w:color w:val="auto"/>
          <w:sz w:val="21"/>
          <w:szCs w:val="21"/>
          <w:highlight w:val="none"/>
          <w:u w:val="single" w:color="auto"/>
        </w:rPr>
        <w:t>本项约定的要求对施工场地进行清理并</w:t>
      </w:r>
      <w:r>
        <w:rPr>
          <w:rFonts w:hint="eastAsia" w:ascii="宋体" w:hAnsi="宋体" w:eastAsia="宋体" w:cs="宋体"/>
          <w:color w:val="auto"/>
          <w:spacing w:val="-1"/>
          <w:sz w:val="21"/>
          <w:szCs w:val="21"/>
          <w:highlight w:val="none"/>
          <w:u w:val="single" w:color="auto"/>
        </w:rPr>
        <w:t>承担相关费用，直至监</w:t>
      </w:r>
      <w:r>
        <w:rPr>
          <w:rFonts w:hint="eastAsia" w:ascii="宋体" w:hAnsi="宋体" w:eastAsia="宋体" w:cs="宋体"/>
          <w:color w:val="auto"/>
          <w:spacing w:val="-3"/>
          <w:sz w:val="21"/>
          <w:szCs w:val="21"/>
          <w:highlight w:val="none"/>
          <w:u w:val="single" w:color="auto"/>
        </w:rPr>
        <w:t>理人检验合格为止。承包人的人员逾期</w:t>
      </w:r>
      <w:r>
        <w:rPr>
          <w:rFonts w:hint="eastAsia" w:ascii="宋体" w:hAnsi="宋体" w:cs="宋体"/>
          <w:color w:val="auto"/>
          <w:spacing w:val="-3"/>
          <w:sz w:val="21"/>
          <w:szCs w:val="21"/>
          <w:highlight w:val="none"/>
          <w:u w:val="single" w:color="auto"/>
          <w:lang w:eastAsia="zh-CN"/>
        </w:rPr>
        <w:t>撤出</w:t>
      </w:r>
      <w:r>
        <w:rPr>
          <w:rFonts w:hint="eastAsia" w:ascii="宋体" w:hAnsi="宋体" w:eastAsia="宋体" w:cs="宋体"/>
          <w:color w:val="auto"/>
          <w:spacing w:val="-3"/>
          <w:sz w:val="21"/>
          <w:szCs w:val="21"/>
          <w:highlight w:val="none"/>
          <w:u w:val="single" w:color="auto"/>
        </w:rPr>
        <w:t>施工场地的，按每人每天500元支付违约</w:t>
      </w:r>
      <w:r>
        <w:rPr>
          <w:rFonts w:hint="eastAsia" w:ascii="宋体" w:hAnsi="宋体" w:eastAsia="宋体" w:cs="宋体"/>
          <w:color w:val="auto"/>
          <w:sz w:val="21"/>
          <w:szCs w:val="21"/>
          <w:highlight w:val="none"/>
          <w:u w:val="single" w:color="auto"/>
        </w:rPr>
        <w:t>金给发包人。机械设备和其他财产逾期撤离施工现场的，视</w:t>
      </w:r>
      <w:r>
        <w:rPr>
          <w:rFonts w:hint="eastAsia" w:ascii="宋体" w:hAnsi="宋体" w:eastAsia="宋体" w:cs="宋体"/>
          <w:color w:val="auto"/>
          <w:spacing w:val="-1"/>
          <w:sz w:val="21"/>
          <w:szCs w:val="21"/>
          <w:highlight w:val="none"/>
          <w:u w:val="single" w:color="auto"/>
        </w:rPr>
        <w:t>为承包人放弃所有权，任由发包人处置，处置所得收益归发包人所有</w:t>
      </w:r>
      <w:r>
        <w:rPr>
          <w:rFonts w:hint="eastAsia" w:ascii="宋体" w:hAnsi="宋体" w:eastAsia="宋体" w:cs="宋体"/>
          <w:color w:val="auto"/>
          <w:spacing w:val="-1"/>
          <w:sz w:val="21"/>
          <w:szCs w:val="21"/>
          <w:highlight w:val="none"/>
        </w:rPr>
        <w:t>。</w:t>
      </w:r>
    </w:p>
    <w:p w14:paraId="0679B8B2">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0"/>
        <w:rPr>
          <w:rFonts w:hint="eastAsia" w:ascii="宋体" w:hAnsi="宋体" w:eastAsia="宋体" w:cs="宋体"/>
          <w:b w:val="0"/>
          <w:color w:val="auto"/>
          <w:sz w:val="21"/>
          <w:szCs w:val="21"/>
          <w:highlight w:val="none"/>
        </w:rPr>
      </w:pPr>
      <w:bookmarkStart w:id="524" w:name="_Toc20709"/>
      <w:bookmarkStart w:id="525" w:name="_Toc17476"/>
      <w:r>
        <w:rPr>
          <w:rFonts w:hint="eastAsia" w:ascii="宋体" w:hAnsi="宋体" w:eastAsia="宋体" w:cs="宋体"/>
          <w:b w:val="0"/>
          <w:bCs/>
          <w:color w:val="auto"/>
          <w:spacing w:val="-8"/>
          <w:sz w:val="21"/>
          <w:szCs w:val="21"/>
          <w:highlight w:val="none"/>
        </w:rPr>
        <w:t>14.</w:t>
      </w:r>
      <w:r>
        <w:rPr>
          <w:rFonts w:hint="eastAsia" w:ascii="宋体" w:hAnsi="宋体" w:eastAsia="宋体" w:cs="宋体"/>
          <w:b w:val="0"/>
          <w:color w:val="auto"/>
          <w:spacing w:val="12"/>
          <w:sz w:val="21"/>
          <w:szCs w:val="21"/>
          <w:highlight w:val="none"/>
        </w:rPr>
        <w:t xml:space="preserve"> </w:t>
      </w:r>
      <w:r>
        <w:rPr>
          <w:rFonts w:hint="eastAsia" w:ascii="宋体" w:hAnsi="宋体" w:eastAsia="宋体" w:cs="宋体"/>
          <w:b w:val="0"/>
          <w:bCs/>
          <w:color w:val="auto"/>
          <w:spacing w:val="-8"/>
          <w:sz w:val="21"/>
          <w:szCs w:val="21"/>
          <w:highlight w:val="none"/>
        </w:rPr>
        <w:t>竣工结算</w:t>
      </w:r>
      <w:bookmarkEnd w:id="524"/>
      <w:bookmarkEnd w:id="525"/>
    </w:p>
    <w:p w14:paraId="1AC53A78">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26" w:name="_Toc19674"/>
      <w:bookmarkStart w:id="527" w:name="_Toc781"/>
      <w:r>
        <w:rPr>
          <w:rFonts w:hint="eastAsia" w:ascii="宋体" w:hAnsi="宋体" w:eastAsia="宋体" w:cs="宋体"/>
          <w:b w:val="0"/>
          <w:bCs/>
          <w:color w:val="auto"/>
          <w:spacing w:val="-5"/>
          <w:sz w:val="21"/>
          <w:szCs w:val="21"/>
          <w:highlight w:val="none"/>
        </w:rPr>
        <w:t>14.1</w:t>
      </w:r>
      <w:r>
        <w:rPr>
          <w:rFonts w:hint="eastAsia" w:ascii="宋体" w:hAnsi="宋体" w:eastAsia="宋体" w:cs="宋体"/>
          <w:b w:val="0"/>
          <w:color w:val="auto"/>
          <w:spacing w:val="-5"/>
          <w:sz w:val="21"/>
          <w:szCs w:val="21"/>
          <w:highlight w:val="none"/>
        </w:rPr>
        <w:t xml:space="preserve"> </w:t>
      </w:r>
      <w:r>
        <w:rPr>
          <w:rFonts w:hint="eastAsia" w:ascii="宋体" w:hAnsi="宋体" w:eastAsia="宋体" w:cs="宋体"/>
          <w:b w:val="0"/>
          <w:bCs/>
          <w:color w:val="auto"/>
          <w:spacing w:val="-5"/>
          <w:sz w:val="21"/>
          <w:szCs w:val="21"/>
          <w:highlight w:val="none"/>
        </w:rPr>
        <w:t>竣工付款申请</w:t>
      </w:r>
      <w:bookmarkEnd w:id="526"/>
      <w:bookmarkEnd w:id="527"/>
    </w:p>
    <w:p w14:paraId="1942C76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承包人提交竣工付款申请单的期限：</w:t>
      </w:r>
      <w:r>
        <w:rPr>
          <w:rFonts w:hint="eastAsia" w:ascii="宋体" w:hAnsi="宋体" w:eastAsia="宋体" w:cs="宋体"/>
          <w:color w:val="auto"/>
          <w:sz w:val="21"/>
          <w:szCs w:val="21"/>
          <w:highlight w:val="none"/>
          <w:u w:val="single" w:color="auto"/>
        </w:rPr>
        <w:t>工程竣</w:t>
      </w:r>
      <w:r>
        <w:rPr>
          <w:rFonts w:hint="eastAsia" w:ascii="宋体" w:hAnsi="宋体" w:eastAsia="宋体" w:cs="宋体"/>
          <w:color w:val="auto"/>
          <w:spacing w:val="-1"/>
          <w:sz w:val="21"/>
          <w:szCs w:val="21"/>
          <w:highlight w:val="none"/>
          <w:u w:val="single" w:color="auto"/>
        </w:rPr>
        <w:t>工验收合格后42天内</w:t>
      </w:r>
      <w:r>
        <w:rPr>
          <w:rFonts w:hint="eastAsia" w:ascii="宋体" w:hAnsi="宋体" w:eastAsia="宋体" w:cs="宋体"/>
          <w:color w:val="auto"/>
          <w:spacing w:val="-1"/>
          <w:sz w:val="21"/>
          <w:szCs w:val="21"/>
          <w:highlight w:val="none"/>
        </w:rPr>
        <w:t>。</w:t>
      </w:r>
    </w:p>
    <w:p w14:paraId="4222317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竣工结算申请的资料清单和份数：</w:t>
      </w:r>
      <w:r>
        <w:rPr>
          <w:rFonts w:hint="eastAsia" w:ascii="宋体" w:hAnsi="宋体" w:eastAsia="宋体" w:cs="宋体"/>
          <w:color w:val="auto"/>
          <w:spacing w:val="-3"/>
          <w:sz w:val="21"/>
          <w:szCs w:val="21"/>
          <w:highlight w:val="none"/>
          <w:u w:val="single" w:color="auto"/>
        </w:rPr>
        <w:t>竣工验收资料的份数：承包人应在竣</w:t>
      </w:r>
      <w:r>
        <w:rPr>
          <w:rFonts w:hint="eastAsia" w:ascii="宋体" w:hAnsi="宋体" w:eastAsia="宋体" w:cs="宋体"/>
          <w:color w:val="auto"/>
          <w:spacing w:val="-4"/>
          <w:sz w:val="21"/>
          <w:szCs w:val="21"/>
          <w:highlight w:val="none"/>
          <w:u w:val="single" w:color="auto"/>
        </w:rPr>
        <w:t>工验收</w:t>
      </w:r>
      <w:r>
        <w:rPr>
          <w:rFonts w:hint="eastAsia" w:ascii="宋体" w:hAnsi="宋体" w:eastAsia="宋体" w:cs="宋体"/>
          <w:color w:val="auto"/>
          <w:sz w:val="21"/>
          <w:szCs w:val="21"/>
          <w:highlight w:val="none"/>
          <w:u w:val="single" w:color="auto"/>
        </w:rPr>
        <w:t>合格后30天内按照建设行政主管部门及发包人的要求提供</w:t>
      </w:r>
      <w:r>
        <w:rPr>
          <w:rFonts w:hint="eastAsia" w:ascii="宋体" w:hAnsi="宋体" w:eastAsia="宋体" w:cs="宋体"/>
          <w:color w:val="auto"/>
          <w:spacing w:val="-1"/>
          <w:sz w:val="21"/>
          <w:szCs w:val="21"/>
          <w:highlight w:val="none"/>
          <w:u w:val="single" w:color="auto"/>
        </w:rPr>
        <w:t>有关竣工资料，其套数除</w:t>
      </w:r>
      <w:r>
        <w:rPr>
          <w:rFonts w:hint="eastAsia" w:ascii="宋体" w:hAnsi="宋体" w:eastAsia="宋体" w:cs="宋体"/>
          <w:color w:val="auto"/>
          <w:sz w:val="21"/>
          <w:szCs w:val="21"/>
          <w:highlight w:val="none"/>
          <w:u w:val="single" w:color="auto"/>
        </w:rPr>
        <w:t>满足各政府部门存</w:t>
      </w:r>
      <w:r>
        <w:rPr>
          <w:rFonts w:hint="eastAsia" w:ascii="宋体" w:hAnsi="宋体" w:cs="宋体"/>
          <w:color w:val="auto"/>
          <w:sz w:val="21"/>
          <w:szCs w:val="21"/>
          <w:highlight w:val="none"/>
          <w:u w:val="single" w:color="auto"/>
          <w:lang w:eastAsia="zh-CN"/>
        </w:rPr>
        <w:t>档</w:t>
      </w:r>
      <w:r>
        <w:rPr>
          <w:rFonts w:hint="eastAsia" w:ascii="宋体" w:hAnsi="宋体" w:eastAsia="宋体" w:cs="宋体"/>
          <w:color w:val="auto"/>
          <w:sz w:val="21"/>
          <w:szCs w:val="21"/>
          <w:highlight w:val="none"/>
          <w:u w:val="single" w:color="auto"/>
        </w:rPr>
        <w:t>需要外还需另提供两套原件及完整</w:t>
      </w:r>
      <w:r>
        <w:rPr>
          <w:rFonts w:hint="eastAsia" w:ascii="宋体" w:hAnsi="宋体" w:eastAsia="宋体" w:cs="宋体"/>
          <w:color w:val="auto"/>
          <w:spacing w:val="-1"/>
          <w:sz w:val="21"/>
          <w:szCs w:val="21"/>
          <w:highlight w:val="none"/>
          <w:u w:val="single" w:color="auto"/>
        </w:rPr>
        <w:t>电子文档一份由发包人存</w:t>
      </w:r>
      <w:r>
        <w:rPr>
          <w:rFonts w:hint="eastAsia" w:ascii="宋体" w:hAnsi="宋体" w:eastAsia="宋体" w:cs="宋体"/>
          <w:color w:val="auto"/>
          <w:spacing w:val="5"/>
          <w:sz w:val="21"/>
          <w:szCs w:val="21"/>
          <w:highlight w:val="none"/>
          <w:u w:val="single" w:color="auto"/>
        </w:rPr>
        <w:t>档备用。</w:t>
      </w:r>
    </w:p>
    <w:p w14:paraId="6988D25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color="auto"/>
        </w:rPr>
      </w:pPr>
      <w:r>
        <w:rPr>
          <w:rFonts w:hint="eastAsia" w:ascii="宋体" w:hAnsi="宋体" w:eastAsia="宋体" w:cs="宋体"/>
          <w:color w:val="auto"/>
          <w:sz w:val="21"/>
          <w:szCs w:val="21"/>
          <w:highlight w:val="none"/>
        </w:rPr>
        <w:t>竣工付款申请单应包括的内容：按《通用条款》执</w:t>
      </w:r>
      <w:r>
        <w:rPr>
          <w:rFonts w:hint="eastAsia" w:ascii="宋体" w:hAnsi="宋体" w:eastAsia="宋体" w:cs="宋体"/>
          <w:color w:val="auto"/>
          <w:spacing w:val="-1"/>
          <w:sz w:val="21"/>
          <w:szCs w:val="21"/>
          <w:highlight w:val="none"/>
        </w:rPr>
        <w:t>行。</w:t>
      </w:r>
      <w:r>
        <w:rPr>
          <w:rFonts w:hint="eastAsia" w:ascii="宋体" w:hAnsi="宋体" w:eastAsia="宋体" w:cs="宋体"/>
          <w:color w:val="auto"/>
          <w:spacing w:val="-1"/>
          <w:sz w:val="21"/>
          <w:szCs w:val="21"/>
          <w:highlight w:val="none"/>
          <w:u w:val="single" w:color="auto"/>
        </w:rPr>
        <w:t>本工程最终竣工结算需</w:t>
      </w:r>
      <w:r>
        <w:rPr>
          <w:rFonts w:hint="eastAsia" w:ascii="宋体" w:hAnsi="宋体" w:eastAsia="宋体" w:cs="宋体"/>
          <w:color w:val="auto"/>
          <w:sz w:val="21"/>
          <w:szCs w:val="21"/>
          <w:highlight w:val="none"/>
          <w:u w:val="single" w:color="auto"/>
        </w:rPr>
        <w:t>报业主有关部门审定，承包人所编制的工程竣工资料经监理审</w:t>
      </w:r>
      <w:r>
        <w:rPr>
          <w:rFonts w:hint="eastAsia" w:ascii="宋体" w:hAnsi="宋体" w:eastAsia="宋体" w:cs="宋体"/>
          <w:color w:val="auto"/>
          <w:spacing w:val="-1"/>
          <w:sz w:val="21"/>
          <w:szCs w:val="21"/>
          <w:highlight w:val="none"/>
          <w:u w:val="single" w:color="auto"/>
        </w:rPr>
        <w:t>核后，送到业主有关</w:t>
      </w:r>
      <w:r>
        <w:rPr>
          <w:rFonts w:hint="eastAsia" w:ascii="宋体" w:hAnsi="宋体" w:eastAsia="宋体" w:cs="宋体"/>
          <w:color w:val="auto"/>
          <w:sz w:val="21"/>
          <w:szCs w:val="21"/>
          <w:highlight w:val="none"/>
          <w:u w:val="single" w:color="auto"/>
        </w:rPr>
        <w:t xml:space="preserve"> 部门之日起，承包人所遗漏的与工程造价有关的资料不再作为</w:t>
      </w:r>
      <w:r>
        <w:rPr>
          <w:rFonts w:hint="eastAsia" w:ascii="宋体" w:hAnsi="宋体" w:eastAsia="宋体" w:cs="宋体"/>
          <w:color w:val="auto"/>
          <w:spacing w:val="-1"/>
          <w:sz w:val="21"/>
          <w:szCs w:val="21"/>
          <w:highlight w:val="none"/>
          <w:u w:val="single" w:color="auto"/>
        </w:rPr>
        <w:t>结算审核依据，按自</w:t>
      </w:r>
      <w:r>
        <w:rPr>
          <w:rFonts w:hint="eastAsia" w:ascii="宋体" w:hAnsi="宋体" w:eastAsia="宋体" w:cs="宋体"/>
          <w:color w:val="auto"/>
          <w:spacing w:val="4"/>
          <w:sz w:val="21"/>
          <w:szCs w:val="21"/>
          <w:highlight w:val="none"/>
          <w:u w:val="single" w:color="auto"/>
        </w:rPr>
        <w:t>动放弃处理。</w:t>
      </w:r>
    </w:p>
    <w:p w14:paraId="1382AA8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竣工结算款支付申请（核准）表见合同附件12。</w:t>
      </w:r>
    </w:p>
    <w:p w14:paraId="00A2F5B5">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28" w:name="_Toc4633"/>
      <w:bookmarkStart w:id="529" w:name="_Toc4849"/>
      <w:r>
        <w:rPr>
          <w:rFonts w:hint="eastAsia" w:ascii="宋体" w:hAnsi="宋体" w:eastAsia="宋体" w:cs="宋体"/>
          <w:b w:val="0"/>
          <w:bCs/>
          <w:color w:val="auto"/>
          <w:spacing w:val="-5"/>
          <w:sz w:val="21"/>
          <w:szCs w:val="21"/>
          <w:highlight w:val="none"/>
        </w:rPr>
        <w:t>14.2</w:t>
      </w:r>
      <w:r>
        <w:rPr>
          <w:rFonts w:hint="eastAsia" w:ascii="宋体" w:hAnsi="宋体" w:eastAsia="宋体" w:cs="宋体"/>
          <w:b w:val="0"/>
          <w:color w:val="auto"/>
          <w:spacing w:val="-5"/>
          <w:sz w:val="21"/>
          <w:szCs w:val="21"/>
          <w:highlight w:val="none"/>
        </w:rPr>
        <w:t xml:space="preserve"> </w:t>
      </w:r>
      <w:r>
        <w:rPr>
          <w:rFonts w:hint="eastAsia" w:ascii="宋体" w:hAnsi="宋体" w:eastAsia="宋体" w:cs="宋体"/>
          <w:b w:val="0"/>
          <w:bCs/>
          <w:color w:val="auto"/>
          <w:spacing w:val="-5"/>
          <w:sz w:val="21"/>
          <w:szCs w:val="21"/>
          <w:highlight w:val="none"/>
        </w:rPr>
        <w:t>竣工结算审核</w:t>
      </w:r>
      <w:bookmarkEnd w:id="528"/>
      <w:bookmarkEnd w:id="529"/>
    </w:p>
    <w:p w14:paraId="31AF1FF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发包人审批竣工付款申请单的期限：</w:t>
      </w:r>
    </w:p>
    <w:p w14:paraId="115F3CF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p>
    <w:tbl>
      <w:tblPr>
        <w:tblStyle w:val="35"/>
        <w:tblW w:w="92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7"/>
        <w:gridCol w:w="2786"/>
        <w:gridCol w:w="5648"/>
      </w:tblGrid>
      <w:tr w14:paraId="1C103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67" w:type="dxa"/>
            <w:noWrap w:val="0"/>
            <w:vAlign w:val="top"/>
          </w:tcPr>
          <w:p w14:paraId="21E729CA">
            <w:pPr>
              <w:pageBreakBefore w:val="0"/>
              <w:widowControl w:val="0"/>
              <w:kinsoku/>
              <w:wordWrap/>
              <w:overflowPunct/>
              <w:topLinePunct w:val="0"/>
              <w:bidi w:val="0"/>
              <w:snapToGrid/>
              <w:spacing w:line="400" w:lineRule="exact"/>
              <w:ind w:left="0" w:right="0"/>
              <w:jc w:val="center"/>
              <w:textAlignment w:val="auto"/>
              <w:rPr>
                <w:rFonts w:hint="eastAsia" w:ascii="宋体" w:hAnsi="宋体" w:eastAsia="宋体" w:cs="宋体"/>
                <w:color w:val="auto"/>
                <w:sz w:val="21"/>
                <w:szCs w:val="21"/>
                <w:highlight w:val="none"/>
              </w:rPr>
            </w:pPr>
          </w:p>
        </w:tc>
        <w:tc>
          <w:tcPr>
            <w:tcW w:w="2786" w:type="dxa"/>
            <w:noWrap w:val="0"/>
            <w:vAlign w:val="top"/>
          </w:tcPr>
          <w:p w14:paraId="1E51ABBF">
            <w:pPr>
              <w:pageBreakBefore w:val="0"/>
              <w:widowControl w:val="0"/>
              <w:kinsoku/>
              <w:wordWrap/>
              <w:overflowPunct/>
              <w:topLinePunct w:val="0"/>
              <w:bidi w:val="0"/>
              <w:snapToGrid/>
              <w:spacing w:line="400" w:lineRule="exact"/>
              <w:ind w:left="0" w:right="0" w:hanging="94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工程竣工结算报告金</w:t>
            </w:r>
            <w:r>
              <w:rPr>
                <w:rFonts w:hint="eastAsia" w:ascii="宋体" w:hAnsi="宋体" w:eastAsia="宋体" w:cs="宋体"/>
                <w:color w:val="auto"/>
                <w:sz w:val="21"/>
                <w:szCs w:val="21"/>
                <w:highlight w:val="none"/>
              </w:rPr>
              <w:t>额</w:t>
            </w:r>
          </w:p>
        </w:tc>
        <w:tc>
          <w:tcPr>
            <w:tcW w:w="5648" w:type="dxa"/>
            <w:noWrap w:val="0"/>
            <w:vAlign w:val="top"/>
          </w:tcPr>
          <w:p w14:paraId="2F17083B">
            <w:pPr>
              <w:pageBreakBefore w:val="0"/>
              <w:widowControl w:val="0"/>
              <w:kinsoku/>
              <w:wordWrap/>
              <w:overflowPunct/>
              <w:topLinePunct w:val="0"/>
              <w:bidi w:val="0"/>
              <w:snapToGrid/>
              <w:spacing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发包人审查时间</w:t>
            </w:r>
          </w:p>
        </w:tc>
      </w:tr>
      <w:tr w14:paraId="0D83E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67" w:type="dxa"/>
            <w:noWrap w:val="0"/>
            <w:vAlign w:val="top"/>
          </w:tcPr>
          <w:p w14:paraId="404DCD90">
            <w:pPr>
              <w:pageBreakBefore w:val="0"/>
              <w:widowControl w:val="0"/>
              <w:kinsoku/>
              <w:wordWrap/>
              <w:overflowPunct/>
              <w:topLinePunct w:val="0"/>
              <w:bidi w:val="0"/>
              <w:snapToGrid/>
              <w:spacing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86" w:type="dxa"/>
            <w:noWrap w:val="0"/>
            <w:vAlign w:val="top"/>
          </w:tcPr>
          <w:p w14:paraId="359B6CD8">
            <w:pPr>
              <w:pageBreakBefore w:val="0"/>
              <w:widowControl w:val="0"/>
              <w:kinsoku/>
              <w:wordWrap/>
              <w:overflowPunct/>
              <w:topLinePunct w:val="0"/>
              <w:bidi w:val="0"/>
              <w:snapToGrid/>
              <w:spacing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500万元以下</w:t>
            </w:r>
          </w:p>
        </w:tc>
        <w:tc>
          <w:tcPr>
            <w:tcW w:w="5648" w:type="dxa"/>
            <w:noWrap w:val="0"/>
            <w:vAlign w:val="top"/>
          </w:tcPr>
          <w:p w14:paraId="15C160E9">
            <w:pPr>
              <w:pageBreakBefore w:val="0"/>
              <w:widowControl w:val="0"/>
              <w:kinsoku/>
              <w:wordWrap/>
              <w:overflowPunct/>
              <w:topLinePunct w:val="0"/>
              <w:bidi w:val="0"/>
              <w:snapToGrid/>
              <w:spacing w:line="400" w:lineRule="exact"/>
              <w:ind w:left="0" w:right="0" w:hanging="190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从接到</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竣工结算报告和完整的竣工结算资料之日</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起20天</w:t>
            </w:r>
          </w:p>
        </w:tc>
      </w:tr>
      <w:tr w14:paraId="42AEC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67" w:type="dxa"/>
            <w:noWrap w:val="0"/>
            <w:vAlign w:val="top"/>
          </w:tcPr>
          <w:p w14:paraId="5B0AD644">
            <w:pPr>
              <w:pageBreakBefore w:val="0"/>
              <w:widowControl w:val="0"/>
              <w:kinsoku/>
              <w:wordWrap/>
              <w:overflowPunct/>
              <w:topLinePunct w:val="0"/>
              <w:bidi w:val="0"/>
              <w:snapToGrid/>
              <w:spacing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786" w:type="dxa"/>
            <w:noWrap w:val="0"/>
            <w:vAlign w:val="top"/>
          </w:tcPr>
          <w:p w14:paraId="186B9686">
            <w:pPr>
              <w:pageBreakBefore w:val="0"/>
              <w:widowControl w:val="0"/>
              <w:kinsoku/>
              <w:wordWrap/>
              <w:overflowPunct/>
              <w:topLinePunct w:val="0"/>
              <w:bidi w:val="0"/>
              <w:snapToGrid/>
              <w:spacing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500万元-2000万元</w:t>
            </w:r>
          </w:p>
        </w:tc>
        <w:tc>
          <w:tcPr>
            <w:tcW w:w="5648" w:type="dxa"/>
            <w:noWrap w:val="0"/>
            <w:vAlign w:val="top"/>
          </w:tcPr>
          <w:p w14:paraId="178E9072">
            <w:pPr>
              <w:pageBreakBefore w:val="0"/>
              <w:widowControl w:val="0"/>
              <w:kinsoku/>
              <w:wordWrap/>
              <w:overflowPunct/>
              <w:topLinePunct w:val="0"/>
              <w:bidi w:val="0"/>
              <w:snapToGrid/>
              <w:spacing w:line="400" w:lineRule="exact"/>
              <w:ind w:left="0" w:right="0" w:hanging="190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从接到</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竣工结算报告和完整的竣工结算资料之日</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起30天</w:t>
            </w:r>
          </w:p>
        </w:tc>
      </w:tr>
      <w:tr w14:paraId="746E3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767" w:type="dxa"/>
            <w:noWrap w:val="0"/>
            <w:vAlign w:val="top"/>
          </w:tcPr>
          <w:p w14:paraId="2E4CBC9E">
            <w:pPr>
              <w:pStyle w:val="36"/>
              <w:pageBreakBefore w:val="0"/>
              <w:widowControl w:val="0"/>
              <w:kinsoku/>
              <w:wordWrap/>
              <w:overflowPunct/>
              <w:topLinePunct w:val="0"/>
              <w:bidi w:val="0"/>
              <w:snapToGrid/>
              <w:spacing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786" w:type="dxa"/>
            <w:noWrap w:val="0"/>
            <w:vAlign w:val="top"/>
          </w:tcPr>
          <w:p w14:paraId="05965975">
            <w:pPr>
              <w:pStyle w:val="36"/>
              <w:pageBreakBefore w:val="0"/>
              <w:widowControl w:val="0"/>
              <w:kinsoku/>
              <w:wordWrap/>
              <w:overflowPunct/>
              <w:topLinePunct w:val="0"/>
              <w:bidi w:val="0"/>
              <w:snapToGrid/>
              <w:spacing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2000万元-5000万元</w:t>
            </w:r>
          </w:p>
        </w:tc>
        <w:tc>
          <w:tcPr>
            <w:tcW w:w="5648" w:type="dxa"/>
            <w:noWrap w:val="0"/>
            <w:vAlign w:val="top"/>
          </w:tcPr>
          <w:p w14:paraId="6832B275">
            <w:pPr>
              <w:pStyle w:val="36"/>
              <w:pageBreakBefore w:val="0"/>
              <w:widowControl w:val="0"/>
              <w:kinsoku/>
              <w:wordWrap/>
              <w:overflowPunct/>
              <w:topLinePunct w:val="0"/>
              <w:bidi w:val="0"/>
              <w:snapToGrid/>
              <w:spacing w:line="400" w:lineRule="exact"/>
              <w:ind w:left="0" w:right="0" w:hanging="190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从接到</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竣工结算报告和完整的竣工结算资料之日</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起45天</w:t>
            </w:r>
          </w:p>
        </w:tc>
      </w:tr>
      <w:tr w14:paraId="6EF94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767" w:type="dxa"/>
            <w:noWrap w:val="0"/>
            <w:vAlign w:val="top"/>
          </w:tcPr>
          <w:p w14:paraId="3B36C022">
            <w:pPr>
              <w:pStyle w:val="36"/>
              <w:pageBreakBefore w:val="0"/>
              <w:widowControl w:val="0"/>
              <w:kinsoku/>
              <w:wordWrap/>
              <w:overflowPunct/>
              <w:topLinePunct w:val="0"/>
              <w:bidi w:val="0"/>
              <w:snapToGrid/>
              <w:spacing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786" w:type="dxa"/>
            <w:noWrap w:val="0"/>
            <w:vAlign w:val="top"/>
          </w:tcPr>
          <w:p w14:paraId="1B741D20">
            <w:pPr>
              <w:pStyle w:val="36"/>
              <w:pageBreakBefore w:val="0"/>
              <w:widowControl w:val="0"/>
              <w:kinsoku/>
              <w:wordWrap/>
              <w:overflowPunct/>
              <w:topLinePunct w:val="0"/>
              <w:bidi w:val="0"/>
              <w:snapToGrid/>
              <w:spacing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5000万元以上</w:t>
            </w:r>
          </w:p>
        </w:tc>
        <w:tc>
          <w:tcPr>
            <w:tcW w:w="5648" w:type="dxa"/>
            <w:noWrap w:val="0"/>
            <w:vAlign w:val="top"/>
          </w:tcPr>
          <w:p w14:paraId="5CB95FAC">
            <w:pPr>
              <w:pStyle w:val="36"/>
              <w:pageBreakBefore w:val="0"/>
              <w:widowControl w:val="0"/>
              <w:kinsoku/>
              <w:wordWrap/>
              <w:overflowPunct/>
              <w:topLinePunct w:val="0"/>
              <w:bidi w:val="0"/>
              <w:snapToGrid/>
              <w:spacing w:line="400" w:lineRule="exact"/>
              <w:ind w:left="0" w:right="0" w:hanging="190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从接到</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竣工结算报告和完整的竣工结算资料之日</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起60天</w:t>
            </w:r>
          </w:p>
        </w:tc>
      </w:tr>
      <w:tr w14:paraId="385F7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767" w:type="dxa"/>
            <w:noWrap w:val="0"/>
            <w:vAlign w:val="top"/>
          </w:tcPr>
          <w:p w14:paraId="6F0D4205">
            <w:pPr>
              <w:pageBreakBefore w:val="0"/>
              <w:widowControl w:val="0"/>
              <w:kinsoku/>
              <w:wordWrap/>
              <w:overflowPunct/>
              <w:topLinePunct w:val="0"/>
              <w:bidi w:val="0"/>
              <w:snapToGrid/>
              <w:spacing w:line="400" w:lineRule="exact"/>
              <w:ind w:left="0" w:right="0"/>
              <w:jc w:val="center"/>
              <w:textAlignment w:val="auto"/>
              <w:rPr>
                <w:rFonts w:hint="eastAsia" w:ascii="宋体" w:hAnsi="宋体" w:eastAsia="宋体" w:cs="宋体"/>
                <w:color w:val="auto"/>
                <w:sz w:val="21"/>
                <w:szCs w:val="21"/>
                <w:highlight w:val="none"/>
              </w:rPr>
            </w:pPr>
          </w:p>
          <w:p w14:paraId="3AF689D5">
            <w:pPr>
              <w:pStyle w:val="36"/>
              <w:pageBreakBefore w:val="0"/>
              <w:widowControl w:val="0"/>
              <w:kinsoku/>
              <w:wordWrap/>
              <w:overflowPunct/>
              <w:topLinePunct w:val="0"/>
              <w:bidi w:val="0"/>
              <w:snapToGrid/>
              <w:spacing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786" w:type="dxa"/>
            <w:noWrap w:val="0"/>
            <w:vAlign w:val="top"/>
          </w:tcPr>
          <w:p w14:paraId="13EA5BCC">
            <w:pPr>
              <w:pStyle w:val="36"/>
              <w:pageBreakBefore w:val="0"/>
              <w:widowControl w:val="0"/>
              <w:kinsoku/>
              <w:wordWrap/>
              <w:overflowPunct/>
              <w:topLinePunct w:val="0"/>
              <w:bidi w:val="0"/>
              <w:snapToGrid/>
              <w:spacing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5000万以上每增加</w:t>
            </w:r>
            <w:r>
              <w:rPr>
                <w:rFonts w:hint="eastAsia" w:ascii="宋体" w:hAnsi="宋体" w:eastAsia="宋体" w:cs="宋体"/>
                <w:color w:val="auto"/>
                <w:spacing w:val="-1"/>
                <w:sz w:val="21"/>
                <w:szCs w:val="21"/>
                <w:highlight w:val="none"/>
              </w:rPr>
              <w:t>0.5亿</w:t>
            </w:r>
            <w:r>
              <w:rPr>
                <w:rFonts w:hint="eastAsia"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不足0.5亿不</w:t>
            </w:r>
            <w:r>
              <w:rPr>
                <w:rFonts w:hint="eastAsia" w:ascii="宋体" w:hAnsi="宋体" w:eastAsia="宋体" w:cs="宋体"/>
                <w:color w:val="auto"/>
                <w:spacing w:val="-4"/>
                <w:sz w:val="21"/>
                <w:szCs w:val="21"/>
                <w:highlight w:val="none"/>
              </w:rPr>
              <w:t>增加</w:t>
            </w:r>
            <w:r>
              <w:rPr>
                <w:rFonts w:hint="eastAsia" w:cs="宋体"/>
                <w:color w:val="auto"/>
                <w:spacing w:val="-4"/>
                <w:sz w:val="21"/>
                <w:szCs w:val="21"/>
                <w:highlight w:val="none"/>
                <w:lang w:eastAsia="zh-CN"/>
              </w:rPr>
              <w:t>）</w:t>
            </w:r>
          </w:p>
        </w:tc>
        <w:tc>
          <w:tcPr>
            <w:tcW w:w="5648" w:type="dxa"/>
            <w:noWrap w:val="0"/>
            <w:vAlign w:val="center"/>
          </w:tcPr>
          <w:p w14:paraId="50A81146">
            <w:pPr>
              <w:pStyle w:val="36"/>
              <w:pageBreakBefore w:val="0"/>
              <w:widowControl w:val="0"/>
              <w:kinsoku/>
              <w:wordWrap/>
              <w:overflowPunct/>
              <w:topLinePunct w:val="0"/>
              <w:bidi w:val="0"/>
              <w:snapToGrid/>
              <w:spacing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增加10天</w:t>
            </w:r>
          </w:p>
        </w:tc>
      </w:tr>
    </w:tbl>
    <w:p w14:paraId="6EB6B3C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工程竣工验收合格后，承包人应按约定一次性</w:t>
      </w:r>
      <w:r>
        <w:rPr>
          <w:rFonts w:hint="eastAsia" w:ascii="宋体" w:hAnsi="宋体" w:eastAsia="宋体" w:cs="宋体"/>
          <w:color w:val="auto"/>
          <w:spacing w:val="-1"/>
          <w:sz w:val="21"/>
          <w:szCs w:val="21"/>
          <w:highlight w:val="none"/>
        </w:rPr>
        <w:t>报送完整的竣工结算资料至发包</w:t>
      </w:r>
      <w:r>
        <w:rPr>
          <w:rFonts w:hint="eastAsia" w:ascii="宋体" w:hAnsi="宋体" w:eastAsia="宋体" w:cs="宋体"/>
          <w:color w:val="auto"/>
          <w:sz w:val="21"/>
          <w:szCs w:val="21"/>
          <w:highlight w:val="none"/>
        </w:rPr>
        <w:t>人，原则上不再接收补充的结算资料。审核过程中，如发包</w:t>
      </w:r>
      <w:r>
        <w:rPr>
          <w:rFonts w:hint="eastAsia" w:ascii="宋体" w:hAnsi="宋体" w:eastAsia="宋体" w:cs="宋体"/>
          <w:color w:val="auto"/>
          <w:spacing w:val="-1"/>
          <w:sz w:val="21"/>
          <w:szCs w:val="21"/>
          <w:highlight w:val="none"/>
        </w:rPr>
        <w:t>人提出需承包人补充的</w:t>
      </w:r>
      <w:r>
        <w:rPr>
          <w:rFonts w:hint="eastAsia" w:ascii="宋体" w:hAnsi="宋体" w:eastAsia="宋体" w:cs="宋体"/>
          <w:color w:val="auto"/>
          <w:sz w:val="21"/>
          <w:szCs w:val="21"/>
          <w:highlight w:val="none"/>
        </w:rPr>
        <w:t>结算资料，经发包人催促后20天内仍未提供或没有明确答复</w:t>
      </w:r>
      <w:r>
        <w:rPr>
          <w:rFonts w:hint="eastAsia" w:ascii="宋体" w:hAnsi="宋体" w:eastAsia="宋体" w:cs="宋体"/>
          <w:color w:val="auto"/>
          <w:spacing w:val="-1"/>
          <w:sz w:val="21"/>
          <w:szCs w:val="21"/>
          <w:highlight w:val="none"/>
        </w:rPr>
        <w:t>，发包人可根据现有资</w:t>
      </w:r>
      <w:r>
        <w:rPr>
          <w:rFonts w:hint="eastAsia" w:ascii="宋体" w:hAnsi="宋体" w:eastAsia="宋体" w:cs="宋体"/>
          <w:color w:val="auto"/>
          <w:sz w:val="21"/>
          <w:szCs w:val="21"/>
          <w:highlight w:val="none"/>
        </w:rPr>
        <w:t>料办理结算，审核时间相应顺延。本工程最终结算价以双方</w:t>
      </w:r>
      <w:r>
        <w:rPr>
          <w:rFonts w:hint="eastAsia" w:ascii="宋体" w:hAnsi="宋体" w:eastAsia="宋体" w:cs="宋体"/>
          <w:color w:val="auto"/>
          <w:spacing w:val="-1"/>
          <w:sz w:val="21"/>
          <w:szCs w:val="21"/>
          <w:highlight w:val="none"/>
        </w:rPr>
        <w:t>签订最终结算书为准或业主聘请的第三方有关造价单位审定为准。</w:t>
      </w:r>
    </w:p>
    <w:p w14:paraId="23CAA10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因承包人提供的结算资料不完整而需要补充或承</w:t>
      </w:r>
      <w:r>
        <w:rPr>
          <w:rFonts w:hint="eastAsia" w:ascii="宋体" w:hAnsi="宋体" w:eastAsia="宋体" w:cs="宋体"/>
          <w:color w:val="auto"/>
          <w:spacing w:val="-3"/>
          <w:sz w:val="21"/>
          <w:szCs w:val="21"/>
          <w:highlight w:val="none"/>
        </w:rPr>
        <w:t>包人不按时对账耽误时间时，</w:t>
      </w:r>
      <w:r>
        <w:rPr>
          <w:rFonts w:hint="eastAsia" w:ascii="宋体" w:hAnsi="宋体" w:eastAsia="宋体" w:cs="宋体"/>
          <w:color w:val="auto"/>
          <w:spacing w:val="-2"/>
          <w:sz w:val="21"/>
          <w:szCs w:val="21"/>
          <w:highlight w:val="none"/>
        </w:rPr>
        <w:t>审查时间应相应顺延。</w:t>
      </w:r>
    </w:p>
    <w:p w14:paraId="287C4F9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竣工结算审核约定：</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rPr>
        <w:t>国有投资项目：</w:t>
      </w:r>
    </w:p>
    <w:p w14:paraId="3E07382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5"/>
          <w:sz w:val="21"/>
          <w:szCs w:val="21"/>
          <w:highlight w:val="none"/>
        </w:rPr>
        <w:t>自竣工结算完毕之日起15 工作日内，经承包人申请发包人按审定后的竣工</w:t>
      </w:r>
      <w:r>
        <w:rPr>
          <w:rFonts w:hint="eastAsia" w:ascii="宋体" w:hAnsi="宋体" w:eastAsia="宋体" w:cs="宋体"/>
          <w:color w:val="auto"/>
          <w:spacing w:val="-1"/>
          <w:sz w:val="21"/>
          <w:szCs w:val="21"/>
          <w:highlight w:val="none"/>
        </w:rPr>
        <w:t>结算价款，通知经办银行向承包人支付结算价款。</w:t>
      </w:r>
    </w:p>
    <w:p w14:paraId="1CC6642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2.本工程最终竣工结算达到《自治区本级财政投资评审实施办法》（桂财办</w:t>
      </w:r>
      <w:r>
        <w:rPr>
          <w:rFonts w:hint="eastAsia" w:ascii="宋体" w:hAnsi="宋体" w:cs="宋体"/>
          <w:color w:val="auto"/>
          <w:spacing w:val="-3"/>
          <w:sz w:val="21"/>
          <w:szCs w:val="21"/>
          <w:highlight w:val="none"/>
          <w:lang w:eastAsia="zh-CN"/>
        </w:rPr>
        <w:t>〔2015〕70号</w:t>
      </w:r>
      <w:r>
        <w:rPr>
          <w:rFonts w:hint="eastAsia" w:ascii="宋体" w:hAnsi="宋体" w:eastAsia="宋体" w:cs="宋体"/>
          <w:color w:val="auto"/>
          <w:spacing w:val="-3"/>
          <w:sz w:val="21"/>
          <w:szCs w:val="21"/>
          <w:highlight w:val="none"/>
        </w:rPr>
        <w:t>）规定的评审范围，需报财政部门审定，承包人所编制的工程竣工资料经</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z w:val="21"/>
          <w:szCs w:val="21"/>
          <w:highlight w:val="none"/>
        </w:rPr>
        <w:t>发包人审核后，送到财政部门之日起，承包人所遗漏的</w:t>
      </w:r>
      <w:r>
        <w:rPr>
          <w:rFonts w:hint="eastAsia" w:ascii="宋体" w:hAnsi="宋体" w:eastAsia="宋体" w:cs="宋体"/>
          <w:color w:val="auto"/>
          <w:spacing w:val="-1"/>
          <w:sz w:val="21"/>
          <w:szCs w:val="21"/>
          <w:highlight w:val="none"/>
        </w:rPr>
        <w:t>与工程造价有关的签证不再</w:t>
      </w:r>
      <w:r>
        <w:rPr>
          <w:rFonts w:hint="eastAsia" w:ascii="宋体" w:hAnsi="宋体" w:eastAsia="宋体" w:cs="宋体"/>
          <w:color w:val="auto"/>
          <w:sz w:val="21"/>
          <w:szCs w:val="21"/>
          <w:highlight w:val="none"/>
        </w:rPr>
        <w:t>作为结算审核依据，按自动放弃处理。竣工</w:t>
      </w:r>
      <w:r>
        <w:rPr>
          <w:rFonts w:hint="eastAsia" w:ascii="宋体" w:hAnsi="宋体" w:eastAsia="宋体" w:cs="宋体"/>
          <w:color w:val="auto"/>
          <w:spacing w:val="-1"/>
          <w:sz w:val="21"/>
          <w:szCs w:val="21"/>
          <w:highlight w:val="none"/>
        </w:rPr>
        <w:t>结算以财政评审意见为准。</w:t>
      </w:r>
    </w:p>
    <w:p w14:paraId="6576EED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3.如承包人报送的工程结算总价过高，造成</w:t>
      </w:r>
      <w:r>
        <w:rPr>
          <w:rFonts w:hint="eastAsia" w:ascii="宋体" w:hAnsi="宋体" w:eastAsia="宋体" w:cs="宋体"/>
          <w:color w:val="auto"/>
          <w:spacing w:val="-1"/>
          <w:sz w:val="21"/>
          <w:szCs w:val="21"/>
          <w:highlight w:val="none"/>
        </w:rPr>
        <w:t>该结算审减率超过6%以上的，则超出6%以上部分的审核费由承包人承担，费用由发包人从承包人工程结算款中扣除。</w:t>
      </w:r>
      <w:r>
        <w:rPr>
          <w:rFonts w:hint="eastAsia" w:ascii="宋体" w:hAnsi="宋体" w:eastAsia="宋体" w:cs="宋体"/>
          <w:color w:val="auto"/>
          <w:spacing w:val="-2"/>
          <w:sz w:val="21"/>
          <w:szCs w:val="21"/>
          <w:highlight w:val="none"/>
        </w:rPr>
        <w:t>计算公式如下：</w:t>
      </w:r>
    </w:p>
    <w:p w14:paraId="1634520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审减率=（送审造价-审定造价）/送审造价*</w:t>
      </w:r>
      <w:r>
        <w:rPr>
          <w:rFonts w:hint="eastAsia" w:ascii="宋体" w:hAnsi="宋体" w:eastAsia="宋体" w:cs="宋体"/>
          <w:color w:val="auto"/>
          <w:spacing w:val="-1"/>
          <w:sz w:val="21"/>
          <w:szCs w:val="21"/>
          <w:highlight w:val="none"/>
        </w:rPr>
        <w:t>100%；当审减率大于6%时，承包人应承担的审核费=（净审减额-送审额*6%）*3.5%</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1"/>
          <w:sz w:val="21"/>
          <w:szCs w:val="21"/>
          <w:highlight w:val="none"/>
        </w:rPr>
        <w:t>”。</w:t>
      </w:r>
    </w:p>
    <w:p w14:paraId="5D59D84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4.工程竣工验收报告经发包人认可后30天内，承包人应</w:t>
      </w:r>
      <w:r>
        <w:rPr>
          <w:rFonts w:hint="eastAsia" w:ascii="宋体" w:hAnsi="宋体" w:eastAsia="宋体" w:cs="宋体"/>
          <w:color w:val="auto"/>
          <w:spacing w:val="-1"/>
          <w:sz w:val="21"/>
          <w:szCs w:val="21"/>
          <w:highlight w:val="none"/>
        </w:rPr>
        <w:t>向发包人递交竣工验收</w:t>
      </w:r>
      <w:r>
        <w:rPr>
          <w:rFonts w:hint="eastAsia" w:ascii="宋体" w:hAnsi="宋体" w:eastAsia="宋体" w:cs="宋体"/>
          <w:color w:val="auto"/>
          <w:sz w:val="21"/>
          <w:szCs w:val="21"/>
          <w:highlight w:val="none"/>
        </w:rPr>
        <w:t xml:space="preserve"> 合格资料及完整的结算资料和报告，双方按照本工程合</w:t>
      </w:r>
      <w:r>
        <w:rPr>
          <w:rFonts w:hint="eastAsia" w:ascii="宋体" w:hAnsi="宋体" w:eastAsia="宋体" w:cs="宋体"/>
          <w:color w:val="auto"/>
          <w:spacing w:val="-1"/>
          <w:sz w:val="21"/>
          <w:szCs w:val="21"/>
          <w:highlight w:val="none"/>
        </w:rPr>
        <w:t>同约定的价格形式及价款调整办法进行工程竣工结算。</w:t>
      </w:r>
    </w:p>
    <w:p w14:paraId="128EAD5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5.如承包人逾期递交竣工验收合格资料及完整的结算资料和报告，每延误一天</w:t>
      </w:r>
      <w:r>
        <w:rPr>
          <w:rFonts w:hint="eastAsia" w:ascii="宋体" w:hAnsi="宋体" w:cs="宋体"/>
          <w:color w:val="auto"/>
          <w:spacing w:val="-3"/>
          <w:sz w:val="21"/>
          <w:szCs w:val="21"/>
          <w:highlight w:val="none"/>
          <w:lang w:eastAsia="zh-CN"/>
        </w:rPr>
        <w:t>，</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3"/>
          <w:sz w:val="21"/>
          <w:szCs w:val="21"/>
          <w:highlight w:val="none"/>
        </w:rPr>
        <w:t>按签约合同价的万分之二计算逾期违约金</w:t>
      </w:r>
      <w:r>
        <w:rPr>
          <w:rFonts w:hint="eastAsia" w:ascii="宋体" w:hAnsi="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违约金直接从结算款中扣除。违约金上限</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z w:val="21"/>
          <w:szCs w:val="21"/>
          <w:highlight w:val="none"/>
        </w:rPr>
        <w:t>：签约合同价扣除发包人材料价款、暂估专业工</w:t>
      </w:r>
      <w:r>
        <w:rPr>
          <w:rFonts w:hint="eastAsia" w:ascii="宋体" w:hAnsi="宋体" w:eastAsia="宋体" w:cs="宋体"/>
          <w:color w:val="auto"/>
          <w:spacing w:val="-1"/>
          <w:sz w:val="21"/>
          <w:szCs w:val="21"/>
          <w:highlight w:val="none"/>
        </w:rPr>
        <w:t>程、暂列金额后的</w:t>
      </w:r>
      <w:r>
        <w:rPr>
          <w:rFonts w:hint="eastAsia" w:ascii="宋体" w:hAnsi="宋体" w:cs="宋体"/>
          <w:color w:val="auto"/>
          <w:spacing w:val="-1"/>
          <w:sz w:val="21"/>
          <w:szCs w:val="21"/>
          <w:highlight w:val="none"/>
          <w:lang w:eastAsia="zh-CN"/>
        </w:rPr>
        <w:t>2%</w:t>
      </w:r>
      <w:r>
        <w:rPr>
          <w:rFonts w:hint="eastAsia" w:ascii="宋体" w:hAnsi="宋体" w:eastAsia="宋体" w:cs="宋体"/>
          <w:color w:val="auto"/>
          <w:spacing w:val="-1"/>
          <w:sz w:val="21"/>
          <w:szCs w:val="21"/>
          <w:highlight w:val="none"/>
        </w:rPr>
        <w:t>。</w:t>
      </w:r>
    </w:p>
    <w:p w14:paraId="59ECE1C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6.承包人必须提供完整、真实的隐蔽工程原始施</w:t>
      </w:r>
      <w:r>
        <w:rPr>
          <w:rFonts w:hint="eastAsia" w:ascii="宋体" w:hAnsi="宋体" w:eastAsia="宋体" w:cs="宋体"/>
          <w:color w:val="auto"/>
          <w:spacing w:val="-1"/>
          <w:sz w:val="21"/>
          <w:szCs w:val="21"/>
          <w:highlight w:val="none"/>
        </w:rPr>
        <w:t>工、验收记录。如发现施工单</w:t>
      </w:r>
      <w:r>
        <w:rPr>
          <w:rFonts w:hint="eastAsia" w:ascii="宋体" w:hAnsi="宋体" w:eastAsia="宋体" w:cs="宋体"/>
          <w:color w:val="auto"/>
          <w:sz w:val="21"/>
          <w:szCs w:val="21"/>
          <w:highlight w:val="none"/>
        </w:rPr>
        <w:t xml:space="preserve"> 位提供的隐蔽工程资料与实际不符时，按不</w:t>
      </w:r>
      <w:r>
        <w:rPr>
          <w:rFonts w:hint="eastAsia" w:ascii="宋体" w:hAnsi="宋体" w:eastAsia="宋体" w:cs="宋体"/>
          <w:color w:val="auto"/>
          <w:spacing w:val="-1"/>
          <w:sz w:val="21"/>
          <w:szCs w:val="21"/>
          <w:highlight w:val="none"/>
        </w:rPr>
        <w:t>利于施工单位原则结算。</w:t>
      </w:r>
    </w:p>
    <w:p w14:paraId="63DE94A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pacing w:val="-3"/>
          <w:sz w:val="21"/>
          <w:szCs w:val="21"/>
          <w:highlight w:val="none"/>
        </w:rPr>
        <w:t>非国有投资项目：</w:t>
      </w:r>
      <w:r>
        <w:rPr>
          <w:rFonts w:hint="eastAsia" w:ascii="宋体" w:hAnsi="宋体" w:eastAsia="宋体" w:cs="宋体"/>
          <w:color w:val="auto"/>
          <w:spacing w:val="-3"/>
          <w:sz w:val="21"/>
          <w:szCs w:val="21"/>
          <w:highlight w:val="none"/>
          <w:u w:val="single"/>
        </w:rPr>
        <w:t>1、工程竣工验收报告经发包人认可后</w:t>
      </w:r>
      <w:r>
        <w:rPr>
          <w:rFonts w:hint="eastAsia" w:ascii="宋体" w:hAnsi="宋体" w:eastAsia="宋体" w:cs="宋体"/>
          <w:color w:val="auto"/>
          <w:spacing w:val="-3"/>
          <w:sz w:val="21"/>
          <w:szCs w:val="21"/>
          <w:highlight w:val="none"/>
          <w:u w:val="single"/>
          <w:lang w:val="en-US" w:eastAsia="zh-CN"/>
        </w:rPr>
        <w:t>5</w:t>
      </w:r>
      <w:r>
        <w:rPr>
          <w:rFonts w:hint="eastAsia" w:ascii="宋体" w:hAnsi="宋体" w:eastAsia="宋体" w:cs="宋体"/>
          <w:color w:val="auto"/>
          <w:spacing w:val="-3"/>
          <w:sz w:val="21"/>
          <w:szCs w:val="21"/>
          <w:highlight w:val="none"/>
          <w:u w:val="single"/>
        </w:rPr>
        <w:t>天内，承包人向发包人递交竣工验收合格资料及完整的结算资料和报告，双方按照本工程合同约定的价格形式及价款调整办法进行工程竣工结算。2、发包</w:t>
      </w:r>
      <w:r>
        <w:rPr>
          <w:rFonts w:hint="eastAsia" w:ascii="宋体" w:hAnsi="宋体" w:cs="宋体"/>
          <w:color w:val="auto"/>
          <w:spacing w:val="-3"/>
          <w:sz w:val="21"/>
          <w:szCs w:val="21"/>
          <w:highlight w:val="none"/>
          <w:u w:val="single"/>
          <w:lang w:eastAsia="zh-CN"/>
        </w:rPr>
        <w:t>人在</w:t>
      </w:r>
      <w:r>
        <w:rPr>
          <w:rFonts w:hint="eastAsia" w:ascii="宋体" w:hAnsi="宋体" w:eastAsia="宋体" w:cs="宋体"/>
          <w:color w:val="auto"/>
          <w:spacing w:val="-3"/>
          <w:sz w:val="21"/>
          <w:szCs w:val="21"/>
          <w:highlight w:val="none"/>
          <w:u w:val="single"/>
        </w:rPr>
        <w:t>收到承包人递交的竣工结算报告及结算资料之日起</w:t>
      </w:r>
      <w:r>
        <w:rPr>
          <w:rFonts w:hint="eastAsia" w:ascii="宋体" w:hAnsi="宋体" w:eastAsia="宋体" w:cs="宋体"/>
          <w:color w:val="auto"/>
          <w:spacing w:val="-3"/>
          <w:sz w:val="21"/>
          <w:szCs w:val="21"/>
          <w:highlight w:val="none"/>
          <w:u w:val="single"/>
          <w:lang w:val="en-US" w:eastAsia="zh-CN"/>
        </w:rPr>
        <w:t>5</w:t>
      </w:r>
      <w:r>
        <w:rPr>
          <w:rFonts w:hint="eastAsia" w:ascii="宋体" w:hAnsi="宋体" w:eastAsia="宋体" w:cs="宋体"/>
          <w:color w:val="auto"/>
          <w:spacing w:val="-3"/>
          <w:sz w:val="21"/>
          <w:szCs w:val="21"/>
          <w:highlight w:val="none"/>
          <w:u w:val="single"/>
        </w:rPr>
        <w:t xml:space="preserve">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 </w:t>
      </w:r>
      <w:r>
        <w:rPr>
          <w:rFonts w:hint="eastAsia" w:ascii="宋体" w:hAnsi="宋体" w:eastAsia="宋体" w:cs="宋体"/>
          <w:color w:val="auto"/>
          <w:spacing w:val="-3"/>
          <w:sz w:val="21"/>
          <w:szCs w:val="21"/>
          <w:highlight w:val="none"/>
          <w:u w:val="single"/>
          <w:lang w:val="en-US" w:eastAsia="zh-CN"/>
        </w:rPr>
        <w:t>5</w:t>
      </w:r>
      <w:r>
        <w:rPr>
          <w:rFonts w:hint="eastAsia" w:ascii="宋体" w:hAnsi="宋体" w:eastAsia="宋体" w:cs="宋体"/>
          <w:color w:val="auto"/>
          <w:spacing w:val="-3"/>
          <w:sz w:val="21"/>
          <w:szCs w:val="21"/>
          <w:highlight w:val="none"/>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w:t>
      </w:r>
      <w:r>
        <w:rPr>
          <w:rFonts w:hint="eastAsia" w:ascii="宋体" w:hAnsi="宋体" w:eastAsia="宋体" w:cs="宋体"/>
          <w:color w:val="auto"/>
          <w:spacing w:val="-3"/>
          <w:sz w:val="21"/>
          <w:szCs w:val="21"/>
          <w:highlight w:val="none"/>
          <w:u w:val="single"/>
          <w:lang w:val="en-US" w:eastAsia="zh-CN"/>
        </w:rPr>
        <w:t>5</w:t>
      </w:r>
      <w:r>
        <w:rPr>
          <w:rFonts w:hint="eastAsia" w:ascii="宋体" w:hAnsi="宋体" w:eastAsia="宋体" w:cs="宋体"/>
          <w:color w:val="auto"/>
          <w:spacing w:val="-3"/>
          <w:sz w:val="21"/>
          <w:szCs w:val="21"/>
          <w:highlight w:val="none"/>
          <w:u w:val="single"/>
        </w:rPr>
        <w:t>天内，发包人按审定后的竣工结算价款，通知经办银行向承包人支付结算价款。</w:t>
      </w:r>
    </w:p>
    <w:p w14:paraId="28662B8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发包人完成竣工付款的期限：</w:t>
      </w:r>
      <w:r>
        <w:rPr>
          <w:rFonts w:hint="eastAsia" w:ascii="宋体" w:hAnsi="宋体" w:eastAsia="宋体" w:cs="宋体"/>
          <w:color w:val="auto"/>
          <w:spacing w:val="-2"/>
          <w:sz w:val="21"/>
          <w:szCs w:val="21"/>
          <w:highlight w:val="none"/>
          <w:u w:val="single" w:color="auto"/>
        </w:rPr>
        <w:t>按本专用条款12.4.1的约定支付</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2"/>
          <w:sz w:val="21"/>
          <w:szCs w:val="21"/>
          <w:highlight w:val="none"/>
        </w:rPr>
        <w:t>关于竣工付款证书异议部分复核的方式和程序：</w:t>
      </w:r>
      <w:r>
        <w:rPr>
          <w:rFonts w:hint="eastAsia" w:ascii="宋体" w:hAnsi="宋体" w:eastAsia="宋体" w:cs="宋体"/>
          <w:color w:val="auto"/>
          <w:spacing w:val="-2"/>
          <w:sz w:val="21"/>
          <w:szCs w:val="21"/>
          <w:highlight w:val="none"/>
          <w:u w:val="single" w:color="auto"/>
        </w:rPr>
        <w:t>执行通用条款</w:t>
      </w:r>
      <w:r>
        <w:rPr>
          <w:rFonts w:hint="eastAsia" w:ascii="宋体" w:hAnsi="宋体" w:eastAsia="宋体" w:cs="宋体"/>
          <w:color w:val="auto"/>
          <w:spacing w:val="-2"/>
          <w:sz w:val="21"/>
          <w:szCs w:val="21"/>
          <w:highlight w:val="none"/>
        </w:rPr>
        <w:t>。</w:t>
      </w:r>
    </w:p>
    <w:p w14:paraId="3DC5456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14.4</w:t>
      </w:r>
      <w:r>
        <w:rPr>
          <w:rFonts w:hint="eastAsia" w:ascii="宋体" w:hAnsi="宋体" w:eastAsia="宋体" w:cs="宋体"/>
          <w:color w:val="auto"/>
          <w:spacing w:val="18"/>
          <w:sz w:val="21"/>
          <w:szCs w:val="21"/>
          <w:highlight w:val="none"/>
        </w:rPr>
        <w:t xml:space="preserve"> </w:t>
      </w:r>
      <w:r>
        <w:rPr>
          <w:rFonts w:hint="eastAsia" w:ascii="宋体" w:hAnsi="宋体" w:eastAsia="宋体" w:cs="宋体"/>
          <w:b/>
          <w:bCs/>
          <w:color w:val="auto"/>
          <w:spacing w:val="-8"/>
          <w:sz w:val="21"/>
          <w:szCs w:val="21"/>
          <w:highlight w:val="none"/>
        </w:rPr>
        <w:t>最终结清</w:t>
      </w:r>
    </w:p>
    <w:p w14:paraId="1008526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14.4.1 最终结清申请单</w:t>
      </w:r>
    </w:p>
    <w:p w14:paraId="02ED528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承包人提交最终结清申请单的份数：</w:t>
      </w:r>
      <w:r>
        <w:rPr>
          <w:rFonts w:hint="eastAsia" w:ascii="宋体" w:hAnsi="宋体" w:eastAsia="宋体" w:cs="宋体"/>
          <w:color w:val="auto"/>
          <w:spacing w:val="-1"/>
          <w:sz w:val="21"/>
          <w:szCs w:val="21"/>
          <w:highlight w:val="none"/>
          <w:u w:val="single" w:color="auto"/>
        </w:rPr>
        <w:t>一式陆份</w:t>
      </w:r>
      <w:r>
        <w:rPr>
          <w:rFonts w:hint="eastAsia" w:ascii="宋体" w:hAnsi="宋体" w:eastAsia="宋体" w:cs="宋体"/>
          <w:color w:val="auto"/>
          <w:spacing w:val="-1"/>
          <w:sz w:val="21"/>
          <w:szCs w:val="21"/>
          <w:highlight w:val="none"/>
        </w:rPr>
        <w:t>。</w:t>
      </w:r>
    </w:p>
    <w:p w14:paraId="0B9B0CE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承包人提交最终结算申请单的期限：</w:t>
      </w:r>
      <w:r>
        <w:rPr>
          <w:rFonts w:hint="eastAsia" w:ascii="宋体" w:hAnsi="宋体" w:eastAsia="宋体" w:cs="宋体"/>
          <w:color w:val="auto"/>
          <w:spacing w:val="-1"/>
          <w:sz w:val="21"/>
          <w:szCs w:val="21"/>
          <w:highlight w:val="none"/>
          <w:u w:val="single" w:color="auto"/>
        </w:rPr>
        <w:t>缺陷责任期</w:t>
      </w:r>
      <w:r>
        <w:rPr>
          <w:rFonts w:hint="eastAsia" w:ascii="宋体" w:hAnsi="宋体" w:eastAsia="宋体" w:cs="宋体"/>
          <w:color w:val="auto"/>
          <w:spacing w:val="-2"/>
          <w:sz w:val="21"/>
          <w:szCs w:val="21"/>
          <w:highlight w:val="none"/>
          <w:u w:val="single" w:color="auto"/>
        </w:rPr>
        <w:t>终止证书签发后14天内</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最终结算款支付申请（核准）表见合同附件13。</w:t>
      </w:r>
    </w:p>
    <w:p w14:paraId="38B9D2E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14.4.2 最终结清证书和支付</w:t>
      </w:r>
    </w:p>
    <w:p w14:paraId="1587E00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（1）发包人完成最终结清申请单的审批并颁发最终结清证书的期</w:t>
      </w:r>
      <w:r>
        <w:rPr>
          <w:rFonts w:hint="eastAsia" w:ascii="宋体" w:hAnsi="宋体" w:eastAsia="宋体" w:cs="宋体"/>
          <w:color w:val="auto"/>
          <w:spacing w:val="-4"/>
          <w:sz w:val="21"/>
          <w:szCs w:val="21"/>
          <w:highlight w:val="none"/>
        </w:rPr>
        <w:t>限：</w:t>
      </w:r>
      <w:r>
        <w:rPr>
          <w:rFonts w:hint="eastAsia" w:ascii="宋体" w:hAnsi="宋体" w:eastAsia="宋体" w:cs="宋体"/>
          <w:color w:val="auto"/>
          <w:spacing w:val="-4"/>
          <w:sz w:val="21"/>
          <w:szCs w:val="21"/>
          <w:highlight w:val="none"/>
          <w:u w:val="single" w:color="auto"/>
        </w:rPr>
        <w:t>收到该申</w:t>
      </w:r>
      <w:r>
        <w:rPr>
          <w:rFonts w:hint="eastAsia" w:ascii="宋体" w:hAnsi="宋体" w:eastAsia="宋体" w:cs="宋体"/>
          <w:color w:val="auto"/>
          <w:spacing w:val="-2"/>
          <w:sz w:val="21"/>
          <w:szCs w:val="21"/>
          <w:highlight w:val="none"/>
          <w:u w:val="single" w:color="auto"/>
        </w:rPr>
        <w:t>请28天内</w:t>
      </w:r>
      <w:r>
        <w:rPr>
          <w:rFonts w:hint="eastAsia" w:ascii="宋体" w:hAnsi="宋体" w:eastAsia="宋体" w:cs="宋体"/>
          <w:color w:val="auto"/>
          <w:spacing w:val="-2"/>
          <w:sz w:val="21"/>
          <w:szCs w:val="21"/>
          <w:highlight w:val="none"/>
        </w:rPr>
        <w:t>。</w:t>
      </w:r>
    </w:p>
    <w:p w14:paraId="5A8599C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（2）发包人完成支付的期限：</w:t>
      </w:r>
      <w:r>
        <w:rPr>
          <w:rFonts w:hint="eastAsia" w:ascii="宋体" w:hAnsi="宋体" w:eastAsia="宋体" w:cs="宋体"/>
          <w:color w:val="auto"/>
          <w:spacing w:val="-1"/>
          <w:sz w:val="21"/>
          <w:szCs w:val="21"/>
          <w:highlight w:val="none"/>
          <w:u w:val="single" w:color="auto"/>
        </w:rPr>
        <w:t>按本专用条款12.4.1的约定支付</w:t>
      </w:r>
      <w:r>
        <w:rPr>
          <w:rFonts w:hint="eastAsia" w:ascii="宋体" w:hAnsi="宋体" w:eastAsia="宋体" w:cs="宋体"/>
          <w:color w:val="auto"/>
          <w:spacing w:val="-1"/>
          <w:sz w:val="21"/>
          <w:szCs w:val="21"/>
          <w:highlight w:val="none"/>
        </w:rPr>
        <w:t>。</w:t>
      </w:r>
    </w:p>
    <w:p w14:paraId="260F16CF">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0"/>
        <w:rPr>
          <w:rFonts w:hint="eastAsia" w:ascii="宋体" w:hAnsi="宋体" w:eastAsia="宋体" w:cs="宋体"/>
          <w:b w:val="0"/>
          <w:color w:val="auto"/>
          <w:sz w:val="21"/>
          <w:szCs w:val="21"/>
          <w:highlight w:val="none"/>
        </w:rPr>
      </w:pPr>
      <w:bookmarkStart w:id="530" w:name="_Toc11669"/>
      <w:bookmarkStart w:id="531" w:name="_Toc10461"/>
      <w:r>
        <w:rPr>
          <w:rFonts w:hint="eastAsia" w:ascii="宋体" w:hAnsi="宋体" w:eastAsia="宋体" w:cs="宋体"/>
          <w:b w:val="0"/>
          <w:bCs/>
          <w:color w:val="auto"/>
          <w:spacing w:val="-4"/>
          <w:sz w:val="21"/>
          <w:szCs w:val="21"/>
          <w:highlight w:val="none"/>
        </w:rPr>
        <w:t>15.</w:t>
      </w:r>
      <w:r>
        <w:rPr>
          <w:rFonts w:hint="eastAsia" w:ascii="宋体" w:hAnsi="宋体" w:eastAsia="宋体" w:cs="宋体"/>
          <w:b w:val="0"/>
          <w:color w:val="auto"/>
          <w:spacing w:val="-4"/>
          <w:sz w:val="21"/>
          <w:szCs w:val="21"/>
          <w:highlight w:val="none"/>
        </w:rPr>
        <w:t xml:space="preserve"> </w:t>
      </w:r>
      <w:r>
        <w:rPr>
          <w:rFonts w:hint="eastAsia" w:ascii="宋体" w:hAnsi="宋体" w:eastAsia="宋体" w:cs="宋体"/>
          <w:b w:val="0"/>
          <w:bCs/>
          <w:color w:val="auto"/>
          <w:spacing w:val="-4"/>
          <w:sz w:val="21"/>
          <w:szCs w:val="21"/>
          <w:highlight w:val="none"/>
        </w:rPr>
        <w:t>缺陷责任期与保修</w:t>
      </w:r>
      <w:bookmarkEnd w:id="530"/>
      <w:bookmarkEnd w:id="531"/>
    </w:p>
    <w:p w14:paraId="33CB8EBA">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32" w:name="_Toc12708"/>
      <w:bookmarkStart w:id="533" w:name="_Toc15237"/>
      <w:r>
        <w:rPr>
          <w:rFonts w:hint="eastAsia" w:ascii="宋体" w:hAnsi="宋体" w:eastAsia="宋体" w:cs="宋体"/>
          <w:b w:val="0"/>
          <w:bCs/>
          <w:color w:val="auto"/>
          <w:spacing w:val="-5"/>
          <w:sz w:val="21"/>
          <w:szCs w:val="21"/>
          <w:highlight w:val="none"/>
        </w:rPr>
        <w:t>15.2</w:t>
      </w:r>
      <w:r>
        <w:rPr>
          <w:rFonts w:hint="eastAsia" w:ascii="宋体" w:hAnsi="宋体" w:eastAsia="宋体" w:cs="宋体"/>
          <w:b w:val="0"/>
          <w:color w:val="auto"/>
          <w:spacing w:val="-5"/>
          <w:sz w:val="21"/>
          <w:szCs w:val="21"/>
          <w:highlight w:val="none"/>
        </w:rPr>
        <w:t xml:space="preserve"> </w:t>
      </w:r>
      <w:r>
        <w:rPr>
          <w:rFonts w:hint="eastAsia" w:ascii="宋体" w:hAnsi="宋体" w:eastAsia="宋体" w:cs="宋体"/>
          <w:b w:val="0"/>
          <w:bCs/>
          <w:color w:val="auto"/>
          <w:spacing w:val="-5"/>
          <w:sz w:val="21"/>
          <w:szCs w:val="21"/>
          <w:highlight w:val="none"/>
        </w:rPr>
        <w:t>缺陷责任期</w:t>
      </w:r>
      <w:bookmarkEnd w:id="532"/>
      <w:bookmarkEnd w:id="533"/>
    </w:p>
    <w:p w14:paraId="35843E3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缺陷责任期的具体期限：</w:t>
      </w:r>
      <w:r>
        <w:rPr>
          <w:rFonts w:hint="eastAsia" w:ascii="宋体" w:hAnsi="宋体" w:eastAsia="宋体" w:cs="宋体"/>
          <w:color w:val="auto"/>
          <w:spacing w:val="-1"/>
          <w:sz w:val="21"/>
          <w:szCs w:val="21"/>
          <w:highlight w:val="none"/>
          <w:u w:val="single" w:color="auto"/>
          <w:lang w:val="en-US" w:eastAsia="zh-CN"/>
        </w:rPr>
        <w:t>自竣工验收合格之日起24</w:t>
      </w:r>
      <w:r>
        <w:rPr>
          <w:rFonts w:hint="eastAsia" w:ascii="宋体" w:hAnsi="宋体" w:eastAsia="宋体" w:cs="宋体"/>
          <w:color w:val="auto"/>
          <w:spacing w:val="-1"/>
          <w:sz w:val="21"/>
          <w:szCs w:val="21"/>
          <w:highlight w:val="none"/>
          <w:u w:val="single" w:color="auto"/>
        </w:rPr>
        <w:t>个月</w:t>
      </w:r>
      <w:r>
        <w:rPr>
          <w:rFonts w:hint="eastAsia" w:ascii="宋体" w:hAnsi="宋体" w:eastAsia="宋体" w:cs="宋体"/>
          <w:color w:val="auto"/>
          <w:spacing w:val="-1"/>
          <w:sz w:val="21"/>
          <w:szCs w:val="21"/>
          <w:highlight w:val="none"/>
        </w:rPr>
        <w:t>。</w:t>
      </w:r>
    </w:p>
    <w:p w14:paraId="6D52F141">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34" w:name="_Toc22174"/>
      <w:bookmarkStart w:id="535" w:name="_Toc6516"/>
      <w:r>
        <w:rPr>
          <w:rFonts w:hint="eastAsia" w:ascii="宋体" w:hAnsi="宋体" w:eastAsia="宋体" w:cs="宋体"/>
          <w:b w:val="0"/>
          <w:bCs/>
          <w:color w:val="auto"/>
          <w:spacing w:val="-5"/>
          <w:sz w:val="21"/>
          <w:szCs w:val="21"/>
          <w:highlight w:val="none"/>
        </w:rPr>
        <w:t>15.3</w:t>
      </w:r>
      <w:r>
        <w:rPr>
          <w:rFonts w:hint="eastAsia" w:ascii="宋体" w:hAnsi="宋体" w:eastAsia="宋体" w:cs="宋体"/>
          <w:b w:val="0"/>
          <w:color w:val="auto"/>
          <w:spacing w:val="-5"/>
          <w:sz w:val="21"/>
          <w:szCs w:val="21"/>
          <w:highlight w:val="none"/>
        </w:rPr>
        <w:t xml:space="preserve"> </w:t>
      </w:r>
      <w:r>
        <w:rPr>
          <w:rFonts w:hint="eastAsia" w:ascii="宋体" w:hAnsi="宋体" w:eastAsia="宋体" w:cs="宋体"/>
          <w:b w:val="0"/>
          <w:bCs/>
          <w:color w:val="auto"/>
          <w:spacing w:val="-5"/>
          <w:sz w:val="21"/>
          <w:szCs w:val="21"/>
          <w:highlight w:val="none"/>
        </w:rPr>
        <w:t>质量保证金</w:t>
      </w:r>
      <w:bookmarkEnd w:id="534"/>
      <w:bookmarkEnd w:id="535"/>
    </w:p>
    <w:p w14:paraId="703E5CB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关于是否扣留质量保证金的约定：</w:t>
      </w:r>
      <w:r>
        <w:rPr>
          <w:rFonts w:hint="eastAsia" w:ascii="宋体" w:hAnsi="宋体" w:eastAsia="宋体" w:cs="宋体"/>
          <w:color w:val="auto"/>
          <w:spacing w:val="-1"/>
          <w:sz w:val="21"/>
          <w:szCs w:val="21"/>
          <w:highlight w:val="none"/>
          <w:u w:val="single" w:color="auto"/>
        </w:rPr>
        <w:t>是</w:t>
      </w:r>
      <w:r>
        <w:rPr>
          <w:rFonts w:hint="eastAsia" w:ascii="宋体" w:hAnsi="宋体" w:eastAsia="宋体" w:cs="宋体"/>
          <w:color w:val="auto"/>
          <w:spacing w:val="-1"/>
          <w:sz w:val="21"/>
          <w:szCs w:val="21"/>
          <w:highlight w:val="none"/>
        </w:rPr>
        <w:t>。</w:t>
      </w:r>
    </w:p>
    <w:p w14:paraId="7B7D1D6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在工程项目竣工前，承包人按专用合同条款第3.7条提供履约担保的，发包人不</w:t>
      </w:r>
      <w:r>
        <w:rPr>
          <w:rFonts w:hint="eastAsia" w:ascii="宋体" w:hAnsi="宋体" w:eastAsia="宋体" w:cs="宋体"/>
          <w:color w:val="auto"/>
          <w:spacing w:val="-1"/>
          <w:sz w:val="21"/>
          <w:szCs w:val="21"/>
          <w:highlight w:val="none"/>
        </w:rPr>
        <w:t>得同时预留工程质量保证金。</w:t>
      </w:r>
    </w:p>
    <w:p w14:paraId="262932CB">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36" w:name="_Toc17492"/>
      <w:bookmarkStart w:id="537" w:name="_Toc30265"/>
      <w:r>
        <w:rPr>
          <w:rFonts w:hint="eastAsia" w:ascii="宋体" w:hAnsi="宋体" w:eastAsia="宋体" w:cs="宋体"/>
          <w:b w:val="0"/>
          <w:color w:val="auto"/>
          <w:spacing w:val="-2"/>
          <w:sz w:val="21"/>
          <w:szCs w:val="21"/>
          <w:highlight w:val="none"/>
        </w:rPr>
        <w:t>15.3.1 承包人提供质量保证金的方式</w:t>
      </w:r>
      <w:r>
        <w:rPr>
          <w:rFonts w:hint="eastAsia" w:ascii="宋体" w:hAnsi="宋体" w:eastAsia="宋体" w:cs="宋体"/>
          <w:b w:val="0"/>
          <w:color w:val="auto"/>
          <w:spacing w:val="11"/>
          <w:sz w:val="21"/>
          <w:szCs w:val="21"/>
          <w:highlight w:val="none"/>
        </w:rPr>
        <w:t xml:space="preserve"> </w:t>
      </w:r>
      <w:r>
        <w:rPr>
          <w:rFonts w:hint="eastAsia" w:ascii="宋体" w:hAnsi="宋体" w:eastAsia="宋体" w:cs="宋体"/>
          <w:b w:val="0"/>
          <w:color w:val="auto"/>
          <w:spacing w:val="-1"/>
          <w:sz w:val="21"/>
          <w:szCs w:val="21"/>
          <w:highlight w:val="none"/>
        </w:rPr>
        <w:t>质量保证金采用以下第</w:t>
      </w:r>
      <w:r>
        <w:rPr>
          <w:rFonts w:hint="eastAsia" w:ascii="宋体" w:hAnsi="宋体" w:eastAsia="宋体" w:cs="宋体"/>
          <w:b w:val="0"/>
          <w:color w:val="auto"/>
          <w:spacing w:val="-1"/>
          <w:sz w:val="21"/>
          <w:szCs w:val="21"/>
          <w:highlight w:val="none"/>
          <w:u w:val="single" w:color="auto"/>
        </w:rPr>
        <w:t>3</w:t>
      </w:r>
      <w:r>
        <w:rPr>
          <w:rFonts w:hint="eastAsia" w:ascii="宋体" w:hAnsi="宋体" w:eastAsia="宋体" w:cs="宋体"/>
          <w:b w:val="0"/>
          <w:color w:val="auto"/>
          <w:spacing w:val="-1"/>
          <w:sz w:val="21"/>
          <w:szCs w:val="21"/>
          <w:highlight w:val="none"/>
        </w:rPr>
        <w:t>种方式：</w:t>
      </w:r>
      <w:bookmarkEnd w:id="536"/>
      <w:bookmarkEnd w:id="537"/>
    </w:p>
    <w:p w14:paraId="4E2576E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（1）质量保证金保函（银行保函、电子保函、保证保险保函、工程担保保函，</w:t>
      </w:r>
      <w:r>
        <w:rPr>
          <w:rFonts w:hint="eastAsia" w:ascii="宋体" w:hAnsi="宋体" w:eastAsia="宋体" w:cs="宋体"/>
          <w:color w:val="auto"/>
          <w:spacing w:val="-9"/>
          <w:sz w:val="21"/>
          <w:szCs w:val="21"/>
          <w:highlight w:val="none"/>
        </w:rPr>
        <w:t>工程担保保证人应将出具的保函相关信息录入“广西建筑市场监管云</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0"/>
          <w:sz w:val="21"/>
          <w:szCs w:val="21"/>
          <w:highlight w:val="none"/>
        </w:rPr>
        <w:t>平台（http://</w:t>
      </w:r>
      <w:r>
        <w:rPr>
          <w:rFonts w:hint="eastAsia" w:ascii="宋体" w:hAnsi="宋体" w:eastAsia="宋体" w:cs="宋体"/>
          <w:color w:val="auto"/>
          <w:spacing w:val="-1"/>
          <w:sz w:val="21"/>
          <w:szCs w:val="21"/>
          <w:highlight w:val="none"/>
        </w:rPr>
        <w:t>gxjzsc.caihcloud.com</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以实现保函查询及验真功能</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保证金额为</w:t>
      </w:r>
      <w:r>
        <w:rPr>
          <w:rFonts w:hint="eastAsia" w:ascii="宋体" w:hAnsi="宋体" w:cs="宋体"/>
          <w:color w:val="auto"/>
          <w:spacing w:val="-1"/>
          <w:sz w:val="21"/>
          <w:szCs w:val="21"/>
          <w:highlight w:val="none"/>
          <w:lang w:eastAsia="zh-CN"/>
        </w:rPr>
        <w:t>：</w:t>
      </w:r>
    </w:p>
    <w:p w14:paraId="183161E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（2）发包人按工程价款结算总额的%（不</w:t>
      </w:r>
      <w:r>
        <w:rPr>
          <w:rFonts w:hint="eastAsia" w:ascii="宋体" w:hAnsi="宋体" w:eastAsia="宋体" w:cs="宋体"/>
          <w:color w:val="auto"/>
          <w:spacing w:val="-1"/>
          <w:sz w:val="21"/>
          <w:szCs w:val="21"/>
          <w:highlight w:val="none"/>
        </w:rPr>
        <w:t>得超过3%）预留工程质量保证金，待缺陷责任期满后返还，是否付息及利息计算方式为</w:t>
      </w:r>
      <w:r>
        <w:rPr>
          <w:rFonts w:hint="eastAsia" w:ascii="宋体" w:hAnsi="宋体" w:cs="宋体"/>
          <w:color w:val="auto"/>
          <w:spacing w:val="-1"/>
          <w:sz w:val="21"/>
          <w:szCs w:val="21"/>
          <w:highlight w:val="none"/>
          <w:lang w:eastAsia="zh-CN"/>
        </w:rPr>
        <w:t>：</w:t>
      </w:r>
    </w:p>
    <w:p w14:paraId="6A076EC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（3）其他方式：银行转账、电汇或网上支付等形式。</w:t>
      </w:r>
      <w:r>
        <w:rPr>
          <w:rFonts w:hint="eastAsia" w:ascii="宋体" w:hAnsi="宋体" w:eastAsia="宋体" w:cs="宋体"/>
          <w:color w:val="auto"/>
          <w:spacing w:val="-3"/>
          <w:sz w:val="21"/>
          <w:szCs w:val="21"/>
          <w:highlight w:val="none"/>
          <w:u w:val="single" w:color="auto"/>
        </w:rPr>
        <w:t>结算经发包</w:t>
      </w:r>
      <w:r>
        <w:rPr>
          <w:rFonts w:hint="eastAsia" w:ascii="宋体" w:hAnsi="宋体" w:eastAsia="宋体" w:cs="宋体"/>
          <w:color w:val="auto"/>
          <w:spacing w:val="-4"/>
          <w:sz w:val="21"/>
          <w:szCs w:val="21"/>
          <w:highlight w:val="none"/>
          <w:u w:val="single" w:color="auto"/>
        </w:rPr>
        <w:t>人审定后，承</w:t>
      </w:r>
      <w:r>
        <w:rPr>
          <w:rFonts w:hint="eastAsia" w:ascii="宋体" w:hAnsi="宋体" w:eastAsia="宋体" w:cs="宋体"/>
          <w:color w:val="auto"/>
          <w:sz w:val="21"/>
          <w:szCs w:val="21"/>
          <w:highlight w:val="none"/>
          <w:u w:val="single" w:color="auto"/>
        </w:rPr>
        <w:t>包人按最终审定结算金额的3%支付工程质量保修金，并开</w:t>
      </w:r>
      <w:r>
        <w:rPr>
          <w:rFonts w:hint="eastAsia" w:ascii="宋体" w:hAnsi="宋体" w:eastAsia="宋体" w:cs="宋体"/>
          <w:color w:val="auto"/>
          <w:spacing w:val="-1"/>
          <w:sz w:val="21"/>
          <w:szCs w:val="21"/>
          <w:highlight w:val="none"/>
          <w:u w:val="single" w:color="auto"/>
        </w:rPr>
        <w:t>具合法有效的增值税专用发票后14个工作日内，工程款支付至最终审定结算金额的100%（含已支付的</w:t>
      </w:r>
      <w:r>
        <w:rPr>
          <w:rFonts w:hint="eastAsia" w:ascii="宋体" w:hAnsi="宋体" w:eastAsia="宋体" w:cs="宋体"/>
          <w:color w:val="auto"/>
          <w:spacing w:val="13"/>
          <w:sz w:val="21"/>
          <w:szCs w:val="21"/>
          <w:highlight w:val="none"/>
          <w:u w:val="single" w:color="auto"/>
        </w:rPr>
        <w:t>）；</w:t>
      </w:r>
      <w:r>
        <w:rPr>
          <w:rFonts w:hint="eastAsia" w:ascii="宋体" w:hAnsi="宋体" w:eastAsia="宋体" w:cs="宋体"/>
          <w:color w:val="auto"/>
          <w:spacing w:val="-1"/>
          <w:sz w:val="21"/>
          <w:szCs w:val="21"/>
          <w:highlight w:val="none"/>
          <w:u w:val="single" w:color="auto"/>
        </w:rPr>
        <w:t>在</w:t>
      </w:r>
      <w:r>
        <w:rPr>
          <w:rFonts w:hint="eastAsia" w:ascii="宋体" w:hAnsi="宋体" w:eastAsia="宋体" w:cs="宋体"/>
          <w:color w:val="auto"/>
          <w:spacing w:val="-3"/>
          <w:sz w:val="21"/>
          <w:szCs w:val="21"/>
          <w:highlight w:val="none"/>
          <w:u w:val="single" w:color="auto"/>
        </w:rPr>
        <w:t>工程竣工质量保修期满2年且验收合格后，并扣除有关应扣除的费用后，将剩余保修</w:t>
      </w:r>
      <w:r>
        <w:rPr>
          <w:rFonts w:hint="eastAsia" w:ascii="宋体" w:hAnsi="宋体" w:eastAsia="宋体" w:cs="宋体"/>
          <w:color w:val="auto"/>
          <w:spacing w:val="1"/>
          <w:sz w:val="21"/>
          <w:szCs w:val="21"/>
          <w:highlight w:val="none"/>
          <w:u w:val="single" w:color="auto"/>
        </w:rPr>
        <w:t>金（不计利息）全额退回承包人。</w:t>
      </w:r>
    </w:p>
    <w:p w14:paraId="711908DA">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38" w:name="_Toc4794"/>
      <w:bookmarkStart w:id="539" w:name="_Toc21923"/>
      <w:r>
        <w:rPr>
          <w:rFonts w:hint="eastAsia" w:ascii="宋体" w:hAnsi="宋体" w:eastAsia="宋体" w:cs="宋体"/>
          <w:b w:val="0"/>
          <w:color w:val="auto"/>
          <w:spacing w:val="-2"/>
          <w:sz w:val="21"/>
          <w:szCs w:val="21"/>
          <w:highlight w:val="none"/>
        </w:rPr>
        <w:t>15.3.2 质量保证金的扣留</w:t>
      </w:r>
      <w:bookmarkEnd w:id="538"/>
      <w:bookmarkEnd w:id="539"/>
    </w:p>
    <w:p w14:paraId="34F74F3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质量保证金的扣留采取以下第</w:t>
      </w:r>
      <w:r>
        <w:rPr>
          <w:rFonts w:hint="eastAsia" w:ascii="宋体" w:hAnsi="宋体" w:eastAsia="宋体" w:cs="宋体"/>
          <w:color w:val="auto"/>
          <w:spacing w:val="-1"/>
          <w:sz w:val="21"/>
          <w:szCs w:val="21"/>
          <w:highlight w:val="none"/>
          <w:u w:val="single" w:color="auto"/>
        </w:rPr>
        <w:t>3</w:t>
      </w:r>
      <w:r>
        <w:rPr>
          <w:rFonts w:hint="eastAsia" w:ascii="宋体" w:hAnsi="宋体" w:eastAsia="宋体" w:cs="宋体"/>
          <w:color w:val="auto"/>
          <w:spacing w:val="-1"/>
          <w:sz w:val="21"/>
          <w:szCs w:val="21"/>
          <w:highlight w:val="none"/>
        </w:rPr>
        <w:t>种方式：</w:t>
      </w:r>
    </w:p>
    <w:p w14:paraId="7BF4600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（1）在不缴纳</w:t>
      </w:r>
      <w:r>
        <w:rPr>
          <w:rFonts w:hint="eastAsia" w:ascii="宋体" w:hAnsi="宋体" w:cs="宋体"/>
          <w:color w:val="auto"/>
          <w:spacing w:val="-3"/>
          <w:sz w:val="21"/>
          <w:szCs w:val="21"/>
          <w:highlight w:val="none"/>
          <w:lang w:eastAsia="zh-CN"/>
        </w:rPr>
        <w:t>履约保证金</w:t>
      </w:r>
      <w:r>
        <w:rPr>
          <w:rFonts w:hint="eastAsia" w:ascii="宋体" w:hAnsi="宋体" w:eastAsia="宋体" w:cs="宋体"/>
          <w:color w:val="auto"/>
          <w:spacing w:val="-3"/>
          <w:sz w:val="21"/>
          <w:szCs w:val="21"/>
          <w:highlight w:val="none"/>
        </w:rPr>
        <w:t>情况下，按支付工程进度款时逐次扣留，</w:t>
      </w:r>
      <w:r>
        <w:rPr>
          <w:rFonts w:hint="eastAsia" w:ascii="宋体" w:hAnsi="宋体" w:eastAsia="宋体" w:cs="宋体"/>
          <w:color w:val="auto"/>
          <w:spacing w:val="-4"/>
          <w:sz w:val="21"/>
          <w:szCs w:val="21"/>
          <w:highlight w:val="none"/>
        </w:rPr>
        <w:t>质量保证金的</w:t>
      </w:r>
      <w:r>
        <w:rPr>
          <w:rFonts w:hint="eastAsia" w:ascii="宋体" w:hAnsi="宋体" w:eastAsia="宋体" w:cs="宋体"/>
          <w:color w:val="auto"/>
          <w:spacing w:val="-1"/>
          <w:sz w:val="21"/>
          <w:szCs w:val="21"/>
          <w:highlight w:val="none"/>
        </w:rPr>
        <w:t>计算基数不包括预付款的支付、扣回以及价格调整的金额；</w:t>
      </w:r>
    </w:p>
    <w:p w14:paraId="538F53B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（2）工程竣工结算时，一次性扣留质量保证金，由承包人以银行</w:t>
      </w:r>
      <w:r>
        <w:rPr>
          <w:rFonts w:hint="eastAsia" w:ascii="宋体" w:hAnsi="宋体" w:eastAsia="宋体" w:cs="宋体"/>
          <w:color w:val="auto"/>
          <w:spacing w:val="-4"/>
          <w:sz w:val="21"/>
          <w:szCs w:val="21"/>
          <w:highlight w:val="none"/>
        </w:rPr>
        <w:t>保函、保证保</w:t>
      </w:r>
      <w:r>
        <w:rPr>
          <w:rFonts w:hint="eastAsia" w:ascii="宋体" w:hAnsi="宋体" w:eastAsia="宋体" w:cs="宋体"/>
          <w:color w:val="auto"/>
          <w:spacing w:val="-1"/>
          <w:sz w:val="21"/>
          <w:szCs w:val="21"/>
          <w:highlight w:val="none"/>
        </w:rPr>
        <w:t>险替代预留质量保证金，保函金额不得高于工程价款结算总额的3%；</w:t>
      </w:r>
    </w:p>
    <w:p w14:paraId="31F70B5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（3）其他扣留方式</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承包人按工程价款结</w:t>
      </w:r>
      <w:r>
        <w:rPr>
          <w:rFonts w:hint="eastAsia" w:ascii="宋体" w:hAnsi="宋体" w:eastAsia="宋体" w:cs="宋体"/>
          <w:color w:val="auto"/>
          <w:spacing w:val="-1"/>
          <w:sz w:val="21"/>
          <w:szCs w:val="21"/>
          <w:highlight w:val="none"/>
        </w:rPr>
        <w:t>算总额的3%支付工程质量保修金，质</w:t>
      </w:r>
      <w:r>
        <w:rPr>
          <w:rFonts w:hint="eastAsia" w:ascii="宋体" w:hAnsi="宋体" w:eastAsia="宋体" w:cs="宋体"/>
          <w:color w:val="auto"/>
          <w:spacing w:val="-2"/>
          <w:sz w:val="21"/>
          <w:szCs w:val="21"/>
          <w:highlight w:val="none"/>
        </w:rPr>
        <w:t>量保修金在工程竣工质量保修期满2年且验收合格后，并扣除有关应扣除的费用后，</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1"/>
          <w:sz w:val="21"/>
          <w:szCs w:val="21"/>
          <w:highlight w:val="none"/>
        </w:rPr>
        <w:t>将剩余保修金（不计利息）全额退回承包人。</w:t>
      </w:r>
    </w:p>
    <w:p w14:paraId="5E32535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关于质量保证金的补充约定：</w:t>
      </w:r>
      <w:r>
        <w:rPr>
          <w:rFonts w:hint="eastAsia" w:ascii="宋体" w:hAnsi="宋体" w:eastAsia="宋体" w:cs="宋体"/>
          <w:color w:val="auto"/>
          <w:spacing w:val="-1"/>
          <w:sz w:val="21"/>
          <w:szCs w:val="21"/>
          <w:highlight w:val="none"/>
          <w:u w:val="single" w:color="auto"/>
        </w:rPr>
        <w:t>无</w:t>
      </w:r>
      <w:r>
        <w:rPr>
          <w:rFonts w:hint="eastAsia" w:ascii="宋体" w:hAnsi="宋体" w:eastAsia="宋体" w:cs="宋体"/>
          <w:color w:val="auto"/>
          <w:spacing w:val="-1"/>
          <w:sz w:val="21"/>
          <w:szCs w:val="21"/>
          <w:highlight w:val="none"/>
        </w:rPr>
        <w:t>。</w:t>
      </w:r>
    </w:p>
    <w:p w14:paraId="2D5E67DD">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40" w:name="_Toc5750"/>
      <w:bookmarkStart w:id="541" w:name="_Toc3088"/>
      <w:r>
        <w:rPr>
          <w:rFonts w:hint="eastAsia" w:ascii="宋体" w:hAnsi="宋体" w:eastAsia="宋体" w:cs="宋体"/>
          <w:b w:val="0"/>
          <w:bCs/>
          <w:color w:val="auto"/>
          <w:spacing w:val="-9"/>
          <w:sz w:val="21"/>
          <w:szCs w:val="21"/>
          <w:highlight w:val="none"/>
        </w:rPr>
        <w:t>15.4</w:t>
      </w:r>
      <w:r>
        <w:rPr>
          <w:rFonts w:hint="eastAsia" w:ascii="宋体" w:hAnsi="宋体" w:eastAsia="宋体" w:cs="宋体"/>
          <w:b w:val="0"/>
          <w:color w:val="auto"/>
          <w:spacing w:val="10"/>
          <w:sz w:val="21"/>
          <w:szCs w:val="21"/>
          <w:highlight w:val="none"/>
        </w:rPr>
        <w:t xml:space="preserve"> </w:t>
      </w:r>
      <w:r>
        <w:rPr>
          <w:rFonts w:hint="eastAsia" w:ascii="宋体" w:hAnsi="宋体" w:eastAsia="宋体" w:cs="宋体"/>
          <w:b w:val="0"/>
          <w:bCs/>
          <w:color w:val="auto"/>
          <w:spacing w:val="-9"/>
          <w:sz w:val="21"/>
          <w:szCs w:val="21"/>
          <w:highlight w:val="none"/>
        </w:rPr>
        <w:t>保修</w:t>
      </w:r>
      <w:bookmarkEnd w:id="540"/>
      <w:bookmarkEnd w:id="541"/>
    </w:p>
    <w:p w14:paraId="420CD4F6">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42" w:name="_Toc27258"/>
      <w:bookmarkStart w:id="543" w:name="_Toc31921"/>
      <w:r>
        <w:rPr>
          <w:rFonts w:hint="eastAsia" w:ascii="宋体" w:hAnsi="宋体" w:eastAsia="宋体" w:cs="宋体"/>
          <w:b w:val="0"/>
          <w:color w:val="auto"/>
          <w:spacing w:val="-3"/>
          <w:sz w:val="21"/>
          <w:szCs w:val="21"/>
          <w:highlight w:val="none"/>
        </w:rPr>
        <w:t>15.4.1 保修责任</w:t>
      </w:r>
      <w:bookmarkEnd w:id="542"/>
      <w:bookmarkEnd w:id="543"/>
    </w:p>
    <w:p w14:paraId="54EC21C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工程保修期为：</w:t>
      </w:r>
      <w:r>
        <w:rPr>
          <w:rFonts w:hint="eastAsia" w:ascii="宋体" w:hAnsi="宋体" w:eastAsia="宋体" w:cs="宋体"/>
          <w:color w:val="auto"/>
          <w:spacing w:val="-2"/>
          <w:sz w:val="21"/>
          <w:szCs w:val="21"/>
          <w:highlight w:val="none"/>
          <w:u w:val="single" w:color="auto"/>
        </w:rPr>
        <w:t>工程质量保修范围、期限和责任在工程质量保修书中约定</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1"/>
          <w:sz w:val="21"/>
          <w:szCs w:val="21"/>
          <w:highlight w:val="none"/>
        </w:rPr>
        <w:t>工程保修书具体内容见合同附件2。</w:t>
      </w:r>
    </w:p>
    <w:p w14:paraId="00700F0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15.4.3 修复通知</w:t>
      </w:r>
    </w:p>
    <w:p w14:paraId="63AC860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承包人收到保修通知并到达工程现场的合理时间：</w:t>
      </w:r>
      <w:r>
        <w:rPr>
          <w:rFonts w:hint="eastAsia" w:ascii="宋体" w:hAnsi="宋体" w:eastAsia="宋体" w:cs="宋体"/>
          <w:color w:val="auto"/>
          <w:spacing w:val="-1"/>
          <w:sz w:val="21"/>
          <w:szCs w:val="21"/>
          <w:highlight w:val="none"/>
          <w:u w:val="single" w:color="auto"/>
        </w:rPr>
        <w:t>24小时</w:t>
      </w:r>
      <w:r>
        <w:rPr>
          <w:rFonts w:hint="eastAsia" w:ascii="宋体" w:hAnsi="宋体" w:eastAsia="宋体" w:cs="宋体"/>
          <w:color w:val="auto"/>
          <w:spacing w:val="-1"/>
          <w:sz w:val="21"/>
          <w:szCs w:val="21"/>
          <w:highlight w:val="none"/>
        </w:rPr>
        <w:t>。</w:t>
      </w:r>
    </w:p>
    <w:p w14:paraId="152E3606">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0"/>
        <w:rPr>
          <w:rFonts w:hint="eastAsia" w:ascii="宋体" w:hAnsi="宋体" w:eastAsia="宋体" w:cs="宋体"/>
          <w:b w:val="0"/>
          <w:color w:val="auto"/>
          <w:sz w:val="21"/>
          <w:szCs w:val="21"/>
          <w:highlight w:val="none"/>
        </w:rPr>
      </w:pPr>
      <w:bookmarkStart w:id="544" w:name="_Toc13893"/>
      <w:bookmarkStart w:id="545" w:name="_Toc20476"/>
      <w:r>
        <w:rPr>
          <w:rFonts w:hint="eastAsia" w:ascii="宋体" w:hAnsi="宋体" w:eastAsia="宋体" w:cs="宋体"/>
          <w:b w:val="0"/>
          <w:bCs/>
          <w:color w:val="auto"/>
          <w:spacing w:val="-10"/>
          <w:sz w:val="21"/>
          <w:szCs w:val="21"/>
          <w:highlight w:val="none"/>
        </w:rPr>
        <w:t>16.</w:t>
      </w:r>
      <w:r>
        <w:rPr>
          <w:rFonts w:hint="eastAsia" w:ascii="宋体" w:hAnsi="宋体" w:eastAsia="宋体" w:cs="宋体"/>
          <w:b w:val="0"/>
          <w:color w:val="auto"/>
          <w:spacing w:val="9"/>
          <w:sz w:val="21"/>
          <w:szCs w:val="21"/>
          <w:highlight w:val="none"/>
        </w:rPr>
        <w:t xml:space="preserve"> </w:t>
      </w:r>
      <w:r>
        <w:rPr>
          <w:rFonts w:hint="eastAsia" w:ascii="宋体" w:hAnsi="宋体" w:eastAsia="宋体" w:cs="宋体"/>
          <w:b w:val="0"/>
          <w:bCs/>
          <w:color w:val="auto"/>
          <w:spacing w:val="-10"/>
          <w:sz w:val="21"/>
          <w:szCs w:val="21"/>
          <w:highlight w:val="none"/>
        </w:rPr>
        <w:t>违约</w:t>
      </w:r>
      <w:bookmarkEnd w:id="544"/>
      <w:bookmarkEnd w:id="545"/>
    </w:p>
    <w:p w14:paraId="6D7B1C08">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46" w:name="_Toc15676"/>
      <w:bookmarkStart w:id="547" w:name="_Toc20882"/>
      <w:r>
        <w:rPr>
          <w:rFonts w:hint="eastAsia" w:ascii="宋体" w:hAnsi="宋体" w:eastAsia="宋体" w:cs="宋体"/>
          <w:b w:val="0"/>
          <w:bCs/>
          <w:color w:val="auto"/>
          <w:spacing w:val="-5"/>
          <w:sz w:val="21"/>
          <w:szCs w:val="21"/>
          <w:highlight w:val="none"/>
        </w:rPr>
        <w:t>16.1</w:t>
      </w:r>
      <w:r>
        <w:rPr>
          <w:rFonts w:hint="eastAsia" w:ascii="宋体" w:hAnsi="宋体" w:eastAsia="宋体" w:cs="宋体"/>
          <w:b w:val="0"/>
          <w:color w:val="auto"/>
          <w:spacing w:val="-5"/>
          <w:sz w:val="21"/>
          <w:szCs w:val="21"/>
          <w:highlight w:val="none"/>
        </w:rPr>
        <w:t xml:space="preserve"> </w:t>
      </w:r>
      <w:r>
        <w:rPr>
          <w:rFonts w:hint="eastAsia" w:ascii="宋体" w:hAnsi="宋体" w:eastAsia="宋体" w:cs="宋体"/>
          <w:b w:val="0"/>
          <w:bCs/>
          <w:color w:val="auto"/>
          <w:spacing w:val="-5"/>
          <w:sz w:val="21"/>
          <w:szCs w:val="21"/>
          <w:highlight w:val="none"/>
        </w:rPr>
        <w:t>发包人违约</w:t>
      </w:r>
      <w:bookmarkEnd w:id="546"/>
      <w:bookmarkEnd w:id="547"/>
    </w:p>
    <w:p w14:paraId="3B642F7B">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48" w:name="_Toc10305"/>
      <w:bookmarkStart w:id="549" w:name="_Toc5336"/>
      <w:r>
        <w:rPr>
          <w:rFonts w:hint="eastAsia" w:ascii="宋体" w:hAnsi="宋体" w:eastAsia="宋体" w:cs="宋体"/>
          <w:b w:val="0"/>
          <w:color w:val="auto"/>
          <w:spacing w:val="-2"/>
          <w:sz w:val="21"/>
          <w:szCs w:val="21"/>
          <w:highlight w:val="none"/>
        </w:rPr>
        <w:t>16.1.1发包人违约的情形</w:t>
      </w:r>
      <w:bookmarkEnd w:id="548"/>
      <w:bookmarkEnd w:id="549"/>
    </w:p>
    <w:p w14:paraId="534B735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发包人违约的其他情形</w:t>
      </w:r>
      <w:r>
        <w:rPr>
          <w:rFonts w:hint="eastAsia" w:ascii="宋体" w:hAnsi="宋体" w:eastAsia="宋体" w:cs="宋体"/>
          <w:color w:val="auto"/>
          <w:spacing w:val="-38"/>
          <w:sz w:val="21"/>
          <w:szCs w:val="21"/>
          <w:highlight w:val="none"/>
        </w:rPr>
        <w:t>：</w:t>
      </w:r>
      <w:r>
        <w:rPr>
          <w:rFonts w:hint="eastAsia" w:ascii="宋体" w:hAnsi="宋体" w:eastAsia="宋体" w:cs="宋体"/>
          <w:color w:val="auto"/>
          <w:spacing w:val="-38"/>
          <w:sz w:val="21"/>
          <w:szCs w:val="21"/>
          <w:highlight w:val="none"/>
          <w:u w:val="single" w:color="auto"/>
        </w:rPr>
        <w:t>（</w:t>
      </w:r>
      <w:r>
        <w:rPr>
          <w:rFonts w:hint="eastAsia" w:ascii="宋体" w:hAnsi="宋体" w:eastAsia="宋体" w:cs="宋体"/>
          <w:color w:val="auto"/>
          <w:spacing w:val="-1"/>
          <w:sz w:val="21"/>
          <w:szCs w:val="21"/>
          <w:highlight w:val="none"/>
          <w:u w:val="single" w:color="auto"/>
        </w:rPr>
        <w:t>1）未按国家相关规定取得项目所需批文和许可，导</w:t>
      </w:r>
      <w:r>
        <w:rPr>
          <w:rFonts w:hint="eastAsia" w:ascii="宋体" w:hAnsi="宋体" w:eastAsia="宋体" w:cs="宋体"/>
          <w:color w:val="auto"/>
          <w:sz w:val="21"/>
          <w:szCs w:val="21"/>
          <w:highlight w:val="none"/>
          <w:u w:val="single" w:color="auto"/>
        </w:rPr>
        <w:t>致承包人进场施工后被迫暂停施工</w:t>
      </w:r>
      <w:r>
        <w:rPr>
          <w:rFonts w:hint="eastAsia" w:ascii="宋体" w:hAnsi="宋体" w:eastAsia="宋体" w:cs="宋体"/>
          <w:color w:val="auto"/>
          <w:spacing w:val="-15"/>
          <w:sz w:val="21"/>
          <w:szCs w:val="21"/>
          <w:highlight w:val="none"/>
          <w:u w:val="single" w:color="auto"/>
        </w:rPr>
        <w:t>；（</w:t>
      </w:r>
      <w:r>
        <w:rPr>
          <w:rFonts w:hint="eastAsia" w:ascii="宋体" w:hAnsi="宋体" w:eastAsia="宋体" w:cs="宋体"/>
          <w:color w:val="auto"/>
          <w:sz w:val="21"/>
          <w:szCs w:val="21"/>
          <w:highlight w:val="none"/>
          <w:u w:val="single" w:color="auto"/>
        </w:rPr>
        <w:t>2）未能按合同约定支付工程款</w:t>
      </w:r>
      <w:r>
        <w:rPr>
          <w:rFonts w:hint="eastAsia" w:ascii="宋体" w:hAnsi="宋体" w:eastAsia="宋体" w:cs="宋体"/>
          <w:color w:val="auto"/>
          <w:spacing w:val="-15"/>
          <w:sz w:val="21"/>
          <w:szCs w:val="21"/>
          <w:highlight w:val="none"/>
          <w:u w:val="single" w:color="auto"/>
        </w:rPr>
        <w:t>；（</w:t>
      </w:r>
      <w:r>
        <w:rPr>
          <w:rFonts w:hint="eastAsia" w:ascii="宋体" w:hAnsi="宋体" w:eastAsia="宋体" w:cs="宋体"/>
          <w:color w:val="auto"/>
          <w:sz w:val="21"/>
          <w:szCs w:val="21"/>
          <w:highlight w:val="none"/>
          <w:u w:val="single" w:color="auto"/>
        </w:rPr>
        <w:t>3）</w:t>
      </w:r>
      <w:r>
        <w:rPr>
          <w:rFonts w:hint="eastAsia" w:ascii="宋体" w:hAnsi="宋体" w:eastAsia="宋体" w:cs="宋体"/>
          <w:color w:val="auto"/>
          <w:spacing w:val="-71"/>
          <w:sz w:val="21"/>
          <w:szCs w:val="21"/>
          <w:highlight w:val="none"/>
          <w:u w:val="single" w:color="auto"/>
        </w:rPr>
        <w:t xml:space="preserve"> </w:t>
      </w:r>
      <w:r>
        <w:rPr>
          <w:rFonts w:hint="eastAsia" w:ascii="宋体" w:hAnsi="宋体" w:eastAsia="宋体" w:cs="宋体"/>
          <w:color w:val="auto"/>
          <w:sz w:val="21"/>
          <w:szCs w:val="21"/>
          <w:highlight w:val="none"/>
          <w:u w:val="single" w:color="auto"/>
        </w:rPr>
        <w:t>自行</w:t>
      </w:r>
      <w:r>
        <w:rPr>
          <w:rFonts w:hint="eastAsia" w:ascii="宋体" w:hAnsi="宋体" w:eastAsia="宋体" w:cs="宋体"/>
          <w:color w:val="auto"/>
          <w:spacing w:val="-1"/>
          <w:sz w:val="21"/>
          <w:szCs w:val="21"/>
          <w:highlight w:val="none"/>
          <w:u w:val="single" w:color="auto"/>
        </w:rPr>
        <w:t>实施被取消的工作或转由他人实施的</w:t>
      </w:r>
      <w:r>
        <w:rPr>
          <w:rFonts w:hint="eastAsia" w:ascii="宋体" w:hAnsi="宋体" w:eastAsia="宋体" w:cs="宋体"/>
          <w:color w:val="auto"/>
          <w:spacing w:val="-35"/>
          <w:sz w:val="21"/>
          <w:szCs w:val="21"/>
          <w:highlight w:val="none"/>
          <w:u w:val="single" w:color="auto"/>
        </w:rPr>
        <w:t>；（</w:t>
      </w:r>
      <w:r>
        <w:rPr>
          <w:rFonts w:hint="eastAsia" w:ascii="宋体" w:hAnsi="宋体" w:eastAsia="宋体" w:cs="宋体"/>
          <w:color w:val="auto"/>
          <w:spacing w:val="-1"/>
          <w:sz w:val="21"/>
          <w:szCs w:val="21"/>
          <w:highlight w:val="none"/>
          <w:u w:val="single" w:color="auto"/>
        </w:rPr>
        <w:t>4）提供的材料、工程设备的规格、数量或</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
          <w:sz w:val="21"/>
          <w:szCs w:val="21"/>
          <w:highlight w:val="none"/>
          <w:u w:val="single" w:color="auto"/>
        </w:rPr>
        <w:t>质量不符合合同约定，或因交货日期延误或交货地点变更等情况的</w:t>
      </w:r>
      <w:r>
        <w:rPr>
          <w:rFonts w:hint="eastAsia" w:ascii="宋体" w:hAnsi="宋体" w:eastAsia="宋体" w:cs="宋体"/>
          <w:color w:val="auto"/>
          <w:spacing w:val="-35"/>
          <w:sz w:val="21"/>
          <w:szCs w:val="21"/>
          <w:highlight w:val="none"/>
          <w:u w:val="single" w:color="auto"/>
        </w:rPr>
        <w:t>；（</w:t>
      </w:r>
      <w:r>
        <w:rPr>
          <w:rFonts w:hint="eastAsia" w:ascii="宋体" w:hAnsi="宋体" w:eastAsia="宋体" w:cs="宋体"/>
          <w:color w:val="auto"/>
          <w:spacing w:val="-1"/>
          <w:sz w:val="21"/>
          <w:szCs w:val="21"/>
          <w:highlight w:val="none"/>
          <w:u w:val="single" w:color="auto"/>
        </w:rPr>
        <w:t>5）违反合同约定（如迟延支付工程款等）造成暂停施工的</w:t>
      </w:r>
      <w:r>
        <w:rPr>
          <w:rFonts w:hint="eastAsia" w:ascii="宋体" w:hAnsi="宋体" w:eastAsia="宋体" w:cs="宋体"/>
          <w:color w:val="auto"/>
          <w:spacing w:val="-35"/>
          <w:sz w:val="21"/>
          <w:szCs w:val="21"/>
          <w:highlight w:val="none"/>
          <w:u w:val="single" w:color="auto"/>
        </w:rPr>
        <w:t>；（</w:t>
      </w:r>
      <w:r>
        <w:rPr>
          <w:rFonts w:hint="eastAsia" w:ascii="宋体" w:hAnsi="宋体" w:eastAsia="宋体" w:cs="宋体"/>
          <w:color w:val="auto"/>
          <w:spacing w:val="-1"/>
          <w:sz w:val="21"/>
          <w:szCs w:val="21"/>
          <w:highlight w:val="none"/>
          <w:u w:val="single" w:color="auto"/>
        </w:rPr>
        <w:t>6）无正当理由没有在约定期限内</w:t>
      </w:r>
      <w:r>
        <w:rPr>
          <w:rFonts w:hint="eastAsia" w:ascii="宋体" w:hAnsi="宋体" w:eastAsia="宋体" w:cs="宋体"/>
          <w:color w:val="auto"/>
          <w:spacing w:val="2"/>
          <w:sz w:val="21"/>
          <w:szCs w:val="21"/>
          <w:highlight w:val="none"/>
          <w:u w:val="single" w:color="auto"/>
        </w:rPr>
        <w:t>发出复工指示</w:t>
      </w:r>
      <w:r>
        <w:rPr>
          <w:rFonts w:hint="eastAsia" w:ascii="宋体" w:hAnsi="宋体" w:eastAsia="宋体" w:cs="宋体"/>
          <w:color w:val="auto"/>
          <w:spacing w:val="-18"/>
          <w:sz w:val="21"/>
          <w:szCs w:val="21"/>
          <w:highlight w:val="none"/>
          <w:u w:val="single" w:color="auto"/>
        </w:rPr>
        <w:t>；（</w:t>
      </w:r>
      <w:r>
        <w:rPr>
          <w:rFonts w:hint="eastAsia" w:ascii="宋体" w:hAnsi="宋体" w:eastAsia="宋体" w:cs="宋体"/>
          <w:color w:val="auto"/>
          <w:spacing w:val="2"/>
          <w:sz w:val="21"/>
          <w:szCs w:val="21"/>
          <w:highlight w:val="none"/>
          <w:u w:val="single" w:color="auto"/>
        </w:rPr>
        <w:t>7）明确表示或者以其行为表明不履行合同主</w:t>
      </w:r>
      <w:r>
        <w:rPr>
          <w:rFonts w:hint="eastAsia" w:ascii="宋体" w:hAnsi="宋体" w:eastAsia="宋体" w:cs="宋体"/>
          <w:color w:val="auto"/>
          <w:spacing w:val="1"/>
          <w:sz w:val="21"/>
          <w:szCs w:val="21"/>
          <w:highlight w:val="none"/>
          <w:u w:val="single" w:color="auto"/>
        </w:rPr>
        <w:t>要义务的</w:t>
      </w:r>
      <w:r>
        <w:rPr>
          <w:rFonts w:hint="eastAsia" w:ascii="宋体" w:hAnsi="宋体" w:eastAsia="宋体" w:cs="宋体"/>
          <w:color w:val="auto"/>
          <w:spacing w:val="-18"/>
          <w:sz w:val="21"/>
          <w:szCs w:val="21"/>
          <w:highlight w:val="none"/>
          <w:u w:val="single" w:color="auto"/>
        </w:rPr>
        <w:t>；（</w:t>
      </w:r>
      <w:r>
        <w:rPr>
          <w:rFonts w:hint="eastAsia" w:ascii="宋体" w:hAnsi="宋体" w:eastAsia="宋体" w:cs="宋体"/>
          <w:color w:val="auto"/>
          <w:spacing w:val="1"/>
          <w:sz w:val="21"/>
          <w:szCs w:val="21"/>
          <w:highlight w:val="none"/>
          <w:u w:val="single" w:color="auto"/>
        </w:rPr>
        <w:t>8）未</w:t>
      </w:r>
      <w:r>
        <w:rPr>
          <w:rFonts w:hint="eastAsia" w:ascii="宋体" w:hAnsi="宋体" w:eastAsia="宋体" w:cs="宋体"/>
          <w:color w:val="auto"/>
          <w:spacing w:val="-1"/>
          <w:sz w:val="21"/>
          <w:szCs w:val="21"/>
          <w:highlight w:val="none"/>
          <w:u w:val="single" w:color="auto"/>
        </w:rPr>
        <w:t>能按照合同约定履行其他义务的</w:t>
      </w:r>
      <w:r>
        <w:rPr>
          <w:rFonts w:hint="eastAsia" w:ascii="宋体" w:hAnsi="宋体" w:eastAsia="宋体" w:cs="宋体"/>
          <w:color w:val="auto"/>
          <w:spacing w:val="-1"/>
          <w:sz w:val="21"/>
          <w:szCs w:val="21"/>
          <w:highlight w:val="none"/>
        </w:rPr>
        <w:t>。</w:t>
      </w:r>
    </w:p>
    <w:p w14:paraId="6DB74EE3">
      <w:pPr>
        <w:pStyle w:val="9"/>
        <w:pageBreakBefore w:val="0"/>
        <w:widowControl w:val="0"/>
        <w:kinsoku/>
        <w:wordWrap/>
        <w:overflowPunct/>
        <w:topLinePunct w:val="0"/>
        <w:bidi w:val="0"/>
        <w:snapToGrid/>
        <w:spacing w:beforeAutospacing="0" w:after="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p>
    <w:p w14:paraId="73B8AEC8">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50" w:name="_Toc26721"/>
      <w:bookmarkStart w:id="551" w:name="_Toc1502"/>
      <w:r>
        <w:rPr>
          <w:rFonts w:hint="eastAsia" w:ascii="宋体" w:hAnsi="宋体" w:eastAsia="宋体" w:cs="宋体"/>
          <w:b w:val="0"/>
          <w:color w:val="auto"/>
          <w:spacing w:val="-2"/>
          <w:sz w:val="21"/>
          <w:szCs w:val="21"/>
          <w:highlight w:val="none"/>
        </w:rPr>
        <w:t>16.1.2 发包人违约的责任</w:t>
      </w:r>
      <w:bookmarkEnd w:id="550"/>
      <w:bookmarkEnd w:id="551"/>
    </w:p>
    <w:p w14:paraId="1AFC3A4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发包人违约责任的承担方式和计算方法：</w:t>
      </w:r>
    </w:p>
    <w:p w14:paraId="5CA10CC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（1）因发包人原因未能在计划开工日期前7天内下达开工通知的违约责任：</w:t>
      </w:r>
      <w:r>
        <w:rPr>
          <w:rFonts w:hint="eastAsia" w:ascii="宋体" w:hAnsi="宋体" w:eastAsia="宋体" w:cs="宋体"/>
          <w:color w:val="auto"/>
          <w:spacing w:val="-1"/>
          <w:sz w:val="21"/>
          <w:szCs w:val="21"/>
          <w:highlight w:val="none"/>
          <w:u w:val="single" w:color="auto"/>
        </w:rPr>
        <w:t>工</w:t>
      </w:r>
      <w:r>
        <w:rPr>
          <w:rFonts w:hint="eastAsia" w:ascii="宋体" w:hAnsi="宋体" w:eastAsia="宋体" w:cs="宋体"/>
          <w:color w:val="auto"/>
          <w:spacing w:val="-4"/>
          <w:sz w:val="21"/>
          <w:szCs w:val="21"/>
          <w:highlight w:val="none"/>
          <w:u w:val="single" w:color="auto"/>
        </w:rPr>
        <w:t>期顺延</w:t>
      </w:r>
      <w:r>
        <w:rPr>
          <w:rFonts w:hint="eastAsia" w:ascii="宋体" w:hAnsi="宋体" w:eastAsia="宋体" w:cs="宋体"/>
          <w:color w:val="auto"/>
          <w:spacing w:val="-4"/>
          <w:sz w:val="21"/>
          <w:szCs w:val="21"/>
          <w:highlight w:val="none"/>
        </w:rPr>
        <w:t>。</w:t>
      </w:r>
    </w:p>
    <w:p w14:paraId="14EC45C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（2）因发包人原因未能按合同约定支付合同价款的违约责任：</w:t>
      </w:r>
      <w:r>
        <w:rPr>
          <w:rFonts w:hint="eastAsia" w:ascii="宋体" w:hAnsi="宋体" w:eastAsia="宋体" w:cs="宋体"/>
          <w:b/>
          <w:bCs/>
          <w:color w:val="auto"/>
          <w:spacing w:val="-1"/>
          <w:sz w:val="21"/>
          <w:szCs w:val="21"/>
          <w:highlight w:val="none"/>
          <w:u w:val="single" w:color="auto"/>
        </w:rPr>
        <w:t>无</w:t>
      </w:r>
      <w:r>
        <w:rPr>
          <w:rFonts w:hint="eastAsia" w:ascii="宋体" w:hAnsi="宋体" w:eastAsia="宋体" w:cs="宋体"/>
          <w:color w:val="auto"/>
          <w:spacing w:val="-1"/>
          <w:sz w:val="21"/>
          <w:szCs w:val="21"/>
          <w:highlight w:val="none"/>
        </w:rPr>
        <w:t>。</w:t>
      </w:r>
    </w:p>
    <w:p w14:paraId="61F2945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（3）发包人违反第10.1款〔变更的范围</w:t>
      </w:r>
      <w:r>
        <w:rPr>
          <w:rFonts w:hint="eastAsia" w:ascii="宋体" w:hAnsi="宋体" w:eastAsia="宋体" w:cs="宋体"/>
          <w:color w:val="auto"/>
          <w:spacing w:val="-1"/>
          <w:sz w:val="21"/>
          <w:szCs w:val="21"/>
          <w:highlight w:val="none"/>
        </w:rPr>
        <w:t>〕第（2）项约定，自行实施被取消的工作或转由他人实施的违约责任：</w:t>
      </w:r>
      <w:r>
        <w:rPr>
          <w:rFonts w:hint="eastAsia" w:ascii="宋体" w:hAnsi="宋体" w:eastAsia="宋体" w:cs="宋体"/>
          <w:color w:val="auto"/>
          <w:spacing w:val="-1"/>
          <w:sz w:val="21"/>
          <w:szCs w:val="21"/>
          <w:highlight w:val="none"/>
          <w:u w:val="single" w:color="auto"/>
        </w:rPr>
        <w:t>无</w:t>
      </w:r>
      <w:r>
        <w:rPr>
          <w:rFonts w:hint="eastAsia" w:ascii="宋体" w:hAnsi="宋体" w:eastAsia="宋体" w:cs="宋体"/>
          <w:color w:val="auto"/>
          <w:spacing w:val="-1"/>
          <w:sz w:val="21"/>
          <w:szCs w:val="21"/>
          <w:highlight w:val="none"/>
        </w:rPr>
        <w:t>。</w:t>
      </w:r>
    </w:p>
    <w:p w14:paraId="0AF4ADF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（4）发包人提供的材料、工程设备的规格、数量或质量不符合合</w:t>
      </w:r>
      <w:r>
        <w:rPr>
          <w:rFonts w:hint="eastAsia" w:ascii="宋体" w:hAnsi="宋体" w:eastAsia="宋体" w:cs="宋体"/>
          <w:color w:val="auto"/>
          <w:spacing w:val="-4"/>
          <w:sz w:val="21"/>
          <w:szCs w:val="21"/>
          <w:highlight w:val="none"/>
        </w:rPr>
        <w:t>同约定，或因</w:t>
      </w:r>
      <w:r>
        <w:rPr>
          <w:rFonts w:hint="eastAsia" w:ascii="宋体" w:hAnsi="宋体" w:eastAsia="宋体" w:cs="宋体"/>
          <w:color w:val="auto"/>
          <w:sz w:val="21"/>
          <w:szCs w:val="21"/>
          <w:highlight w:val="none"/>
        </w:rPr>
        <w:t>发包</w:t>
      </w:r>
      <w:r>
        <w:rPr>
          <w:rFonts w:hint="eastAsia" w:ascii="宋体" w:hAnsi="宋体" w:cs="宋体"/>
          <w:color w:val="auto"/>
          <w:sz w:val="21"/>
          <w:szCs w:val="21"/>
          <w:highlight w:val="none"/>
          <w:lang w:eastAsia="zh-CN"/>
        </w:rPr>
        <w:t>人的</w:t>
      </w:r>
      <w:r>
        <w:rPr>
          <w:rFonts w:hint="eastAsia" w:ascii="宋体" w:hAnsi="宋体" w:eastAsia="宋体" w:cs="宋体"/>
          <w:color w:val="auto"/>
          <w:sz w:val="21"/>
          <w:szCs w:val="21"/>
          <w:highlight w:val="none"/>
        </w:rPr>
        <w:t>原因导致交货日期延误或交货地点变更等情</w:t>
      </w:r>
      <w:r>
        <w:rPr>
          <w:rFonts w:hint="eastAsia" w:ascii="宋体" w:hAnsi="宋体" w:eastAsia="宋体" w:cs="宋体"/>
          <w:color w:val="auto"/>
          <w:spacing w:val="-1"/>
          <w:sz w:val="21"/>
          <w:szCs w:val="21"/>
          <w:highlight w:val="none"/>
        </w:rPr>
        <w:t>况的违约责任：</w:t>
      </w:r>
      <w:r>
        <w:rPr>
          <w:rFonts w:hint="eastAsia" w:ascii="宋体" w:hAnsi="宋体" w:eastAsia="宋体" w:cs="宋体"/>
          <w:color w:val="auto"/>
          <w:spacing w:val="-1"/>
          <w:sz w:val="21"/>
          <w:szCs w:val="21"/>
          <w:highlight w:val="none"/>
          <w:u w:val="single" w:color="auto"/>
        </w:rPr>
        <w:t>承包人可以提出</w:t>
      </w:r>
      <w:r>
        <w:rPr>
          <w:rFonts w:hint="eastAsia" w:ascii="宋体" w:hAnsi="宋体" w:eastAsia="宋体" w:cs="宋体"/>
          <w:color w:val="auto"/>
          <w:spacing w:val="-3"/>
          <w:sz w:val="21"/>
          <w:szCs w:val="21"/>
          <w:highlight w:val="none"/>
          <w:u w:val="single" w:color="auto"/>
        </w:rPr>
        <w:t>工期索赔</w:t>
      </w:r>
      <w:r>
        <w:rPr>
          <w:rFonts w:hint="eastAsia" w:ascii="宋体" w:hAnsi="宋体" w:eastAsia="宋体" w:cs="宋体"/>
          <w:color w:val="auto"/>
          <w:spacing w:val="-3"/>
          <w:sz w:val="21"/>
          <w:szCs w:val="21"/>
          <w:highlight w:val="none"/>
        </w:rPr>
        <w:t>。</w:t>
      </w:r>
    </w:p>
    <w:p w14:paraId="6E6CDBC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（5）因发包人违反合同约定造成暂停施工的违约责任：</w:t>
      </w:r>
      <w:r>
        <w:rPr>
          <w:rFonts w:hint="eastAsia" w:ascii="宋体" w:hAnsi="宋体" w:eastAsia="宋体" w:cs="宋体"/>
          <w:color w:val="auto"/>
          <w:spacing w:val="-3"/>
          <w:sz w:val="21"/>
          <w:szCs w:val="21"/>
          <w:highlight w:val="none"/>
          <w:u w:val="single" w:color="auto"/>
        </w:rPr>
        <w:t>承包人可</w:t>
      </w:r>
      <w:r>
        <w:rPr>
          <w:rFonts w:hint="eastAsia" w:ascii="宋体" w:hAnsi="宋体" w:eastAsia="宋体" w:cs="宋体"/>
          <w:color w:val="auto"/>
          <w:spacing w:val="-4"/>
          <w:sz w:val="21"/>
          <w:szCs w:val="21"/>
          <w:highlight w:val="none"/>
          <w:u w:val="single" w:color="auto"/>
        </w:rPr>
        <w:t>以提出工期索</w:t>
      </w:r>
      <w:r>
        <w:rPr>
          <w:rFonts w:hint="eastAsia" w:ascii="宋体" w:hAnsi="宋体" w:eastAsia="宋体" w:cs="宋体"/>
          <w:color w:val="auto"/>
          <w:spacing w:val="-5"/>
          <w:sz w:val="21"/>
          <w:szCs w:val="21"/>
          <w:highlight w:val="none"/>
          <w:u w:val="single" w:color="auto"/>
        </w:rPr>
        <w:t>赔</w:t>
      </w:r>
      <w:r>
        <w:rPr>
          <w:rFonts w:hint="eastAsia" w:ascii="宋体" w:hAnsi="宋体" w:eastAsia="宋体" w:cs="宋体"/>
          <w:color w:val="auto"/>
          <w:spacing w:val="-5"/>
          <w:sz w:val="21"/>
          <w:szCs w:val="21"/>
          <w:highlight w:val="none"/>
        </w:rPr>
        <w:t>。</w:t>
      </w:r>
    </w:p>
    <w:p w14:paraId="6416ABB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（6）发包人无正当理由没有在约定期限内发出复工指示，导致承</w:t>
      </w:r>
      <w:r>
        <w:rPr>
          <w:rFonts w:hint="eastAsia" w:ascii="宋体" w:hAnsi="宋体" w:eastAsia="宋体" w:cs="宋体"/>
          <w:color w:val="auto"/>
          <w:spacing w:val="-4"/>
          <w:sz w:val="21"/>
          <w:szCs w:val="21"/>
          <w:highlight w:val="none"/>
        </w:rPr>
        <w:t>包人无法复工</w:t>
      </w:r>
      <w:r>
        <w:rPr>
          <w:rFonts w:hint="eastAsia" w:ascii="宋体" w:hAnsi="宋体" w:eastAsia="宋体" w:cs="宋体"/>
          <w:color w:val="auto"/>
          <w:spacing w:val="-2"/>
          <w:sz w:val="21"/>
          <w:szCs w:val="21"/>
          <w:highlight w:val="none"/>
        </w:rPr>
        <w:t>的违约责任：</w:t>
      </w:r>
      <w:r>
        <w:rPr>
          <w:rFonts w:hint="eastAsia" w:ascii="宋体" w:hAnsi="宋体" w:eastAsia="宋体" w:cs="宋体"/>
          <w:color w:val="auto"/>
          <w:spacing w:val="-2"/>
          <w:sz w:val="21"/>
          <w:szCs w:val="21"/>
          <w:highlight w:val="none"/>
          <w:u w:val="single" w:color="auto"/>
        </w:rPr>
        <w:t>承包人可以提出工期索赔</w:t>
      </w:r>
      <w:r>
        <w:rPr>
          <w:rFonts w:hint="eastAsia" w:ascii="宋体" w:hAnsi="宋体" w:eastAsia="宋体" w:cs="宋体"/>
          <w:color w:val="auto"/>
          <w:spacing w:val="-2"/>
          <w:sz w:val="21"/>
          <w:szCs w:val="21"/>
          <w:highlight w:val="none"/>
        </w:rPr>
        <w:t>。</w:t>
      </w:r>
    </w:p>
    <w:p w14:paraId="266534D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（7）其他：</w:t>
      </w:r>
      <w:r>
        <w:rPr>
          <w:rFonts w:hint="eastAsia" w:ascii="宋体" w:hAnsi="宋体" w:eastAsia="宋体" w:cs="宋体"/>
          <w:color w:val="auto"/>
          <w:spacing w:val="-3"/>
          <w:sz w:val="21"/>
          <w:szCs w:val="21"/>
          <w:highlight w:val="none"/>
          <w:u w:val="single" w:color="auto"/>
        </w:rPr>
        <w:t>非承包人原因造成工程停工且工程停工连续超过84天时，承</w:t>
      </w:r>
      <w:r>
        <w:rPr>
          <w:rFonts w:hint="eastAsia" w:ascii="宋体" w:hAnsi="宋体" w:eastAsia="宋体" w:cs="宋体"/>
          <w:color w:val="auto"/>
          <w:spacing w:val="-4"/>
          <w:sz w:val="21"/>
          <w:szCs w:val="21"/>
          <w:highlight w:val="none"/>
          <w:u w:val="single" w:color="auto"/>
        </w:rPr>
        <w:t>包人有</w:t>
      </w:r>
      <w:r>
        <w:rPr>
          <w:rFonts w:hint="eastAsia" w:ascii="宋体" w:hAnsi="宋体" w:eastAsia="宋体" w:cs="宋体"/>
          <w:color w:val="auto"/>
          <w:sz w:val="21"/>
          <w:szCs w:val="21"/>
          <w:highlight w:val="none"/>
          <w:u w:val="single" w:color="auto"/>
        </w:rPr>
        <w:t>权选择单方解除本合同，发包人应赔偿由此给承包人造成的</w:t>
      </w:r>
      <w:r>
        <w:rPr>
          <w:rFonts w:hint="eastAsia" w:ascii="宋体" w:hAnsi="宋体" w:eastAsia="宋体" w:cs="宋体"/>
          <w:color w:val="auto"/>
          <w:spacing w:val="-1"/>
          <w:sz w:val="21"/>
          <w:szCs w:val="21"/>
          <w:highlight w:val="none"/>
          <w:u w:val="single" w:color="auto"/>
        </w:rPr>
        <w:t>全部经济损失。如因国</w:t>
      </w:r>
      <w:r>
        <w:rPr>
          <w:rFonts w:hint="eastAsia" w:ascii="宋体" w:hAnsi="宋体" w:eastAsia="宋体" w:cs="宋体"/>
          <w:color w:val="auto"/>
          <w:sz w:val="21"/>
          <w:szCs w:val="21"/>
          <w:highlight w:val="none"/>
          <w:u w:val="single" w:color="auto"/>
        </w:rPr>
        <w:t>家和地方重大政策调整、地方政府强制规定要求造成的停工</w:t>
      </w:r>
      <w:r>
        <w:rPr>
          <w:rFonts w:hint="eastAsia" w:ascii="宋体" w:hAnsi="宋体" w:eastAsia="宋体" w:cs="宋体"/>
          <w:color w:val="auto"/>
          <w:spacing w:val="-1"/>
          <w:sz w:val="21"/>
          <w:szCs w:val="21"/>
          <w:highlight w:val="none"/>
          <w:u w:val="single" w:color="auto"/>
        </w:rPr>
        <w:t>，发包人同意顺延工期和支付直接损失费用</w:t>
      </w:r>
      <w:r>
        <w:rPr>
          <w:rFonts w:hint="eastAsia" w:ascii="宋体" w:hAnsi="宋体" w:eastAsia="宋体" w:cs="宋体"/>
          <w:color w:val="auto"/>
          <w:spacing w:val="-1"/>
          <w:sz w:val="21"/>
          <w:szCs w:val="21"/>
          <w:highlight w:val="none"/>
        </w:rPr>
        <w:t>。</w:t>
      </w:r>
    </w:p>
    <w:p w14:paraId="58EACA52">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52" w:name="_Toc25005"/>
      <w:bookmarkStart w:id="553" w:name="_Toc2413"/>
      <w:r>
        <w:rPr>
          <w:rFonts w:hint="eastAsia" w:ascii="宋体" w:hAnsi="宋体" w:eastAsia="宋体" w:cs="宋体"/>
          <w:b w:val="0"/>
          <w:color w:val="auto"/>
          <w:spacing w:val="-4"/>
          <w:sz w:val="21"/>
          <w:szCs w:val="21"/>
          <w:highlight w:val="none"/>
        </w:rPr>
        <w:t>16.1.3</w:t>
      </w:r>
      <w:r>
        <w:rPr>
          <w:rFonts w:hint="eastAsia" w:ascii="宋体" w:hAnsi="宋体" w:eastAsia="宋体" w:cs="宋体"/>
          <w:b w:val="0"/>
          <w:color w:val="auto"/>
          <w:spacing w:val="35"/>
          <w:sz w:val="21"/>
          <w:szCs w:val="21"/>
          <w:highlight w:val="none"/>
        </w:rPr>
        <w:t xml:space="preserve"> </w:t>
      </w:r>
      <w:r>
        <w:rPr>
          <w:rFonts w:hint="eastAsia" w:ascii="宋体" w:hAnsi="宋体" w:eastAsia="宋体" w:cs="宋体"/>
          <w:b w:val="0"/>
          <w:color w:val="auto"/>
          <w:spacing w:val="-4"/>
          <w:sz w:val="21"/>
          <w:szCs w:val="21"/>
          <w:highlight w:val="none"/>
        </w:rPr>
        <w:t>因发包人违约解除合同</w:t>
      </w:r>
      <w:bookmarkEnd w:id="552"/>
      <w:bookmarkEnd w:id="553"/>
    </w:p>
    <w:p w14:paraId="108D087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承包人按16.1.1项〔发包人违约的情形〕约定暂停施工</w:t>
      </w:r>
      <w:r>
        <w:rPr>
          <w:rFonts w:hint="eastAsia" w:ascii="宋体" w:hAnsi="宋体" w:eastAsia="宋体" w:cs="宋体"/>
          <w:color w:val="auto"/>
          <w:spacing w:val="-1"/>
          <w:sz w:val="21"/>
          <w:szCs w:val="21"/>
          <w:highlight w:val="none"/>
        </w:rPr>
        <w:t>满</w:t>
      </w:r>
      <w:r>
        <w:rPr>
          <w:rFonts w:hint="eastAsia" w:ascii="宋体" w:hAnsi="宋体" w:eastAsia="宋体" w:cs="宋体"/>
          <w:color w:val="auto"/>
          <w:spacing w:val="-1"/>
          <w:sz w:val="21"/>
          <w:szCs w:val="21"/>
          <w:highlight w:val="none"/>
          <w:u w:val="single" w:color="auto"/>
        </w:rPr>
        <w:t>60</w:t>
      </w:r>
      <w:r>
        <w:rPr>
          <w:rFonts w:hint="eastAsia" w:ascii="宋体" w:hAnsi="宋体" w:eastAsia="宋体" w:cs="宋体"/>
          <w:color w:val="auto"/>
          <w:spacing w:val="-1"/>
          <w:sz w:val="21"/>
          <w:szCs w:val="21"/>
          <w:highlight w:val="none"/>
        </w:rPr>
        <w:t>天后发包人仍不纠正其违约行为并致使合同目的不能实现的，承包人有权解除合同</w:t>
      </w:r>
    </w:p>
    <w:p w14:paraId="2167D25F">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54" w:name="_Toc30257"/>
      <w:bookmarkStart w:id="555" w:name="_Toc73"/>
      <w:r>
        <w:rPr>
          <w:rFonts w:hint="eastAsia" w:ascii="宋体" w:hAnsi="宋体" w:eastAsia="宋体" w:cs="宋体"/>
          <w:b w:val="0"/>
          <w:bCs/>
          <w:color w:val="auto"/>
          <w:spacing w:val="-5"/>
          <w:sz w:val="21"/>
          <w:szCs w:val="21"/>
          <w:highlight w:val="none"/>
        </w:rPr>
        <w:t>16.2</w:t>
      </w:r>
      <w:r>
        <w:rPr>
          <w:rFonts w:hint="eastAsia" w:ascii="宋体" w:hAnsi="宋体" w:eastAsia="宋体" w:cs="宋体"/>
          <w:b w:val="0"/>
          <w:color w:val="auto"/>
          <w:spacing w:val="-5"/>
          <w:sz w:val="21"/>
          <w:szCs w:val="21"/>
          <w:highlight w:val="none"/>
        </w:rPr>
        <w:t xml:space="preserve"> </w:t>
      </w:r>
      <w:r>
        <w:rPr>
          <w:rFonts w:hint="eastAsia" w:ascii="宋体" w:hAnsi="宋体" w:eastAsia="宋体" w:cs="宋体"/>
          <w:b w:val="0"/>
          <w:bCs/>
          <w:color w:val="auto"/>
          <w:spacing w:val="-5"/>
          <w:sz w:val="21"/>
          <w:szCs w:val="21"/>
          <w:highlight w:val="none"/>
        </w:rPr>
        <w:t>承包人违约</w:t>
      </w:r>
      <w:bookmarkEnd w:id="554"/>
      <w:bookmarkEnd w:id="555"/>
    </w:p>
    <w:p w14:paraId="190BE568">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56" w:name="_Toc18123"/>
      <w:bookmarkStart w:id="557" w:name="_Toc28440"/>
      <w:r>
        <w:rPr>
          <w:rFonts w:hint="eastAsia" w:ascii="宋体" w:hAnsi="宋体" w:eastAsia="宋体" w:cs="宋体"/>
          <w:b w:val="0"/>
          <w:color w:val="auto"/>
          <w:spacing w:val="-2"/>
          <w:sz w:val="21"/>
          <w:szCs w:val="21"/>
          <w:highlight w:val="none"/>
        </w:rPr>
        <w:t>16.2.1 承包人违约的情形</w:t>
      </w:r>
      <w:bookmarkEnd w:id="556"/>
      <w:bookmarkEnd w:id="557"/>
    </w:p>
    <w:p w14:paraId="77671E9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承包人违约的其他情形：</w:t>
      </w:r>
      <w:r>
        <w:rPr>
          <w:rFonts w:hint="eastAsia" w:ascii="宋体" w:hAnsi="宋体" w:eastAsia="宋体" w:cs="宋体"/>
          <w:color w:val="auto"/>
          <w:sz w:val="21"/>
          <w:szCs w:val="21"/>
          <w:highlight w:val="none"/>
          <w:u w:val="single" w:color="auto"/>
        </w:rPr>
        <w:t>承包人有违反相关规</w:t>
      </w:r>
      <w:r>
        <w:rPr>
          <w:rFonts w:hint="eastAsia" w:ascii="宋体" w:hAnsi="宋体" w:eastAsia="宋体" w:cs="宋体"/>
          <w:color w:val="auto"/>
          <w:spacing w:val="-1"/>
          <w:sz w:val="21"/>
          <w:szCs w:val="21"/>
          <w:highlight w:val="none"/>
          <w:u w:val="single" w:color="auto"/>
        </w:rPr>
        <w:t>定的，按规定给予处罚</w:t>
      </w:r>
      <w:r>
        <w:rPr>
          <w:rFonts w:hint="eastAsia" w:ascii="宋体" w:hAnsi="宋体" w:eastAsia="宋体" w:cs="宋体"/>
          <w:color w:val="auto"/>
          <w:spacing w:val="-1"/>
          <w:sz w:val="21"/>
          <w:szCs w:val="21"/>
          <w:highlight w:val="none"/>
        </w:rPr>
        <w:t>。</w:t>
      </w:r>
    </w:p>
    <w:p w14:paraId="38CED0FE">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58" w:name="_Toc8943"/>
      <w:bookmarkStart w:id="559" w:name="_Toc31231"/>
      <w:r>
        <w:rPr>
          <w:rFonts w:hint="eastAsia" w:ascii="宋体" w:hAnsi="宋体" w:eastAsia="宋体" w:cs="宋体"/>
          <w:b w:val="0"/>
          <w:color w:val="auto"/>
          <w:spacing w:val="-2"/>
          <w:sz w:val="21"/>
          <w:szCs w:val="21"/>
          <w:highlight w:val="none"/>
        </w:rPr>
        <w:t>16.2.2承包人违约的责任</w:t>
      </w:r>
      <w:bookmarkEnd w:id="558"/>
      <w:bookmarkEnd w:id="559"/>
    </w:p>
    <w:p w14:paraId="410EB05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承包人违约责任的承担方式和计算方法：</w:t>
      </w:r>
    </w:p>
    <w:p w14:paraId="49A37B7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（1）承包人未按本合同通用条款第16.2.1（2）、（3）条内容完成的，承包人</w:t>
      </w:r>
      <w:r>
        <w:rPr>
          <w:rFonts w:hint="eastAsia" w:ascii="宋体" w:hAnsi="宋体" w:eastAsia="宋体" w:cs="宋体"/>
          <w:color w:val="auto"/>
          <w:sz w:val="21"/>
          <w:szCs w:val="21"/>
          <w:highlight w:val="none"/>
        </w:rPr>
        <w:t>无条件返工处理，修复至工程质量要求并承担相关费</w:t>
      </w:r>
      <w:r>
        <w:rPr>
          <w:rFonts w:hint="eastAsia" w:ascii="宋体" w:hAnsi="宋体" w:eastAsia="宋体" w:cs="宋体"/>
          <w:color w:val="auto"/>
          <w:spacing w:val="-1"/>
          <w:sz w:val="21"/>
          <w:szCs w:val="21"/>
          <w:highlight w:val="none"/>
        </w:rPr>
        <w:t>用，并在发包人规定的时间内</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完成返工，否则发包人有权扣罚该分项工程10%的工程款作为处罚。</w:t>
      </w:r>
    </w:p>
    <w:p w14:paraId="6D15F29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（2）承包人有本合同通用条款第16.2.1</w:t>
      </w:r>
      <w:r>
        <w:rPr>
          <w:rFonts w:hint="eastAsia" w:ascii="宋体" w:hAnsi="宋体" w:eastAsia="宋体" w:cs="宋体"/>
          <w:color w:val="auto"/>
          <w:spacing w:val="-1"/>
          <w:sz w:val="21"/>
          <w:szCs w:val="21"/>
          <w:highlight w:val="none"/>
        </w:rPr>
        <w:t>（6）条情形的，或经监理人检验认为</w:t>
      </w:r>
      <w:r>
        <w:rPr>
          <w:rFonts w:hint="eastAsia" w:ascii="宋体" w:hAnsi="宋体" w:eastAsia="宋体" w:cs="宋体"/>
          <w:color w:val="auto"/>
          <w:sz w:val="21"/>
          <w:szCs w:val="21"/>
          <w:highlight w:val="none"/>
        </w:rPr>
        <w:t>修复质量不合格而承包人拒绝再进行修补的，发包人将扣</w:t>
      </w:r>
      <w:r>
        <w:rPr>
          <w:rFonts w:hint="eastAsia" w:ascii="宋体" w:hAnsi="宋体" w:eastAsia="宋体" w:cs="宋体"/>
          <w:color w:val="auto"/>
          <w:spacing w:val="-1"/>
          <w:sz w:val="21"/>
          <w:szCs w:val="21"/>
          <w:highlight w:val="none"/>
        </w:rPr>
        <w:t>除承包人全部质量保修金</w:t>
      </w:r>
      <w:r>
        <w:rPr>
          <w:rFonts w:hint="eastAsia" w:ascii="宋体" w:hAnsi="宋体" w:eastAsia="宋体" w:cs="宋体"/>
          <w:color w:val="auto"/>
          <w:position w:val="1"/>
          <w:sz w:val="21"/>
          <w:szCs w:val="21"/>
          <w:highlight w:val="none"/>
        </w:rPr>
        <w:t>。</w:t>
      </w:r>
    </w:p>
    <w:p w14:paraId="445C1D5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（3）承包人有本专用合同条款3.2、3.3条违约责任的，发包人有权扣除承包人</w:t>
      </w:r>
      <w:r>
        <w:rPr>
          <w:rFonts w:hint="eastAsia" w:ascii="宋体" w:hAnsi="宋体" w:eastAsia="宋体" w:cs="宋体"/>
          <w:color w:val="auto"/>
          <w:sz w:val="21"/>
          <w:szCs w:val="21"/>
          <w:highlight w:val="none"/>
        </w:rPr>
        <w:t>的违约金。违约金金额均在承包人的履约保证金及计</w:t>
      </w:r>
      <w:r>
        <w:rPr>
          <w:rFonts w:hint="eastAsia" w:ascii="宋体" w:hAnsi="宋体" w:eastAsia="宋体" w:cs="宋体"/>
          <w:color w:val="auto"/>
          <w:spacing w:val="-1"/>
          <w:sz w:val="21"/>
          <w:szCs w:val="21"/>
          <w:highlight w:val="none"/>
        </w:rPr>
        <w:t>量支付款内扣除。监理人预先</w:t>
      </w:r>
      <w:r>
        <w:rPr>
          <w:rFonts w:hint="eastAsia" w:ascii="宋体" w:hAnsi="宋体" w:eastAsia="宋体" w:cs="宋体"/>
          <w:color w:val="auto"/>
          <w:sz w:val="21"/>
          <w:szCs w:val="21"/>
          <w:highlight w:val="none"/>
        </w:rPr>
        <w:t xml:space="preserve"> 下发含有罚款意向的指令，如承包人不及时采取措施</w:t>
      </w:r>
      <w:r>
        <w:rPr>
          <w:rFonts w:hint="eastAsia" w:ascii="宋体" w:hAnsi="宋体" w:eastAsia="宋体" w:cs="宋体"/>
          <w:color w:val="auto"/>
          <w:spacing w:val="-1"/>
          <w:sz w:val="21"/>
          <w:szCs w:val="21"/>
          <w:highlight w:val="none"/>
        </w:rPr>
        <w:t>纠正，则在指令下达后十五天</w:t>
      </w:r>
      <w:r>
        <w:rPr>
          <w:rFonts w:hint="eastAsia" w:ascii="宋体" w:hAnsi="宋体" w:eastAsia="宋体" w:cs="宋体"/>
          <w:color w:val="auto"/>
          <w:sz w:val="21"/>
          <w:szCs w:val="21"/>
          <w:highlight w:val="none"/>
        </w:rPr>
        <w:t xml:space="preserve"> 下发罚款通知书（不再陈述罚款理由）。承包人履约</w:t>
      </w:r>
      <w:r>
        <w:rPr>
          <w:rFonts w:hint="eastAsia" w:ascii="宋体" w:hAnsi="宋体" w:eastAsia="宋体" w:cs="宋体"/>
          <w:color w:val="auto"/>
          <w:spacing w:val="-1"/>
          <w:sz w:val="21"/>
          <w:szCs w:val="21"/>
          <w:highlight w:val="none"/>
        </w:rPr>
        <w:t>保证金被罚款后由发包人从最</w:t>
      </w:r>
      <w:r>
        <w:rPr>
          <w:rFonts w:hint="eastAsia" w:ascii="宋体" w:hAnsi="宋体" w:eastAsia="宋体" w:cs="宋体"/>
          <w:color w:val="auto"/>
          <w:sz w:val="21"/>
          <w:szCs w:val="21"/>
          <w:highlight w:val="none"/>
        </w:rPr>
        <w:t xml:space="preserve"> 后一次计量支付时扣除相应金额补足履约保证金。承</w:t>
      </w:r>
      <w:r>
        <w:rPr>
          <w:rFonts w:hint="eastAsia" w:ascii="宋体" w:hAnsi="宋体" w:eastAsia="宋体" w:cs="宋体"/>
          <w:color w:val="auto"/>
          <w:spacing w:val="-1"/>
          <w:sz w:val="21"/>
          <w:szCs w:val="21"/>
          <w:highlight w:val="none"/>
        </w:rPr>
        <w:t>包人在合同期内，完成合同规</w:t>
      </w:r>
      <w:r>
        <w:rPr>
          <w:rFonts w:hint="eastAsia" w:ascii="宋体" w:hAnsi="宋体" w:eastAsia="宋体" w:cs="宋体"/>
          <w:color w:val="auto"/>
          <w:sz w:val="21"/>
          <w:szCs w:val="21"/>
          <w:highlight w:val="none"/>
        </w:rPr>
        <w:t xml:space="preserve"> 定的全部工程，且质量合格，在本工程施工竣工验收</w:t>
      </w:r>
      <w:r>
        <w:rPr>
          <w:rFonts w:hint="eastAsia" w:ascii="宋体" w:hAnsi="宋体" w:eastAsia="宋体" w:cs="宋体"/>
          <w:color w:val="auto"/>
          <w:spacing w:val="-1"/>
          <w:sz w:val="21"/>
          <w:szCs w:val="21"/>
          <w:highlight w:val="none"/>
        </w:rPr>
        <w:t>后十五天内可申请返还全部或</w:t>
      </w:r>
      <w:r>
        <w:rPr>
          <w:rFonts w:hint="eastAsia" w:ascii="宋体" w:hAnsi="宋体" w:eastAsia="宋体" w:cs="宋体"/>
          <w:color w:val="auto"/>
          <w:sz w:val="21"/>
          <w:szCs w:val="21"/>
          <w:highlight w:val="none"/>
        </w:rPr>
        <w:t xml:space="preserve"> 部分罚款，返还金额由监理人审核，发包人批准。罚</w:t>
      </w:r>
      <w:r>
        <w:rPr>
          <w:rFonts w:hint="eastAsia" w:ascii="宋体" w:hAnsi="宋体" w:eastAsia="宋体" w:cs="宋体"/>
          <w:color w:val="auto"/>
          <w:spacing w:val="-1"/>
          <w:sz w:val="21"/>
          <w:szCs w:val="21"/>
          <w:highlight w:val="none"/>
        </w:rPr>
        <w:t>款金额返还时不包括银行利息</w:t>
      </w:r>
      <w:r>
        <w:rPr>
          <w:rFonts w:hint="eastAsia" w:ascii="宋体" w:hAnsi="宋体" w:eastAsia="宋体" w:cs="宋体"/>
          <w:color w:val="auto"/>
          <w:position w:val="1"/>
          <w:sz w:val="21"/>
          <w:szCs w:val="21"/>
          <w:highlight w:val="none"/>
        </w:rPr>
        <w:t>。</w:t>
      </w:r>
    </w:p>
    <w:p w14:paraId="15BA7F2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（4）承包人应协助发包人办理该项目施工许可证，按当地质监部</w:t>
      </w:r>
      <w:r>
        <w:rPr>
          <w:rFonts w:hint="eastAsia" w:ascii="宋体" w:hAnsi="宋体" w:eastAsia="宋体" w:cs="宋体"/>
          <w:color w:val="auto"/>
          <w:spacing w:val="-4"/>
          <w:sz w:val="21"/>
          <w:szCs w:val="21"/>
          <w:highlight w:val="none"/>
        </w:rPr>
        <w:t>门有关安全文</w:t>
      </w:r>
      <w:r>
        <w:rPr>
          <w:rFonts w:hint="eastAsia" w:ascii="宋体" w:hAnsi="宋体" w:eastAsia="宋体" w:cs="宋体"/>
          <w:color w:val="auto"/>
          <w:sz w:val="21"/>
          <w:szCs w:val="21"/>
          <w:highlight w:val="none"/>
        </w:rPr>
        <w:t>明现场施工的规定完成文明施工设施建设并通过质监部门验</w:t>
      </w:r>
      <w:r>
        <w:rPr>
          <w:rFonts w:hint="eastAsia" w:ascii="宋体" w:hAnsi="宋体" w:eastAsia="宋体" w:cs="宋体"/>
          <w:color w:val="auto"/>
          <w:spacing w:val="-1"/>
          <w:sz w:val="21"/>
          <w:szCs w:val="21"/>
          <w:highlight w:val="none"/>
        </w:rPr>
        <w:t>收，同时按发包人要求</w:t>
      </w:r>
      <w:r>
        <w:rPr>
          <w:rFonts w:hint="eastAsia" w:ascii="宋体" w:hAnsi="宋体" w:eastAsia="宋体" w:cs="宋体"/>
          <w:color w:val="auto"/>
          <w:sz w:val="21"/>
          <w:szCs w:val="21"/>
          <w:highlight w:val="none"/>
        </w:rPr>
        <w:t xml:space="preserve"> 及时提供报监相关资料。因承包人未按发包人的要求按时完</w:t>
      </w:r>
      <w:r>
        <w:rPr>
          <w:rFonts w:hint="eastAsia" w:ascii="宋体" w:hAnsi="宋体" w:eastAsia="宋体" w:cs="宋体"/>
          <w:color w:val="auto"/>
          <w:spacing w:val="-1"/>
          <w:sz w:val="21"/>
          <w:szCs w:val="21"/>
          <w:highlight w:val="none"/>
        </w:rPr>
        <w:t>成文明施工设施建设并</w:t>
      </w:r>
      <w:r>
        <w:rPr>
          <w:rFonts w:hint="eastAsia" w:ascii="宋体" w:hAnsi="宋体" w:eastAsia="宋体" w:cs="宋体"/>
          <w:color w:val="auto"/>
          <w:sz w:val="21"/>
          <w:szCs w:val="21"/>
          <w:highlight w:val="none"/>
        </w:rPr>
        <w:t xml:space="preserve"> 通过质监部门验收或未按发包人要求的时间提供报监相关资</w:t>
      </w:r>
      <w:r>
        <w:rPr>
          <w:rFonts w:hint="eastAsia" w:ascii="宋体" w:hAnsi="宋体" w:eastAsia="宋体" w:cs="宋体"/>
          <w:color w:val="auto"/>
          <w:spacing w:val="-1"/>
          <w:sz w:val="21"/>
          <w:szCs w:val="21"/>
          <w:highlight w:val="none"/>
        </w:rPr>
        <w:t>料而影响施工许可证的</w:t>
      </w:r>
      <w:r>
        <w:rPr>
          <w:rFonts w:hint="eastAsia" w:ascii="宋体" w:hAnsi="宋体" w:eastAsia="宋体" w:cs="宋体"/>
          <w:color w:val="auto"/>
          <w:sz w:val="21"/>
          <w:szCs w:val="21"/>
          <w:highlight w:val="none"/>
        </w:rPr>
        <w:t xml:space="preserve"> 办理，视为承包人违约，每延误一日按5000元人民币</w:t>
      </w:r>
      <w:r>
        <w:rPr>
          <w:rFonts w:hint="eastAsia" w:ascii="宋体" w:hAnsi="宋体" w:eastAsia="宋体" w:cs="宋体"/>
          <w:color w:val="auto"/>
          <w:spacing w:val="-1"/>
          <w:sz w:val="21"/>
          <w:szCs w:val="21"/>
          <w:highlight w:val="none"/>
        </w:rPr>
        <w:t>向发包人支付违约金。</w:t>
      </w:r>
    </w:p>
    <w:p w14:paraId="031356C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（5）承包人必须协助业主办理行政退费手续，如因承包人提供退</w:t>
      </w:r>
      <w:r>
        <w:rPr>
          <w:rFonts w:hint="eastAsia" w:ascii="宋体" w:hAnsi="宋体" w:eastAsia="宋体" w:cs="宋体"/>
          <w:color w:val="auto"/>
          <w:spacing w:val="-4"/>
          <w:sz w:val="21"/>
          <w:szCs w:val="21"/>
          <w:highlight w:val="none"/>
        </w:rPr>
        <w:t>费资料不全等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原因导致业主退费不成功，该笔费用将从工程结算款中予以扣除。</w:t>
      </w:r>
    </w:p>
    <w:p w14:paraId="41AD4C70">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60" w:name="_Toc28070"/>
      <w:bookmarkStart w:id="561" w:name="_Toc11447"/>
      <w:r>
        <w:rPr>
          <w:rFonts w:hint="eastAsia" w:ascii="宋体" w:hAnsi="宋体" w:eastAsia="宋体" w:cs="宋体"/>
          <w:b w:val="0"/>
          <w:color w:val="auto"/>
          <w:spacing w:val="-4"/>
          <w:sz w:val="21"/>
          <w:szCs w:val="21"/>
          <w:highlight w:val="none"/>
        </w:rPr>
        <w:t>16.2.3</w:t>
      </w:r>
      <w:r>
        <w:rPr>
          <w:rFonts w:hint="eastAsia" w:ascii="宋体" w:hAnsi="宋体" w:eastAsia="宋体" w:cs="宋体"/>
          <w:b w:val="0"/>
          <w:color w:val="auto"/>
          <w:spacing w:val="35"/>
          <w:sz w:val="21"/>
          <w:szCs w:val="21"/>
          <w:highlight w:val="none"/>
        </w:rPr>
        <w:t xml:space="preserve"> </w:t>
      </w:r>
      <w:r>
        <w:rPr>
          <w:rFonts w:hint="eastAsia" w:ascii="宋体" w:hAnsi="宋体" w:eastAsia="宋体" w:cs="宋体"/>
          <w:b w:val="0"/>
          <w:color w:val="auto"/>
          <w:spacing w:val="-4"/>
          <w:sz w:val="21"/>
          <w:szCs w:val="21"/>
          <w:highlight w:val="none"/>
        </w:rPr>
        <w:t>因承包人违约解除合同</w:t>
      </w:r>
      <w:bookmarkEnd w:id="560"/>
      <w:bookmarkEnd w:id="561"/>
    </w:p>
    <w:p w14:paraId="242C35A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关于承包人违约解除合同的特别约定：</w:t>
      </w:r>
      <w:r>
        <w:rPr>
          <w:rFonts w:hint="eastAsia" w:ascii="宋体" w:hAnsi="宋体" w:eastAsia="宋体" w:cs="宋体"/>
          <w:color w:val="auto"/>
          <w:sz w:val="21"/>
          <w:szCs w:val="21"/>
          <w:highlight w:val="none"/>
          <w:u w:val="single" w:color="auto"/>
        </w:rPr>
        <w:t>承包</w:t>
      </w:r>
      <w:r>
        <w:rPr>
          <w:rFonts w:hint="eastAsia" w:ascii="宋体" w:hAnsi="宋体" w:eastAsia="宋体" w:cs="宋体"/>
          <w:color w:val="auto"/>
          <w:spacing w:val="-1"/>
          <w:sz w:val="21"/>
          <w:szCs w:val="21"/>
          <w:highlight w:val="none"/>
          <w:u w:val="single" w:color="auto"/>
        </w:rPr>
        <w:t>人有违反以下情况之一的，发包人有权解除合同，并没收其全部履约保证金</w:t>
      </w:r>
      <w:r>
        <w:rPr>
          <w:rFonts w:hint="eastAsia" w:ascii="宋体" w:hAnsi="宋体" w:eastAsia="宋体" w:cs="宋体"/>
          <w:color w:val="auto"/>
          <w:spacing w:val="-1"/>
          <w:sz w:val="21"/>
          <w:szCs w:val="21"/>
          <w:highlight w:val="none"/>
        </w:rPr>
        <w:t>。</w:t>
      </w:r>
    </w:p>
    <w:p w14:paraId="1F83116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6"/>
          <w:sz w:val="21"/>
          <w:szCs w:val="21"/>
          <w:highlight w:val="none"/>
          <w:lang w:eastAsia="zh-CN"/>
        </w:rPr>
        <w:t>（1）</w:t>
      </w:r>
      <w:r>
        <w:rPr>
          <w:rFonts w:hint="eastAsia" w:ascii="宋体" w:hAnsi="宋体" w:eastAsia="宋体" w:cs="宋体"/>
          <w:b/>
          <w:bCs/>
          <w:color w:val="auto"/>
          <w:spacing w:val="-6"/>
          <w:sz w:val="21"/>
          <w:szCs w:val="21"/>
          <w:highlight w:val="none"/>
        </w:rPr>
        <w:t>因承包人的原因，造成施工许可证办理期限延误超过一个月、</w:t>
      </w:r>
      <w:r>
        <w:rPr>
          <w:rFonts w:hint="eastAsia" w:ascii="宋体" w:hAnsi="宋体" w:eastAsia="宋体" w:cs="宋体"/>
          <w:color w:val="auto"/>
          <w:spacing w:val="-6"/>
          <w:sz w:val="21"/>
          <w:szCs w:val="21"/>
          <w:highlight w:val="none"/>
        </w:rPr>
        <w:t>承包人无正当</w:t>
      </w:r>
      <w:r>
        <w:rPr>
          <w:rFonts w:hint="eastAsia" w:ascii="宋体" w:hAnsi="宋体" w:eastAsia="宋体" w:cs="宋体"/>
          <w:color w:val="auto"/>
          <w:spacing w:val="-1"/>
          <w:sz w:val="21"/>
          <w:szCs w:val="21"/>
          <w:highlight w:val="none"/>
        </w:rPr>
        <w:t>理由不按开工通知的要求及时进场组织施工</w:t>
      </w:r>
      <w:r>
        <w:rPr>
          <w:rFonts w:hint="eastAsia" w:ascii="宋体" w:hAnsi="宋体" w:eastAsia="宋体" w:cs="宋体"/>
          <w:b/>
          <w:bCs/>
          <w:color w:val="auto"/>
          <w:spacing w:val="-1"/>
          <w:sz w:val="21"/>
          <w:szCs w:val="21"/>
          <w:highlight w:val="none"/>
        </w:rPr>
        <w:t>超过一个月</w:t>
      </w:r>
      <w:r>
        <w:rPr>
          <w:rFonts w:hint="eastAsia" w:ascii="宋体" w:hAnsi="宋体" w:eastAsia="宋体" w:cs="宋体"/>
          <w:color w:val="auto"/>
          <w:spacing w:val="-1"/>
          <w:sz w:val="21"/>
          <w:szCs w:val="21"/>
          <w:highlight w:val="none"/>
        </w:rPr>
        <w:t>和不按签订协议书时商定的进度计划有效地开展施工准备，造成工期延误的；</w:t>
      </w:r>
    </w:p>
    <w:p w14:paraId="025563F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1"/>
          <w:sz w:val="21"/>
          <w:szCs w:val="21"/>
          <w:highlight w:val="none"/>
          <w:lang w:eastAsia="zh-CN"/>
        </w:rPr>
        <w:t>（2）</w:t>
      </w:r>
      <w:r>
        <w:rPr>
          <w:rFonts w:hint="eastAsia" w:ascii="宋体" w:hAnsi="宋体" w:eastAsia="宋体" w:cs="宋体"/>
          <w:color w:val="auto"/>
          <w:spacing w:val="-1"/>
          <w:sz w:val="21"/>
          <w:szCs w:val="21"/>
          <w:highlight w:val="none"/>
        </w:rPr>
        <w:t>承包人违反本合同通用条款第3.5条规</w:t>
      </w:r>
      <w:r>
        <w:rPr>
          <w:rFonts w:hint="eastAsia" w:ascii="宋体" w:hAnsi="宋体" w:eastAsia="宋体" w:cs="宋体"/>
          <w:color w:val="auto"/>
          <w:spacing w:val="-2"/>
          <w:sz w:val="21"/>
          <w:szCs w:val="21"/>
          <w:highlight w:val="none"/>
        </w:rPr>
        <w:t>定私自将合同或合同的任何部分或任</w:t>
      </w:r>
      <w:r>
        <w:rPr>
          <w:rFonts w:hint="eastAsia" w:ascii="宋体" w:hAnsi="宋体" w:eastAsia="宋体" w:cs="宋体"/>
          <w:color w:val="auto"/>
          <w:spacing w:val="-1"/>
          <w:sz w:val="21"/>
          <w:szCs w:val="21"/>
          <w:highlight w:val="none"/>
        </w:rPr>
        <w:t>何权利转让给其他人，或私自将工程或工程的一部分分包出去的；</w:t>
      </w:r>
    </w:p>
    <w:p w14:paraId="1D53807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4"/>
          <w:sz w:val="21"/>
          <w:szCs w:val="21"/>
          <w:highlight w:val="none"/>
          <w:lang w:eastAsia="zh-CN"/>
        </w:rPr>
        <w:t>（3）</w:t>
      </w:r>
      <w:r>
        <w:rPr>
          <w:rFonts w:hint="eastAsia" w:ascii="宋体" w:hAnsi="宋体" w:eastAsia="宋体" w:cs="宋体"/>
          <w:color w:val="auto"/>
          <w:spacing w:val="-4"/>
          <w:sz w:val="21"/>
          <w:szCs w:val="21"/>
          <w:highlight w:val="none"/>
        </w:rPr>
        <w:t>未经监理人批准，承包人私自将已按投标文件承诺进入工地的工程设</w:t>
      </w:r>
      <w:r>
        <w:rPr>
          <w:rFonts w:hint="eastAsia" w:ascii="宋体" w:hAnsi="宋体" w:eastAsia="宋体" w:cs="宋体"/>
          <w:color w:val="auto"/>
          <w:spacing w:val="-5"/>
          <w:sz w:val="21"/>
          <w:szCs w:val="21"/>
          <w:highlight w:val="none"/>
        </w:rPr>
        <w:t>备、施</w:t>
      </w:r>
      <w:r>
        <w:rPr>
          <w:rFonts w:hint="eastAsia" w:ascii="宋体" w:hAnsi="宋体" w:eastAsia="宋体" w:cs="宋体"/>
          <w:color w:val="auto"/>
          <w:spacing w:val="-1"/>
          <w:sz w:val="21"/>
          <w:szCs w:val="21"/>
          <w:highlight w:val="none"/>
        </w:rPr>
        <w:t>工设备、临时工程或材料撤离工地的；</w:t>
      </w:r>
    </w:p>
    <w:p w14:paraId="4DACA35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4"/>
          <w:sz w:val="21"/>
          <w:szCs w:val="21"/>
          <w:highlight w:val="none"/>
          <w:lang w:eastAsia="zh-CN"/>
        </w:rPr>
        <w:t>（4）</w:t>
      </w:r>
      <w:r>
        <w:rPr>
          <w:rFonts w:hint="eastAsia" w:ascii="宋体" w:hAnsi="宋体" w:eastAsia="宋体" w:cs="宋体"/>
          <w:color w:val="auto"/>
          <w:spacing w:val="-4"/>
          <w:sz w:val="21"/>
          <w:szCs w:val="21"/>
          <w:highlight w:val="none"/>
        </w:rPr>
        <w:t>由于承包人原因拒绝按合同进度计划及时完成合同规定的工程，而又</w:t>
      </w:r>
      <w:r>
        <w:rPr>
          <w:rFonts w:hint="eastAsia" w:ascii="宋体" w:hAnsi="宋体" w:eastAsia="宋体" w:cs="宋体"/>
          <w:color w:val="auto"/>
          <w:spacing w:val="-5"/>
          <w:sz w:val="21"/>
          <w:szCs w:val="21"/>
          <w:highlight w:val="none"/>
        </w:rPr>
        <w:t>未采取</w:t>
      </w:r>
      <w:r>
        <w:rPr>
          <w:rFonts w:hint="eastAsia" w:ascii="宋体" w:hAnsi="宋体" w:eastAsia="宋体" w:cs="宋体"/>
          <w:color w:val="auto"/>
          <w:spacing w:val="-1"/>
          <w:sz w:val="21"/>
          <w:szCs w:val="21"/>
          <w:highlight w:val="none"/>
        </w:rPr>
        <w:t>有效措施赶上进度，造成工期严重延误的；</w:t>
      </w:r>
    </w:p>
    <w:p w14:paraId="2F8CB16D">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4"/>
          <w:sz w:val="21"/>
          <w:szCs w:val="21"/>
          <w:highlight w:val="none"/>
          <w:lang w:eastAsia="zh-CN"/>
        </w:rPr>
        <w:t>（5）</w:t>
      </w:r>
      <w:r>
        <w:rPr>
          <w:rFonts w:hint="eastAsia" w:ascii="宋体" w:hAnsi="宋体" w:eastAsia="宋体" w:cs="宋体"/>
          <w:color w:val="auto"/>
          <w:spacing w:val="-4"/>
          <w:sz w:val="21"/>
          <w:szCs w:val="21"/>
          <w:highlight w:val="none"/>
        </w:rPr>
        <w:t>承包人否认合同有效或拒绝履行合同规定的承包人义务，或由于法律</w:t>
      </w:r>
      <w:r>
        <w:rPr>
          <w:rFonts w:hint="eastAsia" w:ascii="宋体" w:hAnsi="宋体" w:eastAsia="宋体" w:cs="宋体"/>
          <w:color w:val="auto"/>
          <w:spacing w:val="-5"/>
          <w:sz w:val="21"/>
          <w:szCs w:val="21"/>
          <w:highlight w:val="none"/>
        </w:rPr>
        <w:t>、财务</w:t>
      </w:r>
      <w:r>
        <w:rPr>
          <w:rFonts w:hint="eastAsia" w:ascii="宋体" w:hAnsi="宋体" w:eastAsia="宋体" w:cs="宋体"/>
          <w:color w:val="auto"/>
          <w:spacing w:val="-1"/>
          <w:sz w:val="21"/>
          <w:szCs w:val="21"/>
          <w:highlight w:val="none"/>
        </w:rPr>
        <w:t>等原因导致承包人无法继续履行或</w:t>
      </w:r>
      <w:r>
        <w:rPr>
          <w:rFonts w:hint="eastAsia" w:ascii="宋体" w:hAnsi="宋体" w:eastAsia="宋体" w:cs="宋体"/>
          <w:b/>
          <w:bCs/>
          <w:color w:val="auto"/>
          <w:spacing w:val="-1"/>
          <w:sz w:val="21"/>
          <w:szCs w:val="21"/>
          <w:highlight w:val="none"/>
        </w:rPr>
        <w:t>事实全面已停</w:t>
      </w:r>
      <w:r>
        <w:rPr>
          <w:rFonts w:hint="eastAsia" w:ascii="宋体" w:hAnsi="宋体" w:eastAsia="宋体" w:cs="宋体"/>
          <w:color w:val="auto"/>
          <w:spacing w:val="-1"/>
          <w:sz w:val="21"/>
          <w:szCs w:val="21"/>
          <w:highlight w:val="none"/>
        </w:rPr>
        <w:t>工连续超过一个月</w:t>
      </w:r>
      <w:r>
        <w:rPr>
          <w:rFonts w:hint="eastAsia" w:ascii="宋体" w:hAnsi="宋体" w:eastAsia="宋体" w:cs="宋体"/>
          <w:b/>
          <w:bCs/>
          <w:color w:val="auto"/>
          <w:spacing w:val="-1"/>
          <w:sz w:val="21"/>
          <w:szCs w:val="21"/>
          <w:highlight w:val="none"/>
        </w:rPr>
        <w:t>的</w:t>
      </w:r>
      <w:r>
        <w:rPr>
          <w:rFonts w:hint="eastAsia" w:ascii="宋体" w:hAnsi="宋体" w:eastAsia="宋体" w:cs="宋体"/>
          <w:color w:val="auto"/>
          <w:spacing w:val="-1"/>
          <w:sz w:val="21"/>
          <w:szCs w:val="21"/>
          <w:highlight w:val="none"/>
        </w:rPr>
        <w:t>或实质上已停</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2"/>
          <w:sz w:val="21"/>
          <w:szCs w:val="21"/>
          <w:highlight w:val="none"/>
        </w:rPr>
        <w:t>止履行合同的义务的；</w:t>
      </w:r>
    </w:p>
    <w:p w14:paraId="3D7D4BE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4"/>
          <w:sz w:val="21"/>
          <w:szCs w:val="21"/>
          <w:highlight w:val="none"/>
          <w:lang w:eastAsia="zh-CN"/>
        </w:rPr>
        <w:t>（6）</w:t>
      </w:r>
      <w:r>
        <w:rPr>
          <w:rFonts w:hint="eastAsia" w:ascii="宋体" w:hAnsi="宋体" w:eastAsia="宋体" w:cs="宋体"/>
          <w:color w:val="auto"/>
          <w:spacing w:val="-4"/>
          <w:sz w:val="21"/>
          <w:szCs w:val="21"/>
          <w:highlight w:val="none"/>
        </w:rPr>
        <w:t>合同签订且具备法定开工条件后之日起十五日内，承包人无法按合同</w:t>
      </w:r>
      <w:r>
        <w:rPr>
          <w:rFonts w:hint="eastAsia" w:ascii="宋体" w:hAnsi="宋体" w:eastAsia="宋体" w:cs="宋体"/>
          <w:color w:val="auto"/>
          <w:spacing w:val="-5"/>
          <w:sz w:val="21"/>
          <w:szCs w:val="21"/>
          <w:highlight w:val="none"/>
        </w:rPr>
        <w:t>规定及</w:t>
      </w:r>
      <w:r>
        <w:rPr>
          <w:rFonts w:hint="eastAsia" w:ascii="宋体" w:hAnsi="宋体" w:eastAsia="宋体" w:cs="宋体"/>
          <w:color w:val="auto"/>
          <w:sz w:val="21"/>
          <w:szCs w:val="21"/>
          <w:highlight w:val="none"/>
        </w:rPr>
        <w:t xml:space="preserve"> 投标文件的承诺进场经监理工程师认可的该施工阶段应有</w:t>
      </w:r>
      <w:r>
        <w:rPr>
          <w:rFonts w:hint="eastAsia" w:ascii="宋体" w:hAnsi="宋体" w:eastAsia="宋体" w:cs="宋体"/>
          <w:color w:val="auto"/>
          <w:spacing w:val="-1"/>
          <w:sz w:val="21"/>
          <w:szCs w:val="21"/>
          <w:highlight w:val="none"/>
        </w:rPr>
        <w:t>的全部人员和机械的。承</w:t>
      </w:r>
      <w:r>
        <w:rPr>
          <w:rFonts w:hint="eastAsia" w:ascii="宋体" w:hAnsi="宋体" w:eastAsia="宋体" w:cs="宋体"/>
          <w:color w:val="auto"/>
          <w:sz w:val="21"/>
          <w:szCs w:val="21"/>
          <w:highlight w:val="none"/>
        </w:rPr>
        <w:t>包人应按发包人解除合同的通知支付合同总价的5%的违约</w:t>
      </w:r>
      <w:r>
        <w:rPr>
          <w:rFonts w:hint="eastAsia" w:ascii="宋体" w:hAnsi="宋体" w:eastAsia="宋体" w:cs="宋体"/>
          <w:color w:val="auto"/>
          <w:spacing w:val="-1"/>
          <w:sz w:val="21"/>
          <w:szCs w:val="21"/>
          <w:highlight w:val="none"/>
        </w:rPr>
        <w:t>金给发包人，造成发包人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经济损失的，承包人还应赔偿全部损失。</w:t>
      </w:r>
    </w:p>
    <w:p w14:paraId="3190458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（7）承包人报监备案的项目经理、项目副经理、技</w:t>
      </w:r>
      <w:r>
        <w:rPr>
          <w:rFonts w:hint="eastAsia" w:ascii="宋体" w:hAnsi="宋体" w:eastAsia="宋体" w:cs="宋体"/>
          <w:b/>
          <w:bCs/>
          <w:color w:val="auto"/>
          <w:spacing w:val="-3"/>
          <w:sz w:val="21"/>
          <w:szCs w:val="21"/>
          <w:highlight w:val="none"/>
        </w:rPr>
        <w:t>术负责人、施工员、造价</w:t>
      </w:r>
      <w:r>
        <w:rPr>
          <w:rFonts w:hint="eastAsia" w:ascii="宋体" w:hAnsi="宋体" w:eastAsia="宋体" w:cs="宋体"/>
          <w:b/>
          <w:bCs/>
          <w:color w:val="auto"/>
          <w:spacing w:val="-2"/>
          <w:sz w:val="21"/>
          <w:szCs w:val="21"/>
          <w:highlight w:val="none"/>
        </w:rPr>
        <w:t>员、质量员、材料员、安全员等主要管理人员实际施工现场</w:t>
      </w:r>
      <w:r>
        <w:rPr>
          <w:rFonts w:hint="eastAsia" w:ascii="宋体" w:hAnsi="宋体" w:eastAsia="宋体" w:cs="宋体"/>
          <w:b/>
          <w:bCs/>
          <w:color w:val="auto"/>
          <w:spacing w:val="-3"/>
          <w:sz w:val="21"/>
          <w:szCs w:val="21"/>
          <w:highlight w:val="none"/>
        </w:rPr>
        <w:t>不到位人数超过50%的</w:t>
      </w:r>
      <w:r>
        <w:rPr>
          <w:rFonts w:hint="eastAsia" w:ascii="宋体" w:hAnsi="宋体" w:eastAsia="宋体" w:cs="宋体"/>
          <w:b/>
          <w:bCs/>
          <w:color w:val="auto"/>
          <w:spacing w:val="-3"/>
          <w:position w:val="1"/>
          <w:sz w:val="21"/>
          <w:szCs w:val="21"/>
          <w:highlight w:val="none"/>
        </w:rPr>
        <w:t>。</w:t>
      </w:r>
    </w:p>
    <w:p w14:paraId="6D2B829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发包人继续使用承包人在施工现场的材料、</w:t>
      </w:r>
      <w:r>
        <w:rPr>
          <w:rFonts w:hint="eastAsia" w:ascii="宋体" w:hAnsi="宋体" w:eastAsia="宋体" w:cs="宋体"/>
          <w:color w:val="auto"/>
          <w:spacing w:val="-1"/>
          <w:sz w:val="21"/>
          <w:szCs w:val="21"/>
          <w:highlight w:val="none"/>
        </w:rPr>
        <w:t>设备、临时工程、承包人文件和由</w:t>
      </w:r>
      <w:r>
        <w:rPr>
          <w:rFonts w:hint="eastAsia" w:ascii="宋体" w:hAnsi="宋体" w:eastAsia="宋体" w:cs="宋体"/>
          <w:color w:val="auto"/>
          <w:sz w:val="21"/>
          <w:szCs w:val="21"/>
          <w:highlight w:val="none"/>
        </w:rPr>
        <w:t>承包人或以其名义编制的其他文件的费用承担</w:t>
      </w:r>
      <w:r>
        <w:rPr>
          <w:rFonts w:hint="eastAsia" w:ascii="宋体" w:hAnsi="宋体" w:eastAsia="宋体" w:cs="宋体"/>
          <w:color w:val="auto"/>
          <w:spacing w:val="-1"/>
          <w:sz w:val="21"/>
          <w:szCs w:val="21"/>
          <w:highlight w:val="none"/>
        </w:rPr>
        <w:t>方式：</w:t>
      </w:r>
      <w:r>
        <w:rPr>
          <w:rFonts w:hint="eastAsia" w:ascii="宋体" w:hAnsi="宋体" w:eastAsia="宋体" w:cs="宋体"/>
          <w:color w:val="auto"/>
          <w:spacing w:val="-1"/>
          <w:sz w:val="21"/>
          <w:szCs w:val="21"/>
          <w:highlight w:val="none"/>
          <w:u w:val="single" w:color="auto"/>
        </w:rPr>
        <w:t>如有，另行协商</w:t>
      </w:r>
      <w:r>
        <w:rPr>
          <w:rFonts w:hint="eastAsia" w:ascii="宋体" w:hAnsi="宋体" w:eastAsia="宋体" w:cs="宋体"/>
          <w:color w:val="auto"/>
          <w:spacing w:val="-1"/>
          <w:sz w:val="21"/>
          <w:szCs w:val="21"/>
          <w:highlight w:val="none"/>
        </w:rPr>
        <w:t>。</w:t>
      </w:r>
    </w:p>
    <w:p w14:paraId="68EE580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承包人收到发包人解除合同通知后10天内，将所有人</w:t>
      </w:r>
      <w:r>
        <w:rPr>
          <w:rFonts w:hint="eastAsia" w:ascii="宋体" w:hAnsi="宋体" w:eastAsia="宋体" w:cs="宋体"/>
          <w:color w:val="auto"/>
          <w:spacing w:val="-1"/>
          <w:sz w:val="21"/>
          <w:szCs w:val="21"/>
          <w:highlight w:val="none"/>
        </w:rPr>
        <w:t>员和机械设备和其他财产</w:t>
      </w:r>
      <w:r>
        <w:rPr>
          <w:rFonts w:hint="eastAsia" w:ascii="宋体" w:hAnsi="宋体" w:eastAsia="宋体" w:cs="宋体"/>
          <w:color w:val="auto"/>
          <w:sz w:val="21"/>
          <w:szCs w:val="21"/>
          <w:highlight w:val="none"/>
        </w:rPr>
        <w:t>撤离施工现场，负责按照通用条</w:t>
      </w:r>
      <w:r>
        <w:rPr>
          <w:rFonts w:hint="eastAsia" w:ascii="宋体" w:hAnsi="宋体" w:cs="宋体"/>
          <w:color w:val="auto"/>
          <w:sz w:val="21"/>
          <w:szCs w:val="21"/>
          <w:highlight w:val="none"/>
          <w:lang w:eastAsia="zh-CN"/>
        </w:rPr>
        <w:t>款和</w:t>
      </w:r>
      <w:r>
        <w:rPr>
          <w:rFonts w:hint="eastAsia" w:ascii="宋体" w:hAnsi="宋体" w:eastAsia="宋体" w:cs="宋体"/>
          <w:color w:val="auto"/>
          <w:sz w:val="21"/>
          <w:szCs w:val="21"/>
          <w:highlight w:val="none"/>
        </w:rPr>
        <w:t>本项约定的要求对施工场地</w:t>
      </w:r>
      <w:r>
        <w:rPr>
          <w:rFonts w:hint="eastAsia" w:ascii="宋体" w:hAnsi="宋体" w:eastAsia="宋体" w:cs="宋体"/>
          <w:color w:val="auto"/>
          <w:spacing w:val="-1"/>
          <w:sz w:val="21"/>
          <w:szCs w:val="21"/>
          <w:highlight w:val="none"/>
        </w:rPr>
        <w:t>进行清理并承担相关</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费用。承包人的人员逾期</w:t>
      </w:r>
      <w:r>
        <w:rPr>
          <w:rFonts w:hint="eastAsia" w:ascii="宋体" w:hAnsi="宋体" w:cs="宋体"/>
          <w:color w:val="auto"/>
          <w:spacing w:val="-1"/>
          <w:sz w:val="21"/>
          <w:szCs w:val="21"/>
          <w:highlight w:val="none"/>
          <w:lang w:eastAsia="zh-CN"/>
        </w:rPr>
        <w:t>撤出</w:t>
      </w:r>
      <w:r>
        <w:rPr>
          <w:rFonts w:hint="eastAsia" w:ascii="宋体" w:hAnsi="宋体" w:eastAsia="宋体" w:cs="宋体"/>
          <w:color w:val="auto"/>
          <w:spacing w:val="-1"/>
          <w:sz w:val="21"/>
          <w:szCs w:val="21"/>
          <w:highlight w:val="none"/>
        </w:rPr>
        <w:t>施工场地的，按每人每天500元支付违约金</w:t>
      </w:r>
      <w:r>
        <w:rPr>
          <w:rFonts w:hint="eastAsia" w:ascii="宋体" w:hAnsi="宋体" w:eastAsia="宋体" w:cs="宋体"/>
          <w:color w:val="auto"/>
          <w:spacing w:val="-2"/>
          <w:sz w:val="21"/>
          <w:szCs w:val="21"/>
          <w:highlight w:val="none"/>
        </w:rPr>
        <w:t>给发包人。</w:t>
      </w:r>
      <w:r>
        <w:rPr>
          <w:rFonts w:hint="eastAsia" w:ascii="宋体" w:hAnsi="宋体" w:eastAsia="宋体" w:cs="宋体"/>
          <w:color w:val="auto"/>
          <w:sz w:val="21"/>
          <w:szCs w:val="21"/>
          <w:highlight w:val="none"/>
        </w:rPr>
        <w:t>机械设备和其他财产逾期撤离施工现场的，视为承包人放弃所</w:t>
      </w:r>
      <w:r>
        <w:rPr>
          <w:rFonts w:hint="eastAsia" w:ascii="宋体" w:hAnsi="宋体" w:eastAsia="宋体" w:cs="宋体"/>
          <w:color w:val="auto"/>
          <w:spacing w:val="-1"/>
          <w:sz w:val="21"/>
          <w:szCs w:val="21"/>
          <w:highlight w:val="none"/>
        </w:rPr>
        <w:t>有权，任由发包人处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置，处置所得收益归发包人所有。</w:t>
      </w:r>
    </w:p>
    <w:p w14:paraId="6C18D94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承包人应按合同总价款的5%支付违约金给发包人，已</w:t>
      </w:r>
      <w:r>
        <w:rPr>
          <w:rFonts w:hint="eastAsia" w:ascii="宋体" w:hAnsi="宋体" w:eastAsia="宋体" w:cs="宋体"/>
          <w:color w:val="auto"/>
          <w:spacing w:val="-1"/>
          <w:sz w:val="21"/>
          <w:szCs w:val="21"/>
          <w:highlight w:val="none"/>
        </w:rPr>
        <w:t>完成单项工程且</w:t>
      </w:r>
      <w:r>
        <w:rPr>
          <w:rFonts w:hint="eastAsia" w:ascii="宋体" w:hAnsi="宋体" w:cs="宋体"/>
          <w:color w:val="auto"/>
          <w:spacing w:val="-1"/>
          <w:sz w:val="21"/>
          <w:szCs w:val="21"/>
          <w:highlight w:val="none"/>
          <w:lang w:eastAsia="zh-CN"/>
        </w:rPr>
        <w:t>验</w:t>
      </w:r>
      <w:r>
        <w:rPr>
          <w:rFonts w:hint="eastAsia" w:ascii="宋体" w:hAnsi="宋体" w:eastAsia="宋体" w:cs="宋体"/>
          <w:color w:val="auto"/>
          <w:spacing w:val="-1"/>
          <w:sz w:val="21"/>
          <w:szCs w:val="21"/>
          <w:highlight w:val="none"/>
        </w:rPr>
        <w:t>收合</w:t>
      </w:r>
      <w:r>
        <w:rPr>
          <w:rFonts w:hint="eastAsia" w:ascii="宋体" w:hAnsi="宋体" w:eastAsia="宋体" w:cs="宋体"/>
          <w:color w:val="auto"/>
          <w:spacing w:val="-3"/>
          <w:sz w:val="21"/>
          <w:szCs w:val="21"/>
          <w:highlight w:val="none"/>
        </w:rPr>
        <w:t>格的工程按造价的80%结付工程款，未完成的单项工程或虽已完成单项工程但验收不</w:t>
      </w:r>
      <w:r>
        <w:rPr>
          <w:rFonts w:hint="eastAsia" w:ascii="宋体" w:hAnsi="宋体" w:eastAsia="宋体" w:cs="宋体"/>
          <w:color w:val="auto"/>
          <w:spacing w:val="-1"/>
          <w:sz w:val="21"/>
          <w:szCs w:val="21"/>
          <w:highlight w:val="none"/>
        </w:rPr>
        <w:t>合格的工程不结付工程款。</w:t>
      </w:r>
    </w:p>
    <w:p w14:paraId="6653EC86">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0"/>
        <w:rPr>
          <w:rFonts w:hint="eastAsia" w:ascii="宋体" w:hAnsi="宋体" w:eastAsia="宋体" w:cs="宋体"/>
          <w:b w:val="0"/>
          <w:color w:val="auto"/>
          <w:sz w:val="21"/>
          <w:szCs w:val="21"/>
          <w:highlight w:val="none"/>
        </w:rPr>
      </w:pPr>
      <w:bookmarkStart w:id="562" w:name="_Toc27958"/>
      <w:bookmarkStart w:id="563" w:name="_Toc13833"/>
      <w:r>
        <w:rPr>
          <w:rFonts w:hint="eastAsia" w:ascii="宋体" w:hAnsi="宋体" w:eastAsia="宋体" w:cs="宋体"/>
          <w:b w:val="0"/>
          <w:bCs/>
          <w:color w:val="auto"/>
          <w:spacing w:val="-8"/>
          <w:sz w:val="21"/>
          <w:szCs w:val="21"/>
          <w:highlight w:val="none"/>
        </w:rPr>
        <w:t>17.</w:t>
      </w:r>
      <w:r>
        <w:rPr>
          <w:rFonts w:hint="eastAsia" w:ascii="宋体" w:hAnsi="宋体" w:eastAsia="宋体" w:cs="宋体"/>
          <w:b w:val="0"/>
          <w:color w:val="auto"/>
          <w:spacing w:val="13"/>
          <w:sz w:val="21"/>
          <w:szCs w:val="21"/>
          <w:highlight w:val="none"/>
        </w:rPr>
        <w:t xml:space="preserve"> </w:t>
      </w:r>
      <w:r>
        <w:rPr>
          <w:rFonts w:hint="eastAsia" w:ascii="宋体" w:hAnsi="宋体" w:eastAsia="宋体" w:cs="宋体"/>
          <w:b w:val="0"/>
          <w:bCs/>
          <w:color w:val="auto"/>
          <w:spacing w:val="-8"/>
          <w:sz w:val="21"/>
          <w:szCs w:val="21"/>
          <w:highlight w:val="none"/>
        </w:rPr>
        <w:t>不可抗力</w:t>
      </w:r>
      <w:bookmarkEnd w:id="562"/>
      <w:bookmarkEnd w:id="563"/>
    </w:p>
    <w:p w14:paraId="3339950E">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64" w:name="_Toc4490"/>
      <w:bookmarkStart w:id="565" w:name="_Toc10472"/>
      <w:r>
        <w:rPr>
          <w:rFonts w:hint="eastAsia" w:ascii="宋体" w:hAnsi="宋体" w:eastAsia="宋体" w:cs="宋体"/>
          <w:b w:val="0"/>
          <w:bCs/>
          <w:color w:val="auto"/>
          <w:spacing w:val="-5"/>
          <w:sz w:val="21"/>
          <w:szCs w:val="21"/>
          <w:highlight w:val="none"/>
        </w:rPr>
        <w:t>17.1</w:t>
      </w:r>
      <w:r>
        <w:rPr>
          <w:rFonts w:hint="eastAsia" w:ascii="宋体" w:hAnsi="宋体" w:eastAsia="宋体" w:cs="宋体"/>
          <w:b w:val="0"/>
          <w:color w:val="auto"/>
          <w:spacing w:val="-5"/>
          <w:sz w:val="21"/>
          <w:szCs w:val="21"/>
          <w:highlight w:val="none"/>
        </w:rPr>
        <w:t xml:space="preserve"> </w:t>
      </w:r>
      <w:r>
        <w:rPr>
          <w:rFonts w:hint="eastAsia" w:ascii="宋体" w:hAnsi="宋体" w:eastAsia="宋体" w:cs="宋体"/>
          <w:b w:val="0"/>
          <w:bCs/>
          <w:color w:val="auto"/>
          <w:spacing w:val="-5"/>
          <w:sz w:val="21"/>
          <w:szCs w:val="21"/>
          <w:highlight w:val="none"/>
        </w:rPr>
        <w:t>不可抗力的确认</w:t>
      </w:r>
      <w:bookmarkEnd w:id="564"/>
      <w:bookmarkEnd w:id="565"/>
    </w:p>
    <w:p w14:paraId="54D5F52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除通用合同条款约定的不可抗力事件之外，视为不可抗力的其他情形：</w:t>
      </w:r>
      <w:r>
        <w:rPr>
          <w:rFonts w:hint="eastAsia" w:ascii="宋体" w:hAnsi="宋体" w:eastAsia="宋体" w:cs="宋体"/>
          <w:color w:val="auto"/>
          <w:spacing w:val="-1"/>
          <w:sz w:val="21"/>
          <w:szCs w:val="21"/>
          <w:highlight w:val="none"/>
          <w:u w:val="single" w:color="auto"/>
        </w:rPr>
        <w:t>a、6级以上的地震；b、10级以上的持续3日的大风；c、暴雨级以上的持续3</w:t>
      </w:r>
      <w:r>
        <w:rPr>
          <w:rFonts w:hint="eastAsia" w:ascii="宋体" w:hAnsi="宋体" w:eastAsia="宋体" w:cs="宋体"/>
          <w:color w:val="auto"/>
          <w:spacing w:val="-2"/>
          <w:sz w:val="21"/>
          <w:szCs w:val="21"/>
          <w:highlight w:val="none"/>
          <w:u w:val="single" w:color="auto"/>
        </w:rPr>
        <w:t>日的大雨；d、</w:t>
      </w:r>
      <w:r>
        <w:rPr>
          <w:rFonts w:hint="eastAsia" w:ascii="宋体" w:hAnsi="宋体" w:eastAsia="宋体" w:cs="宋体"/>
          <w:color w:val="auto"/>
          <w:spacing w:val="-3"/>
          <w:sz w:val="21"/>
          <w:szCs w:val="21"/>
          <w:highlight w:val="none"/>
          <w:u w:val="single" w:color="auto"/>
        </w:rPr>
        <w:t>50年以上未发生过，持续3日的高温天气；e、50年以上未发生过，持续3日的严寒天</w:t>
      </w:r>
      <w:r>
        <w:rPr>
          <w:rFonts w:hint="eastAsia" w:ascii="宋体" w:hAnsi="宋体" w:eastAsia="宋体" w:cs="宋体"/>
          <w:color w:val="auto"/>
          <w:sz w:val="21"/>
          <w:szCs w:val="21"/>
          <w:highlight w:val="none"/>
          <w:u w:val="single" w:color="auto"/>
        </w:rPr>
        <w:t>气；f、50年以上未发生过的洪水。自然原因发生的</w:t>
      </w:r>
      <w:r>
        <w:rPr>
          <w:rFonts w:hint="eastAsia" w:ascii="宋体" w:hAnsi="宋体" w:eastAsia="宋体" w:cs="宋体"/>
          <w:color w:val="auto"/>
          <w:spacing w:val="-1"/>
          <w:sz w:val="21"/>
          <w:szCs w:val="21"/>
          <w:highlight w:val="none"/>
          <w:u w:val="single" w:color="auto"/>
        </w:rPr>
        <w:t>火灾；其它不可抗力原因</w:t>
      </w:r>
      <w:r>
        <w:rPr>
          <w:rFonts w:hint="eastAsia" w:ascii="宋体" w:hAnsi="宋体" w:eastAsia="宋体" w:cs="宋体"/>
          <w:color w:val="auto"/>
          <w:spacing w:val="-1"/>
          <w:sz w:val="21"/>
          <w:szCs w:val="21"/>
          <w:highlight w:val="none"/>
        </w:rPr>
        <w:t>。</w:t>
      </w:r>
    </w:p>
    <w:p w14:paraId="0C49CC7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17.4</w:t>
      </w:r>
      <w:r>
        <w:rPr>
          <w:rFonts w:hint="eastAsia" w:ascii="宋体" w:hAnsi="宋体" w:eastAsia="宋体" w:cs="宋体"/>
          <w:color w:val="auto"/>
          <w:spacing w:val="37"/>
          <w:sz w:val="21"/>
          <w:szCs w:val="21"/>
          <w:highlight w:val="none"/>
        </w:rPr>
        <w:t xml:space="preserve"> </w:t>
      </w:r>
      <w:r>
        <w:rPr>
          <w:rFonts w:hint="eastAsia" w:ascii="宋体" w:hAnsi="宋体" w:eastAsia="宋体" w:cs="宋体"/>
          <w:b/>
          <w:bCs/>
          <w:color w:val="auto"/>
          <w:spacing w:val="-7"/>
          <w:sz w:val="21"/>
          <w:szCs w:val="21"/>
          <w:highlight w:val="none"/>
        </w:rPr>
        <w:t>因不可抗力解除合同</w:t>
      </w:r>
    </w:p>
    <w:p w14:paraId="0002E2D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合同解除后，发包人应在商定或确定发包人应支付款</w:t>
      </w:r>
      <w:r>
        <w:rPr>
          <w:rFonts w:hint="eastAsia" w:ascii="宋体" w:hAnsi="宋体" w:eastAsia="宋体" w:cs="宋体"/>
          <w:color w:val="auto"/>
          <w:spacing w:val="-1"/>
          <w:sz w:val="21"/>
          <w:szCs w:val="21"/>
          <w:highlight w:val="none"/>
        </w:rPr>
        <w:t>项后</w:t>
      </w:r>
      <w:r>
        <w:rPr>
          <w:rFonts w:hint="eastAsia" w:ascii="宋体" w:hAnsi="宋体" w:eastAsia="宋体" w:cs="宋体"/>
          <w:color w:val="auto"/>
          <w:spacing w:val="-1"/>
          <w:sz w:val="21"/>
          <w:szCs w:val="21"/>
          <w:highlight w:val="none"/>
          <w:u w:val="single" w:color="auto"/>
        </w:rPr>
        <w:t>56</w:t>
      </w:r>
      <w:r>
        <w:rPr>
          <w:rFonts w:hint="eastAsia" w:ascii="宋体" w:hAnsi="宋体" w:eastAsia="宋体" w:cs="宋体"/>
          <w:color w:val="auto"/>
          <w:spacing w:val="-1"/>
          <w:sz w:val="21"/>
          <w:szCs w:val="21"/>
          <w:highlight w:val="none"/>
        </w:rPr>
        <w:t>天内完成款项的支</w:t>
      </w:r>
      <w:r>
        <w:rPr>
          <w:rFonts w:hint="eastAsia" w:ascii="宋体" w:hAnsi="宋体" w:eastAsia="宋体" w:cs="宋体"/>
          <w:color w:val="auto"/>
          <w:spacing w:val="-5"/>
          <w:sz w:val="21"/>
          <w:szCs w:val="21"/>
          <w:highlight w:val="none"/>
        </w:rPr>
        <w:t>付。</w:t>
      </w:r>
    </w:p>
    <w:p w14:paraId="5D1F6002">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0"/>
        <w:rPr>
          <w:rFonts w:hint="eastAsia" w:ascii="宋体" w:hAnsi="宋体" w:eastAsia="宋体" w:cs="宋体"/>
          <w:b w:val="0"/>
          <w:color w:val="auto"/>
          <w:sz w:val="21"/>
          <w:szCs w:val="21"/>
          <w:highlight w:val="none"/>
        </w:rPr>
      </w:pPr>
      <w:bookmarkStart w:id="566" w:name="_Toc31286"/>
      <w:bookmarkStart w:id="567" w:name="_Toc17661"/>
      <w:r>
        <w:rPr>
          <w:rFonts w:hint="eastAsia" w:ascii="宋体" w:hAnsi="宋体" w:eastAsia="宋体" w:cs="宋体"/>
          <w:b w:val="0"/>
          <w:bCs/>
          <w:color w:val="auto"/>
          <w:spacing w:val="-11"/>
          <w:sz w:val="21"/>
          <w:szCs w:val="21"/>
          <w:highlight w:val="none"/>
        </w:rPr>
        <w:t>18.</w:t>
      </w:r>
      <w:r>
        <w:rPr>
          <w:rFonts w:hint="eastAsia" w:ascii="宋体" w:hAnsi="宋体" w:eastAsia="宋体" w:cs="宋体"/>
          <w:b w:val="0"/>
          <w:color w:val="auto"/>
          <w:spacing w:val="14"/>
          <w:sz w:val="21"/>
          <w:szCs w:val="21"/>
          <w:highlight w:val="none"/>
        </w:rPr>
        <w:t xml:space="preserve"> </w:t>
      </w:r>
      <w:r>
        <w:rPr>
          <w:rFonts w:hint="eastAsia" w:ascii="宋体" w:hAnsi="宋体" w:eastAsia="宋体" w:cs="宋体"/>
          <w:b w:val="0"/>
          <w:bCs/>
          <w:color w:val="auto"/>
          <w:spacing w:val="-11"/>
          <w:sz w:val="21"/>
          <w:szCs w:val="21"/>
          <w:highlight w:val="none"/>
        </w:rPr>
        <w:t>保险</w:t>
      </w:r>
      <w:bookmarkEnd w:id="566"/>
      <w:bookmarkEnd w:id="567"/>
    </w:p>
    <w:p w14:paraId="539770D2">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68" w:name="_Toc27887"/>
      <w:bookmarkStart w:id="569" w:name="_Toc17740"/>
      <w:r>
        <w:rPr>
          <w:rFonts w:hint="eastAsia" w:ascii="宋体" w:hAnsi="宋体" w:eastAsia="宋体" w:cs="宋体"/>
          <w:b w:val="0"/>
          <w:bCs/>
          <w:color w:val="auto"/>
          <w:spacing w:val="-8"/>
          <w:sz w:val="21"/>
          <w:szCs w:val="21"/>
          <w:highlight w:val="none"/>
        </w:rPr>
        <w:t>18.1</w:t>
      </w:r>
      <w:r>
        <w:rPr>
          <w:rFonts w:hint="eastAsia" w:ascii="宋体" w:hAnsi="宋体" w:eastAsia="宋体" w:cs="宋体"/>
          <w:b w:val="0"/>
          <w:color w:val="auto"/>
          <w:spacing w:val="18"/>
          <w:sz w:val="21"/>
          <w:szCs w:val="21"/>
          <w:highlight w:val="none"/>
        </w:rPr>
        <w:t xml:space="preserve"> </w:t>
      </w:r>
      <w:r>
        <w:rPr>
          <w:rFonts w:hint="eastAsia" w:ascii="宋体" w:hAnsi="宋体" w:eastAsia="宋体" w:cs="宋体"/>
          <w:b w:val="0"/>
          <w:bCs/>
          <w:color w:val="auto"/>
          <w:spacing w:val="-8"/>
          <w:sz w:val="21"/>
          <w:szCs w:val="21"/>
          <w:highlight w:val="none"/>
        </w:rPr>
        <w:t>工程保险</w:t>
      </w:r>
      <w:bookmarkEnd w:id="568"/>
      <w:bookmarkEnd w:id="569"/>
    </w:p>
    <w:p w14:paraId="393C09D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关于工程保险的特别约定：</w:t>
      </w:r>
      <w:r>
        <w:rPr>
          <w:rFonts w:hint="eastAsia" w:ascii="宋体" w:hAnsi="宋体" w:eastAsia="宋体" w:cs="宋体"/>
          <w:color w:val="auto"/>
          <w:sz w:val="21"/>
          <w:szCs w:val="21"/>
          <w:highlight w:val="none"/>
          <w:u w:val="single" w:color="auto"/>
        </w:rPr>
        <w:t>发包人可根据需</w:t>
      </w:r>
      <w:r>
        <w:rPr>
          <w:rFonts w:hint="eastAsia" w:ascii="宋体" w:hAnsi="宋体" w:eastAsia="宋体" w:cs="宋体"/>
          <w:color w:val="auto"/>
          <w:spacing w:val="-1"/>
          <w:sz w:val="21"/>
          <w:szCs w:val="21"/>
          <w:highlight w:val="none"/>
          <w:u w:val="single" w:color="auto"/>
        </w:rPr>
        <w:t>要投保工程质量保险；对已投保的工程项目，承包人应积极配合保险公司开展相关工作</w:t>
      </w:r>
      <w:r>
        <w:rPr>
          <w:rFonts w:hint="eastAsia" w:ascii="宋体" w:hAnsi="宋体" w:eastAsia="宋体" w:cs="宋体"/>
          <w:color w:val="auto"/>
          <w:spacing w:val="-1"/>
          <w:sz w:val="21"/>
          <w:szCs w:val="21"/>
          <w:highlight w:val="none"/>
        </w:rPr>
        <w:t>。</w:t>
      </w:r>
    </w:p>
    <w:p w14:paraId="06014FD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18.3</w:t>
      </w:r>
      <w:r>
        <w:rPr>
          <w:rFonts w:hint="eastAsia" w:ascii="宋体" w:hAnsi="宋体" w:eastAsia="宋体" w:cs="宋体"/>
          <w:color w:val="auto"/>
          <w:spacing w:val="-5"/>
          <w:sz w:val="21"/>
          <w:szCs w:val="21"/>
          <w:highlight w:val="none"/>
        </w:rPr>
        <w:t xml:space="preserve"> </w:t>
      </w:r>
      <w:r>
        <w:rPr>
          <w:rFonts w:hint="eastAsia" w:ascii="宋体" w:hAnsi="宋体" w:eastAsia="宋体" w:cs="宋体"/>
          <w:b/>
          <w:bCs/>
          <w:color w:val="auto"/>
          <w:spacing w:val="-5"/>
          <w:sz w:val="21"/>
          <w:szCs w:val="21"/>
          <w:highlight w:val="none"/>
        </w:rPr>
        <w:t>其他保险</w:t>
      </w:r>
    </w:p>
    <w:p w14:paraId="73E1E786">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关于其他保险的约定：</w:t>
      </w:r>
      <w:r>
        <w:rPr>
          <w:rFonts w:hint="eastAsia" w:ascii="宋体" w:hAnsi="宋体" w:eastAsia="宋体" w:cs="宋体"/>
          <w:color w:val="auto"/>
          <w:spacing w:val="3"/>
          <w:sz w:val="21"/>
          <w:szCs w:val="21"/>
          <w:highlight w:val="none"/>
          <w:u w:val="single" w:color="auto"/>
        </w:rPr>
        <w:t xml:space="preserve"> 按工程所在地建设行政主管部门有关规定执</w:t>
      </w:r>
      <w:r>
        <w:rPr>
          <w:rFonts w:hint="eastAsia" w:ascii="宋体" w:hAnsi="宋体" w:eastAsia="宋体" w:cs="宋体"/>
          <w:color w:val="auto"/>
          <w:spacing w:val="2"/>
          <w:sz w:val="21"/>
          <w:szCs w:val="21"/>
          <w:highlight w:val="none"/>
          <w:u w:val="single" w:color="auto"/>
        </w:rPr>
        <w:t>行，其中</w:t>
      </w:r>
      <w:r>
        <w:rPr>
          <w:rFonts w:hint="eastAsia" w:ascii="宋体" w:hAnsi="宋体" w:eastAsia="宋体" w:cs="宋体"/>
          <w:color w:val="auto"/>
          <w:spacing w:val="5"/>
          <w:sz w:val="21"/>
          <w:szCs w:val="21"/>
          <w:highlight w:val="none"/>
          <w:u w:val="single" w:color="auto"/>
        </w:rPr>
        <w:t>安全生产责任保险按《广西壮族自治区房屋建筑和市政基</w:t>
      </w:r>
      <w:r>
        <w:rPr>
          <w:rFonts w:hint="eastAsia" w:ascii="宋体" w:hAnsi="宋体" w:eastAsia="宋体" w:cs="宋体"/>
          <w:color w:val="auto"/>
          <w:spacing w:val="4"/>
          <w:sz w:val="21"/>
          <w:szCs w:val="21"/>
          <w:highlight w:val="none"/>
          <w:u w:val="single" w:color="auto"/>
        </w:rPr>
        <w:t>础设施工程安全生产责</w:t>
      </w:r>
      <w:r>
        <w:rPr>
          <w:rFonts w:hint="eastAsia" w:ascii="宋体" w:hAnsi="宋体" w:eastAsia="宋体" w:cs="宋体"/>
          <w:color w:val="auto"/>
          <w:spacing w:val="5"/>
          <w:sz w:val="21"/>
          <w:szCs w:val="21"/>
          <w:highlight w:val="none"/>
          <w:u w:val="single" w:color="auto"/>
        </w:rPr>
        <w:t>任保险计价规定的通知》桂建发</w:t>
      </w:r>
      <w:r>
        <w:rPr>
          <w:rFonts w:hint="eastAsia" w:ascii="宋体" w:hAnsi="宋体" w:cs="宋体"/>
          <w:color w:val="auto"/>
          <w:spacing w:val="5"/>
          <w:sz w:val="21"/>
          <w:szCs w:val="21"/>
          <w:highlight w:val="none"/>
          <w:u w:val="single" w:color="auto"/>
          <w:lang w:eastAsia="zh-CN"/>
        </w:rPr>
        <w:t>〔2023〕6号</w:t>
      </w:r>
      <w:r>
        <w:rPr>
          <w:rFonts w:hint="eastAsia" w:ascii="宋体" w:hAnsi="宋体" w:eastAsia="宋体" w:cs="宋体"/>
          <w:color w:val="auto"/>
          <w:spacing w:val="5"/>
          <w:sz w:val="21"/>
          <w:szCs w:val="21"/>
          <w:highlight w:val="none"/>
          <w:u w:val="single" w:color="auto"/>
        </w:rPr>
        <w:t>文件的</w:t>
      </w:r>
      <w:r>
        <w:rPr>
          <w:rFonts w:hint="eastAsia" w:ascii="宋体" w:hAnsi="宋体" w:eastAsia="宋体" w:cs="宋体"/>
          <w:color w:val="auto"/>
          <w:spacing w:val="4"/>
          <w:sz w:val="21"/>
          <w:szCs w:val="21"/>
          <w:highlight w:val="none"/>
          <w:u w:val="single" w:color="auto"/>
        </w:rPr>
        <w:t xml:space="preserve">规定执行 </w:t>
      </w:r>
      <w:r>
        <w:rPr>
          <w:rFonts w:hint="eastAsia" w:ascii="宋体" w:hAnsi="宋体" w:eastAsia="宋体" w:cs="宋体"/>
          <w:color w:val="auto"/>
          <w:spacing w:val="4"/>
          <w:sz w:val="21"/>
          <w:szCs w:val="21"/>
          <w:highlight w:val="none"/>
        </w:rPr>
        <w:t>。</w:t>
      </w:r>
    </w:p>
    <w:p w14:paraId="0BFABF2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承包人是否应为其施工设备等办理财产保险：</w:t>
      </w:r>
      <w:r>
        <w:rPr>
          <w:rFonts w:hint="eastAsia" w:ascii="宋体" w:hAnsi="宋体" w:eastAsia="宋体" w:cs="宋体"/>
          <w:color w:val="auto"/>
          <w:spacing w:val="51"/>
          <w:sz w:val="21"/>
          <w:szCs w:val="21"/>
          <w:highlight w:val="none"/>
          <w:u w:val="single" w:color="auto"/>
        </w:rPr>
        <w:t xml:space="preserve"> </w:t>
      </w:r>
      <w:r>
        <w:rPr>
          <w:rFonts w:hint="eastAsia" w:ascii="宋体" w:hAnsi="宋体" w:eastAsia="宋体" w:cs="宋体"/>
          <w:color w:val="auto"/>
          <w:spacing w:val="9"/>
          <w:sz w:val="21"/>
          <w:szCs w:val="21"/>
          <w:highlight w:val="none"/>
          <w:u w:val="single" w:color="auto"/>
        </w:rPr>
        <w:t>由承包人根据实际</w:t>
      </w:r>
      <w:r>
        <w:rPr>
          <w:rFonts w:hint="eastAsia" w:ascii="宋体" w:hAnsi="宋体" w:eastAsia="宋体" w:cs="宋体"/>
          <w:color w:val="auto"/>
          <w:spacing w:val="8"/>
          <w:sz w:val="21"/>
          <w:szCs w:val="21"/>
          <w:highlight w:val="none"/>
          <w:u w:val="single" w:color="auto"/>
        </w:rPr>
        <w:t>需要另行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9"/>
          <w:sz w:val="21"/>
          <w:szCs w:val="21"/>
          <w:highlight w:val="none"/>
          <w:u w:val="single" w:color="auto"/>
        </w:rPr>
        <w:t>购买，但应符合本合同《通用条款》及相关</w:t>
      </w:r>
      <w:r>
        <w:rPr>
          <w:rFonts w:hint="eastAsia" w:ascii="宋体" w:hAnsi="宋体" w:cs="宋体"/>
          <w:color w:val="auto"/>
          <w:spacing w:val="9"/>
          <w:sz w:val="21"/>
          <w:szCs w:val="21"/>
          <w:highlight w:val="none"/>
          <w:u w:val="single" w:color="auto"/>
          <w:lang w:eastAsia="zh-CN"/>
        </w:rPr>
        <w:t>法律法规</w:t>
      </w:r>
      <w:r>
        <w:rPr>
          <w:rFonts w:hint="eastAsia" w:ascii="宋体" w:hAnsi="宋体" w:eastAsia="宋体" w:cs="宋体"/>
          <w:color w:val="auto"/>
          <w:spacing w:val="9"/>
          <w:sz w:val="21"/>
          <w:szCs w:val="21"/>
          <w:highlight w:val="none"/>
          <w:u w:val="single" w:color="auto"/>
        </w:rPr>
        <w:t>、规章之规定。</w:t>
      </w:r>
    </w:p>
    <w:p w14:paraId="7B74BC1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outlineLvl w:val="3"/>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18.7</w:t>
      </w:r>
      <w:r>
        <w:rPr>
          <w:rFonts w:hint="eastAsia" w:ascii="宋体" w:hAnsi="宋体" w:eastAsia="宋体" w:cs="宋体"/>
          <w:color w:val="auto"/>
          <w:spacing w:val="-5"/>
          <w:sz w:val="21"/>
          <w:szCs w:val="21"/>
          <w:highlight w:val="none"/>
        </w:rPr>
        <w:t xml:space="preserve"> </w:t>
      </w:r>
      <w:r>
        <w:rPr>
          <w:rFonts w:hint="eastAsia" w:ascii="宋体" w:hAnsi="宋体" w:eastAsia="宋体" w:cs="宋体"/>
          <w:b/>
          <w:bCs/>
          <w:color w:val="auto"/>
          <w:spacing w:val="-5"/>
          <w:sz w:val="21"/>
          <w:szCs w:val="21"/>
          <w:highlight w:val="none"/>
        </w:rPr>
        <w:t>通知义务</w:t>
      </w:r>
    </w:p>
    <w:p w14:paraId="54D8852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关于变更保险合同时的通知义务的约定：</w:t>
      </w:r>
      <w:r>
        <w:rPr>
          <w:rFonts w:hint="eastAsia" w:ascii="宋体" w:hAnsi="宋体" w:eastAsia="宋体" w:cs="宋体"/>
          <w:color w:val="auto"/>
          <w:spacing w:val="-1"/>
          <w:sz w:val="21"/>
          <w:szCs w:val="21"/>
          <w:highlight w:val="none"/>
          <w:u w:val="single" w:color="auto"/>
        </w:rPr>
        <w:t>按通用条款执行</w:t>
      </w:r>
      <w:r>
        <w:rPr>
          <w:rFonts w:hint="eastAsia" w:ascii="宋体" w:hAnsi="宋体" w:eastAsia="宋体" w:cs="宋体"/>
          <w:color w:val="auto"/>
          <w:spacing w:val="-1"/>
          <w:sz w:val="21"/>
          <w:szCs w:val="21"/>
          <w:highlight w:val="none"/>
        </w:rPr>
        <w:t>。</w:t>
      </w:r>
    </w:p>
    <w:p w14:paraId="421B38C0">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0"/>
        <w:rPr>
          <w:rFonts w:hint="eastAsia" w:ascii="宋体" w:hAnsi="宋体" w:eastAsia="宋体" w:cs="宋体"/>
          <w:b w:val="0"/>
          <w:color w:val="auto"/>
          <w:sz w:val="21"/>
          <w:szCs w:val="21"/>
          <w:highlight w:val="none"/>
        </w:rPr>
      </w:pPr>
      <w:bookmarkStart w:id="570" w:name="_Toc634"/>
      <w:bookmarkStart w:id="571" w:name="_Toc12713"/>
      <w:r>
        <w:rPr>
          <w:rFonts w:hint="eastAsia" w:ascii="宋体" w:hAnsi="宋体" w:eastAsia="宋体" w:cs="宋体"/>
          <w:b w:val="0"/>
          <w:bCs/>
          <w:color w:val="auto"/>
          <w:spacing w:val="-6"/>
          <w:sz w:val="21"/>
          <w:szCs w:val="21"/>
          <w:highlight w:val="none"/>
        </w:rPr>
        <w:t>20.</w:t>
      </w:r>
      <w:r>
        <w:rPr>
          <w:rFonts w:hint="eastAsia" w:ascii="宋体" w:hAnsi="宋体" w:eastAsia="宋体" w:cs="宋体"/>
          <w:b w:val="0"/>
          <w:color w:val="auto"/>
          <w:spacing w:val="14"/>
          <w:sz w:val="21"/>
          <w:szCs w:val="21"/>
          <w:highlight w:val="none"/>
        </w:rPr>
        <w:t xml:space="preserve"> </w:t>
      </w:r>
      <w:r>
        <w:rPr>
          <w:rFonts w:hint="eastAsia" w:ascii="宋体" w:hAnsi="宋体" w:eastAsia="宋体" w:cs="宋体"/>
          <w:b w:val="0"/>
          <w:bCs/>
          <w:color w:val="auto"/>
          <w:spacing w:val="-6"/>
          <w:sz w:val="21"/>
          <w:szCs w:val="21"/>
          <w:highlight w:val="none"/>
        </w:rPr>
        <w:t>争议解决</w:t>
      </w:r>
      <w:bookmarkEnd w:id="570"/>
      <w:bookmarkEnd w:id="571"/>
    </w:p>
    <w:p w14:paraId="7E203C70">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72" w:name="_Toc25464"/>
      <w:bookmarkStart w:id="573" w:name="_Toc7503"/>
      <w:r>
        <w:rPr>
          <w:rFonts w:hint="eastAsia" w:ascii="宋体" w:hAnsi="宋体" w:eastAsia="宋体" w:cs="宋体"/>
          <w:b w:val="0"/>
          <w:bCs/>
          <w:color w:val="auto"/>
          <w:spacing w:val="-6"/>
          <w:sz w:val="21"/>
          <w:szCs w:val="21"/>
          <w:highlight w:val="none"/>
        </w:rPr>
        <w:t>20.3</w:t>
      </w:r>
      <w:r>
        <w:rPr>
          <w:rFonts w:hint="eastAsia" w:ascii="宋体" w:hAnsi="宋体" w:eastAsia="宋体" w:cs="宋体"/>
          <w:b w:val="0"/>
          <w:color w:val="auto"/>
          <w:spacing w:val="16"/>
          <w:sz w:val="21"/>
          <w:szCs w:val="21"/>
          <w:highlight w:val="none"/>
        </w:rPr>
        <w:t xml:space="preserve"> </w:t>
      </w:r>
      <w:r>
        <w:rPr>
          <w:rFonts w:hint="eastAsia" w:ascii="宋体" w:hAnsi="宋体" w:eastAsia="宋体" w:cs="宋体"/>
          <w:b w:val="0"/>
          <w:bCs/>
          <w:color w:val="auto"/>
          <w:spacing w:val="-6"/>
          <w:sz w:val="21"/>
          <w:szCs w:val="21"/>
          <w:highlight w:val="none"/>
        </w:rPr>
        <w:t>争议评审</w:t>
      </w:r>
      <w:bookmarkEnd w:id="572"/>
      <w:bookmarkEnd w:id="573"/>
    </w:p>
    <w:p w14:paraId="5AD1924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合同当事人是否同意将工程争议提交争议评审小组</w:t>
      </w:r>
      <w:r>
        <w:rPr>
          <w:rFonts w:hint="eastAsia" w:ascii="宋体" w:hAnsi="宋体" w:eastAsia="宋体" w:cs="宋体"/>
          <w:color w:val="auto"/>
          <w:spacing w:val="-1"/>
          <w:sz w:val="21"/>
          <w:szCs w:val="21"/>
          <w:highlight w:val="none"/>
        </w:rPr>
        <w:t>决定：</w:t>
      </w:r>
      <w:r>
        <w:rPr>
          <w:rFonts w:hint="eastAsia" w:ascii="宋体" w:hAnsi="宋体" w:eastAsia="宋体" w:cs="宋体"/>
          <w:color w:val="auto"/>
          <w:spacing w:val="-1"/>
          <w:sz w:val="21"/>
          <w:szCs w:val="21"/>
          <w:highlight w:val="none"/>
          <w:u w:val="single" w:color="auto"/>
        </w:rPr>
        <w:t>由发包人与承包人双</w:t>
      </w:r>
      <w:r>
        <w:rPr>
          <w:rFonts w:hint="eastAsia" w:ascii="宋体" w:hAnsi="宋体" w:eastAsia="宋体" w:cs="宋体"/>
          <w:color w:val="auto"/>
          <w:spacing w:val="-2"/>
          <w:sz w:val="21"/>
          <w:szCs w:val="21"/>
          <w:highlight w:val="none"/>
          <w:u w:val="single" w:color="auto"/>
        </w:rPr>
        <w:t>方协商确定</w:t>
      </w:r>
      <w:r>
        <w:rPr>
          <w:rFonts w:hint="eastAsia" w:ascii="宋体" w:hAnsi="宋体" w:eastAsia="宋体" w:cs="宋体"/>
          <w:color w:val="auto"/>
          <w:spacing w:val="-2"/>
          <w:sz w:val="21"/>
          <w:szCs w:val="21"/>
          <w:highlight w:val="none"/>
        </w:rPr>
        <w:t>。</w:t>
      </w:r>
    </w:p>
    <w:p w14:paraId="5FDE9770">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74" w:name="_Toc3230"/>
      <w:bookmarkStart w:id="575" w:name="_Toc27914"/>
      <w:r>
        <w:rPr>
          <w:rFonts w:hint="eastAsia" w:ascii="宋体" w:hAnsi="宋体" w:eastAsia="宋体" w:cs="宋体"/>
          <w:b w:val="0"/>
          <w:color w:val="auto"/>
          <w:spacing w:val="-1"/>
          <w:sz w:val="21"/>
          <w:szCs w:val="21"/>
          <w:highlight w:val="none"/>
        </w:rPr>
        <w:t>20.3.1 争议评审小组的确定</w:t>
      </w:r>
      <w:bookmarkEnd w:id="574"/>
      <w:bookmarkEnd w:id="575"/>
    </w:p>
    <w:p w14:paraId="0924E33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争议评审小组成员的确定：</w:t>
      </w:r>
      <w:r>
        <w:rPr>
          <w:rFonts w:hint="eastAsia" w:ascii="宋体" w:hAnsi="宋体" w:eastAsia="宋体" w:cs="宋体"/>
          <w:color w:val="auto"/>
          <w:spacing w:val="-1"/>
          <w:sz w:val="21"/>
          <w:szCs w:val="21"/>
          <w:highlight w:val="none"/>
          <w:u w:val="single" w:color="auto"/>
        </w:rPr>
        <w:t>如双方商定采用争议评审方式解决，则按通用条款</w:t>
      </w:r>
      <w:r>
        <w:rPr>
          <w:rFonts w:hint="eastAsia" w:ascii="宋体" w:hAnsi="宋体" w:eastAsia="宋体" w:cs="宋体"/>
          <w:color w:val="auto"/>
          <w:spacing w:val="-4"/>
          <w:sz w:val="21"/>
          <w:szCs w:val="21"/>
          <w:highlight w:val="none"/>
          <w:u w:val="single" w:color="auto"/>
        </w:rPr>
        <w:t>执行</w:t>
      </w:r>
      <w:r>
        <w:rPr>
          <w:rFonts w:hint="eastAsia" w:ascii="宋体" w:hAnsi="宋体" w:eastAsia="宋体" w:cs="宋体"/>
          <w:color w:val="auto"/>
          <w:spacing w:val="-4"/>
          <w:sz w:val="21"/>
          <w:szCs w:val="21"/>
          <w:highlight w:val="none"/>
        </w:rPr>
        <w:t>。</w:t>
      </w:r>
    </w:p>
    <w:p w14:paraId="09CA07D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选定争议评审员的期限：</w:t>
      </w:r>
      <w:r>
        <w:rPr>
          <w:rFonts w:hint="eastAsia" w:ascii="宋体" w:hAnsi="宋体" w:eastAsia="宋体" w:cs="宋体"/>
          <w:color w:val="auto"/>
          <w:sz w:val="21"/>
          <w:szCs w:val="21"/>
          <w:highlight w:val="none"/>
          <w:u w:val="single" w:color="auto"/>
        </w:rPr>
        <w:t>如双方商定采用争议评审方式</w:t>
      </w:r>
      <w:r>
        <w:rPr>
          <w:rFonts w:hint="eastAsia" w:ascii="宋体" w:hAnsi="宋体" w:eastAsia="宋体" w:cs="宋体"/>
          <w:color w:val="auto"/>
          <w:spacing w:val="-1"/>
          <w:sz w:val="21"/>
          <w:szCs w:val="21"/>
          <w:highlight w:val="none"/>
          <w:u w:val="single" w:color="auto"/>
        </w:rPr>
        <w:t>解决，则按通用条款执</w:t>
      </w:r>
      <w:r>
        <w:rPr>
          <w:rFonts w:hint="eastAsia" w:ascii="宋体" w:hAnsi="宋体" w:eastAsia="宋体" w:cs="宋体"/>
          <w:color w:val="auto"/>
          <w:spacing w:val="-7"/>
          <w:sz w:val="21"/>
          <w:szCs w:val="21"/>
          <w:highlight w:val="none"/>
          <w:u w:val="single" w:color="auto"/>
        </w:rPr>
        <w:t>行</w:t>
      </w:r>
      <w:r>
        <w:rPr>
          <w:rFonts w:hint="eastAsia" w:ascii="宋体" w:hAnsi="宋体" w:eastAsia="宋体" w:cs="宋体"/>
          <w:color w:val="auto"/>
          <w:spacing w:val="-7"/>
          <w:sz w:val="21"/>
          <w:szCs w:val="21"/>
          <w:highlight w:val="none"/>
        </w:rPr>
        <w:t>。</w:t>
      </w:r>
    </w:p>
    <w:p w14:paraId="71E2B59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争议评审小组成员的报酬承担方式：</w:t>
      </w:r>
      <w:r>
        <w:rPr>
          <w:rFonts w:hint="eastAsia" w:ascii="宋体" w:hAnsi="宋体" w:eastAsia="宋体" w:cs="宋体"/>
          <w:color w:val="auto"/>
          <w:spacing w:val="-1"/>
          <w:sz w:val="21"/>
          <w:szCs w:val="21"/>
          <w:highlight w:val="none"/>
          <w:u w:val="single" w:color="auto"/>
        </w:rPr>
        <w:t>如双方商定采用争议评审方式解决，则按</w:t>
      </w:r>
      <w:r>
        <w:rPr>
          <w:rFonts w:hint="eastAsia" w:ascii="宋体" w:hAnsi="宋体" w:eastAsia="宋体" w:cs="宋体"/>
          <w:color w:val="auto"/>
          <w:spacing w:val="-2"/>
          <w:sz w:val="21"/>
          <w:szCs w:val="21"/>
          <w:highlight w:val="none"/>
          <w:u w:val="single" w:color="auto"/>
        </w:rPr>
        <w:t>通用条款执行</w:t>
      </w:r>
      <w:r>
        <w:rPr>
          <w:rFonts w:hint="eastAsia" w:ascii="宋体" w:hAnsi="宋体" w:eastAsia="宋体" w:cs="宋体"/>
          <w:color w:val="auto"/>
          <w:spacing w:val="-2"/>
          <w:sz w:val="21"/>
          <w:szCs w:val="21"/>
          <w:highlight w:val="none"/>
        </w:rPr>
        <w:t>。</w:t>
      </w:r>
    </w:p>
    <w:p w14:paraId="09D5A0C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其他事项的约定：</w:t>
      </w:r>
      <w:r>
        <w:rPr>
          <w:rFonts w:hint="eastAsia" w:ascii="宋体" w:hAnsi="宋体" w:eastAsia="宋体" w:cs="宋体"/>
          <w:color w:val="auto"/>
          <w:spacing w:val="-2"/>
          <w:sz w:val="21"/>
          <w:szCs w:val="21"/>
          <w:highlight w:val="none"/>
          <w:u w:val="single" w:color="auto"/>
        </w:rPr>
        <w:t>无</w:t>
      </w:r>
      <w:r>
        <w:rPr>
          <w:rFonts w:hint="eastAsia" w:ascii="宋体" w:hAnsi="宋体" w:eastAsia="宋体" w:cs="宋体"/>
          <w:color w:val="auto"/>
          <w:spacing w:val="-2"/>
          <w:sz w:val="21"/>
          <w:szCs w:val="21"/>
          <w:highlight w:val="none"/>
        </w:rPr>
        <w:t>。</w:t>
      </w:r>
    </w:p>
    <w:p w14:paraId="55531458">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2"/>
        <w:rPr>
          <w:rFonts w:hint="eastAsia" w:ascii="宋体" w:hAnsi="宋体" w:eastAsia="宋体" w:cs="宋体"/>
          <w:b w:val="0"/>
          <w:color w:val="auto"/>
          <w:sz w:val="21"/>
          <w:szCs w:val="21"/>
          <w:highlight w:val="none"/>
        </w:rPr>
      </w:pPr>
      <w:bookmarkStart w:id="576" w:name="_Toc6777"/>
      <w:bookmarkStart w:id="577" w:name="_Toc22149"/>
      <w:r>
        <w:rPr>
          <w:rFonts w:hint="eastAsia" w:ascii="宋体" w:hAnsi="宋体" w:eastAsia="宋体" w:cs="宋体"/>
          <w:b w:val="0"/>
          <w:color w:val="auto"/>
          <w:spacing w:val="-1"/>
          <w:sz w:val="21"/>
          <w:szCs w:val="21"/>
          <w:highlight w:val="none"/>
        </w:rPr>
        <w:t>20.3.2 争议评审小组的决定</w:t>
      </w:r>
      <w:bookmarkEnd w:id="576"/>
      <w:bookmarkEnd w:id="577"/>
    </w:p>
    <w:p w14:paraId="7E1B01E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合同当事人关于本项的约定：</w:t>
      </w:r>
      <w:r>
        <w:rPr>
          <w:rFonts w:hint="eastAsia" w:ascii="宋体" w:hAnsi="宋体" w:eastAsia="宋体" w:cs="宋体"/>
          <w:color w:val="auto"/>
          <w:spacing w:val="-1"/>
          <w:sz w:val="21"/>
          <w:szCs w:val="21"/>
          <w:highlight w:val="none"/>
          <w:u w:val="single" w:color="auto"/>
        </w:rPr>
        <w:t>无</w:t>
      </w:r>
      <w:r>
        <w:rPr>
          <w:rFonts w:hint="eastAsia" w:ascii="宋体" w:hAnsi="宋体" w:eastAsia="宋体" w:cs="宋体"/>
          <w:color w:val="auto"/>
          <w:spacing w:val="-1"/>
          <w:sz w:val="21"/>
          <w:szCs w:val="21"/>
          <w:highlight w:val="none"/>
        </w:rPr>
        <w:t>。</w:t>
      </w:r>
    </w:p>
    <w:p w14:paraId="09EB1458">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1"/>
        <w:rPr>
          <w:rFonts w:hint="eastAsia" w:ascii="宋体" w:hAnsi="宋体" w:eastAsia="宋体" w:cs="宋体"/>
          <w:b w:val="0"/>
          <w:color w:val="auto"/>
          <w:sz w:val="21"/>
          <w:szCs w:val="21"/>
          <w:highlight w:val="none"/>
        </w:rPr>
      </w:pPr>
      <w:bookmarkStart w:id="578" w:name="_Toc19454"/>
      <w:bookmarkStart w:id="579" w:name="_Toc7661"/>
      <w:r>
        <w:rPr>
          <w:rFonts w:hint="eastAsia" w:ascii="宋体" w:hAnsi="宋体" w:eastAsia="宋体" w:cs="宋体"/>
          <w:b w:val="0"/>
          <w:bCs/>
          <w:color w:val="auto"/>
          <w:spacing w:val="-4"/>
          <w:sz w:val="21"/>
          <w:szCs w:val="21"/>
          <w:highlight w:val="none"/>
        </w:rPr>
        <w:t>20.4</w:t>
      </w:r>
      <w:r>
        <w:rPr>
          <w:rFonts w:hint="eastAsia" w:ascii="宋体" w:hAnsi="宋体" w:eastAsia="宋体" w:cs="宋体"/>
          <w:b w:val="0"/>
          <w:color w:val="auto"/>
          <w:spacing w:val="-4"/>
          <w:sz w:val="21"/>
          <w:szCs w:val="21"/>
          <w:highlight w:val="none"/>
        </w:rPr>
        <w:t xml:space="preserve"> </w:t>
      </w:r>
      <w:r>
        <w:rPr>
          <w:rFonts w:hint="eastAsia" w:ascii="宋体" w:hAnsi="宋体" w:eastAsia="宋体" w:cs="宋体"/>
          <w:b w:val="0"/>
          <w:bCs/>
          <w:color w:val="auto"/>
          <w:spacing w:val="-4"/>
          <w:sz w:val="21"/>
          <w:szCs w:val="21"/>
          <w:highlight w:val="none"/>
        </w:rPr>
        <w:t>仲裁或诉讼</w:t>
      </w:r>
      <w:bookmarkEnd w:id="578"/>
      <w:bookmarkEnd w:id="579"/>
    </w:p>
    <w:p w14:paraId="56551E41">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因合同及合同有关事项发生的争议，按下列第</w:t>
      </w:r>
      <w:r>
        <w:rPr>
          <w:rFonts w:hint="eastAsia" w:ascii="宋体" w:hAnsi="宋体" w:eastAsia="宋体" w:cs="宋体"/>
          <w:color w:val="auto"/>
          <w:spacing w:val="-1"/>
          <w:sz w:val="21"/>
          <w:szCs w:val="21"/>
          <w:highlight w:val="none"/>
          <w:u w:val="single" w:color="auto"/>
        </w:rPr>
        <w:t>2</w:t>
      </w:r>
      <w:r>
        <w:rPr>
          <w:rFonts w:hint="eastAsia" w:ascii="宋体" w:hAnsi="宋体" w:eastAsia="宋体" w:cs="宋体"/>
          <w:color w:val="auto"/>
          <w:spacing w:val="-1"/>
          <w:sz w:val="21"/>
          <w:szCs w:val="21"/>
          <w:highlight w:val="none"/>
        </w:rPr>
        <w:t>种方式</w:t>
      </w:r>
      <w:r>
        <w:rPr>
          <w:rFonts w:hint="eastAsia" w:ascii="宋体" w:hAnsi="宋体" w:eastAsia="宋体" w:cs="宋体"/>
          <w:color w:val="auto"/>
          <w:spacing w:val="-2"/>
          <w:sz w:val="21"/>
          <w:szCs w:val="21"/>
          <w:highlight w:val="none"/>
        </w:rPr>
        <w:t>解决：</w:t>
      </w:r>
    </w:p>
    <w:p w14:paraId="5CD3FA0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（1）提请</w:t>
      </w:r>
      <w:r>
        <w:rPr>
          <w:rFonts w:hint="eastAsia" w:ascii="宋体" w:hAnsi="宋体" w:eastAsia="宋体" w:cs="宋体"/>
          <w:color w:val="auto"/>
          <w:spacing w:val="-1"/>
          <w:sz w:val="21"/>
          <w:szCs w:val="21"/>
          <w:highlight w:val="none"/>
          <w:u w:val="single" w:color="auto"/>
        </w:rPr>
        <w:t>/</w:t>
      </w:r>
      <w:r>
        <w:rPr>
          <w:rFonts w:hint="eastAsia" w:ascii="宋体" w:hAnsi="宋体" w:eastAsia="宋体" w:cs="宋体"/>
          <w:color w:val="auto"/>
          <w:spacing w:val="-1"/>
          <w:sz w:val="21"/>
          <w:szCs w:val="21"/>
          <w:highlight w:val="none"/>
        </w:rPr>
        <w:t>仲裁委员会按照该会仲裁规则进行仲裁，仲裁裁决是终局的，对合</w:t>
      </w:r>
      <w:r>
        <w:rPr>
          <w:rFonts w:hint="eastAsia" w:ascii="宋体" w:hAnsi="宋体" w:eastAsia="宋体" w:cs="宋体"/>
          <w:color w:val="auto"/>
          <w:spacing w:val="-4"/>
          <w:sz w:val="21"/>
          <w:szCs w:val="21"/>
          <w:highlight w:val="none"/>
        </w:rPr>
        <w:t>同双方均有约束力。</w:t>
      </w:r>
    </w:p>
    <w:p w14:paraId="6702627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（2）向</w:t>
      </w:r>
      <w:r>
        <w:rPr>
          <w:rFonts w:hint="eastAsia" w:ascii="宋体" w:hAnsi="宋体" w:eastAsia="宋体" w:cs="宋体"/>
          <w:color w:val="auto"/>
          <w:spacing w:val="-1"/>
          <w:sz w:val="21"/>
          <w:szCs w:val="21"/>
          <w:highlight w:val="none"/>
          <w:u w:val="single" w:color="auto"/>
        </w:rPr>
        <w:t>工程所在地</w:t>
      </w:r>
      <w:r>
        <w:rPr>
          <w:rFonts w:hint="eastAsia" w:ascii="宋体" w:hAnsi="宋体" w:eastAsia="宋体" w:cs="宋体"/>
          <w:color w:val="auto"/>
          <w:spacing w:val="-1"/>
          <w:sz w:val="21"/>
          <w:szCs w:val="21"/>
          <w:highlight w:val="none"/>
        </w:rPr>
        <w:t>人民法院起诉。</w:t>
      </w:r>
    </w:p>
    <w:p w14:paraId="1FF67DEB">
      <w:pPr>
        <w:pageBreakBefore w:val="0"/>
        <w:widowControl w:val="0"/>
        <w:kinsoku/>
        <w:wordWrap/>
        <w:overflowPunct/>
        <w:topLinePunct w:val="0"/>
        <w:bidi w:val="0"/>
        <w:snapToGrid/>
        <w:spacing w:beforeAutospacing="0" w:afterAutospacing="0" w:line="400" w:lineRule="exact"/>
        <w:ind w:left="0" w:leftChars="0" w:right="0" w:rightChars="0" w:firstLine="0" w:firstLineChars="0"/>
        <w:jc w:val="left"/>
        <w:textAlignment w:val="auto"/>
        <w:outlineLvl w:val="0"/>
        <w:rPr>
          <w:rFonts w:hint="eastAsia" w:ascii="宋体" w:hAnsi="宋体" w:eastAsia="宋体" w:cs="宋体"/>
          <w:b w:val="0"/>
          <w:color w:val="auto"/>
          <w:sz w:val="21"/>
          <w:szCs w:val="21"/>
          <w:highlight w:val="none"/>
        </w:rPr>
      </w:pPr>
      <w:bookmarkStart w:id="580" w:name="_Toc6881"/>
      <w:bookmarkStart w:id="581" w:name="_Toc14558"/>
      <w:r>
        <w:rPr>
          <w:rFonts w:hint="eastAsia" w:ascii="宋体" w:hAnsi="宋体" w:eastAsia="宋体" w:cs="宋体"/>
          <w:b w:val="0"/>
          <w:bCs/>
          <w:color w:val="auto"/>
          <w:spacing w:val="-4"/>
          <w:sz w:val="21"/>
          <w:szCs w:val="21"/>
          <w:highlight w:val="none"/>
        </w:rPr>
        <w:t>21.</w:t>
      </w:r>
      <w:r>
        <w:rPr>
          <w:rFonts w:hint="eastAsia" w:ascii="宋体" w:hAnsi="宋体" w:eastAsia="宋体" w:cs="宋体"/>
          <w:b w:val="0"/>
          <w:color w:val="auto"/>
          <w:spacing w:val="-4"/>
          <w:sz w:val="21"/>
          <w:szCs w:val="21"/>
          <w:highlight w:val="none"/>
        </w:rPr>
        <w:t xml:space="preserve"> </w:t>
      </w:r>
      <w:r>
        <w:rPr>
          <w:rFonts w:hint="eastAsia" w:ascii="宋体" w:hAnsi="宋体" w:eastAsia="宋体" w:cs="宋体"/>
          <w:b w:val="0"/>
          <w:bCs/>
          <w:color w:val="auto"/>
          <w:spacing w:val="-4"/>
          <w:sz w:val="21"/>
          <w:szCs w:val="21"/>
          <w:highlight w:val="none"/>
        </w:rPr>
        <w:t>补充条款</w:t>
      </w:r>
      <w:bookmarkEnd w:id="580"/>
      <w:bookmarkEnd w:id="581"/>
    </w:p>
    <w:p w14:paraId="5596C38F">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21.1本工程禁止使用童工。</w:t>
      </w:r>
    </w:p>
    <w:p w14:paraId="77B3324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21.2与本合同有关的通知应以书面形式作出并直接送达有关方，或经电子邮件、 专递方式送达有关方或其代表人（包括：发包人现场代表、承包人项目经理、总监理 工程师）在本合同中注明的电子信箱或通信地址。除接受通知一方可另行证明，一方 以电子邮件发出的通知应视为接受通知一方于通知发出当日收悉该通知，一方以专递 方式发出的通知应视为接受通知一方于通知发出当日后第二个工作日收悉该通知。</w:t>
      </w:r>
    </w:p>
    <w:p w14:paraId="0BD15B3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21.3实现债权的费用承担：因任何一方违约致使相对方采取诉讼方式实现债权的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违约方应承担相对方为此支付的合理费用，包括但不限于诉讼费、律师费、差旅费等。</w:t>
      </w:r>
    </w:p>
    <w:p w14:paraId="02C7642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21.4关于施工管理：遵守发包人的各项管理规</w:t>
      </w:r>
      <w:r>
        <w:rPr>
          <w:rFonts w:hint="eastAsia" w:ascii="宋体" w:hAnsi="宋体" w:eastAsia="宋体" w:cs="宋体"/>
          <w:color w:val="auto"/>
          <w:spacing w:val="-1"/>
          <w:sz w:val="21"/>
          <w:szCs w:val="21"/>
          <w:highlight w:val="none"/>
        </w:rPr>
        <w:t>定；按现行</w:t>
      </w:r>
      <w:r>
        <w:rPr>
          <w:rFonts w:hint="eastAsia" w:ascii="宋体" w:hAnsi="宋体" w:cs="宋体"/>
          <w:color w:val="auto"/>
          <w:spacing w:val="-1"/>
          <w:sz w:val="21"/>
          <w:szCs w:val="21"/>
          <w:highlight w:val="none"/>
          <w:lang w:eastAsia="zh-CN"/>
        </w:rPr>
        <w:t>法律法规</w:t>
      </w:r>
      <w:r>
        <w:rPr>
          <w:rFonts w:hint="eastAsia" w:ascii="宋体" w:hAnsi="宋体" w:eastAsia="宋体" w:cs="宋体"/>
          <w:color w:val="auto"/>
          <w:spacing w:val="-1"/>
          <w:sz w:val="21"/>
          <w:szCs w:val="21"/>
          <w:highlight w:val="none"/>
        </w:rPr>
        <w:t>、现行施</w:t>
      </w:r>
      <w:r>
        <w:rPr>
          <w:rFonts w:hint="eastAsia" w:ascii="宋体" w:hAnsi="宋体" w:eastAsia="宋体" w:cs="宋体"/>
          <w:color w:val="auto"/>
          <w:sz w:val="21"/>
          <w:szCs w:val="21"/>
          <w:highlight w:val="none"/>
        </w:rPr>
        <w:t xml:space="preserve"> 工规范及相关规定、进行施工。其中临时设施、安全施</w:t>
      </w:r>
      <w:r>
        <w:rPr>
          <w:rFonts w:hint="eastAsia" w:ascii="宋体" w:hAnsi="宋体" w:eastAsia="宋体" w:cs="宋体"/>
          <w:color w:val="auto"/>
          <w:spacing w:val="-1"/>
          <w:sz w:val="21"/>
          <w:szCs w:val="21"/>
          <w:highlight w:val="none"/>
        </w:rPr>
        <w:t>工、文明施工，并符合现行</w:t>
      </w:r>
      <w:r>
        <w:rPr>
          <w:rFonts w:hint="eastAsia" w:ascii="宋体" w:hAnsi="宋体" w:eastAsia="宋体" w:cs="宋体"/>
          <w:color w:val="auto"/>
          <w:sz w:val="21"/>
          <w:szCs w:val="21"/>
          <w:highlight w:val="none"/>
        </w:rPr>
        <w:t xml:space="preserve"> 规范及技术标准的要求，费用由承包人负责；施工中所</w:t>
      </w:r>
      <w:r>
        <w:rPr>
          <w:rFonts w:hint="eastAsia" w:ascii="宋体" w:hAnsi="宋体" w:eastAsia="宋体" w:cs="宋体"/>
          <w:color w:val="auto"/>
          <w:spacing w:val="-1"/>
          <w:sz w:val="21"/>
          <w:szCs w:val="21"/>
          <w:highlight w:val="none"/>
        </w:rPr>
        <w:t>产生的建筑垃圾由承包人负</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责清运出校区外，费用由承包人承担；</w:t>
      </w:r>
    </w:p>
    <w:p w14:paraId="3C72631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21.5发包人采购文件及相关答疑均视为合同约定内容，如承包人不遵守，则视为</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7"/>
          <w:sz w:val="21"/>
          <w:szCs w:val="21"/>
          <w:highlight w:val="none"/>
        </w:rPr>
        <w:t>承包人违约。</w:t>
      </w:r>
    </w:p>
    <w:p w14:paraId="3AC26022">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21.6承包人应有具体措施，保证任何临时和永</w:t>
      </w:r>
      <w:r>
        <w:rPr>
          <w:rFonts w:hint="eastAsia" w:ascii="宋体" w:hAnsi="宋体" w:eastAsia="宋体" w:cs="宋体"/>
          <w:color w:val="auto"/>
          <w:spacing w:val="-1"/>
          <w:sz w:val="21"/>
          <w:szCs w:val="21"/>
          <w:highlight w:val="none"/>
        </w:rPr>
        <w:t>久性工程中不使用政府明令禁止</w:t>
      </w:r>
      <w:r>
        <w:rPr>
          <w:rFonts w:hint="eastAsia" w:ascii="宋体" w:hAnsi="宋体" w:eastAsia="宋体" w:cs="宋体"/>
          <w:color w:val="auto"/>
          <w:sz w:val="21"/>
          <w:szCs w:val="21"/>
          <w:highlight w:val="none"/>
        </w:rPr>
        <w:t>使用的对人体有害的任何材料和方法，同时也不会在永</w:t>
      </w:r>
      <w:r>
        <w:rPr>
          <w:rFonts w:hint="eastAsia" w:ascii="宋体" w:hAnsi="宋体" w:eastAsia="宋体" w:cs="宋体"/>
          <w:color w:val="auto"/>
          <w:spacing w:val="-1"/>
          <w:sz w:val="21"/>
          <w:szCs w:val="21"/>
          <w:highlight w:val="none"/>
        </w:rPr>
        <w:t>久性工程中使用政府虽未明</w:t>
      </w:r>
      <w:r>
        <w:rPr>
          <w:rFonts w:hint="eastAsia" w:ascii="宋体" w:hAnsi="宋体" w:eastAsia="宋体" w:cs="宋体"/>
          <w:color w:val="auto"/>
          <w:sz w:val="21"/>
          <w:szCs w:val="21"/>
          <w:highlight w:val="none"/>
        </w:rPr>
        <w:t xml:space="preserve"> 令禁止但会给人带来不适感觉或嗅觉的任何材料和添加</w:t>
      </w:r>
      <w:r>
        <w:rPr>
          <w:rFonts w:hint="eastAsia" w:ascii="宋体" w:hAnsi="宋体" w:eastAsia="宋体" w:cs="宋体"/>
          <w:color w:val="auto"/>
          <w:spacing w:val="-1"/>
          <w:sz w:val="21"/>
          <w:szCs w:val="21"/>
          <w:highlight w:val="none"/>
        </w:rPr>
        <w:t>剂，承包人违背此项约定的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责任和后果由承包人完全负责。</w:t>
      </w:r>
    </w:p>
    <w:p w14:paraId="5BD754BC">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21.7对于发包人认为不合格的项目管理人员，</w:t>
      </w:r>
      <w:r>
        <w:rPr>
          <w:rFonts w:hint="eastAsia" w:ascii="宋体" w:hAnsi="宋体" w:eastAsia="宋体" w:cs="宋体"/>
          <w:color w:val="auto"/>
          <w:spacing w:val="-1"/>
          <w:sz w:val="21"/>
          <w:szCs w:val="21"/>
          <w:highlight w:val="none"/>
        </w:rPr>
        <w:t>发包人有权要求更换，在发包人</w:t>
      </w:r>
      <w:r>
        <w:rPr>
          <w:rFonts w:hint="eastAsia" w:ascii="宋体" w:hAnsi="宋体" w:eastAsia="宋体" w:cs="宋体"/>
          <w:color w:val="auto"/>
          <w:sz w:val="21"/>
          <w:szCs w:val="21"/>
          <w:highlight w:val="none"/>
        </w:rPr>
        <w:t>提出书面更换要求7个工作日内，承包人将合格</w:t>
      </w:r>
      <w:r>
        <w:rPr>
          <w:rFonts w:hint="eastAsia" w:ascii="宋体" w:hAnsi="宋体" w:eastAsia="宋体" w:cs="宋体"/>
          <w:color w:val="auto"/>
          <w:spacing w:val="-1"/>
          <w:sz w:val="21"/>
          <w:szCs w:val="21"/>
          <w:highlight w:val="none"/>
        </w:rPr>
        <w:t>的项目管理人员更换到位。</w:t>
      </w:r>
    </w:p>
    <w:p w14:paraId="4F05DCD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21.8合同总价</w:t>
      </w:r>
      <w:r>
        <w:rPr>
          <w:rFonts w:hint="eastAsia" w:ascii="宋体" w:hAnsi="宋体" w:cs="宋体"/>
          <w:color w:val="auto"/>
          <w:sz w:val="21"/>
          <w:szCs w:val="21"/>
          <w:highlight w:val="none"/>
          <w:lang w:eastAsia="zh-CN"/>
        </w:rPr>
        <w:t>包括</w:t>
      </w:r>
      <w:r>
        <w:rPr>
          <w:rFonts w:hint="eastAsia" w:ascii="宋体" w:hAnsi="宋体" w:eastAsia="宋体" w:cs="宋体"/>
          <w:color w:val="auto"/>
          <w:sz w:val="21"/>
          <w:szCs w:val="21"/>
          <w:highlight w:val="none"/>
        </w:rPr>
        <w:t>竣工资料编制费，并由总</w:t>
      </w:r>
      <w:r>
        <w:rPr>
          <w:rFonts w:hint="eastAsia" w:ascii="宋体" w:hAnsi="宋体" w:eastAsia="宋体" w:cs="宋体"/>
          <w:color w:val="auto"/>
          <w:spacing w:val="-1"/>
          <w:sz w:val="21"/>
          <w:szCs w:val="21"/>
          <w:highlight w:val="none"/>
        </w:rPr>
        <w:t>承包单位统一归档；如果竣工资</w:t>
      </w:r>
      <w:r>
        <w:rPr>
          <w:rFonts w:hint="eastAsia" w:ascii="宋体" w:hAnsi="宋体" w:eastAsia="宋体" w:cs="宋体"/>
          <w:color w:val="auto"/>
          <w:sz w:val="21"/>
          <w:szCs w:val="21"/>
          <w:highlight w:val="none"/>
        </w:rPr>
        <w:t>料编制不合格，无法正常移交档案馆，由承包</w:t>
      </w:r>
      <w:r>
        <w:rPr>
          <w:rFonts w:hint="eastAsia" w:ascii="宋体" w:hAnsi="宋体" w:eastAsia="宋体" w:cs="宋体"/>
          <w:color w:val="auto"/>
          <w:spacing w:val="-1"/>
          <w:sz w:val="21"/>
          <w:szCs w:val="21"/>
          <w:highlight w:val="none"/>
        </w:rPr>
        <w:t>人承担一切责任和费用。</w:t>
      </w:r>
    </w:p>
    <w:p w14:paraId="6C9D112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21.9承包人不得转包。</w:t>
      </w:r>
    </w:p>
    <w:p w14:paraId="196E830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21.10合同总价</w:t>
      </w:r>
      <w:r>
        <w:rPr>
          <w:rFonts w:hint="eastAsia" w:ascii="宋体" w:hAnsi="宋体" w:cs="宋体"/>
          <w:color w:val="auto"/>
          <w:spacing w:val="-3"/>
          <w:sz w:val="21"/>
          <w:szCs w:val="21"/>
          <w:highlight w:val="none"/>
          <w:lang w:eastAsia="zh-CN"/>
        </w:rPr>
        <w:t>包括</w:t>
      </w:r>
      <w:r>
        <w:rPr>
          <w:rFonts w:hint="eastAsia" w:ascii="宋体" w:hAnsi="宋体" w:eastAsia="宋体" w:cs="宋体"/>
          <w:color w:val="auto"/>
          <w:spacing w:val="-3"/>
          <w:sz w:val="21"/>
          <w:szCs w:val="21"/>
          <w:highlight w:val="none"/>
        </w:rPr>
        <w:t>本分包范</w:t>
      </w:r>
      <w:r>
        <w:rPr>
          <w:rFonts w:hint="eastAsia" w:ascii="宋体" w:hAnsi="宋体" w:cs="宋体"/>
          <w:color w:val="auto"/>
          <w:spacing w:val="-3"/>
          <w:sz w:val="21"/>
          <w:szCs w:val="21"/>
          <w:highlight w:val="none"/>
          <w:lang w:eastAsia="zh-CN"/>
        </w:rPr>
        <w:t>围内</w:t>
      </w:r>
      <w:r>
        <w:rPr>
          <w:rFonts w:hint="eastAsia" w:ascii="宋体" w:hAnsi="宋体" w:eastAsia="宋体" w:cs="宋体"/>
          <w:color w:val="auto"/>
          <w:spacing w:val="-3"/>
          <w:sz w:val="21"/>
          <w:szCs w:val="21"/>
          <w:highlight w:val="none"/>
        </w:rPr>
        <w:t>所有现场垃圾的清运费用。承包人应在接到发包人清场通知后3天内，将承包人的所有的临设（包括基础等）及材料、设备全部撤</w:t>
      </w:r>
      <w:r>
        <w:rPr>
          <w:rFonts w:hint="eastAsia" w:ascii="宋体" w:hAnsi="宋体" w:eastAsia="宋体" w:cs="宋体"/>
          <w:color w:val="auto"/>
          <w:spacing w:val="-1"/>
          <w:sz w:val="21"/>
          <w:szCs w:val="21"/>
          <w:highlight w:val="none"/>
        </w:rPr>
        <w:t>场；否则发包人将自行找人清理，费用由承包人方负责。</w:t>
      </w:r>
    </w:p>
    <w:p w14:paraId="517BE20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21.11竣工清理和成品保护：进行承包人承包范围内的竣工清理和成品保护工作</w:t>
      </w:r>
      <w:r>
        <w:rPr>
          <w:rFonts w:hint="eastAsia" w:ascii="宋体" w:hAnsi="宋体" w:cs="宋体"/>
          <w:color w:val="auto"/>
          <w:spacing w:val="-3"/>
          <w:sz w:val="21"/>
          <w:szCs w:val="21"/>
          <w:highlight w:val="none"/>
          <w:lang w:eastAsia="zh-CN"/>
        </w:rPr>
        <w:t>，</w:t>
      </w:r>
      <w:r>
        <w:rPr>
          <w:rFonts w:hint="eastAsia" w:ascii="宋体" w:hAnsi="宋体" w:eastAsia="宋体" w:cs="宋体"/>
          <w:color w:val="auto"/>
          <w:spacing w:val="-9"/>
          <w:sz w:val="21"/>
          <w:szCs w:val="21"/>
          <w:highlight w:val="none"/>
        </w:rPr>
        <w:t>费用已含在合同总价中。</w:t>
      </w:r>
    </w:p>
    <w:p w14:paraId="6B4828B4">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21.12结算依据的整理工作：</w:t>
      </w:r>
    </w:p>
    <w:p w14:paraId="09FAF543">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图纸外需增加费用任何工程实施（包括变更洽商、</w:t>
      </w:r>
      <w:r>
        <w:rPr>
          <w:rFonts w:hint="eastAsia" w:ascii="宋体" w:hAnsi="宋体" w:eastAsia="宋体" w:cs="宋体"/>
          <w:color w:val="auto"/>
          <w:spacing w:val="-2"/>
          <w:sz w:val="21"/>
          <w:szCs w:val="21"/>
          <w:highlight w:val="none"/>
        </w:rPr>
        <w:t>合同外新增工程、各种索赔等</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w:t>
      </w:r>
      <w:r>
        <w:rPr>
          <w:rFonts w:hint="eastAsia" w:ascii="宋体" w:hAnsi="宋体" w:eastAsia="宋体" w:cs="宋体"/>
          <w:color w:val="auto"/>
          <w:spacing w:val="-2"/>
          <w:sz w:val="21"/>
          <w:szCs w:val="21"/>
          <w:highlight w:val="none"/>
        </w:rPr>
        <w:t>必须有发包人负责人签字确认，并在发生后14个工作日内将增减的费用报</w:t>
      </w:r>
      <w:r>
        <w:rPr>
          <w:rFonts w:hint="eastAsia" w:ascii="宋体" w:hAnsi="宋体" w:eastAsia="宋体" w:cs="宋体"/>
          <w:color w:val="auto"/>
          <w:spacing w:val="-3"/>
          <w:sz w:val="21"/>
          <w:szCs w:val="21"/>
          <w:highlight w:val="none"/>
        </w:rPr>
        <w:t>送监理</w:t>
      </w:r>
      <w:r>
        <w:rPr>
          <w:rFonts w:hint="eastAsia" w:ascii="宋体" w:hAnsi="宋体" w:eastAsia="宋体" w:cs="宋体"/>
          <w:color w:val="auto"/>
          <w:spacing w:val="-1"/>
          <w:sz w:val="21"/>
          <w:szCs w:val="21"/>
          <w:highlight w:val="none"/>
        </w:rPr>
        <w:t>和发包人，否则结算时不予办理；核减的洽商据实结算。</w:t>
      </w:r>
    </w:p>
    <w:p w14:paraId="35FC060E">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21.13农民工工资的有关规定按国家或地方有关政策或文件执行。禁止承包人拖</w:t>
      </w:r>
      <w:r>
        <w:rPr>
          <w:rFonts w:hint="eastAsia" w:ascii="宋体" w:hAnsi="宋体" w:eastAsia="宋体" w:cs="宋体"/>
          <w:color w:val="auto"/>
          <w:sz w:val="21"/>
          <w:szCs w:val="21"/>
          <w:highlight w:val="none"/>
        </w:rPr>
        <w:t>欠劳务人员（农民工）工资。承包人承诺将发包人付款直接</w:t>
      </w:r>
      <w:r>
        <w:rPr>
          <w:rFonts w:hint="eastAsia" w:ascii="宋体" w:hAnsi="宋体" w:eastAsia="宋体" w:cs="宋体"/>
          <w:color w:val="auto"/>
          <w:spacing w:val="-1"/>
          <w:sz w:val="21"/>
          <w:szCs w:val="21"/>
          <w:highlight w:val="none"/>
        </w:rPr>
        <w:t>发到劳务人员（农民工</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w:t>
      </w:r>
      <w:r>
        <w:rPr>
          <w:rFonts w:hint="eastAsia" w:ascii="宋体" w:hAnsi="宋体" w:eastAsia="宋体" w:cs="宋体"/>
          <w:color w:val="auto"/>
          <w:spacing w:val="-2"/>
          <w:sz w:val="21"/>
          <w:szCs w:val="21"/>
          <w:highlight w:val="none"/>
        </w:rPr>
        <w:t>的手中，按国家或地方规定建立农民工工资制度，与全部劳务人员签订正式的劳</w:t>
      </w:r>
      <w:r>
        <w:rPr>
          <w:rFonts w:hint="eastAsia" w:ascii="宋体" w:hAnsi="宋体" w:eastAsia="宋体" w:cs="宋体"/>
          <w:color w:val="auto"/>
          <w:sz w:val="21"/>
          <w:szCs w:val="21"/>
          <w:highlight w:val="none"/>
        </w:rPr>
        <w:t>动合同，将农民工工资每月直接打到农民工的工资卡（银行</w:t>
      </w:r>
      <w:r>
        <w:rPr>
          <w:rFonts w:hint="eastAsia" w:ascii="宋体" w:hAnsi="宋体" w:eastAsia="宋体" w:cs="宋体"/>
          <w:color w:val="auto"/>
          <w:spacing w:val="-1"/>
          <w:sz w:val="21"/>
          <w:szCs w:val="21"/>
          <w:highlight w:val="none"/>
        </w:rPr>
        <w:t>账户）中。承包人将每</w:t>
      </w:r>
      <w:r>
        <w:rPr>
          <w:rFonts w:hint="eastAsia" w:ascii="宋体" w:hAnsi="宋体" w:eastAsia="宋体" w:cs="宋体"/>
          <w:color w:val="auto"/>
          <w:sz w:val="21"/>
          <w:szCs w:val="21"/>
          <w:highlight w:val="none"/>
        </w:rPr>
        <w:t>月农民工的工资发放记录和签字表交给发包人工程部，否则</w:t>
      </w:r>
      <w:r>
        <w:rPr>
          <w:rFonts w:hint="eastAsia" w:ascii="宋体" w:hAnsi="宋体" w:eastAsia="宋体" w:cs="宋体"/>
          <w:color w:val="auto"/>
          <w:spacing w:val="-1"/>
          <w:sz w:val="21"/>
          <w:szCs w:val="21"/>
          <w:highlight w:val="none"/>
        </w:rPr>
        <w:t>发包人在下月付款时有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权不予支付。</w:t>
      </w:r>
    </w:p>
    <w:p w14:paraId="01062905">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承包人应按月足额发放全部工人工资，若承包人有拖</w:t>
      </w:r>
      <w:r>
        <w:rPr>
          <w:rFonts w:hint="eastAsia" w:ascii="宋体" w:hAnsi="宋体" w:eastAsia="宋体" w:cs="宋体"/>
          <w:color w:val="auto"/>
          <w:spacing w:val="-1"/>
          <w:sz w:val="21"/>
          <w:szCs w:val="21"/>
          <w:highlight w:val="none"/>
        </w:rPr>
        <w:t>欠工人工资的现象，发包</w:t>
      </w:r>
      <w:r>
        <w:rPr>
          <w:rFonts w:hint="eastAsia" w:ascii="宋体" w:hAnsi="宋体" w:eastAsia="宋体" w:cs="宋体"/>
          <w:color w:val="auto"/>
          <w:sz w:val="21"/>
          <w:szCs w:val="21"/>
          <w:highlight w:val="none"/>
        </w:rPr>
        <w:t xml:space="preserve"> 单位可考虑代付该部分工人工资，并从当月工程进度</w:t>
      </w:r>
      <w:r>
        <w:rPr>
          <w:rFonts w:hint="eastAsia" w:ascii="宋体" w:hAnsi="宋体" w:eastAsia="宋体" w:cs="宋体"/>
          <w:color w:val="auto"/>
          <w:spacing w:val="-1"/>
          <w:sz w:val="21"/>
          <w:szCs w:val="21"/>
          <w:highlight w:val="none"/>
        </w:rPr>
        <w:t>款中扣回。由此引发的工人罢</w:t>
      </w:r>
      <w:r>
        <w:rPr>
          <w:rFonts w:hint="eastAsia" w:ascii="宋体" w:hAnsi="宋体" w:eastAsia="宋体" w:cs="宋体"/>
          <w:color w:val="auto"/>
          <w:sz w:val="21"/>
          <w:szCs w:val="21"/>
          <w:highlight w:val="none"/>
        </w:rPr>
        <w:t>工、闹事等不良后果，承包人应承担全部责任，发包</w:t>
      </w:r>
      <w:r>
        <w:rPr>
          <w:rFonts w:hint="eastAsia" w:ascii="宋体" w:hAnsi="宋体" w:eastAsia="宋体" w:cs="宋体"/>
          <w:color w:val="auto"/>
          <w:spacing w:val="-1"/>
          <w:sz w:val="21"/>
          <w:szCs w:val="21"/>
          <w:highlight w:val="none"/>
        </w:rPr>
        <w:t>单位可视情节要求</w:t>
      </w:r>
      <w:r>
        <w:rPr>
          <w:rFonts w:hint="eastAsia" w:ascii="宋体" w:hAnsi="宋体" w:cs="宋体"/>
          <w:color w:val="auto"/>
          <w:spacing w:val="-1"/>
          <w:sz w:val="21"/>
          <w:szCs w:val="21"/>
          <w:highlight w:val="none"/>
          <w:lang w:eastAsia="zh-CN"/>
        </w:rPr>
        <w:t>承包人</w:t>
      </w:r>
      <w:r>
        <w:rPr>
          <w:rFonts w:hint="eastAsia" w:ascii="宋体" w:hAnsi="宋体" w:eastAsia="宋体" w:cs="宋体"/>
          <w:color w:val="auto"/>
          <w:spacing w:val="-1"/>
          <w:sz w:val="21"/>
          <w:szCs w:val="21"/>
          <w:highlight w:val="none"/>
        </w:rPr>
        <w:t>支付</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一定的违约金。</w:t>
      </w:r>
    </w:p>
    <w:p w14:paraId="50D99E2A">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21.14承包人应考虑工程现场的特殊地理位置，现场应达到当地对现场安全文明</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rPr>
        <w:t>施工要求；承包人应对安全及文明施工费用做到专款专用。若违反政府有关规定，在发包人两次指出仍未达到要求时，承包人须支付相应的违</w:t>
      </w:r>
      <w:r>
        <w:rPr>
          <w:rFonts w:hint="eastAsia" w:ascii="宋体" w:hAnsi="宋体" w:eastAsia="宋体" w:cs="宋体"/>
          <w:color w:val="auto"/>
          <w:spacing w:val="-1"/>
          <w:sz w:val="21"/>
          <w:szCs w:val="21"/>
          <w:highlight w:val="none"/>
        </w:rPr>
        <w:t>约金；施工现场因承包</w:t>
      </w:r>
      <w:r>
        <w:rPr>
          <w:rFonts w:hint="eastAsia" w:ascii="宋体" w:hAnsi="宋体" w:eastAsia="宋体" w:cs="宋体"/>
          <w:color w:val="auto"/>
          <w:sz w:val="21"/>
          <w:szCs w:val="21"/>
          <w:highlight w:val="none"/>
        </w:rPr>
        <w:t xml:space="preserve"> 人原因如出现重大安全事故，一切费用由承包人负责，并在</w:t>
      </w:r>
      <w:r>
        <w:rPr>
          <w:rFonts w:hint="eastAsia" w:ascii="宋体" w:hAnsi="宋体" w:eastAsia="宋体" w:cs="宋体"/>
          <w:color w:val="auto"/>
          <w:spacing w:val="-1"/>
          <w:sz w:val="21"/>
          <w:szCs w:val="21"/>
          <w:highlight w:val="none"/>
        </w:rPr>
        <w:t>结算时按安全文明施工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费金额作为违约金予以扣罚。且发包人有权解除合同。</w:t>
      </w:r>
    </w:p>
    <w:p w14:paraId="2ED6898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21.15监理单位具有根据本工程需要发出有关工程质量、进度、造价、安全管理</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rPr>
        <w:t>、经济处罚等工作联系函或指令的权利，上述工作联系函或指令经发包人同意后，</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
          <w:sz w:val="21"/>
          <w:szCs w:val="21"/>
          <w:highlight w:val="none"/>
        </w:rPr>
        <w:t>承包人必须执行。</w:t>
      </w:r>
    </w:p>
    <w:p w14:paraId="6B081559">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21.16发包人仅提供现场水、电的源头，其余接管、接线、装表等均由承包人负</w:t>
      </w:r>
      <w:r>
        <w:rPr>
          <w:rFonts w:hint="eastAsia" w:ascii="宋体" w:hAnsi="宋体" w:eastAsia="宋体" w:cs="宋体"/>
          <w:color w:val="auto"/>
          <w:spacing w:val="-1"/>
          <w:sz w:val="21"/>
          <w:szCs w:val="21"/>
          <w:highlight w:val="none"/>
        </w:rPr>
        <w:t>责，水电费由承包人缴纳。水电费及计量表等费用均已包含在承包人合同造价内。</w:t>
      </w:r>
    </w:p>
    <w:p w14:paraId="2F946F6B">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21.17如果发包人发现承包人无本专业工程的施工能力，或者承包人无继续合作</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rPr>
        <w:t>本工程的诚意，发包人有权解除合同，承包人予以服从</w:t>
      </w:r>
      <w:r>
        <w:rPr>
          <w:rFonts w:hint="eastAsia" w:ascii="宋体" w:hAnsi="宋体" w:eastAsia="宋体" w:cs="宋体"/>
          <w:color w:val="auto"/>
          <w:spacing w:val="-1"/>
          <w:sz w:val="21"/>
          <w:szCs w:val="21"/>
          <w:highlight w:val="none"/>
        </w:rPr>
        <w:t>并及时退场。若承包人以任</w:t>
      </w:r>
      <w:r>
        <w:rPr>
          <w:rFonts w:hint="eastAsia" w:ascii="宋体" w:hAnsi="宋体" w:eastAsia="宋体" w:cs="宋体"/>
          <w:color w:val="auto"/>
          <w:sz w:val="21"/>
          <w:szCs w:val="21"/>
          <w:highlight w:val="none"/>
        </w:rPr>
        <w:t xml:space="preserve"> 何理由要挟发包人管理人员或有妨碍工程施工进度的行</w:t>
      </w:r>
      <w:r>
        <w:rPr>
          <w:rFonts w:hint="eastAsia" w:ascii="宋体" w:hAnsi="宋体" w:eastAsia="宋体" w:cs="宋体"/>
          <w:color w:val="auto"/>
          <w:spacing w:val="-1"/>
          <w:sz w:val="21"/>
          <w:szCs w:val="21"/>
          <w:highlight w:val="none"/>
        </w:rPr>
        <w:t>为，发包人将视同承包方违</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约，结算时扣除合同价的10%作为违约金。</w:t>
      </w:r>
    </w:p>
    <w:p w14:paraId="5059C807">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21.18  本专用条款未约定的均按本合同通用条款规定执行。</w:t>
      </w:r>
    </w:p>
    <w:p w14:paraId="7D7CC44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21.19因任何一方违约致使相对方采取诉讼方式实现债权的，违约方应承担相对</w:t>
      </w:r>
      <w:r>
        <w:rPr>
          <w:rFonts w:hint="eastAsia" w:ascii="宋体" w:hAnsi="宋体" w:eastAsia="宋体" w:cs="宋体"/>
          <w:color w:val="auto"/>
          <w:spacing w:val="-1"/>
          <w:sz w:val="21"/>
          <w:szCs w:val="21"/>
          <w:highlight w:val="none"/>
        </w:rPr>
        <w:t>方为此支付的合理费用，包括但不限于诉讼费、律师费、差旅费等。</w:t>
      </w:r>
    </w:p>
    <w:p w14:paraId="07FAA478">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21.20本合同不受任何一方法人代表或单位名</w:t>
      </w:r>
      <w:r>
        <w:rPr>
          <w:rFonts w:hint="eastAsia" w:ascii="宋体" w:hAnsi="宋体" w:eastAsia="宋体" w:cs="宋体"/>
          <w:color w:val="auto"/>
          <w:spacing w:val="-1"/>
          <w:sz w:val="21"/>
          <w:szCs w:val="21"/>
          <w:highlight w:val="none"/>
        </w:rPr>
        <w:t>称的变更而改变合作性质和合同</w:t>
      </w:r>
      <w:r>
        <w:rPr>
          <w:rFonts w:hint="eastAsia" w:ascii="宋体" w:hAnsi="宋体" w:eastAsia="宋体" w:cs="宋体"/>
          <w:color w:val="auto"/>
          <w:spacing w:val="-6"/>
          <w:sz w:val="21"/>
          <w:szCs w:val="21"/>
          <w:highlight w:val="none"/>
        </w:rPr>
        <w:t>约定。</w:t>
      </w:r>
    </w:p>
    <w:p w14:paraId="798984D0">
      <w:pPr>
        <w:pageBreakBefore w:val="0"/>
        <w:widowControl w:val="0"/>
        <w:kinsoku/>
        <w:wordWrap/>
        <w:overflowPunct/>
        <w:topLinePunct w:val="0"/>
        <w:bidi w:val="0"/>
        <w:snapToGrid/>
        <w:spacing w:beforeAutospacing="0" w:afterAutospacing="0" w:line="400" w:lineRule="exact"/>
        <w:ind w:left="0" w:leftChars="0" w:right="0" w:rightChars="0" w:firstLine="48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21.21本合同未约定其他事项，双方可签订补充协议。补充协议与本合同具有同</w:t>
      </w:r>
      <w:r>
        <w:rPr>
          <w:rFonts w:hint="eastAsia" w:ascii="宋体" w:hAnsi="宋体" w:eastAsia="宋体" w:cs="宋体"/>
          <w:color w:val="auto"/>
          <w:spacing w:val="-2"/>
          <w:sz w:val="21"/>
          <w:szCs w:val="21"/>
          <w:highlight w:val="none"/>
        </w:rPr>
        <w:t>等法律效力。</w:t>
      </w:r>
    </w:p>
    <w:p w14:paraId="01333B8A">
      <w:pPr>
        <w:spacing w:before="91" w:line="360" w:lineRule="auto"/>
        <w:ind w:left="44"/>
        <w:outlineLvl w:val="2"/>
        <w:rPr>
          <w:rFonts w:ascii="宋体" w:hAnsi="宋体" w:eastAsia="宋体" w:cs="宋体"/>
          <w:b/>
          <w:bCs/>
          <w:color w:val="auto"/>
          <w:spacing w:val="-19"/>
          <w:sz w:val="28"/>
          <w:szCs w:val="28"/>
          <w:highlight w:val="none"/>
        </w:rPr>
        <w:sectPr>
          <w:footerReference r:id="rId12" w:type="default"/>
          <w:pgSz w:w="11911" w:h="16838"/>
          <w:pgMar w:top="1417" w:right="1417" w:bottom="1134" w:left="1417" w:header="720" w:footer="720" w:gutter="0"/>
          <w:pgBorders>
            <w:top w:val="none" w:sz="0" w:space="0"/>
            <w:left w:val="none" w:sz="0" w:space="0"/>
            <w:bottom w:val="none" w:sz="0" w:space="0"/>
            <w:right w:val="none" w:sz="0" w:space="0"/>
          </w:pgBorders>
          <w:pgNumType w:fmt="numberInDash"/>
          <w:cols w:space="0" w:num="1"/>
          <w:rtlGutter w:val="0"/>
          <w:docGrid w:linePitch="0" w:charSpace="0"/>
        </w:sectPr>
      </w:pPr>
    </w:p>
    <w:p w14:paraId="7DC83017">
      <w:pPr>
        <w:pStyle w:val="34"/>
        <w:spacing w:line="460" w:lineRule="exact"/>
        <w:ind w:firstLine="420" w:firstLineChars="200"/>
        <w:rPr>
          <w:rFonts w:hint="eastAsia" w:ascii="宋体" w:hAnsi="宋体" w:eastAsia="宋体" w:cs="宋体"/>
          <w:color w:val="auto"/>
          <w:kern w:val="2"/>
          <w:sz w:val="21"/>
          <w:szCs w:val="21"/>
          <w:highlight w:val="none"/>
        </w:rPr>
      </w:pPr>
    </w:p>
    <w:p w14:paraId="51B13BC9">
      <w:pPr>
        <w:pStyle w:val="34"/>
        <w:spacing w:line="360" w:lineRule="auto"/>
        <w:jc w:val="left"/>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附件</w:t>
      </w:r>
    </w:p>
    <w:p w14:paraId="2360FED3">
      <w:pPr>
        <w:pStyle w:val="34"/>
        <w:spacing w:line="360" w:lineRule="auto"/>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附件1：承包人承揽工程项目一览表</w:t>
      </w:r>
    </w:p>
    <w:p w14:paraId="02F20231">
      <w:pPr>
        <w:pStyle w:val="34"/>
        <w:spacing w:line="360" w:lineRule="auto"/>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附件</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：承包人承揽工程项目一览表</w:t>
      </w:r>
    </w:p>
    <w:p w14:paraId="6C396657">
      <w:pPr>
        <w:pStyle w:val="34"/>
        <w:spacing w:line="360" w:lineRule="auto"/>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附件</w:t>
      </w: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：支付担保格式</w:t>
      </w:r>
    </w:p>
    <w:p w14:paraId="713AAA1F">
      <w:pPr>
        <w:pStyle w:val="34"/>
        <w:spacing w:line="360" w:lineRule="auto"/>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附件</w:t>
      </w:r>
      <w:r>
        <w:rPr>
          <w:rFonts w:hint="eastAsia" w:ascii="宋体" w:hAnsi="宋体" w:eastAsia="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：履约保函</w:t>
      </w:r>
    </w:p>
    <w:p w14:paraId="502F0DCF">
      <w:pPr>
        <w:pStyle w:val="34"/>
        <w:spacing w:line="360" w:lineRule="auto"/>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附件</w:t>
      </w:r>
      <w:r>
        <w:rPr>
          <w:rFonts w:hint="eastAsia" w:ascii="宋体"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rPr>
        <w:t>：承包人主要施工管理人员表</w:t>
      </w:r>
    </w:p>
    <w:p w14:paraId="7081D2CC">
      <w:pPr>
        <w:pStyle w:val="34"/>
        <w:spacing w:line="360" w:lineRule="auto"/>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附件</w:t>
      </w:r>
      <w:r>
        <w:rPr>
          <w:rFonts w:hint="eastAsia" w:ascii="宋体" w:hAnsi="宋体" w:eastAsia="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rPr>
        <w:t>：承包人用于本工程施工的机械设备表</w:t>
      </w:r>
    </w:p>
    <w:p w14:paraId="71DCF937">
      <w:pPr>
        <w:pStyle w:val="34"/>
        <w:spacing w:line="360" w:lineRule="auto"/>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附件</w:t>
      </w:r>
      <w:r>
        <w:rPr>
          <w:rFonts w:hint="eastAsia" w:ascii="宋体" w:hAnsi="宋体" w:eastAsia="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rPr>
        <w:t>：预付款担保格式</w:t>
      </w:r>
    </w:p>
    <w:p w14:paraId="1204D9A1">
      <w:pPr>
        <w:pStyle w:val="34"/>
        <w:spacing w:line="360" w:lineRule="auto"/>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附件</w:t>
      </w:r>
      <w:r>
        <w:rPr>
          <w:rFonts w:hint="eastAsia" w:ascii="宋体" w:hAnsi="宋体" w:eastAsia="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rPr>
        <w:t>：工程质量保修书</w:t>
      </w:r>
    </w:p>
    <w:p w14:paraId="6A4B1AE2">
      <w:pPr>
        <w:pStyle w:val="34"/>
        <w:spacing w:line="360" w:lineRule="auto"/>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附件</w:t>
      </w:r>
      <w:r>
        <w:rPr>
          <w:rFonts w:hint="eastAsia" w:ascii="宋体" w:hAnsi="宋体" w:eastAsia="宋体" w:cs="宋体"/>
          <w:color w:val="auto"/>
          <w:kern w:val="2"/>
          <w:sz w:val="21"/>
          <w:szCs w:val="21"/>
          <w:highlight w:val="none"/>
          <w:lang w:val="en-US" w:eastAsia="zh-CN"/>
        </w:rPr>
        <w:t>9</w:t>
      </w:r>
      <w:r>
        <w:rPr>
          <w:rFonts w:hint="eastAsia" w:ascii="宋体" w:hAnsi="宋体" w:eastAsia="宋体" w:cs="宋体"/>
          <w:color w:val="auto"/>
          <w:kern w:val="2"/>
          <w:sz w:val="21"/>
          <w:szCs w:val="21"/>
          <w:highlight w:val="none"/>
        </w:rPr>
        <w:t>：中标通知书</w:t>
      </w:r>
    </w:p>
    <w:p w14:paraId="7DD6C438">
      <w:pPr>
        <w:widowControl/>
        <w:jc w:val="left"/>
        <w:rPr>
          <w:rFonts w:hint="eastAsia" w:ascii="宋体" w:hAnsi="宋体" w:eastAsia="宋体" w:cs="宋体"/>
          <w:color w:val="auto"/>
          <w:sz w:val="18"/>
          <w:szCs w:val="18"/>
          <w:highlight w:val="none"/>
        </w:rPr>
      </w:pPr>
    </w:p>
    <w:p w14:paraId="71498DC8">
      <w:pPr>
        <w:widowControl/>
        <w:jc w:val="left"/>
        <w:rPr>
          <w:rFonts w:hint="eastAsia" w:ascii="宋体" w:hAnsi="宋体" w:eastAsia="宋体" w:cs="宋体"/>
          <w:color w:val="auto"/>
          <w:sz w:val="18"/>
          <w:szCs w:val="18"/>
          <w:highlight w:val="none"/>
        </w:rPr>
      </w:pPr>
    </w:p>
    <w:p w14:paraId="00DF095A">
      <w:pPr>
        <w:widowControl/>
        <w:jc w:val="left"/>
        <w:rPr>
          <w:rFonts w:hint="eastAsia" w:ascii="宋体" w:hAnsi="宋体" w:eastAsia="宋体" w:cs="宋体"/>
          <w:color w:val="auto"/>
          <w:sz w:val="18"/>
          <w:szCs w:val="18"/>
          <w:highlight w:val="none"/>
        </w:rPr>
      </w:pPr>
    </w:p>
    <w:p w14:paraId="3463AEF3">
      <w:pPr>
        <w:widowControl/>
        <w:jc w:val="left"/>
        <w:rPr>
          <w:rFonts w:hint="eastAsia" w:ascii="宋体" w:hAnsi="宋体" w:eastAsia="宋体" w:cs="宋体"/>
          <w:color w:val="auto"/>
          <w:sz w:val="18"/>
          <w:szCs w:val="18"/>
          <w:highlight w:val="none"/>
        </w:rPr>
      </w:pPr>
    </w:p>
    <w:p w14:paraId="67DB2D5E">
      <w:pPr>
        <w:widowControl/>
        <w:jc w:val="left"/>
        <w:rPr>
          <w:rFonts w:hint="eastAsia" w:ascii="宋体" w:hAnsi="宋体" w:eastAsia="宋体" w:cs="宋体"/>
          <w:color w:val="auto"/>
          <w:sz w:val="18"/>
          <w:szCs w:val="18"/>
          <w:highlight w:val="none"/>
        </w:rPr>
      </w:pPr>
    </w:p>
    <w:p w14:paraId="50D27EC0">
      <w:pPr>
        <w:widowControl/>
        <w:jc w:val="left"/>
        <w:rPr>
          <w:rFonts w:hint="eastAsia" w:ascii="宋体" w:hAnsi="宋体" w:eastAsia="宋体" w:cs="宋体"/>
          <w:color w:val="auto"/>
          <w:sz w:val="18"/>
          <w:szCs w:val="18"/>
          <w:highlight w:val="none"/>
        </w:rPr>
      </w:pPr>
    </w:p>
    <w:p w14:paraId="1CCC8212">
      <w:pPr>
        <w:widowControl/>
        <w:jc w:val="left"/>
        <w:rPr>
          <w:rFonts w:hint="eastAsia" w:ascii="宋体" w:hAnsi="宋体" w:eastAsia="宋体" w:cs="宋体"/>
          <w:color w:val="auto"/>
          <w:sz w:val="18"/>
          <w:szCs w:val="18"/>
          <w:highlight w:val="none"/>
        </w:rPr>
      </w:pPr>
    </w:p>
    <w:p w14:paraId="24F09E18">
      <w:pPr>
        <w:widowControl/>
        <w:jc w:val="left"/>
        <w:rPr>
          <w:rFonts w:hint="eastAsia" w:ascii="宋体" w:hAnsi="宋体" w:eastAsia="宋体" w:cs="宋体"/>
          <w:color w:val="auto"/>
          <w:sz w:val="18"/>
          <w:szCs w:val="18"/>
          <w:highlight w:val="none"/>
        </w:rPr>
      </w:pPr>
    </w:p>
    <w:p w14:paraId="7F726A32">
      <w:pPr>
        <w:widowControl/>
        <w:jc w:val="left"/>
        <w:rPr>
          <w:rFonts w:hint="eastAsia" w:ascii="宋体" w:hAnsi="宋体" w:eastAsia="宋体" w:cs="宋体"/>
          <w:color w:val="auto"/>
          <w:sz w:val="18"/>
          <w:szCs w:val="18"/>
          <w:highlight w:val="none"/>
        </w:rPr>
      </w:pPr>
    </w:p>
    <w:p w14:paraId="2FF56386">
      <w:pPr>
        <w:widowControl/>
        <w:jc w:val="left"/>
        <w:rPr>
          <w:rFonts w:hint="eastAsia" w:ascii="宋体" w:hAnsi="宋体" w:eastAsia="宋体" w:cs="宋体"/>
          <w:color w:val="auto"/>
          <w:sz w:val="18"/>
          <w:szCs w:val="18"/>
          <w:highlight w:val="none"/>
        </w:rPr>
      </w:pPr>
    </w:p>
    <w:p w14:paraId="0E22685A">
      <w:pPr>
        <w:widowControl/>
        <w:jc w:val="left"/>
        <w:rPr>
          <w:rFonts w:hint="eastAsia" w:ascii="宋体" w:hAnsi="宋体" w:eastAsia="宋体" w:cs="宋体"/>
          <w:color w:val="auto"/>
          <w:sz w:val="18"/>
          <w:szCs w:val="18"/>
          <w:highlight w:val="none"/>
        </w:rPr>
      </w:pPr>
    </w:p>
    <w:p w14:paraId="038B52FE">
      <w:pPr>
        <w:widowControl/>
        <w:jc w:val="left"/>
        <w:rPr>
          <w:rFonts w:hint="eastAsia" w:ascii="宋体" w:hAnsi="宋体" w:eastAsia="宋体" w:cs="宋体"/>
          <w:color w:val="auto"/>
          <w:sz w:val="18"/>
          <w:szCs w:val="18"/>
          <w:highlight w:val="none"/>
        </w:rPr>
      </w:pPr>
    </w:p>
    <w:p w14:paraId="19337105">
      <w:pPr>
        <w:widowControl/>
        <w:jc w:val="left"/>
        <w:rPr>
          <w:rFonts w:hint="eastAsia" w:ascii="宋体" w:hAnsi="宋体" w:eastAsia="宋体" w:cs="宋体"/>
          <w:color w:val="auto"/>
          <w:sz w:val="18"/>
          <w:szCs w:val="18"/>
          <w:highlight w:val="none"/>
        </w:rPr>
      </w:pPr>
    </w:p>
    <w:p w14:paraId="17C519B4">
      <w:pPr>
        <w:widowControl/>
        <w:jc w:val="left"/>
        <w:rPr>
          <w:rFonts w:hint="eastAsia" w:ascii="宋体" w:hAnsi="宋体" w:eastAsia="宋体" w:cs="宋体"/>
          <w:color w:val="auto"/>
          <w:sz w:val="18"/>
          <w:szCs w:val="18"/>
          <w:highlight w:val="none"/>
        </w:rPr>
      </w:pPr>
    </w:p>
    <w:p w14:paraId="27C7F35B">
      <w:pPr>
        <w:widowControl/>
        <w:jc w:val="left"/>
        <w:rPr>
          <w:rFonts w:hint="eastAsia" w:ascii="宋体" w:hAnsi="宋体" w:eastAsia="宋体" w:cs="宋体"/>
          <w:color w:val="auto"/>
          <w:sz w:val="18"/>
          <w:szCs w:val="18"/>
          <w:highlight w:val="none"/>
        </w:rPr>
      </w:pPr>
    </w:p>
    <w:p w14:paraId="36E4DD9D">
      <w:pPr>
        <w:widowControl/>
        <w:jc w:val="left"/>
        <w:rPr>
          <w:rFonts w:hint="eastAsia" w:ascii="宋体" w:hAnsi="宋体" w:eastAsia="宋体" w:cs="宋体"/>
          <w:color w:val="auto"/>
          <w:sz w:val="18"/>
          <w:szCs w:val="18"/>
          <w:highlight w:val="none"/>
        </w:rPr>
      </w:pPr>
    </w:p>
    <w:p w14:paraId="372936DD">
      <w:pPr>
        <w:widowControl/>
        <w:jc w:val="left"/>
        <w:rPr>
          <w:rFonts w:hint="eastAsia" w:ascii="宋体" w:hAnsi="宋体" w:eastAsia="宋体" w:cs="宋体"/>
          <w:color w:val="auto"/>
          <w:sz w:val="18"/>
          <w:szCs w:val="18"/>
          <w:highlight w:val="none"/>
        </w:rPr>
      </w:pPr>
    </w:p>
    <w:p w14:paraId="2D0A97A8">
      <w:pPr>
        <w:widowControl/>
        <w:jc w:val="left"/>
        <w:rPr>
          <w:rFonts w:hint="eastAsia" w:ascii="宋体" w:hAnsi="宋体" w:eastAsia="宋体" w:cs="宋体"/>
          <w:color w:val="auto"/>
          <w:sz w:val="18"/>
          <w:szCs w:val="18"/>
          <w:highlight w:val="none"/>
        </w:rPr>
      </w:pPr>
    </w:p>
    <w:p w14:paraId="76C49F71">
      <w:pPr>
        <w:widowControl/>
        <w:jc w:val="left"/>
        <w:rPr>
          <w:rFonts w:hint="eastAsia" w:ascii="宋体" w:hAnsi="宋体" w:eastAsia="宋体" w:cs="宋体"/>
          <w:color w:val="auto"/>
          <w:sz w:val="18"/>
          <w:szCs w:val="18"/>
          <w:highlight w:val="none"/>
        </w:rPr>
      </w:pPr>
    </w:p>
    <w:p w14:paraId="6DC1EFEF">
      <w:pPr>
        <w:widowControl/>
        <w:jc w:val="left"/>
        <w:rPr>
          <w:rFonts w:hint="eastAsia" w:ascii="宋体" w:hAnsi="宋体" w:eastAsia="宋体" w:cs="宋体"/>
          <w:color w:val="auto"/>
          <w:sz w:val="18"/>
          <w:szCs w:val="18"/>
          <w:highlight w:val="none"/>
        </w:rPr>
      </w:pPr>
    </w:p>
    <w:p w14:paraId="4C2C05A2">
      <w:pPr>
        <w:widowControl/>
        <w:jc w:val="left"/>
        <w:rPr>
          <w:rFonts w:hint="eastAsia" w:ascii="宋体" w:hAnsi="宋体" w:eastAsia="宋体" w:cs="宋体"/>
          <w:color w:val="auto"/>
          <w:sz w:val="18"/>
          <w:szCs w:val="18"/>
          <w:highlight w:val="none"/>
        </w:rPr>
      </w:pPr>
    </w:p>
    <w:p w14:paraId="0AB27068">
      <w:pPr>
        <w:widowControl/>
        <w:jc w:val="left"/>
        <w:rPr>
          <w:rFonts w:hint="eastAsia" w:ascii="宋体" w:hAnsi="宋体" w:eastAsia="宋体" w:cs="宋体"/>
          <w:color w:val="auto"/>
          <w:sz w:val="18"/>
          <w:szCs w:val="18"/>
          <w:highlight w:val="none"/>
        </w:rPr>
      </w:pPr>
    </w:p>
    <w:p w14:paraId="553B6A50">
      <w:pPr>
        <w:widowControl/>
        <w:jc w:val="left"/>
        <w:rPr>
          <w:rFonts w:hint="eastAsia" w:ascii="宋体" w:hAnsi="宋体" w:eastAsia="宋体" w:cs="宋体"/>
          <w:color w:val="auto"/>
          <w:sz w:val="18"/>
          <w:szCs w:val="18"/>
          <w:highlight w:val="none"/>
        </w:rPr>
      </w:pPr>
    </w:p>
    <w:p w14:paraId="6794801F">
      <w:pPr>
        <w:widowControl/>
        <w:jc w:val="left"/>
        <w:rPr>
          <w:rFonts w:hint="eastAsia" w:ascii="宋体" w:hAnsi="宋体" w:eastAsia="宋体" w:cs="宋体"/>
          <w:color w:val="auto"/>
          <w:sz w:val="18"/>
          <w:szCs w:val="18"/>
          <w:highlight w:val="none"/>
        </w:rPr>
      </w:pPr>
    </w:p>
    <w:p w14:paraId="727CE3DE">
      <w:pPr>
        <w:widowControl/>
        <w:jc w:val="left"/>
        <w:rPr>
          <w:rFonts w:hint="eastAsia" w:ascii="宋体" w:hAnsi="宋体" w:eastAsia="宋体" w:cs="宋体"/>
          <w:color w:val="auto"/>
          <w:sz w:val="18"/>
          <w:szCs w:val="18"/>
          <w:highlight w:val="none"/>
        </w:rPr>
      </w:pPr>
    </w:p>
    <w:p w14:paraId="38E053A5">
      <w:pPr>
        <w:widowControl/>
        <w:jc w:val="left"/>
        <w:rPr>
          <w:rFonts w:hint="eastAsia" w:ascii="宋体" w:hAnsi="宋体" w:eastAsia="宋体" w:cs="宋体"/>
          <w:color w:val="auto"/>
          <w:sz w:val="18"/>
          <w:szCs w:val="18"/>
          <w:highlight w:val="none"/>
        </w:rPr>
      </w:pPr>
    </w:p>
    <w:p w14:paraId="3614AC71">
      <w:pPr>
        <w:widowControl/>
        <w:jc w:val="left"/>
        <w:rPr>
          <w:rFonts w:hint="eastAsia" w:ascii="宋体" w:hAnsi="宋体" w:eastAsia="宋体" w:cs="宋体"/>
          <w:color w:val="auto"/>
          <w:sz w:val="18"/>
          <w:szCs w:val="18"/>
          <w:highlight w:val="none"/>
        </w:rPr>
      </w:pPr>
    </w:p>
    <w:p w14:paraId="0300055C">
      <w:pPr>
        <w:widowControl/>
        <w:jc w:val="left"/>
        <w:rPr>
          <w:rFonts w:hint="eastAsia" w:ascii="宋体" w:hAnsi="宋体" w:eastAsia="宋体" w:cs="宋体"/>
          <w:color w:val="auto"/>
          <w:sz w:val="18"/>
          <w:szCs w:val="18"/>
          <w:highlight w:val="none"/>
        </w:rPr>
      </w:pPr>
    </w:p>
    <w:p w14:paraId="4DF855D7">
      <w:pPr>
        <w:widowControl/>
        <w:jc w:val="left"/>
        <w:rPr>
          <w:rFonts w:hint="eastAsia" w:ascii="宋体" w:hAnsi="宋体" w:eastAsia="宋体" w:cs="宋体"/>
          <w:color w:val="auto"/>
          <w:sz w:val="18"/>
          <w:szCs w:val="18"/>
          <w:highlight w:val="none"/>
        </w:rPr>
      </w:pPr>
    </w:p>
    <w:p w14:paraId="42AA772E">
      <w:pPr>
        <w:widowControl/>
        <w:jc w:val="left"/>
        <w:rPr>
          <w:rFonts w:hint="eastAsia" w:ascii="宋体" w:hAnsi="宋体" w:eastAsia="宋体" w:cs="宋体"/>
          <w:color w:val="auto"/>
          <w:sz w:val="18"/>
          <w:szCs w:val="18"/>
          <w:highlight w:val="none"/>
        </w:rPr>
      </w:pPr>
    </w:p>
    <w:p w14:paraId="21123DEC">
      <w:pPr>
        <w:widowControl/>
        <w:jc w:val="left"/>
        <w:rPr>
          <w:rFonts w:hint="eastAsia" w:ascii="宋体" w:hAnsi="宋体" w:eastAsia="宋体" w:cs="宋体"/>
          <w:color w:val="auto"/>
          <w:sz w:val="18"/>
          <w:szCs w:val="18"/>
          <w:highlight w:val="none"/>
        </w:rPr>
      </w:pPr>
    </w:p>
    <w:p w14:paraId="7A61E4AF">
      <w:pPr>
        <w:widowControl/>
        <w:jc w:val="left"/>
        <w:rPr>
          <w:rFonts w:hint="eastAsia" w:ascii="宋体" w:hAnsi="宋体" w:eastAsia="宋体" w:cs="宋体"/>
          <w:color w:val="auto"/>
          <w:sz w:val="18"/>
          <w:szCs w:val="18"/>
          <w:highlight w:val="none"/>
        </w:rPr>
      </w:pPr>
    </w:p>
    <w:p w14:paraId="4C983E49">
      <w:pPr>
        <w:widowControl/>
        <w:jc w:val="left"/>
        <w:rPr>
          <w:rFonts w:hint="eastAsia" w:ascii="宋体" w:hAnsi="宋体" w:eastAsia="宋体" w:cs="宋体"/>
          <w:color w:val="auto"/>
          <w:sz w:val="18"/>
          <w:szCs w:val="18"/>
          <w:highlight w:val="none"/>
        </w:rPr>
      </w:pPr>
    </w:p>
    <w:p w14:paraId="29BFC72F">
      <w:pPr>
        <w:widowControl/>
        <w:jc w:val="left"/>
        <w:rPr>
          <w:rFonts w:hint="eastAsia" w:ascii="宋体" w:hAnsi="宋体" w:eastAsia="宋体" w:cs="宋体"/>
          <w:color w:val="auto"/>
          <w:sz w:val="18"/>
          <w:szCs w:val="18"/>
          <w:highlight w:val="none"/>
        </w:rPr>
      </w:pPr>
    </w:p>
    <w:p w14:paraId="6E274771">
      <w:pPr>
        <w:widowControl/>
        <w:jc w:val="left"/>
        <w:rPr>
          <w:rFonts w:hint="eastAsia" w:ascii="宋体" w:hAnsi="宋体" w:eastAsia="宋体" w:cs="宋体"/>
          <w:color w:val="auto"/>
          <w:sz w:val="18"/>
          <w:szCs w:val="18"/>
          <w:highlight w:val="none"/>
        </w:rPr>
      </w:pPr>
    </w:p>
    <w:p w14:paraId="57A32762">
      <w:pPr>
        <w:widowControl/>
        <w:jc w:val="left"/>
        <w:rPr>
          <w:rFonts w:hint="eastAsia" w:ascii="宋体" w:hAnsi="宋体" w:eastAsia="宋体" w:cs="宋体"/>
          <w:color w:val="auto"/>
          <w:sz w:val="18"/>
          <w:szCs w:val="18"/>
          <w:highlight w:val="none"/>
        </w:rPr>
      </w:pPr>
    </w:p>
    <w:p w14:paraId="3A644A05">
      <w:pPr>
        <w:widowControl/>
        <w:jc w:val="left"/>
        <w:rPr>
          <w:rFonts w:hint="eastAsia" w:ascii="宋体" w:hAnsi="宋体" w:eastAsia="宋体" w:cs="宋体"/>
          <w:color w:val="auto"/>
          <w:sz w:val="18"/>
          <w:szCs w:val="18"/>
          <w:highlight w:val="none"/>
        </w:rPr>
      </w:pPr>
    </w:p>
    <w:p w14:paraId="7A5D09AE">
      <w:pPr>
        <w:widowControl/>
        <w:jc w:val="left"/>
        <w:rPr>
          <w:rFonts w:hint="eastAsia" w:ascii="宋体" w:hAnsi="宋体" w:eastAsia="宋体" w:cs="宋体"/>
          <w:color w:val="auto"/>
          <w:sz w:val="18"/>
          <w:szCs w:val="18"/>
          <w:highlight w:val="none"/>
        </w:rPr>
      </w:pPr>
    </w:p>
    <w:p w14:paraId="5234F720">
      <w:pPr>
        <w:widowControl/>
        <w:jc w:val="left"/>
        <w:rPr>
          <w:rFonts w:hint="eastAsia" w:ascii="宋体" w:hAnsi="宋体" w:eastAsia="宋体" w:cs="宋体"/>
          <w:color w:val="auto"/>
          <w:sz w:val="18"/>
          <w:szCs w:val="18"/>
          <w:highlight w:val="none"/>
        </w:rPr>
      </w:pPr>
    </w:p>
    <w:p w14:paraId="008235B1">
      <w:pPr>
        <w:widowControl/>
        <w:jc w:val="left"/>
        <w:rPr>
          <w:rFonts w:hint="eastAsia" w:ascii="宋体" w:hAnsi="宋体" w:eastAsia="宋体" w:cs="宋体"/>
          <w:color w:val="auto"/>
          <w:sz w:val="18"/>
          <w:szCs w:val="18"/>
          <w:highlight w:val="none"/>
        </w:rPr>
      </w:pPr>
    </w:p>
    <w:p w14:paraId="35851438">
      <w:pPr>
        <w:widowControl/>
        <w:jc w:val="left"/>
        <w:rPr>
          <w:rFonts w:hint="eastAsia" w:ascii="宋体" w:hAnsi="宋体" w:eastAsia="宋体" w:cs="宋体"/>
          <w:color w:val="auto"/>
          <w:sz w:val="18"/>
          <w:szCs w:val="18"/>
          <w:highlight w:val="none"/>
        </w:rPr>
      </w:pPr>
    </w:p>
    <w:p w14:paraId="273F3CAA">
      <w:pPr>
        <w:spacing w:line="440" w:lineRule="exact"/>
        <w:rPr>
          <w:b/>
          <w:bCs/>
          <w:color w:val="auto"/>
          <w:highlight w:val="none"/>
        </w:rPr>
      </w:pPr>
      <w:r>
        <w:rPr>
          <w:rFonts w:hint="eastAsia" w:ascii="宋体" w:hAnsi="宋体" w:cs="宋体"/>
          <w:b/>
          <w:bCs/>
          <w:color w:val="auto"/>
          <w:szCs w:val="21"/>
          <w:highlight w:val="none"/>
        </w:rPr>
        <w:t>附件</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w:t>
      </w:r>
    </w:p>
    <w:p w14:paraId="6AC42267">
      <w:pPr>
        <w:pStyle w:val="14"/>
        <w:rPr>
          <w:color w:val="auto"/>
          <w:highlight w:val="none"/>
        </w:rPr>
      </w:pPr>
    </w:p>
    <w:p w14:paraId="4DA4CA1A">
      <w:pPr>
        <w:pStyle w:val="14"/>
        <w:jc w:val="center"/>
        <w:rPr>
          <w:color w:val="auto"/>
          <w:sz w:val="32"/>
          <w:szCs w:val="32"/>
          <w:highlight w:val="none"/>
        </w:rPr>
      </w:pPr>
      <w:r>
        <w:rPr>
          <w:rFonts w:hint="eastAsia"/>
          <w:color w:val="auto"/>
          <w:sz w:val="32"/>
          <w:szCs w:val="32"/>
          <w:highlight w:val="none"/>
        </w:rPr>
        <w:t>工程廉政责任书</w:t>
      </w:r>
    </w:p>
    <w:p w14:paraId="19B1C772">
      <w:pPr>
        <w:pStyle w:val="14"/>
        <w:rPr>
          <w:color w:val="auto"/>
          <w:highlight w:val="none"/>
        </w:rPr>
      </w:pPr>
    </w:p>
    <w:p w14:paraId="35863910">
      <w:pPr>
        <w:pStyle w:val="14"/>
        <w:spacing w:line="46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发包人：大新县发展和改革局</w:t>
      </w:r>
    </w:p>
    <w:p w14:paraId="273850F2">
      <w:pPr>
        <w:pStyle w:val="14"/>
        <w:spacing w:line="46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w:t>
      </w:r>
    </w:p>
    <w:p w14:paraId="061AF199">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44628E6A">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一、双方的责任</w:t>
      </w:r>
    </w:p>
    <w:p w14:paraId="4A5EC27C">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1.1应严格遵守国家关于建设工程的有关法律、法规，相关政策，以及廉政建设的各项规定。</w:t>
      </w:r>
    </w:p>
    <w:p w14:paraId="5ED8AFC2">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1.2严格执行建设工程合同文件，自觉按合同办事。</w:t>
      </w:r>
    </w:p>
    <w:p w14:paraId="08C93538">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1.3各项活动必须坚持公开、公平、公正、诚信、透明的原则（除法律法规另有规定者外），不得为获取不正当的利益，损害国家、集体和对方利益，不得违反建设工程管理的规章制度。</w:t>
      </w:r>
    </w:p>
    <w:p w14:paraId="4A1D443F">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1.4发现对方在业务活动中有违规、违纪、违法行为的，应及时提醒对方，情节严重的，应向其上级主管部门或纪检监察、司法等有关机关举报。</w:t>
      </w:r>
    </w:p>
    <w:p w14:paraId="7EE999FA">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二、发包人责任</w:t>
      </w:r>
    </w:p>
    <w:p w14:paraId="38C8A09B">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发包人的领导和从事该建设工程项目的工作人员，在工程建设的事前、事中、事后应遵守以下规定：</w:t>
      </w:r>
    </w:p>
    <w:p w14:paraId="6F2D30AD">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2.1不得向承包人和相关单位索要或接受回扣、礼金、有价证券、贵重物品和好处费、感谢费等。</w:t>
      </w:r>
    </w:p>
    <w:p w14:paraId="481D9A3E">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2.2不得在承包人和相关单位报销任何应由发包人或个人支付的费用。</w:t>
      </w:r>
    </w:p>
    <w:p w14:paraId="7B487AC6">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2.3不得要求、暗示或接受承包人和相关单位为个人装修住房、婚丧嫁娶、配偶子女的工作安排以及出国（境）、旅游等提供方便。</w:t>
      </w:r>
    </w:p>
    <w:p w14:paraId="48A639CB">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2.4不得参加有可能影响公正执行公务的承包人和相关单位的宴请、健身、娱乐等活动。</w:t>
      </w:r>
    </w:p>
    <w:p w14:paraId="63AD52BB">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2.5不得向承包人和相关单位介绍或为配偶、子女、亲属参与同发包人工程建设管理合同有关的业务活动；不得以任何理由要求承包人和相关单位使用某种产品、材料和设备。</w:t>
      </w:r>
    </w:p>
    <w:p w14:paraId="30F86CF5">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三、承包人责任</w:t>
      </w:r>
    </w:p>
    <w:p w14:paraId="44EB7C9D">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应与发包人保持正常的业务交往，按照有关法律法规和程序开展业务工作，严格执行工程建设的有关方针、政策，执行工程建设强制性标准，并遵守以下规定：</w:t>
      </w:r>
    </w:p>
    <w:p w14:paraId="52C06B4D">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3.1不得以任何理由向发包人及其工作人员索要、接受或赠送礼金、有价证券、贵重物品及回扣、好处费、感谢费等。</w:t>
      </w:r>
    </w:p>
    <w:p w14:paraId="25F74498">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3.2不得以任何理由为发包人和相关单位报销应由对方或个人支付的费用。</w:t>
      </w:r>
    </w:p>
    <w:p w14:paraId="5E0E412E">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3.3不得接受或暗示为发包人、相关单位或个人装修住房、婚丧嫁娶、配偶子女的工作安排以及出国（境）、旅游等提供方便。</w:t>
      </w:r>
    </w:p>
    <w:p w14:paraId="2F646676">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3.4不得以任何理由为发包人、相关单位或个人组织有可能影响公正执行公务的宴请、健身、娱乐等活动。</w:t>
      </w:r>
    </w:p>
    <w:p w14:paraId="277A0BE6">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四、违约责任</w:t>
      </w:r>
    </w:p>
    <w:p w14:paraId="34A748CE">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4.1发包人工作人员有违反本责任书第一、二条责任行为的，依据有关法律、法规给予处理；涉嫌犯罪的，移交司法机关追究刑事责任；给承包人单位造成经济损失的，应予以赔偿。</w:t>
      </w:r>
    </w:p>
    <w:p w14:paraId="719DBB46">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4.2承包人工作人员有违反本责任书第一、三条责任行为的，依据有关法律法规处理；涉嫌犯罪的，移交司法机关追究刑事责任；给发包人单位造成经济损失的，应予以赔偿。</w:t>
      </w:r>
    </w:p>
    <w:p w14:paraId="1DA58A9F">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4.3本责任书作为建设工程合同的组成部分，与建设工程合同具有同等法律效力。经双方签署后立即生效。</w:t>
      </w:r>
    </w:p>
    <w:p w14:paraId="3ADC7B4A">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五、责任书有效期</w:t>
      </w:r>
    </w:p>
    <w:p w14:paraId="55456720">
      <w:pPr>
        <w:pStyle w:val="14"/>
        <w:spacing w:line="46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本责任书的有效期为双方签署之日起至该工程项目竣工验收合格时止。</w:t>
      </w:r>
    </w:p>
    <w:p w14:paraId="16172155">
      <w:pPr>
        <w:pStyle w:val="40"/>
        <w:spacing w:line="500" w:lineRule="exact"/>
        <w:ind w:left="5670" w:hanging="5670" w:hangingChars="2700"/>
        <w:rPr>
          <w:rFonts w:ascii="宋体" w:hAnsi="宋体" w:cs="宋体"/>
          <w:color w:val="auto"/>
          <w:szCs w:val="21"/>
          <w:highlight w:val="none"/>
        </w:rPr>
      </w:pPr>
    </w:p>
    <w:p w14:paraId="300E5C08">
      <w:pPr>
        <w:pStyle w:val="40"/>
        <w:spacing w:line="500" w:lineRule="exact"/>
        <w:ind w:left="5670" w:leftChars="100" w:hanging="5460" w:hangingChars="2600"/>
        <w:rPr>
          <w:rFonts w:ascii="宋体" w:hAnsi="宋体" w:cs="宋体"/>
          <w:color w:val="auto"/>
          <w:szCs w:val="21"/>
          <w:highlight w:val="none"/>
        </w:rPr>
      </w:pPr>
      <w:r>
        <w:rPr>
          <w:rFonts w:hint="eastAsia" w:ascii="宋体" w:hAnsi="宋体" w:cs="宋体"/>
          <w:color w:val="auto"/>
          <w:szCs w:val="21"/>
          <w:highlight w:val="none"/>
        </w:rPr>
        <w:t xml:space="preserve">发包人(公章)：大新县发展和改革局        承包人(公章)：  </w:t>
      </w:r>
    </w:p>
    <w:p w14:paraId="2BA2A334">
      <w:pPr>
        <w:pStyle w:val="40"/>
        <w:spacing w:line="500" w:lineRule="exact"/>
        <w:ind w:left="5670" w:hanging="5670" w:hangingChars="2700"/>
        <w:rPr>
          <w:rFonts w:ascii="宋体" w:hAnsi="宋体" w:cs="宋体"/>
          <w:color w:val="auto"/>
          <w:szCs w:val="21"/>
          <w:highlight w:val="none"/>
        </w:rPr>
      </w:pPr>
      <w:r>
        <w:rPr>
          <w:rFonts w:hint="eastAsia" w:ascii="宋体" w:hAnsi="宋体" w:cs="宋体"/>
          <w:color w:val="auto"/>
          <w:szCs w:val="21"/>
          <w:highlight w:val="none"/>
        </w:rPr>
        <w:t xml:space="preserve">  地址：</w:t>
      </w:r>
      <w:r>
        <w:rPr>
          <w:rFonts w:hint="eastAsia" w:asciiTheme="minorEastAsia" w:hAnsiTheme="minorEastAsia" w:eastAsiaTheme="minorEastAsia" w:cstheme="minorEastAsia"/>
          <w:color w:val="auto"/>
          <w:szCs w:val="21"/>
          <w:highlight w:val="none"/>
        </w:rPr>
        <w:t xml:space="preserve">崇左市大新县桃城镇安平大道       </w:t>
      </w:r>
      <w:r>
        <w:rPr>
          <w:rFonts w:hint="eastAsia" w:ascii="宋体" w:hAnsi="宋体" w:cs="宋体"/>
          <w:color w:val="auto"/>
          <w:szCs w:val="21"/>
          <w:highlight w:val="none"/>
        </w:rPr>
        <w:t>地址：</w:t>
      </w:r>
    </w:p>
    <w:p w14:paraId="6F1F4CDA">
      <w:pPr>
        <w:spacing w:line="360" w:lineRule="auto"/>
        <w:rPr>
          <w:rFonts w:asciiTheme="minorEastAsia" w:hAnsiTheme="minorEastAsia" w:eastAsiaTheme="minorEastAsia" w:cstheme="minorEastAsia"/>
          <w:color w:val="auto"/>
          <w:spacing w:val="-6"/>
          <w:szCs w:val="21"/>
          <w:highlight w:val="none"/>
        </w:rPr>
      </w:pPr>
      <w:r>
        <w:rPr>
          <w:rFonts w:hint="eastAsia" w:asciiTheme="minorEastAsia" w:hAnsiTheme="minorEastAsia" w:eastAsiaTheme="minorEastAsia" w:cstheme="minorEastAsia"/>
          <w:color w:val="auto"/>
          <w:spacing w:val="-6"/>
          <w:szCs w:val="21"/>
          <w:highlight w:val="none"/>
        </w:rPr>
        <w:t xml:space="preserve"> </w:t>
      </w:r>
    </w:p>
    <w:p w14:paraId="06F772E1">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法定代表人(签章)：                      法定代表人(签章)：</w:t>
      </w:r>
    </w:p>
    <w:p w14:paraId="480C5BA6">
      <w:pPr>
        <w:widowControl/>
        <w:jc w:val="left"/>
        <w:rPr>
          <w:rFonts w:hint="eastAsia" w:ascii="宋体" w:hAnsi="宋体" w:eastAsia="宋体" w:cs="宋体"/>
          <w:color w:val="auto"/>
          <w:sz w:val="18"/>
          <w:szCs w:val="18"/>
          <w:highlight w:val="none"/>
        </w:rPr>
      </w:pPr>
    </w:p>
    <w:p w14:paraId="4B1EF005">
      <w:pPr>
        <w:widowControl/>
        <w:jc w:val="left"/>
        <w:rPr>
          <w:rFonts w:hint="eastAsia" w:ascii="宋体" w:hAnsi="宋体" w:eastAsia="宋体" w:cs="宋体"/>
          <w:color w:val="auto"/>
          <w:sz w:val="18"/>
          <w:szCs w:val="18"/>
          <w:highlight w:val="none"/>
        </w:rPr>
      </w:pPr>
    </w:p>
    <w:p w14:paraId="6E79AE37">
      <w:pPr>
        <w:widowControl/>
        <w:jc w:val="left"/>
        <w:rPr>
          <w:rFonts w:hint="eastAsia" w:ascii="宋体" w:hAnsi="宋体" w:eastAsia="宋体" w:cs="宋体"/>
          <w:color w:val="auto"/>
          <w:sz w:val="18"/>
          <w:szCs w:val="18"/>
          <w:highlight w:val="none"/>
        </w:rPr>
      </w:pPr>
    </w:p>
    <w:p w14:paraId="3349850D">
      <w:pPr>
        <w:widowControl/>
        <w:jc w:val="left"/>
        <w:rPr>
          <w:rFonts w:hint="eastAsia" w:ascii="宋体" w:hAnsi="宋体" w:eastAsia="宋体" w:cs="宋体"/>
          <w:color w:val="auto"/>
          <w:sz w:val="18"/>
          <w:szCs w:val="18"/>
          <w:highlight w:val="none"/>
        </w:rPr>
      </w:pPr>
    </w:p>
    <w:p w14:paraId="7EF54FE5">
      <w:pPr>
        <w:widowControl/>
        <w:jc w:val="left"/>
        <w:rPr>
          <w:rFonts w:hint="eastAsia" w:ascii="宋体" w:hAnsi="宋体" w:eastAsia="宋体" w:cs="宋体"/>
          <w:color w:val="auto"/>
          <w:sz w:val="18"/>
          <w:szCs w:val="18"/>
          <w:highlight w:val="none"/>
        </w:rPr>
      </w:pPr>
    </w:p>
    <w:p w14:paraId="6A39EDBD">
      <w:pPr>
        <w:widowControl/>
        <w:jc w:val="left"/>
        <w:rPr>
          <w:rFonts w:hint="eastAsia" w:ascii="宋体" w:hAnsi="宋体" w:eastAsia="宋体" w:cs="宋体"/>
          <w:color w:val="auto"/>
          <w:sz w:val="18"/>
          <w:szCs w:val="18"/>
          <w:highlight w:val="none"/>
        </w:rPr>
      </w:pPr>
    </w:p>
    <w:p w14:paraId="727DF5D1">
      <w:pPr>
        <w:widowControl/>
        <w:jc w:val="left"/>
        <w:rPr>
          <w:rFonts w:hint="eastAsia" w:ascii="宋体" w:hAnsi="宋体" w:eastAsia="宋体" w:cs="宋体"/>
          <w:color w:val="auto"/>
          <w:sz w:val="18"/>
          <w:szCs w:val="18"/>
          <w:highlight w:val="none"/>
        </w:rPr>
      </w:pPr>
    </w:p>
    <w:p w14:paraId="07A7D1E5">
      <w:pPr>
        <w:widowControl/>
        <w:jc w:val="left"/>
        <w:rPr>
          <w:rFonts w:hint="eastAsia" w:ascii="宋体" w:hAnsi="宋体" w:eastAsia="宋体" w:cs="宋体"/>
          <w:color w:val="auto"/>
          <w:sz w:val="18"/>
          <w:szCs w:val="18"/>
          <w:highlight w:val="none"/>
        </w:rPr>
      </w:pPr>
    </w:p>
    <w:p w14:paraId="494CC520">
      <w:pPr>
        <w:widowControl/>
        <w:jc w:val="left"/>
        <w:rPr>
          <w:rFonts w:hint="eastAsia" w:ascii="宋体" w:hAnsi="宋体" w:eastAsia="宋体" w:cs="宋体"/>
          <w:color w:val="auto"/>
          <w:sz w:val="18"/>
          <w:szCs w:val="18"/>
          <w:highlight w:val="none"/>
        </w:rPr>
      </w:pPr>
    </w:p>
    <w:p w14:paraId="13CE5796">
      <w:pPr>
        <w:widowControl/>
        <w:jc w:val="left"/>
        <w:rPr>
          <w:rFonts w:hint="eastAsia" w:ascii="宋体" w:hAnsi="宋体" w:eastAsia="宋体" w:cs="宋体"/>
          <w:color w:val="auto"/>
          <w:sz w:val="18"/>
          <w:szCs w:val="18"/>
          <w:highlight w:val="none"/>
        </w:rPr>
      </w:pPr>
    </w:p>
    <w:p w14:paraId="4C8DA91D">
      <w:pPr>
        <w:widowControl/>
        <w:jc w:val="left"/>
        <w:rPr>
          <w:rFonts w:hint="eastAsia" w:ascii="宋体" w:hAnsi="宋体" w:eastAsia="宋体" w:cs="宋体"/>
          <w:color w:val="auto"/>
          <w:sz w:val="18"/>
          <w:szCs w:val="18"/>
          <w:highlight w:val="none"/>
        </w:rPr>
      </w:pPr>
    </w:p>
    <w:p w14:paraId="0D01D40E">
      <w:pPr>
        <w:pStyle w:val="34"/>
        <w:spacing w:line="360" w:lineRule="auto"/>
        <w:jc w:val="both"/>
        <w:rPr>
          <w:rFonts w:hint="eastAsia" w:ascii="宋体" w:hAnsi="宋体" w:eastAsia="宋体" w:cs="宋体"/>
          <w:b/>
          <w:bCs/>
          <w:color w:val="auto"/>
          <w:kern w:val="2"/>
          <w:sz w:val="22"/>
          <w:szCs w:val="22"/>
          <w:highlight w:val="none"/>
          <w:lang w:val="en-US" w:eastAsia="zh-CN"/>
        </w:rPr>
      </w:pPr>
      <w:r>
        <w:rPr>
          <w:rFonts w:hint="eastAsia" w:ascii="宋体" w:hAnsi="宋体" w:eastAsia="宋体" w:cs="宋体"/>
          <w:b/>
          <w:bCs/>
          <w:color w:val="auto"/>
          <w:kern w:val="2"/>
          <w:sz w:val="22"/>
          <w:szCs w:val="22"/>
          <w:highlight w:val="none"/>
        </w:rPr>
        <w:t>附件</w:t>
      </w:r>
      <w:r>
        <w:rPr>
          <w:rFonts w:hint="eastAsia" w:ascii="宋体" w:hAnsi="宋体" w:eastAsia="宋体" w:cs="宋体"/>
          <w:b/>
          <w:bCs/>
          <w:color w:val="auto"/>
          <w:kern w:val="2"/>
          <w:sz w:val="22"/>
          <w:szCs w:val="22"/>
          <w:highlight w:val="none"/>
          <w:lang w:val="en-US" w:eastAsia="zh-CN"/>
        </w:rPr>
        <w:t>2</w:t>
      </w:r>
    </w:p>
    <w:p w14:paraId="27017C83">
      <w:pPr>
        <w:pStyle w:val="34"/>
        <w:spacing w:line="360" w:lineRule="auto"/>
        <w:jc w:val="center"/>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rPr>
        <w:t>承包人承揽工程项目一览表</w:t>
      </w:r>
    </w:p>
    <w:tbl>
      <w:tblPr>
        <w:tblStyle w:val="19"/>
        <w:tblpPr w:leftFromText="180" w:rightFromText="180" w:vertAnchor="text" w:horzAnchor="margin" w:tblpXSpec="center" w:tblpY="498"/>
        <w:tblW w:w="1042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392"/>
        <w:gridCol w:w="1245"/>
        <w:gridCol w:w="1020"/>
        <w:gridCol w:w="781"/>
        <w:gridCol w:w="778"/>
        <w:gridCol w:w="797"/>
        <w:gridCol w:w="1189"/>
        <w:gridCol w:w="1435"/>
        <w:gridCol w:w="890"/>
        <w:gridCol w:w="900"/>
      </w:tblGrid>
      <w:tr w14:paraId="384D6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392" w:type="dxa"/>
            <w:tcBorders>
              <w:top w:val="single" w:color="auto" w:sz="12" w:space="0"/>
              <w:bottom w:val="double" w:color="auto" w:sz="6" w:space="0"/>
            </w:tcBorders>
            <w:vAlign w:val="center"/>
          </w:tcPr>
          <w:p w14:paraId="792BCEBF">
            <w:pPr>
              <w:pStyle w:val="9"/>
              <w:keepNext/>
              <w:spacing w:line="440" w:lineRule="exact"/>
              <w:ind w:left="26" w:right="63" w:firstLine="31" w:firstLineChars="1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单位工程名称</w:t>
            </w:r>
          </w:p>
        </w:tc>
        <w:tc>
          <w:tcPr>
            <w:tcW w:w="1245" w:type="dxa"/>
            <w:tcBorders>
              <w:top w:val="single" w:color="auto" w:sz="12" w:space="0"/>
              <w:bottom w:val="double" w:color="auto" w:sz="6" w:space="0"/>
            </w:tcBorders>
            <w:vAlign w:val="center"/>
          </w:tcPr>
          <w:p w14:paraId="0964C54E">
            <w:pPr>
              <w:pStyle w:val="9"/>
              <w:keepNext/>
              <w:spacing w:line="440" w:lineRule="exact"/>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建设规模</w:t>
            </w:r>
          </w:p>
        </w:tc>
        <w:tc>
          <w:tcPr>
            <w:tcW w:w="1020" w:type="dxa"/>
            <w:tcBorders>
              <w:top w:val="single" w:color="auto" w:sz="12" w:space="0"/>
              <w:bottom w:val="double" w:color="auto" w:sz="6" w:space="0"/>
            </w:tcBorders>
            <w:vAlign w:val="center"/>
          </w:tcPr>
          <w:p w14:paraId="731A007C">
            <w:pPr>
              <w:pStyle w:val="9"/>
              <w:keepNext/>
              <w:spacing w:line="440" w:lineRule="exact"/>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建筑面积</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平方米</w:t>
            </w:r>
            <w:r>
              <w:rPr>
                <w:rFonts w:hint="eastAsia" w:ascii="宋体" w:hAnsi="宋体" w:cs="宋体"/>
                <w:color w:val="auto"/>
                <w:sz w:val="21"/>
                <w:szCs w:val="21"/>
                <w:highlight w:val="none"/>
                <w:lang w:eastAsia="zh-CN"/>
              </w:rPr>
              <w:t>）</w:t>
            </w:r>
          </w:p>
        </w:tc>
        <w:tc>
          <w:tcPr>
            <w:tcW w:w="781" w:type="dxa"/>
            <w:tcBorders>
              <w:top w:val="single" w:color="auto" w:sz="12" w:space="0"/>
              <w:bottom w:val="double" w:color="auto" w:sz="6" w:space="0"/>
            </w:tcBorders>
            <w:vAlign w:val="center"/>
          </w:tcPr>
          <w:p w14:paraId="70C93686">
            <w:pPr>
              <w:pStyle w:val="9"/>
              <w:keepNext/>
              <w:spacing w:line="440" w:lineRule="exact"/>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结构形式</w:t>
            </w:r>
          </w:p>
        </w:tc>
        <w:tc>
          <w:tcPr>
            <w:tcW w:w="778" w:type="dxa"/>
            <w:tcBorders>
              <w:top w:val="single" w:color="auto" w:sz="12" w:space="0"/>
              <w:bottom w:val="double" w:color="auto" w:sz="6" w:space="0"/>
            </w:tcBorders>
            <w:vAlign w:val="center"/>
          </w:tcPr>
          <w:p w14:paraId="4EBE8D07">
            <w:pPr>
              <w:pStyle w:val="9"/>
              <w:keepNext/>
              <w:spacing w:line="440" w:lineRule="exact"/>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层数</w:t>
            </w:r>
          </w:p>
        </w:tc>
        <w:tc>
          <w:tcPr>
            <w:tcW w:w="797" w:type="dxa"/>
            <w:tcBorders>
              <w:top w:val="single" w:color="auto" w:sz="12" w:space="0"/>
              <w:bottom w:val="double" w:color="auto" w:sz="6" w:space="0"/>
            </w:tcBorders>
            <w:vAlign w:val="center"/>
          </w:tcPr>
          <w:p w14:paraId="0B10496C">
            <w:pPr>
              <w:pStyle w:val="9"/>
              <w:keepNext/>
              <w:spacing w:line="440" w:lineRule="exact"/>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生产能力</w:t>
            </w:r>
          </w:p>
        </w:tc>
        <w:tc>
          <w:tcPr>
            <w:tcW w:w="1189" w:type="dxa"/>
            <w:tcBorders>
              <w:top w:val="single" w:color="auto" w:sz="12" w:space="0"/>
              <w:bottom w:val="double" w:color="auto" w:sz="6" w:space="0"/>
            </w:tcBorders>
            <w:vAlign w:val="center"/>
          </w:tcPr>
          <w:p w14:paraId="2CD8FBC0">
            <w:pPr>
              <w:pStyle w:val="9"/>
              <w:keepNext/>
              <w:spacing w:line="440" w:lineRule="exact"/>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设备安装内容</w:t>
            </w:r>
          </w:p>
        </w:tc>
        <w:tc>
          <w:tcPr>
            <w:tcW w:w="1435" w:type="dxa"/>
            <w:tcBorders>
              <w:top w:val="single" w:color="auto" w:sz="12" w:space="0"/>
              <w:bottom w:val="double" w:color="auto" w:sz="6" w:space="0"/>
            </w:tcBorders>
            <w:vAlign w:val="center"/>
          </w:tcPr>
          <w:p w14:paraId="0E6A1C24">
            <w:pPr>
              <w:pStyle w:val="9"/>
              <w:keepNext/>
              <w:spacing w:line="440" w:lineRule="exact"/>
              <w:ind w:left="63" w:right="6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合同价格（元）</w:t>
            </w:r>
          </w:p>
        </w:tc>
        <w:tc>
          <w:tcPr>
            <w:tcW w:w="890" w:type="dxa"/>
            <w:tcBorders>
              <w:top w:val="single" w:color="auto" w:sz="12" w:space="0"/>
              <w:bottom w:val="double" w:color="auto" w:sz="6" w:space="0"/>
            </w:tcBorders>
            <w:vAlign w:val="center"/>
          </w:tcPr>
          <w:p w14:paraId="4C5960A5">
            <w:pPr>
              <w:pStyle w:val="9"/>
              <w:keepNext/>
              <w:spacing w:line="440" w:lineRule="exact"/>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开工日期</w:t>
            </w:r>
          </w:p>
        </w:tc>
        <w:tc>
          <w:tcPr>
            <w:tcW w:w="900" w:type="dxa"/>
            <w:tcBorders>
              <w:top w:val="single" w:color="auto" w:sz="12" w:space="0"/>
              <w:bottom w:val="double" w:color="auto" w:sz="6" w:space="0"/>
            </w:tcBorders>
            <w:vAlign w:val="center"/>
          </w:tcPr>
          <w:p w14:paraId="5AAD7EA7">
            <w:pPr>
              <w:pStyle w:val="9"/>
              <w:keepNext/>
              <w:spacing w:line="440" w:lineRule="exact"/>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竣工日期</w:t>
            </w:r>
          </w:p>
        </w:tc>
      </w:tr>
      <w:tr w14:paraId="263D0D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392" w:type="dxa"/>
            <w:tcBorders>
              <w:top w:val="double" w:color="auto" w:sz="6" w:space="0"/>
              <w:bottom w:val="single" w:color="auto" w:sz="6" w:space="0"/>
            </w:tcBorders>
            <w:vAlign w:val="center"/>
          </w:tcPr>
          <w:p w14:paraId="2C054634">
            <w:pPr>
              <w:pStyle w:val="9"/>
              <w:keepNext/>
              <w:spacing w:line="440" w:lineRule="exact"/>
              <w:ind w:left="63" w:right="63"/>
              <w:rPr>
                <w:rFonts w:hint="eastAsia" w:ascii="宋体" w:hAnsi="宋体" w:eastAsia="宋体" w:cs="宋体"/>
                <w:color w:val="auto"/>
                <w:sz w:val="21"/>
                <w:szCs w:val="21"/>
                <w:highlight w:val="none"/>
                <w:lang w:eastAsia="zh-CN"/>
              </w:rPr>
            </w:pPr>
          </w:p>
        </w:tc>
        <w:tc>
          <w:tcPr>
            <w:tcW w:w="1245" w:type="dxa"/>
            <w:tcBorders>
              <w:top w:val="double" w:color="auto" w:sz="6" w:space="0"/>
              <w:bottom w:val="single" w:color="auto" w:sz="6" w:space="0"/>
            </w:tcBorders>
            <w:vAlign w:val="center"/>
          </w:tcPr>
          <w:p w14:paraId="2B491365">
            <w:pPr>
              <w:pStyle w:val="9"/>
              <w:keepNext/>
              <w:spacing w:line="440" w:lineRule="exact"/>
              <w:ind w:left="63" w:right="63"/>
              <w:rPr>
                <w:rFonts w:hint="eastAsia" w:ascii="宋体" w:hAnsi="宋体" w:eastAsia="宋体" w:cs="宋体"/>
                <w:color w:val="auto"/>
                <w:sz w:val="21"/>
                <w:szCs w:val="21"/>
                <w:highlight w:val="none"/>
              </w:rPr>
            </w:pPr>
          </w:p>
        </w:tc>
        <w:tc>
          <w:tcPr>
            <w:tcW w:w="1020" w:type="dxa"/>
            <w:tcBorders>
              <w:top w:val="double" w:color="auto" w:sz="6" w:space="0"/>
              <w:bottom w:val="single" w:color="auto" w:sz="6" w:space="0"/>
            </w:tcBorders>
            <w:vAlign w:val="center"/>
          </w:tcPr>
          <w:p w14:paraId="7FD30168">
            <w:pPr>
              <w:pStyle w:val="9"/>
              <w:keepNext/>
              <w:spacing w:line="440" w:lineRule="exact"/>
              <w:ind w:left="63" w:right="63"/>
              <w:jc w:val="center"/>
              <w:rPr>
                <w:rFonts w:hint="eastAsia" w:ascii="宋体" w:hAnsi="宋体" w:eastAsia="宋体" w:cs="宋体"/>
                <w:color w:val="auto"/>
                <w:sz w:val="21"/>
                <w:szCs w:val="21"/>
                <w:highlight w:val="none"/>
                <w:lang w:val="en-US" w:eastAsia="zh-CN"/>
              </w:rPr>
            </w:pPr>
          </w:p>
        </w:tc>
        <w:tc>
          <w:tcPr>
            <w:tcW w:w="781" w:type="dxa"/>
            <w:tcBorders>
              <w:top w:val="double" w:color="auto" w:sz="6" w:space="0"/>
              <w:bottom w:val="single" w:color="auto" w:sz="6" w:space="0"/>
            </w:tcBorders>
            <w:vAlign w:val="center"/>
          </w:tcPr>
          <w:p w14:paraId="10CC78F3">
            <w:pPr>
              <w:pStyle w:val="9"/>
              <w:keepNext/>
              <w:spacing w:line="440" w:lineRule="exact"/>
              <w:ind w:left="63" w:right="63"/>
              <w:jc w:val="center"/>
              <w:rPr>
                <w:rFonts w:hint="eastAsia" w:ascii="宋体" w:hAnsi="宋体" w:eastAsia="宋体" w:cs="宋体"/>
                <w:color w:val="auto"/>
                <w:sz w:val="21"/>
                <w:szCs w:val="21"/>
                <w:highlight w:val="none"/>
                <w:lang w:val="en-US" w:eastAsia="zh-CN"/>
              </w:rPr>
            </w:pPr>
          </w:p>
        </w:tc>
        <w:tc>
          <w:tcPr>
            <w:tcW w:w="778" w:type="dxa"/>
            <w:tcBorders>
              <w:top w:val="double" w:color="auto" w:sz="6" w:space="0"/>
              <w:bottom w:val="single" w:color="auto" w:sz="6" w:space="0"/>
            </w:tcBorders>
            <w:vAlign w:val="center"/>
          </w:tcPr>
          <w:p w14:paraId="6A577690">
            <w:pPr>
              <w:pStyle w:val="9"/>
              <w:keepNext/>
              <w:spacing w:line="440" w:lineRule="exact"/>
              <w:ind w:left="63" w:right="63"/>
              <w:jc w:val="center"/>
              <w:rPr>
                <w:rFonts w:hint="eastAsia" w:ascii="宋体" w:hAnsi="宋体" w:eastAsia="宋体" w:cs="宋体"/>
                <w:color w:val="auto"/>
                <w:sz w:val="21"/>
                <w:szCs w:val="21"/>
                <w:highlight w:val="none"/>
                <w:lang w:val="en-US" w:eastAsia="zh-CN"/>
              </w:rPr>
            </w:pPr>
          </w:p>
        </w:tc>
        <w:tc>
          <w:tcPr>
            <w:tcW w:w="797" w:type="dxa"/>
            <w:tcBorders>
              <w:top w:val="double" w:color="auto" w:sz="6" w:space="0"/>
              <w:bottom w:val="single" w:color="auto" w:sz="6" w:space="0"/>
            </w:tcBorders>
            <w:vAlign w:val="center"/>
          </w:tcPr>
          <w:p w14:paraId="355478FB">
            <w:pPr>
              <w:pStyle w:val="9"/>
              <w:keepNext/>
              <w:spacing w:line="440" w:lineRule="exact"/>
              <w:ind w:left="63" w:right="63"/>
              <w:jc w:val="center"/>
              <w:rPr>
                <w:rFonts w:hint="eastAsia" w:ascii="宋体" w:hAnsi="宋体" w:eastAsia="宋体" w:cs="宋体"/>
                <w:color w:val="auto"/>
                <w:sz w:val="21"/>
                <w:szCs w:val="21"/>
                <w:highlight w:val="none"/>
                <w:lang w:val="en-US" w:eastAsia="zh-CN"/>
              </w:rPr>
            </w:pPr>
          </w:p>
        </w:tc>
        <w:tc>
          <w:tcPr>
            <w:tcW w:w="1189" w:type="dxa"/>
            <w:tcBorders>
              <w:top w:val="double" w:color="auto" w:sz="6" w:space="0"/>
              <w:bottom w:val="single" w:color="auto" w:sz="6" w:space="0"/>
            </w:tcBorders>
            <w:vAlign w:val="center"/>
          </w:tcPr>
          <w:p w14:paraId="2EA45090">
            <w:pPr>
              <w:pStyle w:val="9"/>
              <w:keepNext/>
              <w:spacing w:line="440" w:lineRule="exact"/>
              <w:ind w:left="63" w:right="63"/>
              <w:jc w:val="center"/>
              <w:rPr>
                <w:rFonts w:hint="eastAsia" w:ascii="宋体" w:hAnsi="宋体" w:eastAsia="宋体" w:cs="宋体"/>
                <w:color w:val="auto"/>
                <w:sz w:val="21"/>
                <w:szCs w:val="21"/>
                <w:highlight w:val="none"/>
                <w:lang w:val="en-US" w:eastAsia="zh-CN"/>
              </w:rPr>
            </w:pPr>
          </w:p>
        </w:tc>
        <w:tc>
          <w:tcPr>
            <w:tcW w:w="1435" w:type="dxa"/>
            <w:tcBorders>
              <w:top w:val="double" w:color="auto" w:sz="6" w:space="0"/>
              <w:bottom w:val="single" w:color="auto" w:sz="6" w:space="0"/>
            </w:tcBorders>
            <w:vAlign w:val="center"/>
          </w:tcPr>
          <w:p w14:paraId="2D2EB358">
            <w:pPr>
              <w:pStyle w:val="9"/>
              <w:keepNext/>
              <w:spacing w:line="440" w:lineRule="exact"/>
              <w:ind w:left="63" w:right="63"/>
              <w:jc w:val="center"/>
              <w:rPr>
                <w:rFonts w:hint="eastAsia" w:ascii="宋体" w:hAnsi="宋体" w:eastAsia="宋体" w:cs="宋体"/>
                <w:color w:val="auto"/>
                <w:sz w:val="21"/>
                <w:szCs w:val="21"/>
                <w:highlight w:val="none"/>
                <w:lang w:eastAsia="zh-CN"/>
              </w:rPr>
            </w:pPr>
          </w:p>
        </w:tc>
        <w:tc>
          <w:tcPr>
            <w:tcW w:w="890" w:type="dxa"/>
            <w:tcBorders>
              <w:top w:val="double" w:color="auto" w:sz="6" w:space="0"/>
              <w:bottom w:val="single" w:color="auto" w:sz="6" w:space="0"/>
            </w:tcBorders>
            <w:vAlign w:val="center"/>
          </w:tcPr>
          <w:p w14:paraId="19D56A24">
            <w:pPr>
              <w:pStyle w:val="9"/>
              <w:keepNext/>
              <w:spacing w:line="440" w:lineRule="exact"/>
              <w:ind w:left="63" w:right="63"/>
              <w:jc w:val="center"/>
              <w:rPr>
                <w:rFonts w:hint="eastAsia" w:ascii="宋体" w:hAnsi="宋体" w:eastAsia="宋体" w:cs="宋体"/>
                <w:color w:val="auto"/>
                <w:sz w:val="21"/>
                <w:szCs w:val="21"/>
                <w:highlight w:val="none"/>
                <w:lang w:val="en-US" w:eastAsia="zh-CN"/>
              </w:rPr>
            </w:pPr>
          </w:p>
        </w:tc>
        <w:tc>
          <w:tcPr>
            <w:tcW w:w="900" w:type="dxa"/>
            <w:tcBorders>
              <w:top w:val="double" w:color="auto" w:sz="6" w:space="0"/>
              <w:bottom w:val="single" w:color="auto" w:sz="6" w:space="0"/>
            </w:tcBorders>
            <w:vAlign w:val="center"/>
          </w:tcPr>
          <w:p w14:paraId="29CD650C">
            <w:pPr>
              <w:pStyle w:val="9"/>
              <w:keepNext/>
              <w:spacing w:line="440" w:lineRule="exact"/>
              <w:ind w:left="63" w:right="63"/>
              <w:jc w:val="center"/>
              <w:rPr>
                <w:rFonts w:hint="eastAsia" w:ascii="宋体" w:hAnsi="宋体" w:eastAsia="宋体" w:cs="宋体"/>
                <w:color w:val="auto"/>
                <w:sz w:val="21"/>
                <w:szCs w:val="21"/>
                <w:highlight w:val="none"/>
                <w:lang w:val="en-US" w:eastAsia="zh-CN"/>
              </w:rPr>
            </w:pPr>
          </w:p>
        </w:tc>
      </w:tr>
      <w:tr w14:paraId="7C1BA5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392" w:type="dxa"/>
            <w:tcBorders>
              <w:top w:val="nil"/>
            </w:tcBorders>
            <w:vAlign w:val="center"/>
          </w:tcPr>
          <w:p w14:paraId="6AC5FCDB">
            <w:pPr>
              <w:pStyle w:val="9"/>
              <w:keepNext/>
              <w:spacing w:line="440" w:lineRule="exact"/>
              <w:ind w:left="63" w:right="63"/>
              <w:rPr>
                <w:rFonts w:hint="eastAsia" w:ascii="宋体" w:hAnsi="宋体" w:eastAsia="宋体" w:cs="宋体"/>
                <w:color w:val="auto"/>
                <w:sz w:val="21"/>
                <w:szCs w:val="21"/>
                <w:highlight w:val="none"/>
              </w:rPr>
            </w:pPr>
          </w:p>
        </w:tc>
        <w:tc>
          <w:tcPr>
            <w:tcW w:w="1245" w:type="dxa"/>
            <w:tcBorders>
              <w:top w:val="nil"/>
            </w:tcBorders>
            <w:vAlign w:val="center"/>
          </w:tcPr>
          <w:p w14:paraId="3E36E48E">
            <w:pPr>
              <w:pStyle w:val="9"/>
              <w:keepNext/>
              <w:spacing w:line="440" w:lineRule="exact"/>
              <w:ind w:left="63" w:right="63"/>
              <w:rPr>
                <w:rFonts w:hint="eastAsia" w:ascii="宋体" w:hAnsi="宋体" w:eastAsia="宋体" w:cs="宋体"/>
                <w:color w:val="auto"/>
                <w:sz w:val="21"/>
                <w:szCs w:val="21"/>
                <w:highlight w:val="none"/>
              </w:rPr>
            </w:pPr>
          </w:p>
        </w:tc>
        <w:tc>
          <w:tcPr>
            <w:tcW w:w="1020" w:type="dxa"/>
            <w:tcBorders>
              <w:top w:val="nil"/>
            </w:tcBorders>
            <w:vAlign w:val="center"/>
          </w:tcPr>
          <w:p w14:paraId="53B926A7">
            <w:pPr>
              <w:pStyle w:val="9"/>
              <w:keepNext/>
              <w:spacing w:line="440" w:lineRule="exact"/>
              <w:ind w:left="63" w:right="63"/>
              <w:rPr>
                <w:rFonts w:hint="eastAsia" w:ascii="宋体" w:hAnsi="宋体" w:eastAsia="宋体" w:cs="宋体"/>
                <w:color w:val="auto"/>
                <w:sz w:val="21"/>
                <w:szCs w:val="21"/>
                <w:highlight w:val="none"/>
              </w:rPr>
            </w:pPr>
          </w:p>
        </w:tc>
        <w:tc>
          <w:tcPr>
            <w:tcW w:w="781" w:type="dxa"/>
            <w:tcBorders>
              <w:top w:val="nil"/>
            </w:tcBorders>
            <w:vAlign w:val="center"/>
          </w:tcPr>
          <w:p w14:paraId="196703A6">
            <w:pPr>
              <w:pStyle w:val="9"/>
              <w:keepNext/>
              <w:spacing w:line="440" w:lineRule="exact"/>
              <w:ind w:left="63" w:right="63"/>
              <w:rPr>
                <w:rFonts w:hint="eastAsia" w:ascii="宋体" w:hAnsi="宋体" w:eastAsia="宋体" w:cs="宋体"/>
                <w:color w:val="auto"/>
                <w:sz w:val="21"/>
                <w:szCs w:val="21"/>
                <w:highlight w:val="none"/>
              </w:rPr>
            </w:pPr>
          </w:p>
        </w:tc>
        <w:tc>
          <w:tcPr>
            <w:tcW w:w="778" w:type="dxa"/>
            <w:tcBorders>
              <w:top w:val="nil"/>
            </w:tcBorders>
            <w:vAlign w:val="center"/>
          </w:tcPr>
          <w:p w14:paraId="226972B6">
            <w:pPr>
              <w:pStyle w:val="9"/>
              <w:keepNext/>
              <w:spacing w:line="440" w:lineRule="exact"/>
              <w:ind w:left="63" w:right="63"/>
              <w:rPr>
                <w:rFonts w:hint="eastAsia" w:ascii="宋体" w:hAnsi="宋体" w:eastAsia="宋体" w:cs="宋体"/>
                <w:color w:val="auto"/>
                <w:sz w:val="21"/>
                <w:szCs w:val="21"/>
                <w:highlight w:val="none"/>
              </w:rPr>
            </w:pPr>
          </w:p>
        </w:tc>
        <w:tc>
          <w:tcPr>
            <w:tcW w:w="797" w:type="dxa"/>
            <w:tcBorders>
              <w:top w:val="nil"/>
            </w:tcBorders>
            <w:vAlign w:val="center"/>
          </w:tcPr>
          <w:p w14:paraId="3C827525">
            <w:pPr>
              <w:pStyle w:val="9"/>
              <w:keepNext/>
              <w:spacing w:line="440" w:lineRule="exact"/>
              <w:ind w:left="63" w:right="63"/>
              <w:rPr>
                <w:rFonts w:hint="eastAsia" w:ascii="宋体" w:hAnsi="宋体" w:eastAsia="宋体" w:cs="宋体"/>
                <w:color w:val="auto"/>
                <w:sz w:val="21"/>
                <w:szCs w:val="21"/>
                <w:highlight w:val="none"/>
              </w:rPr>
            </w:pPr>
          </w:p>
        </w:tc>
        <w:tc>
          <w:tcPr>
            <w:tcW w:w="1189" w:type="dxa"/>
            <w:tcBorders>
              <w:top w:val="nil"/>
            </w:tcBorders>
            <w:vAlign w:val="center"/>
          </w:tcPr>
          <w:p w14:paraId="23F7337B">
            <w:pPr>
              <w:pStyle w:val="9"/>
              <w:keepNext/>
              <w:spacing w:line="440" w:lineRule="exact"/>
              <w:ind w:left="63" w:right="63"/>
              <w:rPr>
                <w:rFonts w:hint="eastAsia" w:ascii="宋体" w:hAnsi="宋体" w:eastAsia="宋体" w:cs="宋体"/>
                <w:color w:val="auto"/>
                <w:sz w:val="21"/>
                <w:szCs w:val="21"/>
                <w:highlight w:val="none"/>
              </w:rPr>
            </w:pPr>
          </w:p>
        </w:tc>
        <w:tc>
          <w:tcPr>
            <w:tcW w:w="1435" w:type="dxa"/>
            <w:tcBorders>
              <w:top w:val="nil"/>
            </w:tcBorders>
            <w:vAlign w:val="center"/>
          </w:tcPr>
          <w:p w14:paraId="1E6DC879">
            <w:pPr>
              <w:pStyle w:val="9"/>
              <w:keepNext/>
              <w:spacing w:line="440" w:lineRule="exact"/>
              <w:ind w:left="63" w:right="63"/>
              <w:rPr>
                <w:rFonts w:hint="eastAsia" w:ascii="宋体" w:hAnsi="宋体" w:eastAsia="宋体" w:cs="宋体"/>
                <w:color w:val="auto"/>
                <w:sz w:val="21"/>
                <w:szCs w:val="21"/>
                <w:highlight w:val="none"/>
              </w:rPr>
            </w:pPr>
          </w:p>
        </w:tc>
        <w:tc>
          <w:tcPr>
            <w:tcW w:w="890" w:type="dxa"/>
            <w:tcBorders>
              <w:top w:val="nil"/>
            </w:tcBorders>
            <w:vAlign w:val="center"/>
          </w:tcPr>
          <w:p w14:paraId="69BF2AC2">
            <w:pPr>
              <w:pStyle w:val="9"/>
              <w:keepNext/>
              <w:spacing w:line="440" w:lineRule="exact"/>
              <w:ind w:left="63" w:right="63"/>
              <w:rPr>
                <w:rFonts w:hint="eastAsia" w:ascii="宋体" w:hAnsi="宋体" w:eastAsia="宋体" w:cs="宋体"/>
                <w:color w:val="auto"/>
                <w:sz w:val="21"/>
                <w:szCs w:val="21"/>
                <w:highlight w:val="none"/>
              </w:rPr>
            </w:pPr>
          </w:p>
        </w:tc>
        <w:tc>
          <w:tcPr>
            <w:tcW w:w="900" w:type="dxa"/>
            <w:tcBorders>
              <w:top w:val="nil"/>
            </w:tcBorders>
            <w:vAlign w:val="center"/>
          </w:tcPr>
          <w:p w14:paraId="47611D58">
            <w:pPr>
              <w:pStyle w:val="9"/>
              <w:keepNext/>
              <w:spacing w:line="440" w:lineRule="exact"/>
              <w:ind w:left="63" w:right="63"/>
              <w:rPr>
                <w:rFonts w:hint="eastAsia" w:ascii="宋体" w:hAnsi="宋体" w:eastAsia="宋体" w:cs="宋体"/>
                <w:color w:val="auto"/>
                <w:sz w:val="21"/>
                <w:szCs w:val="21"/>
                <w:highlight w:val="none"/>
              </w:rPr>
            </w:pPr>
          </w:p>
        </w:tc>
      </w:tr>
      <w:tr w14:paraId="0C247F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392" w:type="dxa"/>
            <w:tcBorders>
              <w:top w:val="nil"/>
            </w:tcBorders>
            <w:vAlign w:val="center"/>
          </w:tcPr>
          <w:p w14:paraId="14DBE441">
            <w:pPr>
              <w:pStyle w:val="9"/>
              <w:keepNext/>
              <w:spacing w:line="440" w:lineRule="exact"/>
              <w:ind w:left="63" w:right="63"/>
              <w:rPr>
                <w:rFonts w:hint="eastAsia" w:ascii="宋体" w:hAnsi="宋体" w:eastAsia="宋体" w:cs="宋体"/>
                <w:color w:val="auto"/>
                <w:sz w:val="21"/>
                <w:szCs w:val="21"/>
                <w:highlight w:val="none"/>
              </w:rPr>
            </w:pPr>
          </w:p>
        </w:tc>
        <w:tc>
          <w:tcPr>
            <w:tcW w:w="1245" w:type="dxa"/>
            <w:tcBorders>
              <w:top w:val="nil"/>
            </w:tcBorders>
            <w:vAlign w:val="center"/>
          </w:tcPr>
          <w:p w14:paraId="2576A080">
            <w:pPr>
              <w:pStyle w:val="9"/>
              <w:keepNext/>
              <w:spacing w:line="440" w:lineRule="exact"/>
              <w:ind w:left="63" w:right="63"/>
              <w:rPr>
                <w:rFonts w:hint="eastAsia" w:ascii="宋体" w:hAnsi="宋体" w:eastAsia="宋体" w:cs="宋体"/>
                <w:color w:val="auto"/>
                <w:sz w:val="21"/>
                <w:szCs w:val="21"/>
                <w:highlight w:val="none"/>
              </w:rPr>
            </w:pPr>
          </w:p>
        </w:tc>
        <w:tc>
          <w:tcPr>
            <w:tcW w:w="1020" w:type="dxa"/>
            <w:tcBorders>
              <w:top w:val="nil"/>
            </w:tcBorders>
            <w:vAlign w:val="center"/>
          </w:tcPr>
          <w:p w14:paraId="12FBA976">
            <w:pPr>
              <w:pStyle w:val="9"/>
              <w:keepNext/>
              <w:spacing w:line="440" w:lineRule="exact"/>
              <w:ind w:left="63" w:right="63"/>
              <w:rPr>
                <w:rFonts w:hint="eastAsia" w:ascii="宋体" w:hAnsi="宋体" w:eastAsia="宋体" w:cs="宋体"/>
                <w:color w:val="auto"/>
                <w:sz w:val="21"/>
                <w:szCs w:val="21"/>
                <w:highlight w:val="none"/>
              </w:rPr>
            </w:pPr>
          </w:p>
        </w:tc>
        <w:tc>
          <w:tcPr>
            <w:tcW w:w="781" w:type="dxa"/>
            <w:tcBorders>
              <w:top w:val="nil"/>
            </w:tcBorders>
            <w:vAlign w:val="center"/>
          </w:tcPr>
          <w:p w14:paraId="0602C817">
            <w:pPr>
              <w:pStyle w:val="9"/>
              <w:keepNext/>
              <w:spacing w:line="440" w:lineRule="exact"/>
              <w:ind w:left="63" w:right="63"/>
              <w:rPr>
                <w:rFonts w:hint="eastAsia" w:ascii="宋体" w:hAnsi="宋体" w:eastAsia="宋体" w:cs="宋体"/>
                <w:color w:val="auto"/>
                <w:sz w:val="21"/>
                <w:szCs w:val="21"/>
                <w:highlight w:val="none"/>
              </w:rPr>
            </w:pPr>
          </w:p>
        </w:tc>
        <w:tc>
          <w:tcPr>
            <w:tcW w:w="778" w:type="dxa"/>
            <w:tcBorders>
              <w:top w:val="nil"/>
            </w:tcBorders>
            <w:vAlign w:val="center"/>
          </w:tcPr>
          <w:p w14:paraId="02EA9353">
            <w:pPr>
              <w:pStyle w:val="9"/>
              <w:keepNext/>
              <w:spacing w:line="440" w:lineRule="exact"/>
              <w:ind w:left="63" w:right="63"/>
              <w:rPr>
                <w:rFonts w:hint="eastAsia" w:ascii="宋体" w:hAnsi="宋体" w:eastAsia="宋体" w:cs="宋体"/>
                <w:color w:val="auto"/>
                <w:sz w:val="21"/>
                <w:szCs w:val="21"/>
                <w:highlight w:val="none"/>
              </w:rPr>
            </w:pPr>
          </w:p>
        </w:tc>
        <w:tc>
          <w:tcPr>
            <w:tcW w:w="797" w:type="dxa"/>
            <w:tcBorders>
              <w:top w:val="nil"/>
            </w:tcBorders>
            <w:vAlign w:val="center"/>
          </w:tcPr>
          <w:p w14:paraId="2A9EC00C">
            <w:pPr>
              <w:pStyle w:val="9"/>
              <w:keepNext/>
              <w:spacing w:line="440" w:lineRule="exact"/>
              <w:ind w:left="63" w:right="63"/>
              <w:rPr>
                <w:rFonts w:hint="eastAsia" w:ascii="宋体" w:hAnsi="宋体" w:eastAsia="宋体" w:cs="宋体"/>
                <w:color w:val="auto"/>
                <w:sz w:val="21"/>
                <w:szCs w:val="21"/>
                <w:highlight w:val="none"/>
              </w:rPr>
            </w:pPr>
          </w:p>
        </w:tc>
        <w:tc>
          <w:tcPr>
            <w:tcW w:w="1189" w:type="dxa"/>
            <w:tcBorders>
              <w:top w:val="nil"/>
            </w:tcBorders>
            <w:vAlign w:val="center"/>
          </w:tcPr>
          <w:p w14:paraId="00AE4194">
            <w:pPr>
              <w:pStyle w:val="9"/>
              <w:keepNext/>
              <w:spacing w:line="440" w:lineRule="exact"/>
              <w:ind w:left="63" w:right="63"/>
              <w:rPr>
                <w:rFonts w:hint="eastAsia" w:ascii="宋体" w:hAnsi="宋体" w:eastAsia="宋体" w:cs="宋体"/>
                <w:color w:val="auto"/>
                <w:sz w:val="21"/>
                <w:szCs w:val="21"/>
                <w:highlight w:val="none"/>
              </w:rPr>
            </w:pPr>
          </w:p>
        </w:tc>
        <w:tc>
          <w:tcPr>
            <w:tcW w:w="1435" w:type="dxa"/>
            <w:tcBorders>
              <w:top w:val="nil"/>
            </w:tcBorders>
            <w:vAlign w:val="center"/>
          </w:tcPr>
          <w:p w14:paraId="567F4A5D">
            <w:pPr>
              <w:pStyle w:val="9"/>
              <w:keepNext/>
              <w:spacing w:line="440" w:lineRule="exact"/>
              <w:ind w:left="63" w:right="63"/>
              <w:rPr>
                <w:rFonts w:hint="eastAsia" w:ascii="宋体" w:hAnsi="宋体" w:eastAsia="宋体" w:cs="宋体"/>
                <w:color w:val="auto"/>
                <w:sz w:val="21"/>
                <w:szCs w:val="21"/>
                <w:highlight w:val="none"/>
              </w:rPr>
            </w:pPr>
          </w:p>
        </w:tc>
        <w:tc>
          <w:tcPr>
            <w:tcW w:w="890" w:type="dxa"/>
            <w:tcBorders>
              <w:top w:val="nil"/>
            </w:tcBorders>
            <w:vAlign w:val="center"/>
          </w:tcPr>
          <w:p w14:paraId="3BE5FEA3">
            <w:pPr>
              <w:pStyle w:val="9"/>
              <w:keepNext/>
              <w:spacing w:line="440" w:lineRule="exact"/>
              <w:ind w:left="63" w:right="63"/>
              <w:rPr>
                <w:rFonts w:hint="eastAsia" w:ascii="宋体" w:hAnsi="宋体" w:eastAsia="宋体" w:cs="宋体"/>
                <w:color w:val="auto"/>
                <w:sz w:val="21"/>
                <w:szCs w:val="21"/>
                <w:highlight w:val="none"/>
              </w:rPr>
            </w:pPr>
          </w:p>
        </w:tc>
        <w:tc>
          <w:tcPr>
            <w:tcW w:w="900" w:type="dxa"/>
            <w:tcBorders>
              <w:top w:val="nil"/>
            </w:tcBorders>
            <w:vAlign w:val="center"/>
          </w:tcPr>
          <w:p w14:paraId="47FC66FD">
            <w:pPr>
              <w:pStyle w:val="9"/>
              <w:keepNext/>
              <w:spacing w:line="440" w:lineRule="exact"/>
              <w:ind w:left="63" w:right="63"/>
              <w:rPr>
                <w:rFonts w:hint="eastAsia" w:ascii="宋体" w:hAnsi="宋体" w:eastAsia="宋体" w:cs="宋体"/>
                <w:color w:val="auto"/>
                <w:sz w:val="21"/>
                <w:szCs w:val="21"/>
                <w:highlight w:val="none"/>
              </w:rPr>
            </w:pPr>
          </w:p>
        </w:tc>
      </w:tr>
      <w:tr w14:paraId="1CB6E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392" w:type="dxa"/>
            <w:vAlign w:val="center"/>
          </w:tcPr>
          <w:p w14:paraId="5E698A41">
            <w:pPr>
              <w:pStyle w:val="9"/>
              <w:keepNext/>
              <w:spacing w:line="440" w:lineRule="exact"/>
              <w:ind w:left="63" w:right="63"/>
              <w:rPr>
                <w:rFonts w:hint="eastAsia" w:ascii="宋体" w:hAnsi="宋体" w:eastAsia="宋体" w:cs="宋体"/>
                <w:color w:val="auto"/>
                <w:sz w:val="21"/>
                <w:szCs w:val="21"/>
                <w:highlight w:val="none"/>
              </w:rPr>
            </w:pPr>
          </w:p>
        </w:tc>
        <w:tc>
          <w:tcPr>
            <w:tcW w:w="1245" w:type="dxa"/>
            <w:vAlign w:val="center"/>
          </w:tcPr>
          <w:p w14:paraId="3822259E">
            <w:pPr>
              <w:pStyle w:val="9"/>
              <w:keepNext/>
              <w:spacing w:line="440" w:lineRule="exact"/>
              <w:ind w:left="63" w:right="63"/>
              <w:rPr>
                <w:rFonts w:hint="eastAsia" w:ascii="宋体" w:hAnsi="宋体" w:eastAsia="宋体" w:cs="宋体"/>
                <w:color w:val="auto"/>
                <w:sz w:val="21"/>
                <w:szCs w:val="21"/>
                <w:highlight w:val="none"/>
              </w:rPr>
            </w:pPr>
          </w:p>
        </w:tc>
        <w:tc>
          <w:tcPr>
            <w:tcW w:w="1020" w:type="dxa"/>
            <w:vAlign w:val="center"/>
          </w:tcPr>
          <w:p w14:paraId="1C376028">
            <w:pPr>
              <w:pStyle w:val="9"/>
              <w:keepNext/>
              <w:spacing w:line="440" w:lineRule="exact"/>
              <w:ind w:left="63" w:right="63"/>
              <w:rPr>
                <w:rFonts w:hint="eastAsia" w:ascii="宋体" w:hAnsi="宋体" w:eastAsia="宋体" w:cs="宋体"/>
                <w:color w:val="auto"/>
                <w:sz w:val="21"/>
                <w:szCs w:val="21"/>
                <w:highlight w:val="none"/>
              </w:rPr>
            </w:pPr>
          </w:p>
        </w:tc>
        <w:tc>
          <w:tcPr>
            <w:tcW w:w="781" w:type="dxa"/>
            <w:vAlign w:val="center"/>
          </w:tcPr>
          <w:p w14:paraId="0B8280CA">
            <w:pPr>
              <w:pStyle w:val="9"/>
              <w:keepNext/>
              <w:spacing w:line="440" w:lineRule="exact"/>
              <w:ind w:left="63" w:right="63"/>
              <w:rPr>
                <w:rFonts w:hint="eastAsia" w:ascii="宋体" w:hAnsi="宋体" w:eastAsia="宋体" w:cs="宋体"/>
                <w:color w:val="auto"/>
                <w:sz w:val="21"/>
                <w:szCs w:val="21"/>
                <w:highlight w:val="none"/>
              </w:rPr>
            </w:pPr>
          </w:p>
        </w:tc>
        <w:tc>
          <w:tcPr>
            <w:tcW w:w="778" w:type="dxa"/>
            <w:vAlign w:val="center"/>
          </w:tcPr>
          <w:p w14:paraId="507503C9">
            <w:pPr>
              <w:pStyle w:val="9"/>
              <w:keepNext/>
              <w:spacing w:line="440" w:lineRule="exact"/>
              <w:ind w:left="63" w:right="63"/>
              <w:rPr>
                <w:rFonts w:hint="eastAsia" w:ascii="宋体" w:hAnsi="宋体" w:eastAsia="宋体" w:cs="宋体"/>
                <w:color w:val="auto"/>
                <w:sz w:val="21"/>
                <w:szCs w:val="21"/>
                <w:highlight w:val="none"/>
              </w:rPr>
            </w:pPr>
          </w:p>
        </w:tc>
        <w:tc>
          <w:tcPr>
            <w:tcW w:w="797" w:type="dxa"/>
            <w:vAlign w:val="center"/>
          </w:tcPr>
          <w:p w14:paraId="1ED8F87F">
            <w:pPr>
              <w:pStyle w:val="9"/>
              <w:keepNext/>
              <w:spacing w:line="440" w:lineRule="exact"/>
              <w:ind w:left="63" w:right="63"/>
              <w:rPr>
                <w:rFonts w:hint="eastAsia" w:ascii="宋体" w:hAnsi="宋体" w:eastAsia="宋体" w:cs="宋体"/>
                <w:color w:val="auto"/>
                <w:sz w:val="21"/>
                <w:szCs w:val="21"/>
                <w:highlight w:val="none"/>
              </w:rPr>
            </w:pPr>
          </w:p>
        </w:tc>
        <w:tc>
          <w:tcPr>
            <w:tcW w:w="1189" w:type="dxa"/>
            <w:vAlign w:val="center"/>
          </w:tcPr>
          <w:p w14:paraId="1840EB9C">
            <w:pPr>
              <w:pStyle w:val="9"/>
              <w:keepNext/>
              <w:spacing w:line="440" w:lineRule="exact"/>
              <w:ind w:left="63" w:right="63"/>
              <w:rPr>
                <w:rFonts w:hint="eastAsia" w:ascii="宋体" w:hAnsi="宋体" w:eastAsia="宋体" w:cs="宋体"/>
                <w:color w:val="auto"/>
                <w:sz w:val="21"/>
                <w:szCs w:val="21"/>
                <w:highlight w:val="none"/>
              </w:rPr>
            </w:pPr>
          </w:p>
        </w:tc>
        <w:tc>
          <w:tcPr>
            <w:tcW w:w="1435" w:type="dxa"/>
            <w:vAlign w:val="center"/>
          </w:tcPr>
          <w:p w14:paraId="0B7CEAA3">
            <w:pPr>
              <w:pStyle w:val="9"/>
              <w:keepNext/>
              <w:spacing w:line="440" w:lineRule="exact"/>
              <w:ind w:left="63" w:right="63"/>
              <w:rPr>
                <w:rFonts w:hint="eastAsia" w:ascii="宋体" w:hAnsi="宋体" w:eastAsia="宋体" w:cs="宋体"/>
                <w:color w:val="auto"/>
                <w:sz w:val="21"/>
                <w:szCs w:val="21"/>
                <w:highlight w:val="none"/>
              </w:rPr>
            </w:pPr>
          </w:p>
        </w:tc>
        <w:tc>
          <w:tcPr>
            <w:tcW w:w="890" w:type="dxa"/>
            <w:vAlign w:val="center"/>
          </w:tcPr>
          <w:p w14:paraId="13D478C0">
            <w:pPr>
              <w:pStyle w:val="9"/>
              <w:keepNext/>
              <w:spacing w:line="440" w:lineRule="exact"/>
              <w:ind w:left="63" w:right="63"/>
              <w:rPr>
                <w:rFonts w:hint="eastAsia" w:ascii="宋体" w:hAnsi="宋体" w:eastAsia="宋体" w:cs="宋体"/>
                <w:color w:val="auto"/>
                <w:sz w:val="21"/>
                <w:szCs w:val="21"/>
                <w:highlight w:val="none"/>
              </w:rPr>
            </w:pPr>
          </w:p>
        </w:tc>
        <w:tc>
          <w:tcPr>
            <w:tcW w:w="900" w:type="dxa"/>
            <w:vAlign w:val="center"/>
          </w:tcPr>
          <w:p w14:paraId="57C484D9">
            <w:pPr>
              <w:pStyle w:val="9"/>
              <w:keepNext/>
              <w:spacing w:line="440" w:lineRule="exact"/>
              <w:ind w:left="63" w:right="63"/>
              <w:rPr>
                <w:rFonts w:hint="eastAsia" w:ascii="宋体" w:hAnsi="宋体" w:eastAsia="宋体" w:cs="宋体"/>
                <w:color w:val="auto"/>
                <w:sz w:val="21"/>
                <w:szCs w:val="21"/>
                <w:highlight w:val="none"/>
              </w:rPr>
            </w:pPr>
          </w:p>
        </w:tc>
      </w:tr>
      <w:tr w14:paraId="2B345D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392" w:type="dxa"/>
            <w:tcBorders>
              <w:top w:val="nil"/>
            </w:tcBorders>
            <w:vAlign w:val="center"/>
          </w:tcPr>
          <w:p w14:paraId="0C9BB7A3">
            <w:pPr>
              <w:pStyle w:val="9"/>
              <w:keepNext/>
              <w:spacing w:line="440" w:lineRule="exact"/>
              <w:ind w:left="63" w:right="63"/>
              <w:rPr>
                <w:rFonts w:hint="eastAsia" w:ascii="宋体" w:hAnsi="宋体" w:eastAsia="宋体" w:cs="宋体"/>
                <w:color w:val="auto"/>
                <w:sz w:val="21"/>
                <w:szCs w:val="21"/>
                <w:highlight w:val="none"/>
              </w:rPr>
            </w:pPr>
          </w:p>
        </w:tc>
        <w:tc>
          <w:tcPr>
            <w:tcW w:w="1245" w:type="dxa"/>
            <w:tcBorders>
              <w:top w:val="nil"/>
            </w:tcBorders>
            <w:vAlign w:val="center"/>
          </w:tcPr>
          <w:p w14:paraId="1A0A70F6">
            <w:pPr>
              <w:pStyle w:val="9"/>
              <w:keepNext/>
              <w:spacing w:line="440" w:lineRule="exact"/>
              <w:ind w:left="63" w:right="63"/>
              <w:rPr>
                <w:rFonts w:hint="eastAsia" w:ascii="宋体" w:hAnsi="宋体" w:eastAsia="宋体" w:cs="宋体"/>
                <w:color w:val="auto"/>
                <w:sz w:val="21"/>
                <w:szCs w:val="21"/>
                <w:highlight w:val="none"/>
              </w:rPr>
            </w:pPr>
          </w:p>
        </w:tc>
        <w:tc>
          <w:tcPr>
            <w:tcW w:w="1020" w:type="dxa"/>
            <w:tcBorders>
              <w:top w:val="nil"/>
            </w:tcBorders>
            <w:vAlign w:val="center"/>
          </w:tcPr>
          <w:p w14:paraId="528941DB">
            <w:pPr>
              <w:pStyle w:val="9"/>
              <w:keepNext/>
              <w:spacing w:line="440" w:lineRule="exact"/>
              <w:ind w:left="63" w:right="63"/>
              <w:rPr>
                <w:rFonts w:hint="eastAsia" w:ascii="宋体" w:hAnsi="宋体" w:eastAsia="宋体" w:cs="宋体"/>
                <w:color w:val="auto"/>
                <w:sz w:val="21"/>
                <w:szCs w:val="21"/>
                <w:highlight w:val="none"/>
              </w:rPr>
            </w:pPr>
          </w:p>
        </w:tc>
        <w:tc>
          <w:tcPr>
            <w:tcW w:w="781" w:type="dxa"/>
            <w:tcBorders>
              <w:top w:val="nil"/>
            </w:tcBorders>
            <w:vAlign w:val="center"/>
          </w:tcPr>
          <w:p w14:paraId="572DCD4F">
            <w:pPr>
              <w:pStyle w:val="9"/>
              <w:keepNext/>
              <w:spacing w:line="440" w:lineRule="exact"/>
              <w:ind w:left="63" w:right="63"/>
              <w:rPr>
                <w:rFonts w:hint="eastAsia" w:ascii="宋体" w:hAnsi="宋体" w:eastAsia="宋体" w:cs="宋体"/>
                <w:color w:val="auto"/>
                <w:sz w:val="21"/>
                <w:szCs w:val="21"/>
                <w:highlight w:val="none"/>
              </w:rPr>
            </w:pPr>
          </w:p>
        </w:tc>
        <w:tc>
          <w:tcPr>
            <w:tcW w:w="778" w:type="dxa"/>
            <w:tcBorders>
              <w:top w:val="nil"/>
            </w:tcBorders>
            <w:vAlign w:val="center"/>
          </w:tcPr>
          <w:p w14:paraId="1526FCFF">
            <w:pPr>
              <w:pStyle w:val="9"/>
              <w:keepNext/>
              <w:spacing w:line="440" w:lineRule="exact"/>
              <w:ind w:left="63" w:right="63"/>
              <w:rPr>
                <w:rFonts w:hint="eastAsia" w:ascii="宋体" w:hAnsi="宋体" w:eastAsia="宋体" w:cs="宋体"/>
                <w:color w:val="auto"/>
                <w:sz w:val="21"/>
                <w:szCs w:val="21"/>
                <w:highlight w:val="none"/>
              </w:rPr>
            </w:pPr>
          </w:p>
        </w:tc>
        <w:tc>
          <w:tcPr>
            <w:tcW w:w="797" w:type="dxa"/>
            <w:tcBorders>
              <w:top w:val="nil"/>
            </w:tcBorders>
            <w:vAlign w:val="center"/>
          </w:tcPr>
          <w:p w14:paraId="77454A41">
            <w:pPr>
              <w:pStyle w:val="9"/>
              <w:keepNext/>
              <w:spacing w:line="440" w:lineRule="exact"/>
              <w:ind w:left="63" w:right="63"/>
              <w:rPr>
                <w:rFonts w:hint="eastAsia" w:ascii="宋体" w:hAnsi="宋体" w:eastAsia="宋体" w:cs="宋体"/>
                <w:color w:val="auto"/>
                <w:sz w:val="21"/>
                <w:szCs w:val="21"/>
                <w:highlight w:val="none"/>
              </w:rPr>
            </w:pPr>
          </w:p>
        </w:tc>
        <w:tc>
          <w:tcPr>
            <w:tcW w:w="1189" w:type="dxa"/>
            <w:tcBorders>
              <w:top w:val="nil"/>
            </w:tcBorders>
            <w:vAlign w:val="center"/>
          </w:tcPr>
          <w:p w14:paraId="7408ADBC">
            <w:pPr>
              <w:pStyle w:val="9"/>
              <w:keepNext/>
              <w:spacing w:line="440" w:lineRule="exact"/>
              <w:ind w:left="63" w:right="63"/>
              <w:rPr>
                <w:rFonts w:hint="eastAsia" w:ascii="宋体" w:hAnsi="宋体" w:eastAsia="宋体" w:cs="宋体"/>
                <w:color w:val="auto"/>
                <w:sz w:val="21"/>
                <w:szCs w:val="21"/>
                <w:highlight w:val="none"/>
              </w:rPr>
            </w:pPr>
          </w:p>
        </w:tc>
        <w:tc>
          <w:tcPr>
            <w:tcW w:w="1435" w:type="dxa"/>
            <w:tcBorders>
              <w:top w:val="nil"/>
            </w:tcBorders>
            <w:vAlign w:val="center"/>
          </w:tcPr>
          <w:p w14:paraId="30691344">
            <w:pPr>
              <w:pStyle w:val="9"/>
              <w:keepNext/>
              <w:spacing w:line="440" w:lineRule="exact"/>
              <w:ind w:left="63" w:right="63"/>
              <w:rPr>
                <w:rFonts w:hint="eastAsia" w:ascii="宋体" w:hAnsi="宋体" w:eastAsia="宋体" w:cs="宋体"/>
                <w:color w:val="auto"/>
                <w:sz w:val="21"/>
                <w:szCs w:val="21"/>
                <w:highlight w:val="none"/>
              </w:rPr>
            </w:pPr>
          </w:p>
        </w:tc>
        <w:tc>
          <w:tcPr>
            <w:tcW w:w="890" w:type="dxa"/>
            <w:tcBorders>
              <w:top w:val="nil"/>
            </w:tcBorders>
            <w:vAlign w:val="center"/>
          </w:tcPr>
          <w:p w14:paraId="21EE0E8E">
            <w:pPr>
              <w:pStyle w:val="9"/>
              <w:keepNext/>
              <w:spacing w:line="440" w:lineRule="exact"/>
              <w:ind w:left="63" w:right="63"/>
              <w:rPr>
                <w:rFonts w:hint="eastAsia" w:ascii="宋体" w:hAnsi="宋体" w:eastAsia="宋体" w:cs="宋体"/>
                <w:color w:val="auto"/>
                <w:sz w:val="21"/>
                <w:szCs w:val="21"/>
                <w:highlight w:val="none"/>
              </w:rPr>
            </w:pPr>
          </w:p>
        </w:tc>
        <w:tc>
          <w:tcPr>
            <w:tcW w:w="900" w:type="dxa"/>
            <w:tcBorders>
              <w:top w:val="nil"/>
            </w:tcBorders>
            <w:vAlign w:val="center"/>
          </w:tcPr>
          <w:p w14:paraId="106A8493">
            <w:pPr>
              <w:pStyle w:val="9"/>
              <w:keepNext/>
              <w:spacing w:line="440" w:lineRule="exact"/>
              <w:ind w:left="63" w:right="63"/>
              <w:rPr>
                <w:rFonts w:hint="eastAsia" w:ascii="宋体" w:hAnsi="宋体" w:eastAsia="宋体" w:cs="宋体"/>
                <w:color w:val="auto"/>
                <w:sz w:val="21"/>
                <w:szCs w:val="21"/>
                <w:highlight w:val="none"/>
              </w:rPr>
            </w:pPr>
          </w:p>
        </w:tc>
      </w:tr>
      <w:tr w14:paraId="47618D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392" w:type="dxa"/>
            <w:vAlign w:val="center"/>
          </w:tcPr>
          <w:p w14:paraId="11336BA4">
            <w:pPr>
              <w:pStyle w:val="9"/>
              <w:keepNext/>
              <w:spacing w:line="440" w:lineRule="exact"/>
              <w:ind w:left="63" w:right="63"/>
              <w:rPr>
                <w:rFonts w:hint="eastAsia" w:ascii="宋体" w:hAnsi="宋体" w:eastAsia="宋体" w:cs="宋体"/>
                <w:color w:val="auto"/>
                <w:sz w:val="21"/>
                <w:szCs w:val="21"/>
                <w:highlight w:val="none"/>
              </w:rPr>
            </w:pPr>
          </w:p>
        </w:tc>
        <w:tc>
          <w:tcPr>
            <w:tcW w:w="1245" w:type="dxa"/>
            <w:vAlign w:val="center"/>
          </w:tcPr>
          <w:p w14:paraId="5406C52D">
            <w:pPr>
              <w:pStyle w:val="9"/>
              <w:keepNext/>
              <w:spacing w:line="440" w:lineRule="exact"/>
              <w:ind w:left="63" w:right="63"/>
              <w:rPr>
                <w:rFonts w:hint="eastAsia" w:ascii="宋体" w:hAnsi="宋体" w:eastAsia="宋体" w:cs="宋体"/>
                <w:color w:val="auto"/>
                <w:sz w:val="21"/>
                <w:szCs w:val="21"/>
                <w:highlight w:val="none"/>
              </w:rPr>
            </w:pPr>
          </w:p>
        </w:tc>
        <w:tc>
          <w:tcPr>
            <w:tcW w:w="1020" w:type="dxa"/>
            <w:vAlign w:val="center"/>
          </w:tcPr>
          <w:p w14:paraId="1D73449B">
            <w:pPr>
              <w:pStyle w:val="9"/>
              <w:keepNext/>
              <w:spacing w:line="440" w:lineRule="exact"/>
              <w:ind w:left="63" w:right="63"/>
              <w:rPr>
                <w:rFonts w:hint="eastAsia" w:ascii="宋体" w:hAnsi="宋体" w:eastAsia="宋体" w:cs="宋体"/>
                <w:color w:val="auto"/>
                <w:sz w:val="21"/>
                <w:szCs w:val="21"/>
                <w:highlight w:val="none"/>
              </w:rPr>
            </w:pPr>
          </w:p>
        </w:tc>
        <w:tc>
          <w:tcPr>
            <w:tcW w:w="781" w:type="dxa"/>
            <w:vAlign w:val="center"/>
          </w:tcPr>
          <w:p w14:paraId="4215EAAB">
            <w:pPr>
              <w:pStyle w:val="9"/>
              <w:keepNext/>
              <w:spacing w:line="440" w:lineRule="exact"/>
              <w:ind w:left="63" w:right="63"/>
              <w:rPr>
                <w:rFonts w:hint="eastAsia" w:ascii="宋体" w:hAnsi="宋体" w:eastAsia="宋体" w:cs="宋体"/>
                <w:color w:val="auto"/>
                <w:sz w:val="21"/>
                <w:szCs w:val="21"/>
                <w:highlight w:val="none"/>
              </w:rPr>
            </w:pPr>
          </w:p>
        </w:tc>
        <w:tc>
          <w:tcPr>
            <w:tcW w:w="778" w:type="dxa"/>
            <w:vAlign w:val="center"/>
          </w:tcPr>
          <w:p w14:paraId="1E24C799">
            <w:pPr>
              <w:pStyle w:val="9"/>
              <w:keepNext/>
              <w:spacing w:line="440" w:lineRule="exact"/>
              <w:ind w:left="63" w:right="63"/>
              <w:rPr>
                <w:rFonts w:hint="eastAsia" w:ascii="宋体" w:hAnsi="宋体" w:eastAsia="宋体" w:cs="宋体"/>
                <w:color w:val="auto"/>
                <w:sz w:val="21"/>
                <w:szCs w:val="21"/>
                <w:highlight w:val="none"/>
              </w:rPr>
            </w:pPr>
          </w:p>
        </w:tc>
        <w:tc>
          <w:tcPr>
            <w:tcW w:w="797" w:type="dxa"/>
            <w:vAlign w:val="center"/>
          </w:tcPr>
          <w:p w14:paraId="5D0845E2">
            <w:pPr>
              <w:pStyle w:val="9"/>
              <w:keepNext/>
              <w:spacing w:line="440" w:lineRule="exact"/>
              <w:ind w:left="63" w:right="63"/>
              <w:rPr>
                <w:rFonts w:hint="eastAsia" w:ascii="宋体" w:hAnsi="宋体" w:eastAsia="宋体" w:cs="宋体"/>
                <w:color w:val="auto"/>
                <w:sz w:val="21"/>
                <w:szCs w:val="21"/>
                <w:highlight w:val="none"/>
              </w:rPr>
            </w:pPr>
          </w:p>
        </w:tc>
        <w:tc>
          <w:tcPr>
            <w:tcW w:w="1189" w:type="dxa"/>
            <w:vAlign w:val="center"/>
          </w:tcPr>
          <w:p w14:paraId="16D008B0">
            <w:pPr>
              <w:pStyle w:val="9"/>
              <w:keepNext/>
              <w:spacing w:line="440" w:lineRule="exact"/>
              <w:ind w:left="63" w:right="63"/>
              <w:rPr>
                <w:rFonts w:hint="eastAsia" w:ascii="宋体" w:hAnsi="宋体" w:eastAsia="宋体" w:cs="宋体"/>
                <w:color w:val="auto"/>
                <w:sz w:val="21"/>
                <w:szCs w:val="21"/>
                <w:highlight w:val="none"/>
              </w:rPr>
            </w:pPr>
          </w:p>
        </w:tc>
        <w:tc>
          <w:tcPr>
            <w:tcW w:w="1435" w:type="dxa"/>
            <w:vAlign w:val="center"/>
          </w:tcPr>
          <w:p w14:paraId="0AC2199E">
            <w:pPr>
              <w:pStyle w:val="9"/>
              <w:keepNext/>
              <w:spacing w:line="440" w:lineRule="exact"/>
              <w:ind w:left="63" w:right="63"/>
              <w:rPr>
                <w:rFonts w:hint="eastAsia" w:ascii="宋体" w:hAnsi="宋体" w:eastAsia="宋体" w:cs="宋体"/>
                <w:color w:val="auto"/>
                <w:sz w:val="21"/>
                <w:szCs w:val="21"/>
                <w:highlight w:val="none"/>
              </w:rPr>
            </w:pPr>
          </w:p>
        </w:tc>
        <w:tc>
          <w:tcPr>
            <w:tcW w:w="890" w:type="dxa"/>
            <w:vAlign w:val="center"/>
          </w:tcPr>
          <w:p w14:paraId="33852F97">
            <w:pPr>
              <w:pStyle w:val="9"/>
              <w:keepNext/>
              <w:spacing w:line="440" w:lineRule="exact"/>
              <w:ind w:left="63" w:right="63"/>
              <w:rPr>
                <w:rFonts w:hint="eastAsia" w:ascii="宋体" w:hAnsi="宋体" w:eastAsia="宋体" w:cs="宋体"/>
                <w:color w:val="auto"/>
                <w:sz w:val="21"/>
                <w:szCs w:val="21"/>
                <w:highlight w:val="none"/>
              </w:rPr>
            </w:pPr>
          </w:p>
        </w:tc>
        <w:tc>
          <w:tcPr>
            <w:tcW w:w="900" w:type="dxa"/>
            <w:vAlign w:val="center"/>
          </w:tcPr>
          <w:p w14:paraId="4345E16B">
            <w:pPr>
              <w:pStyle w:val="9"/>
              <w:keepNext/>
              <w:spacing w:line="440" w:lineRule="exact"/>
              <w:ind w:left="63" w:right="63"/>
              <w:rPr>
                <w:rFonts w:hint="eastAsia" w:ascii="宋体" w:hAnsi="宋体" w:eastAsia="宋体" w:cs="宋体"/>
                <w:color w:val="auto"/>
                <w:sz w:val="21"/>
                <w:szCs w:val="21"/>
                <w:highlight w:val="none"/>
              </w:rPr>
            </w:pPr>
          </w:p>
        </w:tc>
      </w:tr>
      <w:tr w14:paraId="323B9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392" w:type="dxa"/>
            <w:tcBorders>
              <w:top w:val="nil"/>
            </w:tcBorders>
            <w:vAlign w:val="center"/>
          </w:tcPr>
          <w:p w14:paraId="0E3AEEB0">
            <w:pPr>
              <w:pStyle w:val="9"/>
              <w:keepNext/>
              <w:spacing w:line="440" w:lineRule="exact"/>
              <w:ind w:left="63" w:right="63"/>
              <w:rPr>
                <w:rFonts w:hint="eastAsia" w:ascii="宋体" w:hAnsi="宋体" w:eastAsia="宋体" w:cs="宋体"/>
                <w:color w:val="auto"/>
                <w:sz w:val="21"/>
                <w:szCs w:val="21"/>
                <w:highlight w:val="none"/>
              </w:rPr>
            </w:pPr>
          </w:p>
        </w:tc>
        <w:tc>
          <w:tcPr>
            <w:tcW w:w="1245" w:type="dxa"/>
            <w:tcBorders>
              <w:top w:val="nil"/>
            </w:tcBorders>
            <w:vAlign w:val="center"/>
          </w:tcPr>
          <w:p w14:paraId="158458FA">
            <w:pPr>
              <w:pStyle w:val="9"/>
              <w:keepNext/>
              <w:spacing w:line="440" w:lineRule="exact"/>
              <w:ind w:left="63" w:right="63"/>
              <w:rPr>
                <w:rFonts w:hint="eastAsia" w:ascii="宋体" w:hAnsi="宋体" w:eastAsia="宋体" w:cs="宋体"/>
                <w:color w:val="auto"/>
                <w:sz w:val="21"/>
                <w:szCs w:val="21"/>
                <w:highlight w:val="none"/>
              </w:rPr>
            </w:pPr>
          </w:p>
        </w:tc>
        <w:tc>
          <w:tcPr>
            <w:tcW w:w="1020" w:type="dxa"/>
            <w:tcBorders>
              <w:top w:val="nil"/>
            </w:tcBorders>
            <w:vAlign w:val="center"/>
          </w:tcPr>
          <w:p w14:paraId="43049ECD">
            <w:pPr>
              <w:pStyle w:val="9"/>
              <w:keepNext/>
              <w:spacing w:line="440" w:lineRule="exact"/>
              <w:ind w:left="63" w:right="63"/>
              <w:rPr>
                <w:rFonts w:hint="eastAsia" w:ascii="宋体" w:hAnsi="宋体" w:eastAsia="宋体" w:cs="宋体"/>
                <w:color w:val="auto"/>
                <w:sz w:val="21"/>
                <w:szCs w:val="21"/>
                <w:highlight w:val="none"/>
              </w:rPr>
            </w:pPr>
          </w:p>
        </w:tc>
        <w:tc>
          <w:tcPr>
            <w:tcW w:w="781" w:type="dxa"/>
            <w:tcBorders>
              <w:top w:val="nil"/>
            </w:tcBorders>
            <w:vAlign w:val="center"/>
          </w:tcPr>
          <w:p w14:paraId="28C7D1EC">
            <w:pPr>
              <w:pStyle w:val="9"/>
              <w:keepNext/>
              <w:spacing w:line="440" w:lineRule="exact"/>
              <w:ind w:left="63" w:right="63"/>
              <w:rPr>
                <w:rFonts w:hint="eastAsia" w:ascii="宋体" w:hAnsi="宋体" w:eastAsia="宋体" w:cs="宋体"/>
                <w:color w:val="auto"/>
                <w:sz w:val="21"/>
                <w:szCs w:val="21"/>
                <w:highlight w:val="none"/>
              </w:rPr>
            </w:pPr>
          </w:p>
        </w:tc>
        <w:tc>
          <w:tcPr>
            <w:tcW w:w="778" w:type="dxa"/>
            <w:tcBorders>
              <w:top w:val="nil"/>
            </w:tcBorders>
            <w:vAlign w:val="center"/>
          </w:tcPr>
          <w:p w14:paraId="768C6A9D">
            <w:pPr>
              <w:pStyle w:val="9"/>
              <w:keepNext/>
              <w:spacing w:line="440" w:lineRule="exact"/>
              <w:ind w:left="63" w:right="63"/>
              <w:rPr>
                <w:rFonts w:hint="eastAsia" w:ascii="宋体" w:hAnsi="宋体" w:eastAsia="宋体" w:cs="宋体"/>
                <w:color w:val="auto"/>
                <w:sz w:val="21"/>
                <w:szCs w:val="21"/>
                <w:highlight w:val="none"/>
              </w:rPr>
            </w:pPr>
          </w:p>
        </w:tc>
        <w:tc>
          <w:tcPr>
            <w:tcW w:w="797" w:type="dxa"/>
            <w:tcBorders>
              <w:top w:val="nil"/>
            </w:tcBorders>
            <w:vAlign w:val="center"/>
          </w:tcPr>
          <w:p w14:paraId="4C6E3EF5">
            <w:pPr>
              <w:pStyle w:val="9"/>
              <w:keepNext/>
              <w:spacing w:line="440" w:lineRule="exact"/>
              <w:ind w:left="63" w:right="63"/>
              <w:rPr>
                <w:rFonts w:hint="eastAsia" w:ascii="宋体" w:hAnsi="宋体" w:eastAsia="宋体" w:cs="宋体"/>
                <w:color w:val="auto"/>
                <w:sz w:val="21"/>
                <w:szCs w:val="21"/>
                <w:highlight w:val="none"/>
              </w:rPr>
            </w:pPr>
          </w:p>
        </w:tc>
        <w:tc>
          <w:tcPr>
            <w:tcW w:w="1189" w:type="dxa"/>
            <w:tcBorders>
              <w:top w:val="nil"/>
            </w:tcBorders>
            <w:vAlign w:val="center"/>
          </w:tcPr>
          <w:p w14:paraId="68903313">
            <w:pPr>
              <w:pStyle w:val="9"/>
              <w:keepNext/>
              <w:spacing w:line="440" w:lineRule="exact"/>
              <w:ind w:left="63" w:right="63"/>
              <w:rPr>
                <w:rFonts w:hint="eastAsia" w:ascii="宋体" w:hAnsi="宋体" w:eastAsia="宋体" w:cs="宋体"/>
                <w:color w:val="auto"/>
                <w:sz w:val="21"/>
                <w:szCs w:val="21"/>
                <w:highlight w:val="none"/>
              </w:rPr>
            </w:pPr>
          </w:p>
        </w:tc>
        <w:tc>
          <w:tcPr>
            <w:tcW w:w="1435" w:type="dxa"/>
            <w:tcBorders>
              <w:top w:val="nil"/>
            </w:tcBorders>
            <w:vAlign w:val="center"/>
          </w:tcPr>
          <w:p w14:paraId="23E7543B">
            <w:pPr>
              <w:pStyle w:val="9"/>
              <w:keepNext/>
              <w:spacing w:line="440" w:lineRule="exact"/>
              <w:ind w:left="63" w:right="63"/>
              <w:rPr>
                <w:rFonts w:hint="eastAsia" w:ascii="宋体" w:hAnsi="宋体" w:eastAsia="宋体" w:cs="宋体"/>
                <w:color w:val="auto"/>
                <w:sz w:val="21"/>
                <w:szCs w:val="21"/>
                <w:highlight w:val="none"/>
              </w:rPr>
            </w:pPr>
          </w:p>
        </w:tc>
        <w:tc>
          <w:tcPr>
            <w:tcW w:w="890" w:type="dxa"/>
            <w:tcBorders>
              <w:top w:val="nil"/>
            </w:tcBorders>
            <w:vAlign w:val="center"/>
          </w:tcPr>
          <w:p w14:paraId="6205BE36">
            <w:pPr>
              <w:pStyle w:val="9"/>
              <w:keepNext/>
              <w:spacing w:line="440" w:lineRule="exact"/>
              <w:ind w:left="63" w:right="63"/>
              <w:rPr>
                <w:rFonts w:hint="eastAsia" w:ascii="宋体" w:hAnsi="宋体" w:eastAsia="宋体" w:cs="宋体"/>
                <w:color w:val="auto"/>
                <w:sz w:val="21"/>
                <w:szCs w:val="21"/>
                <w:highlight w:val="none"/>
              </w:rPr>
            </w:pPr>
          </w:p>
        </w:tc>
        <w:tc>
          <w:tcPr>
            <w:tcW w:w="900" w:type="dxa"/>
            <w:tcBorders>
              <w:top w:val="nil"/>
            </w:tcBorders>
            <w:vAlign w:val="center"/>
          </w:tcPr>
          <w:p w14:paraId="54E5B9B4">
            <w:pPr>
              <w:pStyle w:val="9"/>
              <w:keepNext/>
              <w:spacing w:line="440" w:lineRule="exact"/>
              <w:ind w:left="63" w:right="63"/>
              <w:rPr>
                <w:rFonts w:hint="eastAsia" w:ascii="宋体" w:hAnsi="宋体" w:eastAsia="宋体" w:cs="宋体"/>
                <w:color w:val="auto"/>
                <w:sz w:val="21"/>
                <w:szCs w:val="21"/>
                <w:highlight w:val="none"/>
              </w:rPr>
            </w:pPr>
          </w:p>
        </w:tc>
      </w:tr>
      <w:tr w14:paraId="3B0158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392" w:type="dxa"/>
            <w:tcBorders>
              <w:top w:val="nil"/>
            </w:tcBorders>
            <w:vAlign w:val="center"/>
          </w:tcPr>
          <w:p w14:paraId="39081CCD">
            <w:pPr>
              <w:pStyle w:val="9"/>
              <w:keepNext/>
              <w:spacing w:line="440" w:lineRule="exact"/>
              <w:ind w:left="63" w:right="63"/>
              <w:rPr>
                <w:rFonts w:hint="eastAsia" w:ascii="宋体" w:hAnsi="宋体" w:eastAsia="宋体" w:cs="宋体"/>
                <w:color w:val="auto"/>
                <w:sz w:val="21"/>
                <w:szCs w:val="21"/>
                <w:highlight w:val="none"/>
              </w:rPr>
            </w:pPr>
          </w:p>
        </w:tc>
        <w:tc>
          <w:tcPr>
            <w:tcW w:w="1245" w:type="dxa"/>
            <w:tcBorders>
              <w:top w:val="nil"/>
            </w:tcBorders>
            <w:vAlign w:val="center"/>
          </w:tcPr>
          <w:p w14:paraId="461EF819">
            <w:pPr>
              <w:pStyle w:val="9"/>
              <w:keepNext/>
              <w:spacing w:line="440" w:lineRule="exact"/>
              <w:ind w:left="63" w:right="63"/>
              <w:rPr>
                <w:rFonts w:hint="eastAsia" w:ascii="宋体" w:hAnsi="宋体" w:eastAsia="宋体" w:cs="宋体"/>
                <w:color w:val="auto"/>
                <w:sz w:val="21"/>
                <w:szCs w:val="21"/>
                <w:highlight w:val="none"/>
              </w:rPr>
            </w:pPr>
          </w:p>
        </w:tc>
        <w:tc>
          <w:tcPr>
            <w:tcW w:w="1020" w:type="dxa"/>
            <w:tcBorders>
              <w:top w:val="nil"/>
            </w:tcBorders>
            <w:vAlign w:val="center"/>
          </w:tcPr>
          <w:p w14:paraId="530F9D6D">
            <w:pPr>
              <w:pStyle w:val="9"/>
              <w:keepNext/>
              <w:spacing w:line="440" w:lineRule="exact"/>
              <w:ind w:left="63" w:right="63"/>
              <w:rPr>
                <w:rFonts w:hint="eastAsia" w:ascii="宋体" w:hAnsi="宋体" w:eastAsia="宋体" w:cs="宋体"/>
                <w:color w:val="auto"/>
                <w:sz w:val="21"/>
                <w:szCs w:val="21"/>
                <w:highlight w:val="none"/>
              </w:rPr>
            </w:pPr>
          </w:p>
        </w:tc>
        <w:tc>
          <w:tcPr>
            <w:tcW w:w="781" w:type="dxa"/>
            <w:tcBorders>
              <w:top w:val="nil"/>
            </w:tcBorders>
            <w:vAlign w:val="center"/>
          </w:tcPr>
          <w:p w14:paraId="7ADA2968">
            <w:pPr>
              <w:pStyle w:val="9"/>
              <w:keepNext/>
              <w:spacing w:line="440" w:lineRule="exact"/>
              <w:ind w:left="63" w:right="63"/>
              <w:rPr>
                <w:rFonts w:hint="eastAsia" w:ascii="宋体" w:hAnsi="宋体" w:eastAsia="宋体" w:cs="宋体"/>
                <w:color w:val="auto"/>
                <w:sz w:val="21"/>
                <w:szCs w:val="21"/>
                <w:highlight w:val="none"/>
              </w:rPr>
            </w:pPr>
          </w:p>
        </w:tc>
        <w:tc>
          <w:tcPr>
            <w:tcW w:w="778" w:type="dxa"/>
            <w:tcBorders>
              <w:top w:val="nil"/>
            </w:tcBorders>
            <w:vAlign w:val="center"/>
          </w:tcPr>
          <w:p w14:paraId="33C535A8">
            <w:pPr>
              <w:pStyle w:val="9"/>
              <w:keepNext/>
              <w:spacing w:line="440" w:lineRule="exact"/>
              <w:ind w:left="63" w:right="63"/>
              <w:rPr>
                <w:rFonts w:hint="eastAsia" w:ascii="宋体" w:hAnsi="宋体" w:eastAsia="宋体" w:cs="宋体"/>
                <w:color w:val="auto"/>
                <w:sz w:val="21"/>
                <w:szCs w:val="21"/>
                <w:highlight w:val="none"/>
              </w:rPr>
            </w:pPr>
          </w:p>
        </w:tc>
        <w:tc>
          <w:tcPr>
            <w:tcW w:w="797" w:type="dxa"/>
            <w:tcBorders>
              <w:top w:val="nil"/>
            </w:tcBorders>
            <w:vAlign w:val="center"/>
          </w:tcPr>
          <w:p w14:paraId="7206C83A">
            <w:pPr>
              <w:pStyle w:val="9"/>
              <w:keepNext/>
              <w:spacing w:line="440" w:lineRule="exact"/>
              <w:ind w:left="63" w:right="63"/>
              <w:rPr>
                <w:rFonts w:hint="eastAsia" w:ascii="宋体" w:hAnsi="宋体" w:eastAsia="宋体" w:cs="宋体"/>
                <w:color w:val="auto"/>
                <w:sz w:val="21"/>
                <w:szCs w:val="21"/>
                <w:highlight w:val="none"/>
              </w:rPr>
            </w:pPr>
          </w:p>
        </w:tc>
        <w:tc>
          <w:tcPr>
            <w:tcW w:w="1189" w:type="dxa"/>
            <w:tcBorders>
              <w:top w:val="nil"/>
            </w:tcBorders>
            <w:vAlign w:val="center"/>
          </w:tcPr>
          <w:p w14:paraId="739ABB37">
            <w:pPr>
              <w:pStyle w:val="9"/>
              <w:keepNext/>
              <w:spacing w:line="440" w:lineRule="exact"/>
              <w:ind w:left="63" w:right="63"/>
              <w:rPr>
                <w:rFonts w:hint="eastAsia" w:ascii="宋体" w:hAnsi="宋体" w:eastAsia="宋体" w:cs="宋体"/>
                <w:color w:val="auto"/>
                <w:sz w:val="21"/>
                <w:szCs w:val="21"/>
                <w:highlight w:val="none"/>
              </w:rPr>
            </w:pPr>
          </w:p>
        </w:tc>
        <w:tc>
          <w:tcPr>
            <w:tcW w:w="1435" w:type="dxa"/>
            <w:tcBorders>
              <w:top w:val="nil"/>
            </w:tcBorders>
            <w:vAlign w:val="center"/>
          </w:tcPr>
          <w:p w14:paraId="519FA17B">
            <w:pPr>
              <w:pStyle w:val="9"/>
              <w:keepNext/>
              <w:spacing w:line="440" w:lineRule="exact"/>
              <w:ind w:left="63" w:right="63"/>
              <w:rPr>
                <w:rFonts w:hint="eastAsia" w:ascii="宋体" w:hAnsi="宋体" w:eastAsia="宋体" w:cs="宋体"/>
                <w:color w:val="auto"/>
                <w:sz w:val="21"/>
                <w:szCs w:val="21"/>
                <w:highlight w:val="none"/>
              </w:rPr>
            </w:pPr>
          </w:p>
        </w:tc>
        <w:tc>
          <w:tcPr>
            <w:tcW w:w="890" w:type="dxa"/>
            <w:tcBorders>
              <w:top w:val="nil"/>
            </w:tcBorders>
            <w:vAlign w:val="center"/>
          </w:tcPr>
          <w:p w14:paraId="16059E3B">
            <w:pPr>
              <w:pStyle w:val="9"/>
              <w:keepNext/>
              <w:spacing w:line="440" w:lineRule="exact"/>
              <w:ind w:left="63" w:right="63"/>
              <w:rPr>
                <w:rFonts w:hint="eastAsia" w:ascii="宋体" w:hAnsi="宋体" w:eastAsia="宋体" w:cs="宋体"/>
                <w:color w:val="auto"/>
                <w:sz w:val="21"/>
                <w:szCs w:val="21"/>
                <w:highlight w:val="none"/>
              </w:rPr>
            </w:pPr>
          </w:p>
        </w:tc>
        <w:tc>
          <w:tcPr>
            <w:tcW w:w="900" w:type="dxa"/>
            <w:tcBorders>
              <w:top w:val="nil"/>
            </w:tcBorders>
            <w:vAlign w:val="center"/>
          </w:tcPr>
          <w:p w14:paraId="2D998314">
            <w:pPr>
              <w:pStyle w:val="9"/>
              <w:keepNext/>
              <w:spacing w:line="440" w:lineRule="exact"/>
              <w:ind w:left="63" w:right="63"/>
              <w:rPr>
                <w:rFonts w:hint="eastAsia" w:ascii="宋体" w:hAnsi="宋体" w:eastAsia="宋体" w:cs="宋体"/>
                <w:color w:val="auto"/>
                <w:sz w:val="21"/>
                <w:szCs w:val="21"/>
                <w:highlight w:val="none"/>
              </w:rPr>
            </w:pPr>
          </w:p>
        </w:tc>
      </w:tr>
      <w:tr w14:paraId="08CCF8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392" w:type="dxa"/>
            <w:vAlign w:val="center"/>
          </w:tcPr>
          <w:p w14:paraId="3DB77D73">
            <w:pPr>
              <w:pStyle w:val="9"/>
              <w:keepNext/>
              <w:spacing w:line="440" w:lineRule="exact"/>
              <w:ind w:left="63" w:right="63"/>
              <w:rPr>
                <w:rFonts w:hint="eastAsia" w:ascii="宋体" w:hAnsi="宋体" w:eastAsia="宋体" w:cs="宋体"/>
                <w:color w:val="auto"/>
                <w:sz w:val="21"/>
                <w:szCs w:val="21"/>
                <w:highlight w:val="none"/>
              </w:rPr>
            </w:pPr>
          </w:p>
        </w:tc>
        <w:tc>
          <w:tcPr>
            <w:tcW w:w="1245" w:type="dxa"/>
            <w:vAlign w:val="center"/>
          </w:tcPr>
          <w:p w14:paraId="53FABD2C">
            <w:pPr>
              <w:pStyle w:val="9"/>
              <w:keepNext/>
              <w:spacing w:line="440" w:lineRule="exact"/>
              <w:ind w:left="63" w:right="63"/>
              <w:rPr>
                <w:rFonts w:hint="eastAsia" w:ascii="宋体" w:hAnsi="宋体" w:eastAsia="宋体" w:cs="宋体"/>
                <w:color w:val="auto"/>
                <w:sz w:val="21"/>
                <w:szCs w:val="21"/>
                <w:highlight w:val="none"/>
              </w:rPr>
            </w:pPr>
          </w:p>
        </w:tc>
        <w:tc>
          <w:tcPr>
            <w:tcW w:w="1020" w:type="dxa"/>
            <w:vAlign w:val="center"/>
          </w:tcPr>
          <w:p w14:paraId="39E4B9CE">
            <w:pPr>
              <w:pStyle w:val="9"/>
              <w:keepNext/>
              <w:spacing w:line="440" w:lineRule="exact"/>
              <w:ind w:left="63" w:right="63"/>
              <w:rPr>
                <w:rFonts w:hint="eastAsia" w:ascii="宋体" w:hAnsi="宋体" w:eastAsia="宋体" w:cs="宋体"/>
                <w:color w:val="auto"/>
                <w:sz w:val="21"/>
                <w:szCs w:val="21"/>
                <w:highlight w:val="none"/>
              </w:rPr>
            </w:pPr>
          </w:p>
        </w:tc>
        <w:tc>
          <w:tcPr>
            <w:tcW w:w="781" w:type="dxa"/>
            <w:vAlign w:val="center"/>
          </w:tcPr>
          <w:p w14:paraId="59BC8E35">
            <w:pPr>
              <w:pStyle w:val="9"/>
              <w:keepNext/>
              <w:spacing w:line="440" w:lineRule="exact"/>
              <w:ind w:left="63" w:right="63"/>
              <w:rPr>
                <w:rFonts w:hint="eastAsia" w:ascii="宋体" w:hAnsi="宋体" w:eastAsia="宋体" w:cs="宋体"/>
                <w:color w:val="auto"/>
                <w:sz w:val="21"/>
                <w:szCs w:val="21"/>
                <w:highlight w:val="none"/>
              </w:rPr>
            </w:pPr>
          </w:p>
        </w:tc>
        <w:tc>
          <w:tcPr>
            <w:tcW w:w="778" w:type="dxa"/>
            <w:vAlign w:val="center"/>
          </w:tcPr>
          <w:p w14:paraId="414A6D32">
            <w:pPr>
              <w:pStyle w:val="9"/>
              <w:keepNext/>
              <w:spacing w:line="440" w:lineRule="exact"/>
              <w:ind w:left="63" w:right="63"/>
              <w:rPr>
                <w:rFonts w:hint="eastAsia" w:ascii="宋体" w:hAnsi="宋体" w:eastAsia="宋体" w:cs="宋体"/>
                <w:color w:val="auto"/>
                <w:sz w:val="21"/>
                <w:szCs w:val="21"/>
                <w:highlight w:val="none"/>
              </w:rPr>
            </w:pPr>
          </w:p>
        </w:tc>
        <w:tc>
          <w:tcPr>
            <w:tcW w:w="797" w:type="dxa"/>
            <w:vAlign w:val="center"/>
          </w:tcPr>
          <w:p w14:paraId="0B2E8E9D">
            <w:pPr>
              <w:pStyle w:val="9"/>
              <w:keepNext/>
              <w:spacing w:line="440" w:lineRule="exact"/>
              <w:ind w:left="63" w:right="63"/>
              <w:rPr>
                <w:rFonts w:hint="eastAsia" w:ascii="宋体" w:hAnsi="宋体" w:eastAsia="宋体" w:cs="宋体"/>
                <w:color w:val="auto"/>
                <w:sz w:val="21"/>
                <w:szCs w:val="21"/>
                <w:highlight w:val="none"/>
              </w:rPr>
            </w:pPr>
          </w:p>
        </w:tc>
        <w:tc>
          <w:tcPr>
            <w:tcW w:w="1189" w:type="dxa"/>
            <w:vAlign w:val="center"/>
          </w:tcPr>
          <w:p w14:paraId="315A34F0">
            <w:pPr>
              <w:pStyle w:val="9"/>
              <w:keepNext/>
              <w:spacing w:line="440" w:lineRule="exact"/>
              <w:ind w:left="63" w:right="63"/>
              <w:rPr>
                <w:rFonts w:hint="eastAsia" w:ascii="宋体" w:hAnsi="宋体" w:eastAsia="宋体" w:cs="宋体"/>
                <w:color w:val="auto"/>
                <w:sz w:val="21"/>
                <w:szCs w:val="21"/>
                <w:highlight w:val="none"/>
              </w:rPr>
            </w:pPr>
          </w:p>
        </w:tc>
        <w:tc>
          <w:tcPr>
            <w:tcW w:w="1435" w:type="dxa"/>
            <w:vAlign w:val="center"/>
          </w:tcPr>
          <w:p w14:paraId="28496F31">
            <w:pPr>
              <w:pStyle w:val="9"/>
              <w:keepNext/>
              <w:spacing w:line="440" w:lineRule="exact"/>
              <w:ind w:left="63" w:right="63"/>
              <w:rPr>
                <w:rFonts w:hint="eastAsia" w:ascii="宋体" w:hAnsi="宋体" w:eastAsia="宋体" w:cs="宋体"/>
                <w:color w:val="auto"/>
                <w:sz w:val="21"/>
                <w:szCs w:val="21"/>
                <w:highlight w:val="none"/>
              </w:rPr>
            </w:pPr>
          </w:p>
        </w:tc>
        <w:tc>
          <w:tcPr>
            <w:tcW w:w="890" w:type="dxa"/>
            <w:vAlign w:val="center"/>
          </w:tcPr>
          <w:p w14:paraId="28EF6D61">
            <w:pPr>
              <w:pStyle w:val="9"/>
              <w:keepNext/>
              <w:spacing w:line="440" w:lineRule="exact"/>
              <w:ind w:left="63" w:right="63"/>
              <w:rPr>
                <w:rFonts w:hint="eastAsia" w:ascii="宋体" w:hAnsi="宋体" w:eastAsia="宋体" w:cs="宋体"/>
                <w:color w:val="auto"/>
                <w:sz w:val="21"/>
                <w:szCs w:val="21"/>
                <w:highlight w:val="none"/>
              </w:rPr>
            </w:pPr>
          </w:p>
        </w:tc>
        <w:tc>
          <w:tcPr>
            <w:tcW w:w="900" w:type="dxa"/>
            <w:vAlign w:val="center"/>
          </w:tcPr>
          <w:p w14:paraId="59F8BC87">
            <w:pPr>
              <w:pStyle w:val="9"/>
              <w:keepNext/>
              <w:spacing w:line="440" w:lineRule="exact"/>
              <w:ind w:left="63" w:right="63"/>
              <w:rPr>
                <w:rFonts w:hint="eastAsia" w:ascii="宋体" w:hAnsi="宋体" w:eastAsia="宋体" w:cs="宋体"/>
                <w:color w:val="auto"/>
                <w:sz w:val="21"/>
                <w:szCs w:val="21"/>
                <w:highlight w:val="none"/>
              </w:rPr>
            </w:pPr>
          </w:p>
        </w:tc>
      </w:tr>
      <w:tr w14:paraId="3E0C2C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392" w:type="dxa"/>
            <w:tcBorders>
              <w:top w:val="nil"/>
            </w:tcBorders>
            <w:vAlign w:val="center"/>
          </w:tcPr>
          <w:p w14:paraId="70AC0501">
            <w:pPr>
              <w:pStyle w:val="9"/>
              <w:keepNext/>
              <w:spacing w:line="440" w:lineRule="exact"/>
              <w:ind w:left="63" w:right="63"/>
              <w:rPr>
                <w:rFonts w:hint="eastAsia" w:ascii="宋体" w:hAnsi="宋体" w:eastAsia="宋体" w:cs="宋体"/>
                <w:color w:val="auto"/>
                <w:sz w:val="21"/>
                <w:szCs w:val="21"/>
                <w:highlight w:val="none"/>
              </w:rPr>
            </w:pPr>
          </w:p>
        </w:tc>
        <w:tc>
          <w:tcPr>
            <w:tcW w:w="1245" w:type="dxa"/>
            <w:tcBorders>
              <w:top w:val="nil"/>
            </w:tcBorders>
            <w:vAlign w:val="center"/>
          </w:tcPr>
          <w:p w14:paraId="4D2030DD">
            <w:pPr>
              <w:pStyle w:val="9"/>
              <w:keepNext/>
              <w:spacing w:line="440" w:lineRule="exact"/>
              <w:ind w:left="63" w:right="63"/>
              <w:rPr>
                <w:rFonts w:hint="eastAsia" w:ascii="宋体" w:hAnsi="宋体" w:eastAsia="宋体" w:cs="宋体"/>
                <w:color w:val="auto"/>
                <w:sz w:val="21"/>
                <w:szCs w:val="21"/>
                <w:highlight w:val="none"/>
              </w:rPr>
            </w:pPr>
          </w:p>
        </w:tc>
        <w:tc>
          <w:tcPr>
            <w:tcW w:w="1020" w:type="dxa"/>
            <w:tcBorders>
              <w:top w:val="nil"/>
            </w:tcBorders>
            <w:vAlign w:val="center"/>
          </w:tcPr>
          <w:p w14:paraId="5689B860">
            <w:pPr>
              <w:pStyle w:val="9"/>
              <w:keepNext/>
              <w:spacing w:line="440" w:lineRule="exact"/>
              <w:ind w:left="63" w:right="63"/>
              <w:rPr>
                <w:rFonts w:hint="eastAsia" w:ascii="宋体" w:hAnsi="宋体" w:eastAsia="宋体" w:cs="宋体"/>
                <w:color w:val="auto"/>
                <w:sz w:val="21"/>
                <w:szCs w:val="21"/>
                <w:highlight w:val="none"/>
              </w:rPr>
            </w:pPr>
          </w:p>
        </w:tc>
        <w:tc>
          <w:tcPr>
            <w:tcW w:w="781" w:type="dxa"/>
            <w:tcBorders>
              <w:top w:val="nil"/>
            </w:tcBorders>
            <w:vAlign w:val="center"/>
          </w:tcPr>
          <w:p w14:paraId="0FBB0A19">
            <w:pPr>
              <w:pStyle w:val="9"/>
              <w:keepNext/>
              <w:spacing w:line="440" w:lineRule="exact"/>
              <w:ind w:left="63" w:right="63"/>
              <w:rPr>
                <w:rFonts w:hint="eastAsia" w:ascii="宋体" w:hAnsi="宋体" w:eastAsia="宋体" w:cs="宋体"/>
                <w:color w:val="auto"/>
                <w:sz w:val="21"/>
                <w:szCs w:val="21"/>
                <w:highlight w:val="none"/>
              </w:rPr>
            </w:pPr>
          </w:p>
        </w:tc>
        <w:tc>
          <w:tcPr>
            <w:tcW w:w="778" w:type="dxa"/>
            <w:tcBorders>
              <w:top w:val="nil"/>
            </w:tcBorders>
            <w:vAlign w:val="center"/>
          </w:tcPr>
          <w:p w14:paraId="798D758D">
            <w:pPr>
              <w:pStyle w:val="9"/>
              <w:keepNext/>
              <w:spacing w:line="440" w:lineRule="exact"/>
              <w:ind w:left="63" w:right="63"/>
              <w:rPr>
                <w:rFonts w:hint="eastAsia" w:ascii="宋体" w:hAnsi="宋体" w:eastAsia="宋体" w:cs="宋体"/>
                <w:color w:val="auto"/>
                <w:sz w:val="21"/>
                <w:szCs w:val="21"/>
                <w:highlight w:val="none"/>
              </w:rPr>
            </w:pPr>
          </w:p>
        </w:tc>
        <w:tc>
          <w:tcPr>
            <w:tcW w:w="797" w:type="dxa"/>
            <w:tcBorders>
              <w:top w:val="nil"/>
            </w:tcBorders>
            <w:vAlign w:val="center"/>
          </w:tcPr>
          <w:p w14:paraId="58C5495E">
            <w:pPr>
              <w:pStyle w:val="9"/>
              <w:keepNext/>
              <w:spacing w:line="440" w:lineRule="exact"/>
              <w:ind w:left="63" w:right="63"/>
              <w:rPr>
                <w:rFonts w:hint="eastAsia" w:ascii="宋体" w:hAnsi="宋体" w:eastAsia="宋体" w:cs="宋体"/>
                <w:color w:val="auto"/>
                <w:sz w:val="21"/>
                <w:szCs w:val="21"/>
                <w:highlight w:val="none"/>
              </w:rPr>
            </w:pPr>
          </w:p>
        </w:tc>
        <w:tc>
          <w:tcPr>
            <w:tcW w:w="1189" w:type="dxa"/>
            <w:tcBorders>
              <w:top w:val="nil"/>
            </w:tcBorders>
            <w:vAlign w:val="center"/>
          </w:tcPr>
          <w:p w14:paraId="48B8844F">
            <w:pPr>
              <w:pStyle w:val="9"/>
              <w:keepNext/>
              <w:spacing w:line="440" w:lineRule="exact"/>
              <w:ind w:left="63" w:right="63"/>
              <w:rPr>
                <w:rFonts w:hint="eastAsia" w:ascii="宋体" w:hAnsi="宋体" w:eastAsia="宋体" w:cs="宋体"/>
                <w:color w:val="auto"/>
                <w:sz w:val="21"/>
                <w:szCs w:val="21"/>
                <w:highlight w:val="none"/>
              </w:rPr>
            </w:pPr>
          </w:p>
        </w:tc>
        <w:tc>
          <w:tcPr>
            <w:tcW w:w="1435" w:type="dxa"/>
            <w:tcBorders>
              <w:top w:val="nil"/>
            </w:tcBorders>
            <w:vAlign w:val="center"/>
          </w:tcPr>
          <w:p w14:paraId="07C17764">
            <w:pPr>
              <w:pStyle w:val="9"/>
              <w:keepNext/>
              <w:spacing w:line="440" w:lineRule="exact"/>
              <w:ind w:left="63" w:right="63"/>
              <w:rPr>
                <w:rFonts w:hint="eastAsia" w:ascii="宋体" w:hAnsi="宋体" w:eastAsia="宋体" w:cs="宋体"/>
                <w:color w:val="auto"/>
                <w:sz w:val="21"/>
                <w:szCs w:val="21"/>
                <w:highlight w:val="none"/>
              </w:rPr>
            </w:pPr>
          </w:p>
        </w:tc>
        <w:tc>
          <w:tcPr>
            <w:tcW w:w="890" w:type="dxa"/>
            <w:tcBorders>
              <w:top w:val="nil"/>
            </w:tcBorders>
            <w:vAlign w:val="center"/>
          </w:tcPr>
          <w:p w14:paraId="4D728EF5">
            <w:pPr>
              <w:pStyle w:val="9"/>
              <w:keepNext/>
              <w:spacing w:line="440" w:lineRule="exact"/>
              <w:ind w:left="63" w:right="63"/>
              <w:rPr>
                <w:rFonts w:hint="eastAsia" w:ascii="宋体" w:hAnsi="宋体" w:eastAsia="宋体" w:cs="宋体"/>
                <w:color w:val="auto"/>
                <w:sz w:val="21"/>
                <w:szCs w:val="21"/>
                <w:highlight w:val="none"/>
              </w:rPr>
            </w:pPr>
          </w:p>
        </w:tc>
        <w:tc>
          <w:tcPr>
            <w:tcW w:w="900" w:type="dxa"/>
            <w:tcBorders>
              <w:top w:val="nil"/>
            </w:tcBorders>
            <w:vAlign w:val="center"/>
          </w:tcPr>
          <w:p w14:paraId="532CF351">
            <w:pPr>
              <w:pStyle w:val="9"/>
              <w:keepNext/>
              <w:spacing w:line="440" w:lineRule="exact"/>
              <w:ind w:left="63" w:right="63"/>
              <w:rPr>
                <w:rFonts w:hint="eastAsia" w:ascii="宋体" w:hAnsi="宋体" w:eastAsia="宋体" w:cs="宋体"/>
                <w:color w:val="auto"/>
                <w:sz w:val="21"/>
                <w:szCs w:val="21"/>
                <w:highlight w:val="none"/>
              </w:rPr>
            </w:pPr>
          </w:p>
        </w:tc>
      </w:tr>
      <w:tr w14:paraId="01975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392" w:type="dxa"/>
            <w:vAlign w:val="center"/>
          </w:tcPr>
          <w:p w14:paraId="544F5699">
            <w:pPr>
              <w:pStyle w:val="9"/>
              <w:keepNext/>
              <w:spacing w:line="440" w:lineRule="exact"/>
              <w:ind w:left="63" w:right="63"/>
              <w:rPr>
                <w:rFonts w:hint="eastAsia" w:ascii="宋体" w:hAnsi="宋体" w:eastAsia="宋体" w:cs="宋体"/>
                <w:color w:val="auto"/>
                <w:sz w:val="21"/>
                <w:szCs w:val="21"/>
                <w:highlight w:val="none"/>
              </w:rPr>
            </w:pPr>
          </w:p>
        </w:tc>
        <w:tc>
          <w:tcPr>
            <w:tcW w:w="1245" w:type="dxa"/>
            <w:vAlign w:val="center"/>
          </w:tcPr>
          <w:p w14:paraId="0C347FC0">
            <w:pPr>
              <w:pStyle w:val="9"/>
              <w:keepNext/>
              <w:spacing w:line="440" w:lineRule="exact"/>
              <w:ind w:left="63" w:right="63"/>
              <w:rPr>
                <w:rFonts w:hint="eastAsia" w:ascii="宋体" w:hAnsi="宋体" w:eastAsia="宋体" w:cs="宋体"/>
                <w:color w:val="auto"/>
                <w:sz w:val="21"/>
                <w:szCs w:val="21"/>
                <w:highlight w:val="none"/>
              </w:rPr>
            </w:pPr>
          </w:p>
        </w:tc>
        <w:tc>
          <w:tcPr>
            <w:tcW w:w="1020" w:type="dxa"/>
            <w:vAlign w:val="center"/>
          </w:tcPr>
          <w:p w14:paraId="4BAE0D11">
            <w:pPr>
              <w:pStyle w:val="9"/>
              <w:keepNext/>
              <w:spacing w:line="440" w:lineRule="exact"/>
              <w:ind w:left="63" w:right="63"/>
              <w:rPr>
                <w:rFonts w:hint="eastAsia" w:ascii="宋体" w:hAnsi="宋体" w:eastAsia="宋体" w:cs="宋体"/>
                <w:color w:val="auto"/>
                <w:sz w:val="21"/>
                <w:szCs w:val="21"/>
                <w:highlight w:val="none"/>
              </w:rPr>
            </w:pPr>
          </w:p>
        </w:tc>
        <w:tc>
          <w:tcPr>
            <w:tcW w:w="781" w:type="dxa"/>
            <w:vAlign w:val="center"/>
          </w:tcPr>
          <w:p w14:paraId="020601AB">
            <w:pPr>
              <w:pStyle w:val="9"/>
              <w:keepNext/>
              <w:spacing w:line="440" w:lineRule="exact"/>
              <w:ind w:left="63" w:right="63"/>
              <w:rPr>
                <w:rFonts w:hint="eastAsia" w:ascii="宋体" w:hAnsi="宋体" w:eastAsia="宋体" w:cs="宋体"/>
                <w:color w:val="auto"/>
                <w:sz w:val="21"/>
                <w:szCs w:val="21"/>
                <w:highlight w:val="none"/>
              </w:rPr>
            </w:pPr>
          </w:p>
        </w:tc>
        <w:tc>
          <w:tcPr>
            <w:tcW w:w="778" w:type="dxa"/>
            <w:vAlign w:val="center"/>
          </w:tcPr>
          <w:p w14:paraId="1B7E1FDD">
            <w:pPr>
              <w:pStyle w:val="9"/>
              <w:keepNext/>
              <w:spacing w:line="440" w:lineRule="exact"/>
              <w:ind w:left="63" w:right="63"/>
              <w:rPr>
                <w:rFonts w:hint="eastAsia" w:ascii="宋体" w:hAnsi="宋体" w:eastAsia="宋体" w:cs="宋体"/>
                <w:color w:val="auto"/>
                <w:sz w:val="21"/>
                <w:szCs w:val="21"/>
                <w:highlight w:val="none"/>
              </w:rPr>
            </w:pPr>
          </w:p>
        </w:tc>
        <w:tc>
          <w:tcPr>
            <w:tcW w:w="797" w:type="dxa"/>
            <w:vAlign w:val="center"/>
          </w:tcPr>
          <w:p w14:paraId="12B94FBF">
            <w:pPr>
              <w:pStyle w:val="9"/>
              <w:keepNext/>
              <w:spacing w:line="440" w:lineRule="exact"/>
              <w:ind w:left="63" w:right="63"/>
              <w:rPr>
                <w:rFonts w:hint="eastAsia" w:ascii="宋体" w:hAnsi="宋体" w:eastAsia="宋体" w:cs="宋体"/>
                <w:color w:val="auto"/>
                <w:sz w:val="21"/>
                <w:szCs w:val="21"/>
                <w:highlight w:val="none"/>
              </w:rPr>
            </w:pPr>
          </w:p>
        </w:tc>
        <w:tc>
          <w:tcPr>
            <w:tcW w:w="1189" w:type="dxa"/>
            <w:vAlign w:val="center"/>
          </w:tcPr>
          <w:p w14:paraId="7BE2B7A4">
            <w:pPr>
              <w:pStyle w:val="9"/>
              <w:keepNext/>
              <w:spacing w:line="440" w:lineRule="exact"/>
              <w:ind w:left="63" w:right="63"/>
              <w:rPr>
                <w:rFonts w:hint="eastAsia" w:ascii="宋体" w:hAnsi="宋体" w:eastAsia="宋体" w:cs="宋体"/>
                <w:color w:val="auto"/>
                <w:sz w:val="21"/>
                <w:szCs w:val="21"/>
                <w:highlight w:val="none"/>
              </w:rPr>
            </w:pPr>
          </w:p>
        </w:tc>
        <w:tc>
          <w:tcPr>
            <w:tcW w:w="1435" w:type="dxa"/>
            <w:vAlign w:val="center"/>
          </w:tcPr>
          <w:p w14:paraId="3A8E236E">
            <w:pPr>
              <w:pStyle w:val="9"/>
              <w:keepNext/>
              <w:spacing w:line="440" w:lineRule="exact"/>
              <w:ind w:left="63" w:right="63"/>
              <w:rPr>
                <w:rFonts w:hint="eastAsia" w:ascii="宋体" w:hAnsi="宋体" w:eastAsia="宋体" w:cs="宋体"/>
                <w:color w:val="auto"/>
                <w:sz w:val="21"/>
                <w:szCs w:val="21"/>
                <w:highlight w:val="none"/>
              </w:rPr>
            </w:pPr>
          </w:p>
        </w:tc>
        <w:tc>
          <w:tcPr>
            <w:tcW w:w="890" w:type="dxa"/>
            <w:vAlign w:val="center"/>
          </w:tcPr>
          <w:p w14:paraId="7C722996">
            <w:pPr>
              <w:pStyle w:val="9"/>
              <w:keepNext/>
              <w:spacing w:line="440" w:lineRule="exact"/>
              <w:ind w:left="63" w:right="63"/>
              <w:rPr>
                <w:rFonts w:hint="eastAsia" w:ascii="宋体" w:hAnsi="宋体" w:eastAsia="宋体" w:cs="宋体"/>
                <w:color w:val="auto"/>
                <w:sz w:val="21"/>
                <w:szCs w:val="21"/>
                <w:highlight w:val="none"/>
              </w:rPr>
            </w:pPr>
          </w:p>
        </w:tc>
        <w:tc>
          <w:tcPr>
            <w:tcW w:w="900" w:type="dxa"/>
            <w:vAlign w:val="center"/>
          </w:tcPr>
          <w:p w14:paraId="7CAB7AC1">
            <w:pPr>
              <w:pStyle w:val="9"/>
              <w:keepNext/>
              <w:spacing w:line="440" w:lineRule="exact"/>
              <w:ind w:left="63" w:right="63"/>
              <w:rPr>
                <w:rFonts w:hint="eastAsia" w:ascii="宋体" w:hAnsi="宋体" w:eastAsia="宋体" w:cs="宋体"/>
                <w:color w:val="auto"/>
                <w:sz w:val="21"/>
                <w:szCs w:val="21"/>
                <w:highlight w:val="none"/>
              </w:rPr>
            </w:pPr>
          </w:p>
        </w:tc>
      </w:tr>
    </w:tbl>
    <w:p w14:paraId="601F176C">
      <w:pPr>
        <w:pStyle w:val="34"/>
        <w:spacing w:line="360" w:lineRule="auto"/>
        <w:jc w:val="left"/>
        <w:rPr>
          <w:rFonts w:hint="eastAsia" w:ascii="宋体" w:hAnsi="宋体" w:eastAsia="宋体" w:cs="宋体"/>
          <w:b/>
          <w:bCs/>
          <w:color w:val="auto"/>
          <w:kern w:val="2"/>
          <w:sz w:val="22"/>
          <w:szCs w:val="22"/>
          <w:highlight w:val="none"/>
        </w:rPr>
      </w:pPr>
    </w:p>
    <w:p w14:paraId="30F40BCC">
      <w:pPr>
        <w:pStyle w:val="34"/>
        <w:spacing w:line="360" w:lineRule="auto"/>
        <w:jc w:val="left"/>
        <w:rPr>
          <w:rFonts w:hint="eastAsia" w:ascii="宋体" w:hAnsi="宋体" w:eastAsia="宋体" w:cs="宋体"/>
          <w:b/>
          <w:bCs/>
          <w:color w:val="auto"/>
          <w:kern w:val="2"/>
          <w:sz w:val="22"/>
          <w:szCs w:val="22"/>
          <w:highlight w:val="none"/>
        </w:rPr>
      </w:pPr>
    </w:p>
    <w:p w14:paraId="5C0B054B">
      <w:pPr>
        <w:pStyle w:val="34"/>
        <w:spacing w:line="360" w:lineRule="auto"/>
        <w:jc w:val="left"/>
        <w:rPr>
          <w:rFonts w:hint="eastAsia" w:ascii="宋体" w:hAnsi="宋体" w:eastAsia="宋体" w:cs="宋体"/>
          <w:b/>
          <w:bCs/>
          <w:color w:val="auto"/>
          <w:kern w:val="2"/>
          <w:sz w:val="22"/>
          <w:szCs w:val="22"/>
          <w:highlight w:val="none"/>
        </w:rPr>
      </w:pPr>
    </w:p>
    <w:p w14:paraId="44414E32">
      <w:pPr>
        <w:pStyle w:val="34"/>
        <w:spacing w:line="360" w:lineRule="auto"/>
        <w:jc w:val="left"/>
        <w:rPr>
          <w:rFonts w:hint="eastAsia" w:ascii="宋体" w:hAnsi="宋体" w:eastAsia="宋体" w:cs="宋体"/>
          <w:b/>
          <w:bCs/>
          <w:color w:val="auto"/>
          <w:kern w:val="2"/>
          <w:sz w:val="22"/>
          <w:szCs w:val="22"/>
          <w:highlight w:val="none"/>
        </w:rPr>
      </w:pPr>
    </w:p>
    <w:p w14:paraId="160F2BDF">
      <w:pPr>
        <w:pStyle w:val="34"/>
        <w:spacing w:line="360" w:lineRule="auto"/>
        <w:jc w:val="left"/>
        <w:rPr>
          <w:rFonts w:hint="eastAsia" w:ascii="宋体" w:hAnsi="宋体" w:eastAsia="宋体" w:cs="宋体"/>
          <w:b/>
          <w:bCs/>
          <w:color w:val="auto"/>
          <w:kern w:val="2"/>
          <w:sz w:val="22"/>
          <w:szCs w:val="22"/>
          <w:highlight w:val="none"/>
        </w:rPr>
      </w:pPr>
    </w:p>
    <w:p w14:paraId="3C954D46">
      <w:pPr>
        <w:pStyle w:val="34"/>
        <w:spacing w:line="360" w:lineRule="auto"/>
        <w:jc w:val="left"/>
        <w:rPr>
          <w:rFonts w:hint="eastAsia" w:ascii="宋体" w:hAnsi="宋体" w:eastAsia="宋体" w:cs="宋体"/>
          <w:color w:val="auto"/>
          <w:kern w:val="2"/>
          <w:sz w:val="18"/>
          <w:szCs w:val="18"/>
          <w:highlight w:val="none"/>
        </w:rPr>
      </w:pPr>
    </w:p>
    <w:p w14:paraId="2C913985">
      <w:pPr>
        <w:pStyle w:val="34"/>
        <w:spacing w:line="360" w:lineRule="auto"/>
        <w:jc w:val="left"/>
        <w:rPr>
          <w:rFonts w:hint="eastAsia" w:ascii="宋体" w:hAnsi="宋体" w:eastAsia="宋体" w:cs="宋体"/>
          <w:color w:val="auto"/>
          <w:kern w:val="2"/>
          <w:sz w:val="18"/>
          <w:szCs w:val="18"/>
          <w:highlight w:val="none"/>
        </w:rPr>
      </w:pPr>
    </w:p>
    <w:p w14:paraId="6EA6A508">
      <w:pPr>
        <w:pStyle w:val="34"/>
        <w:spacing w:line="360" w:lineRule="auto"/>
        <w:jc w:val="left"/>
        <w:rPr>
          <w:rFonts w:hint="eastAsia" w:ascii="宋体" w:hAnsi="宋体" w:eastAsia="宋体" w:cs="宋体"/>
          <w:color w:val="auto"/>
          <w:kern w:val="2"/>
          <w:sz w:val="18"/>
          <w:szCs w:val="18"/>
          <w:highlight w:val="none"/>
        </w:rPr>
      </w:pPr>
    </w:p>
    <w:p w14:paraId="7ECE3541">
      <w:pPr>
        <w:pStyle w:val="34"/>
        <w:spacing w:line="360" w:lineRule="auto"/>
        <w:jc w:val="left"/>
        <w:rPr>
          <w:rFonts w:hint="eastAsia" w:ascii="宋体" w:hAnsi="宋体" w:eastAsia="宋体" w:cs="宋体"/>
          <w:color w:val="auto"/>
          <w:kern w:val="2"/>
          <w:sz w:val="18"/>
          <w:szCs w:val="18"/>
          <w:highlight w:val="none"/>
        </w:rPr>
      </w:pPr>
    </w:p>
    <w:p w14:paraId="40B1F702">
      <w:pPr>
        <w:pStyle w:val="34"/>
        <w:spacing w:line="360" w:lineRule="auto"/>
        <w:jc w:val="left"/>
        <w:rPr>
          <w:rFonts w:hint="eastAsia" w:ascii="宋体" w:hAnsi="宋体" w:eastAsia="宋体" w:cs="宋体"/>
          <w:color w:val="auto"/>
          <w:kern w:val="2"/>
          <w:sz w:val="18"/>
          <w:szCs w:val="18"/>
          <w:highlight w:val="none"/>
        </w:rPr>
      </w:pPr>
    </w:p>
    <w:p w14:paraId="5B3CD781">
      <w:pPr>
        <w:pStyle w:val="34"/>
        <w:spacing w:line="360" w:lineRule="auto"/>
        <w:jc w:val="left"/>
        <w:rPr>
          <w:rFonts w:hint="eastAsia" w:ascii="宋体" w:hAnsi="宋体" w:eastAsia="宋体" w:cs="宋体"/>
          <w:color w:val="auto"/>
          <w:kern w:val="2"/>
          <w:sz w:val="18"/>
          <w:szCs w:val="18"/>
          <w:highlight w:val="none"/>
        </w:rPr>
      </w:pPr>
    </w:p>
    <w:p w14:paraId="5F781BBB">
      <w:pPr>
        <w:pStyle w:val="34"/>
        <w:spacing w:line="360" w:lineRule="auto"/>
        <w:jc w:val="left"/>
        <w:rPr>
          <w:rFonts w:hint="eastAsia" w:ascii="宋体" w:hAnsi="宋体" w:eastAsia="宋体" w:cs="宋体"/>
          <w:color w:val="auto"/>
          <w:kern w:val="2"/>
          <w:sz w:val="18"/>
          <w:szCs w:val="18"/>
          <w:highlight w:val="none"/>
        </w:rPr>
      </w:pPr>
    </w:p>
    <w:p w14:paraId="76502480">
      <w:pPr>
        <w:pStyle w:val="34"/>
        <w:spacing w:line="360" w:lineRule="auto"/>
        <w:jc w:val="left"/>
        <w:rPr>
          <w:rFonts w:hint="eastAsia" w:ascii="宋体" w:hAnsi="宋体" w:eastAsia="宋体" w:cs="宋体"/>
          <w:color w:val="auto"/>
          <w:kern w:val="2"/>
          <w:sz w:val="18"/>
          <w:szCs w:val="18"/>
          <w:highlight w:val="none"/>
        </w:rPr>
      </w:pPr>
    </w:p>
    <w:p w14:paraId="1FE0F497">
      <w:pPr>
        <w:pStyle w:val="34"/>
        <w:spacing w:line="360" w:lineRule="auto"/>
        <w:jc w:val="left"/>
        <w:rPr>
          <w:rFonts w:hint="eastAsia" w:ascii="宋体" w:hAnsi="宋体" w:eastAsia="宋体" w:cs="宋体"/>
          <w:color w:val="auto"/>
          <w:kern w:val="2"/>
          <w:sz w:val="18"/>
          <w:szCs w:val="18"/>
          <w:highlight w:val="none"/>
        </w:rPr>
      </w:pPr>
    </w:p>
    <w:p w14:paraId="389E1479">
      <w:pPr>
        <w:pStyle w:val="34"/>
        <w:spacing w:line="360" w:lineRule="auto"/>
        <w:jc w:val="left"/>
        <w:rPr>
          <w:rFonts w:hint="eastAsia" w:ascii="宋体" w:hAnsi="宋体" w:eastAsia="宋体" w:cs="宋体"/>
          <w:b/>
          <w:bCs/>
          <w:color w:val="auto"/>
          <w:kern w:val="2"/>
          <w:sz w:val="22"/>
          <w:szCs w:val="22"/>
          <w:highlight w:val="none"/>
          <w:lang w:val="en-US" w:eastAsia="zh-CN"/>
        </w:rPr>
      </w:pPr>
      <w:r>
        <w:rPr>
          <w:rFonts w:hint="eastAsia" w:ascii="宋体" w:hAnsi="宋体" w:eastAsia="宋体" w:cs="宋体"/>
          <w:b/>
          <w:bCs/>
          <w:color w:val="auto"/>
          <w:kern w:val="2"/>
          <w:sz w:val="22"/>
          <w:szCs w:val="22"/>
          <w:highlight w:val="none"/>
        </w:rPr>
        <w:t>附件</w:t>
      </w:r>
      <w:r>
        <w:rPr>
          <w:rFonts w:hint="eastAsia" w:ascii="宋体" w:hAnsi="宋体" w:eastAsia="宋体" w:cs="宋体"/>
          <w:b/>
          <w:bCs/>
          <w:color w:val="auto"/>
          <w:kern w:val="2"/>
          <w:sz w:val="22"/>
          <w:szCs w:val="22"/>
          <w:highlight w:val="none"/>
          <w:lang w:val="en-US" w:eastAsia="zh-CN"/>
        </w:rPr>
        <w:t>3</w:t>
      </w:r>
    </w:p>
    <w:p w14:paraId="3AA1ED25">
      <w:pPr>
        <w:pStyle w:val="34"/>
        <w:spacing w:line="360" w:lineRule="auto"/>
        <w:jc w:val="center"/>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rPr>
        <w:t>支付担保格式</w:t>
      </w:r>
    </w:p>
    <w:p w14:paraId="7DE03398">
      <w:pPr>
        <w:spacing w:before="158" w:beforeLines="50" w:after="158" w:afterLines="50"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支付担保</w:t>
      </w:r>
    </w:p>
    <w:p w14:paraId="184F5AEA">
      <w:pPr>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（承包人）：</w:t>
      </w:r>
    </w:p>
    <w:p w14:paraId="27A7EE58">
      <w:pPr>
        <w:spacing w:line="440" w:lineRule="exact"/>
        <w:jc w:val="left"/>
        <w:rPr>
          <w:rFonts w:hint="eastAsia" w:ascii="宋体" w:hAnsi="宋体" w:eastAsia="宋体" w:cs="宋体"/>
          <w:color w:val="auto"/>
          <w:sz w:val="21"/>
          <w:szCs w:val="21"/>
          <w:highlight w:val="none"/>
        </w:rPr>
      </w:pPr>
    </w:p>
    <w:p w14:paraId="0343C3F6">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鉴于你方作为承包人已经与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（发包人名称）（以下称“发包人”）于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日签订了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（工程名称）《建设工程施工合同》（以下称“主合同”），应发包人的申请，我方愿就发包人履行主合同约定的工程款支付义务以保证的方式向你方提供如下担保：</w:t>
      </w:r>
    </w:p>
    <w:p w14:paraId="16C0B2AA">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一、保证的范围及保证金额</w:t>
      </w:r>
    </w:p>
    <w:p w14:paraId="39E39FE9">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我方的保证范围是主合同约定的工程款。</w:t>
      </w:r>
    </w:p>
    <w:p w14:paraId="24FEA25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本保函所称主合同约定的工程款是指主合同约定的除工程质量保证金以外的合同价款。</w:t>
      </w:r>
    </w:p>
    <w:p w14:paraId="2AAABD93">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我方保证的金额是主合同约定的工程款的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%，数额最高不超过人民币元（大写：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5BE5E1A">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二、保证的方式及保证期间</w:t>
      </w:r>
    </w:p>
    <w:p w14:paraId="650AAF7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我方保证的方式为：连带责任保证。</w:t>
      </w:r>
    </w:p>
    <w:p w14:paraId="2FB576DD">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我方保证的期间为：自本合同生效之日起至主合同约定的工程款支付完毕之日后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日内。</w:t>
      </w:r>
    </w:p>
    <w:p w14:paraId="259DA22A">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你方与发包人协议变更工程款支付日期的，经我方书面同意后，保证期间按照变更后的支付日期做相应调整。</w:t>
      </w:r>
    </w:p>
    <w:p w14:paraId="15657D0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三、承担保证责任的形式</w:t>
      </w:r>
    </w:p>
    <w:p w14:paraId="654EDF1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我方承担保证责任的形式是代为支付。发包人未按主合同约定向你方支付工程款的，由我方在保证金额内代为支付。</w:t>
      </w:r>
    </w:p>
    <w:p w14:paraId="0717541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四、代偿的安排</w:t>
      </w:r>
    </w:p>
    <w:p w14:paraId="4A4F2F8E">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你方要求我方承担保证责任的，应向我方发出书面索赔通知及发包人未支付主合同约定工程款的证明材料。索赔通知应写明要求索赔的金额，支付款项应到达的账号。</w:t>
      </w:r>
    </w:p>
    <w:p w14:paraId="45BC6DA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7E523D6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我方收到你方的书面索赔通知及相应的证明材料后</w:t>
      </w:r>
      <w:r>
        <w:rPr>
          <w:rFonts w:hint="eastAsia" w:ascii="宋体" w:hAnsi="宋体" w:cs="宋体"/>
          <w:color w:val="auto"/>
          <w:sz w:val="21"/>
          <w:szCs w:val="21"/>
          <w:highlight w:val="none"/>
          <w:lang w:eastAsia="zh-CN"/>
        </w:rPr>
        <w:t>7</w:t>
      </w:r>
      <w:r>
        <w:rPr>
          <w:rFonts w:hint="eastAsia" w:ascii="宋体" w:hAnsi="宋体" w:eastAsia="宋体" w:cs="宋体"/>
          <w:color w:val="auto"/>
          <w:sz w:val="21"/>
          <w:szCs w:val="21"/>
          <w:highlight w:val="none"/>
        </w:rPr>
        <w:t>天内无条件支付。</w:t>
      </w:r>
    </w:p>
    <w:p w14:paraId="54B4960F">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五、保证责任的解除</w:t>
      </w:r>
    </w:p>
    <w:p w14:paraId="039F52E8">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在本保函承诺的保证期间内，你方未书面向我方主张保证责任的，自保证期间届满次日起，我方保证责任解除。</w:t>
      </w:r>
    </w:p>
    <w:p w14:paraId="2F3B4A8A">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发包人按主合同约定履行了工程款的全部支付义务的，自本保函承诺的保证期间届满次日起，我方保证责任解除。</w:t>
      </w:r>
    </w:p>
    <w:p w14:paraId="7434B96A">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我方按照本保函向你方履行保证责任所支付金额达到本保函保证金额时，自我方向你方支付（支付款项从我方账户划出）之日起，保证责任即解除。</w:t>
      </w:r>
    </w:p>
    <w:p w14:paraId="4883037E">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按照法律法规的规定或出现应解除我方保证责任的其他情形的，我方在本保函项下的保证责任亦解除。</w:t>
      </w:r>
    </w:p>
    <w:p w14:paraId="60AB89EB">
      <w:pPr>
        <w:spacing w:line="400" w:lineRule="exact"/>
        <w:jc w:val="left"/>
        <w:rPr>
          <w:rFonts w:hint="eastAsia" w:ascii="宋体" w:hAnsi="宋体" w:eastAsia="宋体" w:cs="宋体"/>
          <w:color w:val="auto"/>
          <w:sz w:val="21"/>
          <w:szCs w:val="21"/>
          <w:highlight w:val="none"/>
        </w:rPr>
      </w:pPr>
    </w:p>
    <w:p w14:paraId="3AE6B944">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我方解除保证责任后，你方应自我方保证责任解除之日起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个工作日内，将本保函原件返还我方。</w:t>
      </w:r>
    </w:p>
    <w:p w14:paraId="7E2E79CF">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六、免责条款</w:t>
      </w:r>
    </w:p>
    <w:p w14:paraId="3585D783">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因你方违约致使发包人不能履行义务的，我方不承担保证责任。</w:t>
      </w:r>
    </w:p>
    <w:p w14:paraId="77FA922E">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依照法律法规的规定或你方与发包人的另行约定，免除发包人部分或全部义务的，我方亦免除其相应的保证责任。</w:t>
      </w:r>
    </w:p>
    <w:p w14:paraId="2D5D9259">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0ABBF342">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因不可抗力造成发包人不能履行义务的，我方不承担保证责任。</w:t>
      </w:r>
    </w:p>
    <w:p w14:paraId="196F7236">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七、争议解决</w:t>
      </w:r>
    </w:p>
    <w:p w14:paraId="6195A67E">
      <w:pPr>
        <w:spacing w:after="12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因本保函或本保函相关事项发生的纠纷，可由双方协商解决，协商不成的，按下列第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种方式解决：</w:t>
      </w:r>
    </w:p>
    <w:p w14:paraId="59C8CEE2">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仲裁委员会申请仲裁；</w:t>
      </w:r>
    </w:p>
    <w:p w14:paraId="22067007">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人民法院起诉。</w:t>
      </w:r>
    </w:p>
    <w:p w14:paraId="7F655634">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八、保函的生效</w:t>
      </w:r>
    </w:p>
    <w:p w14:paraId="6FC9CE63">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本保函自我方法定代表人（或其授权代理人）签字并加盖公章之日起生效。</w:t>
      </w:r>
    </w:p>
    <w:p w14:paraId="01A54A59">
      <w:pPr>
        <w:spacing w:line="400" w:lineRule="exact"/>
        <w:ind w:firstLine="420" w:firstLineChars="200"/>
        <w:jc w:val="left"/>
        <w:rPr>
          <w:rFonts w:hint="eastAsia" w:ascii="宋体" w:hAnsi="宋体" w:eastAsia="宋体" w:cs="宋体"/>
          <w:color w:val="auto"/>
          <w:sz w:val="21"/>
          <w:szCs w:val="21"/>
          <w:highlight w:val="none"/>
        </w:rPr>
      </w:pPr>
    </w:p>
    <w:p w14:paraId="2C84247C">
      <w:pPr>
        <w:spacing w:line="400" w:lineRule="exact"/>
        <w:ind w:right="6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担保人：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（盖章）</w:t>
      </w:r>
    </w:p>
    <w:p w14:paraId="336B3387">
      <w:pPr>
        <w:spacing w:line="400" w:lineRule="exact"/>
        <w:ind w:right="1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22F9A1B">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26E79348">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707E4D48">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p>
    <w:p w14:paraId="60E5D483">
      <w:pPr>
        <w:spacing w:line="400" w:lineRule="exact"/>
        <w:ind w:right="150" w:firstLine="420" w:firstLineChars="200"/>
        <w:jc w:val="left"/>
        <w:rPr>
          <w:rFonts w:hint="eastAsia" w:ascii="宋体" w:hAnsi="宋体" w:eastAsia="宋体" w:cs="宋体"/>
          <w:color w:val="auto"/>
          <w:sz w:val="21"/>
          <w:szCs w:val="21"/>
          <w:highlight w:val="none"/>
          <w:u w:val="single"/>
        </w:rPr>
      </w:pPr>
    </w:p>
    <w:p w14:paraId="044DFCCC">
      <w:pPr>
        <w:spacing w:line="400" w:lineRule="exact"/>
        <w:ind w:right="1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7EECCC3E">
      <w:pPr>
        <w:pStyle w:val="34"/>
        <w:spacing w:line="360" w:lineRule="auto"/>
        <w:jc w:val="left"/>
        <w:rPr>
          <w:rFonts w:hint="eastAsia" w:ascii="宋体" w:hAnsi="宋体" w:eastAsia="宋体" w:cs="宋体"/>
          <w:b/>
          <w:bCs/>
          <w:color w:val="auto"/>
          <w:kern w:val="2"/>
          <w:sz w:val="24"/>
          <w:szCs w:val="24"/>
          <w:highlight w:val="none"/>
        </w:rPr>
      </w:pPr>
    </w:p>
    <w:p w14:paraId="493495EE">
      <w:pPr>
        <w:pStyle w:val="34"/>
        <w:spacing w:line="360" w:lineRule="auto"/>
        <w:jc w:val="left"/>
        <w:rPr>
          <w:rFonts w:hint="eastAsia" w:ascii="宋体" w:hAnsi="宋体" w:eastAsia="宋体" w:cs="宋体"/>
          <w:b/>
          <w:bCs/>
          <w:color w:val="auto"/>
          <w:kern w:val="2"/>
          <w:sz w:val="24"/>
          <w:szCs w:val="24"/>
          <w:highlight w:val="none"/>
        </w:rPr>
      </w:pPr>
    </w:p>
    <w:p w14:paraId="248F309A">
      <w:pPr>
        <w:pStyle w:val="34"/>
        <w:spacing w:line="360" w:lineRule="auto"/>
        <w:jc w:val="left"/>
        <w:rPr>
          <w:rFonts w:hint="eastAsia" w:ascii="宋体" w:hAnsi="宋体" w:eastAsia="宋体" w:cs="宋体"/>
          <w:b/>
          <w:bCs/>
          <w:color w:val="auto"/>
          <w:kern w:val="2"/>
          <w:sz w:val="24"/>
          <w:szCs w:val="24"/>
          <w:highlight w:val="none"/>
        </w:rPr>
      </w:pPr>
    </w:p>
    <w:p w14:paraId="44962C05">
      <w:pPr>
        <w:pStyle w:val="34"/>
        <w:spacing w:line="360" w:lineRule="auto"/>
        <w:jc w:val="left"/>
        <w:rPr>
          <w:rFonts w:hint="eastAsia" w:ascii="宋体" w:hAnsi="宋体" w:eastAsia="宋体" w:cs="宋体"/>
          <w:b/>
          <w:bCs/>
          <w:color w:val="auto"/>
          <w:kern w:val="2"/>
          <w:sz w:val="24"/>
          <w:szCs w:val="24"/>
          <w:highlight w:val="none"/>
        </w:rPr>
      </w:pPr>
    </w:p>
    <w:p w14:paraId="606B1D96">
      <w:pPr>
        <w:pStyle w:val="34"/>
        <w:spacing w:line="360" w:lineRule="auto"/>
        <w:jc w:val="left"/>
        <w:rPr>
          <w:rFonts w:hint="eastAsia" w:ascii="宋体" w:hAnsi="宋体" w:eastAsia="宋体" w:cs="宋体"/>
          <w:b/>
          <w:bCs/>
          <w:color w:val="auto"/>
          <w:kern w:val="2"/>
          <w:sz w:val="24"/>
          <w:szCs w:val="24"/>
          <w:highlight w:val="none"/>
        </w:rPr>
        <w:sectPr>
          <w:headerReference r:id="rId13" w:type="default"/>
          <w:footerReference r:id="rId14" w:type="default"/>
          <w:pgSz w:w="11911" w:h="16838"/>
          <w:pgMar w:top="1417" w:right="1417" w:bottom="1134" w:left="1417" w:header="720" w:footer="720" w:gutter="0"/>
          <w:pgBorders>
            <w:top w:val="none" w:sz="0" w:space="0"/>
            <w:left w:val="none" w:sz="0" w:space="0"/>
            <w:bottom w:val="none" w:sz="0" w:space="0"/>
            <w:right w:val="none" w:sz="0" w:space="0"/>
          </w:pgBorders>
          <w:pgNumType w:fmt="numberInDash"/>
          <w:cols w:space="0" w:num="1"/>
          <w:rtlGutter w:val="0"/>
          <w:docGrid w:linePitch="317" w:charSpace="0"/>
        </w:sectPr>
      </w:pPr>
    </w:p>
    <w:p w14:paraId="7E965456">
      <w:pPr>
        <w:pStyle w:val="34"/>
        <w:spacing w:line="360" w:lineRule="auto"/>
        <w:jc w:val="left"/>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rPr>
        <w:t>附件</w:t>
      </w:r>
      <w:r>
        <w:rPr>
          <w:rFonts w:hint="eastAsia" w:ascii="宋体" w:hAnsi="宋体" w:eastAsia="宋体" w:cs="宋体"/>
          <w:b/>
          <w:bCs/>
          <w:color w:val="auto"/>
          <w:kern w:val="2"/>
          <w:sz w:val="22"/>
          <w:szCs w:val="22"/>
          <w:highlight w:val="none"/>
          <w:lang w:val="en-US" w:eastAsia="zh-CN"/>
        </w:rPr>
        <w:t>4</w:t>
      </w:r>
    </w:p>
    <w:p w14:paraId="50D5A3BB">
      <w:pPr>
        <w:spacing w:before="100" w:line="185" w:lineRule="auto"/>
        <w:ind w:left="3679"/>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pacing w:val="-1"/>
          <w:sz w:val="28"/>
          <w:szCs w:val="28"/>
          <w:highlight w:val="none"/>
          <w14:textOutline w14:w="3175" w14:cap="flat" w14:cmpd="sng" w14:algn="ctr">
            <w14:solidFill>
              <w14:srgbClr w14:val="000000"/>
            </w14:solidFill>
            <w14:prstDash w14:val="solid"/>
            <w14:miter w14:val="0"/>
          </w14:textOutline>
        </w:rPr>
        <w:t>履约保函</w:t>
      </w:r>
    </w:p>
    <w:p w14:paraId="79CC3755">
      <w:pPr>
        <w:spacing w:line="250" w:lineRule="auto"/>
        <w:rPr>
          <w:color w:val="auto"/>
          <w:highlight w:val="none"/>
        </w:rPr>
      </w:pPr>
    </w:p>
    <w:p w14:paraId="20F300D9">
      <w:pPr>
        <w:spacing w:line="251" w:lineRule="auto"/>
        <w:rPr>
          <w:color w:val="auto"/>
          <w:highlight w:val="none"/>
        </w:rPr>
      </w:pPr>
    </w:p>
    <w:p w14:paraId="3E9701CF">
      <w:pPr>
        <w:spacing w:line="251" w:lineRule="auto"/>
        <w:rPr>
          <w:color w:val="auto"/>
          <w:highlight w:val="none"/>
        </w:rPr>
      </w:pPr>
    </w:p>
    <w:p w14:paraId="6E7EFF7D">
      <w:pPr>
        <w:tabs>
          <w:tab w:val="left" w:pos="2526"/>
        </w:tabs>
        <w:spacing w:before="65" w:line="228"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ab/>
      </w:r>
      <w:r>
        <w:rPr>
          <w:rFonts w:hint="eastAsia" w:ascii="宋体" w:hAnsi="宋体" w:cs="宋体"/>
          <w:color w:val="auto"/>
          <w:sz w:val="21"/>
          <w:szCs w:val="21"/>
          <w:highlight w:val="none"/>
          <w:u w:val="single"/>
          <w:lang w:eastAsia="zh-CN"/>
        </w:rPr>
        <w:t>（</w:t>
      </w:r>
      <w:r>
        <w:rPr>
          <w:rFonts w:hint="eastAsia" w:ascii="宋体" w:hAnsi="宋体" w:eastAsia="宋体" w:cs="宋体"/>
          <w:color w:val="auto"/>
          <w:spacing w:val="2"/>
          <w:sz w:val="21"/>
          <w:szCs w:val="21"/>
          <w:highlight w:val="none"/>
        </w:rPr>
        <w:t>发包人名称</w:t>
      </w:r>
      <w:r>
        <w:rPr>
          <w:rFonts w:hint="eastAsia" w:ascii="宋体" w:hAnsi="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 ：</w:t>
      </w:r>
    </w:p>
    <w:p w14:paraId="53E22FD2">
      <w:pPr>
        <w:spacing w:line="267" w:lineRule="auto"/>
        <w:rPr>
          <w:rFonts w:hint="eastAsia" w:ascii="宋体" w:hAnsi="宋体" w:eastAsia="宋体" w:cs="宋体"/>
          <w:color w:val="auto"/>
          <w:sz w:val="21"/>
          <w:szCs w:val="21"/>
          <w:highlight w:val="none"/>
        </w:rPr>
      </w:pPr>
    </w:p>
    <w:p w14:paraId="34FD6A25">
      <w:pPr>
        <w:spacing w:line="268" w:lineRule="auto"/>
        <w:rPr>
          <w:rFonts w:hint="eastAsia" w:ascii="宋体" w:hAnsi="宋体" w:eastAsia="宋体" w:cs="宋体"/>
          <w:color w:val="auto"/>
          <w:sz w:val="21"/>
          <w:szCs w:val="21"/>
          <w:highlight w:val="none"/>
        </w:rPr>
      </w:pPr>
    </w:p>
    <w:p w14:paraId="4A114B34">
      <w:pPr>
        <w:spacing w:before="65" w:line="228" w:lineRule="auto"/>
        <w:ind w:left="64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 xml:space="preserve">鉴于 </w:t>
      </w:r>
      <w:r>
        <w:rPr>
          <w:rFonts w:hint="eastAsia" w:ascii="宋体" w:hAnsi="宋体" w:cs="宋体"/>
          <w:color w:val="auto"/>
          <w:spacing w:val="8"/>
          <w:sz w:val="21"/>
          <w:szCs w:val="21"/>
          <w:highlight w:val="none"/>
          <w:lang w:eastAsia="zh-CN"/>
        </w:rPr>
        <w:t>（</w:t>
      </w:r>
      <w:r>
        <w:rPr>
          <w:rFonts w:hint="eastAsia" w:ascii="宋体" w:hAnsi="宋体" w:eastAsia="宋体" w:cs="宋体"/>
          <w:color w:val="auto"/>
          <w:spacing w:val="7"/>
          <w:sz w:val="21"/>
          <w:szCs w:val="21"/>
          <w:highlight w:val="none"/>
        </w:rPr>
        <w:t>发</w:t>
      </w:r>
      <w:r>
        <w:rPr>
          <w:rFonts w:hint="eastAsia" w:ascii="宋体" w:hAnsi="宋体" w:eastAsia="宋体" w:cs="宋体"/>
          <w:color w:val="auto"/>
          <w:spacing w:val="4"/>
          <w:sz w:val="21"/>
          <w:szCs w:val="21"/>
          <w:highlight w:val="none"/>
        </w:rPr>
        <w:t>包人名称，以下简称“发包人”</w:t>
      </w:r>
      <w:r>
        <w:rPr>
          <w:rFonts w:hint="eastAsia" w:ascii="宋体" w:hAnsi="宋体" w:cs="宋体"/>
          <w:color w:val="auto"/>
          <w:spacing w:val="4"/>
          <w:sz w:val="21"/>
          <w:szCs w:val="21"/>
          <w:highlight w:val="none"/>
          <w:lang w:eastAsia="zh-CN"/>
        </w:rPr>
        <w:t>）</w:t>
      </w:r>
      <w:r>
        <w:rPr>
          <w:rFonts w:hint="eastAsia" w:ascii="宋体" w:hAnsi="宋体" w:eastAsia="宋体" w:cs="宋体"/>
          <w:color w:val="auto"/>
          <w:spacing w:val="4"/>
          <w:sz w:val="21"/>
          <w:szCs w:val="21"/>
          <w:highlight w:val="none"/>
        </w:rPr>
        <w:t xml:space="preserve"> 接受</w:t>
      </w:r>
      <w:r>
        <w:rPr>
          <w:rFonts w:hint="eastAsia" w:ascii="宋体" w:hAnsi="宋体" w:eastAsia="宋体" w:cs="宋体"/>
          <w:color w:val="auto"/>
          <w:spacing w:val="4"/>
          <w:sz w:val="21"/>
          <w:szCs w:val="21"/>
          <w:highlight w:val="none"/>
          <w:u w:val="single"/>
        </w:rPr>
        <w:t xml:space="preserve">                     </w:t>
      </w:r>
      <w:r>
        <w:rPr>
          <w:rFonts w:hint="eastAsia" w:ascii="宋体" w:hAnsi="宋体" w:eastAsia="宋体" w:cs="宋体"/>
          <w:color w:val="auto"/>
          <w:spacing w:val="4"/>
          <w:sz w:val="21"/>
          <w:szCs w:val="21"/>
          <w:highlight w:val="none"/>
        </w:rPr>
        <w:t xml:space="preserve"> </w:t>
      </w:r>
      <w:r>
        <w:rPr>
          <w:rFonts w:hint="eastAsia" w:ascii="宋体" w:hAnsi="宋体" w:cs="宋体"/>
          <w:color w:val="auto"/>
          <w:spacing w:val="4"/>
          <w:sz w:val="21"/>
          <w:szCs w:val="21"/>
          <w:highlight w:val="none"/>
          <w:lang w:eastAsia="zh-CN"/>
        </w:rPr>
        <w:t>（</w:t>
      </w:r>
      <w:r>
        <w:rPr>
          <w:rFonts w:hint="eastAsia" w:ascii="宋体" w:hAnsi="宋体" w:eastAsia="宋体" w:cs="宋体"/>
          <w:color w:val="auto"/>
          <w:spacing w:val="4"/>
          <w:sz w:val="21"/>
          <w:szCs w:val="21"/>
          <w:highlight w:val="none"/>
        </w:rPr>
        <w:t>承包人名称，</w:t>
      </w:r>
    </w:p>
    <w:p w14:paraId="4A7EE7CC">
      <w:pPr>
        <w:spacing w:before="197" w:line="280" w:lineRule="auto"/>
        <w:ind w:left="10" w:right="64" w:firstLine="2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以</w:t>
      </w:r>
      <w:r>
        <w:rPr>
          <w:rFonts w:hint="eastAsia" w:ascii="宋体" w:hAnsi="宋体" w:cs="宋体"/>
          <w:color w:val="auto"/>
          <w:spacing w:val="6"/>
          <w:sz w:val="21"/>
          <w:szCs w:val="21"/>
          <w:highlight w:val="none"/>
          <w:lang w:eastAsia="zh-CN"/>
        </w:rPr>
        <w:t>下简</w:t>
      </w:r>
      <w:r>
        <w:rPr>
          <w:rFonts w:hint="eastAsia" w:ascii="宋体" w:hAnsi="宋体" w:eastAsia="宋体" w:cs="宋体"/>
          <w:color w:val="auto"/>
          <w:spacing w:val="6"/>
          <w:sz w:val="21"/>
          <w:szCs w:val="21"/>
          <w:highlight w:val="none"/>
        </w:rPr>
        <w:t>称“</w:t>
      </w:r>
      <w:r>
        <w:rPr>
          <w:rFonts w:hint="eastAsia" w:ascii="宋体" w:hAnsi="宋体" w:eastAsia="宋体" w:cs="宋体"/>
          <w:color w:val="auto"/>
          <w:spacing w:val="5"/>
          <w:sz w:val="21"/>
          <w:szCs w:val="21"/>
          <w:highlight w:val="none"/>
        </w:rPr>
        <w:t>承</w:t>
      </w:r>
      <w:r>
        <w:rPr>
          <w:rFonts w:hint="eastAsia" w:ascii="宋体" w:hAnsi="宋体" w:eastAsia="宋体" w:cs="宋体"/>
          <w:color w:val="auto"/>
          <w:spacing w:val="3"/>
          <w:sz w:val="21"/>
          <w:szCs w:val="21"/>
          <w:highlight w:val="none"/>
        </w:rPr>
        <w:t>包人”</w:t>
      </w:r>
      <w:r>
        <w:rPr>
          <w:rFonts w:hint="eastAsia" w:ascii="宋体" w:hAnsi="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 xml:space="preserve"> 于 </w:t>
      </w:r>
      <w:r>
        <w:rPr>
          <w:rFonts w:hint="eastAsia" w:ascii="宋体" w:hAnsi="宋体" w:eastAsia="宋体" w:cs="宋体"/>
          <w:color w:val="auto"/>
          <w:spacing w:val="3"/>
          <w:sz w:val="21"/>
          <w:szCs w:val="21"/>
          <w:highlight w:val="none"/>
          <w:u w:val="single"/>
        </w:rPr>
        <w:t xml:space="preserve">        年    月       日 </w:t>
      </w:r>
      <w:r>
        <w:rPr>
          <w:rFonts w:hint="eastAsia" w:ascii="宋体" w:hAnsi="宋体" w:eastAsia="宋体" w:cs="宋体"/>
          <w:color w:val="auto"/>
          <w:spacing w:val="3"/>
          <w:sz w:val="21"/>
          <w:szCs w:val="21"/>
          <w:highlight w:val="none"/>
        </w:rPr>
        <w:t>递 交的</w:t>
      </w:r>
      <w:r>
        <w:rPr>
          <w:rFonts w:hint="eastAsia" w:ascii="宋体" w:hAnsi="宋体" w:eastAsia="宋体" w:cs="宋体"/>
          <w:color w:val="auto"/>
          <w:spacing w:val="3"/>
          <w:sz w:val="21"/>
          <w:szCs w:val="21"/>
          <w:highlight w:val="none"/>
          <w:u w:val="single"/>
        </w:rPr>
        <w:t xml:space="preserve">            </w:t>
      </w:r>
      <w:r>
        <w:rPr>
          <w:rFonts w:hint="eastAsia" w:ascii="宋体" w:hAnsi="宋体" w:cs="宋体"/>
          <w:color w:val="auto"/>
          <w:spacing w:val="3"/>
          <w:sz w:val="21"/>
          <w:szCs w:val="21"/>
          <w:highlight w:val="none"/>
          <w:u w:val="single"/>
          <w:lang w:eastAsia="zh-CN"/>
        </w:rPr>
        <w:t>（</w:t>
      </w:r>
      <w:r>
        <w:rPr>
          <w:rFonts w:hint="eastAsia" w:ascii="宋体" w:hAnsi="宋体" w:eastAsia="宋体" w:cs="宋体"/>
          <w:color w:val="auto"/>
          <w:spacing w:val="3"/>
          <w:sz w:val="21"/>
          <w:szCs w:val="21"/>
          <w:highlight w:val="none"/>
          <w:u w:val="single"/>
        </w:rPr>
        <w:t>项目名称</w:t>
      </w:r>
      <w:r>
        <w:rPr>
          <w:rFonts w:hint="eastAsia" w:ascii="宋体" w:hAnsi="宋体" w:cs="宋体"/>
          <w:color w:val="auto"/>
          <w:spacing w:val="3"/>
          <w:sz w:val="21"/>
          <w:szCs w:val="21"/>
          <w:highlight w:val="none"/>
          <w:u w:val="single"/>
          <w:lang w:eastAsia="zh-CN"/>
        </w:rPr>
        <w:t>）</w:t>
      </w:r>
      <w:r>
        <w:rPr>
          <w:rFonts w:hint="eastAsia" w:ascii="宋体" w:hAnsi="宋体" w:eastAsia="宋体" w:cs="宋体"/>
          <w:color w:val="auto"/>
          <w:spacing w:val="3"/>
          <w:sz w:val="21"/>
          <w:szCs w:val="21"/>
          <w:highlight w:val="none"/>
          <w:u w:val="single"/>
        </w:rPr>
        <w:t xml:space="preserve"> </w:t>
      </w:r>
      <w:r>
        <w:rPr>
          <w:rFonts w:hint="eastAsia" w:ascii="宋体" w:hAnsi="宋体" w:eastAsia="宋体" w:cs="宋体"/>
          <w:color w:val="auto"/>
          <w:spacing w:val="3"/>
          <w:sz w:val="21"/>
          <w:szCs w:val="21"/>
          <w:highlight w:val="none"/>
        </w:rPr>
        <w:t>的投标文件。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8"/>
          <w:sz w:val="21"/>
          <w:szCs w:val="21"/>
          <w:highlight w:val="none"/>
        </w:rPr>
        <w:t>我</w:t>
      </w:r>
      <w:r>
        <w:rPr>
          <w:rFonts w:hint="eastAsia" w:ascii="宋体" w:hAnsi="宋体" w:eastAsia="宋体" w:cs="宋体"/>
          <w:color w:val="auto"/>
          <w:spacing w:val="14"/>
          <w:sz w:val="21"/>
          <w:szCs w:val="21"/>
          <w:highlight w:val="none"/>
        </w:rPr>
        <w:t>方</w:t>
      </w:r>
      <w:r>
        <w:rPr>
          <w:rFonts w:hint="eastAsia" w:ascii="宋体" w:hAnsi="宋体" w:eastAsia="宋体" w:cs="宋体"/>
          <w:color w:val="auto"/>
          <w:spacing w:val="9"/>
          <w:sz w:val="21"/>
          <w:szCs w:val="21"/>
          <w:highlight w:val="none"/>
        </w:rPr>
        <w:t>愿意无条件地、不可撤销地就承包人履行与你方订立的合同</w:t>
      </w:r>
      <w:r>
        <w:rPr>
          <w:rFonts w:hint="eastAsia" w:ascii="宋体" w:hAnsi="宋体" w:cs="宋体"/>
          <w:color w:val="auto"/>
          <w:spacing w:val="9"/>
          <w:sz w:val="21"/>
          <w:szCs w:val="21"/>
          <w:highlight w:val="none"/>
          <w:lang w:eastAsia="zh-CN"/>
        </w:rPr>
        <w:t>，并</w:t>
      </w:r>
      <w:r>
        <w:rPr>
          <w:rFonts w:hint="eastAsia" w:ascii="宋体" w:hAnsi="宋体" w:eastAsia="宋体" w:cs="宋体"/>
          <w:color w:val="auto"/>
          <w:spacing w:val="9"/>
          <w:sz w:val="21"/>
          <w:szCs w:val="21"/>
          <w:highlight w:val="none"/>
        </w:rPr>
        <w:t>向你方提供担保。</w:t>
      </w:r>
    </w:p>
    <w:p w14:paraId="4CD5CB1C">
      <w:pPr>
        <w:spacing w:before="85" w:line="227" w:lineRule="auto"/>
        <w:ind w:left="1011"/>
        <w:outlineLvl w:val="1"/>
        <w:rPr>
          <w:rFonts w:hint="eastAsia" w:ascii="宋体" w:hAnsi="宋体" w:eastAsia="宋体" w:cs="宋体"/>
          <w:color w:val="auto"/>
          <w:sz w:val="21"/>
          <w:szCs w:val="21"/>
          <w:highlight w:val="none"/>
        </w:rPr>
      </w:pPr>
      <w:bookmarkStart w:id="582" w:name="_Toc27871"/>
      <w:bookmarkStart w:id="583" w:name="_Toc26073"/>
      <w:bookmarkStart w:id="584" w:name="_Toc24191"/>
      <w:r>
        <w:rPr>
          <w:rFonts w:hint="eastAsia" w:ascii="宋体" w:hAnsi="宋体" w:eastAsia="宋体" w:cs="宋体"/>
          <w:color w:val="auto"/>
          <w:spacing w:val="2"/>
          <w:sz w:val="21"/>
          <w:szCs w:val="21"/>
          <w:highlight w:val="none"/>
        </w:rPr>
        <w:t xml:space="preserve">1. 担保金额人民币 </w:t>
      </w:r>
      <w:r>
        <w:rPr>
          <w:rFonts w:hint="eastAsia" w:ascii="宋体" w:hAnsi="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大写</w:t>
      </w:r>
      <w:r>
        <w:rPr>
          <w:rFonts w:hint="eastAsia" w:ascii="宋体" w:hAnsi="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u w:val="single"/>
        </w:rPr>
        <w:t xml:space="preserve">   </w:t>
      </w:r>
      <w:r>
        <w:rPr>
          <w:rFonts w:hint="eastAsia" w:ascii="宋体" w:hAnsi="宋体" w:eastAsia="宋体" w:cs="宋体"/>
          <w:color w:val="auto"/>
          <w:spacing w:val="1"/>
          <w:sz w:val="21"/>
          <w:szCs w:val="21"/>
          <w:highlight w:val="none"/>
          <w:u w:val="single"/>
        </w:rPr>
        <w:t xml:space="preserve">                </w:t>
      </w:r>
      <w:r>
        <w:rPr>
          <w:rFonts w:hint="eastAsia" w:ascii="宋体" w:hAnsi="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1"/>
          <w:sz w:val="21"/>
          <w:szCs w:val="21"/>
          <w:highlight w:val="none"/>
        </w:rPr>
        <w:t>元</w:t>
      </w:r>
      <w:r>
        <w:rPr>
          <w:rFonts w:hint="eastAsia" w:ascii="宋体" w:hAnsi="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t>o</w:t>
      </w:r>
      <w:bookmarkEnd w:id="582"/>
      <w:bookmarkEnd w:id="583"/>
      <w:bookmarkEnd w:id="584"/>
    </w:p>
    <w:p w14:paraId="0B427D0B">
      <w:pPr>
        <w:spacing w:before="114" w:line="332" w:lineRule="auto"/>
        <w:ind w:left="368" w:right="27" w:firstLine="608"/>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3"/>
          <w:sz w:val="21"/>
          <w:szCs w:val="21"/>
          <w:highlight w:val="none"/>
        </w:rPr>
        <w:t xml:space="preserve"> 担保有效期自发包人与承包人签订的合同生效之日起至发包人签发工程完工证书之日止。</w:t>
      </w:r>
    </w:p>
    <w:p w14:paraId="3591856B">
      <w:pPr>
        <w:spacing w:before="114" w:line="332" w:lineRule="auto"/>
        <w:ind w:left="368" w:right="27" w:firstLine="608"/>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 xml:space="preserve">3. </w:t>
      </w:r>
      <w:r>
        <w:rPr>
          <w:rFonts w:hint="eastAsia" w:ascii="宋体" w:hAnsi="宋体" w:eastAsia="宋体" w:cs="宋体"/>
          <w:color w:val="auto"/>
          <w:spacing w:val="3"/>
          <w:sz w:val="21"/>
          <w:szCs w:val="21"/>
          <w:highlight w:val="none"/>
        </w:rPr>
        <w:t>在本担保有效期内，因承包人违反合同约定的义务给你方造成经济损失时，我方在收到你方以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书面形式提出的在担保金额内的赔偿</w:t>
      </w:r>
      <w:r>
        <w:rPr>
          <w:rFonts w:hint="eastAsia" w:ascii="宋体" w:hAnsi="宋体" w:eastAsia="宋体" w:cs="宋体"/>
          <w:color w:val="auto"/>
          <w:sz w:val="21"/>
          <w:szCs w:val="21"/>
          <w:highlight w:val="none"/>
        </w:rPr>
        <w:t>要求后，无条件地在 7 天内予以支付。</w:t>
      </w:r>
    </w:p>
    <w:p w14:paraId="21B8CAE4">
      <w:pPr>
        <w:spacing w:before="114" w:line="332" w:lineRule="auto"/>
        <w:ind w:left="368" w:right="27" w:firstLine="608"/>
        <w:rPr>
          <w:rFonts w:hint="eastAsia" w:ascii="宋体" w:hAnsi="宋体" w:eastAsia="宋体" w:cs="宋体"/>
          <w:color w:val="auto"/>
          <w:sz w:val="21"/>
          <w:szCs w:val="21"/>
          <w:highlight w:val="none"/>
        </w:rPr>
      </w:pPr>
      <w:bookmarkStart w:id="590" w:name="_GoBack"/>
      <w:bookmarkEnd w:id="590"/>
      <w:r>
        <w:rPr>
          <w:rFonts w:hint="eastAsia" w:ascii="宋体" w:hAnsi="宋体" w:eastAsia="宋体" w:cs="宋体"/>
          <w:color w:val="auto"/>
          <w:spacing w:val="6"/>
          <w:sz w:val="21"/>
          <w:szCs w:val="21"/>
          <w:highlight w:val="none"/>
        </w:rPr>
        <w:t>4. 发包人和承</w:t>
      </w:r>
      <w:r>
        <w:rPr>
          <w:rFonts w:hint="eastAsia" w:ascii="宋体" w:hAnsi="宋体" w:eastAsia="宋体" w:cs="宋体"/>
          <w:color w:val="auto"/>
          <w:spacing w:val="3"/>
          <w:sz w:val="21"/>
          <w:szCs w:val="21"/>
          <w:highlight w:val="none"/>
        </w:rPr>
        <w:t>包人按《通用合同条款》第 15  条变更合同时，我方承担本担保规定的义务不变。</w:t>
      </w:r>
    </w:p>
    <w:p w14:paraId="18DB2E9A">
      <w:pPr>
        <w:spacing w:line="279" w:lineRule="auto"/>
        <w:rPr>
          <w:rFonts w:hint="eastAsia" w:ascii="宋体" w:hAnsi="宋体" w:eastAsia="宋体" w:cs="宋体"/>
          <w:color w:val="auto"/>
          <w:sz w:val="21"/>
          <w:szCs w:val="21"/>
          <w:highlight w:val="none"/>
        </w:rPr>
      </w:pPr>
    </w:p>
    <w:p w14:paraId="45675D4A">
      <w:pPr>
        <w:spacing w:line="279" w:lineRule="auto"/>
        <w:jc w:val="left"/>
        <w:rPr>
          <w:rFonts w:hint="eastAsia" w:ascii="宋体" w:hAnsi="宋体" w:eastAsia="宋体" w:cs="宋体"/>
          <w:color w:val="auto"/>
          <w:sz w:val="21"/>
          <w:szCs w:val="21"/>
          <w:highlight w:val="none"/>
        </w:rPr>
      </w:pPr>
    </w:p>
    <w:p w14:paraId="7207E889">
      <w:pPr>
        <w:spacing w:before="66" w:line="227" w:lineRule="auto"/>
        <w:ind w:left="9"/>
        <w:jc w:val="lef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 xml:space="preserve">担 保 人 ：  ( 盖 单 位 公 章 </w:t>
      </w:r>
      <w:r>
        <w:rPr>
          <w:rFonts w:hint="eastAsia" w:ascii="宋体" w:hAnsi="宋体" w:eastAsia="宋体" w:cs="宋体"/>
          <w:color w:val="auto"/>
          <w:spacing w:val="1"/>
          <w:sz w:val="21"/>
          <w:szCs w:val="21"/>
          <w:highlight w:val="none"/>
        </w:rPr>
        <w:t>)</w:t>
      </w:r>
    </w:p>
    <w:p w14:paraId="3C339737">
      <w:pPr>
        <w:spacing w:line="244" w:lineRule="auto"/>
        <w:jc w:val="left"/>
        <w:rPr>
          <w:rFonts w:hint="eastAsia" w:ascii="宋体" w:hAnsi="宋体" w:eastAsia="宋体" w:cs="宋体"/>
          <w:color w:val="auto"/>
          <w:sz w:val="21"/>
          <w:szCs w:val="21"/>
          <w:highlight w:val="none"/>
        </w:rPr>
      </w:pPr>
    </w:p>
    <w:p w14:paraId="548CACD2">
      <w:pPr>
        <w:spacing w:line="244" w:lineRule="auto"/>
        <w:jc w:val="left"/>
        <w:rPr>
          <w:rFonts w:hint="eastAsia" w:ascii="宋体" w:hAnsi="宋体" w:eastAsia="宋体" w:cs="宋体"/>
          <w:color w:val="auto"/>
          <w:sz w:val="21"/>
          <w:szCs w:val="21"/>
          <w:highlight w:val="none"/>
        </w:rPr>
      </w:pPr>
    </w:p>
    <w:p w14:paraId="69B21B8F">
      <w:pPr>
        <w:spacing w:before="65" w:line="281" w:lineRule="exact"/>
        <w:ind w:left="9"/>
        <w:jc w:val="left"/>
        <w:rPr>
          <w:rFonts w:hint="eastAsia" w:ascii="宋体" w:hAnsi="宋体" w:eastAsia="宋体" w:cs="宋体"/>
          <w:color w:val="auto"/>
          <w:sz w:val="21"/>
          <w:szCs w:val="21"/>
          <w:highlight w:val="none"/>
        </w:rPr>
      </w:pPr>
      <w:r>
        <w:rPr>
          <w:rFonts w:hint="eastAsia" w:ascii="宋体" w:hAnsi="宋体" w:eastAsia="宋体" w:cs="宋体"/>
          <w:color w:val="auto"/>
          <w:spacing w:val="4"/>
          <w:position w:val="2"/>
          <w:sz w:val="21"/>
          <w:szCs w:val="21"/>
          <w:highlight w:val="none"/>
        </w:rPr>
        <w:t>法</w:t>
      </w:r>
      <w:r>
        <w:rPr>
          <w:rFonts w:hint="eastAsia" w:ascii="宋体" w:hAnsi="宋体" w:eastAsia="宋体" w:cs="宋体"/>
          <w:color w:val="auto"/>
          <w:spacing w:val="3"/>
          <w:position w:val="2"/>
          <w:sz w:val="21"/>
          <w:szCs w:val="21"/>
          <w:highlight w:val="none"/>
        </w:rPr>
        <w:t>定</w:t>
      </w:r>
      <w:r>
        <w:rPr>
          <w:rFonts w:hint="eastAsia" w:ascii="宋体" w:hAnsi="宋体" w:eastAsia="宋体" w:cs="宋体"/>
          <w:color w:val="auto"/>
          <w:spacing w:val="2"/>
          <w:position w:val="2"/>
          <w:sz w:val="21"/>
          <w:szCs w:val="21"/>
          <w:highlight w:val="none"/>
        </w:rPr>
        <w:t>代表人</w:t>
      </w:r>
      <w:r>
        <w:rPr>
          <w:rFonts w:hint="eastAsia" w:ascii="宋体" w:hAnsi="宋体" w:cs="宋体"/>
          <w:color w:val="auto"/>
          <w:spacing w:val="2"/>
          <w:position w:val="2"/>
          <w:sz w:val="21"/>
          <w:szCs w:val="21"/>
          <w:highlight w:val="none"/>
          <w:lang w:eastAsia="zh-CN"/>
        </w:rPr>
        <w:t>（</w:t>
      </w:r>
      <w:r>
        <w:rPr>
          <w:rFonts w:hint="eastAsia" w:ascii="宋体" w:hAnsi="宋体" w:eastAsia="宋体" w:cs="宋体"/>
          <w:color w:val="auto"/>
          <w:spacing w:val="2"/>
          <w:position w:val="2"/>
          <w:sz w:val="21"/>
          <w:szCs w:val="21"/>
          <w:highlight w:val="none"/>
        </w:rPr>
        <w:t>或委托代理人</w:t>
      </w:r>
      <w:r>
        <w:rPr>
          <w:rFonts w:hint="eastAsia" w:ascii="宋体" w:hAnsi="宋体" w:cs="宋体"/>
          <w:color w:val="auto"/>
          <w:spacing w:val="2"/>
          <w:position w:val="2"/>
          <w:sz w:val="21"/>
          <w:szCs w:val="21"/>
          <w:highlight w:val="none"/>
          <w:lang w:eastAsia="zh-CN"/>
        </w:rPr>
        <w:t>）</w:t>
      </w:r>
      <w:r>
        <w:rPr>
          <w:rFonts w:hint="eastAsia" w:ascii="宋体" w:hAnsi="宋体" w:eastAsia="宋体" w:cs="宋体"/>
          <w:color w:val="auto"/>
          <w:spacing w:val="2"/>
          <w:position w:val="2"/>
          <w:sz w:val="21"/>
          <w:szCs w:val="21"/>
          <w:highlight w:val="none"/>
        </w:rPr>
        <w:t xml:space="preserve">：  </w:t>
      </w:r>
      <w:r>
        <w:rPr>
          <w:rFonts w:hint="eastAsia" w:ascii="宋体" w:hAnsi="宋体" w:cs="宋体"/>
          <w:color w:val="auto"/>
          <w:spacing w:val="2"/>
          <w:position w:val="2"/>
          <w:sz w:val="21"/>
          <w:szCs w:val="21"/>
          <w:highlight w:val="none"/>
          <w:lang w:eastAsia="zh-CN"/>
        </w:rPr>
        <w:t>（</w:t>
      </w:r>
      <w:r>
        <w:rPr>
          <w:rFonts w:hint="eastAsia" w:ascii="宋体" w:hAnsi="宋体" w:eastAsia="宋体" w:cs="宋体"/>
          <w:color w:val="auto"/>
          <w:spacing w:val="2"/>
          <w:position w:val="2"/>
          <w:sz w:val="21"/>
          <w:szCs w:val="21"/>
          <w:highlight w:val="none"/>
        </w:rPr>
        <w:t>签字</w:t>
      </w:r>
      <w:r>
        <w:rPr>
          <w:rFonts w:hint="eastAsia" w:ascii="宋体" w:hAnsi="宋体" w:cs="宋体"/>
          <w:color w:val="auto"/>
          <w:spacing w:val="2"/>
          <w:position w:val="2"/>
          <w:sz w:val="21"/>
          <w:szCs w:val="21"/>
          <w:highlight w:val="none"/>
          <w:lang w:eastAsia="zh-CN"/>
        </w:rPr>
        <w:t>）</w:t>
      </w:r>
    </w:p>
    <w:p w14:paraId="0454DFD6">
      <w:pPr>
        <w:spacing w:before="177" w:line="237" w:lineRule="auto"/>
        <w:ind w:left="8"/>
        <w:jc w:val="left"/>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地</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4"/>
          <w:sz w:val="21"/>
          <w:szCs w:val="21"/>
          <w:highlight w:val="none"/>
        </w:rPr>
        <w:t xml:space="preserve">    址 ：</w:t>
      </w:r>
    </w:p>
    <w:p w14:paraId="398747D7">
      <w:pPr>
        <w:spacing w:before="163" w:line="228" w:lineRule="auto"/>
        <w:ind w:left="24"/>
        <w:jc w:val="lef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邮政编码</w:t>
      </w:r>
      <w:r>
        <w:rPr>
          <w:rFonts w:hint="eastAsia" w:ascii="宋体" w:hAnsi="宋体" w:eastAsia="宋体" w:cs="宋体"/>
          <w:color w:val="auto"/>
          <w:spacing w:val="2"/>
          <w:sz w:val="21"/>
          <w:szCs w:val="21"/>
          <w:highlight w:val="none"/>
        </w:rPr>
        <w:t>：</w:t>
      </w:r>
    </w:p>
    <w:p w14:paraId="5F901846">
      <w:pPr>
        <w:spacing w:line="262" w:lineRule="auto"/>
        <w:jc w:val="left"/>
        <w:rPr>
          <w:rFonts w:hint="eastAsia" w:ascii="宋体" w:hAnsi="宋体" w:eastAsia="宋体" w:cs="宋体"/>
          <w:color w:val="auto"/>
          <w:sz w:val="21"/>
          <w:szCs w:val="21"/>
          <w:highlight w:val="none"/>
        </w:rPr>
      </w:pPr>
    </w:p>
    <w:p w14:paraId="22500264">
      <w:pPr>
        <w:spacing w:line="262" w:lineRule="auto"/>
        <w:jc w:val="left"/>
        <w:rPr>
          <w:rFonts w:hint="eastAsia" w:ascii="宋体" w:hAnsi="宋体" w:eastAsia="宋体" w:cs="宋体"/>
          <w:color w:val="auto"/>
          <w:sz w:val="21"/>
          <w:szCs w:val="21"/>
          <w:highlight w:val="none"/>
        </w:rPr>
      </w:pPr>
    </w:p>
    <w:p w14:paraId="5F5CB12E">
      <w:pPr>
        <w:spacing w:before="66" w:line="230" w:lineRule="auto"/>
        <w:ind w:left="33"/>
        <w:jc w:val="left"/>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电</w:t>
      </w:r>
      <w:r>
        <w:rPr>
          <w:rFonts w:hint="eastAsia" w:ascii="宋体" w:hAnsi="宋体" w:eastAsia="宋体" w:cs="宋体"/>
          <w:color w:val="auto"/>
          <w:spacing w:val="2"/>
          <w:sz w:val="21"/>
          <w:szCs w:val="21"/>
          <w:highlight w:val="none"/>
        </w:rPr>
        <w:t xml:space="preserve">      话 ：</w:t>
      </w:r>
    </w:p>
    <w:p w14:paraId="4CAD1C1C">
      <w:pPr>
        <w:spacing w:before="171" w:line="227" w:lineRule="auto"/>
        <w:ind w:left="7"/>
        <w:jc w:val="left"/>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 xml:space="preserve">传      真 </w:t>
      </w:r>
      <w:r>
        <w:rPr>
          <w:rFonts w:hint="eastAsia" w:ascii="宋体" w:hAnsi="宋体" w:eastAsia="宋体" w:cs="宋体"/>
          <w:color w:val="auto"/>
          <w:spacing w:val="4"/>
          <w:sz w:val="21"/>
          <w:szCs w:val="21"/>
          <w:highlight w:val="none"/>
        </w:rPr>
        <w:t>：</w:t>
      </w:r>
    </w:p>
    <w:p w14:paraId="1D51640E">
      <w:pPr>
        <w:tabs>
          <w:tab w:val="left" w:pos="1058"/>
        </w:tabs>
        <w:spacing w:before="173" w:line="228" w:lineRule="auto"/>
        <w:ind w:left="629"/>
        <w:jc w:val="left"/>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5"/>
          <w:sz w:val="21"/>
          <w:szCs w:val="21"/>
          <w:highlight w:val="none"/>
          <w:u w:val="single"/>
        </w:rPr>
        <w:t xml:space="preserve">    </w:t>
      </w:r>
      <w:r>
        <w:rPr>
          <w:rFonts w:hint="eastAsia" w:ascii="宋体" w:hAnsi="宋体" w:eastAsia="宋体" w:cs="宋体"/>
          <w:color w:val="auto"/>
          <w:spacing w:val="5"/>
          <w:sz w:val="21"/>
          <w:szCs w:val="21"/>
          <w:highlight w:val="none"/>
        </w:rPr>
        <w:t xml:space="preserve"> 月</w:t>
      </w:r>
      <w:r>
        <w:rPr>
          <w:rFonts w:hint="eastAsia" w:ascii="宋体" w:hAnsi="宋体" w:eastAsia="宋体" w:cs="宋体"/>
          <w:color w:val="auto"/>
          <w:spacing w:val="5"/>
          <w:sz w:val="21"/>
          <w:szCs w:val="21"/>
          <w:highlight w:val="none"/>
          <w:u w:val="single"/>
        </w:rPr>
        <w:t xml:space="preserve">   </w:t>
      </w:r>
      <w:r>
        <w:rPr>
          <w:rFonts w:hint="eastAsia" w:ascii="宋体" w:hAnsi="宋体" w:eastAsia="宋体" w:cs="宋体"/>
          <w:color w:val="auto"/>
          <w:spacing w:val="5"/>
          <w:sz w:val="21"/>
          <w:szCs w:val="21"/>
          <w:highlight w:val="none"/>
        </w:rPr>
        <w:t>日</w:t>
      </w:r>
    </w:p>
    <w:p w14:paraId="5463A14E">
      <w:pPr>
        <w:pStyle w:val="34"/>
        <w:spacing w:line="360" w:lineRule="auto"/>
        <w:jc w:val="left"/>
        <w:rPr>
          <w:rFonts w:hint="eastAsia" w:ascii="宋体" w:hAnsi="宋体" w:eastAsia="宋体" w:cs="宋体"/>
          <w:b/>
          <w:bCs/>
          <w:color w:val="auto"/>
          <w:kern w:val="2"/>
          <w:sz w:val="21"/>
          <w:szCs w:val="21"/>
          <w:highlight w:val="none"/>
        </w:rPr>
        <w:sectPr>
          <w:footerReference r:id="rId15" w:type="default"/>
          <w:pgSz w:w="11911" w:h="16838"/>
          <w:pgMar w:top="1417" w:right="1417" w:bottom="1134" w:left="1417" w:header="720" w:footer="720" w:gutter="0"/>
          <w:pgBorders>
            <w:top w:val="none" w:sz="0" w:space="0"/>
            <w:left w:val="none" w:sz="0" w:space="0"/>
            <w:bottom w:val="none" w:sz="0" w:space="0"/>
            <w:right w:val="none" w:sz="0" w:space="0"/>
          </w:pgBorders>
          <w:pgNumType w:fmt="numberInDash"/>
          <w:cols w:space="0" w:num="1"/>
          <w:rtlGutter w:val="0"/>
          <w:docGrid w:linePitch="317" w:charSpace="0"/>
        </w:sectPr>
      </w:pPr>
    </w:p>
    <w:p w14:paraId="1ECB2592">
      <w:pPr>
        <w:spacing w:line="400" w:lineRule="exact"/>
        <w:jc w:val="both"/>
        <w:rPr>
          <w:rFonts w:hint="eastAsia" w:ascii="宋体" w:hAnsi="宋体" w:cs="宋体"/>
          <w:b/>
          <w:bCs/>
          <w:color w:val="auto"/>
          <w:sz w:val="22"/>
          <w:szCs w:val="22"/>
          <w:highlight w:val="none"/>
          <w:lang w:val="en-US" w:eastAsia="zh-CN"/>
        </w:rPr>
      </w:pPr>
      <w:r>
        <w:rPr>
          <w:rFonts w:hint="eastAsia" w:ascii="宋体" w:hAnsi="宋体" w:eastAsia="宋体" w:cs="宋体"/>
          <w:b/>
          <w:bCs/>
          <w:color w:val="auto"/>
          <w:sz w:val="22"/>
          <w:szCs w:val="22"/>
          <w:highlight w:val="none"/>
        </w:rPr>
        <w:t>附件</w:t>
      </w:r>
      <w:r>
        <w:rPr>
          <w:rFonts w:hint="eastAsia" w:ascii="宋体" w:hAnsi="宋体" w:cs="宋体"/>
          <w:b/>
          <w:bCs/>
          <w:color w:val="auto"/>
          <w:sz w:val="22"/>
          <w:szCs w:val="22"/>
          <w:highlight w:val="none"/>
          <w:lang w:val="en-US" w:eastAsia="zh-CN"/>
        </w:rPr>
        <w:t>5</w:t>
      </w:r>
    </w:p>
    <w:p w14:paraId="42EA02DE">
      <w:pPr>
        <w:spacing w:line="40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承包人主要施工管理人员表</w:t>
      </w:r>
    </w:p>
    <w:p w14:paraId="6571F816">
      <w:pPr>
        <w:pStyle w:val="9"/>
        <w:rPr>
          <w:rFonts w:hint="eastAsia" w:ascii="宋体" w:hAnsi="宋体" w:eastAsia="宋体" w:cs="宋体"/>
          <w:color w:val="auto"/>
          <w:sz w:val="21"/>
          <w:szCs w:val="21"/>
          <w:highlight w:val="none"/>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6"/>
        <w:gridCol w:w="3047"/>
        <w:gridCol w:w="3047"/>
      </w:tblGrid>
      <w:tr w14:paraId="1D44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3046" w:type="dxa"/>
            <w:vAlign w:val="center"/>
          </w:tcPr>
          <w:p w14:paraId="11DF3B1A">
            <w:pPr>
              <w:widowControl/>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岗位</w:t>
            </w:r>
          </w:p>
        </w:tc>
        <w:tc>
          <w:tcPr>
            <w:tcW w:w="3047" w:type="dxa"/>
            <w:vAlign w:val="center"/>
          </w:tcPr>
          <w:p w14:paraId="018AB959">
            <w:pPr>
              <w:widowControl/>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3047" w:type="dxa"/>
            <w:vAlign w:val="center"/>
          </w:tcPr>
          <w:p w14:paraId="4DC19D4A">
            <w:pPr>
              <w:widowControl/>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资格要求</w:t>
            </w:r>
          </w:p>
        </w:tc>
      </w:tr>
      <w:tr w14:paraId="599B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3046" w:type="dxa"/>
            <w:vAlign w:val="center"/>
          </w:tcPr>
          <w:p w14:paraId="34E7D24D">
            <w:pPr>
              <w:widowControl/>
              <w:spacing w:line="400" w:lineRule="exact"/>
              <w:jc w:val="center"/>
              <w:rPr>
                <w:rFonts w:hint="eastAsia" w:ascii="宋体" w:hAnsi="宋体" w:eastAsia="宋体" w:cs="宋体"/>
                <w:color w:val="auto"/>
                <w:sz w:val="21"/>
                <w:szCs w:val="21"/>
                <w:highlight w:val="none"/>
              </w:rPr>
            </w:pPr>
          </w:p>
        </w:tc>
        <w:tc>
          <w:tcPr>
            <w:tcW w:w="3047" w:type="dxa"/>
            <w:vAlign w:val="center"/>
          </w:tcPr>
          <w:p w14:paraId="1A5AD0F6">
            <w:pPr>
              <w:widowControl/>
              <w:spacing w:line="400" w:lineRule="exact"/>
              <w:jc w:val="center"/>
              <w:rPr>
                <w:rFonts w:hint="eastAsia" w:ascii="宋体" w:hAnsi="宋体" w:eastAsia="宋体" w:cs="宋体"/>
                <w:color w:val="auto"/>
                <w:sz w:val="21"/>
                <w:szCs w:val="21"/>
                <w:highlight w:val="none"/>
                <w:lang w:eastAsia="zh-CN"/>
              </w:rPr>
            </w:pPr>
          </w:p>
        </w:tc>
        <w:tc>
          <w:tcPr>
            <w:tcW w:w="3047" w:type="dxa"/>
            <w:vAlign w:val="center"/>
          </w:tcPr>
          <w:p w14:paraId="42E613D2">
            <w:pPr>
              <w:widowControl/>
              <w:spacing w:line="400" w:lineRule="exact"/>
              <w:jc w:val="center"/>
              <w:rPr>
                <w:rFonts w:hint="eastAsia" w:ascii="宋体" w:hAnsi="宋体" w:eastAsia="宋体" w:cs="宋体"/>
                <w:color w:val="auto"/>
                <w:sz w:val="21"/>
                <w:szCs w:val="21"/>
                <w:highlight w:val="none"/>
                <w:lang w:eastAsia="zh-CN"/>
              </w:rPr>
            </w:pPr>
          </w:p>
        </w:tc>
      </w:tr>
      <w:tr w14:paraId="07E1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3046" w:type="dxa"/>
            <w:vAlign w:val="center"/>
          </w:tcPr>
          <w:p w14:paraId="0FD04A82">
            <w:pPr>
              <w:widowControl/>
              <w:spacing w:line="400" w:lineRule="exact"/>
              <w:jc w:val="center"/>
              <w:rPr>
                <w:rFonts w:hint="eastAsia" w:ascii="宋体" w:hAnsi="宋体" w:eastAsia="宋体" w:cs="宋体"/>
                <w:color w:val="auto"/>
                <w:sz w:val="21"/>
                <w:szCs w:val="21"/>
                <w:highlight w:val="none"/>
              </w:rPr>
            </w:pPr>
          </w:p>
        </w:tc>
        <w:tc>
          <w:tcPr>
            <w:tcW w:w="3047" w:type="dxa"/>
            <w:vAlign w:val="center"/>
          </w:tcPr>
          <w:p w14:paraId="7F39CDBA">
            <w:pPr>
              <w:widowControl/>
              <w:spacing w:line="400" w:lineRule="exact"/>
              <w:jc w:val="center"/>
              <w:rPr>
                <w:rFonts w:hint="eastAsia" w:ascii="宋体" w:hAnsi="宋体" w:eastAsia="宋体" w:cs="宋体"/>
                <w:color w:val="auto"/>
                <w:sz w:val="21"/>
                <w:szCs w:val="21"/>
                <w:highlight w:val="none"/>
                <w:lang w:eastAsia="zh-CN"/>
              </w:rPr>
            </w:pPr>
          </w:p>
        </w:tc>
        <w:tc>
          <w:tcPr>
            <w:tcW w:w="3047" w:type="dxa"/>
            <w:vAlign w:val="center"/>
          </w:tcPr>
          <w:p w14:paraId="12490B3B">
            <w:pPr>
              <w:widowControl/>
              <w:spacing w:line="400" w:lineRule="exact"/>
              <w:jc w:val="center"/>
              <w:rPr>
                <w:rFonts w:hint="eastAsia" w:ascii="宋体" w:hAnsi="宋体" w:eastAsia="宋体" w:cs="宋体"/>
                <w:color w:val="auto"/>
                <w:sz w:val="21"/>
                <w:szCs w:val="21"/>
                <w:highlight w:val="none"/>
                <w:lang w:eastAsia="zh-CN"/>
              </w:rPr>
            </w:pPr>
          </w:p>
        </w:tc>
      </w:tr>
      <w:tr w14:paraId="696E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3046" w:type="dxa"/>
            <w:vAlign w:val="center"/>
          </w:tcPr>
          <w:p w14:paraId="426E7F04">
            <w:pPr>
              <w:ind w:left="254" w:hanging="222" w:hangingChars="106"/>
              <w:jc w:val="center"/>
              <w:rPr>
                <w:rFonts w:hint="eastAsia" w:ascii="宋体" w:hAnsi="宋体" w:eastAsia="宋体" w:cs="宋体"/>
                <w:color w:val="auto"/>
                <w:sz w:val="21"/>
                <w:szCs w:val="21"/>
                <w:highlight w:val="none"/>
              </w:rPr>
            </w:pPr>
          </w:p>
        </w:tc>
        <w:tc>
          <w:tcPr>
            <w:tcW w:w="3047" w:type="dxa"/>
            <w:vAlign w:val="center"/>
          </w:tcPr>
          <w:p w14:paraId="7CDB1FC1">
            <w:pPr>
              <w:jc w:val="center"/>
              <w:rPr>
                <w:rFonts w:hint="eastAsia" w:ascii="宋体" w:hAnsi="宋体" w:eastAsia="宋体" w:cs="宋体"/>
                <w:color w:val="auto"/>
                <w:sz w:val="21"/>
                <w:szCs w:val="21"/>
                <w:highlight w:val="none"/>
              </w:rPr>
            </w:pPr>
          </w:p>
        </w:tc>
        <w:tc>
          <w:tcPr>
            <w:tcW w:w="3047" w:type="dxa"/>
            <w:vAlign w:val="center"/>
          </w:tcPr>
          <w:p w14:paraId="11EAA8FE">
            <w:pPr>
              <w:ind w:left="254" w:hanging="222" w:hangingChars="106"/>
              <w:jc w:val="center"/>
              <w:rPr>
                <w:rFonts w:hint="eastAsia" w:ascii="宋体" w:hAnsi="宋体" w:eastAsia="宋体" w:cs="宋体"/>
                <w:color w:val="auto"/>
                <w:sz w:val="21"/>
                <w:szCs w:val="21"/>
                <w:highlight w:val="none"/>
                <w:lang w:eastAsia="zh-CN"/>
              </w:rPr>
            </w:pPr>
          </w:p>
        </w:tc>
      </w:tr>
      <w:tr w14:paraId="09F6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3046" w:type="dxa"/>
            <w:vAlign w:val="center"/>
          </w:tcPr>
          <w:p w14:paraId="5197702E">
            <w:pPr>
              <w:ind w:left="254" w:hanging="222" w:hangingChars="106"/>
              <w:jc w:val="center"/>
              <w:rPr>
                <w:rFonts w:hint="eastAsia" w:ascii="宋体" w:hAnsi="宋体" w:eastAsia="宋体" w:cs="宋体"/>
                <w:color w:val="auto"/>
                <w:sz w:val="21"/>
                <w:szCs w:val="21"/>
                <w:highlight w:val="none"/>
              </w:rPr>
            </w:pPr>
          </w:p>
        </w:tc>
        <w:tc>
          <w:tcPr>
            <w:tcW w:w="3047" w:type="dxa"/>
            <w:vAlign w:val="center"/>
          </w:tcPr>
          <w:p w14:paraId="579C59A9">
            <w:pPr>
              <w:jc w:val="center"/>
              <w:rPr>
                <w:rFonts w:hint="eastAsia" w:ascii="宋体" w:hAnsi="宋体" w:eastAsia="宋体" w:cs="宋体"/>
                <w:color w:val="auto"/>
                <w:sz w:val="21"/>
                <w:szCs w:val="21"/>
                <w:highlight w:val="none"/>
              </w:rPr>
            </w:pPr>
          </w:p>
        </w:tc>
        <w:tc>
          <w:tcPr>
            <w:tcW w:w="3047" w:type="dxa"/>
            <w:vAlign w:val="center"/>
          </w:tcPr>
          <w:p w14:paraId="19C32501">
            <w:pPr>
              <w:ind w:left="254" w:hanging="222" w:hangingChars="106"/>
              <w:jc w:val="center"/>
              <w:rPr>
                <w:rFonts w:hint="eastAsia" w:ascii="宋体" w:hAnsi="宋体" w:eastAsia="宋体" w:cs="宋体"/>
                <w:color w:val="auto"/>
                <w:sz w:val="21"/>
                <w:szCs w:val="21"/>
                <w:highlight w:val="none"/>
              </w:rPr>
            </w:pPr>
          </w:p>
        </w:tc>
      </w:tr>
      <w:tr w14:paraId="31DE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3046" w:type="dxa"/>
            <w:vAlign w:val="center"/>
          </w:tcPr>
          <w:p w14:paraId="51C873FD">
            <w:pPr>
              <w:ind w:left="254" w:hanging="222" w:hangingChars="106"/>
              <w:jc w:val="center"/>
              <w:rPr>
                <w:rFonts w:hint="eastAsia" w:ascii="宋体" w:hAnsi="宋体" w:eastAsia="宋体" w:cs="宋体"/>
                <w:color w:val="auto"/>
                <w:sz w:val="21"/>
                <w:szCs w:val="21"/>
                <w:highlight w:val="none"/>
              </w:rPr>
            </w:pPr>
          </w:p>
        </w:tc>
        <w:tc>
          <w:tcPr>
            <w:tcW w:w="3047" w:type="dxa"/>
            <w:vAlign w:val="center"/>
          </w:tcPr>
          <w:p w14:paraId="050A50EE">
            <w:pPr>
              <w:jc w:val="center"/>
              <w:rPr>
                <w:rFonts w:hint="eastAsia" w:ascii="宋体" w:hAnsi="宋体" w:eastAsia="宋体" w:cs="宋体"/>
                <w:color w:val="auto"/>
                <w:sz w:val="21"/>
                <w:szCs w:val="21"/>
                <w:highlight w:val="none"/>
              </w:rPr>
            </w:pPr>
          </w:p>
        </w:tc>
        <w:tc>
          <w:tcPr>
            <w:tcW w:w="3047" w:type="dxa"/>
            <w:vAlign w:val="center"/>
          </w:tcPr>
          <w:p w14:paraId="3A63410A">
            <w:pPr>
              <w:ind w:left="254" w:hanging="222" w:hangingChars="106"/>
              <w:jc w:val="center"/>
              <w:rPr>
                <w:rFonts w:hint="eastAsia" w:ascii="宋体" w:hAnsi="宋体" w:eastAsia="宋体" w:cs="宋体"/>
                <w:color w:val="auto"/>
                <w:sz w:val="21"/>
                <w:szCs w:val="21"/>
                <w:highlight w:val="none"/>
              </w:rPr>
            </w:pPr>
          </w:p>
        </w:tc>
      </w:tr>
      <w:tr w14:paraId="201F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3046" w:type="dxa"/>
            <w:vAlign w:val="center"/>
          </w:tcPr>
          <w:p w14:paraId="32D46DAF">
            <w:pPr>
              <w:ind w:left="254" w:hanging="190" w:hangingChars="106"/>
              <w:jc w:val="center"/>
              <w:rPr>
                <w:rFonts w:hint="eastAsia" w:ascii="宋体" w:hAnsi="宋体" w:eastAsia="宋体" w:cs="宋体"/>
                <w:color w:val="auto"/>
                <w:sz w:val="18"/>
                <w:szCs w:val="21"/>
                <w:highlight w:val="none"/>
              </w:rPr>
            </w:pPr>
          </w:p>
        </w:tc>
        <w:tc>
          <w:tcPr>
            <w:tcW w:w="3047" w:type="dxa"/>
            <w:vAlign w:val="center"/>
          </w:tcPr>
          <w:p w14:paraId="2FFCC6E1">
            <w:pPr>
              <w:ind w:left="254" w:hanging="222" w:hangingChars="106"/>
              <w:jc w:val="center"/>
              <w:rPr>
                <w:rFonts w:hint="eastAsia" w:ascii="宋体" w:hAnsi="宋体" w:eastAsia="宋体" w:cs="宋体"/>
                <w:color w:val="auto"/>
                <w:sz w:val="21"/>
                <w:szCs w:val="21"/>
                <w:highlight w:val="none"/>
              </w:rPr>
            </w:pPr>
          </w:p>
        </w:tc>
        <w:tc>
          <w:tcPr>
            <w:tcW w:w="3047" w:type="dxa"/>
            <w:vAlign w:val="center"/>
          </w:tcPr>
          <w:p w14:paraId="354C959A">
            <w:pPr>
              <w:ind w:left="254" w:hanging="222" w:hangingChars="106"/>
              <w:jc w:val="center"/>
              <w:rPr>
                <w:rFonts w:hint="eastAsia" w:ascii="宋体" w:hAnsi="宋体" w:eastAsia="宋体" w:cs="宋体"/>
                <w:color w:val="auto"/>
                <w:sz w:val="21"/>
                <w:szCs w:val="21"/>
                <w:highlight w:val="none"/>
              </w:rPr>
            </w:pPr>
          </w:p>
        </w:tc>
      </w:tr>
    </w:tbl>
    <w:p w14:paraId="2640F9BE">
      <w:pPr>
        <w:spacing w:line="400" w:lineRule="exact"/>
        <w:rPr>
          <w:rFonts w:hint="eastAsia" w:ascii="宋体" w:hAnsi="宋体" w:eastAsia="宋体" w:cs="宋体"/>
          <w:color w:val="auto"/>
          <w:sz w:val="21"/>
          <w:szCs w:val="21"/>
          <w:highlight w:val="none"/>
        </w:rPr>
        <w:sectPr>
          <w:pgSz w:w="11911" w:h="16838"/>
          <w:pgMar w:top="1417" w:right="1417" w:bottom="1134" w:left="1417" w:header="720" w:footer="720" w:gutter="0"/>
          <w:pgBorders>
            <w:top w:val="none" w:sz="0" w:space="0"/>
            <w:left w:val="none" w:sz="0" w:space="0"/>
            <w:bottom w:val="none" w:sz="0" w:space="0"/>
            <w:right w:val="none" w:sz="0" w:space="0"/>
          </w:pgBorders>
          <w:pgNumType w:fmt="numberInDash"/>
          <w:cols w:space="0" w:num="1"/>
          <w:rtlGutter w:val="0"/>
          <w:docGrid w:linePitch="317" w:charSpace="0"/>
        </w:sectPr>
      </w:pPr>
    </w:p>
    <w:p w14:paraId="6DA661AA">
      <w:pPr>
        <w:spacing w:line="400" w:lineRule="exact"/>
        <w:jc w:val="both"/>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rPr>
        <w:t>附件</w:t>
      </w:r>
      <w:r>
        <w:rPr>
          <w:rFonts w:hint="eastAsia" w:ascii="宋体" w:hAnsi="宋体" w:cs="宋体"/>
          <w:b/>
          <w:bCs/>
          <w:color w:val="auto"/>
          <w:sz w:val="22"/>
          <w:szCs w:val="22"/>
          <w:highlight w:val="none"/>
          <w:lang w:val="en-US" w:eastAsia="zh-CN"/>
        </w:rPr>
        <w:t>6</w:t>
      </w:r>
      <w:r>
        <w:rPr>
          <w:rFonts w:hint="eastAsia" w:ascii="宋体" w:hAnsi="宋体" w:eastAsia="宋体" w:cs="宋体"/>
          <w:b/>
          <w:bCs/>
          <w:color w:val="auto"/>
          <w:sz w:val="22"/>
          <w:szCs w:val="22"/>
          <w:highlight w:val="none"/>
          <w:lang w:val="en-US" w:eastAsia="zh-CN"/>
        </w:rPr>
        <w:t xml:space="preserve">  </w:t>
      </w:r>
    </w:p>
    <w:p w14:paraId="27777C16">
      <w:pPr>
        <w:spacing w:line="400" w:lineRule="exact"/>
        <w:jc w:val="center"/>
        <w:rPr>
          <w:rFonts w:hint="eastAsia" w:ascii="宋体" w:hAnsi="宋体" w:eastAsia="宋体" w:cs="宋体"/>
          <w:color w:val="auto"/>
          <w:sz w:val="18"/>
          <w:szCs w:val="21"/>
          <w:highlight w:val="none"/>
        </w:rPr>
      </w:pPr>
      <w:r>
        <w:rPr>
          <w:rFonts w:hint="eastAsia" w:ascii="宋体" w:hAnsi="宋体" w:eastAsia="宋体" w:cs="宋体"/>
          <w:b/>
          <w:bCs/>
          <w:color w:val="auto"/>
          <w:sz w:val="22"/>
          <w:szCs w:val="22"/>
          <w:highlight w:val="none"/>
        </w:rPr>
        <w:t>承包人用于本工程施工的机械设备表</w:t>
      </w:r>
    </w:p>
    <w:p w14:paraId="2F1BB979">
      <w:pPr>
        <w:spacing w:line="400" w:lineRule="exact"/>
        <w:rPr>
          <w:rFonts w:hint="eastAsia" w:ascii="宋体" w:hAnsi="宋体" w:eastAsia="宋体" w:cs="宋体"/>
          <w:color w:val="auto"/>
          <w:sz w:val="21"/>
          <w:szCs w:val="21"/>
          <w:highlight w:val="none"/>
        </w:rPr>
      </w:pPr>
    </w:p>
    <w:tbl>
      <w:tblPr>
        <w:tblStyle w:val="20"/>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0"/>
        <w:gridCol w:w="2170"/>
        <w:gridCol w:w="2170"/>
        <w:gridCol w:w="2170"/>
      </w:tblGrid>
      <w:tr w14:paraId="4E57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2170" w:type="dxa"/>
            <w:vAlign w:val="center"/>
          </w:tcPr>
          <w:p w14:paraId="291D2FC7">
            <w:pPr>
              <w:widowControl/>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设备名称</w:t>
            </w:r>
          </w:p>
        </w:tc>
        <w:tc>
          <w:tcPr>
            <w:tcW w:w="2170" w:type="dxa"/>
            <w:vAlign w:val="center"/>
          </w:tcPr>
          <w:p w14:paraId="50A44901">
            <w:pPr>
              <w:autoSpaceDE w:val="0"/>
              <w:autoSpaceDN w:val="0"/>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型号</w:t>
            </w:r>
          </w:p>
          <w:p w14:paraId="01ED39EC">
            <w:pPr>
              <w:widowControl/>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规格</w:t>
            </w:r>
          </w:p>
        </w:tc>
        <w:tc>
          <w:tcPr>
            <w:tcW w:w="2170" w:type="dxa"/>
            <w:vAlign w:val="center"/>
          </w:tcPr>
          <w:p w14:paraId="5F92C1DE">
            <w:pPr>
              <w:autoSpaceDE w:val="0"/>
              <w:autoSpaceDN w:val="0"/>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额定</w:t>
            </w:r>
          </w:p>
          <w:p w14:paraId="5D37594F">
            <w:pPr>
              <w:widowControl/>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功率</w:t>
            </w:r>
            <w:r>
              <w:rPr>
                <w:rFonts w:hint="eastAsia" w:ascii="宋体" w:hAnsi="宋体" w:eastAsia="宋体" w:cs="宋体"/>
                <w:color w:val="auto"/>
                <w:sz w:val="18"/>
                <w:szCs w:val="18"/>
                <w:highlight w:val="none"/>
              </w:rPr>
              <w:t>（</w:t>
            </w:r>
            <w:r>
              <w:rPr>
                <w:rFonts w:hint="eastAsia" w:ascii="宋体" w:hAnsi="宋体" w:cs="宋体"/>
                <w:color w:val="auto"/>
                <w:sz w:val="18"/>
                <w:szCs w:val="18"/>
                <w:highlight w:val="none"/>
                <w:lang w:eastAsia="zh-CN"/>
              </w:rPr>
              <w:t>kW</w:t>
            </w:r>
            <w:r>
              <w:rPr>
                <w:rFonts w:hint="eastAsia" w:ascii="宋体" w:hAnsi="宋体" w:eastAsia="宋体" w:cs="宋体"/>
                <w:color w:val="auto"/>
                <w:sz w:val="18"/>
                <w:szCs w:val="18"/>
                <w:highlight w:val="none"/>
              </w:rPr>
              <w:t>）</w:t>
            </w:r>
          </w:p>
        </w:tc>
        <w:tc>
          <w:tcPr>
            <w:tcW w:w="2170" w:type="dxa"/>
            <w:vAlign w:val="center"/>
          </w:tcPr>
          <w:p w14:paraId="0C765A0C">
            <w:pPr>
              <w:widowControl/>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最低数量要求</w:t>
            </w:r>
          </w:p>
        </w:tc>
      </w:tr>
      <w:tr w14:paraId="3A7C5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70" w:type="dxa"/>
            <w:vAlign w:val="center"/>
          </w:tcPr>
          <w:p w14:paraId="28A88DB8">
            <w:pPr>
              <w:pStyle w:val="37"/>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1"/>
                <w:szCs w:val="21"/>
                <w:highlight w:val="none"/>
                <w:lang w:val="en-US" w:eastAsia="zh-CN" w:bidi="ar-SA"/>
              </w:rPr>
            </w:pPr>
          </w:p>
        </w:tc>
        <w:tc>
          <w:tcPr>
            <w:tcW w:w="2170" w:type="dxa"/>
            <w:vAlign w:val="center"/>
          </w:tcPr>
          <w:p w14:paraId="210FD896">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647EAD27">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1A5187FF">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0DF3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70" w:type="dxa"/>
            <w:vAlign w:val="center"/>
          </w:tcPr>
          <w:p w14:paraId="32EFF6AD">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76994883">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5E5318FF">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0F667D44">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5E22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70" w:type="dxa"/>
            <w:vAlign w:val="center"/>
          </w:tcPr>
          <w:p w14:paraId="034F4C65">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24967A79">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376F7ECA">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76C9AD65">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4BC6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70" w:type="dxa"/>
            <w:vAlign w:val="center"/>
          </w:tcPr>
          <w:p w14:paraId="0F70C4D7">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1B41584D">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1FBFE652">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710203DD">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7B34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70" w:type="dxa"/>
            <w:vAlign w:val="center"/>
          </w:tcPr>
          <w:p w14:paraId="6E3664EA">
            <w:pPr>
              <w:keepNext w:val="0"/>
              <w:keepLines w:val="0"/>
              <w:pageBreakBefore w:val="0"/>
              <w:widowControl w:val="0"/>
              <w:tabs>
                <w:tab w:val="left" w:pos="5460"/>
              </w:tabs>
              <w:kinsoku/>
              <w:wordWrap/>
              <w:overflowPunct/>
              <w:topLinePunct w:val="0"/>
              <w:autoSpaceDE/>
              <w:autoSpaceDN/>
              <w:bidi w:val="0"/>
              <w:adjustRightInd/>
              <w:snapToGrid/>
              <w:spacing w:line="420" w:lineRule="exact"/>
              <w:textAlignment w:val="auto"/>
              <w:rPr>
                <w:rFonts w:hint="eastAsia" w:ascii="宋体" w:hAnsi="宋体" w:eastAsia="宋体" w:cs="宋体"/>
                <w:bCs/>
                <w:color w:val="auto"/>
                <w:spacing w:val="-18"/>
                <w:kern w:val="2"/>
                <w:sz w:val="21"/>
                <w:szCs w:val="21"/>
                <w:highlight w:val="none"/>
                <w:lang w:val="en-US" w:eastAsia="zh-CN" w:bidi="ar-SA"/>
              </w:rPr>
            </w:pPr>
          </w:p>
        </w:tc>
        <w:tc>
          <w:tcPr>
            <w:tcW w:w="2170" w:type="dxa"/>
            <w:vAlign w:val="center"/>
          </w:tcPr>
          <w:p w14:paraId="224D95AC">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1C18B644">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5A0A72B1">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6B92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70" w:type="dxa"/>
            <w:vAlign w:val="center"/>
          </w:tcPr>
          <w:p w14:paraId="4A2A551D">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67FA2395">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5AAA646F">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558F005C">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329C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70" w:type="dxa"/>
            <w:vAlign w:val="center"/>
          </w:tcPr>
          <w:p w14:paraId="037F7976">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249C6FAB">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77F3E96C">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78E2C544">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3AC29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70" w:type="dxa"/>
            <w:vAlign w:val="center"/>
          </w:tcPr>
          <w:p w14:paraId="1221AD76">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7FA15B3C">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597044C8">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0739C1EF">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3F09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70" w:type="dxa"/>
            <w:vAlign w:val="center"/>
          </w:tcPr>
          <w:p w14:paraId="521CE469">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03334C83">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73AB5E45">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2664BC33">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5AEB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70" w:type="dxa"/>
            <w:vAlign w:val="center"/>
          </w:tcPr>
          <w:p w14:paraId="48D7DA45">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7533A9EB">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34169337">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7B962CFE">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65EA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70" w:type="dxa"/>
            <w:vAlign w:val="center"/>
          </w:tcPr>
          <w:p w14:paraId="44593139">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4FA98EDF">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23705391">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52FB5259">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29D2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70" w:type="dxa"/>
            <w:vAlign w:val="center"/>
          </w:tcPr>
          <w:p w14:paraId="7BA4FDA4">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24997BDD">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4997544F">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6DC56CD8">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1573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70" w:type="dxa"/>
            <w:vAlign w:val="center"/>
          </w:tcPr>
          <w:p w14:paraId="5B641E79">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spacing w:val="-18"/>
                <w:kern w:val="2"/>
                <w:sz w:val="21"/>
                <w:szCs w:val="21"/>
                <w:highlight w:val="none"/>
                <w:lang w:val="en-US" w:eastAsia="zh-CN" w:bidi="ar-SA"/>
              </w:rPr>
            </w:pPr>
          </w:p>
        </w:tc>
        <w:tc>
          <w:tcPr>
            <w:tcW w:w="2170" w:type="dxa"/>
            <w:vAlign w:val="center"/>
          </w:tcPr>
          <w:p w14:paraId="4DDF041F">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39B4E85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61CE41D6">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6680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70" w:type="dxa"/>
            <w:vAlign w:val="center"/>
          </w:tcPr>
          <w:p w14:paraId="4840FA9D">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31AE5BF8">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spacing w:val="-20"/>
                <w:kern w:val="2"/>
                <w:sz w:val="21"/>
                <w:szCs w:val="21"/>
                <w:highlight w:val="none"/>
                <w:lang w:val="en-US" w:eastAsia="zh-CN" w:bidi="ar-SA"/>
              </w:rPr>
            </w:pPr>
          </w:p>
        </w:tc>
        <w:tc>
          <w:tcPr>
            <w:tcW w:w="2170" w:type="dxa"/>
            <w:vAlign w:val="center"/>
          </w:tcPr>
          <w:p w14:paraId="4942EF3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37C8D8CB">
            <w:pPr>
              <w:keepNext w:val="0"/>
              <w:keepLines w:val="0"/>
              <w:pageBreakBefore w:val="0"/>
              <w:widowControl w:val="0"/>
              <w:tabs>
                <w:tab w:val="left" w:pos="546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4B2A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2991A55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26C0AF6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kern w:val="2"/>
                <w:sz w:val="21"/>
                <w:szCs w:val="21"/>
                <w:highlight w:val="none"/>
                <w:lang w:val="en-US" w:eastAsia="zh-CN" w:bidi="ar-SA"/>
              </w:rPr>
            </w:pPr>
          </w:p>
        </w:tc>
        <w:tc>
          <w:tcPr>
            <w:tcW w:w="2170" w:type="dxa"/>
            <w:vAlign w:val="center"/>
          </w:tcPr>
          <w:p w14:paraId="5E8E946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kern w:val="2"/>
                <w:sz w:val="21"/>
                <w:szCs w:val="21"/>
                <w:highlight w:val="none"/>
                <w:lang w:val="en-US" w:eastAsia="zh-CN" w:bidi="ar-SA"/>
              </w:rPr>
            </w:pPr>
          </w:p>
        </w:tc>
        <w:tc>
          <w:tcPr>
            <w:tcW w:w="2170" w:type="dxa"/>
            <w:vAlign w:val="center"/>
          </w:tcPr>
          <w:p w14:paraId="50FCCA9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551B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4C2CD32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189981E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5A7FB29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3B9AFDE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1AF0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243DE3A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034EF6B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3B23A30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19E2B9F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2154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7E507F8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0404C1B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4A5838C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7DBD604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309C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20CB591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0E08138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75E100D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787B8AB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75FD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6092DBC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38663E7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32B0F17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39764F6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66E7F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5229838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2251222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032A858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6C7753A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r w14:paraId="42DF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170" w:type="dxa"/>
            <w:vAlign w:val="center"/>
          </w:tcPr>
          <w:p w14:paraId="467F0E1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230CC47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3164454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2170" w:type="dxa"/>
            <w:vAlign w:val="center"/>
          </w:tcPr>
          <w:p w14:paraId="6E77E6B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color w:val="auto"/>
                <w:kern w:val="2"/>
                <w:sz w:val="21"/>
                <w:szCs w:val="21"/>
                <w:highlight w:val="none"/>
                <w:lang w:val="en-US" w:eastAsia="zh-CN" w:bidi="ar-SA"/>
              </w:rPr>
            </w:pPr>
          </w:p>
        </w:tc>
      </w:tr>
    </w:tbl>
    <w:p w14:paraId="0E85A1AE">
      <w:pPr>
        <w:rPr>
          <w:rFonts w:hint="eastAsia" w:ascii="宋体" w:hAnsi="宋体" w:eastAsia="宋体" w:cs="宋体"/>
          <w:color w:val="auto"/>
          <w:sz w:val="21"/>
          <w:szCs w:val="21"/>
          <w:highlight w:val="none"/>
        </w:rPr>
      </w:pPr>
    </w:p>
    <w:p w14:paraId="6E471198">
      <w:pPr>
        <w:pStyle w:val="2"/>
        <w:spacing w:before="156" w:beforeLines="50" w:after="156" w:afterLines="50" w:line="400" w:lineRule="exact"/>
        <w:rPr>
          <w:rFonts w:hint="eastAsia" w:ascii="宋体" w:hAnsi="宋体" w:eastAsia="宋体" w:cs="宋体"/>
          <w:color w:val="auto"/>
          <w:sz w:val="21"/>
          <w:szCs w:val="21"/>
          <w:highlight w:val="none"/>
        </w:rPr>
      </w:pPr>
      <w:bookmarkStart w:id="585" w:name="_Toc27763"/>
      <w:bookmarkStart w:id="586" w:name="_Toc12080"/>
      <w:bookmarkStart w:id="587" w:name="_Toc30783"/>
      <w:r>
        <w:rPr>
          <w:rFonts w:hint="eastAsia" w:ascii="宋体" w:hAnsi="宋体" w:eastAsia="宋体" w:cs="宋体"/>
          <w:color w:val="auto"/>
          <w:sz w:val="21"/>
          <w:szCs w:val="21"/>
          <w:highlight w:val="none"/>
        </w:rPr>
        <w:t>附</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 xml:space="preserve">  预付款担保格式</w:t>
      </w:r>
      <w:bookmarkEnd w:id="585"/>
      <w:bookmarkEnd w:id="586"/>
      <w:bookmarkEnd w:id="587"/>
    </w:p>
    <w:p w14:paraId="424FB159">
      <w:pPr>
        <w:rPr>
          <w:rFonts w:hint="eastAsia" w:ascii="宋体" w:hAnsi="宋体" w:eastAsia="宋体" w:cs="宋体"/>
          <w:color w:val="auto"/>
          <w:sz w:val="21"/>
          <w:szCs w:val="21"/>
          <w:highlight w:val="none"/>
        </w:rPr>
      </w:pPr>
    </w:p>
    <w:p w14:paraId="68BAA742">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预 付 款 担 保</w:t>
      </w:r>
    </w:p>
    <w:p w14:paraId="1C6F19E1">
      <w:pPr>
        <w:rPr>
          <w:rFonts w:hint="eastAsia" w:ascii="宋体" w:hAnsi="宋体" w:eastAsia="宋体" w:cs="宋体"/>
          <w:color w:val="auto"/>
          <w:sz w:val="21"/>
          <w:szCs w:val="21"/>
          <w:highlight w:val="none"/>
        </w:rPr>
      </w:pPr>
    </w:p>
    <w:p w14:paraId="6998B04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（发包人名称）：</w:t>
      </w:r>
    </w:p>
    <w:p w14:paraId="61A04985">
      <w:pPr>
        <w:rPr>
          <w:rFonts w:hint="eastAsia" w:ascii="宋体" w:hAnsi="宋体" w:eastAsia="宋体" w:cs="宋体"/>
          <w:color w:val="auto"/>
          <w:sz w:val="21"/>
          <w:szCs w:val="21"/>
          <w:highlight w:val="none"/>
        </w:rPr>
      </w:pPr>
    </w:p>
    <w:p w14:paraId="6304F46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（承包人名称）（以</w:t>
      </w:r>
      <w:r>
        <w:rPr>
          <w:rFonts w:hint="eastAsia" w:ascii="宋体" w:hAnsi="宋体" w:cs="宋体"/>
          <w:color w:val="auto"/>
          <w:sz w:val="21"/>
          <w:szCs w:val="21"/>
          <w:highlight w:val="none"/>
          <w:lang w:eastAsia="zh-CN"/>
        </w:rPr>
        <w:t>下简</w:t>
      </w:r>
      <w:r>
        <w:rPr>
          <w:rFonts w:hint="eastAsia" w:ascii="宋体" w:hAnsi="宋体" w:eastAsia="宋体" w:cs="宋体"/>
          <w:color w:val="auto"/>
          <w:sz w:val="21"/>
          <w:szCs w:val="21"/>
          <w:highlight w:val="none"/>
        </w:rPr>
        <w:t>称“承包人”）与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（发包人名称）（以下简称“发包人”）于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日签订的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标段施工承包合同，承包人按约定的金额向发包人提交一份预付款担保，即有权得到发包人支付相等金额的预付款。我方愿意就你方提供给承包人的预付款提供担保。</w:t>
      </w:r>
    </w:p>
    <w:p w14:paraId="1C059BF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1.担保金额人民币（大写）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AB4DAD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2.担保有效期自预付款支付给承包人起生效，至发包人签发的进度付款证书说明已完全扣清止。</w:t>
      </w:r>
    </w:p>
    <w:p w14:paraId="69B89D5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本保函有效期内，因承包人违反合同约定的义务而要求收回预付款时，我方在收到你方的书面通知后，在7天内无条件支付，无须你方出具证明或陈述理由。但本保函的担保金额，在任何时候不应超过预付款金额减去发包人按合同约定在向承包人签发的进度付款证书中扣除的金额。</w:t>
      </w:r>
    </w:p>
    <w:p w14:paraId="7C80551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4.发包人和承包人按合同条款第 15 条变更合同时，我方承担本保函规定的义务不变。</w:t>
      </w:r>
    </w:p>
    <w:p w14:paraId="6896AB9D">
      <w:pPr>
        <w:rPr>
          <w:rFonts w:hint="eastAsia" w:ascii="宋体" w:hAnsi="宋体" w:eastAsia="宋体" w:cs="宋体"/>
          <w:color w:val="auto"/>
          <w:sz w:val="21"/>
          <w:szCs w:val="21"/>
          <w:highlight w:val="none"/>
        </w:rPr>
      </w:pPr>
    </w:p>
    <w:p w14:paraId="2FC1D86F">
      <w:pPr>
        <w:rPr>
          <w:rFonts w:hint="eastAsia" w:ascii="宋体" w:hAnsi="宋体" w:eastAsia="宋体" w:cs="宋体"/>
          <w:color w:val="auto"/>
          <w:sz w:val="21"/>
          <w:szCs w:val="21"/>
          <w:highlight w:val="none"/>
        </w:rPr>
      </w:pPr>
    </w:p>
    <w:p w14:paraId="10A424EC">
      <w:pPr>
        <w:rPr>
          <w:rFonts w:hint="eastAsia" w:ascii="宋体" w:hAnsi="宋体" w:eastAsia="宋体" w:cs="宋体"/>
          <w:color w:val="auto"/>
          <w:sz w:val="21"/>
          <w:szCs w:val="21"/>
          <w:highlight w:val="none"/>
        </w:rPr>
      </w:pPr>
    </w:p>
    <w:p w14:paraId="6D9016F9">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担 保 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w:t>
      </w:r>
      <w:r>
        <w:rPr>
          <w:rFonts w:hint="eastAsia" w:ascii="宋体" w:hAnsi="宋体" w:cs="宋体"/>
          <w:color w:val="auto"/>
          <w:sz w:val="21"/>
          <w:szCs w:val="21"/>
          <w:highlight w:val="none"/>
          <w:lang w:eastAsia="zh-CN"/>
        </w:rPr>
        <w:t>位公</w:t>
      </w:r>
      <w:r>
        <w:rPr>
          <w:rFonts w:hint="eastAsia" w:ascii="宋体" w:hAnsi="宋体" w:eastAsia="宋体" w:cs="宋体"/>
          <w:color w:val="auto"/>
          <w:sz w:val="21"/>
          <w:szCs w:val="21"/>
          <w:highlight w:val="none"/>
        </w:rPr>
        <w:t>章）</w:t>
      </w:r>
    </w:p>
    <w:p w14:paraId="4E3AE40A">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法定代表人或其委托代理人：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348665D5">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地    址：</w:t>
      </w:r>
      <w:r>
        <w:rPr>
          <w:rFonts w:hint="eastAsia" w:ascii="宋体" w:hAnsi="宋体" w:eastAsia="宋体" w:cs="宋体"/>
          <w:color w:val="auto"/>
          <w:sz w:val="21"/>
          <w:szCs w:val="21"/>
          <w:highlight w:val="none"/>
          <w:u w:val="single"/>
        </w:rPr>
        <w:t xml:space="preserve">                              </w:t>
      </w:r>
    </w:p>
    <w:p w14:paraId="28E764E1">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邮政编码：</w:t>
      </w:r>
      <w:r>
        <w:rPr>
          <w:rFonts w:hint="eastAsia" w:ascii="宋体" w:hAnsi="宋体" w:eastAsia="宋体" w:cs="宋体"/>
          <w:color w:val="auto"/>
          <w:sz w:val="21"/>
          <w:szCs w:val="21"/>
          <w:highlight w:val="none"/>
          <w:u w:val="single"/>
        </w:rPr>
        <w:t xml:space="preserve">                              </w:t>
      </w:r>
    </w:p>
    <w:p w14:paraId="2B6CC849">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电    话：</w:t>
      </w:r>
      <w:r>
        <w:rPr>
          <w:rFonts w:hint="eastAsia" w:ascii="宋体" w:hAnsi="宋体" w:eastAsia="宋体" w:cs="宋体"/>
          <w:color w:val="auto"/>
          <w:sz w:val="21"/>
          <w:szCs w:val="21"/>
          <w:highlight w:val="none"/>
          <w:u w:val="single"/>
        </w:rPr>
        <w:t xml:space="preserve">                              </w:t>
      </w:r>
    </w:p>
    <w:p w14:paraId="60A6D2A5">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传    真：</w:t>
      </w:r>
      <w:r>
        <w:rPr>
          <w:rFonts w:hint="eastAsia" w:ascii="宋体" w:hAnsi="宋体" w:eastAsia="宋体" w:cs="宋体"/>
          <w:color w:val="auto"/>
          <w:sz w:val="21"/>
          <w:szCs w:val="21"/>
          <w:highlight w:val="none"/>
          <w:u w:val="single"/>
        </w:rPr>
        <w:t xml:space="preserve">                              </w:t>
      </w:r>
    </w:p>
    <w:p w14:paraId="6D501DB5">
      <w:pPr>
        <w:rPr>
          <w:rFonts w:hint="eastAsia" w:ascii="宋体" w:hAnsi="宋体" w:eastAsia="宋体" w:cs="宋体"/>
          <w:color w:val="auto"/>
          <w:sz w:val="21"/>
          <w:szCs w:val="21"/>
          <w:highlight w:val="none"/>
        </w:rPr>
      </w:pPr>
    </w:p>
    <w:p w14:paraId="510D4F0F">
      <w:pPr>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C24F10C">
      <w:pPr>
        <w:spacing w:line="360" w:lineRule="auto"/>
        <w:ind w:right="147"/>
        <w:jc w:val="left"/>
        <w:rPr>
          <w:rFonts w:hint="eastAsia" w:ascii="宋体" w:hAnsi="宋体" w:eastAsia="宋体" w:cs="宋体"/>
          <w:color w:val="auto"/>
          <w:sz w:val="21"/>
          <w:szCs w:val="21"/>
          <w:highlight w:val="none"/>
        </w:rPr>
      </w:pPr>
    </w:p>
    <w:p w14:paraId="45F3DBD6">
      <w:pPr>
        <w:pStyle w:val="24"/>
        <w:rPr>
          <w:rFonts w:hint="eastAsia" w:ascii="宋体" w:hAnsi="宋体" w:eastAsia="宋体" w:cs="宋体"/>
          <w:color w:val="auto"/>
          <w:sz w:val="21"/>
          <w:szCs w:val="18"/>
          <w:highlight w:val="none"/>
        </w:rPr>
      </w:pPr>
    </w:p>
    <w:p w14:paraId="58A4107F">
      <w:pPr>
        <w:pStyle w:val="24"/>
        <w:rPr>
          <w:rFonts w:hint="eastAsia" w:ascii="宋体" w:hAnsi="宋体" w:eastAsia="宋体" w:cs="宋体"/>
          <w:color w:val="auto"/>
          <w:sz w:val="21"/>
          <w:szCs w:val="18"/>
          <w:highlight w:val="none"/>
        </w:rPr>
      </w:pPr>
    </w:p>
    <w:p w14:paraId="40E37CDC">
      <w:pPr>
        <w:pStyle w:val="24"/>
        <w:rPr>
          <w:rFonts w:hint="eastAsia" w:ascii="宋体" w:hAnsi="宋体" w:eastAsia="宋体" w:cs="宋体"/>
          <w:color w:val="auto"/>
          <w:sz w:val="21"/>
          <w:szCs w:val="18"/>
          <w:highlight w:val="none"/>
        </w:rPr>
      </w:pPr>
    </w:p>
    <w:p w14:paraId="60DFE4DD">
      <w:pPr>
        <w:pStyle w:val="24"/>
        <w:rPr>
          <w:rFonts w:hint="eastAsia" w:ascii="宋体" w:hAnsi="宋体" w:eastAsia="宋体" w:cs="宋体"/>
          <w:color w:val="auto"/>
          <w:sz w:val="21"/>
          <w:szCs w:val="18"/>
          <w:highlight w:val="none"/>
        </w:rPr>
      </w:pPr>
    </w:p>
    <w:p w14:paraId="68CE5B5F">
      <w:pPr>
        <w:pStyle w:val="24"/>
        <w:rPr>
          <w:rFonts w:hint="eastAsia" w:ascii="宋体" w:hAnsi="宋体" w:eastAsia="宋体" w:cs="宋体"/>
          <w:color w:val="auto"/>
          <w:sz w:val="21"/>
          <w:szCs w:val="18"/>
          <w:highlight w:val="none"/>
        </w:rPr>
      </w:pPr>
    </w:p>
    <w:p w14:paraId="49553EB8">
      <w:pPr>
        <w:pStyle w:val="24"/>
        <w:rPr>
          <w:rFonts w:hint="eastAsia" w:ascii="宋体" w:hAnsi="宋体" w:eastAsia="宋体" w:cs="宋体"/>
          <w:color w:val="auto"/>
          <w:sz w:val="21"/>
          <w:szCs w:val="18"/>
          <w:highlight w:val="none"/>
        </w:rPr>
      </w:pPr>
    </w:p>
    <w:p w14:paraId="7C2ADEC1">
      <w:pPr>
        <w:pStyle w:val="9"/>
        <w:rPr>
          <w:rFonts w:hint="eastAsia" w:ascii="宋体" w:hAnsi="宋体" w:eastAsia="宋体" w:cs="宋体"/>
          <w:color w:val="auto"/>
          <w:sz w:val="21"/>
          <w:szCs w:val="18"/>
          <w:highlight w:val="none"/>
        </w:rPr>
      </w:pPr>
    </w:p>
    <w:p w14:paraId="507E1773">
      <w:pPr>
        <w:rPr>
          <w:rFonts w:hint="eastAsia" w:ascii="宋体" w:hAnsi="宋体" w:eastAsia="宋体" w:cs="宋体"/>
          <w:color w:val="auto"/>
          <w:sz w:val="21"/>
          <w:szCs w:val="18"/>
          <w:highlight w:val="none"/>
        </w:rPr>
      </w:pPr>
    </w:p>
    <w:p w14:paraId="41A56484">
      <w:pPr>
        <w:pStyle w:val="27"/>
        <w:rPr>
          <w:rFonts w:hint="eastAsia"/>
          <w:color w:val="auto"/>
          <w:highlight w:val="none"/>
        </w:rPr>
      </w:pPr>
    </w:p>
    <w:p w14:paraId="55DDB790">
      <w:pPr>
        <w:pStyle w:val="24"/>
        <w:rPr>
          <w:rFonts w:hint="eastAsia" w:ascii="宋体" w:hAnsi="宋体" w:eastAsia="宋体" w:cs="宋体"/>
          <w:color w:val="auto"/>
          <w:sz w:val="21"/>
          <w:szCs w:val="18"/>
          <w:highlight w:val="none"/>
        </w:rPr>
      </w:pPr>
    </w:p>
    <w:p w14:paraId="335CFF50">
      <w:pPr>
        <w:pStyle w:val="24"/>
        <w:rPr>
          <w:rFonts w:hint="eastAsia" w:ascii="宋体" w:hAnsi="宋体" w:eastAsia="宋体" w:cs="宋体"/>
          <w:color w:val="auto"/>
          <w:sz w:val="21"/>
          <w:szCs w:val="18"/>
          <w:highlight w:val="none"/>
        </w:rPr>
      </w:pPr>
    </w:p>
    <w:p w14:paraId="19712C16">
      <w:pPr>
        <w:spacing w:line="360" w:lineRule="auto"/>
        <w:ind w:right="147"/>
        <w:jc w:val="lef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附件</w:t>
      </w:r>
      <w:r>
        <w:rPr>
          <w:rFonts w:hint="eastAsia" w:ascii="宋体" w:hAnsi="宋体" w:cs="宋体"/>
          <w:b/>
          <w:bCs/>
          <w:color w:val="auto"/>
          <w:sz w:val="22"/>
          <w:szCs w:val="22"/>
          <w:highlight w:val="none"/>
          <w:lang w:val="en-US" w:eastAsia="zh-CN"/>
        </w:rPr>
        <w:t>8</w:t>
      </w:r>
      <w:r>
        <w:rPr>
          <w:rFonts w:hint="eastAsia" w:ascii="宋体" w:hAnsi="宋体" w:eastAsia="宋体" w:cs="宋体"/>
          <w:b/>
          <w:bCs/>
          <w:color w:val="auto"/>
          <w:sz w:val="22"/>
          <w:szCs w:val="22"/>
          <w:highlight w:val="none"/>
        </w:rPr>
        <w:t xml:space="preserve"> </w:t>
      </w:r>
    </w:p>
    <w:p w14:paraId="308E4708">
      <w:pPr>
        <w:pStyle w:val="38"/>
        <w:spacing w:before="156" w:beforeLines="50" w:after="156" w:afterLines="50" w:line="44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工程质量保修书</w:t>
      </w:r>
    </w:p>
    <w:p w14:paraId="4906DA10">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9623B5">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1169AABC">
      <w:pPr>
        <w:pStyle w:val="38"/>
        <w:spacing w:line="360" w:lineRule="auto"/>
        <w:rPr>
          <w:rFonts w:hint="eastAsia" w:ascii="宋体" w:hAnsi="宋体" w:eastAsia="宋体" w:cs="宋体"/>
          <w:color w:val="auto"/>
          <w:sz w:val="21"/>
          <w:szCs w:val="21"/>
          <w:highlight w:val="none"/>
        </w:rPr>
      </w:pPr>
    </w:p>
    <w:p w14:paraId="75E6D31C">
      <w:pPr>
        <w:pStyle w:val="38"/>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发包人和承包人根据《中华人民共和国建筑法》和《建设工程质量管理条例》，经协商一致就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签订工程质量保修书。</w:t>
      </w:r>
    </w:p>
    <w:p w14:paraId="70DA792F">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一、工程质量保修范围和内容</w:t>
      </w:r>
    </w:p>
    <w:p w14:paraId="3DE5548C">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承包人在质量保修期内，按照有关法律规定和合同约定，承担工程质量保修责任。</w:t>
      </w:r>
    </w:p>
    <w:p w14:paraId="28D56E92">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质量保修范围包括</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竣工工程量清单和竣工图图纸上包含的</w:t>
      </w:r>
      <w:r>
        <w:rPr>
          <w:rFonts w:hint="eastAsia" w:ascii="宋体" w:hAnsi="宋体" w:eastAsia="宋体" w:cs="宋体"/>
          <w:color w:val="auto"/>
          <w:sz w:val="21"/>
          <w:szCs w:val="21"/>
          <w:highlight w:val="none"/>
          <w:u w:val="single"/>
        </w:rPr>
        <w:t xml:space="preserve">内容  </w:t>
      </w:r>
      <w:r>
        <w:rPr>
          <w:rFonts w:hint="eastAsia" w:ascii="宋体" w:hAnsi="宋体" w:eastAsia="宋体" w:cs="宋体"/>
          <w:color w:val="auto"/>
          <w:sz w:val="21"/>
          <w:szCs w:val="21"/>
          <w:highlight w:val="none"/>
        </w:rPr>
        <w:t>，以及双方约定的其他项目。具体保修的内容，双方约定如下：</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08C902C">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二、质量保修期</w:t>
      </w:r>
    </w:p>
    <w:p w14:paraId="4FEFCAB5">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根据《建设工程质量管理条例》及有关规定，工程的质量保修期如下：</w:t>
      </w:r>
    </w:p>
    <w:p w14:paraId="68D410CF">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桥梁隧道主体结构</w:t>
      </w:r>
      <w:r>
        <w:rPr>
          <w:rFonts w:hint="eastAsia" w:ascii="宋体" w:hAnsi="宋体" w:cs="宋体"/>
          <w:color w:val="auto"/>
          <w:sz w:val="21"/>
          <w:szCs w:val="21"/>
          <w:highlight w:val="none"/>
          <w:lang w:eastAsia="zh-CN"/>
        </w:rPr>
        <w:t>工程</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设计文件规定的合理使用年限</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059C7DD5">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 xml:space="preserve">道路工程为 </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年；</w:t>
      </w:r>
    </w:p>
    <w:p w14:paraId="082E3B09">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cs="宋体"/>
          <w:color w:val="auto"/>
          <w:sz w:val="21"/>
          <w:szCs w:val="21"/>
          <w:highlight w:val="none"/>
          <w:lang w:val="en-US" w:eastAsia="zh-CN"/>
        </w:rPr>
        <w:t>渠道</w:t>
      </w:r>
      <w:r>
        <w:rPr>
          <w:rFonts w:hint="eastAsia" w:ascii="宋体" w:hAnsi="宋体" w:eastAsia="宋体" w:cs="宋体"/>
          <w:color w:val="auto"/>
          <w:sz w:val="21"/>
          <w:szCs w:val="21"/>
          <w:highlight w:val="none"/>
        </w:rPr>
        <w:t>工程为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w:t>
      </w:r>
    </w:p>
    <w:p w14:paraId="71E01C49">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cs="宋体"/>
          <w:color w:val="auto"/>
          <w:sz w:val="21"/>
          <w:szCs w:val="21"/>
          <w:highlight w:val="none"/>
          <w:lang w:val="en-US" w:eastAsia="zh-CN"/>
        </w:rPr>
        <w:t>水源工程（堰、坝、集水池、水井、潜水泵、水轮泵等取水设备）为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p>
    <w:p w14:paraId="40ABE1DA">
      <w:pPr>
        <w:pStyle w:val="38"/>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 输配电工程（高压线、低压线、变压器、配电箱、电表以及电力附属设施）为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p>
    <w:p w14:paraId="203CEFCD">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涵管、涵洞、箱涵、盖板涵为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1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p>
    <w:p w14:paraId="3C2430A0">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其他附属工程为</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年；</w:t>
      </w:r>
    </w:p>
    <w:p w14:paraId="44004D06">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其他项目保修期限约定如下：</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99C24E7">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质量保修期自工程竣工验收合格之日起计算。</w:t>
      </w:r>
    </w:p>
    <w:p w14:paraId="566CF7DC">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三、缺陷责任期</w:t>
      </w:r>
    </w:p>
    <w:p w14:paraId="5A07BFD5">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工程缺陷责任期为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24</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个月（最长不超过24个月），缺陷责任期自工程竣工验收合格之日起计算。单位工程先于全部工程进行验收，单位工程缺陷责任期自单位工程验收合格之日起算。</w:t>
      </w:r>
    </w:p>
    <w:p w14:paraId="17B1DAAA">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缺陷责任期终止后，发包人应退还剩余的质量保证金。</w:t>
      </w:r>
    </w:p>
    <w:p w14:paraId="7A72E5BA">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四、质量保修责任</w:t>
      </w:r>
    </w:p>
    <w:p w14:paraId="364B304A">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属于保修范围、内容的项目，承包人应当在接到保修通知之日起</w:t>
      </w:r>
      <w:r>
        <w:rPr>
          <w:rFonts w:hint="eastAsia" w:ascii="宋体" w:hAnsi="宋体" w:eastAsia="宋体" w:cs="宋体"/>
          <w:color w:val="auto"/>
          <w:sz w:val="21"/>
          <w:szCs w:val="21"/>
          <w:highlight w:val="none"/>
          <w:u w:val="single"/>
        </w:rPr>
        <w:t xml:space="preserve">   7   </w:t>
      </w:r>
      <w:r>
        <w:rPr>
          <w:rFonts w:hint="eastAsia" w:ascii="宋体" w:hAnsi="宋体" w:eastAsia="宋体" w:cs="宋体"/>
          <w:color w:val="auto"/>
          <w:sz w:val="21"/>
          <w:szCs w:val="21"/>
          <w:highlight w:val="none"/>
        </w:rPr>
        <w:t>天内派人保修</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并且维修期不允许超过2个月</w:t>
      </w:r>
      <w:r>
        <w:rPr>
          <w:rFonts w:hint="eastAsia" w:ascii="宋体" w:hAnsi="宋体" w:eastAsia="宋体" w:cs="宋体"/>
          <w:color w:val="auto"/>
          <w:sz w:val="21"/>
          <w:szCs w:val="21"/>
          <w:highlight w:val="none"/>
        </w:rPr>
        <w:t>。承包人不在约定期限内派人</w:t>
      </w:r>
      <w:r>
        <w:rPr>
          <w:rFonts w:hint="eastAsia" w:ascii="宋体" w:hAnsi="宋体" w:cs="宋体"/>
          <w:color w:val="auto"/>
          <w:sz w:val="21"/>
          <w:szCs w:val="21"/>
          <w:highlight w:val="none"/>
          <w:lang w:eastAsia="zh-CN"/>
        </w:rPr>
        <w:t>报修</w:t>
      </w:r>
      <w:r>
        <w:rPr>
          <w:rFonts w:hint="eastAsia" w:ascii="宋体" w:hAnsi="宋体" w:eastAsia="宋体" w:cs="宋体"/>
          <w:color w:val="auto"/>
          <w:sz w:val="21"/>
          <w:szCs w:val="21"/>
          <w:highlight w:val="none"/>
        </w:rPr>
        <w:t>的，发包人可以委托他人修理，修理费用从质量保修金内扣除。</w:t>
      </w:r>
    </w:p>
    <w:p w14:paraId="571A3536">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发生紧急事故需抢修的，承包人在接到事故通知后，应当立即到达事故现场抢修。</w:t>
      </w:r>
    </w:p>
    <w:p w14:paraId="541516EF">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cs="宋体"/>
          <w:color w:val="auto"/>
          <w:sz w:val="21"/>
          <w:szCs w:val="21"/>
          <w:highlight w:val="none"/>
          <w:lang w:eastAsia="zh-CN"/>
        </w:rPr>
        <w:t>，由</w:t>
      </w:r>
      <w:r>
        <w:rPr>
          <w:rFonts w:hint="eastAsia" w:ascii="宋体" w:hAnsi="宋体" w:eastAsia="宋体" w:cs="宋体"/>
          <w:color w:val="auto"/>
          <w:sz w:val="21"/>
          <w:szCs w:val="21"/>
          <w:highlight w:val="none"/>
        </w:rPr>
        <w:t>承包人实施保修。</w:t>
      </w:r>
    </w:p>
    <w:p w14:paraId="3DAA6A6C">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质量保修完成后，由发包人组织验收。</w:t>
      </w:r>
    </w:p>
    <w:p w14:paraId="645D7B62">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五、保修费用</w:t>
      </w:r>
    </w:p>
    <w:p w14:paraId="12CB165A">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保修费用由造成质量缺陷的责任方承担。</w:t>
      </w:r>
    </w:p>
    <w:p w14:paraId="13C3FFB0">
      <w:pPr>
        <w:pStyle w:val="38"/>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六、双方约定的其他工程质量保修事项：</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DAEA85A">
      <w:pPr>
        <w:pStyle w:val="38"/>
        <w:spacing w:line="360" w:lineRule="auto"/>
        <w:ind w:firstLine="399" w:firstLineChars="19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工程质量保修书由发包人、承包人在工程竣工验收前共同签署，作为施工合同附件，其有效期限至保修期满。</w:t>
      </w:r>
    </w:p>
    <w:p w14:paraId="57138843">
      <w:pPr>
        <w:pStyle w:val="38"/>
        <w:spacing w:line="360" w:lineRule="auto"/>
        <w:ind w:firstLine="420"/>
        <w:rPr>
          <w:rFonts w:hint="eastAsia" w:ascii="宋体" w:hAnsi="宋体" w:eastAsia="宋体" w:cs="宋体"/>
          <w:color w:val="auto"/>
          <w:sz w:val="21"/>
          <w:szCs w:val="21"/>
          <w:highlight w:val="none"/>
        </w:rPr>
      </w:pPr>
    </w:p>
    <w:p w14:paraId="6E247CA5">
      <w:pPr>
        <w:rPr>
          <w:rFonts w:hint="eastAsia" w:ascii="宋体" w:hAnsi="宋体" w:eastAsia="宋体" w:cs="宋体"/>
          <w:color w:val="auto"/>
          <w:sz w:val="21"/>
          <w:szCs w:val="21"/>
          <w:highlight w:val="none"/>
        </w:rPr>
      </w:pPr>
    </w:p>
    <w:tbl>
      <w:tblPr>
        <w:tblStyle w:val="20"/>
        <w:tblW w:w="8827" w:type="dxa"/>
        <w:tblInd w:w="-17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0"/>
        <w:gridCol w:w="4327"/>
      </w:tblGrid>
      <w:tr w14:paraId="4CFA6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3" w:hRule="atLeast"/>
        </w:trPr>
        <w:tc>
          <w:tcPr>
            <w:tcW w:w="4500" w:type="dxa"/>
            <w:vAlign w:val="center"/>
          </w:tcPr>
          <w:p w14:paraId="47B0776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发包人（公章）：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tc>
        <w:tc>
          <w:tcPr>
            <w:tcW w:w="4327" w:type="dxa"/>
            <w:vAlign w:val="center"/>
          </w:tcPr>
          <w:p w14:paraId="35A5226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承包人（公章）：</w:t>
            </w:r>
            <w:r>
              <w:rPr>
                <w:rFonts w:hint="eastAsia" w:ascii="宋体" w:hAnsi="宋体" w:eastAsia="宋体" w:cs="宋体"/>
                <w:color w:val="auto"/>
                <w:sz w:val="21"/>
                <w:szCs w:val="21"/>
                <w:highlight w:val="none"/>
                <w:u w:val="single"/>
              </w:rPr>
              <w:t xml:space="preserve"> </w:t>
            </w:r>
          </w:p>
        </w:tc>
      </w:tr>
      <w:tr w14:paraId="21FD1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4500" w:type="dxa"/>
            <w:vAlign w:val="center"/>
          </w:tcPr>
          <w:p w14:paraId="0BE5E60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w:t>
            </w:r>
          </w:p>
          <w:p w14:paraId="1A7AB44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委托代理人（签字）：</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p>
        </w:tc>
        <w:tc>
          <w:tcPr>
            <w:tcW w:w="4327" w:type="dxa"/>
            <w:vAlign w:val="center"/>
          </w:tcPr>
          <w:p w14:paraId="400F19F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w:t>
            </w:r>
          </w:p>
          <w:p w14:paraId="66DCD07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委托代理人（签字）：</w:t>
            </w:r>
            <w:r>
              <w:rPr>
                <w:rFonts w:hint="eastAsia" w:ascii="宋体" w:hAnsi="宋体" w:eastAsia="宋体" w:cs="宋体"/>
                <w:color w:val="auto"/>
                <w:sz w:val="21"/>
                <w:szCs w:val="21"/>
                <w:highlight w:val="none"/>
                <w:u w:val="single"/>
              </w:rPr>
              <w:t xml:space="preserve">           </w:t>
            </w:r>
          </w:p>
        </w:tc>
      </w:tr>
    </w:tbl>
    <w:p w14:paraId="7663FD9A">
      <w:pPr>
        <w:rPr>
          <w:rFonts w:hint="eastAsia" w:ascii="宋体" w:hAnsi="宋体" w:eastAsia="宋体" w:cs="宋体"/>
          <w:b/>
          <w:bCs/>
          <w:color w:val="auto"/>
          <w:sz w:val="21"/>
          <w:szCs w:val="24"/>
          <w:highlight w:val="none"/>
          <w:lang w:eastAsia="zh-CN"/>
        </w:rPr>
      </w:pPr>
    </w:p>
    <w:p w14:paraId="499C4200">
      <w:pPr>
        <w:rPr>
          <w:rFonts w:hint="eastAsia" w:ascii="宋体" w:hAnsi="宋体" w:eastAsia="宋体" w:cs="宋体"/>
          <w:b/>
          <w:bCs/>
          <w:color w:val="auto"/>
          <w:sz w:val="21"/>
          <w:szCs w:val="24"/>
          <w:highlight w:val="none"/>
          <w:lang w:eastAsia="zh-CN"/>
        </w:rPr>
      </w:pPr>
    </w:p>
    <w:p w14:paraId="3D135583">
      <w:pPr>
        <w:rPr>
          <w:rFonts w:hint="eastAsia" w:ascii="宋体" w:hAnsi="宋体" w:eastAsia="宋体" w:cs="宋体"/>
          <w:b/>
          <w:bCs/>
          <w:color w:val="auto"/>
          <w:sz w:val="21"/>
          <w:szCs w:val="24"/>
          <w:highlight w:val="none"/>
          <w:lang w:eastAsia="zh-CN"/>
        </w:rPr>
      </w:pPr>
    </w:p>
    <w:p w14:paraId="0A858909">
      <w:pPr>
        <w:rPr>
          <w:rFonts w:hint="eastAsia" w:ascii="宋体" w:hAnsi="宋体" w:eastAsia="宋体" w:cs="宋体"/>
          <w:b/>
          <w:bCs/>
          <w:color w:val="auto"/>
          <w:sz w:val="21"/>
          <w:szCs w:val="24"/>
          <w:highlight w:val="none"/>
          <w:lang w:eastAsia="zh-CN"/>
        </w:rPr>
      </w:pPr>
    </w:p>
    <w:p w14:paraId="288B468E">
      <w:pPr>
        <w:rPr>
          <w:rFonts w:hint="eastAsia" w:ascii="宋体" w:hAnsi="宋体" w:eastAsia="宋体" w:cs="宋体"/>
          <w:b/>
          <w:bCs/>
          <w:color w:val="auto"/>
          <w:sz w:val="21"/>
          <w:szCs w:val="24"/>
          <w:highlight w:val="none"/>
          <w:lang w:eastAsia="zh-CN"/>
        </w:rPr>
      </w:pPr>
    </w:p>
    <w:p w14:paraId="2F6FC0F1">
      <w:pPr>
        <w:rPr>
          <w:rFonts w:hint="eastAsia" w:ascii="宋体" w:hAnsi="宋体" w:eastAsia="宋体" w:cs="宋体"/>
          <w:b/>
          <w:bCs/>
          <w:color w:val="auto"/>
          <w:sz w:val="21"/>
          <w:szCs w:val="24"/>
          <w:highlight w:val="none"/>
          <w:lang w:eastAsia="zh-CN"/>
        </w:rPr>
      </w:pPr>
    </w:p>
    <w:p w14:paraId="2DE8A72A">
      <w:pPr>
        <w:rPr>
          <w:rFonts w:hint="eastAsia" w:ascii="宋体" w:hAnsi="宋体" w:eastAsia="宋体" w:cs="宋体"/>
          <w:b/>
          <w:bCs/>
          <w:color w:val="auto"/>
          <w:sz w:val="21"/>
          <w:szCs w:val="24"/>
          <w:highlight w:val="none"/>
          <w:lang w:eastAsia="zh-CN"/>
        </w:rPr>
      </w:pPr>
    </w:p>
    <w:p w14:paraId="495C5489">
      <w:pPr>
        <w:pStyle w:val="14"/>
        <w:rPr>
          <w:rFonts w:hint="eastAsia" w:ascii="宋体" w:hAnsi="宋体" w:eastAsia="宋体" w:cs="宋体"/>
          <w:b/>
          <w:bCs/>
          <w:color w:val="auto"/>
          <w:sz w:val="21"/>
          <w:szCs w:val="24"/>
          <w:highlight w:val="none"/>
          <w:lang w:eastAsia="zh-CN"/>
        </w:rPr>
      </w:pPr>
    </w:p>
    <w:p w14:paraId="6895A627">
      <w:pPr>
        <w:pStyle w:val="14"/>
        <w:rPr>
          <w:rFonts w:hint="eastAsia" w:ascii="宋体" w:hAnsi="宋体" w:eastAsia="宋体" w:cs="宋体"/>
          <w:b/>
          <w:bCs/>
          <w:color w:val="auto"/>
          <w:sz w:val="21"/>
          <w:szCs w:val="24"/>
          <w:highlight w:val="none"/>
          <w:lang w:eastAsia="zh-CN"/>
        </w:rPr>
      </w:pPr>
    </w:p>
    <w:p w14:paraId="4AF52C99">
      <w:pPr>
        <w:rPr>
          <w:rFonts w:hint="eastAsia" w:ascii="宋体" w:hAnsi="宋体" w:eastAsia="宋体" w:cs="宋体"/>
          <w:b/>
          <w:bCs/>
          <w:color w:val="auto"/>
          <w:sz w:val="21"/>
          <w:szCs w:val="24"/>
          <w:highlight w:val="none"/>
          <w:lang w:eastAsia="zh-CN"/>
        </w:rPr>
      </w:pPr>
    </w:p>
    <w:p w14:paraId="4E9C372B">
      <w:pPr>
        <w:rPr>
          <w:rFonts w:hint="eastAsia" w:ascii="宋体" w:hAnsi="宋体" w:eastAsia="宋体" w:cs="宋体"/>
          <w:b/>
          <w:bCs/>
          <w:color w:val="auto"/>
          <w:sz w:val="21"/>
          <w:szCs w:val="24"/>
          <w:highlight w:val="none"/>
          <w:lang w:eastAsia="zh-CN"/>
        </w:rPr>
      </w:pPr>
    </w:p>
    <w:p w14:paraId="045DAFC8">
      <w:pPr>
        <w:rPr>
          <w:rFonts w:hint="eastAsia" w:ascii="宋体" w:hAnsi="宋体" w:eastAsia="宋体" w:cs="宋体"/>
          <w:b/>
          <w:bCs/>
          <w:color w:val="auto"/>
          <w:sz w:val="21"/>
          <w:szCs w:val="24"/>
          <w:highlight w:val="none"/>
          <w:lang w:eastAsia="zh-CN"/>
        </w:rPr>
      </w:pPr>
    </w:p>
    <w:p w14:paraId="7BA0D3DC">
      <w:pPr>
        <w:rPr>
          <w:rFonts w:hint="eastAsia" w:ascii="宋体" w:hAnsi="宋体" w:eastAsia="宋体" w:cs="宋体"/>
          <w:b/>
          <w:bCs/>
          <w:color w:val="auto"/>
          <w:sz w:val="21"/>
          <w:szCs w:val="24"/>
          <w:highlight w:val="none"/>
          <w:lang w:eastAsia="zh-CN"/>
        </w:rPr>
      </w:pPr>
    </w:p>
    <w:p w14:paraId="6D265EEF">
      <w:pPr>
        <w:rPr>
          <w:rFonts w:hint="eastAsia" w:ascii="宋体" w:hAnsi="宋体" w:eastAsia="宋体" w:cs="宋体"/>
          <w:b/>
          <w:bCs/>
          <w:color w:val="auto"/>
          <w:sz w:val="21"/>
          <w:szCs w:val="24"/>
          <w:highlight w:val="none"/>
          <w:lang w:eastAsia="zh-CN"/>
        </w:rPr>
      </w:pPr>
    </w:p>
    <w:p w14:paraId="63E78C97">
      <w:pPr>
        <w:rPr>
          <w:rFonts w:hint="eastAsia" w:ascii="宋体" w:hAnsi="宋体" w:eastAsia="宋体" w:cs="宋体"/>
          <w:b/>
          <w:bCs/>
          <w:color w:val="auto"/>
          <w:sz w:val="21"/>
          <w:szCs w:val="24"/>
          <w:highlight w:val="none"/>
          <w:lang w:eastAsia="zh-CN"/>
        </w:rPr>
      </w:pPr>
    </w:p>
    <w:p w14:paraId="76D3F7B2">
      <w:pPr>
        <w:rPr>
          <w:rFonts w:hint="eastAsia" w:ascii="宋体" w:hAnsi="宋体" w:eastAsia="宋体" w:cs="宋体"/>
          <w:b/>
          <w:bCs/>
          <w:color w:val="auto"/>
          <w:sz w:val="21"/>
          <w:szCs w:val="24"/>
          <w:highlight w:val="none"/>
          <w:lang w:eastAsia="zh-CN"/>
        </w:rPr>
      </w:pPr>
    </w:p>
    <w:p w14:paraId="4E0ED97C">
      <w:pPr>
        <w:rPr>
          <w:rFonts w:hint="eastAsia" w:ascii="宋体" w:hAnsi="宋体" w:eastAsia="宋体" w:cs="宋体"/>
          <w:b/>
          <w:bCs/>
          <w:color w:val="auto"/>
          <w:sz w:val="21"/>
          <w:szCs w:val="24"/>
          <w:highlight w:val="none"/>
          <w:lang w:eastAsia="zh-CN"/>
        </w:rPr>
      </w:pPr>
    </w:p>
    <w:p w14:paraId="11F8E26A">
      <w:pPr>
        <w:rPr>
          <w:rFonts w:hint="eastAsia" w:ascii="宋体" w:hAnsi="宋体" w:eastAsia="宋体" w:cs="宋体"/>
          <w:b/>
          <w:bCs/>
          <w:color w:val="auto"/>
          <w:sz w:val="21"/>
          <w:szCs w:val="24"/>
          <w:highlight w:val="none"/>
          <w:lang w:eastAsia="zh-CN"/>
        </w:rPr>
      </w:pPr>
    </w:p>
    <w:p w14:paraId="4EDB4995">
      <w:pPr>
        <w:rPr>
          <w:rFonts w:hint="eastAsia" w:ascii="宋体" w:hAnsi="宋体" w:eastAsia="宋体" w:cs="宋体"/>
          <w:b/>
          <w:bCs/>
          <w:color w:val="auto"/>
          <w:sz w:val="21"/>
          <w:szCs w:val="24"/>
          <w:highlight w:val="none"/>
          <w:lang w:eastAsia="zh-CN"/>
        </w:rPr>
      </w:pPr>
    </w:p>
    <w:p w14:paraId="3D98D638">
      <w:pPr>
        <w:rPr>
          <w:rFonts w:hint="eastAsia" w:ascii="宋体" w:hAnsi="宋体" w:eastAsia="宋体" w:cs="宋体"/>
          <w:b/>
          <w:bCs/>
          <w:color w:val="auto"/>
          <w:sz w:val="21"/>
          <w:szCs w:val="24"/>
          <w:highlight w:val="none"/>
          <w:lang w:eastAsia="zh-CN"/>
        </w:rPr>
      </w:pPr>
    </w:p>
    <w:p w14:paraId="24670251">
      <w:pPr>
        <w:rPr>
          <w:rFonts w:hint="eastAsia" w:ascii="宋体" w:hAnsi="宋体" w:eastAsia="宋体" w:cs="宋体"/>
          <w:b/>
          <w:bCs/>
          <w:color w:val="auto"/>
          <w:sz w:val="21"/>
          <w:szCs w:val="24"/>
          <w:highlight w:val="none"/>
          <w:lang w:eastAsia="zh-CN"/>
        </w:rPr>
      </w:pPr>
    </w:p>
    <w:p w14:paraId="1E0FA61B">
      <w:pPr>
        <w:rPr>
          <w:rFonts w:hint="eastAsia" w:ascii="宋体" w:hAnsi="宋体" w:eastAsia="宋体" w:cs="宋体"/>
          <w:b/>
          <w:bCs/>
          <w:color w:val="auto"/>
          <w:sz w:val="21"/>
          <w:szCs w:val="24"/>
          <w:highlight w:val="none"/>
          <w:lang w:eastAsia="zh-CN"/>
        </w:rPr>
      </w:pPr>
    </w:p>
    <w:p w14:paraId="05602D2C">
      <w:pPr>
        <w:rPr>
          <w:rFonts w:hint="eastAsia" w:ascii="宋体" w:hAnsi="宋体" w:eastAsia="宋体" w:cs="宋体"/>
          <w:b/>
          <w:bCs/>
          <w:color w:val="auto"/>
          <w:sz w:val="21"/>
          <w:szCs w:val="24"/>
          <w:highlight w:val="none"/>
          <w:lang w:eastAsia="zh-CN"/>
        </w:rPr>
      </w:pPr>
    </w:p>
    <w:p w14:paraId="078ED9E1">
      <w:pPr>
        <w:rPr>
          <w:rFonts w:hint="eastAsia" w:ascii="宋体" w:hAnsi="宋体" w:eastAsia="宋体" w:cs="宋体"/>
          <w:b/>
          <w:bCs/>
          <w:color w:val="auto"/>
          <w:sz w:val="21"/>
          <w:szCs w:val="24"/>
          <w:highlight w:val="none"/>
          <w:lang w:eastAsia="zh-CN"/>
        </w:rPr>
      </w:pPr>
    </w:p>
    <w:p w14:paraId="4D3CF582">
      <w:pPr>
        <w:rPr>
          <w:rFonts w:hint="eastAsia" w:ascii="宋体" w:hAnsi="宋体" w:eastAsia="宋体" w:cs="宋体"/>
          <w:b/>
          <w:bCs/>
          <w:color w:val="auto"/>
          <w:sz w:val="21"/>
          <w:szCs w:val="24"/>
          <w:highlight w:val="none"/>
          <w:lang w:eastAsia="zh-CN"/>
        </w:rPr>
      </w:pPr>
    </w:p>
    <w:p w14:paraId="792416AA">
      <w:pPr>
        <w:rPr>
          <w:rFonts w:hint="eastAsia" w:ascii="宋体" w:hAnsi="宋体" w:eastAsia="宋体" w:cs="宋体"/>
          <w:b/>
          <w:bCs/>
          <w:color w:val="auto"/>
          <w:sz w:val="21"/>
          <w:szCs w:val="24"/>
          <w:highlight w:val="none"/>
          <w:lang w:eastAsia="zh-CN"/>
        </w:rPr>
      </w:pPr>
    </w:p>
    <w:p w14:paraId="0DFD6C99">
      <w:pPr>
        <w:rPr>
          <w:rFonts w:hint="eastAsia" w:ascii="宋体" w:hAnsi="宋体" w:eastAsia="宋体" w:cs="宋体"/>
          <w:b/>
          <w:bCs/>
          <w:color w:val="auto"/>
          <w:sz w:val="21"/>
          <w:szCs w:val="24"/>
          <w:highlight w:val="none"/>
          <w:lang w:eastAsia="zh-CN"/>
        </w:rPr>
      </w:pPr>
    </w:p>
    <w:p w14:paraId="3AA0462C">
      <w:pPr>
        <w:rPr>
          <w:rFonts w:hint="eastAsia" w:ascii="宋体" w:hAnsi="宋体" w:eastAsia="宋体" w:cs="宋体"/>
          <w:b/>
          <w:bCs/>
          <w:color w:val="auto"/>
          <w:sz w:val="21"/>
          <w:szCs w:val="24"/>
          <w:highlight w:val="none"/>
          <w:lang w:eastAsia="zh-CN"/>
        </w:rPr>
      </w:pPr>
    </w:p>
    <w:p w14:paraId="1B120EAC">
      <w:pPr>
        <w:rPr>
          <w:rFonts w:hint="eastAsia" w:ascii="宋体" w:hAnsi="宋体" w:eastAsia="宋体" w:cs="宋体"/>
          <w:b/>
          <w:bCs/>
          <w:color w:val="auto"/>
          <w:sz w:val="21"/>
          <w:szCs w:val="24"/>
          <w:highlight w:val="none"/>
          <w:lang w:eastAsia="zh-CN"/>
        </w:rPr>
      </w:pPr>
    </w:p>
    <w:p w14:paraId="2F512036">
      <w:pPr>
        <w:rPr>
          <w:rFonts w:hint="eastAsia" w:ascii="宋体" w:hAnsi="宋体" w:eastAsia="宋体" w:cs="宋体"/>
          <w:b/>
          <w:bCs/>
          <w:color w:val="auto"/>
          <w:sz w:val="21"/>
          <w:szCs w:val="24"/>
          <w:highlight w:val="none"/>
          <w:lang w:eastAsia="zh-CN"/>
        </w:rPr>
      </w:pPr>
    </w:p>
    <w:p w14:paraId="33A05E86">
      <w:pPr>
        <w:rPr>
          <w:rFonts w:hint="eastAsia" w:ascii="宋体" w:hAnsi="宋体" w:eastAsia="宋体" w:cs="宋体"/>
          <w:b/>
          <w:bCs/>
          <w:color w:val="auto"/>
          <w:sz w:val="21"/>
          <w:szCs w:val="24"/>
          <w:highlight w:val="none"/>
          <w:lang w:eastAsia="zh-CN"/>
        </w:rPr>
      </w:pPr>
    </w:p>
    <w:p w14:paraId="6BDE1915">
      <w:pPr>
        <w:rPr>
          <w:rFonts w:hint="eastAsia" w:ascii="宋体" w:hAnsi="宋体" w:eastAsia="宋体" w:cs="宋体"/>
          <w:b/>
          <w:bCs/>
          <w:color w:val="auto"/>
          <w:sz w:val="21"/>
          <w:szCs w:val="24"/>
          <w:highlight w:val="none"/>
          <w:lang w:eastAsia="zh-CN"/>
        </w:rPr>
      </w:pPr>
      <w:r>
        <w:rPr>
          <w:rFonts w:hint="eastAsia" w:ascii="宋体" w:hAnsi="宋体" w:cs="宋体"/>
          <w:b/>
          <w:bCs/>
          <w:color w:val="auto"/>
          <w:sz w:val="21"/>
          <w:szCs w:val="24"/>
          <w:highlight w:val="none"/>
          <w:lang w:eastAsia="zh-CN"/>
        </w:rPr>
        <w:t>附件</w:t>
      </w:r>
      <w:r>
        <w:rPr>
          <w:rFonts w:hint="eastAsia" w:ascii="宋体" w:hAnsi="宋体" w:cs="宋体"/>
          <w:b/>
          <w:bCs/>
          <w:color w:val="auto"/>
          <w:sz w:val="21"/>
          <w:szCs w:val="24"/>
          <w:highlight w:val="none"/>
          <w:lang w:val="en-US" w:eastAsia="zh-CN"/>
        </w:rPr>
        <w:t>9</w:t>
      </w:r>
      <w:r>
        <w:rPr>
          <w:rFonts w:hint="eastAsia" w:ascii="宋体" w:hAnsi="宋体" w:cs="宋体"/>
          <w:b/>
          <w:bCs/>
          <w:color w:val="auto"/>
          <w:sz w:val="21"/>
          <w:szCs w:val="24"/>
          <w:highlight w:val="none"/>
          <w:lang w:eastAsia="zh-CN"/>
        </w:rPr>
        <w:t>：中标通知书</w:t>
      </w:r>
    </w:p>
    <w:p w14:paraId="25A1318A">
      <w:pPr>
        <w:pStyle w:val="24"/>
        <w:rPr>
          <w:rFonts w:hint="eastAsia" w:ascii="宋体" w:hAnsi="宋体" w:eastAsia="宋体" w:cs="宋体"/>
          <w:color w:val="auto"/>
          <w:sz w:val="21"/>
          <w:szCs w:val="21"/>
          <w:highlight w:val="none"/>
          <w:lang w:eastAsia="zh-CN"/>
        </w:rPr>
      </w:pPr>
    </w:p>
    <w:p w14:paraId="699912F6">
      <w:pPr>
        <w:pStyle w:val="9"/>
        <w:rPr>
          <w:rFonts w:hint="eastAsia" w:ascii="宋体" w:hAnsi="宋体" w:eastAsia="宋体" w:cs="宋体"/>
          <w:color w:val="auto"/>
          <w:sz w:val="21"/>
          <w:szCs w:val="21"/>
          <w:highlight w:val="none"/>
          <w:lang w:eastAsia="zh-CN"/>
        </w:rPr>
      </w:pPr>
    </w:p>
    <w:p w14:paraId="7B30B2E7">
      <w:pPr>
        <w:rPr>
          <w:rFonts w:hint="eastAsia" w:ascii="宋体" w:hAnsi="宋体" w:eastAsia="宋体" w:cs="宋体"/>
          <w:color w:val="auto"/>
          <w:sz w:val="21"/>
          <w:szCs w:val="21"/>
          <w:highlight w:val="none"/>
          <w:lang w:eastAsia="zh-CN"/>
        </w:rPr>
      </w:pPr>
    </w:p>
    <w:p w14:paraId="078C2B50">
      <w:pPr>
        <w:pStyle w:val="14"/>
        <w:rPr>
          <w:rFonts w:hint="eastAsia" w:ascii="宋体" w:hAnsi="宋体" w:eastAsia="宋体" w:cs="宋体"/>
          <w:color w:val="auto"/>
          <w:sz w:val="21"/>
          <w:szCs w:val="21"/>
          <w:highlight w:val="none"/>
          <w:lang w:eastAsia="zh-CN"/>
        </w:rPr>
      </w:pPr>
    </w:p>
    <w:p w14:paraId="5AC88763">
      <w:pPr>
        <w:rPr>
          <w:rFonts w:hint="eastAsia"/>
          <w:color w:val="auto"/>
          <w:highlight w:val="none"/>
          <w:lang w:eastAsia="zh-CN"/>
        </w:rPr>
      </w:pPr>
    </w:p>
    <w:p w14:paraId="58BE016E">
      <w:pPr>
        <w:rPr>
          <w:rFonts w:hint="eastAsia" w:ascii="宋体" w:hAnsi="宋体" w:cs="Arial"/>
          <w:color w:val="auto"/>
          <w:szCs w:val="21"/>
          <w:highlight w:val="none"/>
        </w:rPr>
      </w:pPr>
    </w:p>
    <w:p w14:paraId="0A351DCD">
      <w:pPr>
        <w:pStyle w:val="2"/>
        <w:jc w:val="center"/>
        <w:rPr>
          <w:rFonts w:hint="eastAsia" w:ascii="宋体" w:hAnsi="宋体" w:eastAsia="宋体" w:cs="宋体"/>
          <w:b w:val="0"/>
          <w:color w:val="auto"/>
          <w:highlight w:val="none"/>
          <w:lang w:eastAsia="zh-CN"/>
        </w:rPr>
      </w:pPr>
      <w:bookmarkStart w:id="588" w:name="_Toc21042"/>
    </w:p>
    <w:p w14:paraId="2C147C48">
      <w:pPr>
        <w:rPr>
          <w:rFonts w:hint="eastAsia" w:ascii="宋体" w:hAnsi="宋体" w:eastAsia="宋体" w:cs="宋体"/>
          <w:b w:val="0"/>
          <w:color w:val="auto"/>
          <w:highlight w:val="none"/>
          <w:lang w:eastAsia="zh-CN"/>
        </w:rPr>
      </w:pPr>
    </w:p>
    <w:p w14:paraId="0E82AD9D">
      <w:pPr>
        <w:pStyle w:val="27"/>
        <w:rPr>
          <w:rFonts w:hint="eastAsia" w:ascii="宋体" w:hAnsi="宋体" w:eastAsia="宋体" w:cs="宋体"/>
          <w:b w:val="0"/>
          <w:color w:val="auto"/>
          <w:highlight w:val="none"/>
          <w:lang w:eastAsia="zh-CN"/>
        </w:rPr>
      </w:pPr>
    </w:p>
    <w:p w14:paraId="672D2DB3">
      <w:pPr>
        <w:pStyle w:val="27"/>
        <w:rPr>
          <w:rFonts w:hint="eastAsia" w:ascii="宋体" w:hAnsi="宋体" w:eastAsia="宋体" w:cs="宋体"/>
          <w:b w:val="0"/>
          <w:color w:val="auto"/>
          <w:highlight w:val="none"/>
          <w:lang w:eastAsia="zh-CN"/>
        </w:rPr>
      </w:pPr>
    </w:p>
    <w:p w14:paraId="3A833524">
      <w:pPr>
        <w:pStyle w:val="27"/>
        <w:rPr>
          <w:rFonts w:hint="eastAsia" w:ascii="宋体" w:hAnsi="宋体" w:eastAsia="宋体" w:cs="宋体"/>
          <w:b w:val="0"/>
          <w:color w:val="auto"/>
          <w:highlight w:val="none"/>
          <w:lang w:eastAsia="zh-CN"/>
        </w:rPr>
      </w:pPr>
    </w:p>
    <w:p w14:paraId="109DB1F9">
      <w:pPr>
        <w:pStyle w:val="27"/>
        <w:rPr>
          <w:rFonts w:hint="eastAsia" w:ascii="宋体" w:hAnsi="宋体" w:eastAsia="宋体" w:cs="宋体"/>
          <w:b w:val="0"/>
          <w:color w:val="auto"/>
          <w:highlight w:val="none"/>
          <w:lang w:eastAsia="zh-CN"/>
        </w:rPr>
      </w:pPr>
    </w:p>
    <w:p w14:paraId="510C18AE">
      <w:pPr>
        <w:pStyle w:val="27"/>
        <w:rPr>
          <w:rFonts w:hint="eastAsia" w:ascii="宋体" w:hAnsi="宋体" w:eastAsia="宋体" w:cs="宋体"/>
          <w:b w:val="0"/>
          <w:color w:val="auto"/>
          <w:highlight w:val="none"/>
          <w:lang w:eastAsia="zh-CN"/>
        </w:rPr>
      </w:pPr>
    </w:p>
    <w:p w14:paraId="1EC060D9">
      <w:pPr>
        <w:pStyle w:val="27"/>
        <w:rPr>
          <w:rFonts w:hint="eastAsia" w:ascii="宋体" w:hAnsi="宋体" w:eastAsia="宋体" w:cs="宋体"/>
          <w:b w:val="0"/>
          <w:color w:val="auto"/>
          <w:highlight w:val="none"/>
          <w:lang w:eastAsia="zh-CN"/>
        </w:rPr>
      </w:pPr>
    </w:p>
    <w:p w14:paraId="3B1F0CE3">
      <w:pPr>
        <w:pStyle w:val="27"/>
        <w:rPr>
          <w:rFonts w:hint="eastAsia" w:ascii="宋体" w:hAnsi="宋体" w:eastAsia="宋体" w:cs="宋体"/>
          <w:b w:val="0"/>
          <w:color w:val="auto"/>
          <w:highlight w:val="none"/>
          <w:lang w:eastAsia="zh-CN"/>
        </w:rPr>
      </w:pPr>
    </w:p>
    <w:p w14:paraId="2633613B">
      <w:pPr>
        <w:pStyle w:val="27"/>
        <w:rPr>
          <w:rFonts w:hint="eastAsia" w:ascii="宋体" w:hAnsi="宋体" w:eastAsia="宋体" w:cs="宋体"/>
          <w:b w:val="0"/>
          <w:color w:val="auto"/>
          <w:highlight w:val="none"/>
          <w:lang w:eastAsia="zh-CN"/>
        </w:rPr>
      </w:pPr>
    </w:p>
    <w:p w14:paraId="4B3576E0">
      <w:pPr>
        <w:pStyle w:val="27"/>
        <w:rPr>
          <w:rFonts w:hint="eastAsia" w:ascii="宋体" w:hAnsi="宋体" w:eastAsia="宋体" w:cs="宋体"/>
          <w:b w:val="0"/>
          <w:color w:val="auto"/>
          <w:highlight w:val="none"/>
          <w:lang w:eastAsia="zh-CN"/>
        </w:rPr>
      </w:pPr>
    </w:p>
    <w:p w14:paraId="786AB940">
      <w:pPr>
        <w:pStyle w:val="27"/>
        <w:rPr>
          <w:rFonts w:hint="eastAsia" w:ascii="宋体" w:hAnsi="宋体" w:eastAsia="宋体" w:cs="宋体"/>
          <w:b w:val="0"/>
          <w:color w:val="auto"/>
          <w:highlight w:val="none"/>
          <w:lang w:eastAsia="zh-CN"/>
        </w:rPr>
      </w:pPr>
    </w:p>
    <w:p w14:paraId="78E6AE58">
      <w:pPr>
        <w:pStyle w:val="27"/>
        <w:rPr>
          <w:rFonts w:hint="eastAsia" w:ascii="宋体" w:hAnsi="宋体" w:eastAsia="宋体" w:cs="宋体"/>
          <w:b w:val="0"/>
          <w:color w:val="auto"/>
          <w:highlight w:val="none"/>
          <w:lang w:eastAsia="zh-CN"/>
        </w:rPr>
      </w:pPr>
    </w:p>
    <w:p w14:paraId="76FDE59E">
      <w:pPr>
        <w:pStyle w:val="27"/>
        <w:rPr>
          <w:rFonts w:hint="eastAsia" w:ascii="宋体" w:hAnsi="宋体" w:eastAsia="宋体" w:cs="宋体"/>
          <w:b w:val="0"/>
          <w:color w:val="auto"/>
          <w:highlight w:val="none"/>
          <w:lang w:eastAsia="zh-CN"/>
        </w:rPr>
      </w:pPr>
    </w:p>
    <w:p w14:paraId="7B567B78">
      <w:pPr>
        <w:pStyle w:val="27"/>
        <w:rPr>
          <w:rFonts w:hint="eastAsia" w:ascii="宋体" w:hAnsi="宋体" w:eastAsia="宋体" w:cs="宋体"/>
          <w:b w:val="0"/>
          <w:color w:val="auto"/>
          <w:highlight w:val="none"/>
          <w:lang w:eastAsia="zh-CN"/>
        </w:rPr>
      </w:pPr>
    </w:p>
    <w:p w14:paraId="48878F89">
      <w:pPr>
        <w:pStyle w:val="27"/>
        <w:rPr>
          <w:rFonts w:hint="eastAsia" w:ascii="宋体" w:hAnsi="宋体" w:eastAsia="宋体" w:cs="宋体"/>
          <w:b w:val="0"/>
          <w:color w:val="auto"/>
          <w:highlight w:val="none"/>
          <w:lang w:eastAsia="zh-CN"/>
        </w:rPr>
      </w:pPr>
    </w:p>
    <w:p w14:paraId="0CD4ED7A">
      <w:pPr>
        <w:pStyle w:val="27"/>
        <w:rPr>
          <w:rFonts w:hint="eastAsia" w:ascii="宋体" w:hAnsi="宋体" w:eastAsia="宋体" w:cs="宋体"/>
          <w:b w:val="0"/>
          <w:color w:val="auto"/>
          <w:highlight w:val="none"/>
          <w:lang w:eastAsia="zh-CN"/>
        </w:rPr>
      </w:pPr>
    </w:p>
    <w:p w14:paraId="1B796F04">
      <w:pPr>
        <w:pStyle w:val="27"/>
        <w:rPr>
          <w:rFonts w:hint="eastAsia" w:ascii="宋体" w:hAnsi="宋体" w:eastAsia="宋体" w:cs="宋体"/>
          <w:b w:val="0"/>
          <w:color w:val="auto"/>
          <w:highlight w:val="none"/>
          <w:lang w:eastAsia="zh-CN"/>
        </w:rPr>
      </w:pPr>
    </w:p>
    <w:p w14:paraId="31CC6F79">
      <w:pPr>
        <w:pStyle w:val="27"/>
        <w:rPr>
          <w:rFonts w:hint="eastAsia" w:ascii="宋体" w:hAnsi="宋体" w:eastAsia="宋体" w:cs="宋体"/>
          <w:b w:val="0"/>
          <w:color w:val="auto"/>
          <w:highlight w:val="none"/>
          <w:lang w:eastAsia="zh-CN"/>
        </w:rPr>
      </w:pPr>
    </w:p>
    <w:p w14:paraId="3AFEB5FB">
      <w:pPr>
        <w:pStyle w:val="27"/>
        <w:rPr>
          <w:rFonts w:hint="eastAsia" w:ascii="宋体" w:hAnsi="宋体" w:eastAsia="宋体" w:cs="宋体"/>
          <w:b w:val="0"/>
          <w:color w:val="auto"/>
          <w:highlight w:val="none"/>
          <w:lang w:eastAsia="zh-CN"/>
        </w:rPr>
      </w:pPr>
    </w:p>
    <w:p w14:paraId="1F4F2D08">
      <w:pPr>
        <w:pStyle w:val="27"/>
        <w:rPr>
          <w:rFonts w:hint="eastAsia" w:ascii="宋体" w:hAnsi="宋体" w:eastAsia="宋体" w:cs="宋体"/>
          <w:b w:val="0"/>
          <w:color w:val="auto"/>
          <w:highlight w:val="none"/>
          <w:lang w:eastAsia="zh-CN"/>
        </w:rPr>
      </w:pPr>
    </w:p>
    <w:p w14:paraId="1FED05E0">
      <w:pPr>
        <w:pStyle w:val="27"/>
        <w:rPr>
          <w:rFonts w:hint="eastAsia" w:ascii="宋体" w:hAnsi="宋体" w:eastAsia="宋体" w:cs="宋体"/>
          <w:b w:val="0"/>
          <w:color w:val="auto"/>
          <w:highlight w:val="none"/>
          <w:lang w:eastAsia="zh-CN"/>
        </w:rPr>
      </w:pPr>
    </w:p>
    <w:p w14:paraId="3BEE95B2">
      <w:pPr>
        <w:pStyle w:val="27"/>
        <w:rPr>
          <w:rFonts w:hint="eastAsia" w:ascii="宋体" w:hAnsi="宋体" w:eastAsia="宋体" w:cs="宋体"/>
          <w:b w:val="0"/>
          <w:color w:val="auto"/>
          <w:highlight w:val="none"/>
          <w:lang w:eastAsia="zh-CN"/>
        </w:rPr>
      </w:pPr>
    </w:p>
    <w:p w14:paraId="1DBC433D">
      <w:pPr>
        <w:pStyle w:val="27"/>
        <w:rPr>
          <w:rFonts w:hint="eastAsia" w:ascii="宋体" w:hAnsi="宋体" w:eastAsia="宋体" w:cs="宋体"/>
          <w:b w:val="0"/>
          <w:color w:val="auto"/>
          <w:highlight w:val="none"/>
          <w:lang w:eastAsia="zh-CN"/>
        </w:rPr>
      </w:pPr>
    </w:p>
    <w:p w14:paraId="600EE643">
      <w:pPr>
        <w:pStyle w:val="27"/>
        <w:rPr>
          <w:rFonts w:hint="eastAsia" w:ascii="宋体" w:hAnsi="宋体" w:eastAsia="宋体" w:cs="宋体"/>
          <w:b w:val="0"/>
          <w:color w:val="auto"/>
          <w:highlight w:val="none"/>
          <w:lang w:eastAsia="zh-CN"/>
        </w:rPr>
      </w:pPr>
    </w:p>
    <w:p w14:paraId="1916FEEE">
      <w:pPr>
        <w:pStyle w:val="27"/>
        <w:rPr>
          <w:rFonts w:hint="eastAsia" w:ascii="宋体" w:hAnsi="宋体" w:eastAsia="宋体" w:cs="宋体"/>
          <w:b w:val="0"/>
          <w:color w:val="auto"/>
          <w:highlight w:val="none"/>
          <w:lang w:eastAsia="zh-CN"/>
        </w:rPr>
      </w:pPr>
    </w:p>
    <w:p w14:paraId="44E2477E">
      <w:pPr>
        <w:pStyle w:val="27"/>
        <w:rPr>
          <w:rFonts w:hint="eastAsia" w:ascii="宋体" w:hAnsi="宋体" w:eastAsia="宋体" w:cs="宋体"/>
          <w:b w:val="0"/>
          <w:color w:val="auto"/>
          <w:highlight w:val="none"/>
          <w:lang w:eastAsia="zh-CN"/>
        </w:rPr>
      </w:pPr>
    </w:p>
    <w:p w14:paraId="59163863">
      <w:pPr>
        <w:pStyle w:val="27"/>
        <w:rPr>
          <w:rFonts w:hint="eastAsia" w:ascii="宋体" w:hAnsi="宋体" w:eastAsia="宋体" w:cs="宋体"/>
          <w:b w:val="0"/>
          <w:color w:val="auto"/>
          <w:highlight w:val="none"/>
          <w:lang w:eastAsia="zh-CN"/>
        </w:rPr>
      </w:pPr>
    </w:p>
    <w:p w14:paraId="0E4EA998">
      <w:pPr>
        <w:pStyle w:val="27"/>
        <w:rPr>
          <w:rFonts w:hint="eastAsia" w:ascii="宋体" w:hAnsi="宋体" w:eastAsia="宋体" w:cs="宋体"/>
          <w:b w:val="0"/>
          <w:color w:val="auto"/>
          <w:highlight w:val="none"/>
          <w:lang w:eastAsia="zh-CN"/>
        </w:rPr>
      </w:pPr>
    </w:p>
    <w:p w14:paraId="4D7E54C7">
      <w:pPr>
        <w:pStyle w:val="27"/>
        <w:rPr>
          <w:rFonts w:hint="eastAsia" w:ascii="宋体" w:hAnsi="宋体" w:eastAsia="宋体" w:cs="宋体"/>
          <w:b w:val="0"/>
          <w:color w:val="auto"/>
          <w:highlight w:val="none"/>
          <w:lang w:eastAsia="zh-CN"/>
        </w:rPr>
      </w:pPr>
    </w:p>
    <w:p w14:paraId="16213B10">
      <w:pPr>
        <w:pStyle w:val="27"/>
        <w:rPr>
          <w:rFonts w:hint="eastAsia" w:ascii="宋体" w:hAnsi="宋体" w:eastAsia="宋体" w:cs="宋体"/>
          <w:b w:val="0"/>
          <w:color w:val="auto"/>
          <w:highlight w:val="none"/>
          <w:lang w:eastAsia="zh-CN"/>
        </w:rPr>
      </w:pPr>
    </w:p>
    <w:p w14:paraId="7E304752">
      <w:pPr>
        <w:pStyle w:val="2"/>
        <w:tabs>
          <w:tab w:val="center" w:pos="4679"/>
          <w:tab w:val="right" w:pos="9360"/>
        </w:tabs>
        <w:jc w:val="left"/>
        <w:rPr>
          <w:rFonts w:hint="eastAsia" w:ascii="宋体" w:hAnsi="宋体" w:eastAsia="宋体" w:cs="宋体"/>
          <w:b/>
          <w:bCs w:val="0"/>
          <w:color w:val="auto"/>
          <w:highlight w:val="none"/>
          <w:lang w:val="en-US" w:eastAsia="zh-CN"/>
        </w:rPr>
        <w:sectPr>
          <w:headerReference r:id="rId16" w:type="default"/>
          <w:footerReference r:id="rId17" w:type="default"/>
          <w:pgSz w:w="11911" w:h="16838"/>
          <w:pgMar w:top="1417" w:right="1417" w:bottom="1134" w:left="1417" w:header="720" w:footer="720" w:gutter="0"/>
          <w:pgBorders>
            <w:top w:val="none" w:sz="0" w:space="0"/>
            <w:left w:val="none" w:sz="0" w:space="0"/>
            <w:bottom w:val="none" w:sz="0" w:space="0"/>
            <w:right w:val="none" w:sz="0" w:space="0"/>
          </w:pgBorders>
          <w:pgNumType w:fmt="numberInDash"/>
          <w:cols w:space="0" w:num="1"/>
          <w:rtlGutter w:val="0"/>
          <w:docGrid w:linePitch="0" w:charSpace="0"/>
        </w:sectPr>
      </w:pPr>
      <w:r>
        <w:rPr>
          <w:rFonts w:hint="eastAsia" w:ascii="宋体" w:hAnsi="宋体" w:cs="宋体"/>
          <w:b/>
          <w:bCs w:val="0"/>
          <w:color w:val="auto"/>
          <w:highlight w:val="none"/>
          <w:lang w:eastAsia="zh-CN"/>
        </w:rPr>
        <w:tab/>
      </w:r>
      <w:bookmarkStart w:id="589" w:name="_Toc22676"/>
      <w:r>
        <w:rPr>
          <w:rFonts w:hint="eastAsia" w:ascii="宋体" w:hAnsi="宋体" w:eastAsia="宋体" w:cs="宋体"/>
          <w:b/>
          <w:bCs w:val="0"/>
          <w:color w:val="auto"/>
          <w:highlight w:val="none"/>
          <w:lang w:eastAsia="zh-CN"/>
        </w:rPr>
        <w:t>第八章</w:t>
      </w:r>
      <w:r>
        <w:rPr>
          <w:rFonts w:hint="eastAsia" w:ascii="宋体" w:hAnsi="宋体" w:eastAsia="宋体" w:cs="宋体"/>
          <w:b/>
          <w:bCs w:val="0"/>
          <w:color w:val="auto"/>
          <w:highlight w:val="none"/>
        </w:rPr>
        <w:t xml:space="preserve"> 质疑、投诉材料格式</w:t>
      </w:r>
      <w:bookmarkEnd w:id="588"/>
      <w:bookmarkEnd w:id="589"/>
    </w:p>
    <w:p w14:paraId="2EA4C773">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245B41C3">
      <w:pPr>
        <w:pStyle w:val="11"/>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1F65165A">
      <w:pPr>
        <w:pStyle w:val="11"/>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537ADBF">
      <w:pPr>
        <w:pStyle w:val="11"/>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1485C4F">
      <w:pPr>
        <w:pStyle w:val="11"/>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35EA8262">
      <w:pPr>
        <w:pStyle w:val="11"/>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70D0FC26">
      <w:pPr>
        <w:pStyle w:val="11"/>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5FF946F6">
      <w:pPr>
        <w:pStyle w:val="11"/>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1F8808D">
      <w:pPr>
        <w:pStyle w:val="11"/>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376EACD2">
      <w:pPr>
        <w:pStyle w:val="11"/>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582A62E7">
      <w:pPr>
        <w:pStyle w:val="11"/>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06693BDD">
      <w:pPr>
        <w:pStyle w:val="11"/>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535F5319">
      <w:pPr>
        <w:pStyle w:val="11"/>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3B5D6393">
      <w:pPr>
        <w:pStyle w:val="11"/>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32384C18">
      <w:pPr>
        <w:pStyle w:val="11"/>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333F348E">
      <w:pPr>
        <w:pStyle w:val="11"/>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53742572">
      <w:pPr>
        <w:pStyle w:val="11"/>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7722FE40">
      <w:pPr>
        <w:pStyle w:val="11"/>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5635E395">
      <w:pPr>
        <w:pStyle w:val="11"/>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2033D6DF">
      <w:pPr>
        <w:pStyle w:val="11"/>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3005A900">
      <w:pPr>
        <w:pStyle w:val="11"/>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65035526">
      <w:pPr>
        <w:pStyle w:val="11"/>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2FB71E3C">
      <w:pPr>
        <w:pStyle w:val="11"/>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5ABF84ED">
      <w:pPr>
        <w:pStyle w:val="11"/>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56AAD53B">
      <w:pPr>
        <w:pStyle w:val="11"/>
        <w:spacing w:line="360" w:lineRule="auto"/>
        <w:ind w:left="25" w:leftChars="12" w:firstLine="352" w:firstLineChars="147"/>
        <w:contextualSpacing/>
        <w:rPr>
          <w:rFonts w:hint="eastAsia" w:ascii="宋体" w:hAnsi="宋体" w:eastAsia="宋体" w:cs="宋体"/>
          <w:color w:val="auto"/>
          <w:sz w:val="24"/>
          <w:szCs w:val="24"/>
          <w:highlight w:val="none"/>
        </w:rPr>
      </w:pPr>
    </w:p>
    <w:p w14:paraId="2E57565E">
      <w:pPr>
        <w:pStyle w:val="11"/>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70B1BD76">
      <w:pPr>
        <w:pStyle w:val="11"/>
        <w:spacing w:line="360" w:lineRule="auto"/>
        <w:ind w:left="25" w:leftChars="12" w:firstLine="352" w:firstLineChars="147"/>
        <w:contextualSpacing/>
        <w:rPr>
          <w:rFonts w:hint="eastAsia" w:ascii="宋体" w:hAnsi="宋体" w:eastAsia="宋体" w:cs="宋体"/>
          <w:color w:val="auto"/>
          <w:sz w:val="24"/>
          <w:szCs w:val="24"/>
          <w:highlight w:val="none"/>
        </w:rPr>
      </w:pPr>
    </w:p>
    <w:p w14:paraId="0909AC9D">
      <w:pPr>
        <w:pStyle w:val="11"/>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0CA32C2C">
      <w:pPr>
        <w:pStyle w:val="11"/>
        <w:spacing w:line="360" w:lineRule="auto"/>
        <w:contextualSpacing/>
        <w:rPr>
          <w:rFonts w:hint="eastAsia" w:ascii="宋体" w:hAnsi="宋体" w:eastAsia="宋体" w:cs="宋体"/>
          <w:b/>
          <w:color w:val="auto"/>
          <w:sz w:val="24"/>
          <w:szCs w:val="24"/>
          <w:highlight w:val="none"/>
          <w:lang w:eastAsia="zh-CN"/>
        </w:rPr>
      </w:pPr>
    </w:p>
    <w:p w14:paraId="50973B82">
      <w:pPr>
        <w:pStyle w:val="11"/>
        <w:spacing w:line="360" w:lineRule="auto"/>
        <w:contextualSpacing/>
        <w:rPr>
          <w:rFonts w:hint="eastAsia" w:ascii="宋体" w:hAnsi="宋体" w:eastAsia="宋体" w:cs="宋体"/>
          <w:b/>
          <w:color w:val="auto"/>
          <w:sz w:val="24"/>
          <w:szCs w:val="24"/>
          <w:highlight w:val="none"/>
          <w:lang w:eastAsia="zh-CN"/>
        </w:rPr>
      </w:pPr>
    </w:p>
    <w:p w14:paraId="5D804324">
      <w:pPr>
        <w:pStyle w:val="11"/>
        <w:spacing w:line="360" w:lineRule="auto"/>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w:t>
      </w:r>
    </w:p>
    <w:p w14:paraId="3FBBE82B">
      <w:pPr>
        <w:pStyle w:val="11"/>
        <w:spacing w:line="360" w:lineRule="auto"/>
        <w:ind w:left="25" w:leftChars="12" w:firstLine="310" w:firstLineChars="147"/>
        <w:contextualSpacing/>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1.供应商提出质疑时，应提交质疑函和必要的证明材料</w:t>
      </w:r>
      <w:r>
        <w:rPr>
          <w:rFonts w:hint="eastAsia" w:ascii="宋体" w:hAnsi="宋体" w:eastAsia="宋体" w:cs="宋体"/>
          <w:b/>
          <w:bCs/>
          <w:color w:val="auto"/>
          <w:sz w:val="21"/>
          <w:szCs w:val="21"/>
          <w:highlight w:val="none"/>
        </w:rPr>
        <w:t>。</w:t>
      </w:r>
    </w:p>
    <w:p w14:paraId="5E0CBA78">
      <w:pPr>
        <w:pStyle w:val="11"/>
        <w:spacing w:line="360" w:lineRule="auto"/>
        <w:ind w:left="25" w:leftChars="12" w:firstLine="310" w:firstLineChars="147"/>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AE19F7E">
      <w:pPr>
        <w:pStyle w:val="11"/>
        <w:spacing w:line="360" w:lineRule="auto"/>
        <w:ind w:left="25" w:leftChars="12" w:firstLine="310" w:firstLineChars="147"/>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3.质疑函的质疑事项应具体、明确，并有必要的事实依据和法律依据。</w:t>
      </w:r>
    </w:p>
    <w:p w14:paraId="34BE57DE">
      <w:pPr>
        <w:pStyle w:val="11"/>
        <w:spacing w:line="360" w:lineRule="auto"/>
        <w:ind w:left="25" w:leftChars="12" w:firstLine="310" w:firstLineChars="147"/>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4.质疑函的质疑请求应与质疑事项相关。</w:t>
      </w:r>
    </w:p>
    <w:p w14:paraId="42F3738B">
      <w:pPr>
        <w:pStyle w:val="11"/>
        <w:spacing w:line="360" w:lineRule="auto"/>
        <w:ind w:left="25" w:leftChars="12" w:firstLine="310" w:firstLineChars="147"/>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5.质疑供应商为法人或者其他组织的，质疑函应由法定代表人、主要负责人，或者其授权代表签字或者盖章，并加盖公章。</w:t>
      </w:r>
    </w:p>
    <w:p w14:paraId="380F97C3">
      <w:pPr>
        <w:pStyle w:val="11"/>
        <w:snapToGrid w:val="0"/>
        <w:rPr>
          <w:rFonts w:hint="eastAsia" w:ascii="宋体" w:hAnsi="宋体" w:eastAsia="宋体" w:cs="宋体"/>
          <w:b/>
          <w:color w:val="auto"/>
          <w:sz w:val="24"/>
          <w:szCs w:val="24"/>
          <w:highlight w:val="none"/>
        </w:rPr>
      </w:pPr>
    </w:p>
    <w:p w14:paraId="2764B18F">
      <w:pPr>
        <w:spacing w:line="460" w:lineRule="exact"/>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rPr>
        <w:br w:type="page"/>
      </w:r>
    </w:p>
    <w:p w14:paraId="7D0B432A">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14:paraId="1BC59152">
      <w:pPr>
        <w:pStyle w:val="11"/>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694C8BD0">
      <w:pPr>
        <w:pStyle w:val="11"/>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9646E6D">
      <w:pPr>
        <w:pStyle w:val="11"/>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D644603">
      <w:pPr>
        <w:pStyle w:val="11"/>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0F175D98">
      <w:pPr>
        <w:pStyle w:val="11"/>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794C2B53">
      <w:pPr>
        <w:pStyle w:val="11"/>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0AF250B">
      <w:pPr>
        <w:pStyle w:val="11"/>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2BFFB894">
      <w:pPr>
        <w:pStyle w:val="11"/>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9F57A18">
      <w:pPr>
        <w:pStyle w:val="11"/>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0704E351">
      <w:pPr>
        <w:pStyle w:val="11"/>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2110C617">
      <w:pPr>
        <w:pStyle w:val="11"/>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C688AB3">
      <w:pPr>
        <w:pStyle w:val="11"/>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2CE16231">
      <w:pPr>
        <w:pStyle w:val="11"/>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3D8E6CBA">
      <w:pPr>
        <w:pStyle w:val="11"/>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3F957ACE">
      <w:pPr>
        <w:pStyle w:val="11"/>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04CBC54C">
      <w:pPr>
        <w:pStyle w:val="11"/>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175190D0">
      <w:pPr>
        <w:pStyle w:val="11"/>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CCF214E">
      <w:pPr>
        <w:pStyle w:val="11"/>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4BD0E2D2">
      <w:pPr>
        <w:pStyle w:val="11"/>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4B6F1A08">
      <w:pPr>
        <w:pStyle w:val="11"/>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1522969C">
      <w:pPr>
        <w:pStyle w:val="11"/>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2D9225A1">
      <w:pPr>
        <w:pStyle w:val="11"/>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18D84E0F">
      <w:pPr>
        <w:pStyle w:val="11"/>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0B4B7729">
      <w:pPr>
        <w:pStyle w:val="11"/>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5730BC23">
      <w:pPr>
        <w:pStyle w:val="11"/>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260C3B77">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0171B67B">
      <w:pPr>
        <w:pStyle w:val="11"/>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1AE5257C">
      <w:pPr>
        <w:pStyle w:val="11"/>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816F513">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2BB4AB7D">
      <w:pPr>
        <w:pStyle w:val="11"/>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464D6CB7">
      <w:pPr>
        <w:pStyle w:val="11"/>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00ADE43A">
      <w:pPr>
        <w:pStyle w:val="11"/>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53131FC5">
      <w:pPr>
        <w:pStyle w:val="11"/>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2077664C">
      <w:pPr>
        <w:pStyle w:val="11"/>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71B1FEDC">
      <w:pPr>
        <w:pStyle w:val="11"/>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7CA32E71">
      <w:pPr>
        <w:pStyle w:val="11"/>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7B62F0E2">
      <w:pPr>
        <w:pStyle w:val="11"/>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5A90D6D5">
      <w:pPr>
        <w:pStyle w:val="11"/>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5901FF77">
      <w:pPr>
        <w:pStyle w:val="11"/>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012E8E9F">
      <w:pPr>
        <w:pStyle w:val="11"/>
        <w:spacing w:line="360" w:lineRule="auto"/>
        <w:ind w:left="25" w:leftChars="12" w:firstLine="352" w:firstLineChars="147"/>
        <w:rPr>
          <w:rFonts w:hint="eastAsia" w:ascii="宋体" w:hAnsi="宋体" w:eastAsia="宋体" w:cs="宋体"/>
          <w:color w:val="auto"/>
          <w:sz w:val="24"/>
          <w:szCs w:val="24"/>
          <w:highlight w:val="none"/>
        </w:rPr>
      </w:pPr>
    </w:p>
    <w:p w14:paraId="2E61BB40">
      <w:pPr>
        <w:pStyle w:val="11"/>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23A544AA">
      <w:pPr>
        <w:pStyle w:val="11"/>
        <w:spacing w:line="360" w:lineRule="auto"/>
        <w:ind w:left="25" w:leftChars="12" w:firstLine="352" w:firstLineChars="147"/>
        <w:rPr>
          <w:rFonts w:hint="eastAsia" w:ascii="宋体" w:hAnsi="宋体" w:eastAsia="宋体" w:cs="宋体"/>
          <w:color w:val="auto"/>
          <w:sz w:val="24"/>
          <w:szCs w:val="24"/>
          <w:highlight w:val="none"/>
        </w:rPr>
      </w:pPr>
    </w:p>
    <w:p w14:paraId="4CCCAAFB">
      <w:pPr>
        <w:pStyle w:val="11"/>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02ED2838">
      <w:pPr>
        <w:pStyle w:val="11"/>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759CD35A">
      <w:pPr>
        <w:pStyle w:val="11"/>
        <w:snapToGrid w:val="0"/>
        <w:spacing w:line="360" w:lineRule="auto"/>
        <w:rPr>
          <w:rFonts w:hint="eastAsia" w:ascii="宋体" w:hAnsi="宋体" w:eastAsia="宋体" w:cs="宋体"/>
          <w:b/>
          <w:color w:val="auto"/>
          <w:sz w:val="24"/>
          <w:szCs w:val="24"/>
          <w:highlight w:val="none"/>
        </w:rPr>
      </w:pPr>
    </w:p>
    <w:p w14:paraId="67E934D1">
      <w:pPr>
        <w:pStyle w:val="11"/>
        <w:snapToGrid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w:t>
      </w:r>
    </w:p>
    <w:p w14:paraId="0B3CE30E">
      <w:pPr>
        <w:pStyle w:val="11"/>
        <w:spacing w:line="360" w:lineRule="auto"/>
        <w:ind w:left="25" w:leftChars="12" w:firstLine="310" w:firstLineChars="147"/>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1"/>
          <w:szCs w:val="21"/>
          <w:highlight w:val="none"/>
        </w:rPr>
        <w:t>。</w:t>
      </w:r>
    </w:p>
    <w:p w14:paraId="5D13DF55">
      <w:pPr>
        <w:pStyle w:val="11"/>
        <w:spacing w:line="36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AFE2A06">
      <w:pPr>
        <w:pStyle w:val="11"/>
        <w:spacing w:line="36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3.投诉书应简要列明质疑事项，质疑函、质疑答复等作为附件材料提供。</w:t>
      </w:r>
    </w:p>
    <w:p w14:paraId="296FEA4A">
      <w:pPr>
        <w:pStyle w:val="11"/>
        <w:spacing w:line="36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4.投诉书的投诉事项应具体、明确，并有必要的事实依据和法律依据。</w:t>
      </w:r>
    </w:p>
    <w:p w14:paraId="0BF075B5">
      <w:pPr>
        <w:pStyle w:val="11"/>
        <w:spacing w:line="36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5.投诉书的投诉请求应与投诉事项相关。</w:t>
      </w:r>
    </w:p>
    <w:p w14:paraId="4F32C103">
      <w:pPr>
        <w:pStyle w:val="11"/>
        <w:spacing w:line="36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6.投诉人为法人或者其他组织的，投诉书应由法定代表人、主要负责人，或者其授权代表签字或者盖章，并加盖公章。</w:t>
      </w:r>
    </w:p>
    <w:p w14:paraId="2D77778A">
      <w:pPr>
        <w:rPr>
          <w:color w:val="auto"/>
          <w:highlight w:val="none"/>
        </w:rPr>
      </w:pPr>
    </w:p>
    <w:p w14:paraId="2AAA99A2">
      <w:pPr>
        <w:rPr>
          <w:color w:val="auto"/>
          <w:highlight w:val="none"/>
        </w:rPr>
      </w:pPr>
    </w:p>
    <w:p w14:paraId="2EE449D3">
      <w:pPr>
        <w:rPr>
          <w:color w:val="auto"/>
          <w:highlight w:val="none"/>
        </w:rPr>
      </w:pPr>
    </w:p>
    <w:p w14:paraId="6020542C">
      <w:pPr>
        <w:rPr>
          <w:color w:val="auto"/>
          <w:highlight w:val="none"/>
        </w:rPr>
      </w:pPr>
    </w:p>
    <w:p w14:paraId="6CB53A5C">
      <w:pPr>
        <w:rPr>
          <w:color w:val="auto"/>
          <w:highlight w:val="none"/>
        </w:rPr>
      </w:pPr>
    </w:p>
    <w:sectPr>
      <w:headerReference r:id="rId18" w:type="default"/>
      <w:footerReference r:id="rId19" w:type="default"/>
      <w:pgSz w:w="11911" w:h="16838"/>
      <w:pgMar w:top="1417" w:right="1417" w:bottom="1134" w:left="1417" w:header="720" w:footer="720" w:gutter="0"/>
      <w:pgBorders>
        <w:top w:val="none" w:sz="0" w:space="0"/>
        <w:left w:val="none" w:sz="0" w:space="0"/>
        <w:bottom w:val="none" w:sz="0" w:space="0"/>
        <w:right w:val="none" w:sz="0" w:space="0"/>
      </w:pgBorders>
      <w:pgNumType w:fmt="numberInDash"/>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 New Roman)">
    <w:altName w:val="Times New Roman"/>
    <w:panose1 w:val="00000000000000000000"/>
    <w:charset w:val="00"/>
    <w:family w:val="auto"/>
    <w:pitch w:val="default"/>
    <w:sig w:usb0="00000000" w:usb1="00000000" w:usb2="00000000" w:usb3="00000000" w:csb0="00000001" w:csb1="00000000"/>
  </w:font>
  <w:font w:name="金山简黑体">
    <w:altName w:val="黑体"/>
    <w:panose1 w:val="00000000000000000000"/>
    <w:charset w:val="86"/>
    <w:family w:val="roman"/>
    <w:pitch w:val="default"/>
    <w:sig w:usb0="00000000" w:usb1="00000000" w:usb2="00000000" w:usb3="00000000" w:csb0="00040001" w:csb1="00000000"/>
  </w:font>
  <w:font w:name="方正大标宋简体">
    <w:altName w:val="微软雅黑"/>
    <w:panose1 w:val="02000000000000000000"/>
    <w:charset w:val="86"/>
    <w:family w:val="script"/>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auto"/>
    <w:pitch w:val="default"/>
    <w:sig w:usb0="00000000" w:usb1="00000000" w:usb2="00000000" w:usb3="00000000" w:csb0="80000000" w:csb1="00000000"/>
  </w:font>
  <w:font w:name="方正小标宋简体">
    <w:altName w:val="黑体"/>
    <w:panose1 w:val="03000509000000000000"/>
    <w:charset w:val="86"/>
    <w:family w:val="script"/>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6B1B2">
    <w:pPr>
      <w:pStyle w:val="14"/>
      <w:tabs>
        <w:tab w:val="center" w:pos="4439"/>
        <w:tab w:val="clear" w:pos="4153"/>
      </w:tabs>
      <w:jc w:val="both"/>
    </w:pPr>
  </w:p>
  <w:p w14:paraId="5AA3E960">
    <w:pPr>
      <w:pStyle w:val="1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22272">
    <w:pPr>
      <w:spacing w:line="196" w:lineRule="auto"/>
      <w:ind w:left="4674"/>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E3491">
                          <w:pPr>
                            <w:pStyle w:val="14"/>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CCE3491">
                    <w:pPr>
                      <w:pStyle w:val="14"/>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5BAA6">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884FAA">
                          <w:pPr>
                            <w:pStyle w:val="14"/>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2884FAA">
                    <w:pPr>
                      <w:pStyle w:val="14"/>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028F5">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79665">
                          <w:pPr>
                            <w:pStyle w:val="14"/>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119</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5D79665">
                    <w:pPr>
                      <w:pStyle w:val="14"/>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119</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39919">
    <w:pPr>
      <w:pStyle w:val="14"/>
      <w:tabs>
        <w:tab w:val="center" w:pos="4439"/>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A5345C"/>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72A5345C"/>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5FDF2">
    <w:pPr>
      <w:pStyle w:val="14"/>
      <w:tabs>
        <w:tab w:val="center" w:pos="4439"/>
        <w:tab w:val="clear" w:pos="4153"/>
      </w:tabs>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8F7630">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38F7630">
                    <w:pPr>
                      <w:pStyle w:val="14"/>
                    </w:pPr>
                    <w:r>
                      <w:fldChar w:fldCharType="begin"/>
                    </w:r>
                    <w:r>
                      <w:instrText xml:space="preserve"> PAGE  \* MERGEFORMAT </w:instrText>
                    </w:r>
                    <w:r>
                      <w:fldChar w:fldCharType="separate"/>
                    </w:r>
                    <w:r>
                      <w:t>1</w:t>
                    </w:r>
                    <w:r>
                      <w:fldChar w:fldCharType="end"/>
                    </w:r>
                  </w:p>
                </w:txbxContent>
              </v:textbox>
            </v:shape>
          </w:pict>
        </mc:Fallback>
      </mc:AlternateContent>
    </w:r>
  </w:p>
  <w:p w14:paraId="4E16E5C5">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18AA8">
    <w:pPr>
      <w:pStyle w:val="14"/>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89C78">
                          <w:pPr>
                            <w:pStyle w:val="14"/>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5689C78">
                    <w:pPr>
                      <w:pStyle w:val="14"/>
                    </w:pPr>
                    <w:r>
                      <w:fldChar w:fldCharType="begin"/>
                    </w:r>
                    <w:r>
                      <w:instrText xml:space="preserve"> PAGE  \* MERGEFORMAT </w:instrText>
                    </w:r>
                    <w:r>
                      <w:fldChar w:fldCharType="separate"/>
                    </w:r>
                    <w:r>
                      <w:t>34</w:t>
                    </w:r>
                    <w:r>
                      <w:fldChar w:fldCharType="end"/>
                    </w:r>
                  </w:p>
                </w:txbxContent>
              </v:textbox>
            </v:shape>
          </w:pict>
        </mc:Fallback>
      </mc:AlternateContent>
    </w:r>
  </w:p>
  <w:p w14:paraId="69D6DB2B">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C4FF9">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4DAF52">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614DAF52">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05FA6">
    <w:pPr>
      <w:pStyle w:val="14"/>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50837">
                          <w:pPr>
                            <w:pStyle w:val="14"/>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ED50837">
                    <w:pPr>
                      <w:pStyle w:val="14"/>
                    </w:pPr>
                    <w:r>
                      <w:fldChar w:fldCharType="begin"/>
                    </w:r>
                    <w:r>
                      <w:instrText xml:space="preserve"> PAGE  \* MERGEFORMAT </w:instrText>
                    </w:r>
                    <w:r>
                      <w:fldChar w:fldCharType="separate"/>
                    </w:r>
                    <w:r>
                      <w:t>46</w:t>
                    </w:r>
                    <w:r>
                      <w:fldChar w:fldCharType="end"/>
                    </w:r>
                  </w:p>
                </w:txbxContent>
              </v:textbox>
            </v:shape>
          </w:pict>
        </mc:Fallback>
      </mc:AlternateContent>
    </w:r>
  </w:p>
  <w:p w14:paraId="40EAE9D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BDA3C">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59A616">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959A616">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ECA93">
    <w:pPr>
      <w:pStyle w:val="9"/>
      <w:spacing w:line="184" w:lineRule="auto"/>
      <w:ind w:left="4245"/>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EE97D5">
                          <w:pPr>
                            <w:pStyle w:val="14"/>
                          </w:pPr>
                          <w:r>
                            <w:fldChar w:fldCharType="begin"/>
                          </w:r>
                          <w:r>
                            <w:instrText xml:space="preserve"> PAGE  \* MERGEFORMAT </w:instrText>
                          </w:r>
                          <w:r>
                            <w:fldChar w:fldCharType="separate"/>
                          </w:r>
                          <w:r>
                            <w:t>109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5EE97D5">
                    <w:pPr>
                      <w:pStyle w:val="14"/>
                    </w:pPr>
                    <w:r>
                      <w:fldChar w:fldCharType="begin"/>
                    </w:r>
                    <w:r>
                      <w:instrText xml:space="preserve"> PAGE  \* MERGEFORMAT </w:instrText>
                    </w:r>
                    <w:r>
                      <w:fldChar w:fldCharType="separate"/>
                    </w:r>
                    <w:r>
                      <w:t>109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588F4">
    <w:pPr>
      <w:pStyle w:val="1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A8AB5">
                          <w:pPr>
                            <w:pStyle w:val="14"/>
                          </w:pPr>
                          <w:r>
                            <w:fldChar w:fldCharType="begin"/>
                          </w:r>
                          <w:r>
                            <w:instrText xml:space="preserve"> PAGE  \* MERGEFORMAT </w:instrText>
                          </w:r>
                          <w:r>
                            <w:fldChar w:fldCharType="separate"/>
                          </w:r>
                          <w:r>
                            <w:t>113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52A8AB5">
                    <w:pPr>
                      <w:pStyle w:val="14"/>
                    </w:pPr>
                    <w:r>
                      <w:fldChar w:fldCharType="begin"/>
                    </w:r>
                    <w:r>
                      <w:instrText xml:space="preserve"> PAGE  \* MERGEFORMAT </w:instrText>
                    </w:r>
                    <w:r>
                      <w:fldChar w:fldCharType="separate"/>
                    </w:r>
                    <w:r>
                      <w:t>113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6D5E6">
    <w:pPr>
      <w:pStyle w:val="15"/>
      <w:pBdr>
        <w:bottom w:val="none" w:color="auto" w:sz="0" w:space="1"/>
      </w:pBdr>
      <w:tabs>
        <w:tab w:val="center" w:pos="0"/>
        <w:tab w:val="clear" w:pos="4153"/>
      </w:tabs>
      <w:jc w:val="both"/>
    </w:pPr>
    <w:r>
      <w:rPr>
        <w:vanish/>
        <w:highlight w:val="yellow"/>
      </w:rPr>
      <w:t>&gt;</w:t>
    </w:r>
  </w:p>
  <w:p w14:paraId="0B1F3B7D">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95B04">
    <w:pPr>
      <w:pStyle w:val="15"/>
      <w:pBdr>
        <w:bottom w:val="none" w:color="auto" w:sz="0" w:space="1"/>
      </w:pBdr>
      <w:tabs>
        <w:tab w:val="center" w:pos="0"/>
        <w:tab w:val="clear" w:pos="4153"/>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061F1">
    <w:pPr>
      <w:pStyle w:val="39"/>
      <w:pBdr>
        <w:bottom w:val="none" w:color="auto" w:sz="0" w:space="1"/>
      </w:pBdr>
      <w:jc w:val="right"/>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765B5">
    <w:pPr>
      <w:pStyle w:val="15"/>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E2823">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0C2574"/>
    <w:multiLevelType w:val="singleLevel"/>
    <w:tmpl w:val="820C2574"/>
    <w:lvl w:ilvl="0" w:tentative="0">
      <w:start w:val="2"/>
      <w:numFmt w:val="decimal"/>
      <w:suff w:val="nothing"/>
      <w:lvlText w:val="（%1）"/>
      <w:lvlJc w:val="left"/>
    </w:lvl>
  </w:abstractNum>
  <w:abstractNum w:abstractNumId="1">
    <w:nsid w:val="8FBA2C18"/>
    <w:multiLevelType w:val="singleLevel"/>
    <w:tmpl w:val="8FBA2C18"/>
    <w:lvl w:ilvl="0" w:tentative="0">
      <w:start w:val="1"/>
      <w:numFmt w:val="decimal"/>
      <w:suff w:val="nothing"/>
      <w:lvlText w:val="（%1）"/>
      <w:lvlJc w:val="left"/>
    </w:lvl>
  </w:abstractNum>
  <w:abstractNum w:abstractNumId="2">
    <w:nsid w:val="FF9E04B0"/>
    <w:multiLevelType w:val="singleLevel"/>
    <w:tmpl w:val="FF9E04B0"/>
    <w:lvl w:ilvl="0" w:tentative="0">
      <w:start w:val="6"/>
      <w:numFmt w:val="decimal"/>
      <w:suff w:val="space"/>
      <w:lvlText w:val="%1."/>
      <w:lvlJc w:val="left"/>
    </w:lvl>
  </w:abstractNum>
  <w:abstractNum w:abstractNumId="3">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00000008"/>
    <w:multiLevelType w:val="multilevel"/>
    <w:tmpl w:val="00000008"/>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295F8444"/>
    <w:multiLevelType w:val="singleLevel"/>
    <w:tmpl w:val="295F8444"/>
    <w:lvl w:ilvl="0" w:tentative="0">
      <w:start w:val="1"/>
      <w:numFmt w:val="decimal"/>
      <w:pStyle w:val="6"/>
      <w:lvlText w:val="%1."/>
      <w:lvlJc w:val="left"/>
      <w:pPr>
        <w:tabs>
          <w:tab w:val="left" w:pos="360"/>
        </w:tabs>
        <w:ind w:left="360" w:hanging="360"/>
      </w:pPr>
    </w:lvl>
  </w:abstractNum>
  <w:num w:numId="1">
    <w:abstractNumId w:val="5"/>
  </w:num>
  <w:num w:numId="2">
    <w:abstractNumId w:val="4"/>
    <w:lvlOverride w:ilvl="0">
      <w:startOverride w:val="1"/>
    </w:lvlOverride>
  </w:num>
  <w:num w:numId="3">
    <w:abstractNumId w:val="3"/>
    <w:lvlOverride w:ilvl="0">
      <w:startOverride w:val="1"/>
    </w:lvlOverride>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yOWNiZDE4N2I2OGQ3YjgxNmNlNDJkNzgxMjEyMTEifQ=="/>
  </w:docVars>
  <w:rsids>
    <w:rsidRoot w:val="1E7B6E93"/>
    <w:rsid w:val="007C6C65"/>
    <w:rsid w:val="01085400"/>
    <w:rsid w:val="03C30C20"/>
    <w:rsid w:val="04A258FF"/>
    <w:rsid w:val="067026A7"/>
    <w:rsid w:val="06B62CBE"/>
    <w:rsid w:val="07193A7C"/>
    <w:rsid w:val="076F41ED"/>
    <w:rsid w:val="07AA4296"/>
    <w:rsid w:val="07D96C64"/>
    <w:rsid w:val="09BB0D18"/>
    <w:rsid w:val="0BA51502"/>
    <w:rsid w:val="0C201336"/>
    <w:rsid w:val="0D407BC0"/>
    <w:rsid w:val="105C3FC2"/>
    <w:rsid w:val="13681B64"/>
    <w:rsid w:val="14127D2F"/>
    <w:rsid w:val="1641005C"/>
    <w:rsid w:val="171A0644"/>
    <w:rsid w:val="19B65058"/>
    <w:rsid w:val="1A141D7E"/>
    <w:rsid w:val="1B063DBD"/>
    <w:rsid w:val="1B7D2E46"/>
    <w:rsid w:val="1E7B6E93"/>
    <w:rsid w:val="1F7E2174"/>
    <w:rsid w:val="211B6837"/>
    <w:rsid w:val="21B47199"/>
    <w:rsid w:val="22602004"/>
    <w:rsid w:val="23897339"/>
    <w:rsid w:val="240115C5"/>
    <w:rsid w:val="24AA047F"/>
    <w:rsid w:val="26D703BB"/>
    <w:rsid w:val="27694A4E"/>
    <w:rsid w:val="28620159"/>
    <w:rsid w:val="29CA0454"/>
    <w:rsid w:val="2E1756A9"/>
    <w:rsid w:val="2EF612C6"/>
    <w:rsid w:val="31620726"/>
    <w:rsid w:val="322C7EDF"/>
    <w:rsid w:val="33AF6948"/>
    <w:rsid w:val="34BD62E2"/>
    <w:rsid w:val="381B0A50"/>
    <w:rsid w:val="39302F18"/>
    <w:rsid w:val="3B7C1E54"/>
    <w:rsid w:val="3C9A11B0"/>
    <w:rsid w:val="3E385F95"/>
    <w:rsid w:val="3F20694C"/>
    <w:rsid w:val="3F7B384F"/>
    <w:rsid w:val="3FA118A5"/>
    <w:rsid w:val="41E51EAC"/>
    <w:rsid w:val="429F792A"/>
    <w:rsid w:val="43BE2B29"/>
    <w:rsid w:val="458B0897"/>
    <w:rsid w:val="45A831F7"/>
    <w:rsid w:val="45F1670E"/>
    <w:rsid w:val="482E4AE5"/>
    <w:rsid w:val="4A602CC9"/>
    <w:rsid w:val="4D5C1497"/>
    <w:rsid w:val="4DDF0250"/>
    <w:rsid w:val="4E2149F9"/>
    <w:rsid w:val="4E8E4D85"/>
    <w:rsid w:val="50964CC0"/>
    <w:rsid w:val="510B497F"/>
    <w:rsid w:val="52121B8F"/>
    <w:rsid w:val="53D61877"/>
    <w:rsid w:val="555A1668"/>
    <w:rsid w:val="56D06A51"/>
    <w:rsid w:val="59250EFD"/>
    <w:rsid w:val="59457283"/>
    <w:rsid w:val="5AC03F36"/>
    <w:rsid w:val="5B38668D"/>
    <w:rsid w:val="5B57504B"/>
    <w:rsid w:val="5CBD5347"/>
    <w:rsid w:val="5D3C7D08"/>
    <w:rsid w:val="5E483371"/>
    <w:rsid w:val="5E6727D4"/>
    <w:rsid w:val="5EAE501E"/>
    <w:rsid w:val="5F820943"/>
    <w:rsid w:val="5FB62BC7"/>
    <w:rsid w:val="60F123AE"/>
    <w:rsid w:val="60F2511B"/>
    <w:rsid w:val="61113EEE"/>
    <w:rsid w:val="621560EE"/>
    <w:rsid w:val="621974FF"/>
    <w:rsid w:val="639A641D"/>
    <w:rsid w:val="63E37DC4"/>
    <w:rsid w:val="640779B7"/>
    <w:rsid w:val="641C7594"/>
    <w:rsid w:val="64846130"/>
    <w:rsid w:val="64874BF3"/>
    <w:rsid w:val="654D6AFA"/>
    <w:rsid w:val="65E87914"/>
    <w:rsid w:val="677A0222"/>
    <w:rsid w:val="69D72179"/>
    <w:rsid w:val="69D93E40"/>
    <w:rsid w:val="6A197ABD"/>
    <w:rsid w:val="6BF012D0"/>
    <w:rsid w:val="6C794D74"/>
    <w:rsid w:val="6C9360FF"/>
    <w:rsid w:val="6D3A317E"/>
    <w:rsid w:val="6DE04BE1"/>
    <w:rsid w:val="6DF826BE"/>
    <w:rsid w:val="7064403B"/>
    <w:rsid w:val="71504785"/>
    <w:rsid w:val="73E9224C"/>
    <w:rsid w:val="74343D24"/>
    <w:rsid w:val="78DD498A"/>
    <w:rsid w:val="7A7C4677"/>
    <w:rsid w:val="7C9361C9"/>
    <w:rsid w:val="7D176918"/>
    <w:rsid w:val="7D233EA1"/>
    <w:rsid w:val="7DA3196A"/>
    <w:rsid w:val="7E307B0A"/>
    <w:rsid w:val="7EAE4BD6"/>
    <w:rsid w:val="7EFD1EAB"/>
    <w:rsid w:val="7F825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autoRedefine/>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1">
    <w:name w:val="Default Paragraph Font"/>
    <w:autoRedefine/>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List Number"/>
    <w:basedOn w:val="1"/>
    <w:autoRedefine/>
    <w:qFormat/>
    <w:uiPriority w:val="0"/>
    <w:pPr>
      <w:numPr>
        <w:ilvl w:val="0"/>
        <w:numId w:val="1"/>
      </w:numPr>
    </w:pPr>
  </w:style>
  <w:style w:type="paragraph" w:styleId="7">
    <w:name w:val="Normal Indent"/>
    <w:basedOn w:val="1"/>
    <w:autoRedefine/>
    <w:qFormat/>
    <w:uiPriority w:val="0"/>
    <w:pPr>
      <w:ind w:firstLine="420"/>
    </w:pPr>
    <w:rPr>
      <w:szCs w:val="20"/>
    </w:rPr>
  </w:style>
  <w:style w:type="paragraph" w:styleId="8">
    <w:name w:val="annotation text"/>
    <w:basedOn w:val="1"/>
    <w:autoRedefine/>
    <w:qFormat/>
    <w:uiPriority w:val="0"/>
    <w:pPr>
      <w:jc w:val="left"/>
    </w:pPr>
  </w:style>
  <w:style w:type="paragraph" w:styleId="9">
    <w:name w:val="Body Text"/>
    <w:basedOn w:val="1"/>
    <w:next w:val="1"/>
    <w:autoRedefine/>
    <w:unhideWhenUsed/>
    <w:qFormat/>
    <w:uiPriority w:val="0"/>
    <w:pPr>
      <w:spacing w:after="120"/>
    </w:pPr>
  </w:style>
  <w:style w:type="paragraph" w:styleId="10">
    <w:name w:val="Body Text Indent"/>
    <w:basedOn w:val="1"/>
    <w:next w:val="11"/>
    <w:autoRedefine/>
    <w:qFormat/>
    <w:uiPriority w:val="0"/>
    <w:pPr>
      <w:ind w:firstLine="830" w:firstLineChars="352"/>
    </w:pPr>
    <w:rPr>
      <w:rFonts w:ascii="仿宋_GB2312" w:eastAsia="仿宋_GB2312"/>
      <w:kern w:val="0"/>
      <w:sz w:val="32"/>
      <w:szCs w:val="20"/>
    </w:rPr>
  </w:style>
  <w:style w:type="paragraph" w:styleId="11">
    <w:name w:val="Plain Text"/>
    <w:basedOn w:val="1"/>
    <w:next w:val="1"/>
    <w:autoRedefine/>
    <w:qFormat/>
    <w:uiPriority w:val="0"/>
    <w:rPr>
      <w:rFonts w:ascii="宋体" w:hAnsi="Courier New"/>
      <w:kern w:val="0"/>
      <w:sz w:val="20"/>
      <w:szCs w:val="21"/>
    </w:rPr>
  </w:style>
  <w:style w:type="paragraph" w:styleId="12">
    <w:name w:val="List 2"/>
    <w:basedOn w:val="1"/>
    <w:autoRedefine/>
    <w:unhideWhenUsed/>
    <w:qFormat/>
    <w:uiPriority w:val="99"/>
    <w:pPr>
      <w:ind w:left="100" w:leftChars="200" w:hanging="200" w:hangingChars="200"/>
      <w:contextualSpacing/>
    </w:pPr>
  </w:style>
  <w:style w:type="paragraph" w:styleId="13">
    <w:name w:val="toc 3"/>
    <w:basedOn w:val="1"/>
    <w:next w:val="1"/>
    <w:qFormat/>
    <w:uiPriority w:val="0"/>
    <w:pPr>
      <w:ind w:left="840" w:leftChars="400"/>
    </w:pPr>
  </w:style>
  <w:style w:type="paragraph" w:styleId="14">
    <w:name w:val="footer"/>
    <w:basedOn w:val="1"/>
    <w:autoRedefine/>
    <w:unhideWhenUsed/>
    <w:qFormat/>
    <w:uiPriority w:val="99"/>
    <w:pPr>
      <w:tabs>
        <w:tab w:val="center" w:pos="4153"/>
        <w:tab w:val="right" w:pos="8306"/>
      </w:tabs>
      <w:snapToGrid w:val="0"/>
      <w:jc w:val="left"/>
    </w:pPr>
    <w:rPr>
      <w:kern w:val="0"/>
      <w:sz w:val="18"/>
      <w:szCs w:val="18"/>
    </w:rPr>
  </w:style>
  <w:style w:type="paragraph" w:styleId="15">
    <w:name w:val="header"/>
    <w:basedOn w:val="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autoRedefine/>
    <w:unhideWhenUsed/>
    <w:qFormat/>
    <w:uiPriority w:val="39"/>
  </w:style>
  <w:style w:type="paragraph" w:styleId="17">
    <w:name w:val="toc 2"/>
    <w:basedOn w:val="1"/>
    <w:next w:val="1"/>
    <w:autoRedefine/>
    <w:unhideWhenUsed/>
    <w:qFormat/>
    <w:uiPriority w:val="39"/>
    <w:pPr>
      <w:tabs>
        <w:tab w:val="right" w:leader="dot" w:pos="8296"/>
      </w:tabs>
      <w:ind w:left="420" w:leftChars="200"/>
    </w:pPr>
  </w:style>
  <w:style w:type="paragraph" w:styleId="18">
    <w:name w:val="Body Text First Indent 2"/>
    <w:basedOn w:val="10"/>
    <w:autoRedefine/>
    <w:unhideWhenUsed/>
    <w:qFormat/>
    <w:uiPriority w:val="99"/>
    <w:pPr>
      <w:ind w:firstLine="420" w:firstLineChars="200"/>
    </w:pPr>
  </w:style>
  <w:style w:type="table" w:styleId="20">
    <w:name w:val="Table Grid"/>
    <w:basedOn w:val="19"/>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page number"/>
    <w:basedOn w:val="21"/>
    <w:autoRedefine/>
    <w:qFormat/>
    <w:uiPriority w:val="0"/>
  </w:style>
  <w:style w:type="character" w:customStyle="1" w:styleId="23">
    <w:name w:val="标题 1 Char"/>
    <w:link w:val="2"/>
    <w:autoRedefine/>
    <w:qFormat/>
    <w:uiPriority w:val="9"/>
    <w:rPr>
      <w:b/>
      <w:bCs/>
      <w:kern w:val="44"/>
      <w:sz w:val="44"/>
      <w:szCs w:val="44"/>
    </w:rPr>
  </w:style>
  <w:style w:type="paragraph" w:customStyle="1" w:styleId="24">
    <w:name w:val="表格文字"/>
    <w:basedOn w:val="10"/>
    <w:next w:val="9"/>
    <w:autoRedefine/>
    <w:qFormat/>
    <w:uiPriority w:val="0"/>
    <w:pPr>
      <w:adjustRightInd w:val="0"/>
      <w:spacing w:line="420" w:lineRule="atLeast"/>
      <w:jc w:val="left"/>
      <w:textAlignment w:val="baseline"/>
    </w:pPr>
    <w:rPr>
      <w:kern w:val="0"/>
    </w:rPr>
  </w:style>
  <w:style w:type="paragraph" w:customStyle="1" w:styleId="25">
    <w:name w:val="正文1"/>
    <w:basedOn w:val="1"/>
    <w:next w:val="26"/>
    <w:autoRedefine/>
    <w:qFormat/>
    <w:uiPriority w:val="99"/>
    <w:pPr>
      <w:spacing w:line="360" w:lineRule="auto"/>
      <w:ind w:firstLine="200" w:firstLineChars="200"/>
      <w:jc w:val="left"/>
    </w:pPr>
    <w:rPr>
      <w:rFonts w:ascii="Times New Roman)" w:hAnsi="Times New Roman)"/>
      <w:color w:val="000000"/>
      <w:kern w:val="0"/>
      <w:sz w:val="24"/>
      <w:lang w:eastAsia="en-US"/>
    </w:rPr>
  </w:style>
  <w:style w:type="paragraph" w:customStyle="1" w:styleId="26">
    <w:name w:val="正文文本1"/>
    <w:basedOn w:val="25"/>
    <w:next w:val="25"/>
    <w:autoRedefine/>
    <w:qFormat/>
    <w:uiPriority w:val="0"/>
    <w:rPr>
      <w:rFonts w:ascii="金山简黑体" w:hAnsi="金山简黑体" w:eastAsia="金山简黑体"/>
      <w:b/>
      <w:spacing w:val="-8"/>
      <w:sz w:val="44"/>
      <w:szCs w:val="20"/>
    </w:rPr>
  </w:style>
  <w:style w:type="paragraph" w:customStyle="1" w:styleId="27">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8">
    <w:name w:val="正文2"/>
    <w:basedOn w:val="1"/>
    <w:next w:val="1"/>
    <w:autoRedefine/>
    <w:qFormat/>
    <w:uiPriority w:val="0"/>
    <w:pPr>
      <w:adjustRightInd w:val="0"/>
      <w:spacing w:before="156" w:line="360" w:lineRule="auto"/>
      <w:ind w:firstLine="510" w:firstLineChars="200"/>
    </w:pPr>
    <w:rPr>
      <w:kern w:val="0"/>
      <w:sz w:val="24"/>
      <w:szCs w:val="20"/>
    </w:rPr>
  </w:style>
  <w:style w:type="paragraph" w:customStyle="1" w:styleId="29">
    <w:name w:val="样式7"/>
    <w:basedOn w:val="1"/>
    <w:autoRedefine/>
    <w:qFormat/>
    <w:uiPriority w:val="0"/>
    <w:pPr>
      <w:spacing w:line="480" w:lineRule="exact"/>
      <w:jc w:val="center"/>
    </w:pPr>
    <w:rPr>
      <w:rFonts w:eastAsia="方正大标宋简体"/>
      <w:spacing w:val="6"/>
      <w:sz w:val="44"/>
    </w:rPr>
  </w:style>
  <w:style w:type="paragraph" w:customStyle="1" w:styleId="30">
    <w:name w:val="样式5"/>
    <w:basedOn w:val="1"/>
    <w:autoRedefine/>
    <w:qFormat/>
    <w:uiPriority w:val="0"/>
    <w:pPr>
      <w:adjustRightInd w:val="0"/>
      <w:spacing w:line="440" w:lineRule="exact"/>
      <w:ind w:left="2" w:firstLine="480" w:firstLineChars="200"/>
    </w:pPr>
    <w:rPr>
      <w:rFonts w:ascii="仿宋_GB2312" w:hAnsi="仿宋" w:eastAsia="仿宋_GB2312"/>
      <w:sz w:val="24"/>
    </w:rPr>
  </w:style>
  <w:style w:type="paragraph" w:customStyle="1" w:styleId="31">
    <w:name w:val="段"/>
    <w:next w:val="1"/>
    <w:autoRedefine/>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32">
    <w:name w:val="Table Paragraph"/>
    <w:basedOn w:val="1"/>
    <w:autoRedefine/>
    <w:qFormat/>
    <w:uiPriority w:val="1"/>
    <w:pPr>
      <w:jc w:val="left"/>
    </w:pPr>
    <w:rPr>
      <w:rFonts w:ascii="Calibri" w:hAnsi="Calibri"/>
      <w:kern w:val="0"/>
      <w:sz w:val="22"/>
      <w:szCs w:val="22"/>
      <w:lang w:eastAsia="en-US"/>
    </w:rPr>
  </w:style>
  <w:style w:type="paragraph" w:customStyle="1" w:styleId="33">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Normal_0"/>
    <w:autoRedefine/>
    <w:qFormat/>
    <w:uiPriority w:val="0"/>
    <w:pPr>
      <w:widowControl w:val="0"/>
      <w:jc w:val="both"/>
    </w:pPr>
    <w:rPr>
      <w:rFonts w:ascii="Times New Roman" w:hAnsi="Times New Roman" w:eastAsia="Times New Roman" w:cs="Times New Roman"/>
      <w:sz w:val="21"/>
      <w:szCs w:val="22"/>
      <w:lang w:val="en-US" w:eastAsia="zh-CN" w:bidi="ar-SA"/>
    </w:rPr>
  </w:style>
  <w:style w:type="table" w:customStyle="1" w:styleId="35">
    <w:name w:val="Table Normal"/>
    <w:autoRedefine/>
    <w:unhideWhenUsed/>
    <w:qFormat/>
    <w:uiPriority w:val="0"/>
    <w:tblPr>
      <w:tblCellMar>
        <w:top w:w="0" w:type="dxa"/>
        <w:left w:w="0" w:type="dxa"/>
        <w:bottom w:w="0" w:type="dxa"/>
        <w:right w:w="0" w:type="dxa"/>
      </w:tblCellMar>
    </w:tblPr>
  </w:style>
  <w:style w:type="paragraph" w:customStyle="1" w:styleId="36">
    <w:name w:val="Table Text"/>
    <w:basedOn w:val="1"/>
    <w:autoRedefine/>
    <w:semiHidden/>
    <w:qFormat/>
    <w:uiPriority w:val="0"/>
    <w:rPr>
      <w:rFonts w:ascii="宋体" w:hAnsi="宋体" w:eastAsia="宋体" w:cs="宋体"/>
      <w:sz w:val="24"/>
      <w:szCs w:val="24"/>
      <w:lang w:val="en-US" w:eastAsia="en-US" w:bidi="ar-SA"/>
    </w:rPr>
  </w:style>
  <w:style w:type="paragraph" w:customStyle="1" w:styleId="37">
    <w:name w:val="样式1"/>
    <w:basedOn w:val="1"/>
    <w:autoRedefine/>
    <w:qFormat/>
    <w:uiPriority w:val="0"/>
    <w:pPr>
      <w:spacing w:line="340" w:lineRule="exact"/>
      <w:jc w:val="center"/>
    </w:pPr>
    <w:rPr>
      <w:rFonts w:ascii="仿宋_GB2312" w:hAnsi="宋体" w:eastAsia="仿宋_GB2312"/>
      <w:color w:val="000000"/>
      <w:sz w:val="28"/>
      <w:szCs w:val="28"/>
    </w:rPr>
  </w:style>
  <w:style w:type="paragraph" w:customStyle="1" w:styleId="38">
    <w:name w:val="正文_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页眉1"/>
    <w:basedOn w:val="25"/>
    <w:autoRedefine/>
    <w:qFormat/>
    <w:uiPriority w:val="0"/>
    <w:pPr>
      <w:pBdr>
        <w:bottom w:val="single" w:color="000000" w:sz="6" w:space="1"/>
      </w:pBdr>
      <w:tabs>
        <w:tab w:val="center" w:pos="4153"/>
        <w:tab w:val="right" w:pos="8306"/>
      </w:tabs>
      <w:snapToGrid w:val="0"/>
      <w:jc w:val="center"/>
    </w:pPr>
    <w:rPr>
      <w:rFonts w:ascii="宋体" w:hAnsi="宋体"/>
      <w:sz w:val="18"/>
      <w:szCs w:val="20"/>
    </w:rPr>
  </w:style>
  <w:style w:type="paragraph" w:customStyle="1" w:styleId="40">
    <w:name w:val="正文_4"/>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header" Target="header5.xml"/><Relationship Id="rId17" Type="http://schemas.openxmlformats.org/officeDocument/2006/relationships/footer" Target="footer11.xml"/><Relationship Id="rId16" Type="http://schemas.openxmlformats.org/officeDocument/2006/relationships/header" Target="header4.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125fe683-7d96-4d10-85be-c6664c9b9ae1</errorID>
      <errorWord>日至2026年</errorWord>
      <group>L1_Word</group>
      <groupName>字词问题</groupName>
      <ability>L2_Typo</ability>
      <abilityName>字词错误</abilityName>
      <candidateList>
        <item>日起至2026年</item>
      </candidateList>
      <explain/>
      <paraID>65D0F56F</paraID>
      <start>13</start>
      <end>20</end>
      <status>unmodified</status>
      <modifiedWord/>
      <trackRevisions>false</trackRevisions>
    </reviewItem>
    <reviewItem>
      <errorID>726b069a-bcbb-47a6-ada3-ba36f8fbc471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2D2C5C99</paraID>
      <start>26</start>
      <end>27</end>
      <status>unmodified</status>
      <modifiedWord/>
      <trackRevisions>false</trackRevisions>
    </reviewItem>
    <reviewItem>
      <errorID>26bd98fd-7e47-4107-9b11-936789cc9346</errorID>
      <errorWord>。</errorWord>
      <group>L1_Format</group>
      <groupName>格式问题</groupName>
      <ability>L2_HalfPunc_CN</ability>
      <abilityName>全半角问题</abilityName>
      <candidateList>
        <item>.</item>
      </candidateList>
      <explain>文本全半角错误。</explain>
      <paraID>489ECA45</paraID>
      <start>103</start>
      <end>104</end>
      <status>unmodified</status>
      <modifiedWord/>
      <trackRevisions>false</trackRevisions>
    </reviewItem>
    <reviewItem>
      <errorID>4dc7d1fb-091a-4f71-ad89-5b9aab9721be</errorID>
      <errorWord>.</errorWord>
      <group>L1_Format</group>
      <groupName>格式问题</groupName>
      <ability>L2_HalfPunc_CN</ability>
      <abilityName>全半角问题</abilityName>
      <candidateList>
        <item>。</item>
      </candidateList>
      <explain>文本全半角错误。</explain>
      <paraID>6186B0DF</paraID>
      <start>43</start>
      <end>44</end>
      <status>unmodified</status>
      <modifiedWord/>
      <trackRevisions>false</trackRevisions>
    </reviewItem>
    <reviewItem>
      <errorID>1c185816-f20d-42d7-a13f-bbacf1d5d4d9</errorID>
      <errorWord>操作合</errorWord>
      <group>L1_Word</group>
      <groupName>字词问题</groupName>
      <ability>L2_Typo</ability>
      <abilityName>字词错误</abilityName>
      <candidateList>
        <item>操作台</item>
      </candidateList>
      <explain/>
      <paraID>49A396D7</paraID>
      <start>635</start>
      <end>638</end>
      <status>unmodified</status>
      <modifiedWord/>
      <trackRevisions>false</trackRevisions>
    </reviewItem>
    <reviewItem>
      <errorID>1958f529-77a9-45b7-a9a7-aead138c0ab9</errorID>
      <errorWord>响应文件做无效</errorWord>
      <group>L1_Word</group>
      <groupName>字词问题</groupName>
      <ability>L2_Typo</ability>
      <abilityName>字词错误</abilityName>
      <candidateList>
        <item>响应文件作无效</item>
      </candidateList>
      <explain/>
      <paraID>1D43A9F2</paraID>
      <start>43</start>
      <end>50</end>
      <status>unmodified</status>
      <modifiedWord/>
      <trackRevisions>false</trackRevisions>
    </reviewItem>
    <reviewItem>
      <errorID>94e3f360-603f-4971-93bf-5e18519f6431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6E8E7C5A</paraID>
      <start>141</start>
      <end>142</end>
      <status>unmodified</status>
      <modifiedWord/>
      <trackRevisions>false</trackRevisions>
    </reviewItem>
    <reviewItem>
      <errorID>5d283619-d137-455c-a36a-7627bc7cfc7b</errorID>
      <errorWord>将不予以支付</errorWord>
      <group>L1_Word</group>
      <groupName>字词问题</groupName>
      <ability>L2_Typo</ability>
      <abilityName>字词错误</abilityName>
      <candidateList>
        <item>将不予支付</item>
      </candidateList>
      <explain/>
      <paraID>4362939F</paraID>
      <start>87</start>
      <end>93</end>
      <status>unmodified</status>
      <modifiedWord/>
      <trackRevisions>false</trackRevisions>
    </reviewItem>
    <reviewItem>
      <errorID>0b03a070-5c0c-4ee3-b5a1-256d4a346688</errorID>
      <errorWord>&lt;</errorWord>
      <group>L1_Format</group>
      <groupName>格式问题</groupName>
      <ability>L2_HalfPunc_CN</ability>
      <abilityName>全半角问题</abilityName>
      <candidateList>
        <item>〈</item>
      </candidateList>
      <explain>文本全半角错误。</explain>
      <paraID>2C39DA90</paraID>
      <start>32</start>
      <end>33</end>
      <status>unmodified</status>
      <modifiedWord/>
      <trackRevisions>false</trackRevisions>
    </reviewItem>
    <reviewItem>
      <errorID>b92d1d52-1b56-4f5e-aa2c-de2157f52ef8</errorID>
      <errorWord>)</errorWord>
      <group>L1_Format</group>
      <groupName>格式问题</groupName>
      <ability>L2_HalfPunc_CN</ability>
      <abilityName>全半角问题</abilityName>
      <candidateList>
        <item>）</item>
      </candidateList>
      <explain>文本全半角错误。</explain>
      <paraID>2C39DA90</paraID>
      <start>68</start>
      <end>69</end>
      <status>unmodified</status>
      <modifiedWord/>
      <trackRevisions>false</trackRevisions>
    </reviewItem>
    <reviewItem>
      <errorID>90cef42a-e75c-4e90-b7aa-20b10f89c1c9</errorID>
      <errorWord>将不予以支付</errorWord>
      <group>L1_Word</group>
      <groupName>字词问题</groupName>
      <ability>L2_Typo</ability>
      <abilityName>字词错误</abilityName>
      <candidateList>
        <item>将不予支付</item>
      </candidateList>
      <explain/>
      <paraID> AF50BC6</paraID>
      <start>87</start>
      <end>93</end>
      <status>unmodified</status>
      <modifiedWord/>
      <trackRevisions>false</trackRevisions>
    </reviewItem>
    <reviewItem>
      <errorID>c8f330db-e318-4a15-ab97-f82f53f0ed17</errorID>
      <errorWord>操作合</errorWord>
      <group>L1_Word</group>
      <groupName>字词问题</groupName>
      <ability>L2_Typo</ability>
      <abilityName>字词错误</abilityName>
      <candidateList>
        <item>操作台</item>
      </candidateList>
      <explain/>
      <paraID>602D2A65</paraID>
      <start>9</start>
      <end>12</end>
      <status>unmodified</status>
      <modifiedWord/>
      <trackRevisions>false</trackRevisions>
    </reviewItem>
    <reviewItem>
      <errorID>851d0db1-0ce2-4ca2-8d3d-b2b62bf102f6</errorID>
      <errorWord>间</errorWord>
      <group>L1_Word</group>
      <groupName>字词问题</groupName>
      <ability>L2_Typo</ability>
      <abilityName>字词错误</abilityName>
      <candidateList>
        <item>间之</item>
      </candidateList>
      <explain/>
      <paraID> ED841B2</paraID>
      <start>49</start>
      <end>50</end>
      <status>unmodified</status>
      <modifiedWord/>
      <trackRevisions>false</trackRevisions>
    </reviewItem>
    <reviewItem>
      <errorID>d3949fa5-62a4-45da-aec7-68b957ff4b38</errorID>
      <errorWord>（</errorWord>
      <group>L1_Punc</group>
      <groupName>标点问题</groupName>
      <ability>L2_Punc_CN</ability>
      <abilityName>标点符号问题</abilityName>
      <candidateList/>
      <explain>同一形式括号套用。</explain>
      <paraID>183A170F</paraID>
      <start>97</start>
      <end>98</end>
      <status>unmodified</status>
      <modifiedWord/>
      <trackRevisions>false</trackRevisions>
    </reviewItem>
    <reviewItem>
      <errorID>c2f800b2-14f7-4104-86a1-39618fb5a9a9</errorID>
      <errorWord>）</errorWord>
      <group>L1_Punc</group>
      <groupName>标点问题</groupName>
      <ability>L2_Punc_CN</ability>
      <abilityName>标点符号问题</abilityName>
      <candidateList/>
      <explain>同一形式括号套用。</explain>
      <paraID>183A170F</paraID>
      <start>104</start>
      <end>105</end>
      <status>unmodified</status>
      <modifiedWord/>
      <trackRevisions>false</trackRevisions>
    </reviewItem>
    <reviewItem>
      <errorID>a5805874-ecd2-4685-9106-ecd7aae4ba3e</errorID>
      <errorWord>：，</errorWord>
      <group>L1_Punc</group>
      <groupName>标点问题</groupName>
      <ability>L2_Punc_CN</ability>
      <abilityName>标点符号问题</abilityName>
      <candidateList>
        <item>：</item>
      </candidateList>
      <explain/>
      <paraID>18B87F9B</paraID>
      <start>38</start>
      <end>40</end>
      <status>unmodified</status>
      <modifiedWord/>
      <trackRevisions>false</trackRevisions>
    </reviewItem>
    <reviewItem>
      <errorID>ca8061fc-eb6a-4ecd-9b99-4187a4be9f68</errorID>
      <errorWord>三农</errorWord>
      <group>L1_Political</group>
      <groupName>政治性问题</groupName>
      <ability>L2_Keyword</ability>
      <abilityName>固定表述</abilityName>
      <candidateList>
        <item>“三农”</item>
      </candidateList>
      <explain>注意检查当前固定表述标点是否使用规范。</explain>
      <paraID>569587F7</paraID>
      <start>5</start>
      <end>7</end>
      <status>unmodified</status>
      <modifiedWord/>
      <trackRevisions>false</trackRevisions>
    </reviewItem>
    <reviewItem>
      <errorID>19062fb9-e636-466d-8846-100ae3507e62</errorID>
      <errorWord>三农</errorWord>
      <group>L1_Political</group>
      <groupName>政治性问题</groupName>
      <ability>L2_Keyword</ability>
      <abilityName>固定表述</abilityName>
      <candidateList>
        <item>“三农”</item>
      </candidateList>
      <explain>注意检查当前固定表述标点是否使用规范。</explain>
      <paraID>23DA16D4</paraID>
      <start>5</start>
      <end>7</end>
      <status>unmodified</status>
      <modifiedWord/>
      <trackRevisions>false</trackRevisions>
    </reviewItem>
    <reviewItem>
      <errorID>30584fa4-414d-494f-b3e9-d0cdbef88408</errorID>
      <errorWord>幢楼</errorWord>
      <group>L1_Word</group>
      <groupName>字词问题</groupName>
      <ability>L2_Typo</ability>
      <abilityName>字词错误</abilityName>
      <candidateList>
        <item>幢</item>
      </candidateList>
      <explain/>
      <paraID>50ECE459</paraID>
      <start>25</start>
      <end>27</end>
      <status>unmodified</status>
      <modifiedWord/>
      <trackRevisions>false</trackRevisions>
    </reviewItem>
    <reviewItem>
      <errorID>1e664866-3b5c-47a6-b20c-25d405d2b06a</errorID>
      <errorWord>三农</errorWord>
      <group>L1_Political</group>
      <groupName>政治性问题</groupName>
      <ability>L2_Keyword</ability>
      <abilityName>固定表述</abilityName>
      <candidateList>
        <item>“三农”</item>
      </candidateList>
      <explain>注意检查当前固定表述标点是否使用规范。</explain>
      <paraID>764854ED</paraID>
      <start>5</start>
      <end>7</end>
      <status>unmodified</status>
      <modifiedWord/>
      <trackRevisions>false</trackRevisions>
    </reviewItem>
    <reviewItem>
      <errorID>762c0027-34e7-4486-8af8-4a8d2ca27dd8</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32E7CA52</paraID>
      <start>19</start>
      <end>21</end>
      <status>modified</status>
      <modifiedWord>响应</modifiedWord>
      <trackRevisions>false</trackRevisions>
    </reviewItem>
    <reviewItem>
      <errorID>846e2b3d-a773-4777-af0b-5d98ce581bb5</errorID>
      <errorWord>（</errorWord>
      <group>L1_Punc</group>
      <groupName>标点问题</groupName>
      <ability>L2_Punc_CN</ability>
      <abilityName>标点符号问题</abilityName>
      <candidateList/>
      <explain>同一形式括号套用。</explain>
      <paraID>67E2EC66</paraID>
      <start>82</start>
      <end>83</end>
      <status>unmodified</status>
      <modifiedWord/>
      <trackRevisions>false</trackRevisions>
    </reviewItem>
    <reviewItem>
      <errorID>4635a4c5-402d-4ae2-a160-7738ff5ba4a2</errorID>
      <errorWord>）</errorWord>
      <group>L1_Punc</group>
      <groupName>标点问题</groupName>
      <ability>L2_Punc_CN</ability>
      <abilityName>标点符号问题</abilityName>
      <candidateList/>
      <explain>同一形式括号套用。</explain>
      <paraID>67E2EC66</paraID>
      <start>85</start>
      <end>86</end>
      <status>unmodified</status>
      <modifiedWord/>
      <trackRevisions>false</trackRevisions>
    </reviewItem>
    <reviewItem>
      <errorID>6977da74-194a-4df3-b78a-7170ff7601c8</errorID>
      <errorWord>（</errorWord>
      <group>L1_Punc</group>
      <groupName>标点问题</groupName>
      <ability>L2_Punc_CN</ability>
      <abilityName>标点符号问题</abilityName>
      <candidateList/>
      <explain>同一形式括号套用。</explain>
      <paraID>67E2EC66</paraID>
      <start>111</start>
      <end>112</end>
      <status>unmodified</status>
      <modifiedWord/>
      <trackRevisions>false</trackRevisions>
    </reviewItem>
    <reviewItem>
      <errorID>b44ec21b-5e63-488c-a7d4-326526e20e2c</errorID>
      <errorWord>）</errorWord>
      <group>L1_Punc</group>
      <groupName>标点问题</groupName>
      <ability>L2_Punc_CN</ability>
      <abilityName>标点符号问题</abilityName>
      <candidateList/>
      <explain>同一形式括号套用。</explain>
      <paraID>67E2EC66</paraID>
      <start>113</start>
      <end>114</end>
      <status>unmodified</status>
      <modifiedWord/>
      <trackRevisions>false</trackRevisions>
    </reviewItem>
    <reviewItem>
      <errorID>44f73a89-d28d-41b5-85a5-f3c317e16724</errorID>
      <errorWord>…………</errorWord>
      <group>L1_Punc</group>
      <groupName>标点问题</groupName>
      <ability>L2_Punc_CN</ability>
      <abilityName>标点符号问题</abilityName>
      <candidateList>
        <item>……</item>
      </candidateList>
      <explain/>
      <paraID>7A841647</paraID>
      <start>67</start>
      <end>71</end>
      <status>unmodified</status>
      <modifiedWord/>
      <trackRevisions>false</trackRevisions>
    </reviewItem>
    <reviewItem>
      <errorID>4d0d7637-0676-46e0-be08-c64306261b55</errorID>
      <errorWord>（五）其它</errorWord>
      <group>L1_Word</group>
      <groupName>字词问题</groupName>
      <ability>L2_Alias</ability>
      <abilityName>也作/曾用词</abilityName>
      <candidateList>
        <item>（五）其他</item>
      </candidateList>
      <explain>词汇[（五）其它]为不规范表述或旧称，其规范书面表述为[（五）其他]。</explain>
      <paraID>55D507E3</paraID>
      <start>0</start>
      <end>5</end>
      <status>unmodified</status>
      <modifiedWord/>
      <trackRevisions>false</trackRevisions>
    </reviewItem>
    <reviewItem>
      <errorID>a5301f6a-3f55-4a05-b86e-9cd739b086b1</errorID>
      <errorWord>………</errorWord>
      <group>L1_Punc</group>
      <groupName>标点问题</groupName>
      <ability>L2_Punc_CN</ability>
      <abilityName>标点符号问题</abilityName>
      <candidateList>
        <item>……</item>
      </candidateList>
      <explain/>
      <paraID>6B2BF520</paraID>
      <start>28</start>
      <end>31</end>
      <status>unmodified</status>
      <modifiedWord/>
      <trackRevisions>false</trackRevisions>
    </reviewItem>
    <reviewItem>
      <errorID>7647444c-8cc6-434f-bb66-b2346545088e</errorID>
      <errorWord>，</errorWord>
      <group>L1_Word</group>
      <groupName>字词问题</groupName>
      <ability>L2_Typo</ability>
      <abilityName>字词错误</abilityName>
      <candidateList>
        <item>，将</item>
      </candidateList>
      <explain/>
      <paraID>61DBCE6B</paraID>
      <start>75</start>
      <end>76</end>
      <status>unmodified</status>
      <modifiedWord/>
      <trackRevisions>false</trackRevisions>
    </reviewItem>
    <reviewItem>
      <errorID>f1984860-3440-4eb8-9f5b-ce2f093175b9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12DEEC68</paraID>
      <start>6</start>
      <end>7</end>
      <status>unmodified</status>
      <modifiedWord/>
      <trackRevisions>false</trackRevisions>
    </reviewItem>
    <reviewItem>
      <errorID>e8939d23-3415-47aa-8764-af6f16c3062b</errorID>
      <errorWord>国标标准</errorWord>
      <group>L1_Word</group>
      <groupName>字词问题</groupName>
      <ability>L2_Typo</ability>
      <abilityName>字词错误</abilityName>
      <candidateList>
        <item>国家标准</item>
      </candidateList>
      <explain/>
      <paraID>651017FB</paraID>
      <start>33</start>
      <end>37</end>
      <status>unmodified</status>
      <modifiedWord/>
      <trackRevisions>false</trackRevisions>
    </reviewItem>
    <reviewItem>
      <errorID>a37134c8-8354-4eff-bd29-c325b47f88de</errorID>
      <errorWord>座标</errorWord>
      <group>L1_Word</group>
      <groupName>字词问题</groupName>
      <ability>L2_Typo</ability>
      <abilityName>字词错误</abilityName>
      <candidateList>
        <item>坐标</item>
      </candidateList>
      <explain>存在发音相同字词的误用。</explain>
      <paraID>43DB2EBF</paraID>
      <start>4</start>
      <end>6</end>
      <status>modified</status>
      <modifiedWord>坐标</modifiedWord>
      <trackRevisions>false</trackRevisions>
    </reviewItem>
    <reviewItem>
      <errorID>cadf6f6e-6254-46ad-a476-a9e53b01bae1</errorID>
      <errorWord>其它</errorWord>
      <group>L1_Word</group>
      <groupName>字词问题</groupName>
      <ability>L2_Alias</ability>
      <abilityName>也作/曾用词</abilityName>
      <candidateList>
        <item>其他</item>
      </candidateList>
      <explain>词汇[其它]为不规范表述或旧称，其规范书面表述为[其他]。</explain>
      <paraID>50D82314</paraID>
      <start>45</start>
      <end>47</end>
      <status>unmodified</status>
      <modifiedWord/>
      <trackRevisions>false</trackRevisions>
    </reviewItem>
    <reviewItem>
      <errorID>7731be60-44d4-4346-95fe-91127c11169b</errorID>
      <errorWord>其它</errorWord>
      <group>L1_Word</group>
      <groupName>字词问题</groupName>
      <ability>L2_Alias</ability>
      <abilityName>也作/曾用词</abilityName>
      <candidateList>
        <item>其他</item>
      </candidateList>
      <explain>词汇[其它]为不规范表述或旧称，其规范书面表述为[其他]。</explain>
      <paraID>50D82314</paraID>
      <start>139</start>
      <end>141</end>
      <status>unmodified</status>
      <modifiedWord/>
      <trackRevisions>false</trackRevisions>
    </reviewItem>
    <reviewItem>
      <errorID>cfdb3c5d-6d4f-4db2-9fc2-ada23d7d2e35</errorID>
      <errorWord>其它</errorWord>
      <group>L1_Word</group>
      <groupName>字词问题</groupName>
      <ability>L2_Alias</ability>
      <abilityName>也作/曾用词</abilityName>
      <candidateList>
        <item>其他</item>
      </candidateList>
      <explain>词汇[其它]为不规范表述或旧称，其规范书面表述为[其他]。</explain>
      <paraID> 406E347</paraID>
      <start>182</start>
      <end>184</end>
      <status>unmodified</status>
      <modifiedWord/>
      <trackRevisions>false</trackRevisions>
    </reviewItem>
    <reviewItem>
      <errorID>8082c516-1121-4145-b4ad-3eeed7c17b89</errorID>
      <errorWord>工</errorWord>
      <group>L1_Word</group>
      <groupName>字词问题</groupName>
      <ability>L2_Typo</ability>
      <abilityName>字词错误</abilityName>
      <candidateList>
        <item>工现</item>
      </candidateList>
      <explain/>
      <paraID>7448F46A</paraID>
      <start>92</start>
      <end>94</end>
      <status>modified</status>
      <modifiedWord>工现</modifiedWord>
      <trackRevisions>false</trackRevisions>
    </reviewItem>
    <reviewItem>
      <errorID>6c7a04e8-b4e0-4869-889d-7bbdf117b6b2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792E0F2A</paraID>
      <start>42</start>
      <end>43</end>
      <status>unmodified</status>
      <modifiedWord/>
      <trackRevisions>false</trackRevisions>
    </reviewItem>
    <reviewItem>
      <errorID>31dc0f12-5406-4057-8adf-92046c93865b</errorID>
      <errorWord>期限的</errorWord>
      <group>L1_Word</group>
      <groupName>字词问题</groupName>
      <ability>L2_Typo</ability>
      <abilityName>字词错误</abilityName>
      <candidateList>
        <item>期限</item>
      </candidateList>
      <explain/>
      <paraID>3128FD8A</paraID>
      <start>14</start>
      <end>17</end>
      <status>unmodified</status>
      <modifiedWord/>
      <trackRevisions>false</trackRevisions>
    </reviewItem>
    <reviewItem>
      <errorID>e258cb74-3833-4b1b-8181-fe6dcfd30274</errorID>
      <errorWord>达</errorWord>
      <group>L1_Word</group>
      <groupName>字词问题</groupName>
      <ability>L2_Typo</ability>
      <abilityName>字词错误</abilityName>
      <candidateList>
        <item>达到</item>
      </candidateList>
      <explain>〈动〉到（多指抽象事物或程度）：达得到｜达不到｜目的没有～｜～国际水平。</explain>
      <paraID> 627DBFA</paraID>
      <start>99</start>
      <end>100</end>
      <status>unmodified</status>
      <modifiedWord/>
      <trackRevisions>false</trackRevisions>
    </reviewItem>
    <reviewItem>
      <errorID>8b11b01f-78f6-48a2-8184-1472e493ca90</errorID>
      <errorWord>人</errorWord>
      <group>L1_Word</group>
      <groupName>字词问题</groupName>
      <ability>L2_Typo</ability>
      <abilityName>字词错误</abilityName>
      <candidateList>
        <item>人在</item>
      </candidateList>
      <explain/>
      <paraID>4DC5D30D</paraID>
      <start>36</start>
      <end>37</end>
      <status>unmodified</status>
      <modifiedWord/>
      <trackRevisions>false</trackRevisions>
    </reviewItem>
    <reviewItem>
      <errorID>b9d96435-f57a-425e-95e3-e645b51ef16f</errorID>
      <errorWord>运入</errorWord>
      <group>L1_Word</group>
      <groupName>字词问题</groupName>
      <ability>L2_Typo</ability>
      <abilityName>字词错误</abilityName>
      <candidateList>
        <item>进入</item>
      </candidateList>
      <explain>〈动〉支进到某个范围或某个时期里：～学校｜～新阶段◇～角色。</explain>
      <paraID>4FAF0C6F</paraID>
      <start>39</start>
      <end>41</end>
      <status>unmodified</status>
      <modifiedWord/>
      <trackRevisions>false</trackRevisions>
    </reviewItem>
    <reviewItem>
      <errorID>030e26af-1327-4791-b55e-8f7486869aac</errorID>
      <errorWord>运入</errorWord>
      <group>L1_Word</group>
      <groupName>字词问题</groupName>
      <ability>L2_Typo</ability>
      <abilityName>字词错误</abilityName>
      <candidateList>
        <item>进入</item>
      </candidateList>
      <explain>〈动〉支进到某个范围或某个时期里：～学校｜～新阶段◇～角色。</explain>
      <paraID>4CC6F744</paraID>
      <start>53</start>
      <end>55</end>
      <status>unmodified</status>
      <modifiedWord/>
      <trackRevisions>false</trackRevisions>
    </reviewItem>
    <reviewItem>
      <errorID>b701f4c5-4534-45d4-b89b-d60dd9f66637</errorID>
      <errorWord>广西壮族自治区建设工程质量检测管理规定</errorWord>
      <group>L1_Knowledge</group>
      <groupName>知识性问题</groupName>
      <ability>L2_Knowledge</ability>
      <abilityName>其他知识</abilityName>
      <candidateList/>
      <explain>当前法律法规未收录或尚未生效，注意核查是否正确。</explain>
      <paraID>48CAF3A8</paraID>
      <start>30</start>
      <end>49</end>
      <status>unmodified</status>
      <modifiedWord/>
      <trackRevisions>false</trackRevisions>
    </reviewItem>
    <reviewItem>
      <errorID>0d4dbfd1-fe58-4031-8f38-d8f952beaee3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F78EE42</paraID>
      <start>123</start>
      <end>124</end>
      <status>unmodified</status>
      <modifiedWord/>
      <trackRevisions>false</trackRevisions>
    </reviewItem>
    <reviewItem>
      <errorID>fc4fbab8-55ab-488f-8a33-a833c3a95e83</errorID>
      <errorWord>其它</errorWord>
      <group>L1_Word</group>
      <groupName>字词问题</groupName>
      <ability>L2_Alias</ability>
      <abilityName>也作/曾用词</abilityName>
      <candidateList>
        <item>其他</item>
      </candidateList>
      <explain>词汇[其它]为不规范表述或旧称，其规范书面表述为[其他]。</explain>
      <paraID>4AC454E0</paraID>
      <start>1</start>
      <end>3</end>
      <status>unmodified</status>
      <modifiedWord/>
      <trackRevisions>false</trackRevisions>
    </reviewItem>
    <reviewItem>
      <errorID>f291e888-eec9-4179-8bd5-3e30d690ca48</errorID>
      <errorWord>其它</errorWord>
      <group>L1_Word</group>
      <groupName>字词问题</groupName>
      <ability>L2_Alias</ability>
      <abilityName>也作/曾用词</abilityName>
      <candidateList>
        <item>其他</item>
      </candidateList>
      <explain>词汇[其它]为不规范表述或旧称，其规范书面表述为[其他]。</explain>
      <paraID> 9199C90</paraID>
      <start>21</start>
      <end>23</end>
      <status>unmodified</status>
      <modifiedWord/>
      <trackRevisions>false</trackRevisions>
    </reviewItem>
    <reviewItem>
      <errorID>650ebcb5-debd-4a52-9343-ce05272dbbc5</errorID>
      <errorWord>与</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68A8ADE5</paraID>
      <start>7</start>
      <end>8</end>
      <status>unmodified</status>
      <modifiedWord/>
      <trackRevisions>false</trackRevisions>
    </reviewItem>
    <reviewItem>
      <errorID>3e769186-d666-41a2-ba0a-0f7e43dc18fe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1634520C</paraID>
      <start>66</start>
      <end>67</end>
      <status>unmodified</status>
      <modifiedWord/>
      <trackRevisions>false</trackRevisions>
    </reviewItem>
    <reviewItem>
      <errorID>0a96dcff-409c-437e-a9f4-1f9280d2b539</errorID>
      <errorWord>（</errorWord>
      <group>L1_Punc</group>
      <groupName>标点问题</groupName>
      <ability>L2_Punc_CN</ability>
      <abilityName>标点符号问题</abilityName>
      <candidateList/>
      <explain>同一形式括号套用。</explain>
      <paraID>4E2576E4</paraID>
      <start>69</start>
      <end>70</end>
      <status>unmodified</status>
      <modifiedWord/>
      <trackRevisions>false</trackRevisions>
    </reviewItem>
    <reviewItem>
      <errorID>d178e67b-e7cd-4a14-b311-b7d957b2188b</errorID>
      <errorWord>）</errorWord>
      <group>L1_Punc</group>
      <groupName>标点问题</groupName>
      <ability>L2_Punc_CN</ability>
      <abilityName>标点符号问题</abilityName>
      <candidateList/>
      <explain>同一形式括号套用。</explain>
      <paraID>4E2576E4</paraID>
      <start>97</start>
      <end>98</end>
      <status>unmodified</status>
      <modifiedWord/>
      <trackRevisions>false</trackRevisions>
    </reviewItem>
    <reviewItem>
      <errorID>14ec5ed4-36f6-4f56-a67a-998523acefba</errorID>
      <errorWord>其它</errorWord>
      <group>L1_Word</group>
      <groupName>字词问题</groupName>
      <ability>L2_Alias</ability>
      <abilityName>也作/曾用词</abilityName>
      <candidateList>
        <item>其他</item>
      </candidateList>
      <explain>词汇[其它]为不规范表述或旧称，其规范书面表述为[其他]。</explain>
      <paraID>54D5F529</paraID>
      <start>142</start>
      <end>144</end>
      <status>unmodified</status>
      <modifiedWord/>
      <trackRevisions>false</trackRevisions>
    </reviewItem>
    <reviewItem>
      <errorID>869a7cbe-42b1-4664-a5ef-31d3d4a89f3f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9FAF543</paraID>
      <start>14</start>
      <end>15</end>
      <status>unmodified</status>
      <modifiedWord/>
      <trackRevisions>false</trackRevisions>
    </reviewItem>
    <reviewItem>
      <errorID>a7b73572-6386-4717-8707-84772ffd9aff</errorID>
      <errorWord>需</errorWord>
      <group>L1_Word</group>
      <groupName>字词问题</groupName>
      <ability>L2_Typo</ability>
      <abilityName>字词错误</abilityName>
      <candidateList>
        <item>须</item>
      </candidateList>
      <explain>（鬚）xū❶原来指长在下巴上的胡子，后来泛指胡须：～发｜～眉。❷须子：触～｜花～。</explain>
      <paraID>2D5D9259</paraID>
      <start>38</start>
      <end>39</end>
      <status>unmodified</status>
      <modifiedWord/>
      <trackRevisions>false</trackRevisions>
    </reviewItem>
    <reviewItem>
      <errorID>1fe725c8-888b-403a-9ff4-0f5c9df1e3d6</errorID>
      <errorWord>下</errorWord>
      <group>L1_Word</group>
      <groupName>字词问题</groupName>
      <ability>L2_Typo</ability>
      <abilityName>字词错误</abilityName>
      <candidateList>
        <item>下简</item>
      </candidateList>
      <explain/>
      <paraID>4A7EE7CC</paraID>
      <start>1</start>
      <end>3</end>
      <status>modified</status>
      <modifiedWord>下简</modifiedWord>
      <trackRevisions>false</trackRevisions>
    </reviewItem>
    <reviewItem>
      <errorID>1dd5201c-ff6e-40e6-95c9-52c089e3440f</errorID>
      <errorWord>下</errorWord>
      <group>L1_Word</group>
      <groupName>字词问题</groupName>
      <ability>L2_Typo</ability>
      <abilityName>字词错误</abilityName>
      <candidateList>
        <item>下简</item>
      </candidateList>
      <explain/>
      <paraID>6304F464</paraID>
      <start>19</start>
      <end>21</end>
      <status>modified</status>
      <modifiedWord>下简</modifiedWord>
      <trackRevisions>false</trackRevisions>
    </reviewItem>
    <reviewItem>
      <errorID>5342c3af-b5c0-4ec4-a53a-dbe31a0f9157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260C3B77</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48956b-7893-40ed-9549-072ae80c959c}">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77154</Words>
  <Characters>81409</Characters>
  <Lines>0</Lines>
  <Paragraphs>0</Paragraphs>
  <TotalTime>26</TotalTime>
  <ScaleCrop>false</ScaleCrop>
  <LinksUpToDate>false</LinksUpToDate>
  <CharactersWithSpaces>90305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2025-12-29T09:09:00Z</dcterms:created>
  <dc:creator>_CC陈小哥</dc:creator>
  <cp:lastModifiedBy>Avvil</cp:lastModifiedBy>
  <dcterms:modified xsi:type="dcterms:W3CDTF">2026-07-03T08:03:27Z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C750C1D8294A406BBFE6BDD6ABAD3592_13</vt:lpwstr>
  </property>
  <property fmtid="{D5CDD505-2E9C-101B-9397-08002B2CF9AE}" pid="4" name="KSOTemplateDocerSaveRecord">
    <vt:lpwstr>eyJoZGlkIjoiNjRmYzNmZGFlOTY3NThhOTg5NDQ5ZWJiZDUwZjkwNDgiLCJ1c2VySWQiOiIyODI4NTE2MDAifQ==</vt:lpwstr>
  </property>
</Properties>
</file>