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8629E">
      <w:pPr>
        <w:spacing w:before="156" w:beforeLines="50" w:line="360" w:lineRule="auto"/>
        <w:jc w:val="center"/>
        <w:rPr>
          <w:rFonts w:hint="eastAsia" w:ascii="宋体" w:hAnsi="宋体"/>
          <w:color w:val="000000" w:themeColor="text1"/>
          <w:sz w:val="52"/>
          <w:szCs w:val="52"/>
          <w:highlight w:val="none"/>
          <w14:textFill>
            <w14:solidFill>
              <w14:schemeClr w14:val="tx1"/>
            </w14:solidFill>
          </w14:textFill>
        </w:rPr>
      </w:pPr>
    </w:p>
    <w:p w14:paraId="01D8B17A">
      <w:pPr>
        <w:spacing w:before="156"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南宁市政府采购</w:t>
      </w:r>
    </w:p>
    <w:p w14:paraId="4EF2D6B8">
      <w:pPr>
        <w:spacing w:before="156" w:beforeLines="50" w:line="360" w:lineRule="auto"/>
        <w:jc w:val="center"/>
        <w:rPr>
          <w:rFonts w:hint="eastAsia"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竞争性谈判文件(货物类)</w:t>
      </w:r>
    </w:p>
    <w:p w14:paraId="4495864B">
      <w:pPr>
        <w:snapToGrid w:val="0"/>
        <w:spacing w:before="156" w:beforeLines="50" w:line="360" w:lineRule="auto"/>
        <w:jc w:val="center"/>
        <w:rPr>
          <w:rFonts w:hint="eastAsia" w:ascii="宋体" w:hAnsi="宋体"/>
          <w:color w:val="000000" w:themeColor="text1"/>
          <w:sz w:val="36"/>
          <w:szCs w:val="36"/>
          <w:highlight w:val="none"/>
          <w14:textFill>
            <w14:solidFill>
              <w14:schemeClr w14:val="tx1"/>
            </w14:solidFill>
          </w14:textFill>
        </w:rPr>
      </w:pPr>
    </w:p>
    <w:p w14:paraId="1EC8E13D">
      <w:pPr>
        <w:snapToGrid w:val="0"/>
        <w:spacing w:before="156" w:beforeLines="50" w:line="360" w:lineRule="auto"/>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竞争性谈判文件</w:t>
      </w:r>
    </w:p>
    <w:p w14:paraId="446CF635">
      <w:pPr>
        <w:spacing w:before="312" w:beforeLines="100" w:after="156" w:afterLines="50"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（全流程电子化评标）</w:t>
      </w:r>
    </w:p>
    <w:p w14:paraId="1515DB70">
      <w:pPr>
        <w:spacing w:line="360" w:lineRule="auto"/>
        <w:rPr>
          <w:rFonts w:hint="eastAsia" w:ascii="宋体" w:hAnsi="宋体"/>
          <w:b/>
          <w:color w:val="000000" w:themeColor="text1"/>
          <w:sz w:val="32"/>
          <w:szCs w:val="32"/>
          <w:highlight w:val="none"/>
          <w14:textFill>
            <w14:solidFill>
              <w14:schemeClr w14:val="tx1"/>
            </w14:solidFill>
          </w14:textFill>
        </w:rPr>
      </w:pPr>
    </w:p>
    <w:p w14:paraId="64349A43">
      <w:pPr>
        <w:spacing w:line="360" w:lineRule="auto"/>
        <w:jc w:val="center"/>
        <w:rPr>
          <w:rFonts w:hint="eastAsia" w:ascii="宋体" w:hAnsi="宋体"/>
          <w:b/>
          <w:color w:val="000000" w:themeColor="text1"/>
          <w:sz w:val="32"/>
          <w:szCs w:val="32"/>
          <w:highlight w:val="none"/>
          <w14:textFill>
            <w14:solidFill>
              <w14:schemeClr w14:val="tx1"/>
            </w14:solidFill>
          </w14:textFill>
        </w:rPr>
      </w:pPr>
    </w:p>
    <w:p w14:paraId="01B1DE15">
      <w:pPr>
        <w:pStyle w:val="17"/>
        <w:keepNext w:val="0"/>
        <w:keepLines w:val="0"/>
        <w:pageBreakBefore w:val="0"/>
        <w:widowControl w:val="0"/>
        <w:kinsoku/>
        <w:wordWrap/>
        <w:overflowPunct/>
        <w:topLinePunct w:val="0"/>
        <w:autoSpaceDE/>
        <w:autoSpaceDN/>
        <w:bidi w:val="0"/>
        <w:adjustRightInd/>
        <w:snapToGrid w:val="0"/>
        <w:spacing w:line="360" w:lineRule="auto"/>
        <w:ind w:left="2405" w:leftChars="428" w:hanging="1506" w:hangingChars="500"/>
        <w:textAlignment w:val="auto"/>
        <w:rPr>
          <w:rFonts w:hint="eastAsia" w:ascii="仿宋_GB2312" w:hAnsi="宋体" w:eastAsia="仿宋_GB2312"/>
          <w:b/>
          <w:bCs/>
          <w:color w:val="000000" w:themeColor="text1"/>
          <w:sz w:val="30"/>
          <w:szCs w:val="30"/>
          <w:highlight w:val="none"/>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南宁市第一看守所2026年度在押人员伙房伙食灶醇基液体燃料采购</w:t>
      </w:r>
    </w:p>
    <w:p w14:paraId="290360B1">
      <w:pPr>
        <w:keepNext w:val="0"/>
        <w:keepLines w:val="0"/>
        <w:pageBreakBefore w:val="0"/>
        <w:widowControl w:val="0"/>
        <w:kinsoku/>
        <w:wordWrap/>
        <w:overflowPunct/>
        <w:topLinePunct w:val="0"/>
        <w:autoSpaceDE/>
        <w:autoSpaceDN/>
        <w:bidi w:val="0"/>
        <w:adjustRightInd/>
        <w:snapToGrid w:val="0"/>
        <w:spacing w:line="360" w:lineRule="auto"/>
        <w:ind w:firstLine="904" w:firstLineChars="300"/>
        <w:textAlignment w:val="auto"/>
        <w:rPr>
          <w:rFonts w:hint="eastAsia" w:ascii="仿宋_GB2312" w:hAnsi="宋体" w:eastAsia="仿宋_GB2312" w:cs="Times New Roman"/>
          <w:b/>
          <w:bCs/>
          <w:color w:val="000000" w:themeColor="text1"/>
          <w:kern w:val="0"/>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0"/>
          <w:sz w:val="30"/>
          <w:szCs w:val="30"/>
          <w:highlight w:val="none"/>
          <w:lang w:val="en-US" w:eastAsia="zh-CN" w:bidi="ar-SA"/>
          <w14:textFill>
            <w14:solidFill>
              <w14:schemeClr w14:val="tx1"/>
            </w14:solidFill>
          </w14:textFill>
        </w:rPr>
        <w:t>项目编号：NNZC2026-J1-990351-GXJT</w:t>
      </w:r>
    </w:p>
    <w:p w14:paraId="16FB7468">
      <w:pPr>
        <w:keepNext w:val="0"/>
        <w:keepLines w:val="0"/>
        <w:pageBreakBefore w:val="0"/>
        <w:widowControl w:val="0"/>
        <w:kinsoku/>
        <w:wordWrap/>
        <w:overflowPunct/>
        <w:topLinePunct w:val="0"/>
        <w:autoSpaceDE/>
        <w:autoSpaceDN/>
        <w:bidi w:val="0"/>
        <w:adjustRightInd/>
        <w:snapToGrid w:val="0"/>
        <w:spacing w:line="360" w:lineRule="auto"/>
        <w:ind w:firstLine="904" w:firstLineChars="300"/>
        <w:textAlignment w:val="auto"/>
        <w:rPr>
          <w:rFonts w:hint="eastAsia" w:ascii="仿宋_GB2312" w:hAnsi="宋体" w:eastAsia="仿宋_GB2312" w:cs="Times New Roman"/>
          <w:b/>
          <w:bCs/>
          <w:color w:val="000000" w:themeColor="text1"/>
          <w:kern w:val="0"/>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0"/>
          <w:sz w:val="30"/>
          <w:szCs w:val="30"/>
          <w:highlight w:val="none"/>
          <w:lang w:val="en-US" w:eastAsia="zh-CN" w:bidi="ar-SA"/>
          <w14:textFill>
            <w14:solidFill>
              <w14:schemeClr w14:val="tx1"/>
            </w14:solidFill>
          </w14:textFill>
        </w:rPr>
        <w:t>采购计划文号：NNZC[2026]1386号</w:t>
      </w:r>
    </w:p>
    <w:p w14:paraId="3B803B95">
      <w:pPr>
        <w:keepNext w:val="0"/>
        <w:keepLines w:val="0"/>
        <w:pageBreakBefore w:val="0"/>
        <w:widowControl w:val="0"/>
        <w:kinsoku/>
        <w:wordWrap/>
        <w:overflowPunct/>
        <w:topLinePunct w:val="0"/>
        <w:autoSpaceDE/>
        <w:autoSpaceDN/>
        <w:bidi w:val="0"/>
        <w:adjustRightInd/>
        <w:snapToGrid w:val="0"/>
        <w:spacing w:line="360" w:lineRule="auto"/>
        <w:ind w:firstLine="904" w:firstLineChars="300"/>
        <w:textAlignment w:val="auto"/>
        <w:rPr>
          <w:rFonts w:hint="eastAsia" w:ascii="仿宋_GB2312" w:hAnsi="宋体" w:eastAsia="仿宋_GB2312"/>
          <w:b/>
          <w:color w:val="000000" w:themeColor="text1"/>
          <w:sz w:val="30"/>
          <w:szCs w:val="48"/>
          <w:highlight w:val="non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项目所属区划：</w:t>
      </w:r>
      <w:r>
        <w:rPr>
          <w:rFonts w:hint="eastAsia" w:ascii="仿宋" w:hAnsi="仿宋" w:eastAsia="仿宋" w:cs="仿宋"/>
          <w:b/>
          <w:color w:val="000000" w:themeColor="text1"/>
          <w:sz w:val="30"/>
          <w:szCs w:val="48"/>
          <w:highlight w:val="none"/>
          <w:u w:val="none"/>
          <w:lang w:val="en-US" w:eastAsia="zh-CN"/>
          <w14:textFill>
            <w14:solidFill>
              <w14:schemeClr w14:val="tx1"/>
            </w14:solidFill>
          </w14:textFill>
        </w:rPr>
        <w:t>南宁市本级</w:t>
      </w:r>
    </w:p>
    <w:p w14:paraId="7063F53D">
      <w:pPr>
        <w:pStyle w:val="17"/>
        <w:keepNext w:val="0"/>
        <w:keepLines w:val="0"/>
        <w:pageBreakBefore w:val="0"/>
        <w:widowControl w:val="0"/>
        <w:kinsoku/>
        <w:wordWrap/>
        <w:overflowPunct/>
        <w:topLinePunct w:val="0"/>
        <w:autoSpaceDE/>
        <w:autoSpaceDN/>
        <w:bidi w:val="0"/>
        <w:adjustRightInd/>
        <w:snapToGrid w:val="0"/>
        <w:spacing w:line="360" w:lineRule="auto"/>
        <w:ind w:firstLine="859" w:firstLineChars="300"/>
        <w:textAlignment w:val="auto"/>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 购 人：</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南宁市第一看守所</w:t>
      </w:r>
    </w:p>
    <w:p w14:paraId="3EA662C9">
      <w:pPr>
        <w:pStyle w:val="17"/>
        <w:keepNext w:val="0"/>
        <w:keepLines w:val="0"/>
        <w:pageBreakBefore w:val="0"/>
        <w:widowControl w:val="0"/>
        <w:kinsoku/>
        <w:wordWrap/>
        <w:overflowPunct/>
        <w:topLinePunct w:val="0"/>
        <w:autoSpaceDE/>
        <w:autoSpaceDN/>
        <w:bidi w:val="0"/>
        <w:adjustRightInd/>
        <w:snapToGrid w:val="0"/>
        <w:spacing w:line="360" w:lineRule="auto"/>
        <w:ind w:firstLine="859" w:firstLineChars="300"/>
        <w:textAlignment w:val="auto"/>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广西建通工程咨询有限责任公司</w:t>
      </w:r>
    </w:p>
    <w:p w14:paraId="19CDA29A">
      <w:pPr>
        <w:spacing w:line="360" w:lineRule="auto"/>
        <w:jc w:val="center"/>
        <w:rPr>
          <w:rFonts w:hint="eastAsia" w:ascii="仿宋_GB2312" w:hAnsi="宋体" w:eastAsia="仿宋_GB2312"/>
          <w:b/>
          <w:color w:val="000000" w:themeColor="text1"/>
          <w:sz w:val="32"/>
          <w:szCs w:val="32"/>
          <w:highlight w:val="none"/>
          <w14:textFill>
            <w14:solidFill>
              <w14:schemeClr w14:val="tx1"/>
            </w14:solidFill>
          </w14:textFill>
        </w:rPr>
      </w:pPr>
    </w:p>
    <w:p w14:paraId="5C4E5A8A">
      <w:pPr>
        <w:spacing w:line="360" w:lineRule="auto"/>
        <w:jc w:val="center"/>
        <w:rPr>
          <w:rFonts w:hint="eastAsia"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lang w:val="en-US" w:eastAsia="zh-CN"/>
          <w14:textFill>
            <w14:solidFill>
              <w14:schemeClr w14:val="tx1"/>
            </w14:solidFill>
          </w14:textFill>
        </w:rPr>
        <w:t>2026</w:t>
      </w:r>
      <w:r>
        <w:rPr>
          <w:rFonts w:hint="eastAsia" w:ascii="仿宋_GB2312" w:hAnsi="宋体" w:eastAsia="仿宋_GB2312"/>
          <w:b/>
          <w:color w:val="000000" w:themeColor="text1"/>
          <w:sz w:val="32"/>
          <w:szCs w:val="32"/>
          <w:highlight w:val="none"/>
          <w14:textFill>
            <w14:solidFill>
              <w14:schemeClr w14:val="tx1"/>
            </w14:solidFill>
          </w14:textFill>
        </w:rPr>
        <w:t>年</w:t>
      </w:r>
      <w:r>
        <w:rPr>
          <w:rFonts w:hint="eastAsia" w:ascii="仿宋_GB2312" w:hAnsi="宋体" w:eastAsia="仿宋_GB2312"/>
          <w:b/>
          <w:color w:val="000000" w:themeColor="text1"/>
          <w:sz w:val="32"/>
          <w:szCs w:val="32"/>
          <w:highlight w:val="none"/>
          <w:lang w:val="en-US" w:eastAsia="zh-CN"/>
          <w14:textFill>
            <w14:solidFill>
              <w14:schemeClr w14:val="tx1"/>
            </w14:solidFill>
          </w14:textFill>
        </w:rPr>
        <w:t>5</w:t>
      </w:r>
      <w:r>
        <w:rPr>
          <w:rFonts w:hint="eastAsia" w:ascii="仿宋_GB2312" w:hAnsi="宋体" w:eastAsia="仿宋_GB2312"/>
          <w:b/>
          <w:color w:val="000000" w:themeColor="text1"/>
          <w:sz w:val="32"/>
          <w:szCs w:val="32"/>
          <w:highlight w:val="none"/>
          <w14:textFill>
            <w14:solidFill>
              <w14:schemeClr w14:val="tx1"/>
            </w14:solidFill>
          </w14:textFill>
        </w:rPr>
        <w:t>月</w:t>
      </w:r>
      <w:r>
        <w:rPr>
          <w:rFonts w:hint="eastAsia" w:ascii="仿宋_GB2312" w:hAnsi="宋体" w:eastAsia="仿宋_GB2312"/>
          <w:b/>
          <w:color w:val="000000" w:themeColor="text1"/>
          <w:sz w:val="32"/>
          <w:szCs w:val="32"/>
          <w:highlight w:val="none"/>
          <w:lang w:val="en-US" w:eastAsia="zh-CN"/>
          <w14:textFill>
            <w14:solidFill>
              <w14:schemeClr w14:val="tx1"/>
            </w14:solidFill>
          </w14:textFill>
        </w:rPr>
        <w:t>28</w:t>
      </w:r>
      <w:r>
        <w:rPr>
          <w:rFonts w:hint="eastAsia" w:ascii="仿宋_GB2312" w:hAnsi="宋体" w:eastAsia="仿宋_GB2312"/>
          <w:b/>
          <w:color w:val="000000" w:themeColor="text1"/>
          <w:sz w:val="32"/>
          <w:szCs w:val="32"/>
          <w:highlight w:val="none"/>
          <w14:textFill>
            <w14:solidFill>
              <w14:schemeClr w14:val="tx1"/>
            </w14:solidFill>
          </w14:textFill>
        </w:rPr>
        <w:t>日</w:t>
      </w:r>
    </w:p>
    <w:p w14:paraId="18A9238C">
      <w:pPr>
        <w:spacing w:line="360" w:lineRule="auto"/>
        <w:jc w:val="center"/>
        <w:rPr>
          <w:rFonts w:hint="eastAsia" w:ascii="宋体" w:hAnsi="宋体"/>
          <w:b/>
          <w:color w:val="000000" w:themeColor="text1"/>
          <w:sz w:val="44"/>
          <w:szCs w:val="44"/>
          <w:highlight w:val="none"/>
          <w14:textFill>
            <w14:solidFill>
              <w14:schemeClr w14:val="tx1"/>
            </w14:solidFill>
          </w14:textFill>
        </w:rPr>
        <w:sectPr>
          <w:headerReference r:id="rId3" w:type="default"/>
          <w:pgSz w:w="11906" w:h="16838"/>
          <w:pgMar w:top="1440" w:right="1080" w:bottom="1440" w:left="1080" w:header="851" w:footer="992" w:gutter="0"/>
          <w:pgNumType w:start="0"/>
          <w:cols w:space="720" w:num="1"/>
          <w:docGrid w:type="lines" w:linePitch="312" w:charSpace="0"/>
        </w:sectPr>
      </w:pPr>
    </w:p>
    <w:p w14:paraId="3863874C">
      <w:pPr>
        <w:spacing w:line="360" w:lineRule="auto"/>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   录</w:t>
      </w:r>
    </w:p>
    <w:p w14:paraId="766EBF8D">
      <w:pPr>
        <w:spacing w:line="400" w:lineRule="exact"/>
        <w:jc w:val="center"/>
        <w:rPr>
          <w:rFonts w:hint="eastAsia" w:ascii="宋体" w:hAnsi="宋体"/>
          <w:b/>
          <w:color w:val="000000" w:themeColor="text1"/>
          <w:sz w:val="44"/>
          <w:szCs w:val="44"/>
          <w:highlight w:val="none"/>
          <w14:textFill>
            <w14:solidFill>
              <w14:schemeClr w14:val="tx1"/>
            </w14:solidFill>
          </w14:textFill>
        </w:rPr>
      </w:pPr>
    </w:p>
    <w:p w14:paraId="0ADE3680">
      <w:pPr>
        <w:pStyle w:val="22"/>
        <w:tabs>
          <w:tab w:val="right" w:leader="dot" w:pos="8879"/>
        </w:tabs>
        <w:rPr>
          <w:color w:val="000000" w:themeColor="text1"/>
          <w:highlight w:val="none"/>
          <w14:textFill>
            <w14:solidFill>
              <w14:schemeClr w14:val="tx1"/>
            </w14:solidFill>
          </w14:textFill>
        </w:rPr>
      </w:pPr>
      <w:r>
        <w:rPr>
          <w:rStyle w:val="35"/>
          <w:rFonts w:hint="eastAsia"/>
          <w:color w:val="000000" w:themeColor="text1"/>
          <w:highlight w:val="none"/>
          <w14:textFill>
            <w14:solidFill>
              <w14:schemeClr w14:val="tx1"/>
            </w14:solidFill>
          </w14:textFill>
        </w:rPr>
        <w:fldChar w:fldCharType="begin"/>
      </w:r>
      <w:r>
        <w:rPr>
          <w:rStyle w:val="35"/>
          <w:rFonts w:hint="eastAsia"/>
          <w:color w:val="000000" w:themeColor="text1"/>
          <w:highlight w:val="none"/>
          <w14:textFill>
            <w14:solidFill>
              <w14:schemeClr w14:val="tx1"/>
            </w14:solidFill>
          </w14:textFill>
        </w:rPr>
        <w:instrText xml:space="preserve"> TOC \o "1-3" \h \z \u </w:instrText>
      </w:r>
      <w:r>
        <w:rPr>
          <w:rStyle w:val="35"/>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_Toc19259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竞争性谈判公告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_Toc19259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282F97F">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_Toc26989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Cambria" w:hAnsi="Cambria"/>
          <w:bCs w:val="0"/>
          <w:color w:val="000000" w:themeColor="text1"/>
          <w:szCs w:val="32"/>
          <w:highlight w:val="none"/>
          <w14:textFill>
            <w14:solidFill>
              <w14:schemeClr w14:val="tx1"/>
            </w14:solidFill>
          </w14:textFill>
        </w:rPr>
        <w:t>第二章</w:t>
      </w:r>
      <w:r>
        <w:rPr>
          <w:rFonts w:ascii="Cambria" w:hAnsi="Cambria"/>
          <w:bCs w:val="0"/>
          <w:color w:val="000000" w:themeColor="text1"/>
          <w:szCs w:val="32"/>
          <w:highlight w:val="none"/>
          <w14:textFill>
            <w14:solidFill>
              <w14:schemeClr w14:val="tx1"/>
            </w14:solidFill>
          </w14:textFill>
        </w:rPr>
        <w:t xml:space="preserve"> </w:t>
      </w:r>
      <w:r>
        <w:rPr>
          <w:rFonts w:hint="eastAsia" w:ascii="Cambria" w:hAnsi="Cambria"/>
          <w:bCs w:val="0"/>
          <w:color w:val="000000" w:themeColor="text1"/>
          <w:szCs w:val="32"/>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2B6E310">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_Toc12288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Cambria" w:hAnsi="Cambria"/>
          <w:bCs w:val="0"/>
          <w:color w:val="000000" w:themeColor="text1"/>
          <w:szCs w:val="32"/>
          <w:highlight w:val="none"/>
          <w14:textFill>
            <w14:solidFill>
              <w14:schemeClr w14:val="tx1"/>
            </w14:solidFill>
          </w14:textFill>
        </w:rPr>
        <w:t>第三章</w:t>
      </w:r>
      <w:r>
        <w:rPr>
          <w:rFonts w:ascii="Cambria" w:hAnsi="Cambria"/>
          <w:bCs w:val="0"/>
          <w:color w:val="000000" w:themeColor="text1"/>
          <w:szCs w:val="32"/>
          <w:highlight w:val="none"/>
          <w14:textFill>
            <w14:solidFill>
              <w14:schemeClr w14:val="tx1"/>
            </w14:solidFill>
          </w14:textFill>
        </w:rPr>
        <w:t xml:space="preserve"> </w:t>
      </w:r>
      <w:r>
        <w:rPr>
          <w:rFonts w:hint="eastAsia" w:ascii="Cambria" w:hAnsi="Cambria"/>
          <w:bCs w:val="0"/>
          <w:color w:val="000000" w:themeColor="text1"/>
          <w:szCs w:val="32"/>
          <w:highlight w:val="none"/>
          <w14:textFill>
            <w14:solidFill>
              <w14:schemeClr w14:val="tx1"/>
            </w14:solidFill>
          </w14:textFill>
        </w:rPr>
        <w:t>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CF8CA98">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_Toc10368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第一节 供应商须知前附表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1A79264B">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_Toc2888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第二节 供应商须知正文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0F6B6B1">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_Toc11076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147C1C28">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_Toc10951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二、谈判文件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16D68FA9">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_Toc9356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三、响应文件的编制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_Toc9356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15D81584">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_Toc19009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四、评审及谈判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E40ED29">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_Toc27715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五、成交及合同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_Toc27715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4792A6E3">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_Toc10317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六、验收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52FAF0F7">
      <w:pPr>
        <w:pStyle w:val="16"/>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_Toc15281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七、其他事项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_Toc15281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63B214F9">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_Toc25073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评审程序、评审方法和成交标准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AB53C7B">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_Toc26905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第一节 评审程序和评审方法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61087817">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_Toc21591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第二节 评审原则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34E19388">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_Toc1326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第三节 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6ECB79E9">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_Toc31977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第四节 评审过程的保密与录像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_Toc31977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0B59D85D">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_Toc4389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响应文件格式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_Toc4389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0490BDC0">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_Toc21402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第一节 封面格式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0E3872A4">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_Toc31349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color w:val="000000" w:themeColor="text1"/>
          <w:szCs w:val="32"/>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_Toc31349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2B262736">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_Toc14371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 xml:space="preserve">第三节 </w:t>
      </w:r>
      <w:r>
        <w:rPr>
          <w:rFonts w:hint="eastAsia" w:ascii="宋体" w:hAnsi="宋体"/>
          <w:color w:val="000000" w:themeColor="text1"/>
          <w:highlight w:val="none"/>
          <w14:textFill>
            <w14:solidFill>
              <w14:schemeClr w14:val="tx1"/>
            </w14:solidFill>
          </w14:textFill>
        </w:rPr>
        <w:t>商务技术文件格式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61F06A02">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_Toc12680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第四节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_Toc12680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20C3E399">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_Toc4733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第五节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_Toc4733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089B1318">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_Toc6879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第六章  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_Toc6879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0CD4FAF0">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_Toc2021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第一部分 合同书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3CB47310">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_Toc22143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第二部分 合同一般条款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_Toc22143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166884AA">
      <w:pPr>
        <w:pStyle w:val="24"/>
        <w:tabs>
          <w:tab w:val="right" w:leader="dot" w:pos="8879"/>
          <w:tab w:val="clear" w:pos="8296"/>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_Toc28961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第三部分  合同专用条款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_Toc28961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83</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7E78EE88">
      <w:pPr>
        <w:pStyle w:val="22"/>
        <w:tabs>
          <w:tab w:val="right" w:leader="dot" w:pos="8879"/>
        </w:tabs>
        <w:rPr>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begin"/>
      </w:r>
      <w:r>
        <w:rPr>
          <w:rFonts w:hint="eastAsia" w:ascii="Times New Roman" w:hAnsi="Times New Roman"/>
          <w:color w:val="000000" w:themeColor="text1"/>
          <w:highlight w:val="none"/>
          <w14:textFill>
            <w14:solidFill>
              <w14:schemeClr w14:val="tx1"/>
            </w14:solidFill>
          </w14:textFill>
        </w:rPr>
        <w:instrText xml:space="preserve"> HYPERLINK \l _Toc30623 </w:instrText>
      </w:r>
      <w:r>
        <w:rPr>
          <w:rFonts w:hint="eastAsia" w:ascii="Times New Roman" w:hAnsi="Times New Roman"/>
          <w:color w:val="000000" w:themeColor="text1"/>
          <w:highlight w:val="none"/>
          <w14:textFill>
            <w14:solidFill>
              <w14:schemeClr w14:val="tx1"/>
            </w14:solidFill>
          </w14:textFill>
        </w:rPr>
        <w:fldChar w:fldCharType="separate"/>
      </w:r>
      <w:r>
        <w:rPr>
          <w:rFonts w:hint="eastAsia" w:ascii="宋体" w:hAnsi="宋体" w:cs="仿宋_GB2312"/>
          <w:color w:val="000000" w:themeColor="text1"/>
          <w:highlight w:val="none"/>
          <w14:textFill>
            <w14:solidFill>
              <w14:schemeClr w14:val="tx1"/>
            </w14:solidFill>
          </w14:textFill>
        </w:rPr>
        <w:t>第七章 质疑、投诉材料格式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_Toc30623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14:textFill>
            <w14:solidFill>
              <w14:schemeClr w14:val="tx1"/>
            </w14:solidFill>
          </w14:textFill>
        </w:rPr>
        <w:fldChar w:fldCharType="end"/>
      </w:r>
    </w:p>
    <w:p w14:paraId="4A7F68C7">
      <w:pPr>
        <w:pStyle w:val="25"/>
        <w:tabs>
          <w:tab w:val="right" w:leader="dot" w:pos="8869"/>
        </w:tabs>
        <w:rPr>
          <w:rStyle w:val="35"/>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fldChar w:fldCharType="end"/>
      </w:r>
    </w:p>
    <w:p w14:paraId="35F299B1">
      <w:pPr>
        <w:spacing w:line="400" w:lineRule="exact"/>
        <w:jc w:val="left"/>
        <w:rPr>
          <w:rFonts w:ascii="宋体" w:hAnsi="宋体"/>
          <w:b/>
          <w:color w:val="000000" w:themeColor="text1"/>
          <w:sz w:val="32"/>
          <w:szCs w:val="32"/>
          <w:highlight w:val="none"/>
          <w14:textFill>
            <w14:solidFill>
              <w14:schemeClr w14:val="tx1"/>
            </w14:solidFill>
          </w14:textFill>
        </w:rPr>
      </w:pPr>
    </w:p>
    <w:p w14:paraId="05C58594">
      <w:pPr>
        <w:spacing w:line="400" w:lineRule="exact"/>
        <w:jc w:val="center"/>
        <w:rPr>
          <w:rFonts w:hint="eastAsia" w:ascii="宋体" w:hAnsi="宋体"/>
          <w:b/>
          <w:color w:val="000000" w:themeColor="text1"/>
          <w:sz w:val="32"/>
          <w:szCs w:val="32"/>
          <w:highlight w:val="none"/>
          <w14:textFill>
            <w14:solidFill>
              <w14:schemeClr w14:val="tx1"/>
            </w14:solidFill>
          </w14:textFill>
        </w:rPr>
      </w:pPr>
    </w:p>
    <w:p w14:paraId="6747B039">
      <w:pPr>
        <w:spacing w:line="400" w:lineRule="exact"/>
        <w:jc w:val="center"/>
        <w:rPr>
          <w:rFonts w:hint="eastAsia" w:ascii="宋体" w:hAnsi="宋体"/>
          <w:b/>
          <w:color w:val="000000" w:themeColor="text1"/>
          <w:sz w:val="32"/>
          <w:szCs w:val="32"/>
          <w:highlight w:val="none"/>
          <w14:textFill>
            <w14:solidFill>
              <w14:schemeClr w14:val="tx1"/>
            </w14:solidFill>
          </w14:textFill>
        </w:rPr>
      </w:pPr>
    </w:p>
    <w:p w14:paraId="51A2C5BC">
      <w:pPr>
        <w:spacing w:line="400" w:lineRule="exact"/>
        <w:jc w:val="center"/>
        <w:rPr>
          <w:rFonts w:hint="eastAsia" w:ascii="宋体" w:hAnsi="宋体"/>
          <w:b/>
          <w:color w:val="000000" w:themeColor="text1"/>
          <w:sz w:val="32"/>
          <w:szCs w:val="32"/>
          <w:highlight w:val="none"/>
          <w14:textFill>
            <w14:solidFill>
              <w14:schemeClr w14:val="tx1"/>
            </w14:solidFill>
          </w14:textFill>
        </w:rPr>
      </w:pPr>
    </w:p>
    <w:p w14:paraId="592D6DD1">
      <w:pPr>
        <w:spacing w:line="400" w:lineRule="exact"/>
        <w:jc w:val="center"/>
        <w:rPr>
          <w:rFonts w:hint="eastAsia" w:ascii="宋体" w:hAnsi="宋体"/>
          <w:b/>
          <w:color w:val="000000" w:themeColor="text1"/>
          <w:sz w:val="32"/>
          <w:szCs w:val="32"/>
          <w:highlight w:val="none"/>
          <w14:textFill>
            <w14:solidFill>
              <w14:schemeClr w14:val="tx1"/>
            </w14:solidFill>
          </w14:textFill>
        </w:rPr>
      </w:pPr>
    </w:p>
    <w:p w14:paraId="76D50D10">
      <w:pPr>
        <w:widowControl/>
        <w:jc w:val="left"/>
        <w:rPr>
          <w:rFonts w:ascii="宋体" w:hAnsi="宋体"/>
          <w:b/>
          <w:color w:val="000000" w:themeColor="text1"/>
          <w:sz w:val="32"/>
          <w:szCs w:val="32"/>
          <w:highlight w:val="none"/>
          <w14:textFill>
            <w14:solidFill>
              <w14:schemeClr w14:val="tx1"/>
            </w14:solidFill>
          </w14:textFill>
        </w:rPr>
        <w:sectPr>
          <w:footerReference r:id="rId4" w:type="default"/>
          <w:pgSz w:w="11906" w:h="16838"/>
          <w:pgMar w:top="1440" w:right="1080" w:bottom="1440" w:left="1080" w:header="851" w:footer="850" w:gutter="0"/>
          <w:pgNumType w:fmt="decimal" w:start="1"/>
          <w:cols w:space="720" w:num="1"/>
          <w:docGrid w:type="lines" w:linePitch="312" w:charSpace="0"/>
        </w:sectPr>
      </w:pPr>
    </w:p>
    <w:p w14:paraId="358ED3D4">
      <w:pPr>
        <w:pStyle w:val="2"/>
        <w:keepNext/>
        <w:keepLines/>
        <w:pageBreakBefore w:val="0"/>
        <w:widowControl w:val="0"/>
        <w:kinsoku/>
        <w:wordWrap/>
        <w:overflowPunct/>
        <w:topLinePunct w:val="0"/>
        <w:autoSpaceDE/>
        <w:autoSpaceDN/>
        <w:bidi w:val="0"/>
        <w:adjustRightInd/>
        <w:snapToGrid/>
        <w:spacing w:before="0" w:line="500" w:lineRule="exact"/>
        <w:jc w:val="center"/>
        <w:textAlignment w:val="auto"/>
        <w:rPr>
          <w:color w:val="000000" w:themeColor="text1"/>
          <w:highlight w:val="none"/>
          <w14:textFill>
            <w14:solidFill>
              <w14:schemeClr w14:val="tx1"/>
            </w14:solidFill>
          </w14:textFill>
        </w:rPr>
      </w:pPr>
      <w:bookmarkStart w:id="0" w:name="_Toc19259"/>
      <w:r>
        <w:rPr>
          <w:rFonts w:hint="eastAsia"/>
          <w:color w:val="000000" w:themeColor="text1"/>
          <w:highlight w:val="none"/>
          <w14:textFill>
            <w14:solidFill>
              <w14:schemeClr w14:val="tx1"/>
            </w14:solidFill>
          </w14:textFill>
        </w:rPr>
        <w:t>第一章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竞争性谈判公告</w:t>
      </w:r>
      <w:bookmarkEnd w:id="0"/>
      <w:bookmarkStart w:id="1" w:name="_Toc44229878"/>
      <w:bookmarkStart w:id="2" w:name="_Toc28359089"/>
      <w:bookmarkStart w:id="3" w:name="_Toc35393629"/>
      <w:bookmarkStart w:id="4" w:name="_Toc28359012"/>
      <w:bookmarkStart w:id="5" w:name="_Toc35393798"/>
      <w:bookmarkStart w:id="6" w:name="_Toc35393623"/>
      <w:bookmarkStart w:id="7" w:name="_Toc35393792"/>
      <w:bookmarkStart w:id="8" w:name="_Toc28359004"/>
      <w:bookmarkStart w:id="9" w:name="_Toc28359081"/>
    </w:p>
    <w:p w14:paraId="453EB7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inline distT="0" distB="0" distL="114300" distR="114300">
                <wp:extent cx="5909310" cy="1216660"/>
                <wp:effectExtent l="0" t="0" r="15240" b="2540"/>
                <wp:docPr id="1" name="文本框 101"/>
                <wp:cNvGraphicFramePr/>
                <a:graphic xmlns:a="http://schemas.openxmlformats.org/drawingml/2006/main">
                  <a:graphicData uri="http://schemas.microsoft.com/office/word/2010/wordprocessingShape">
                    <wps:wsp>
                      <wps:cNvSpPr txBox="1"/>
                      <wps:spPr>
                        <a:xfrm>
                          <a:off x="0" y="0"/>
                          <a:ext cx="5909310" cy="1216660"/>
                        </a:xfrm>
                        <a:prstGeom prst="rect">
                          <a:avLst/>
                        </a:prstGeom>
                        <a:solidFill>
                          <a:srgbClr val="FFFFFF"/>
                        </a:solidFill>
                        <a:ln>
                          <a:noFill/>
                        </a:ln>
                        <a:effectLst/>
                      </wps:spPr>
                      <wps:txbx>
                        <w:txbxContent>
                          <w:p w14:paraId="458B1265">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项目概况</w:t>
                            </w:r>
                          </w:p>
                          <w:p w14:paraId="2DF1D7C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bidi w:val="0"/>
                              <w:adjustRightInd/>
                              <w:snapToGrid/>
                              <w:spacing w:line="360" w:lineRule="auto"/>
                              <w:ind w:firstLine="420" w:firstLineChars="200"/>
                              <w:textAlignment w:val="auto"/>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南宁市第一看守所2026年度在押人员伙房伙食灶醇基液体燃料采购</w:t>
                            </w:r>
                            <w:r>
                              <w:rPr>
                                <w:rFonts w:hint="eastAsia" w:ascii="宋体" w:hAnsi="宋体"/>
                                <w:color w:val="000000" w:themeColor="text1"/>
                                <w:szCs w:val="21"/>
                                <w:highlight w:val="none"/>
                                <w14:textFill>
                                  <w14:solidFill>
                                    <w14:schemeClr w14:val="tx1"/>
                                  </w14:solidFill>
                                </w14:textFill>
                              </w:rPr>
                              <w:t>项目的潜在供应商应在广西政府采购云</w:t>
                            </w:r>
                            <w:r>
                              <w:rPr>
                                <w:rFonts w:hint="eastAsia" w:ascii="宋体" w:hAnsi="宋体" w:eastAsia="宋体" w:cs="Times New Roman"/>
                                <w:color w:val="000000" w:themeColor="text1"/>
                                <w:szCs w:val="21"/>
                                <w:highlight w:val="none"/>
                                <w14:textFill>
                                  <w14:solidFill>
                                    <w14:schemeClr w14:val="tx1"/>
                                  </w14:solidFill>
                                </w14:textFill>
                              </w:rPr>
                              <w:t>平台（https://www.gcy.zfcg.gxzf.gov.cn/）获取（下载）竞争性谈判文件</w:t>
                            </w:r>
                            <w:r>
                              <w:rPr>
                                <w:rFonts w:hint="eastAsia" w:ascii="宋体" w:hAnsi="宋体"/>
                                <w:color w:val="000000" w:themeColor="text1"/>
                                <w:szCs w:val="21"/>
                                <w:highlight w:val="none"/>
                                <w14:textFill>
                                  <w14:solidFill>
                                    <w14:schemeClr w14:val="tx1"/>
                                  </w14:solidFill>
                                </w14:textFill>
                              </w:rPr>
                              <w:t>，并于</w:t>
                            </w:r>
                            <w:bookmarkStart w:id="237" w:name="PO_3000001871_PM015"/>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u w:val="single"/>
                                <w:lang w:eastAsia="zh-CN"/>
                                <w14:textFill>
                                  <w14:solidFill>
                                    <w14:schemeClr w14:val="tx1"/>
                                  </w14:solidFill>
                                </w14:textFill>
                              </w:rPr>
                              <w:t>202</w:t>
                            </w:r>
                            <w:r>
                              <w:rPr>
                                <w:rFonts w:hint="eastAsia" w:ascii="宋体" w:hAnsi="宋体"/>
                                <w:color w:val="000000" w:themeColor="text1"/>
                                <w:szCs w:val="21"/>
                                <w:highlight w:val="none"/>
                                <w:u w:val="single"/>
                                <w:lang w:val="en-US" w:eastAsia="zh-CN"/>
                                <w14:textFill>
                                  <w14:solidFill>
                                    <w14:schemeClr w14:val="tx1"/>
                                  </w14:solidFill>
                                </w14:textFill>
                              </w:rPr>
                              <w:t>6年6月4日</w:t>
                            </w:r>
                            <w:r>
                              <w:rPr>
                                <w:rFonts w:hint="eastAsia" w:ascii="宋体" w:hAnsi="宋体"/>
                                <w:color w:val="000000" w:themeColor="text1"/>
                                <w:szCs w:val="21"/>
                                <w:highlight w:val="none"/>
                                <w:u w:val="single"/>
                                <w:lang w:eastAsia="zh-CN"/>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lang w:eastAsia="zh-CN"/>
                                <w14:textFill>
                                  <w14:solidFill>
                                    <w14:schemeClr w14:val="tx1"/>
                                  </w14:solidFill>
                                </w14:textFill>
                              </w:rPr>
                              <w:t>0:00</w:t>
                            </w:r>
                            <w:bookmarkEnd w:id="237"/>
                            <w:r>
                              <w:rPr>
                                <w:rFonts w:hint="eastAsia" w:ascii="宋体" w:hAnsi="宋体"/>
                                <w:bCs/>
                                <w:color w:val="000000" w:themeColor="text1"/>
                                <w:szCs w:val="21"/>
                                <w:highlight w:val="none"/>
                                <w14:textFill>
                                  <w14:solidFill>
                                    <w14:schemeClr w14:val="tx1"/>
                                  </w14:solidFill>
                                </w14:textFill>
                              </w:rPr>
                              <w:t>（北京时间）前提交响应文件</w:t>
                            </w:r>
                            <w:r>
                              <w:rPr>
                                <w:rFonts w:hint="eastAsia" w:ascii="宋体" w:hAnsi="宋体"/>
                                <w:color w:val="000000" w:themeColor="text1"/>
                                <w:szCs w:val="21"/>
                                <w:highlight w:val="none"/>
                                <w14:textFill>
                                  <w14:solidFill>
                                    <w14:schemeClr w14:val="tx1"/>
                                  </w14:solidFill>
                                </w14:textFill>
                              </w:rPr>
                              <w:t>。</w:t>
                            </w:r>
                          </w:p>
                        </w:txbxContent>
                      </wps:txbx>
                      <wps:bodyPr wrap="square" upright="1"/>
                    </wps:wsp>
                  </a:graphicData>
                </a:graphic>
              </wp:inline>
            </w:drawing>
          </mc:Choice>
          <mc:Fallback>
            <w:pict>
              <v:shape id="文本框 101" o:spid="_x0000_s1026" o:spt="202" type="#_x0000_t202" style="height:95.8pt;width:465.3pt;" fillcolor="#FFFFFF" filled="t" stroked="f" coordsize="21600,21600" o:gfxdata="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ibPPNQAAAAFAQAADwAAAAAAAAABACAAAAAiAAAA&#10;ZHJzL2Rvd25yZXYueG1sUEsBAhQAFAAAAAgAh07iQGzjlRnSAQAAlgMAAA4AAAAAAAAAAQAgAAAA&#10;IwEAAGRycy9lMm9Eb2MueG1sUEsFBgAAAAAGAAYAWQEAAGcFAAAAAA==&#10;">
                <v:fill on="t" focussize="0,0"/>
                <v:stroke on="f"/>
                <v:imagedata o:title=""/>
                <o:lock v:ext="edit" aspectratio="f"/>
                <v:textbox>
                  <w:txbxContent>
                    <w:p w14:paraId="458B1265">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项目概况</w:t>
                      </w:r>
                    </w:p>
                    <w:p w14:paraId="2DF1D7C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bidi w:val="0"/>
                        <w:adjustRightInd/>
                        <w:snapToGrid/>
                        <w:spacing w:line="360" w:lineRule="auto"/>
                        <w:ind w:firstLine="420" w:firstLineChars="200"/>
                        <w:textAlignment w:val="auto"/>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南宁市第一看守所2026年度在押人员伙房伙食灶醇基液体燃料采购</w:t>
                      </w:r>
                      <w:r>
                        <w:rPr>
                          <w:rFonts w:hint="eastAsia" w:ascii="宋体" w:hAnsi="宋体"/>
                          <w:color w:val="000000" w:themeColor="text1"/>
                          <w:szCs w:val="21"/>
                          <w:highlight w:val="none"/>
                          <w14:textFill>
                            <w14:solidFill>
                              <w14:schemeClr w14:val="tx1"/>
                            </w14:solidFill>
                          </w14:textFill>
                        </w:rPr>
                        <w:t>项目的潜在供应商应在广西政府采购云</w:t>
                      </w:r>
                      <w:r>
                        <w:rPr>
                          <w:rFonts w:hint="eastAsia" w:ascii="宋体" w:hAnsi="宋体" w:eastAsia="宋体" w:cs="Times New Roman"/>
                          <w:color w:val="000000" w:themeColor="text1"/>
                          <w:szCs w:val="21"/>
                          <w:highlight w:val="none"/>
                          <w14:textFill>
                            <w14:solidFill>
                              <w14:schemeClr w14:val="tx1"/>
                            </w14:solidFill>
                          </w14:textFill>
                        </w:rPr>
                        <w:t>平台（https://www.gcy.zfcg.gxzf.gov.cn/）获取（下载）竞争性谈判文件</w:t>
                      </w:r>
                      <w:r>
                        <w:rPr>
                          <w:rFonts w:hint="eastAsia" w:ascii="宋体" w:hAnsi="宋体"/>
                          <w:color w:val="000000" w:themeColor="text1"/>
                          <w:szCs w:val="21"/>
                          <w:highlight w:val="none"/>
                          <w14:textFill>
                            <w14:solidFill>
                              <w14:schemeClr w14:val="tx1"/>
                            </w14:solidFill>
                          </w14:textFill>
                        </w:rPr>
                        <w:t>，并于</w:t>
                      </w:r>
                      <w:bookmarkStart w:id="237" w:name="PO_3000001871_PM015"/>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u w:val="single"/>
                          <w:lang w:eastAsia="zh-CN"/>
                          <w14:textFill>
                            <w14:solidFill>
                              <w14:schemeClr w14:val="tx1"/>
                            </w14:solidFill>
                          </w14:textFill>
                        </w:rPr>
                        <w:t>202</w:t>
                      </w:r>
                      <w:r>
                        <w:rPr>
                          <w:rFonts w:hint="eastAsia" w:ascii="宋体" w:hAnsi="宋体"/>
                          <w:color w:val="000000" w:themeColor="text1"/>
                          <w:szCs w:val="21"/>
                          <w:highlight w:val="none"/>
                          <w:u w:val="single"/>
                          <w:lang w:val="en-US" w:eastAsia="zh-CN"/>
                          <w14:textFill>
                            <w14:solidFill>
                              <w14:schemeClr w14:val="tx1"/>
                            </w14:solidFill>
                          </w14:textFill>
                        </w:rPr>
                        <w:t>6年6月4日</w:t>
                      </w:r>
                      <w:r>
                        <w:rPr>
                          <w:rFonts w:hint="eastAsia" w:ascii="宋体" w:hAnsi="宋体"/>
                          <w:color w:val="000000" w:themeColor="text1"/>
                          <w:szCs w:val="21"/>
                          <w:highlight w:val="none"/>
                          <w:u w:val="single"/>
                          <w:lang w:eastAsia="zh-CN"/>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lang w:eastAsia="zh-CN"/>
                          <w14:textFill>
                            <w14:solidFill>
                              <w14:schemeClr w14:val="tx1"/>
                            </w14:solidFill>
                          </w14:textFill>
                        </w:rPr>
                        <w:t>0:00</w:t>
                      </w:r>
                      <w:bookmarkEnd w:id="237"/>
                      <w:r>
                        <w:rPr>
                          <w:rFonts w:hint="eastAsia" w:ascii="宋体" w:hAnsi="宋体"/>
                          <w:bCs/>
                          <w:color w:val="000000" w:themeColor="text1"/>
                          <w:szCs w:val="21"/>
                          <w:highlight w:val="none"/>
                          <w14:textFill>
                            <w14:solidFill>
                              <w14:schemeClr w14:val="tx1"/>
                            </w14:solidFill>
                          </w14:textFill>
                        </w:rPr>
                        <w:t>（北京时间）前提交响应文件</w:t>
                      </w:r>
                      <w:r>
                        <w:rPr>
                          <w:rFonts w:hint="eastAsia" w:ascii="宋体" w:hAnsi="宋体"/>
                          <w:color w:val="000000" w:themeColor="text1"/>
                          <w:szCs w:val="21"/>
                          <w:highlight w:val="none"/>
                          <w14:textFill>
                            <w14:solidFill>
                              <w14:schemeClr w14:val="tx1"/>
                            </w14:solidFill>
                          </w14:textFill>
                        </w:rPr>
                        <w:t>。</w:t>
                      </w:r>
                    </w:p>
                  </w:txbxContent>
                </v:textbox>
                <w10:wrap type="none"/>
                <w10:anchorlock/>
              </v:shape>
            </w:pict>
          </mc:Fallback>
        </mc:AlternateContent>
      </w:r>
      <w:r>
        <w:rPr>
          <w:rFonts w:hint="eastAsia" w:ascii="黑体" w:hAnsi="黑体" w:eastAsia="黑体" w:cs="宋体"/>
          <w:b/>
          <w:bCs w:val="0"/>
          <w:color w:val="000000" w:themeColor="text1"/>
          <w:sz w:val="24"/>
          <w:highlight w:val="none"/>
          <w14:textFill>
            <w14:solidFill>
              <w14:schemeClr w14:val="tx1"/>
            </w14:solidFill>
          </w14:textFill>
        </w:rPr>
        <w:t>一、项目基本情况</w:t>
      </w:r>
      <w:bookmarkEnd w:id="1"/>
      <w:bookmarkEnd w:id="2"/>
      <w:bookmarkEnd w:id="3"/>
      <w:bookmarkEnd w:id="4"/>
      <w:bookmarkEnd w:id="5"/>
    </w:p>
    <w:p w14:paraId="2741BEB7">
      <w:pPr>
        <w:spacing w:line="360" w:lineRule="auto"/>
        <w:ind w:firstLine="42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项目编号：NNZC2026-J1-990351-GXJT</w:t>
      </w:r>
    </w:p>
    <w:p w14:paraId="02F85F7C">
      <w:pPr>
        <w:spacing w:line="360" w:lineRule="auto"/>
        <w:ind w:firstLine="42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采购计划文号：NNZC[2026]1386号</w:t>
      </w:r>
    </w:p>
    <w:p w14:paraId="5F421AD2">
      <w:pPr>
        <w:spacing w:line="360" w:lineRule="auto"/>
        <w:ind w:firstLine="42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项目名称：</w:t>
      </w:r>
      <w:r>
        <w:rPr>
          <w:rFonts w:hint="eastAsia" w:ascii="宋体" w:hAnsi="宋体" w:cs="Times New Roman"/>
          <w:color w:val="000000" w:themeColor="text1"/>
          <w:szCs w:val="21"/>
          <w:highlight w:val="none"/>
          <w:lang w:eastAsia="zh-CN"/>
          <w14:textFill>
            <w14:solidFill>
              <w14:schemeClr w14:val="tx1"/>
            </w14:solidFill>
          </w14:textFill>
        </w:rPr>
        <w:t>南宁市第一看守所2026年度在押人员伙房伙食灶醇基液体燃料采购</w:t>
      </w:r>
    </w:p>
    <w:p w14:paraId="5EF8B825">
      <w:pPr>
        <w:spacing w:line="360" w:lineRule="auto"/>
        <w:ind w:firstLine="42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预算金额：</w:t>
      </w:r>
      <w:r>
        <w:rPr>
          <w:rFonts w:hint="eastAsia" w:ascii="宋体" w:hAnsi="宋体" w:eastAsia="宋体" w:cs="Times New Roman"/>
          <w:color w:val="000000" w:themeColor="text1"/>
          <w:szCs w:val="21"/>
          <w:highlight w:val="none"/>
          <w:lang w:val="en-US" w:eastAsia="zh-CN"/>
          <w14:textFill>
            <w14:solidFill>
              <w14:schemeClr w14:val="tx1"/>
            </w14:solidFill>
          </w14:textFill>
        </w:rPr>
        <w:t>80</w:t>
      </w:r>
      <w:r>
        <w:rPr>
          <w:rFonts w:hint="eastAsia" w:ascii="宋体" w:hAnsi="宋体" w:eastAsia="宋体" w:cs="Times New Roman"/>
          <w:color w:val="000000" w:themeColor="text1"/>
          <w:szCs w:val="21"/>
          <w:highlight w:val="none"/>
          <w:lang w:eastAsia="zh-CN"/>
          <w14:textFill>
            <w14:solidFill>
              <w14:schemeClr w14:val="tx1"/>
            </w14:solidFill>
          </w14:textFill>
        </w:rPr>
        <w:t>万元</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eastAsia="zh-CN"/>
          <w14:textFill>
            <w14:solidFill>
              <w14:schemeClr w14:val="tx1"/>
            </w14:solidFill>
          </w14:textFill>
        </w:rPr>
        <w:t>最高限价：</w:t>
      </w:r>
      <w:r>
        <w:rPr>
          <w:rFonts w:hint="eastAsia" w:ascii="宋体" w:hAnsi="宋体" w:eastAsia="宋体" w:cs="Times New Roman"/>
          <w:color w:val="000000" w:themeColor="text1"/>
          <w:szCs w:val="21"/>
          <w:highlight w:val="none"/>
          <w:lang w:val="en-US" w:eastAsia="zh-CN"/>
          <w14:textFill>
            <w14:solidFill>
              <w14:schemeClr w14:val="tx1"/>
            </w14:solidFill>
          </w14:textFill>
        </w:rPr>
        <w:t>80</w:t>
      </w:r>
      <w:r>
        <w:rPr>
          <w:rFonts w:hint="eastAsia" w:ascii="宋体" w:hAnsi="宋体" w:eastAsia="宋体" w:cs="Times New Roman"/>
          <w:color w:val="000000" w:themeColor="text1"/>
          <w:szCs w:val="21"/>
          <w:highlight w:val="none"/>
          <w:lang w:eastAsia="zh-CN"/>
          <w14:textFill>
            <w14:solidFill>
              <w14:schemeClr w14:val="tx1"/>
            </w14:solidFill>
          </w14:textFill>
        </w:rPr>
        <w:t>万元</w:t>
      </w:r>
      <w:bookmarkStart w:id="238" w:name="_GoBack"/>
      <w:bookmarkEnd w:id="238"/>
      <w:r>
        <w:rPr>
          <w:rFonts w:hint="eastAsia" w:ascii="宋体" w:hAnsi="宋体" w:cs="Times New Roman"/>
          <w:color w:val="000000" w:themeColor="text1"/>
          <w:szCs w:val="21"/>
          <w:highlight w:val="none"/>
          <w:lang w:eastAsia="zh-CN"/>
          <w14:textFill>
            <w14:solidFill>
              <w14:schemeClr w14:val="tx1"/>
            </w14:solidFill>
          </w14:textFill>
        </w:rPr>
        <w:t>；</w:t>
      </w:r>
    </w:p>
    <w:p w14:paraId="12095C37">
      <w:pPr>
        <w:spacing w:line="360" w:lineRule="auto"/>
        <w:ind w:firstLine="420" w:firstLineChars="200"/>
        <w:rPr>
          <w:rFonts w:hint="default"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预算单价金额：3.2元/升，最高限价单价：3.2元/升。</w:t>
      </w:r>
    </w:p>
    <w:p w14:paraId="51D165C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采购需求</w:t>
      </w:r>
      <w:r>
        <w:rPr>
          <w:rFonts w:hint="eastAsia" w:ascii="宋体" w:hAnsi="宋体"/>
          <w:color w:val="000000" w:themeColor="text1"/>
          <w:szCs w:val="21"/>
          <w:highlight w:val="none"/>
          <w14:textFill>
            <w14:solidFill>
              <w14:schemeClr w14:val="tx1"/>
            </w14:solidFill>
          </w14:textFill>
        </w:rPr>
        <w:t>：</w:t>
      </w:r>
    </w:p>
    <w:tbl>
      <w:tblPr>
        <w:tblStyle w:val="29"/>
        <w:tblW w:w="94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2"/>
        <w:gridCol w:w="1199"/>
        <w:gridCol w:w="1152"/>
        <w:gridCol w:w="1303"/>
        <w:gridCol w:w="1270"/>
        <w:gridCol w:w="1227"/>
        <w:gridCol w:w="1212"/>
        <w:gridCol w:w="1591"/>
      </w:tblGrid>
      <w:tr w14:paraId="236B4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5D5C1213">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序号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E0ACDBF">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标的的</w:t>
            </w:r>
          </w:p>
          <w:p w14:paraId="58949DCD">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名称</w:t>
            </w:r>
          </w:p>
        </w:tc>
        <w:tc>
          <w:tcPr>
            <w:tcW w:w="1152" w:type="dxa"/>
            <w:tcBorders>
              <w:top w:val="single" w:color="auto" w:sz="4" w:space="0"/>
              <w:left w:val="single" w:color="auto" w:sz="4" w:space="0"/>
              <w:bottom w:val="single" w:color="auto" w:sz="4" w:space="0"/>
              <w:right w:val="single" w:color="auto" w:sz="4" w:space="0"/>
            </w:tcBorders>
            <w:noWrap w:val="0"/>
            <w:vAlign w:val="center"/>
          </w:tcPr>
          <w:p w14:paraId="52036C45">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数量及</w:t>
            </w:r>
          </w:p>
          <w:p w14:paraId="0DA58FD0">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单位</w:t>
            </w:r>
          </w:p>
        </w:tc>
        <w:tc>
          <w:tcPr>
            <w:tcW w:w="13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6707B6">
            <w:pPr>
              <w:spacing w:line="4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采购</w:t>
            </w:r>
            <w:r>
              <w:rPr>
                <w:rFonts w:hint="eastAsia" w:ascii="宋体" w:hAnsi="宋体" w:cs="宋体"/>
                <w:color w:val="000000" w:themeColor="text1"/>
                <w:szCs w:val="21"/>
                <w:highlight w:val="none"/>
                <w:lang w:val="en-US" w:eastAsia="zh-CN"/>
                <w14:textFill>
                  <w14:solidFill>
                    <w14:schemeClr w14:val="tx1"/>
                  </w14:solidFill>
                </w14:textFill>
              </w:rPr>
              <w:t>预算单价（元）</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5ABF60">
            <w:pPr>
              <w:spacing w:line="4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最高限价单价（元）</w:t>
            </w:r>
          </w:p>
        </w:tc>
        <w:tc>
          <w:tcPr>
            <w:tcW w:w="1227" w:type="dxa"/>
            <w:tcBorders>
              <w:top w:val="single" w:color="auto" w:sz="4" w:space="0"/>
              <w:left w:val="single" w:color="auto" w:sz="4" w:space="0"/>
              <w:bottom w:val="single" w:color="auto" w:sz="4" w:space="0"/>
              <w:right w:val="single" w:color="auto" w:sz="4" w:space="0"/>
            </w:tcBorders>
            <w:noWrap w:val="0"/>
            <w:vAlign w:val="center"/>
          </w:tcPr>
          <w:p w14:paraId="43E7860C">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采购预算（元）</w:t>
            </w:r>
          </w:p>
        </w:tc>
        <w:tc>
          <w:tcPr>
            <w:tcW w:w="1212" w:type="dxa"/>
            <w:tcBorders>
              <w:top w:val="single" w:color="auto" w:sz="4" w:space="0"/>
              <w:left w:val="single" w:color="auto" w:sz="4" w:space="0"/>
              <w:bottom w:val="single" w:color="auto" w:sz="4" w:space="0"/>
              <w:right w:val="single" w:color="auto" w:sz="4" w:space="0"/>
            </w:tcBorders>
            <w:noWrap w:val="0"/>
            <w:vAlign w:val="center"/>
          </w:tcPr>
          <w:p w14:paraId="343CA740">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最高限价（元）</w:t>
            </w:r>
          </w:p>
        </w:tc>
        <w:tc>
          <w:tcPr>
            <w:tcW w:w="1591" w:type="dxa"/>
            <w:tcBorders>
              <w:top w:val="single" w:color="auto" w:sz="4" w:space="0"/>
              <w:left w:val="single" w:color="auto" w:sz="4" w:space="0"/>
              <w:bottom w:val="single" w:color="auto" w:sz="4" w:space="0"/>
              <w:right w:val="single" w:color="auto" w:sz="4" w:space="0"/>
            </w:tcBorders>
            <w:noWrap w:val="0"/>
            <w:vAlign w:val="center"/>
          </w:tcPr>
          <w:p w14:paraId="32C3046F">
            <w:pPr>
              <w:spacing w:line="400" w:lineRule="exact"/>
              <w:jc w:val="center"/>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简要技术需求或者采购要求</w:t>
            </w:r>
          </w:p>
        </w:tc>
      </w:tr>
      <w:tr w14:paraId="77F4E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542" w:type="dxa"/>
            <w:tcBorders>
              <w:top w:val="single" w:color="auto" w:sz="4" w:space="0"/>
              <w:left w:val="single" w:color="auto" w:sz="4" w:space="0"/>
              <w:bottom w:val="single" w:color="auto" w:sz="4" w:space="0"/>
              <w:right w:val="single" w:color="auto" w:sz="4" w:space="0"/>
            </w:tcBorders>
            <w:noWrap w:val="0"/>
            <w:vAlign w:val="center"/>
          </w:tcPr>
          <w:p w14:paraId="3E97398E">
            <w:pPr>
              <w:snapToGrid w:val="0"/>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6951F5B">
            <w:pPr>
              <w:snapToGrid w:val="0"/>
              <w:spacing w:line="360" w:lineRule="auto"/>
              <w:jc w:val="center"/>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南宁市第一看守所2026年度在押人员伙房伙食灶醇基液体燃料采购</w:t>
            </w:r>
          </w:p>
        </w:tc>
        <w:tc>
          <w:tcPr>
            <w:tcW w:w="1152" w:type="dxa"/>
            <w:tcBorders>
              <w:top w:val="single" w:color="auto" w:sz="4" w:space="0"/>
              <w:left w:val="single" w:color="auto" w:sz="4" w:space="0"/>
              <w:bottom w:val="single" w:color="auto" w:sz="4" w:space="0"/>
              <w:right w:val="single" w:color="auto" w:sz="4" w:space="0"/>
            </w:tcBorders>
            <w:noWrap w:val="0"/>
            <w:vAlign w:val="center"/>
          </w:tcPr>
          <w:p w14:paraId="6418CA2C">
            <w:pPr>
              <w:snapToGrid w:val="0"/>
              <w:spacing w:line="36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250000升</w:t>
            </w:r>
          </w:p>
        </w:tc>
        <w:tc>
          <w:tcPr>
            <w:tcW w:w="13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3CB3E6">
            <w:pPr>
              <w:snapToGrid w:val="0"/>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3.2</w:t>
            </w:r>
            <w:r>
              <w:rPr>
                <w:rFonts w:hint="eastAsia" w:ascii="宋体" w:hAnsi="宋体"/>
                <w:color w:val="000000" w:themeColor="text1"/>
                <w:sz w:val="21"/>
                <w:szCs w:val="21"/>
                <w:highlight w:val="none"/>
                <w14:textFill>
                  <w14:solidFill>
                    <w14:schemeClr w14:val="tx1"/>
                  </w14:solidFill>
                </w14:textFill>
              </w:rPr>
              <w:t>元/</w:t>
            </w:r>
            <w:r>
              <w:rPr>
                <w:rFonts w:hint="eastAsia" w:ascii="Calibri" w:hAnsi="Calibri"/>
                <w:color w:val="000000" w:themeColor="text1"/>
                <w:kern w:val="2"/>
                <w:highlight w:val="none"/>
                <w:lang w:val="en-US" w:eastAsia="zh-CN"/>
                <w14:textFill>
                  <w14:solidFill>
                    <w14:schemeClr w14:val="tx1"/>
                  </w14:solidFill>
                </w14:textFill>
              </w:rPr>
              <w:t>升</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EDFA7F">
            <w:pPr>
              <w:snapToGrid w:val="0"/>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3.2</w:t>
            </w:r>
            <w:r>
              <w:rPr>
                <w:rFonts w:hint="eastAsia" w:ascii="宋体" w:hAnsi="宋体"/>
                <w:color w:val="000000" w:themeColor="text1"/>
                <w:sz w:val="21"/>
                <w:szCs w:val="21"/>
                <w:highlight w:val="none"/>
                <w14:textFill>
                  <w14:solidFill>
                    <w14:schemeClr w14:val="tx1"/>
                  </w14:solidFill>
                </w14:textFill>
              </w:rPr>
              <w:t>元/</w:t>
            </w:r>
            <w:r>
              <w:rPr>
                <w:rFonts w:hint="eastAsia" w:ascii="Calibri" w:hAnsi="Calibri"/>
                <w:color w:val="000000" w:themeColor="text1"/>
                <w:kern w:val="2"/>
                <w:highlight w:val="none"/>
                <w:lang w:val="en-US" w:eastAsia="zh-CN"/>
                <w14:textFill>
                  <w14:solidFill>
                    <w14:schemeClr w14:val="tx1"/>
                  </w14:solidFill>
                </w14:textFill>
              </w:rPr>
              <w:t>升</w:t>
            </w:r>
          </w:p>
        </w:tc>
        <w:tc>
          <w:tcPr>
            <w:tcW w:w="1227" w:type="dxa"/>
            <w:tcBorders>
              <w:top w:val="single" w:color="auto" w:sz="4" w:space="0"/>
              <w:left w:val="single" w:color="auto" w:sz="4" w:space="0"/>
              <w:bottom w:val="single" w:color="auto" w:sz="4" w:space="0"/>
              <w:right w:val="single" w:color="auto" w:sz="4" w:space="0"/>
            </w:tcBorders>
            <w:noWrap w:val="0"/>
            <w:vAlign w:val="center"/>
          </w:tcPr>
          <w:p w14:paraId="503D283E">
            <w:pPr>
              <w:snapToGrid w:val="0"/>
              <w:spacing w:line="36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800000.00</w:t>
            </w:r>
          </w:p>
        </w:tc>
        <w:tc>
          <w:tcPr>
            <w:tcW w:w="1212" w:type="dxa"/>
            <w:tcBorders>
              <w:top w:val="single" w:color="auto" w:sz="4" w:space="0"/>
              <w:left w:val="single" w:color="auto" w:sz="4" w:space="0"/>
              <w:bottom w:val="single" w:color="auto" w:sz="4" w:space="0"/>
              <w:right w:val="single" w:color="auto" w:sz="4" w:space="0"/>
            </w:tcBorders>
            <w:noWrap w:val="0"/>
            <w:vAlign w:val="center"/>
          </w:tcPr>
          <w:p w14:paraId="77B20F50">
            <w:pPr>
              <w:snapToGrid w:val="0"/>
              <w:spacing w:line="360" w:lineRule="auto"/>
              <w:jc w:val="center"/>
              <w:rPr>
                <w:rFonts w:hint="default"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800000.00</w:t>
            </w:r>
          </w:p>
        </w:tc>
        <w:tc>
          <w:tcPr>
            <w:tcW w:w="1591" w:type="dxa"/>
            <w:tcBorders>
              <w:top w:val="single" w:color="auto" w:sz="4" w:space="0"/>
              <w:left w:val="single" w:color="auto" w:sz="4" w:space="0"/>
              <w:bottom w:val="single" w:color="auto" w:sz="4" w:space="0"/>
              <w:right w:val="single" w:color="auto" w:sz="4" w:space="0"/>
            </w:tcBorders>
            <w:noWrap w:val="0"/>
            <w:vAlign w:val="center"/>
          </w:tcPr>
          <w:p w14:paraId="2459A1D5">
            <w:pPr>
              <w:snapToGrid w:val="0"/>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高清醇基液体燃料</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具体详见采购文件“第二章 采购需求”</w:t>
            </w:r>
            <w:r>
              <w:rPr>
                <w:rFonts w:hint="eastAsia" w:ascii="宋体" w:hAnsi="宋体" w:cs="宋体"/>
                <w:color w:val="000000" w:themeColor="text1"/>
                <w:szCs w:val="21"/>
                <w:highlight w:val="none"/>
                <w:lang w:eastAsia="zh-CN"/>
                <w14:textFill>
                  <w14:solidFill>
                    <w14:schemeClr w14:val="tx1"/>
                  </w14:solidFill>
                </w14:textFill>
              </w:rPr>
              <w:t>。</w:t>
            </w:r>
          </w:p>
        </w:tc>
      </w:tr>
    </w:tbl>
    <w:p w14:paraId="624A884F">
      <w:pPr>
        <w:keepNext w:val="0"/>
        <w:keepLines w:val="0"/>
        <w:pageBreakBefore w:val="0"/>
        <w:widowControl w:val="0"/>
        <w:kinsoku/>
        <w:wordWrap/>
        <w:overflowPunct/>
        <w:topLinePunct w:val="0"/>
        <w:autoSpaceDE/>
        <w:autoSpaceDN/>
        <w:bidi w:val="0"/>
        <w:adjustRightInd/>
        <w:snapToGrid/>
        <w:spacing w:before="0" w:beforeLines="100" w:line="360" w:lineRule="auto"/>
        <w:ind w:firstLine="420" w:firstLineChars="200"/>
        <w:textAlignment w:val="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color w:val="000000" w:themeColor="text1"/>
          <w:szCs w:val="21"/>
          <w:highlight w:val="none"/>
          <w14:textFill>
            <w14:solidFill>
              <w14:schemeClr w14:val="tx1"/>
            </w14:solidFill>
          </w14:textFill>
        </w:rPr>
        <w:t>自合同签订之日起至合同履约完毕</w:t>
      </w:r>
      <w:r>
        <w:rPr>
          <w:rFonts w:hint="eastAsia" w:ascii="宋体" w:hAnsi="宋体"/>
          <w:color w:val="000000" w:themeColor="text1"/>
          <w:szCs w:val="21"/>
          <w:highlight w:val="none"/>
          <w:lang w:eastAsia="zh-CN"/>
          <w14:textFill>
            <w14:solidFill>
              <w14:schemeClr w14:val="tx1"/>
            </w14:solidFill>
          </w14:textFill>
        </w:rPr>
        <w:t>。</w:t>
      </w:r>
    </w:p>
    <w:p w14:paraId="4113156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本项目是否接受联合体响应：□是/</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否。</w:t>
      </w:r>
    </w:p>
    <w:p w14:paraId="6F2E47E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bookmarkStart w:id="10" w:name="_Toc35393630"/>
      <w:bookmarkStart w:id="11" w:name="_Toc44229879"/>
      <w:bookmarkStart w:id="12" w:name="_Toc28359090"/>
      <w:bookmarkStart w:id="13" w:name="_Toc35393799"/>
      <w:bookmarkStart w:id="14" w:name="_Toc28359013"/>
      <w:r>
        <w:rPr>
          <w:rFonts w:hint="eastAsia" w:ascii="黑体" w:hAnsi="黑体" w:eastAsia="黑体" w:cs="宋体"/>
          <w:b/>
          <w:bCs w:val="0"/>
          <w:color w:val="000000" w:themeColor="text1"/>
          <w:sz w:val="24"/>
          <w:highlight w:val="none"/>
          <w14:textFill>
            <w14:solidFill>
              <w14:schemeClr w14:val="tx1"/>
            </w14:solidFill>
          </w14:textFill>
        </w:rPr>
        <w:t>二、供应商的资格条件</w:t>
      </w:r>
      <w:bookmarkEnd w:id="10"/>
      <w:bookmarkEnd w:id="11"/>
      <w:bookmarkEnd w:id="12"/>
      <w:bookmarkEnd w:id="13"/>
      <w:bookmarkEnd w:id="14"/>
    </w:p>
    <w:p w14:paraId="51D4F9C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643B7ACB">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2.落实政府采购政策需满足的资格要求：专门面向小微企业采购的项目（供应商竞标产品应为小型或微型企业、监狱企业、残疾人福利性单位制造)</w:t>
      </w:r>
      <w:r>
        <w:rPr>
          <w:rFonts w:hint="eastAsia" w:ascii="宋体" w:hAnsi="宋体"/>
          <w:color w:val="000000" w:themeColor="text1"/>
          <w:szCs w:val="21"/>
          <w:highlight w:val="none"/>
          <w:lang w:eastAsia="zh-CN"/>
          <w14:textFill>
            <w14:solidFill>
              <w14:schemeClr w14:val="tx1"/>
            </w14:solidFill>
          </w14:textFill>
        </w:rPr>
        <w:t>；</w:t>
      </w:r>
    </w:p>
    <w:p w14:paraId="6952B891">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r>
        <w:rPr>
          <w:rFonts w:hint="eastAsia" w:ascii="宋体" w:hAnsi="宋体"/>
          <w:color w:val="000000" w:themeColor="text1"/>
          <w:szCs w:val="21"/>
          <w:highlight w:val="none"/>
          <w:lang w:val="en-US" w:eastAsia="zh-CN"/>
          <w14:textFill>
            <w14:solidFill>
              <w14:schemeClr w14:val="tx1"/>
            </w14:solidFill>
          </w14:textFill>
        </w:rPr>
        <w:t>具备《危险化学品经营许可证》。</w:t>
      </w:r>
    </w:p>
    <w:p w14:paraId="3B3A7887">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p>
    <w:p w14:paraId="5BA02D5A">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1376A8">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7263F9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r>
        <w:rPr>
          <w:rFonts w:hint="eastAsia" w:ascii="黑体" w:hAnsi="黑体" w:eastAsia="黑体" w:cs="宋体"/>
          <w:b/>
          <w:bCs w:val="0"/>
          <w:color w:val="000000" w:themeColor="text1"/>
          <w:sz w:val="24"/>
          <w:highlight w:val="none"/>
          <w14:textFill>
            <w14:solidFill>
              <w14:schemeClr w14:val="tx1"/>
            </w14:solidFill>
          </w14:textFill>
        </w:rPr>
        <w:t>三、获取竞争性谈判文件</w:t>
      </w:r>
      <w:bookmarkEnd w:id="6"/>
      <w:bookmarkEnd w:id="7"/>
      <w:bookmarkEnd w:id="8"/>
      <w:bookmarkEnd w:id="9"/>
    </w:p>
    <w:p w14:paraId="30BDF314">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5" w:name="_Toc28359082"/>
      <w:bookmarkStart w:id="16" w:name="_Toc35393624"/>
      <w:bookmarkStart w:id="17" w:name="_Toc28359005"/>
      <w:bookmarkStart w:id="18" w:name="_Toc35393793"/>
      <w:r>
        <w:rPr>
          <w:rFonts w:hint="eastAsia" w:ascii="宋体" w:hAnsi="宋体"/>
          <w:color w:val="000000" w:themeColor="text1"/>
          <w:szCs w:val="21"/>
          <w:highlight w:val="none"/>
          <w14:textFill>
            <w14:solidFill>
              <w14:schemeClr w14:val="tx1"/>
            </w14:solidFill>
          </w14:textFill>
        </w:rPr>
        <w:t>时间：自公告发布之日起至响应文件递交截止时间止。</w:t>
      </w:r>
    </w:p>
    <w:p w14:paraId="59BD7F16">
      <w:pPr>
        <w:spacing w:line="360" w:lineRule="auto"/>
        <w:ind w:firstLine="420" w:firstLineChars="200"/>
        <w:rPr>
          <w:rFonts w:hint="eastAsia" w:ascii="黑体" w:hAnsi="黑体" w:eastAsia="黑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采购文件，供应商可自行在广西政府采购云平台（http：//www.gcy.zfcg.gxzf.gov.cn）下载采购文件（操作路径：登录广西政府采购云平台-项目采购-获取采购文件-找到本项目-点击“申请获取采购文件”），电子响应文件制作需要基于广西政府采购云平台（http：//www.gcy.zfcg.gxzf.gov.cn）获取的采购文件编制。</w:t>
      </w:r>
    </w:p>
    <w:p w14:paraId="5D6C2AA7">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3C1426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r>
        <w:rPr>
          <w:rFonts w:hint="eastAsia" w:ascii="黑体" w:hAnsi="黑体" w:eastAsia="黑体" w:cs="宋体"/>
          <w:b/>
          <w:bCs w:val="0"/>
          <w:color w:val="000000" w:themeColor="text1"/>
          <w:sz w:val="24"/>
          <w:highlight w:val="none"/>
          <w14:textFill>
            <w14:solidFill>
              <w14:schemeClr w14:val="tx1"/>
            </w14:solidFill>
          </w14:textFill>
        </w:rPr>
        <w:t>四、</w:t>
      </w:r>
      <w:bookmarkEnd w:id="15"/>
      <w:bookmarkEnd w:id="16"/>
      <w:bookmarkEnd w:id="17"/>
      <w:bookmarkEnd w:id="18"/>
      <w:r>
        <w:rPr>
          <w:rFonts w:hint="eastAsia" w:ascii="黑体" w:hAnsi="黑体" w:eastAsia="黑体" w:cs="宋体"/>
          <w:b/>
          <w:bCs w:val="0"/>
          <w:color w:val="000000" w:themeColor="text1"/>
          <w:sz w:val="24"/>
          <w:highlight w:val="none"/>
          <w14:textFill>
            <w14:solidFill>
              <w14:schemeClr w14:val="tx1"/>
            </w14:solidFill>
          </w14:textFill>
        </w:rPr>
        <w:t>响应文件提交</w:t>
      </w:r>
    </w:p>
    <w:p w14:paraId="533F8130">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首次响应文件提交截止时间</w:t>
      </w:r>
      <w:r>
        <w:rPr>
          <w:rFonts w:hint="eastAsia" w:ascii="宋体" w:hAnsi="宋体"/>
          <w:bCs/>
          <w:color w:val="000000" w:themeColor="text1"/>
          <w:szCs w:val="21"/>
          <w:highlight w:val="none"/>
          <w14:textFill>
            <w14:solidFill>
              <w14:schemeClr w14:val="tx1"/>
            </w14:solidFill>
          </w14:textFill>
        </w:rPr>
        <w:t>（北京时间）：</w:t>
      </w:r>
      <w:r>
        <w:rPr>
          <w:rFonts w:hint="eastAsia" w:ascii="宋体" w:hAnsi="宋体"/>
          <w:color w:val="000000" w:themeColor="text1"/>
          <w:szCs w:val="21"/>
          <w:highlight w:val="none"/>
          <w:u w:val="single"/>
          <w:lang w:eastAsia="zh-CN"/>
          <w14:textFill>
            <w14:solidFill>
              <w14:schemeClr w14:val="tx1"/>
            </w14:solidFill>
          </w14:textFill>
        </w:rPr>
        <w:t>202</w:t>
      </w:r>
      <w:r>
        <w:rPr>
          <w:rFonts w:hint="eastAsia" w:ascii="宋体" w:hAnsi="宋体"/>
          <w:color w:val="000000" w:themeColor="text1"/>
          <w:szCs w:val="21"/>
          <w:highlight w:val="none"/>
          <w:u w:val="single"/>
          <w:lang w:val="en-US" w:eastAsia="zh-CN"/>
          <w14:textFill>
            <w14:solidFill>
              <w14:schemeClr w14:val="tx1"/>
            </w14:solidFill>
          </w14:textFill>
        </w:rPr>
        <w:t>6年6月4日</w:t>
      </w:r>
      <w:r>
        <w:rPr>
          <w:rFonts w:hint="eastAsia" w:ascii="宋体" w:hAnsi="宋体"/>
          <w:color w:val="000000" w:themeColor="text1"/>
          <w:szCs w:val="21"/>
          <w:highlight w:val="none"/>
          <w:u w:val="single"/>
          <w:lang w:eastAsia="zh-CN"/>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lang w:eastAsia="zh-CN"/>
          <w14:textFill>
            <w14:solidFill>
              <w14:schemeClr w14:val="tx1"/>
            </w14:solidFill>
          </w14:textFill>
        </w:rPr>
        <w:t>0:00</w:t>
      </w:r>
      <w:r>
        <w:rPr>
          <w:rFonts w:hint="eastAsia" w:ascii="宋体" w:hAnsi="宋体" w:cs="宋体"/>
          <w:color w:val="000000" w:themeColor="text1"/>
          <w:szCs w:val="21"/>
          <w:highlight w:val="none"/>
          <w:u w:val="single"/>
          <w14:textFill>
            <w14:solidFill>
              <w14:schemeClr w14:val="tx1"/>
            </w14:solidFill>
          </w14:textFill>
        </w:rPr>
        <w:t>（从谈判文件开始发出之日起至供应商提交首次响应文件截止之日止不得少于3个工作日）</w:t>
      </w:r>
    </w:p>
    <w:p w14:paraId="0EFB777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首次响应文件提交地点：</w:t>
      </w:r>
    </w:p>
    <w:p w14:paraId="5FEA35CF">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文件提交方式：本项目为南宁市全流程电子化项目，通过广西政府采购云平台（http：//www.gcy.zfcg.gxzf.gov.cn）实行在线电子响应，供应商应先安装“广西政府采购云平台电子交易客户端”（请自行前往广西政府采购云平台进行下载），并按照本项目采购文件和广西政府采购云平台的要求编制、加密后在</w:t>
      </w:r>
      <w:r>
        <w:rPr>
          <w:rFonts w:hint="eastAsia" w:ascii="宋体" w:hAnsi="宋体"/>
          <w:color w:val="000000" w:themeColor="text1"/>
          <w:szCs w:val="21"/>
          <w:highlight w:val="none"/>
          <w:lang w:val="en-US" w:eastAsia="zh-CN"/>
          <w14:textFill>
            <w14:solidFill>
              <w14:schemeClr w14:val="tx1"/>
            </w14:solidFill>
          </w14:textFill>
        </w:rPr>
        <w:t>响应</w:t>
      </w:r>
      <w:r>
        <w:rPr>
          <w:rFonts w:hint="eastAsia" w:ascii="宋体" w:hAnsi="宋体"/>
          <w:color w:val="000000" w:themeColor="text1"/>
          <w:szCs w:val="21"/>
          <w:highlight w:val="none"/>
          <w14:textFill>
            <w14:solidFill>
              <w14:schemeClr w14:val="tx1"/>
            </w14:solidFill>
          </w14:textFill>
        </w:rPr>
        <w:t>截止时间前通过网络上传至广西政府采购云平台，</w:t>
      </w:r>
      <w:r>
        <w:rPr>
          <w:rFonts w:hint="eastAsia" w:ascii="宋体" w:hAnsi="宋体"/>
          <w:b/>
          <w:color w:val="000000" w:themeColor="text1"/>
          <w:szCs w:val="21"/>
          <w:highlight w:val="none"/>
          <w14:textFill>
            <w14:solidFill>
              <w14:schemeClr w14:val="tx1"/>
            </w14:solidFill>
          </w14:textFill>
        </w:rPr>
        <w:t>供应商在广西政府采购云平台提交电子版响应文件时，请填写参加远程采购活动经办人联系方式，</w:t>
      </w:r>
      <w:r>
        <w:rPr>
          <w:rFonts w:hint="eastAsia" w:ascii="宋体" w:hAnsi="宋体"/>
          <w:color w:val="000000" w:themeColor="text1"/>
          <w:szCs w:val="21"/>
          <w:highlight w:val="none"/>
          <w14:textFill>
            <w14:solidFill>
              <w14:schemeClr w14:val="tx1"/>
            </w14:solidFill>
          </w14:textFill>
        </w:rPr>
        <w:t>电子响应文件具体操作流程详见本公告</w:t>
      </w:r>
      <w:r>
        <w:rPr>
          <w:rFonts w:hint="eastAsia" w:ascii="宋体" w:hAnsi="宋体"/>
          <w:b/>
          <w:color w:val="000000" w:themeColor="text1"/>
          <w:szCs w:val="21"/>
          <w:highlight w:val="none"/>
          <w14:textFill>
            <w14:solidFill>
              <w14:schemeClr w14:val="tx1"/>
            </w14:solidFill>
          </w14:textFill>
        </w:rPr>
        <w:t>附件3</w:t>
      </w:r>
      <w:r>
        <w:rPr>
          <w:rFonts w:hint="eastAsia" w:ascii="宋体" w:hAnsi="宋体"/>
          <w:color w:val="000000" w:themeColor="text1"/>
          <w:szCs w:val="21"/>
          <w:highlight w:val="none"/>
          <w14:textFill>
            <w14:solidFill>
              <w14:schemeClr w14:val="tx1"/>
            </w14:solidFill>
          </w14:textFill>
        </w:rPr>
        <w:t>。</w:t>
      </w:r>
    </w:p>
    <w:p w14:paraId="2BC89453">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（2）未进行网上注册并办理数字证书（CA认证）的供应商将无法参与本项目政府采购活动，潜在供应商应要尽早完成电子交易平台上的CA数字证书办理（申领流程见本公告</w:t>
      </w:r>
      <w:r>
        <w:rPr>
          <w:rFonts w:hint="eastAsia" w:ascii="宋体" w:hAnsi="宋体"/>
          <w:b/>
          <w:color w:val="000000" w:themeColor="text1"/>
          <w:szCs w:val="21"/>
          <w:highlight w:val="none"/>
          <w14:textFill>
            <w14:solidFill>
              <w14:schemeClr w14:val="tx1"/>
            </w14:solidFill>
          </w14:textFill>
        </w:rPr>
        <w:t>附件2</w:t>
      </w:r>
      <w:r>
        <w:rPr>
          <w:rFonts w:hint="eastAsia" w:ascii="宋体" w:hAnsi="宋体"/>
          <w:color w:val="000000" w:themeColor="text1"/>
          <w:szCs w:val="21"/>
          <w:highlight w:val="none"/>
          <w14:textFill>
            <w14:solidFill>
              <w14:schemeClr w14:val="tx1"/>
            </w14:solidFill>
          </w14:textFill>
        </w:rPr>
        <w:t>），并在首次响应文件提交截止时间前提交响应文件。</w:t>
      </w:r>
    </w:p>
    <w:p w14:paraId="0C890135">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（3）为确保网上操作合法、有效和安全，请供应商确保在电子响应过程中能够对相关数据电文进行加密和使用电子签章，妥善保管CA数字证书并使用有效的CA数字证书参与整个采购活动。</w:t>
      </w:r>
    </w:p>
    <w:p w14:paraId="3DF8283A">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5569C10E">
      <w:pPr>
        <w:numPr>
          <w:ilvl w:val="0"/>
          <w:numId w:val="0"/>
        </w:numPr>
        <w:snapToGrid w:val="0"/>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bidi="ar-SA"/>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CA证书在线解密：首次响应文件开启时，</w:t>
      </w:r>
      <w:r>
        <w:rPr>
          <w:rFonts w:hint="eastAsia" w:ascii="宋体" w:hAnsi="宋体" w:cs="宋体"/>
          <w:b/>
          <w:color w:val="000000" w:themeColor="text1"/>
          <w:kern w:val="0"/>
          <w:szCs w:val="21"/>
          <w:highlight w:val="none"/>
          <w14:textFill>
            <w14:solidFill>
              <w14:schemeClr w14:val="tx1"/>
            </w14:solidFill>
          </w14:textFill>
        </w:rPr>
        <w:t>须要供应商携带制作响应文件时用来加密的有效数字证书（CA认证）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登录广西政府采购云平台电子开标大厅现场按规定时间对加密的响应文件进行解密，</w:t>
      </w:r>
      <w:r>
        <w:rPr>
          <w:rFonts w:hint="eastAsia"/>
          <w:color w:val="000000" w:themeColor="text1"/>
          <w:highlight w:val="none"/>
          <w14:textFill>
            <w14:solidFill>
              <w14:schemeClr w14:val="tx1"/>
            </w14:solidFill>
          </w14:textFill>
        </w:rPr>
        <w:t>详见采购文件“第三章供应商须知正文</w:t>
      </w:r>
      <w:r>
        <w:rPr>
          <w:color w:val="000000" w:themeColor="text1"/>
          <w:highlight w:val="none"/>
          <w14:textFill>
            <w14:solidFill>
              <w14:schemeClr w14:val="tx1"/>
            </w14:solidFill>
          </w14:textFill>
        </w:rPr>
        <w:t>25.2</w:t>
      </w:r>
      <w:r>
        <w:rPr>
          <w:rFonts w:hint="eastAsia"/>
          <w:color w:val="000000" w:themeColor="text1"/>
          <w:highlight w:val="none"/>
          <w14:textFill>
            <w14:solidFill>
              <w14:schemeClr w14:val="tx1"/>
            </w14:solidFill>
          </w14:textFill>
        </w:rPr>
        <w:t>条”</w:t>
      </w:r>
      <w:r>
        <w:rPr>
          <w:rFonts w:hint="eastAsia" w:ascii="宋体" w:hAnsi="宋体" w:cs="宋体"/>
          <w:color w:val="000000" w:themeColor="text1"/>
          <w:kern w:val="0"/>
          <w:szCs w:val="21"/>
          <w:highlight w:val="none"/>
          <w14:textFill>
            <w14:solidFill>
              <w14:schemeClr w14:val="tx1"/>
            </w14:solidFill>
          </w14:textFill>
        </w:rPr>
        <w:t xml:space="preserve"> ，未能按要求进行解密的，由此产生的后果由</w:t>
      </w:r>
      <w:r>
        <w:rPr>
          <w:rFonts w:hint="eastAsia" w:ascii="宋体" w:hAnsi="宋体" w:cs="宋体"/>
          <w:color w:val="000000" w:themeColor="text1"/>
          <w:kern w:val="0"/>
          <w:szCs w:val="21"/>
          <w:highlight w:val="none"/>
          <w:lang w:val="en-US" w:eastAsia="zh-CN"/>
          <w14:textFill>
            <w14:solidFill>
              <w14:schemeClr w14:val="tx1"/>
            </w14:solidFill>
          </w14:textFill>
        </w:rPr>
        <w:t>竞标</w:t>
      </w:r>
      <w:r>
        <w:rPr>
          <w:rFonts w:hint="eastAsia" w:ascii="宋体" w:hAnsi="宋体" w:cs="宋体"/>
          <w:color w:val="000000" w:themeColor="text1"/>
          <w:kern w:val="0"/>
          <w:szCs w:val="21"/>
          <w:highlight w:val="none"/>
          <w14:textFill>
            <w14:solidFill>
              <w14:schemeClr w14:val="tx1"/>
            </w14:solidFill>
          </w14:textFill>
        </w:rPr>
        <w:t>人自行承担。</w:t>
      </w:r>
    </w:p>
    <w:p w14:paraId="46F2C815">
      <w:pPr>
        <w:numPr>
          <w:ilvl w:val="0"/>
          <w:numId w:val="0"/>
        </w:numPr>
        <w:snapToGrid w:val="0"/>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bidi="ar-SA"/>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供应商需要在具备有摄像头及语音功能且互联网网络状况良好的电脑登录广西政府采购云平台远程开标大厅参与本次谈判，否则后果自负。</w:t>
      </w:r>
    </w:p>
    <w:p w14:paraId="58AC52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r>
        <w:rPr>
          <w:rFonts w:hint="eastAsia" w:ascii="黑体" w:hAnsi="黑体" w:eastAsia="黑体" w:cs="宋体"/>
          <w:b/>
          <w:bCs w:val="0"/>
          <w:color w:val="000000" w:themeColor="text1"/>
          <w:sz w:val="24"/>
          <w:highlight w:val="none"/>
          <w14:textFill>
            <w14:solidFill>
              <w14:schemeClr w14:val="tx1"/>
            </w14:solidFill>
          </w14:textFill>
        </w:rPr>
        <w:t>五、开启（首次响应文件开启时间）</w:t>
      </w:r>
    </w:p>
    <w:p w14:paraId="27424DCF">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1.时间</w:t>
      </w:r>
      <w:r>
        <w:rPr>
          <w:rFonts w:hint="eastAsia" w:ascii="宋体" w:hAnsi="宋体"/>
          <w:bCs/>
          <w:color w:val="000000" w:themeColor="text1"/>
          <w:szCs w:val="21"/>
          <w:highlight w:val="none"/>
          <w14:textFill>
            <w14:solidFill>
              <w14:schemeClr w14:val="tx1"/>
            </w14:solidFill>
          </w14:textFill>
        </w:rPr>
        <w:t>（北京时间）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202</w:t>
      </w:r>
      <w:r>
        <w:rPr>
          <w:rFonts w:hint="eastAsia" w:ascii="宋体" w:hAnsi="宋体"/>
          <w:color w:val="000000" w:themeColor="text1"/>
          <w:szCs w:val="21"/>
          <w:highlight w:val="none"/>
          <w:u w:val="single"/>
          <w:lang w:val="en-US" w:eastAsia="zh-CN"/>
          <w14:textFill>
            <w14:solidFill>
              <w14:schemeClr w14:val="tx1"/>
            </w14:solidFill>
          </w14:textFill>
        </w:rPr>
        <w:t>6年6月4日</w:t>
      </w:r>
      <w:r>
        <w:rPr>
          <w:rFonts w:hint="eastAsia" w:ascii="宋体" w:hAnsi="宋体"/>
          <w:color w:val="000000" w:themeColor="text1"/>
          <w:szCs w:val="21"/>
          <w:highlight w:val="none"/>
          <w:u w:val="single"/>
          <w:lang w:eastAsia="zh-CN"/>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lang w:eastAsia="zh-CN"/>
          <w14:textFill>
            <w14:solidFill>
              <w14:schemeClr w14:val="tx1"/>
            </w14:solidFill>
          </w14:textFill>
        </w:rPr>
        <w:t>0:00</w:t>
      </w:r>
      <w:r>
        <w:rPr>
          <w:rFonts w:hint="eastAsia" w:ascii="宋体" w:hAnsi="宋体"/>
          <w:color w:val="000000" w:themeColor="text1"/>
          <w:szCs w:val="21"/>
          <w:highlight w:val="none"/>
          <w14:textFill>
            <w14:solidFill>
              <w14:schemeClr w14:val="tx1"/>
            </w14:solidFill>
          </w14:textFill>
        </w:rPr>
        <w:t>后</w:t>
      </w:r>
    </w:p>
    <w:p w14:paraId="6B91261D">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2.地点：</w:t>
      </w:r>
      <w:r>
        <w:rPr>
          <w:rFonts w:hint="eastAsia" w:ascii="宋体" w:hAnsi="宋体"/>
          <w:color w:val="000000" w:themeColor="text1"/>
          <w:szCs w:val="21"/>
          <w:highlight w:val="none"/>
          <w:u w:val="single"/>
          <w14:textFill>
            <w14:solidFill>
              <w14:schemeClr w14:val="tx1"/>
            </w14:solidFill>
          </w14:textFill>
        </w:rPr>
        <w:t>广西政府采购云平台电子开标大厅</w:t>
      </w:r>
    </w:p>
    <w:p w14:paraId="488FBB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bookmarkStart w:id="19" w:name="_Toc35393625"/>
      <w:bookmarkStart w:id="20" w:name="_Toc28359007"/>
      <w:bookmarkStart w:id="21" w:name="_Toc35393794"/>
      <w:bookmarkStart w:id="22" w:name="_Toc28359084"/>
      <w:r>
        <w:rPr>
          <w:rFonts w:hint="eastAsia" w:ascii="黑体" w:hAnsi="黑体" w:eastAsia="黑体" w:cs="宋体"/>
          <w:b/>
          <w:bCs w:val="0"/>
          <w:color w:val="000000" w:themeColor="text1"/>
          <w:sz w:val="24"/>
          <w:highlight w:val="none"/>
          <w14:textFill>
            <w14:solidFill>
              <w14:schemeClr w14:val="tx1"/>
            </w14:solidFill>
          </w14:textFill>
        </w:rPr>
        <w:t>六、公告期限</w:t>
      </w:r>
      <w:bookmarkEnd w:id="19"/>
      <w:bookmarkEnd w:id="20"/>
      <w:bookmarkEnd w:id="21"/>
      <w:bookmarkEnd w:id="22"/>
    </w:p>
    <w:p w14:paraId="27702B62">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自本公告发布之日起3个工作日。</w:t>
      </w:r>
    </w:p>
    <w:p w14:paraId="36AD60E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bookmarkStart w:id="23" w:name="_Toc35393626"/>
      <w:bookmarkStart w:id="24" w:name="_Toc35393795"/>
      <w:r>
        <w:rPr>
          <w:rFonts w:hint="eastAsia" w:ascii="黑体" w:hAnsi="黑体" w:eastAsia="黑体" w:cs="宋体"/>
          <w:b/>
          <w:bCs w:val="0"/>
          <w:color w:val="000000" w:themeColor="text1"/>
          <w:sz w:val="24"/>
          <w:highlight w:val="none"/>
          <w14:textFill>
            <w14:solidFill>
              <w14:schemeClr w14:val="tx1"/>
            </w14:solidFill>
          </w14:textFill>
        </w:rPr>
        <w:t>七、其他补充事宜</w:t>
      </w:r>
      <w:bookmarkEnd w:id="23"/>
      <w:bookmarkEnd w:id="24"/>
    </w:p>
    <w:p w14:paraId="301931C0">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1.谈判保证金：本项目不收取谈判保证金</w:t>
      </w:r>
    </w:p>
    <w:p w14:paraId="0A1C31A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kern w:val="0"/>
          <w:szCs w:val="21"/>
          <w:highlight w:val="none"/>
          <w:u w:val="singl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bookmarkStart w:id="25" w:name="_Hlk37429585"/>
      <w:r>
        <w:rPr>
          <w:rFonts w:hint="eastAsia" w:ascii="宋体" w:hAnsi="宋体" w:cs="宋体"/>
          <w:color w:val="000000" w:themeColor="text1"/>
          <w:kern w:val="0"/>
          <w:szCs w:val="21"/>
          <w:highlight w:val="none"/>
          <w14:textFill>
            <w14:solidFill>
              <w14:schemeClr w14:val="tx1"/>
            </w14:solidFill>
          </w14:textFill>
        </w:rPr>
        <w:t>https://zfcg.gxzf.gov.cn/site/detail?categoryCode=ZcyAnnouncement&amp;parentId=66485&amp;articleId=1/agaccsiW1SLkfwl7EFjg==</w:t>
      </w:r>
    </w:p>
    <w:p w14:paraId="0588E2DF">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bookmarkStart w:id="26"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5"/>
    <w:bookmarkEnd w:id="26"/>
    <w:p w14:paraId="21ED69F1">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bookmarkStart w:id="27" w:name="_Hlk37429674"/>
      <w:r>
        <w:rPr>
          <w:rFonts w:hint="eastAsia" w:ascii="宋体" w:hAnsi="宋体" w:cs="宋体"/>
          <w:color w:val="000000" w:themeColor="text1"/>
          <w:kern w:val="0"/>
          <w:szCs w:val="21"/>
          <w:highlight w:val="none"/>
          <w14:textFill>
            <w14:solidFill>
              <w14:schemeClr w14:val="tx1"/>
            </w14:solidFill>
          </w14:textFill>
        </w:rPr>
        <w:t>中国政府采购网(http://www.ccgp.gov.cn/)</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广西政府采购网（https://zfcg.gxzf.gov.cn/）</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全国公共资源交易平台（广西·南宁） (http://ggzy.jgswj.gxzf.gov.cn/nnggzy/)。</w:t>
      </w:r>
    </w:p>
    <w:p w14:paraId="609AB5B2">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bookmarkEnd w:id="27"/>
    <w:p w14:paraId="50752BE0">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p w14:paraId="79280FBE">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05CBC69">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6.若对项目采购电子交易系统操作有疑问，可登录广西政府采购云平台（https://www.gcy.zfcg.gxzf.gov.cn/），点击右侧咨询小采，获取采小蜜智能服务管家帮助，或拨打政采云服务热线95763获取热线服务帮助。</w:t>
      </w:r>
    </w:p>
    <w:p w14:paraId="30ECE5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宋体"/>
          <w:b/>
          <w:bCs w:val="0"/>
          <w:color w:val="000000" w:themeColor="text1"/>
          <w:sz w:val="24"/>
          <w:highlight w:val="none"/>
          <w14:textFill>
            <w14:solidFill>
              <w14:schemeClr w14:val="tx1"/>
            </w14:solidFill>
          </w14:textFill>
        </w:rPr>
      </w:pPr>
      <w:r>
        <w:rPr>
          <w:rFonts w:hint="eastAsia" w:ascii="黑体" w:hAnsi="黑体" w:eastAsia="黑体" w:cs="宋体"/>
          <w:b/>
          <w:bCs w:val="0"/>
          <w:color w:val="000000" w:themeColor="text1"/>
          <w:sz w:val="24"/>
          <w:highlight w:val="none"/>
          <w14:textFill>
            <w14:solidFill>
              <w14:schemeClr w14:val="tx1"/>
            </w14:solidFill>
          </w14:textFill>
        </w:rPr>
        <w:t>八、凡对本次采购提出询问，请按以下方式联系</w:t>
      </w:r>
    </w:p>
    <w:p w14:paraId="4880557F">
      <w:pPr>
        <w:spacing w:line="360" w:lineRule="auto"/>
        <w:ind w:firstLine="735" w:firstLineChars="35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1.采购人信息</w:t>
      </w:r>
    </w:p>
    <w:p w14:paraId="09D64369">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lang w:eastAsia="zh-CN"/>
          <w14:textFill>
            <w14:solidFill>
              <w14:schemeClr w14:val="tx1"/>
            </w14:solidFill>
          </w14:textFill>
        </w:rPr>
        <w:t>南宁市第一看守所</w:t>
      </w:r>
    </w:p>
    <w:p w14:paraId="53813961">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lang w:eastAsia="zh-CN"/>
          <w14:textFill>
            <w14:solidFill>
              <w14:schemeClr w14:val="tx1"/>
            </w14:solidFill>
          </w14:textFill>
        </w:rPr>
        <w:t>南宁市兴宁区昆仑大道163号</w:t>
      </w:r>
    </w:p>
    <w:p w14:paraId="78DA4AB7">
      <w:pPr>
        <w:pStyle w:val="17"/>
        <w:spacing w:line="360" w:lineRule="auto"/>
        <w:ind w:firstLine="735" w:firstLineChars="350"/>
        <w:rPr>
          <w:rFonts w:hint="eastAsia" w:hAnsi="宋体"/>
          <w:color w:val="000000" w:themeColor="text1"/>
          <w:highlight w:val="none"/>
          <w14:textFill>
            <w14:solidFill>
              <w14:schemeClr w14:val="tx1"/>
            </w14:solidFill>
          </w14:textFill>
        </w:rPr>
      </w:pPr>
      <w:r>
        <w:rPr>
          <w:rFonts w:hint="eastAsia" w:hAnsi="宋体"/>
          <w:color w:val="000000" w:themeColor="text1"/>
          <w:kern w:val="2"/>
          <w:sz w:val="21"/>
          <w:highlight w:val="none"/>
          <w14:textFill>
            <w14:solidFill>
              <w14:schemeClr w14:val="tx1"/>
            </w14:solidFill>
          </w14:textFill>
        </w:rPr>
        <w:t>项目联系人</w:t>
      </w:r>
      <w:r>
        <w:rPr>
          <w:rFonts w:hint="eastAsia" w:hAnsi="宋体"/>
          <w:color w:val="000000" w:themeColor="text1"/>
          <w:highlight w:val="none"/>
          <w14:textFill>
            <w14:solidFill>
              <w14:schemeClr w14:val="tx1"/>
            </w14:solidFill>
          </w14:textFill>
        </w:rPr>
        <w:t>：</w:t>
      </w:r>
      <w:r>
        <w:rPr>
          <w:rFonts w:hint="eastAsia" w:ascii="宋体" w:hAnsi="宋体" w:eastAsia="宋体" w:cs="Times New Roman"/>
          <w:color w:val="000000" w:themeColor="text1"/>
          <w:kern w:val="2"/>
          <w:sz w:val="21"/>
          <w:szCs w:val="21"/>
          <w:highlight w:val="none"/>
          <w:u w:val="single"/>
          <w:lang w:val="en-US" w:eastAsia="zh-CN" w:bidi="ar-SA"/>
          <w14:textFill>
            <w14:solidFill>
              <w14:schemeClr w14:val="tx1"/>
            </w14:solidFill>
          </w14:textFill>
        </w:rPr>
        <w:t>陈明</w:t>
      </w:r>
    </w:p>
    <w:p w14:paraId="54D74491">
      <w:pPr>
        <w:spacing w:line="360" w:lineRule="auto"/>
        <w:ind w:left="1041" w:leftChars="371" w:hanging="262" w:hangingChars="125"/>
        <w:jc w:val="left"/>
        <w:rPr>
          <w:rFonts w:hint="default" w:ascii="宋体" w:hAnsi="宋体"/>
          <w:color w:val="000000" w:themeColor="text1"/>
          <w:szCs w:val="21"/>
          <w:highlight w:val="none"/>
          <w:u w:val="single"/>
          <w:lang w:val="en-US"/>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u w:val="single"/>
          <w:lang w:eastAsia="zh-CN"/>
          <w14:textFill>
            <w14:solidFill>
              <w14:schemeClr w14:val="tx1"/>
            </w14:solidFill>
          </w14:textFill>
        </w:rPr>
        <w:t>0771-5661076</w:t>
      </w:r>
    </w:p>
    <w:p w14:paraId="6C02FB65">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6584AEAF">
      <w:pPr>
        <w:spacing w:line="360" w:lineRule="auto"/>
        <w:ind w:firstLine="735" w:firstLineChars="35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p>
    <w:p w14:paraId="30B6C8A3">
      <w:pPr>
        <w:spacing w:line="360" w:lineRule="auto"/>
        <w:ind w:firstLine="735" w:firstLineChars="35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u w:val="single"/>
          <w:lang w:eastAsia="zh-CN"/>
          <w14:textFill>
            <w14:solidFill>
              <w14:schemeClr w14:val="tx1"/>
            </w14:solidFill>
          </w14:textFill>
        </w:rPr>
        <w:t>南宁市江南区金凯路26号广西建通中心12楼</w:t>
      </w:r>
    </w:p>
    <w:p w14:paraId="7F5EA8F9">
      <w:pPr>
        <w:spacing w:line="360" w:lineRule="auto"/>
        <w:ind w:firstLine="735" w:firstLineChars="35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s="宋体"/>
          <w:color w:val="000000" w:themeColor="text1"/>
          <w:szCs w:val="21"/>
          <w:highlight w:val="none"/>
          <w:u w:val="single"/>
          <w:lang w:eastAsia="zh-CN"/>
          <w14:textFill>
            <w14:solidFill>
              <w14:schemeClr w14:val="tx1"/>
            </w14:solidFill>
          </w14:textFill>
        </w:rPr>
        <w:t>0771-2863138</w:t>
      </w:r>
    </w:p>
    <w:p w14:paraId="3AB242F7">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3.项目联系方式</w:t>
      </w:r>
    </w:p>
    <w:p w14:paraId="5836F1A3">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u w:val="single"/>
          <w:lang w:eastAsia="zh-CN"/>
          <w14:textFill>
            <w14:solidFill>
              <w14:schemeClr w14:val="tx1"/>
            </w14:solidFill>
          </w14:textFill>
        </w:rPr>
        <w:t>凌智华、李卉</w:t>
      </w:r>
    </w:p>
    <w:p w14:paraId="617E76A8">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u w:val="single"/>
          <w:lang w:eastAsia="zh-CN"/>
          <w14:textFill>
            <w14:solidFill>
              <w14:schemeClr w14:val="tx1"/>
            </w14:solidFill>
          </w14:textFill>
        </w:rPr>
        <w:t>0771-2863138</w:t>
      </w:r>
    </w:p>
    <w:p w14:paraId="4BCE2EA1">
      <w:pPr>
        <w:pStyle w:val="11"/>
        <w:spacing w:after="120"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附件：1.</w:t>
      </w:r>
      <w:r>
        <w:rPr>
          <w:rFonts w:hint="eastAsia" w:ascii="宋体" w:hAnsi="宋体"/>
          <w:color w:val="000000" w:themeColor="text1"/>
          <w:szCs w:val="21"/>
          <w:highlight w:val="none"/>
          <w:lang w:eastAsia="zh-CN"/>
          <w14:textFill>
            <w14:solidFill>
              <w14:schemeClr w14:val="tx1"/>
            </w14:solidFill>
          </w14:textFill>
        </w:rPr>
        <w:t>南宁市第一看守所2026年度在押人员伙房伙食灶醇基液体燃料采购</w:t>
      </w:r>
      <w:r>
        <w:rPr>
          <w:rFonts w:hint="eastAsia" w:ascii="宋体" w:hAnsi="宋体"/>
          <w:color w:val="000000" w:themeColor="text1"/>
          <w:szCs w:val="21"/>
          <w:highlight w:val="none"/>
          <w14:textFill>
            <w14:solidFill>
              <w14:schemeClr w14:val="tx1"/>
            </w14:solidFill>
          </w14:textFill>
        </w:rPr>
        <w:t>竞争性谈判文件</w:t>
      </w:r>
    </w:p>
    <w:p w14:paraId="4FB71035">
      <w:pPr>
        <w:pStyle w:val="11"/>
        <w:spacing w:after="120"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.CA证书申请方式及操作指南下载地址（登录</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http://nncz.nanning.gov.cn/</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w:t>
      </w:r>
    </w:p>
    <w:p w14:paraId="22ED4E8B">
      <w:pPr>
        <w:pStyle w:val="11"/>
        <w:spacing w:after="120"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.电子响应文件制作与投送教程（在此网址下载：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http://nncz.nanning.gov.cn/</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0FF2650B">
      <w:pPr>
        <w:pStyle w:val="11"/>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p>
    <w:p w14:paraId="55B344A0">
      <w:pPr>
        <w:pStyle w:val="11"/>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p>
    <w:p w14:paraId="16304A16">
      <w:pPr>
        <w:spacing w:line="360" w:lineRule="auto"/>
        <w:jc w:val="right"/>
        <w:rPr>
          <w:rFonts w:hint="eastAsia"/>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u w:val="none"/>
          <w:lang w:eastAsia="zh-CN"/>
          <w14:textFill>
            <w14:solidFill>
              <w14:schemeClr w14:val="tx1"/>
            </w14:solidFill>
          </w14:textFill>
        </w:rPr>
        <w:t>广西建通工程咨询有限责任公司</w:t>
      </w:r>
    </w:p>
    <w:p w14:paraId="10C4352B">
      <w:pPr>
        <w:spacing w:line="360" w:lineRule="auto"/>
        <w:jc w:val="center"/>
        <w:rPr>
          <w:rFonts w:ascii="宋体" w:hAnsi="宋体"/>
          <w:color w:val="000000" w:themeColor="text1"/>
          <w:szCs w:val="21"/>
          <w:highlight w:val="none"/>
          <w14:textFill>
            <w14:solidFill>
              <w14:schemeClr w14:val="tx1"/>
            </w14:solidFill>
          </w14:textFill>
        </w:rPr>
        <w:sectPr>
          <w:pgSz w:w="11910" w:h="16840"/>
          <w:pgMar w:top="1440" w:right="1080" w:bottom="1440" w:left="1080" w:header="720" w:footer="720" w:gutter="0"/>
          <w:pgNumType w:fmt="decimal"/>
          <w:cols w:space="720" w:num="1"/>
        </w:sectPr>
      </w:pPr>
      <w:r>
        <w:rPr>
          <w:rFonts w:hint="eastAsia" w:ascii="宋体" w:hAnsi="宋体"/>
          <w:color w:val="000000" w:themeColor="text1"/>
          <w:szCs w:val="21"/>
          <w:highlight w:val="none"/>
          <w:u w:val="none"/>
          <w:lang w:val="en-US" w:eastAsia="zh-CN"/>
          <w14:textFill>
            <w14:solidFill>
              <w14:schemeClr w14:val="tx1"/>
            </w14:solidFill>
          </w14:textFill>
        </w:rPr>
        <w:t xml:space="preserve">                                                                    </w:t>
      </w:r>
      <w:r>
        <w:rPr>
          <w:rFonts w:hint="eastAsia" w:ascii="宋体" w:hAnsi="宋体"/>
          <w:color w:val="000000" w:themeColor="text1"/>
          <w:szCs w:val="21"/>
          <w:highlight w:val="none"/>
          <w:u w:val="none"/>
          <w:lang w:val="en-US" w:eastAsia="zh-CN"/>
          <w14:textFill>
            <w14:solidFill>
              <w14:schemeClr w14:val="tx1"/>
            </w14:solidFill>
          </w14:textFill>
        </w:rPr>
        <w:t>2026</w:t>
      </w:r>
      <w:r>
        <w:rPr>
          <w:rFonts w:hint="eastAsia" w:ascii="宋体" w:hAnsi="宋体"/>
          <w:color w:val="000000" w:themeColor="text1"/>
          <w:szCs w:val="21"/>
          <w:highlight w:val="none"/>
          <w:u w:val="none"/>
          <w14:textFill>
            <w14:solidFill>
              <w14:schemeClr w14:val="tx1"/>
            </w14:solidFill>
          </w14:textFill>
        </w:rPr>
        <w:t>年</w:t>
      </w:r>
      <w:r>
        <w:rPr>
          <w:rFonts w:hint="eastAsia" w:ascii="宋体" w:hAnsi="宋体"/>
          <w:color w:val="000000" w:themeColor="text1"/>
          <w:szCs w:val="21"/>
          <w:highlight w:val="none"/>
          <w:u w:val="none"/>
          <w:lang w:val="en-US" w:eastAsia="zh-CN"/>
          <w14:textFill>
            <w14:solidFill>
              <w14:schemeClr w14:val="tx1"/>
            </w14:solidFill>
          </w14:textFill>
        </w:rPr>
        <w:t>5</w:t>
      </w:r>
      <w:r>
        <w:rPr>
          <w:rFonts w:hint="eastAsia" w:ascii="宋体" w:hAnsi="宋体"/>
          <w:color w:val="000000" w:themeColor="text1"/>
          <w:szCs w:val="21"/>
          <w:highlight w:val="none"/>
          <w:u w:val="none"/>
          <w14:textFill>
            <w14:solidFill>
              <w14:schemeClr w14:val="tx1"/>
            </w14:solidFill>
          </w14:textFill>
        </w:rPr>
        <w:t>月</w:t>
      </w:r>
      <w:r>
        <w:rPr>
          <w:rFonts w:hint="eastAsia" w:ascii="宋体" w:hAnsi="宋体"/>
          <w:color w:val="000000" w:themeColor="text1"/>
          <w:szCs w:val="21"/>
          <w:highlight w:val="none"/>
          <w:u w:val="none"/>
          <w:lang w:val="en-US" w:eastAsia="zh-CN"/>
          <w14:textFill>
            <w14:solidFill>
              <w14:schemeClr w14:val="tx1"/>
            </w14:solidFill>
          </w14:textFill>
        </w:rPr>
        <w:t>28</w:t>
      </w:r>
      <w:r>
        <w:rPr>
          <w:rFonts w:hint="eastAsia" w:ascii="宋体" w:hAnsi="宋体"/>
          <w:color w:val="000000" w:themeColor="text1"/>
          <w:szCs w:val="21"/>
          <w:highlight w:val="none"/>
          <w:u w:val="none"/>
          <w14:textFill>
            <w14:solidFill>
              <w14:schemeClr w14:val="tx1"/>
            </w14:solidFill>
          </w14:textFill>
        </w:rPr>
        <w:t>日</w:t>
      </w:r>
    </w:p>
    <w:p w14:paraId="29036743">
      <w:pPr>
        <w:pStyle w:val="2"/>
        <w:jc w:val="center"/>
        <w:rPr>
          <w:rFonts w:hint="eastAsia"/>
          <w:color w:val="000000" w:themeColor="text1"/>
          <w:highlight w:val="none"/>
          <w14:textFill>
            <w14:solidFill>
              <w14:schemeClr w14:val="tx1"/>
            </w14:solidFill>
          </w14:textFill>
        </w:rPr>
      </w:pPr>
      <w:bookmarkStart w:id="28" w:name="_Toc26989"/>
      <w:r>
        <w:rPr>
          <w:rFonts w:hint="eastAsia" w:ascii="Cambria" w:hAnsi="Cambria"/>
          <w:bCs w:val="0"/>
          <w:color w:val="000000" w:themeColor="text1"/>
          <w:sz w:val="32"/>
          <w:szCs w:val="32"/>
          <w:highlight w:val="none"/>
          <w14:textFill>
            <w14:solidFill>
              <w14:schemeClr w14:val="tx1"/>
            </w14:solidFill>
          </w14:textFill>
        </w:rPr>
        <w:t>第二章</w:t>
      </w:r>
      <w:r>
        <w:rPr>
          <w:rFonts w:ascii="Cambria" w:hAnsi="Cambria"/>
          <w:bCs w:val="0"/>
          <w:color w:val="000000" w:themeColor="text1"/>
          <w:sz w:val="32"/>
          <w:szCs w:val="32"/>
          <w:highlight w:val="none"/>
          <w14:textFill>
            <w14:solidFill>
              <w14:schemeClr w14:val="tx1"/>
            </w14:solidFill>
          </w14:textFill>
        </w:rPr>
        <w:t xml:space="preserve"> </w:t>
      </w:r>
      <w:r>
        <w:rPr>
          <w:rFonts w:hint="eastAsia" w:ascii="Cambria" w:hAnsi="Cambria"/>
          <w:bCs w:val="0"/>
          <w:color w:val="000000" w:themeColor="text1"/>
          <w:sz w:val="32"/>
          <w:szCs w:val="32"/>
          <w:highlight w:val="none"/>
          <w14:textFill>
            <w14:solidFill>
              <w14:schemeClr w14:val="tx1"/>
            </w14:solidFill>
          </w14:textFill>
        </w:rPr>
        <w:t>采购需求</w:t>
      </w:r>
      <w:bookmarkEnd w:id="28"/>
    </w:p>
    <w:p w14:paraId="5FAD42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14:paraId="4C98E9A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1.为落实</w:t>
      </w:r>
      <w:r>
        <w:rPr>
          <w:rFonts w:hint="eastAsia"/>
          <w:color w:val="000000" w:themeColor="text1"/>
          <w:highlight w:val="none"/>
          <w14:textFill>
            <w14:solidFill>
              <w14:schemeClr w14:val="tx1"/>
            </w14:solidFill>
          </w14:textFill>
        </w:rPr>
        <w:t>政府采购政策需满足的要求</w:t>
      </w:r>
    </w:p>
    <w:p w14:paraId="1DC7E5F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（1）本竞争性谈判采购文件所称中小企业必须符合《政府采购促进中小企业发展管理办法》（财库〔2020〕46号）的规定。</w:t>
      </w:r>
    </w:p>
    <w:p w14:paraId="7DB0219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14:paraId="5F1D593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ABA8C6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6" w:firstLineChars="202"/>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2"/>
          <w:sz w:val="21"/>
          <w:szCs w:val="21"/>
          <w:highlight w:val="none"/>
          <w:lang w:val="en-US" w:eastAsia="zh-CN" w:bidi="ar-SA"/>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“实质性要求”是指采购需求中带“▲”的条款或者不能负偏离的条款或者已经指明不满足按响应文件作无效处理的条款。</w:t>
      </w:r>
    </w:p>
    <w:p w14:paraId="03AF67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4" w:firstLineChars="202"/>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3.</w:t>
      </w:r>
      <w:r>
        <w:rPr>
          <w:rFonts w:hint="eastAsia" w:ascii="宋体" w:hAnsi="宋体" w:cs="宋体"/>
          <w:b/>
          <w:bCs/>
          <w:color w:val="000000" w:themeColor="text1"/>
          <w:szCs w:val="21"/>
          <w:highlight w:val="none"/>
          <w14:textFill>
            <w14:solidFill>
              <w14:schemeClr w14:val="tx1"/>
            </w14:solidFill>
          </w14:textFill>
        </w:rPr>
        <w:t>不需要供应商对采购需求响应为具体数值的，此采购需求的数值后将以◆号标注。</w:t>
      </w:r>
    </w:p>
    <w:p w14:paraId="1258582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b/>
          <w:bCs/>
          <w:color w:val="000000" w:themeColor="text1"/>
          <w:highlight w:val="none"/>
          <w:lang w:val="en-US" w:eastAsia="zh-CN"/>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供应商必须自行为其竞标产品侵犯他人的知识产权或者专利成果的行为承担相应法律责任。</w:t>
      </w:r>
    </w:p>
    <w:p w14:paraId="7662C14D">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5</w:t>
      </w:r>
      <w:r>
        <w:rPr>
          <w:rFonts w:hint="eastAsia" w:ascii="宋体" w:hAnsi="宋体" w:cs="宋体"/>
          <w:b/>
          <w:bCs/>
          <w:color w:val="000000" w:themeColor="text1"/>
          <w:szCs w:val="21"/>
          <w:highlight w:val="none"/>
          <w:lang w:val="en-US" w:eastAsia="zh-CN"/>
          <w14:textFill>
            <w14:solidFill>
              <w14:schemeClr w14:val="tx1"/>
            </w14:solidFill>
          </w14:textFill>
        </w:rPr>
        <w:t>.本项目</w:t>
      </w:r>
      <w:r>
        <w:rPr>
          <w:rFonts w:hint="eastAsia" w:ascii="宋体" w:hAnsi="宋体" w:eastAsia="宋体" w:cs="宋体"/>
          <w:b/>
          <w:bCs/>
          <w:color w:val="000000" w:themeColor="text1"/>
          <w:szCs w:val="21"/>
          <w:highlight w:val="none"/>
          <w:lang w:val="en-US" w:eastAsia="zh-CN"/>
          <w14:textFill>
            <w14:solidFill>
              <w14:schemeClr w14:val="tx1"/>
            </w14:solidFill>
          </w14:textFill>
        </w:rPr>
        <w:t>中小微企业划型标准所属行业</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批发业。</w:t>
      </w:r>
    </w:p>
    <w:tbl>
      <w:tblPr>
        <w:tblStyle w:val="29"/>
        <w:tblW w:w="5145" w:type="pct"/>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6"/>
        <w:gridCol w:w="426"/>
        <w:gridCol w:w="636"/>
        <w:gridCol w:w="846"/>
        <w:gridCol w:w="6000"/>
        <w:gridCol w:w="749"/>
        <w:gridCol w:w="1168"/>
      </w:tblGrid>
      <w:tr w14:paraId="714BE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12668517">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仿宋_GB2312" w:hAnsi="宋体" w:eastAsia="仿宋_GB2312" w:cs="Arial"/>
                <w:b/>
                <w:color w:val="000000" w:themeColor="text1"/>
                <w:sz w:val="32"/>
                <w:szCs w:val="32"/>
                <w:highlight w:val="none"/>
                <w14:textFill>
                  <w14:solidFill>
                    <w14:schemeClr w14:val="tx1"/>
                  </w14:solidFill>
                </w14:textFill>
              </w:rPr>
              <w:t>货物需求一览表</w:t>
            </w:r>
          </w:p>
        </w:tc>
      </w:tr>
      <w:tr w14:paraId="70352E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1DAB481F">
            <w:pPr>
              <w:spacing w:line="360" w:lineRule="exact"/>
              <w:jc w:val="left"/>
              <w:rPr>
                <w:rFonts w:hint="eastAsia" w:ascii="仿宋_GB2312" w:hAnsi="宋体" w:eastAsia="仿宋_GB2312" w:cs="Arial"/>
                <w:b/>
                <w:color w:val="000000" w:themeColor="text1"/>
                <w:sz w:val="32"/>
                <w:szCs w:val="32"/>
                <w:highlight w:val="none"/>
                <w:lang w:eastAsia="zh-CN"/>
                <w14:textFill>
                  <w14:solidFill>
                    <w14:schemeClr w14:val="tx1"/>
                  </w14:solidFill>
                </w14:textFill>
              </w:rPr>
            </w:pPr>
            <w:r>
              <w:rPr>
                <w:rFonts w:hint="eastAsia" w:ascii="仿宋_GB2312" w:hAnsi="宋体" w:eastAsia="仿宋_GB2312" w:cs="Arial"/>
                <w:b/>
                <w:color w:val="000000" w:themeColor="text1"/>
                <w:sz w:val="32"/>
                <w:szCs w:val="32"/>
                <w:highlight w:val="none"/>
                <w14:textFill>
                  <w14:solidFill>
                    <w14:schemeClr w14:val="tx1"/>
                  </w14:solidFill>
                </w14:textFill>
              </w:rPr>
              <w:t>采购清单及技术参数</w:t>
            </w:r>
            <w:r>
              <w:rPr>
                <w:rFonts w:hint="eastAsia" w:ascii="仿宋_GB2312" w:hAnsi="宋体" w:eastAsia="仿宋_GB2312" w:cs="Arial"/>
                <w:b/>
                <w:color w:val="000000" w:themeColor="text1"/>
                <w:sz w:val="32"/>
                <w:szCs w:val="32"/>
                <w:highlight w:val="none"/>
                <w:lang w:eastAsia="zh-CN"/>
                <w14:textFill>
                  <w14:solidFill>
                    <w14:schemeClr w14:val="tx1"/>
                  </w14:solidFill>
                </w14:textFill>
              </w:rPr>
              <w:t>：</w:t>
            </w:r>
          </w:p>
        </w:tc>
      </w:tr>
      <w:tr w14:paraId="1F814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 w:type="pct"/>
            <w:vMerge w:val="restart"/>
            <w:tcBorders>
              <w:top w:val="single" w:color="auto" w:sz="4" w:space="0"/>
              <w:left w:val="single" w:color="auto" w:sz="4" w:space="0"/>
              <w:right w:val="single" w:color="auto" w:sz="4" w:space="0"/>
            </w:tcBorders>
            <w:noWrap w:val="0"/>
            <w:vAlign w:val="center"/>
          </w:tcPr>
          <w:p w14:paraId="4309EC69">
            <w:pPr>
              <w:spacing w:line="360" w:lineRule="exact"/>
              <w:jc w:val="center"/>
              <w:rPr>
                <w:rFonts w:ascii="宋体" w:hAnsi="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采购清单及技术参数</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58905841">
            <w:pPr>
              <w:spacing w:line="36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10" w:type="pct"/>
            <w:tcBorders>
              <w:top w:val="single" w:color="auto" w:sz="4" w:space="0"/>
              <w:left w:val="single" w:color="auto" w:sz="4" w:space="0"/>
              <w:bottom w:val="single" w:color="auto" w:sz="4" w:space="0"/>
              <w:right w:val="single" w:color="auto" w:sz="4" w:space="0"/>
            </w:tcBorders>
            <w:noWrap w:val="0"/>
            <w:vAlign w:val="center"/>
          </w:tcPr>
          <w:p w14:paraId="7A4DE404">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标的的名称</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65D5A7F2">
            <w:pPr>
              <w:snapToGrid w:val="0"/>
              <w:spacing w:line="360" w:lineRule="auto"/>
              <w:jc w:val="center"/>
              <w:rPr>
                <w:rFonts w:hint="eastAsia" w:ascii="宋体" w:hAnsi="宋体" w:cs="宋体"/>
                <w:color w:val="000000" w:themeColor="text1"/>
                <w:szCs w:val="21"/>
                <w:highlight w:val="none"/>
                <w14:textFill>
                  <w14:solidFill>
                    <w14:schemeClr w14:val="tx1"/>
                  </w14:solidFill>
                </w14:textFill>
              </w:rPr>
            </w:pPr>
            <w:bookmarkStart w:id="29" w:name="_Hlk48659847"/>
            <w:r>
              <w:rPr>
                <w:rFonts w:hint="eastAsia" w:ascii="宋体" w:hAnsi="宋体" w:cs="宋体"/>
                <w:color w:val="000000" w:themeColor="text1"/>
                <w:szCs w:val="21"/>
                <w:highlight w:val="none"/>
                <w14:textFill>
                  <w14:solidFill>
                    <w14:schemeClr w14:val="tx1"/>
                  </w14:solidFill>
                </w14:textFill>
              </w:rPr>
              <w:t>数量及</w:t>
            </w:r>
          </w:p>
          <w:p w14:paraId="3EEED409">
            <w:pPr>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0C637572">
            <w:pPr>
              <w:spacing w:line="360" w:lineRule="exact"/>
              <w:jc w:val="center"/>
              <w:rPr>
                <w:rFonts w:ascii="宋体" w:hAnsi="宋体"/>
                <w:bCs/>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质量</w:t>
            </w:r>
            <w:bookmarkEnd w:id="29"/>
            <w:r>
              <w:rPr>
                <w:rFonts w:hint="eastAsia"/>
                <w:color w:val="000000" w:themeColor="text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技术参数要求</w:t>
            </w:r>
          </w:p>
        </w:tc>
        <w:tc>
          <w:tcPr>
            <w:tcW w:w="366" w:type="pct"/>
            <w:tcBorders>
              <w:top w:val="single" w:color="auto" w:sz="4" w:space="0"/>
              <w:left w:val="single" w:color="auto" w:sz="4" w:space="0"/>
              <w:bottom w:val="single" w:color="auto" w:sz="4" w:space="0"/>
              <w:right w:val="single" w:color="auto" w:sz="4" w:space="0"/>
            </w:tcBorders>
            <w:noWrap w:val="0"/>
            <w:vAlign w:val="center"/>
          </w:tcPr>
          <w:p w14:paraId="259457D5">
            <w:pPr>
              <w:spacing w:line="360" w:lineRule="exact"/>
              <w:jc w:val="center"/>
              <w:rPr>
                <w:rFonts w:ascii="宋体"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预算单价</w:t>
            </w:r>
          </w:p>
        </w:tc>
        <w:tc>
          <w:tcPr>
            <w:tcW w:w="567" w:type="pct"/>
            <w:tcBorders>
              <w:top w:val="single" w:color="auto" w:sz="4" w:space="0"/>
              <w:left w:val="single" w:color="auto" w:sz="4" w:space="0"/>
              <w:bottom w:val="single" w:color="auto" w:sz="4" w:space="0"/>
              <w:right w:val="single" w:color="auto" w:sz="4" w:space="0"/>
            </w:tcBorders>
            <w:noWrap w:val="0"/>
            <w:vAlign w:val="center"/>
          </w:tcPr>
          <w:p w14:paraId="02972E9D">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分项预算金额</w:t>
            </w:r>
          </w:p>
          <w:p w14:paraId="03D3AE44">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r>
      <w:tr w14:paraId="14DE9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34" w:hRule="atLeast"/>
        </w:trPr>
        <w:tc>
          <w:tcPr>
            <w:tcW w:w="207" w:type="pct"/>
            <w:vMerge w:val="continue"/>
            <w:tcBorders>
              <w:left w:val="single" w:color="auto" w:sz="4" w:space="0"/>
              <w:bottom w:val="single" w:color="auto" w:sz="4" w:space="0"/>
              <w:right w:val="single" w:color="auto" w:sz="4" w:space="0"/>
            </w:tcBorders>
            <w:noWrap w:val="0"/>
            <w:vAlign w:val="center"/>
          </w:tcPr>
          <w:p w14:paraId="79B56718">
            <w:pPr>
              <w:spacing w:line="360" w:lineRule="exact"/>
              <w:jc w:val="center"/>
              <w:rPr>
                <w:rFonts w:ascii="宋体" w:hAnsi="宋体"/>
                <w:b/>
                <w:bCs/>
                <w:color w:val="000000" w:themeColor="text1"/>
                <w:szCs w:val="21"/>
                <w:highlight w:val="none"/>
                <w14:textFill>
                  <w14:solidFill>
                    <w14:schemeClr w14:val="tx1"/>
                  </w14:solidFill>
                </w14:textFill>
              </w:rPr>
            </w:pPr>
          </w:p>
        </w:tc>
        <w:tc>
          <w:tcPr>
            <w:tcW w:w="207" w:type="pct"/>
            <w:tcBorders>
              <w:top w:val="single" w:color="auto" w:sz="4" w:space="0"/>
              <w:left w:val="single" w:color="auto" w:sz="4" w:space="0"/>
              <w:bottom w:val="single" w:color="auto" w:sz="4" w:space="0"/>
              <w:right w:val="single" w:color="auto" w:sz="4" w:space="0"/>
            </w:tcBorders>
            <w:noWrap w:val="0"/>
            <w:vAlign w:val="center"/>
          </w:tcPr>
          <w:p w14:paraId="00F50094">
            <w:pPr>
              <w:snapToGrid w:val="0"/>
              <w:spacing w:line="360" w:lineRule="auto"/>
              <w:jc w:val="center"/>
              <w:rPr>
                <w:rFonts w:hint="default" w:ascii="宋体" w:hAnsi="宋体" w:eastAsia="宋体"/>
                <w:b/>
                <w:bCs/>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310" w:type="pct"/>
            <w:tcBorders>
              <w:top w:val="single" w:color="auto" w:sz="4" w:space="0"/>
              <w:left w:val="single" w:color="auto" w:sz="4" w:space="0"/>
              <w:bottom w:val="single" w:color="auto" w:sz="4" w:space="0"/>
              <w:right w:val="single" w:color="auto" w:sz="4" w:space="0"/>
            </w:tcBorders>
            <w:noWrap w:val="0"/>
            <w:vAlign w:val="center"/>
          </w:tcPr>
          <w:p w14:paraId="15B7119A">
            <w:pPr>
              <w:snapToGrid w:val="0"/>
              <w:spacing w:line="36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南宁市第一看守所2026年度在押人员伙房伙食灶醇基液体燃料采购</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39D94088">
            <w:pPr>
              <w:snapToGrid w:val="0"/>
              <w:spacing w:line="36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250000升</w:t>
            </w:r>
          </w:p>
        </w:tc>
        <w:tc>
          <w:tcPr>
            <w:tcW w:w="2927" w:type="pct"/>
            <w:tcBorders>
              <w:top w:val="single" w:color="auto" w:sz="4" w:space="0"/>
              <w:left w:val="single" w:color="auto" w:sz="4" w:space="0"/>
              <w:bottom w:val="single" w:color="auto" w:sz="4" w:space="0"/>
              <w:right w:val="single" w:color="auto" w:sz="4" w:space="0"/>
            </w:tcBorders>
            <w:noWrap w:val="0"/>
            <w:vAlign w:val="center"/>
          </w:tcPr>
          <w:p w14:paraId="46CFE8D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▲高清</w:t>
            </w:r>
            <w:r>
              <w:rPr>
                <w:rFonts w:hint="eastAsia" w:ascii="宋体" w:hAnsi="宋体"/>
                <w:color w:val="000000" w:themeColor="text1"/>
                <w:szCs w:val="21"/>
                <w:highlight w:val="none"/>
                <w14:textFill>
                  <w14:solidFill>
                    <w14:schemeClr w14:val="tx1"/>
                  </w14:solidFill>
                </w14:textFill>
              </w:rPr>
              <w:t>醇基液体燃料，主要用于厨房灶具燃料，</w:t>
            </w:r>
            <w:r>
              <w:rPr>
                <w:rFonts w:hint="eastAsia" w:ascii="Times New Roman" w:hAnsi="Times New Roman" w:cs="宋体"/>
                <w:color w:val="000000" w:themeColor="text1"/>
                <w:szCs w:val="21"/>
                <w:highlight w:val="none"/>
                <w14:textFill>
                  <w14:solidFill>
                    <w14:schemeClr w14:val="tx1"/>
                  </w14:solidFill>
                </w14:textFill>
              </w:rPr>
              <w:t>供应的醇基液体燃料须出具检验合格报告。</w:t>
            </w:r>
            <w:r>
              <w:rPr>
                <w:rFonts w:hint="eastAsia" w:ascii="Times New Roman" w:hAnsi="Times New Roman" w:cs="宋体"/>
                <w:color w:val="000000" w:themeColor="text1"/>
                <w:szCs w:val="21"/>
                <w:highlight w:val="none"/>
                <w:shd w:val="clear" w:color="auto" w:fill="FFFFFF"/>
                <w14:textFill>
                  <w14:solidFill>
                    <w14:schemeClr w14:val="tx1"/>
                  </w14:solidFill>
                </w14:textFill>
              </w:rPr>
              <w:t>燃烧起来没有污染，不含二氧化硫，符合国家的标准</w:t>
            </w:r>
            <w:r>
              <w:rPr>
                <w:rFonts w:hint="eastAsia" w:cs="宋体"/>
                <w:color w:val="000000" w:themeColor="text1"/>
                <w:szCs w:val="21"/>
                <w:highlight w:val="none"/>
                <w:shd w:val="clear" w:color="auto" w:fill="FFFFFF"/>
                <w:lang w:eastAsia="zh-CN"/>
                <w14:textFill>
                  <w14:solidFill>
                    <w14:schemeClr w14:val="tx1"/>
                  </w14:solidFill>
                </w14:textFill>
              </w:rPr>
              <w:t>。</w:t>
            </w:r>
          </w:p>
          <w:p w14:paraId="2A8E91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检验质量指标要求：</w:t>
            </w:r>
          </w:p>
          <w:tbl>
            <w:tblPr>
              <w:tblStyle w:val="29"/>
              <w:tblW w:w="5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985"/>
              <w:gridCol w:w="2091"/>
              <w:gridCol w:w="1130"/>
            </w:tblGrid>
            <w:tr w14:paraId="63D7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4" w:type="dxa"/>
                  <w:noWrap w:val="0"/>
                  <w:vAlign w:val="center"/>
                </w:tcPr>
                <w:p w14:paraId="0374814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985" w:type="dxa"/>
                  <w:noWrap w:val="0"/>
                  <w:vAlign w:val="center"/>
                </w:tcPr>
                <w:p w14:paraId="2F8D42C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检验项目</w:t>
                  </w:r>
                </w:p>
              </w:tc>
              <w:tc>
                <w:tcPr>
                  <w:tcW w:w="2091" w:type="dxa"/>
                  <w:noWrap w:val="0"/>
                  <w:vAlign w:val="center"/>
                </w:tcPr>
                <w:p w14:paraId="42E69A4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试验方法</w:t>
                  </w:r>
                </w:p>
              </w:tc>
              <w:tc>
                <w:tcPr>
                  <w:tcW w:w="1130" w:type="dxa"/>
                  <w:noWrap w:val="0"/>
                  <w:vAlign w:val="center"/>
                </w:tcPr>
                <w:p w14:paraId="0606EAF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质量指标</w:t>
                  </w:r>
                </w:p>
              </w:tc>
            </w:tr>
            <w:tr w14:paraId="798D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4" w:type="dxa"/>
                  <w:noWrap w:val="0"/>
                  <w:vAlign w:val="center"/>
                </w:tcPr>
                <w:p w14:paraId="1871209E">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985" w:type="dxa"/>
                  <w:noWrap w:val="0"/>
                  <w:vAlign w:val="center"/>
                </w:tcPr>
                <w:p w14:paraId="67D4FE4A">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醇含量，%</w:t>
                  </w:r>
                </w:p>
              </w:tc>
              <w:tc>
                <w:tcPr>
                  <w:tcW w:w="2091" w:type="dxa"/>
                  <w:noWrap w:val="0"/>
                  <w:vAlign w:val="center"/>
                </w:tcPr>
                <w:p w14:paraId="347EB3D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36E8279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≥90</w:t>
                  </w:r>
                </w:p>
              </w:tc>
            </w:tr>
            <w:tr w14:paraId="7813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4" w:type="dxa"/>
                  <w:noWrap w:val="0"/>
                  <w:vAlign w:val="center"/>
                </w:tcPr>
                <w:p w14:paraId="3557F809">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985" w:type="dxa"/>
                  <w:noWrap w:val="0"/>
                  <w:vAlign w:val="center"/>
                </w:tcPr>
                <w:p w14:paraId="2B8C1720">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密度（20℃），g/cm</w:t>
                  </w:r>
                  <w:r>
                    <w:rPr>
                      <w:rFonts w:hint="eastAsia" w:ascii="宋体" w:hAnsi="宋体"/>
                      <w:color w:val="000000" w:themeColor="text1"/>
                      <w:szCs w:val="21"/>
                      <w:highlight w:val="none"/>
                      <w:vertAlign w:val="superscript"/>
                      <w14:textFill>
                        <w14:solidFill>
                          <w14:schemeClr w14:val="tx1"/>
                        </w14:solidFill>
                      </w14:textFill>
                    </w:rPr>
                    <w:t>3</w:t>
                  </w:r>
                </w:p>
              </w:tc>
              <w:tc>
                <w:tcPr>
                  <w:tcW w:w="2091" w:type="dxa"/>
                  <w:noWrap w:val="0"/>
                  <w:vAlign w:val="center"/>
                </w:tcPr>
                <w:p w14:paraId="27E2D60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3772D27D">
                  <w:pPr>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≤0.8</w:t>
                  </w:r>
                  <w:r>
                    <w:rPr>
                      <w:rFonts w:hint="eastAsia" w:ascii="宋体" w:hAnsi="宋体"/>
                      <w:color w:val="000000" w:themeColor="text1"/>
                      <w:szCs w:val="21"/>
                      <w:highlight w:val="none"/>
                      <w:lang w:val="en-US" w:eastAsia="zh-CN"/>
                      <w14:textFill>
                        <w14:solidFill>
                          <w14:schemeClr w14:val="tx1"/>
                        </w14:solidFill>
                      </w14:textFill>
                    </w:rPr>
                    <w:t>5</w:t>
                  </w:r>
                </w:p>
              </w:tc>
            </w:tr>
            <w:tr w14:paraId="7D6D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4" w:type="dxa"/>
                  <w:noWrap w:val="0"/>
                  <w:vAlign w:val="center"/>
                </w:tcPr>
                <w:p w14:paraId="7B57C198">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1985" w:type="dxa"/>
                  <w:noWrap w:val="0"/>
                  <w:vAlign w:val="center"/>
                </w:tcPr>
                <w:p w14:paraId="6A150729">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机械杂质，%</w:t>
                  </w:r>
                </w:p>
              </w:tc>
              <w:tc>
                <w:tcPr>
                  <w:tcW w:w="2091" w:type="dxa"/>
                  <w:noWrap w:val="0"/>
                  <w:vAlign w:val="center"/>
                </w:tcPr>
                <w:p w14:paraId="685EAEA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3726AC4A">
                  <w:pPr>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＜0.0</w:t>
                  </w:r>
                  <w:r>
                    <w:rPr>
                      <w:rFonts w:hint="eastAsia" w:ascii="宋体" w:hAnsi="宋体"/>
                      <w:color w:val="000000" w:themeColor="text1"/>
                      <w:szCs w:val="21"/>
                      <w:highlight w:val="none"/>
                      <w:lang w:val="en-US" w:eastAsia="zh-CN"/>
                      <w14:textFill>
                        <w14:solidFill>
                          <w14:schemeClr w14:val="tx1"/>
                        </w14:solidFill>
                      </w14:textFill>
                    </w:rPr>
                    <w:t>5</w:t>
                  </w:r>
                </w:p>
              </w:tc>
            </w:tr>
            <w:tr w14:paraId="04C0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4" w:type="dxa"/>
                  <w:noWrap w:val="0"/>
                  <w:vAlign w:val="center"/>
                </w:tcPr>
                <w:p w14:paraId="554BE44A">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985" w:type="dxa"/>
                  <w:noWrap w:val="0"/>
                  <w:vAlign w:val="center"/>
                </w:tcPr>
                <w:p w14:paraId="57474A5F">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凝点，℃</w:t>
                  </w:r>
                </w:p>
              </w:tc>
              <w:tc>
                <w:tcPr>
                  <w:tcW w:w="2091" w:type="dxa"/>
                  <w:noWrap w:val="0"/>
                  <w:vAlign w:val="center"/>
                </w:tcPr>
                <w:p w14:paraId="7CAC5FB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65A84EF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w:t>
                  </w:r>
                </w:p>
              </w:tc>
            </w:tr>
            <w:tr w14:paraId="5624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4" w:type="dxa"/>
                  <w:noWrap w:val="0"/>
                  <w:vAlign w:val="center"/>
                </w:tcPr>
                <w:p w14:paraId="5E2326DD">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1985" w:type="dxa"/>
                  <w:noWrap w:val="0"/>
                  <w:vAlign w:val="center"/>
                </w:tcPr>
                <w:p w14:paraId="4BD5A857">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PH值</w:t>
                  </w:r>
                </w:p>
              </w:tc>
              <w:tc>
                <w:tcPr>
                  <w:tcW w:w="2091" w:type="dxa"/>
                  <w:noWrap w:val="0"/>
                  <w:vAlign w:val="center"/>
                </w:tcPr>
                <w:p w14:paraId="759CF28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57C3596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6～8</w:t>
                  </w:r>
                </w:p>
              </w:tc>
            </w:tr>
            <w:tr w14:paraId="1EDB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64" w:type="dxa"/>
                  <w:noWrap w:val="0"/>
                  <w:vAlign w:val="center"/>
                </w:tcPr>
                <w:p w14:paraId="6090A33C">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985" w:type="dxa"/>
                  <w:noWrap w:val="0"/>
                  <w:vAlign w:val="center"/>
                </w:tcPr>
                <w:p w14:paraId="64125EEE">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50%输出温度，℃</w:t>
                  </w:r>
                </w:p>
              </w:tc>
              <w:tc>
                <w:tcPr>
                  <w:tcW w:w="2091" w:type="dxa"/>
                  <w:noWrap w:val="0"/>
                  <w:vAlign w:val="center"/>
                </w:tcPr>
                <w:p w14:paraId="6912644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68641CB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＜80</w:t>
                  </w:r>
                </w:p>
              </w:tc>
            </w:tr>
            <w:tr w14:paraId="71D4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4" w:type="dxa"/>
                  <w:noWrap w:val="0"/>
                  <w:vAlign w:val="center"/>
                </w:tcPr>
                <w:p w14:paraId="7F4AE71F">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p>
              </w:tc>
              <w:tc>
                <w:tcPr>
                  <w:tcW w:w="1985" w:type="dxa"/>
                  <w:noWrap w:val="0"/>
                  <w:vAlign w:val="center"/>
                </w:tcPr>
                <w:p w14:paraId="4A82546F">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总硫含量，%</w:t>
                  </w:r>
                </w:p>
              </w:tc>
              <w:tc>
                <w:tcPr>
                  <w:tcW w:w="2091" w:type="dxa"/>
                  <w:noWrap w:val="0"/>
                  <w:vAlign w:val="center"/>
                </w:tcPr>
                <w:p w14:paraId="452530B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1B955435">
                  <w:pPr>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＜0.01</w:t>
                  </w:r>
                  <w:r>
                    <w:rPr>
                      <w:rFonts w:hint="eastAsia" w:ascii="宋体" w:hAnsi="宋体"/>
                      <w:color w:val="000000" w:themeColor="text1"/>
                      <w:szCs w:val="21"/>
                      <w:highlight w:val="none"/>
                      <w:lang w:val="en-US" w:eastAsia="zh-CN"/>
                      <w14:textFill>
                        <w14:solidFill>
                          <w14:schemeClr w14:val="tx1"/>
                        </w14:solidFill>
                      </w14:textFill>
                    </w:rPr>
                    <w:t>5</w:t>
                  </w:r>
                </w:p>
              </w:tc>
            </w:tr>
            <w:tr w14:paraId="5896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4" w:type="dxa"/>
                  <w:noWrap w:val="0"/>
                  <w:vAlign w:val="center"/>
                </w:tcPr>
                <w:p w14:paraId="5AD3E8B4">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p>
              </w:tc>
              <w:tc>
                <w:tcPr>
                  <w:tcW w:w="1985" w:type="dxa"/>
                  <w:noWrap w:val="0"/>
                  <w:vAlign w:val="center"/>
                </w:tcPr>
                <w:p w14:paraId="0A64C3B5">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低热值，kJ/kg</w:t>
                  </w:r>
                </w:p>
              </w:tc>
              <w:tc>
                <w:tcPr>
                  <w:tcW w:w="2091" w:type="dxa"/>
                  <w:noWrap w:val="0"/>
                  <w:vAlign w:val="center"/>
                </w:tcPr>
                <w:p w14:paraId="7009BB9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1926036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＞21000</w:t>
                  </w:r>
                </w:p>
              </w:tc>
            </w:tr>
            <w:tr w14:paraId="2430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4" w:type="dxa"/>
                  <w:noWrap w:val="0"/>
                  <w:vAlign w:val="center"/>
                </w:tcPr>
                <w:p w14:paraId="149023A7">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p>
              </w:tc>
              <w:tc>
                <w:tcPr>
                  <w:tcW w:w="1985" w:type="dxa"/>
                  <w:noWrap w:val="0"/>
                  <w:vAlign w:val="center"/>
                </w:tcPr>
                <w:p w14:paraId="09CD5480">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稳定性（-20℃）</w:t>
                  </w:r>
                </w:p>
              </w:tc>
              <w:tc>
                <w:tcPr>
                  <w:tcW w:w="2091" w:type="dxa"/>
                  <w:noWrap w:val="0"/>
                  <w:vAlign w:val="center"/>
                </w:tcPr>
                <w:p w14:paraId="4A147C1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07D873B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不分层</w:t>
                  </w:r>
                </w:p>
              </w:tc>
            </w:tr>
            <w:tr w14:paraId="233D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4" w:type="dxa"/>
                  <w:noWrap w:val="0"/>
                  <w:vAlign w:val="center"/>
                </w:tcPr>
                <w:p w14:paraId="6945ABF4">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w:t>
                  </w:r>
                </w:p>
              </w:tc>
              <w:tc>
                <w:tcPr>
                  <w:tcW w:w="1985" w:type="dxa"/>
                  <w:noWrap w:val="0"/>
                  <w:vAlign w:val="center"/>
                </w:tcPr>
                <w:p w14:paraId="127C61E9">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甲醛试验</w:t>
                  </w:r>
                </w:p>
              </w:tc>
              <w:tc>
                <w:tcPr>
                  <w:tcW w:w="2091" w:type="dxa"/>
                  <w:noWrap w:val="0"/>
                  <w:vAlign w:val="center"/>
                </w:tcPr>
                <w:p w14:paraId="0043A0EB">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GB 16663-1996</w:t>
                  </w:r>
                </w:p>
              </w:tc>
              <w:tc>
                <w:tcPr>
                  <w:tcW w:w="1130" w:type="dxa"/>
                  <w:noWrap w:val="0"/>
                  <w:vAlign w:val="center"/>
                </w:tcPr>
                <w:p w14:paraId="3856C1C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品红不呈蓝色</w:t>
                  </w:r>
                </w:p>
              </w:tc>
            </w:tr>
          </w:tbl>
          <w:p w14:paraId="02C14A12">
            <w:pPr>
              <w:rPr>
                <w:rFonts w:hint="eastAsia"/>
                <w:color w:val="000000" w:themeColor="text1"/>
                <w:highlight w:val="none"/>
                <w:lang w:eastAsia="zh-CN"/>
                <w14:textFill>
                  <w14:solidFill>
                    <w14:schemeClr w14:val="tx1"/>
                  </w14:solidFill>
                </w14:textFill>
              </w:rPr>
            </w:pPr>
          </w:p>
        </w:tc>
        <w:tc>
          <w:tcPr>
            <w:tcW w:w="366" w:type="pct"/>
            <w:tcBorders>
              <w:top w:val="single" w:color="auto" w:sz="4" w:space="0"/>
              <w:left w:val="single" w:color="auto" w:sz="4" w:space="0"/>
              <w:bottom w:val="single" w:color="auto" w:sz="4" w:space="0"/>
              <w:right w:val="single" w:color="auto" w:sz="4" w:space="0"/>
            </w:tcBorders>
            <w:noWrap w:val="0"/>
            <w:vAlign w:val="center"/>
          </w:tcPr>
          <w:p w14:paraId="1EC1287D">
            <w:pPr>
              <w:widowControl/>
              <w:jc w:val="center"/>
              <w:rPr>
                <w:rFonts w:hint="default" w:ascii="宋体" w:hAnsi="宋体" w:eastAsia="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3.2</w:t>
            </w:r>
            <w:r>
              <w:rPr>
                <w:rFonts w:hint="eastAsia" w:ascii="宋体" w:hAnsi="宋体"/>
                <w:color w:val="000000" w:themeColor="text1"/>
                <w:sz w:val="21"/>
                <w:szCs w:val="21"/>
                <w:highlight w:val="none"/>
                <w14:textFill>
                  <w14:solidFill>
                    <w14:schemeClr w14:val="tx1"/>
                  </w14:solidFill>
                </w14:textFill>
              </w:rPr>
              <w:t>元/</w:t>
            </w:r>
            <w:r>
              <w:rPr>
                <w:rFonts w:hint="eastAsia" w:ascii="Calibri" w:hAnsi="Calibri"/>
                <w:color w:val="000000" w:themeColor="text1"/>
                <w:kern w:val="2"/>
                <w:highlight w:val="none"/>
                <w:lang w:val="en-US" w:eastAsia="zh-CN"/>
                <w14:textFill>
                  <w14:solidFill>
                    <w14:schemeClr w14:val="tx1"/>
                  </w14:solidFill>
                </w14:textFill>
              </w:rPr>
              <w:t>升</w:t>
            </w:r>
          </w:p>
        </w:tc>
        <w:tc>
          <w:tcPr>
            <w:tcW w:w="567" w:type="pct"/>
            <w:tcBorders>
              <w:top w:val="single" w:color="auto" w:sz="4" w:space="0"/>
              <w:left w:val="single" w:color="auto" w:sz="4" w:space="0"/>
              <w:bottom w:val="single" w:color="auto" w:sz="4" w:space="0"/>
              <w:right w:val="single" w:color="auto" w:sz="4" w:space="0"/>
            </w:tcBorders>
            <w:noWrap w:val="0"/>
            <w:vAlign w:val="center"/>
          </w:tcPr>
          <w:p w14:paraId="449A8809">
            <w:pPr>
              <w:widowControl/>
              <w:jc w:val="center"/>
              <w:rPr>
                <w:rFonts w:hint="default" w:ascii="宋体" w:hAnsi="宋体" w:eastAsia="宋体"/>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800</w:t>
            </w:r>
            <w:r>
              <w:rPr>
                <w:rFonts w:hint="eastAsia" w:ascii="宋体" w:hAnsi="宋体"/>
                <w:color w:val="000000" w:themeColor="text1"/>
                <w:sz w:val="21"/>
                <w:szCs w:val="21"/>
                <w:highlight w:val="none"/>
                <w:lang w:val="en-US" w:eastAsia="zh-CN"/>
                <w14:textFill>
                  <w14:solidFill>
                    <w14:schemeClr w14:val="tx1"/>
                  </w14:solidFill>
                </w14:textFill>
              </w:rPr>
              <w:t>000.00</w:t>
            </w:r>
          </w:p>
        </w:tc>
      </w:tr>
      <w:tr w14:paraId="1442B8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15" w:type="pct"/>
            <w:gridSpan w:val="2"/>
            <w:tcBorders>
              <w:top w:val="single" w:color="auto" w:sz="4" w:space="0"/>
              <w:left w:val="single" w:color="auto" w:sz="4" w:space="0"/>
              <w:bottom w:val="single" w:color="auto" w:sz="4" w:space="0"/>
              <w:right w:val="single" w:color="auto" w:sz="4" w:space="0"/>
            </w:tcBorders>
            <w:noWrap w:val="0"/>
            <w:vAlign w:val="center"/>
          </w:tcPr>
          <w:p w14:paraId="59C10CAD">
            <w:pPr>
              <w:keepNext w:val="0"/>
              <w:keepLines w:val="0"/>
              <w:pageBreakBefore w:val="0"/>
              <w:widowControl w:val="0"/>
              <w:kinsoku/>
              <w:wordWrap/>
              <w:overflowPunct/>
              <w:topLinePunct w:val="0"/>
              <w:autoSpaceDE/>
              <w:autoSpaceDN/>
              <w:bidi w:val="0"/>
              <w:adjustRightInd/>
              <w:snapToGrid/>
              <w:spacing w:line="400" w:lineRule="atLeast"/>
              <w:jc w:val="center"/>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商务条款</w:t>
            </w:r>
          </w:p>
        </w:tc>
        <w:tc>
          <w:tcPr>
            <w:tcW w:w="4584" w:type="pct"/>
            <w:gridSpan w:val="5"/>
            <w:tcBorders>
              <w:top w:val="single" w:color="auto" w:sz="4" w:space="0"/>
              <w:left w:val="single" w:color="auto" w:sz="4" w:space="0"/>
              <w:bottom w:val="single" w:color="auto" w:sz="4" w:space="0"/>
              <w:right w:val="single" w:color="auto" w:sz="4" w:space="0"/>
            </w:tcBorders>
            <w:noWrap w:val="0"/>
            <w:vAlign w:val="center"/>
          </w:tcPr>
          <w:p w14:paraId="002ABE96">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vertAlign w:val="baseline"/>
                <w:lang w:val="en-US" w:eastAsia="zh-CN" w:bidi="ar-SA"/>
                <w14:textFill>
                  <w14:solidFill>
                    <w14:schemeClr w14:val="tx1"/>
                  </w14:solidFill>
                </w14:textFill>
              </w:rPr>
              <w:t>一、</w:t>
            </w:r>
            <w:r>
              <w:rPr>
                <w:rFonts w:hint="eastAsia" w:ascii="宋体" w:hAnsi="宋体" w:eastAsia="宋体" w:cs="宋体"/>
                <w:b/>
                <w:bCs/>
                <w:color w:val="000000" w:themeColor="text1"/>
                <w:sz w:val="21"/>
                <w:szCs w:val="21"/>
                <w:highlight w:val="none"/>
                <w14:textFill>
                  <w14:solidFill>
                    <w14:schemeClr w14:val="tx1"/>
                  </w14:solidFill>
                </w14:textFill>
              </w:rPr>
              <w:t>合同签订</w:t>
            </w:r>
            <w:r>
              <w:rPr>
                <w:rFonts w:hint="eastAsia" w:ascii="宋体" w:hAnsi="宋体" w:eastAsia="宋体" w:cs="宋体"/>
                <w:b/>
                <w:bCs/>
                <w:color w:val="000000" w:themeColor="text1"/>
                <w:kern w:val="2"/>
                <w:sz w:val="21"/>
                <w:szCs w:val="21"/>
                <w:highlight w:val="none"/>
                <w:shd w:val="clear" w:color="auto" w:fill="FFFFFF"/>
                <w:lang w:val="en-US" w:eastAsia="zh-CN" w:bidi="ar"/>
                <w14:textFill>
                  <w14:solidFill>
                    <w14:schemeClr w14:val="tx1"/>
                  </w14:solidFill>
                </w14:textFill>
              </w:rPr>
              <w:t>时间：</w:t>
            </w:r>
            <w: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t>自成交通知书发出之日起 25 日内。</w:t>
            </w:r>
          </w:p>
          <w:p w14:paraId="2546924F">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bCs/>
                <w:color w:val="000000" w:themeColor="text1"/>
                <w:sz w:val="21"/>
                <w:szCs w:val="21"/>
                <w:highlight w:val="none"/>
                <w14:textFill>
                  <w14:solidFill>
                    <w14:schemeClr w14:val="tx1"/>
                  </w14:solidFill>
                </w14:textFill>
              </w:rPr>
              <w:t>质保期</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每批次货物自验收合格之日起</w:t>
            </w:r>
            <w:r>
              <w:rPr>
                <w:rFonts w:hint="eastAsia" w:ascii="宋体" w:hAnsi="宋体"/>
                <w:color w:val="000000" w:themeColor="text1"/>
                <w:szCs w:val="21"/>
                <w:highlight w:val="none"/>
                <w14:textFill>
                  <w14:solidFill>
                    <w14:schemeClr w14:val="tx1"/>
                  </w14:solidFill>
                </w14:textFill>
              </w:rPr>
              <w:t>183日历天</w:t>
            </w:r>
            <w: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t>。</w:t>
            </w:r>
          </w:p>
          <w:p w14:paraId="20DCB341">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b/>
                <w:bCs/>
                <w:color w:val="000000" w:themeColor="text1"/>
                <w:sz w:val="21"/>
                <w:szCs w:val="21"/>
                <w:highlight w:val="none"/>
                <w14:textFill>
                  <w14:solidFill>
                    <w14:schemeClr w14:val="tx1"/>
                  </w14:solidFill>
                </w14:textFill>
              </w:rPr>
              <w:t>交货地点</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采购</w:t>
            </w:r>
            <w:r>
              <w:rPr>
                <w:rFonts w:hint="eastAsia" w:ascii="宋体" w:hAnsi="宋体"/>
                <w:color w:val="000000" w:themeColor="text1"/>
                <w:szCs w:val="21"/>
                <w:highlight w:val="none"/>
                <w14:textFill>
                  <w14:solidFill>
                    <w14:schemeClr w14:val="tx1"/>
                  </w14:solidFill>
                </w14:textFill>
              </w:rPr>
              <w:t>人指定的南宁市行政区内地点。</w:t>
            </w:r>
          </w:p>
          <w:p w14:paraId="430FC9C6">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 w:val="21"/>
                <w:szCs w:val="21"/>
                <w:highlight w:val="none"/>
                <w14:textFill>
                  <w14:solidFill>
                    <w14:schemeClr w14:val="tx1"/>
                  </w14:solidFill>
                </w14:textFill>
              </w:rPr>
              <w:t>交货时间：</w:t>
            </w:r>
            <w:r>
              <w:rPr>
                <w:rFonts w:hint="eastAsia" w:ascii="宋体" w:hAnsi="宋体"/>
                <w:color w:val="000000" w:themeColor="text1"/>
                <w:szCs w:val="21"/>
                <w:highlight w:val="none"/>
                <w14:textFill>
                  <w14:solidFill>
                    <w14:schemeClr w14:val="tx1"/>
                  </w14:solidFill>
                </w14:textFill>
              </w:rPr>
              <w:t>自合同签订之日起365天内分批交货；</w:t>
            </w:r>
            <w:r>
              <w:rPr>
                <w:rFonts w:hint="eastAsia" w:ascii="宋体" w:hAnsi="宋体"/>
                <w:color w:val="000000" w:themeColor="text1"/>
                <w:szCs w:val="21"/>
                <w:highlight w:val="none"/>
                <w:lang w:val="en-US" w:eastAsia="zh-CN"/>
                <w14:textFill>
                  <w14:solidFill>
                    <w14:schemeClr w14:val="tx1"/>
                  </w14:solidFill>
                </w14:textFill>
              </w:rPr>
              <w:t>每批次货物</w:t>
            </w:r>
            <w:r>
              <w:rPr>
                <w:rFonts w:hint="eastAsia" w:ascii="宋体" w:hAnsi="宋体" w:eastAsia="宋体" w:cs="Times New Roman"/>
                <w:color w:val="000000" w:themeColor="text1"/>
                <w:szCs w:val="21"/>
                <w:highlight w:val="none"/>
                <w14:textFill>
                  <w14:solidFill>
                    <w14:schemeClr w14:val="tx1"/>
                  </w14:solidFill>
                </w14:textFill>
              </w:rPr>
              <w:t>在收到采购人发出供货配送通知后，成交供应商</w:t>
            </w:r>
            <w:r>
              <w:rPr>
                <w:rFonts w:hint="eastAsia" w:ascii="宋体" w:hAnsi="宋体" w:eastAsia="宋体" w:cs="Times New Roman"/>
                <w:color w:val="000000" w:themeColor="text1"/>
                <w:szCs w:val="21"/>
                <w:highlight w:val="none"/>
                <w:lang w:val="en-US" w:eastAsia="zh-CN"/>
                <w14:textFill>
                  <w14:solidFill>
                    <w14:schemeClr w14:val="tx1"/>
                  </w14:solidFill>
                </w14:textFill>
              </w:rPr>
              <w:t>于</w:t>
            </w:r>
            <w:r>
              <w:rPr>
                <w:rFonts w:hint="eastAsia" w:ascii="宋体" w:hAnsi="宋体" w:eastAsia="宋体" w:cs="Times New Roman"/>
                <w:color w:val="000000" w:themeColor="text1"/>
                <w:szCs w:val="21"/>
                <w:highlight w:val="none"/>
                <w14:textFill>
                  <w14:solidFill>
                    <w14:schemeClr w14:val="tx1"/>
                  </w14:solidFill>
                </w14:textFill>
              </w:rPr>
              <w:t>次日应</w:t>
            </w:r>
            <w:r>
              <w:rPr>
                <w:rFonts w:hint="eastAsia" w:ascii="宋体" w:hAnsi="宋体" w:eastAsia="宋体" w:cs="Times New Roman"/>
                <w:color w:val="000000" w:themeColor="text1"/>
                <w:szCs w:val="21"/>
                <w:highlight w:val="none"/>
                <w:lang w:val="en-US" w:eastAsia="zh-CN"/>
                <w14:textFill>
                  <w14:solidFill>
                    <w14:schemeClr w14:val="tx1"/>
                  </w14:solidFill>
                </w14:textFill>
              </w:rPr>
              <w:t>在</w:t>
            </w:r>
            <w:r>
              <w:rPr>
                <w:rFonts w:hint="eastAsia" w:ascii="宋体" w:hAnsi="宋体" w:eastAsia="宋体" w:cs="Times New Roman"/>
                <w:color w:val="000000" w:themeColor="text1"/>
                <w:szCs w:val="21"/>
                <w:highlight w:val="none"/>
                <w14:textFill>
                  <w14:solidFill>
                    <w14:schemeClr w14:val="tx1"/>
                  </w14:solidFill>
                </w14:textFill>
              </w:rPr>
              <w:t>采购人指定的送达时间前完成当次现场配送供货</w:t>
            </w:r>
            <w:r>
              <w:rPr>
                <w:rFonts w:hint="eastAsia" w:ascii="宋体" w:hAnsi="宋体" w:eastAsia="宋体" w:cs="Times New Roman"/>
                <w:color w:val="000000" w:themeColor="text1"/>
                <w:szCs w:val="21"/>
                <w:highlight w:val="none"/>
                <w:lang w:eastAsia="zh-CN"/>
                <w14:textFill>
                  <w14:solidFill>
                    <w14:schemeClr w14:val="tx1"/>
                  </w14:solidFill>
                </w14:textFill>
              </w:rPr>
              <w:t>。</w:t>
            </w:r>
          </w:p>
          <w:p w14:paraId="01549ED9">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 w:val="21"/>
                <w:szCs w:val="21"/>
                <w:highlight w:val="none"/>
                <w:lang w:eastAsia="zh-CN"/>
                <w14:textFill>
                  <w14:solidFill>
                    <w14:schemeClr w14:val="tx1"/>
                  </w14:solidFill>
                </w14:textFill>
              </w:rPr>
              <w:t>售后服务及要求</w:t>
            </w:r>
          </w:p>
          <w:p w14:paraId="45354AF7">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1.售后响应时间：成交供应商接到采购人售后通知后，如涉及到安全的问题(燃料泄漏、设备停运等)成交供应商须在2小时内到达采购人指定现场，其他非紧急情况，成交供应商应在24小时内到达采购人指定现场。</w:t>
            </w:r>
          </w:p>
          <w:p w14:paraId="5DC8CB3A">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2.验收货物后30天内，出现问题，须无条件更换，并在6小时内给予响应。</w:t>
            </w:r>
          </w:p>
          <w:p w14:paraId="24FB0374">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3.质保期内出现任何质量问题，成交供应商须无条件提供更换（与响应文件相同的产品）。</w:t>
            </w:r>
          </w:p>
          <w:p w14:paraId="0116EDDB">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4.由于产品存储条件限制，成交供应商应按采购人实际需求分批次</w:t>
            </w:r>
            <w:r>
              <w:rPr>
                <w:rFonts w:hint="eastAsia"/>
                <w:color w:val="000000" w:themeColor="text1"/>
                <w:highlight w:val="none"/>
                <w:lang w:val="en-US" w:eastAsia="zh-CN"/>
                <w14:textFill>
                  <w14:solidFill>
                    <w14:schemeClr w14:val="tx1"/>
                  </w14:solidFill>
                </w14:textFill>
              </w:rPr>
              <w:t>无条件</w:t>
            </w:r>
            <w:r>
              <w:rPr>
                <w:rFonts w:hint="eastAsia" w:ascii="宋体" w:hAnsi="宋体" w:eastAsia="宋体" w:cs="Times New Roman"/>
                <w:color w:val="000000" w:themeColor="text1"/>
                <w:szCs w:val="21"/>
                <w:highlight w:val="none"/>
                <w:lang w:val="en-US" w:eastAsia="zh-CN"/>
                <w14:textFill>
                  <w14:solidFill>
                    <w14:schemeClr w14:val="tx1"/>
                  </w14:solidFill>
                </w14:textFill>
              </w:rPr>
              <w:t>送货上门</w:t>
            </w:r>
            <w:r>
              <w:rPr>
                <w:rFonts w:hint="eastAsia" w:ascii="宋体" w:hAnsi="宋体" w:cs="Times New Roman"/>
                <w:color w:val="000000" w:themeColor="text1"/>
                <w:szCs w:val="21"/>
                <w:highlight w:val="none"/>
                <w:lang w:val="en-US" w:eastAsia="zh-CN"/>
                <w14:textFill>
                  <w14:solidFill>
                    <w14:schemeClr w14:val="tx1"/>
                  </w14:solidFill>
                </w14:textFill>
              </w:rPr>
              <w:t>。</w:t>
            </w:r>
          </w:p>
          <w:p w14:paraId="0C42110A">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5.成交供应商应具备符合行业规定及满足本采购项目供货所必备的仓储、交通运输等设施设备以及供应基地和人员配置等，确保产品安全储存、安全运输并按照时限要求保质保量配送至本采购项目采购人指定地点。成交供应商应配备“配送专用车”，凭专用通行证（采购人自行制定）进出交货地点。</w:t>
            </w:r>
          </w:p>
          <w:p w14:paraId="27FA20B5">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6.采购人根据实际需要，在与成交供应商约定的时间内列出需要补充配送的产品采购清单并明确送达时间、地点、接收验收人并提交成交供应商；在收到采购人发出供货配送通知后，成交供应商于次日应在采购人指定的送达时间前完成当次现场配送供货。</w:t>
            </w:r>
          </w:p>
          <w:p w14:paraId="0B9FC901">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7.紧急供货要求：在收到采购人发出紧急配送供货通知后，成交供应商应在与采购人约定的时限内完成当次现场紧急配送供货。</w:t>
            </w:r>
          </w:p>
          <w:p w14:paraId="05950E1A">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8.成交供应商必须按照采购人通知的产品配送时间、数量、品种、规格、品质等要求准点配送产品到采购人指定地点，并经</w:t>
            </w:r>
            <w:r>
              <w:rPr>
                <w:rFonts w:hint="eastAsia"/>
                <w:color w:val="000000" w:themeColor="text1"/>
                <w:highlight w:val="none"/>
                <w:lang w:val="en-US" w:eastAsia="zh-CN"/>
                <w14:textFill>
                  <w14:solidFill>
                    <w14:schemeClr w14:val="tx1"/>
                  </w14:solidFill>
                </w14:textFill>
              </w:rPr>
              <w:t>接收单位</w:t>
            </w:r>
            <w:r>
              <w:rPr>
                <w:rFonts w:hint="eastAsia" w:ascii="宋体" w:hAnsi="宋体" w:eastAsia="宋体" w:cs="Times New Roman"/>
                <w:color w:val="000000" w:themeColor="text1"/>
                <w:szCs w:val="21"/>
                <w:highlight w:val="none"/>
                <w:lang w:val="en-US" w:eastAsia="zh-CN"/>
                <w14:textFill>
                  <w14:solidFill>
                    <w14:schemeClr w14:val="tx1"/>
                  </w14:solidFill>
                </w14:textFill>
              </w:rPr>
              <w:t>对配送的产品验收合格入库后共同签字确认；不能以任何理由推托、拖延和延误，成交供应商对采购人的燃料配送某个单位某个自然日某次送货不到位的，一经采购人书面确认成交供应商配送不到位而影响采购人工作正常运转的，成交供应商应承担相应的经济赔偿，按对应的配送次数单次赔偿人民币1000元计罚赔偿款；每个月累计超过5次或每季度累计超过10次的，采购人可单方面解除本采购项目所涉及的合同，并由成交供应商自行承担所有损失及后果，因此产生的行政、刑事处罚和全部经济责任及法律责任均由成交供应商自行负责。</w:t>
            </w:r>
          </w:p>
          <w:p w14:paraId="33FE1A23">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9.货物的运输由成交供应商自行负责，并搬运入库进行安全摆放；产品质量有问题或经采购人验收不合格的，成交供应商必须无条件更换</w:t>
            </w:r>
            <w:r>
              <w:rPr>
                <w:rFonts w:hint="eastAsia" w:ascii="宋体" w:hAnsi="宋体" w:eastAsia="宋体" w:cs="Times New Roman"/>
                <w:color w:val="000000" w:themeColor="text1"/>
                <w:szCs w:val="21"/>
                <w:highlight w:val="none"/>
                <w14:textFill>
                  <w14:solidFill>
                    <w14:schemeClr w14:val="tx1"/>
                  </w14:solidFill>
                </w14:textFill>
              </w:rPr>
              <w:t>。</w:t>
            </w:r>
          </w:p>
          <w:p w14:paraId="044520D9">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六、付款</w:t>
            </w:r>
            <w:r>
              <w:rPr>
                <w:rFonts w:hint="eastAsia" w:ascii="宋体" w:hAnsi="宋体" w:eastAsia="宋体" w:cs="宋体"/>
                <w:b/>
                <w:bCs/>
                <w:color w:val="000000" w:themeColor="text1"/>
                <w:sz w:val="21"/>
                <w:szCs w:val="21"/>
                <w:highlight w:val="none"/>
                <w:lang w:eastAsia="zh-CN"/>
                <w14:textFill>
                  <w14:solidFill>
                    <w14:schemeClr w14:val="tx1"/>
                  </w14:solidFill>
                </w14:textFill>
              </w:rPr>
              <w:t>方式</w:t>
            </w:r>
          </w:p>
          <w:p w14:paraId="2A3F44E2">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本项目无预付款。</w:t>
            </w:r>
          </w:p>
          <w:p w14:paraId="774809A5">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成交供应商每月交货完毕并经采购人验收合格后，次月15日前（如遇节假日顺延），由采购人按上月实际供货验收数量及成交单价计算并结算上月合同款；具体是由采购人在收到与成交供应商核对一致的相应月份产品验收入库单据、合同款结算明细单与汇总单、请款书和产品相应月份合同款的全额发票及匹配的销售清单等后，依照现行财政纪律、单位内控制度依规办理上述款项支付手续。</w:t>
            </w:r>
          </w:p>
          <w:p w14:paraId="656BAB92">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内部审计监督及其结果应用。在依规办理产品当月合同款支付手续时，成交供应商协同采购人应按照采购人的内部监督要求的程序和方式逐月报送采购人的审计部门、监所主管部门等审核产品当月合同款，并将上述审核结果应用于产品相应月份的合同款支付；如上述审核结果于各项产品当月合同款付款前形成的，按审核结果据实结算各项产品当月合同款;如上述审核结果于各项产品当月合同款付款后形成的，采取在支付各项产品次月合同款时据实补款或扣款；由此产生的各项产品当月合同款应付金额与实付金额的差异，对成交供应商已开具的相应发票不进行更正或调换，所产生的差额在下月发票予以补齐或扣除。</w:t>
            </w:r>
          </w:p>
          <w:p w14:paraId="1E8D8152">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如合同期内最终的实际采购验收货物累计结算金额未达到合同约定总金额的，应在合同约定的总金额范围内据实结算</w:t>
            </w:r>
            <w: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t>。</w:t>
            </w:r>
          </w:p>
          <w:p w14:paraId="50431DFA">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七、履约保证金</w:t>
            </w:r>
          </w:p>
          <w:p w14:paraId="1E7FD56F">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本项目不收取履约保证金。</w:t>
            </w:r>
          </w:p>
          <w:p w14:paraId="1A2BD8EC">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八、</w:t>
            </w:r>
            <w:r>
              <w:rPr>
                <w:rFonts w:hint="eastAsia" w:ascii="宋体" w:hAnsi="宋体" w:eastAsia="宋体" w:cs="宋体"/>
                <w:b/>
                <w:bCs/>
                <w:color w:val="000000" w:themeColor="text1"/>
                <w:sz w:val="21"/>
                <w:szCs w:val="21"/>
                <w:highlight w:val="none"/>
                <w:lang w:eastAsia="zh-CN"/>
                <w14:textFill>
                  <w14:solidFill>
                    <w14:schemeClr w14:val="tx1"/>
                  </w14:solidFill>
                </w14:textFill>
              </w:rPr>
              <w:t>验收</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要求</w:t>
            </w:r>
          </w:p>
          <w:p w14:paraId="22C2A2C3">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每批次配送的产品数量以采购人所验收的数量为准。</w:t>
            </w:r>
          </w:p>
          <w:p w14:paraId="638CBBD9">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每批次配送的产品运输、配送及验收过程中造成的损耗、消耗，由成交供应商负责及时更换或补充，以达到采购人对该批次配送供货的要求；如在该批次约定交货时间内验收数量无法达到供货要求的，按本采购项的配送要求执行，所产生的一切责任由成交供应商自行承担。</w:t>
            </w:r>
          </w:p>
          <w:p w14:paraId="1DC107C2">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成交供应商每次的随货的送货清单，经采购人指定管理人员验货后签字确定，清单上注明产品的名称、规格、重量、单价、金额，采购人和成交供应商双方各执一份，以此作为结算时的依据之一。</w:t>
            </w:r>
          </w:p>
          <w:p w14:paraId="4CDB36CA">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成交供应商应保证所有提供的产品必须是合格安全的产品，因产品质量问题等发生事故，由成交供应商承担经济赔偿责任及其他法律责任；对不符合《中华人民共和国产品质量法》、《中华人民共和国消费者权益保护法》、《中华人民共和国计量法》等有关规定的产品，采购人有权拒绝收货。</w:t>
            </w:r>
          </w:p>
          <w:p w14:paraId="49F5D4ED">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每批次配送的产品验收工作由采购人和成交供应商共同现场实地开展。成交供应商提供的每批次配送的产品，须经过采购人指定管理人员的感官检验、外观检验和试用检验等；必要时可送省级及以上有相应资质的第三方检验机构进行检验；验收时，成交供应商所提供的产品在采购人验收入库时如发现以下问题必须及时无条件退换产品：①感官品质质量不符合规定要求；②超过保质期限；③其他不符合安全标准和要求的产品等。</w:t>
            </w:r>
          </w:p>
          <w:p w14:paraId="6F291120">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每批次配送的产品经采购人和成交供应商验收合格后，成交供应商所提供的产品虽经采购人抽检验收，但在使用过程中发现产品存在质量问题的，成交供应商应及时无条件给予退换产品。经采购人开展本采购项目的合同履约过程动态评价，书面确认成交供应商不能满足本采购项所需的产品质量、数量、配送时间及售后服务要求时，采购人可单方面解除本采购项所涉及的合同，并由成交供应商自行承担所有损失及后果，因此产生的行政、刑事处罚和全部经济责任及法律责任均由成交供应商自行负责。</w:t>
            </w:r>
          </w:p>
          <w:p w14:paraId="0D8650C7">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验收工作的一般程序为：根据产品请购清单的具体要求，对所购配送的产品进行清点、外观检查以及对产品的各项指标等进行实测，并逐项记录。检测结束后，验收人员在验收单上签字。对未能通过验收的，一律退货、更换直至验收合格。</w:t>
            </w:r>
          </w:p>
          <w:p w14:paraId="40226CE7">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依据产品质量监督检验所等相关质量标准，成交供应商提供的产品应根据有关法律法规经过质量监督管理部门等的有效检验并取得相关合格合规证明的产品，每批次产品提供时应按照采购人要求随时提供产品相关的质量合格证明、产品质量检测合格报告等复印件。</w:t>
            </w:r>
            <w:r>
              <w:rPr>
                <w:rFonts w:hint="eastAsia" w:ascii="宋体" w:hAnsi="宋体" w:cs="宋体"/>
                <w:color w:val="000000" w:themeColor="text1"/>
                <w:szCs w:val="21"/>
                <w:highlight w:val="none"/>
                <w:lang w:val="en-US" w:eastAsia="zh-CN"/>
                <w14:textFill>
                  <w14:solidFill>
                    <w14:schemeClr w14:val="tx1"/>
                  </w14:solidFill>
                </w14:textFill>
              </w:rPr>
              <w:t>如项目验收在新标准实施日期（2026年9月1日）之前完成，适用GB 16663-1996；如项目验收跨越该日期，则按照新标准执行或作出相应调整。</w:t>
            </w:r>
          </w:p>
          <w:p w14:paraId="3FF39A86">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0" w:firstLineChars="200"/>
              <w:textAlignment w:val="auto"/>
              <w:outlineLvl w:val="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成交供应商每次供货应提供盖章（或签字）的送货单；掺杂掺假、有害有毒的产品（或产品原料）以及产品无产地、无厂名、无生产日期和保质期或标志不清、超过保质期限的，成交供应商不得配送供货，采购人应当不予接收</w:t>
            </w:r>
            <w:r>
              <w:rPr>
                <w:rFonts w:hint="eastAsia" w:ascii="宋体" w:hAnsi="宋体"/>
                <w:color w:val="000000" w:themeColor="text1"/>
                <w:szCs w:val="21"/>
                <w:highlight w:val="none"/>
                <w14:textFill>
                  <w14:solidFill>
                    <w14:schemeClr w14:val="tx1"/>
                  </w14:solidFill>
                </w14:textFill>
              </w:rPr>
              <w:t>。</w:t>
            </w:r>
          </w:p>
          <w:p w14:paraId="67367158">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textAlignment w:val="auto"/>
              <w:outlineLvl w:val="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九、</w:t>
            </w:r>
            <w:r>
              <w:rPr>
                <w:rFonts w:hint="eastAsia" w:ascii="宋体" w:hAnsi="宋体" w:eastAsia="宋体" w:cs="宋体"/>
                <w:b/>
                <w:bCs/>
                <w:color w:val="000000" w:themeColor="text1"/>
                <w:sz w:val="21"/>
                <w:szCs w:val="21"/>
                <w:highlight w:val="none"/>
                <w:lang w:eastAsia="zh-CN"/>
                <w14:textFill>
                  <w14:solidFill>
                    <w14:schemeClr w14:val="tx1"/>
                  </w14:solidFill>
                </w14:textFill>
              </w:rPr>
              <w:t>其他要求</w:t>
            </w:r>
          </w:p>
          <w:p w14:paraId="7B259575">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2" w:firstLineChars="200"/>
              <w:textAlignment w:val="auto"/>
              <w:outlineLvl w:val="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14:textFill>
                  <w14:solidFill>
                    <w14:schemeClr w14:val="tx1"/>
                  </w14:solidFill>
                </w14:textFill>
              </w:rPr>
              <w:t>.留样管理</w:t>
            </w:r>
          </w:p>
          <w:p w14:paraId="33F81E67">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（1）成交供应商每批次配送的产品，均由采购人依照公安内部管理相关规章制度与成交供应商共同开展产品留样工作，留样采集时应使用经消毒的专用取样工具取、存样本。</w:t>
            </w:r>
          </w:p>
          <w:p w14:paraId="6F933A35">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（2）留样分别由采购人和成交供应商各留足至少100毫升，分别盛放在已消毒的专用器皿中。</w:t>
            </w:r>
          </w:p>
          <w:p w14:paraId="25BC309C">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（3）产品采集取样后，相应的样本应立即存放在完好的物理隔离物（箱、罩、瓶等）内，以免被污染、损毁等，并在其外部贴上标签、标明留样日期、时间、品名、留样采集人和保管责任人。</w:t>
            </w:r>
          </w:p>
          <w:p w14:paraId="74A41F60">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（4）将贴好标签的留样按秩序分别存放在采购人和成交供应商专用箱内妥善保存，并动态登记各自的业务管理台账。</w:t>
            </w:r>
          </w:p>
          <w:p w14:paraId="48CC847E">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5）留样保存至该相关批次配送的燃料用尽后，使用如无异常，即可处理留样并各自在采购人和成交供应商的业务管理台账中据实登记；如有异常，应当同步立即封存留样，由采购人和成交供应商共同送省级及以上有相应资质的第三方检验机构进行检验。</w:t>
            </w:r>
          </w:p>
          <w:p w14:paraId="44372800">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（6）留样存储的专用箱为专用器具，严禁存放与留样无关的一切物品。</w:t>
            </w:r>
          </w:p>
          <w:p w14:paraId="69376B51">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（7）留样、检验工作等造成的产品损耗、消耗由成交供应商承担。</w:t>
            </w:r>
          </w:p>
          <w:p w14:paraId="0F7CCDB1">
            <w:pPr>
              <w:keepNext w:val="0"/>
              <w:keepLines w:val="0"/>
              <w:pageBreakBefore w:val="0"/>
              <w:widowControl w:val="0"/>
              <w:tabs>
                <w:tab w:val="left" w:pos="611"/>
              </w:tabs>
              <w:kinsoku/>
              <w:wordWrap/>
              <w:overflowPunct/>
              <w:topLinePunct w:val="0"/>
              <w:autoSpaceDE w:val="0"/>
              <w:autoSpaceDN w:val="0"/>
              <w:bidi w:val="0"/>
              <w:adjustRightInd/>
              <w:spacing w:line="400" w:lineRule="atLeast"/>
              <w:ind w:firstLine="420" w:firstLineChars="200"/>
              <w:jc w:val="left"/>
              <w:textAlignment w:val="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（8）若抽样检查出现不合格产品的，采购人可单方面解除本采购项所涉及的合同，并由成交供应商自行承担所有损失及后果，因此产生的行政、刑事处罚和全部经济责任及法律责任均由成交供应商自行负责。</w:t>
            </w:r>
          </w:p>
          <w:p w14:paraId="592DE3BF">
            <w:pPr>
              <w:keepNext w:val="0"/>
              <w:keepLines w:val="0"/>
              <w:pageBreakBefore w:val="0"/>
              <w:widowControl w:val="0"/>
              <w:numPr>
                <w:ilvl w:val="0"/>
                <w:numId w:val="0"/>
              </w:numPr>
              <w:kinsoku/>
              <w:wordWrap/>
              <w:overflowPunct/>
              <w:topLinePunct w:val="0"/>
              <w:autoSpaceDE/>
              <w:autoSpaceDN/>
              <w:bidi w:val="0"/>
              <w:adjustRightInd/>
              <w:snapToGrid w:val="0"/>
              <w:spacing w:line="400" w:lineRule="atLeast"/>
              <w:ind w:firstLine="422" w:firstLineChars="200"/>
              <w:textAlignment w:val="auto"/>
              <w:outlineLvl w:val="0"/>
              <w:rPr>
                <w:rFonts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val="zh-CN" w:bidi="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报价必须含以下部分，</w:t>
            </w:r>
            <w:r>
              <w:rPr>
                <w:rFonts w:hint="eastAsia" w:ascii="宋体" w:hAnsi="宋体"/>
                <w:color w:val="000000" w:themeColor="text1"/>
                <w:szCs w:val="21"/>
                <w:highlight w:val="none"/>
                <w14:textFill>
                  <w14:solidFill>
                    <w14:schemeClr w14:val="tx1"/>
                  </w14:solidFill>
                </w14:textFill>
              </w:rPr>
              <w:t>竞</w:t>
            </w:r>
            <w:r>
              <w:rPr>
                <w:rFonts w:ascii="宋体" w:hAnsi="宋体"/>
                <w:color w:val="000000" w:themeColor="text1"/>
                <w:szCs w:val="21"/>
                <w:highlight w:val="none"/>
                <w14:textFill>
                  <w14:solidFill>
                    <w14:schemeClr w14:val="tx1"/>
                  </w14:solidFill>
                </w14:textFill>
              </w:rPr>
              <w:t>标报价为采购人指定地点的现场交货价以及合同履约包含的所有风险</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责任等各项应有费用</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原则上采购人不再支付任何费用</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包括：</w:t>
            </w:r>
          </w:p>
          <w:p w14:paraId="4F8353A1">
            <w:pPr>
              <w:keepNext w:val="0"/>
              <w:keepLines w:val="0"/>
              <w:pageBreakBefore w:val="0"/>
              <w:widowControl w:val="0"/>
              <w:kinsoku/>
              <w:wordWrap/>
              <w:overflowPunct/>
              <w:topLinePunct w:val="0"/>
              <w:autoSpaceDE w:val="0"/>
              <w:autoSpaceDN w:val="0"/>
              <w:bidi w:val="0"/>
              <w:adjustRightInd/>
              <w:spacing w:line="400" w:lineRule="atLeas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olor w:val="000000" w:themeColor="text1"/>
                <w:szCs w:val="21"/>
                <w:highlight w:val="none"/>
                <w14:textFill>
                  <w14:solidFill>
                    <w14:schemeClr w14:val="tx1"/>
                  </w14:solidFill>
                </w14:textFill>
              </w:rPr>
              <w:t>产品</w:t>
            </w:r>
            <w:r>
              <w:rPr>
                <w:rFonts w:ascii="宋体" w:hAnsi="宋体"/>
                <w:color w:val="000000" w:themeColor="text1"/>
                <w:szCs w:val="21"/>
                <w:highlight w:val="none"/>
                <w14:textFill>
                  <w14:solidFill>
                    <w14:schemeClr w14:val="tx1"/>
                  </w14:solidFill>
                </w14:textFill>
              </w:rPr>
              <w:t>及标准附件</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专用工具</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包装</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加工</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保质期内服务价格</w:t>
            </w:r>
            <w:r>
              <w:rPr>
                <w:rFonts w:hint="eastAsia" w:ascii="宋体" w:hAnsi="宋体"/>
                <w:color w:val="000000" w:themeColor="text1"/>
                <w:szCs w:val="21"/>
                <w:highlight w:val="none"/>
                <w14:textFill>
                  <w14:solidFill>
                    <w14:schemeClr w14:val="tx1"/>
                  </w14:solidFill>
                </w14:textFill>
              </w:rPr>
              <w:t>；</w:t>
            </w:r>
          </w:p>
          <w:p w14:paraId="75CCA208">
            <w:pPr>
              <w:keepNext w:val="0"/>
              <w:keepLines w:val="0"/>
              <w:pageBreakBefore w:val="0"/>
              <w:widowControl w:val="0"/>
              <w:kinsoku/>
              <w:wordWrap/>
              <w:overflowPunct/>
              <w:topLinePunct w:val="0"/>
              <w:autoSpaceDE w:val="0"/>
              <w:autoSpaceDN w:val="0"/>
              <w:bidi w:val="0"/>
              <w:adjustRightInd/>
              <w:spacing w:line="400" w:lineRule="atLeas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rFonts w:ascii="宋体" w:hAnsi="宋体"/>
                <w:color w:val="000000" w:themeColor="text1"/>
                <w:szCs w:val="21"/>
                <w:highlight w:val="none"/>
                <w14:textFill>
                  <w14:solidFill>
                    <w14:schemeClr w14:val="tx1"/>
                  </w14:solidFill>
                </w14:textFill>
              </w:rPr>
              <w:t>仓储</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包装、运输、搬运、</w:t>
            </w:r>
            <w:r>
              <w:rPr>
                <w:rFonts w:hint="eastAsia" w:ascii="宋体" w:hAnsi="宋体"/>
                <w:color w:val="000000" w:themeColor="text1"/>
                <w:szCs w:val="21"/>
                <w:highlight w:val="none"/>
                <w14:textFill>
                  <w14:solidFill>
                    <w14:schemeClr w14:val="tx1"/>
                  </w14:solidFill>
                </w14:textFill>
              </w:rPr>
              <w:t>装卸、装卸、</w:t>
            </w:r>
            <w:r>
              <w:rPr>
                <w:rFonts w:ascii="宋体" w:hAnsi="宋体"/>
                <w:color w:val="000000" w:themeColor="text1"/>
                <w:szCs w:val="21"/>
                <w:highlight w:val="none"/>
                <w14:textFill>
                  <w14:solidFill>
                    <w14:schemeClr w14:val="tx1"/>
                  </w14:solidFill>
                </w14:textFill>
              </w:rPr>
              <w:t>售后服务</w:t>
            </w:r>
            <w:r>
              <w:rPr>
                <w:rFonts w:hint="eastAsia" w:ascii="宋体" w:hAnsi="宋体"/>
                <w:color w:val="000000" w:themeColor="text1"/>
                <w:szCs w:val="21"/>
                <w:highlight w:val="none"/>
                <w14:textFill>
                  <w14:solidFill>
                    <w14:schemeClr w14:val="tx1"/>
                  </w14:solidFill>
                </w14:textFill>
              </w:rPr>
              <w:t>、日常存储、备检、安全</w:t>
            </w:r>
            <w:r>
              <w:rPr>
                <w:rFonts w:ascii="宋体" w:hAnsi="宋体"/>
                <w:color w:val="000000" w:themeColor="text1"/>
                <w:szCs w:val="21"/>
                <w:highlight w:val="none"/>
                <w14:textFill>
                  <w14:solidFill>
                    <w14:schemeClr w14:val="tx1"/>
                  </w14:solidFill>
                </w14:textFill>
              </w:rPr>
              <w:t>等相关费用</w:t>
            </w:r>
            <w:r>
              <w:rPr>
                <w:rFonts w:hint="eastAsia" w:ascii="宋体" w:hAnsi="宋体"/>
                <w:color w:val="000000" w:themeColor="text1"/>
                <w:szCs w:val="21"/>
                <w:highlight w:val="none"/>
                <w14:textFill>
                  <w14:solidFill>
                    <w14:schemeClr w14:val="tx1"/>
                  </w14:solidFill>
                </w14:textFill>
              </w:rPr>
              <w:t>；</w:t>
            </w:r>
          </w:p>
          <w:p w14:paraId="150B9515">
            <w:pPr>
              <w:keepNext w:val="0"/>
              <w:keepLines w:val="0"/>
              <w:pageBreakBefore w:val="0"/>
              <w:widowControl w:val="0"/>
              <w:kinsoku/>
              <w:wordWrap/>
              <w:overflowPunct/>
              <w:topLinePunct w:val="0"/>
              <w:autoSpaceDE w:val="0"/>
              <w:autoSpaceDN w:val="0"/>
              <w:bidi w:val="0"/>
              <w:adjustRightInd/>
              <w:spacing w:line="400" w:lineRule="atLeas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rFonts w:hint="eastAsia" w:ascii="宋体" w:hAnsi="宋体"/>
                <w:color w:val="000000" w:themeColor="text1"/>
                <w:szCs w:val="21"/>
                <w:highlight w:val="none"/>
                <w14:textFill>
                  <w14:solidFill>
                    <w14:schemeClr w14:val="tx1"/>
                  </w14:solidFill>
                </w14:textFill>
              </w:rPr>
              <w:t>人员</w:t>
            </w:r>
            <w:r>
              <w:rPr>
                <w:rFonts w:ascii="宋体" w:hAnsi="宋体"/>
                <w:color w:val="000000" w:themeColor="text1"/>
                <w:szCs w:val="21"/>
                <w:highlight w:val="none"/>
                <w14:textFill>
                  <w14:solidFill>
                    <w14:schemeClr w14:val="tx1"/>
                  </w14:solidFill>
                </w14:textFill>
              </w:rPr>
              <w:t>的工资</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加班费及必要的保险费用和各种税费；</w:t>
            </w:r>
          </w:p>
          <w:p w14:paraId="67EFD1DD">
            <w:pPr>
              <w:keepNext w:val="0"/>
              <w:keepLines w:val="0"/>
              <w:pageBreakBefore w:val="0"/>
              <w:widowControl w:val="0"/>
              <w:kinsoku/>
              <w:wordWrap/>
              <w:overflowPunct/>
              <w:topLinePunct w:val="0"/>
              <w:autoSpaceDE w:val="0"/>
              <w:autoSpaceDN w:val="0"/>
              <w:bidi w:val="0"/>
              <w:adjustRightInd/>
              <w:spacing w:line="400" w:lineRule="atLeas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④验收</w:t>
            </w:r>
            <w:r>
              <w:rPr>
                <w:rFonts w:ascii="宋体" w:hAnsi="宋体"/>
                <w:color w:val="000000" w:themeColor="text1"/>
                <w:szCs w:val="21"/>
                <w:highlight w:val="none"/>
                <w14:textFill>
                  <w14:solidFill>
                    <w14:schemeClr w14:val="tx1"/>
                  </w14:solidFill>
                </w14:textFill>
              </w:rPr>
              <w:t>过程当中所产生的一切费用均由</w:t>
            </w:r>
            <w:r>
              <w:rPr>
                <w:rFonts w:hint="eastAsia" w:ascii="宋体" w:hAnsi="宋体"/>
                <w:color w:val="000000" w:themeColor="text1"/>
                <w:szCs w:val="21"/>
                <w:highlight w:val="none"/>
                <w14:textFill>
                  <w14:solidFill>
                    <w14:schemeClr w14:val="tx1"/>
                  </w14:solidFill>
                </w14:textFill>
              </w:rPr>
              <w:t>成交供应商</w:t>
            </w:r>
            <w:r>
              <w:rPr>
                <w:rFonts w:ascii="宋体" w:hAnsi="宋体"/>
                <w:color w:val="000000" w:themeColor="text1"/>
                <w:szCs w:val="21"/>
                <w:highlight w:val="none"/>
                <w14:textFill>
                  <w14:solidFill>
                    <w14:schemeClr w14:val="tx1"/>
                  </w14:solidFill>
                </w14:textFill>
              </w:rPr>
              <w:t>承担</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包括产品送交第三方检测机构检测及出具检测报告费用</w:t>
            </w:r>
            <w:r>
              <w:rPr>
                <w:rFonts w:hint="eastAsia" w:ascii="宋体" w:hAnsi="宋体"/>
                <w:color w:val="000000" w:themeColor="text1"/>
                <w:szCs w:val="21"/>
                <w:highlight w:val="none"/>
                <w14:textFill>
                  <w14:solidFill>
                    <w14:schemeClr w14:val="tx1"/>
                  </w14:solidFill>
                </w14:textFill>
              </w:rPr>
              <w:t>；</w:t>
            </w:r>
          </w:p>
          <w:p w14:paraId="1E97E7B7">
            <w:pPr>
              <w:keepNext w:val="0"/>
              <w:keepLines w:val="0"/>
              <w:pageBreakBefore w:val="0"/>
              <w:widowControl w:val="0"/>
              <w:kinsoku/>
              <w:wordWrap/>
              <w:overflowPunct/>
              <w:topLinePunct w:val="0"/>
              <w:autoSpaceDE w:val="0"/>
              <w:autoSpaceDN w:val="0"/>
              <w:bidi w:val="0"/>
              <w:adjustRightInd/>
              <w:spacing w:line="400" w:lineRule="atLeas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⑤</w:t>
            </w:r>
            <w:r>
              <w:rPr>
                <w:rFonts w:ascii="宋体" w:hAnsi="宋体"/>
                <w:color w:val="000000" w:themeColor="text1"/>
                <w:szCs w:val="21"/>
                <w:highlight w:val="none"/>
                <w14:textFill>
                  <w14:solidFill>
                    <w14:schemeClr w14:val="tx1"/>
                  </w14:solidFill>
                </w14:textFill>
              </w:rPr>
              <w:t>货物、</w:t>
            </w:r>
            <w:r>
              <w:rPr>
                <w:rFonts w:hint="eastAsia" w:ascii="宋体" w:hAnsi="宋体"/>
                <w:color w:val="000000" w:themeColor="text1"/>
                <w:szCs w:val="21"/>
                <w:highlight w:val="none"/>
                <w14:textFill>
                  <w14:solidFill>
                    <w14:schemeClr w14:val="tx1"/>
                  </w14:solidFill>
                </w14:textFill>
              </w:rPr>
              <w:t>售后</w:t>
            </w:r>
            <w:r>
              <w:rPr>
                <w:rFonts w:ascii="宋体" w:hAnsi="宋体"/>
                <w:color w:val="000000" w:themeColor="text1"/>
                <w:szCs w:val="21"/>
                <w:highlight w:val="none"/>
                <w14:textFill>
                  <w14:solidFill>
                    <w14:schemeClr w14:val="tx1"/>
                  </w14:solidFill>
                </w14:textFill>
              </w:rPr>
              <w:t>服务的价格</w:t>
            </w:r>
            <w:r>
              <w:rPr>
                <w:rFonts w:hint="eastAsia" w:ascii="宋体" w:hAnsi="宋体"/>
                <w:color w:val="000000" w:themeColor="text1"/>
                <w:szCs w:val="21"/>
                <w:highlight w:val="none"/>
                <w14:textFill>
                  <w14:solidFill>
                    <w14:schemeClr w14:val="tx1"/>
                  </w14:solidFill>
                </w14:textFill>
              </w:rPr>
              <w:t>。</w:t>
            </w:r>
          </w:p>
          <w:p w14:paraId="4DBC85C1">
            <w:pPr>
              <w:keepNext w:val="0"/>
              <w:keepLines w:val="0"/>
              <w:pageBreakBefore w:val="0"/>
              <w:widowControl w:val="0"/>
              <w:kinsoku/>
              <w:wordWrap/>
              <w:overflowPunct/>
              <w:topLinePunct w:val="0"/>
              <w:bidi w:val="0"/>
              <w:adjustRightInd/>
              <w:spacing w:line="400" w:lineRule="atLeast"/>
              <w:ind w:firstLine="422" w:firstLineChars="200"/>
              <w:textAlignment w:val="auto"/>
              <w:rPr>
                <w:rFonts w:hint="eastAsia" w:ascii="宋体" w:hAnsi="宋体"/>
                <w:b/>
                <w:bCs/>
                <w:color w:val="000000" w:themeColor="text1"/>
                <w:sz w:val="22"/>
                <w:szCs w:val="22"/>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注：本项目采购</w:t>
            </w:r>
            <w:r>
              <w:rPr>
                <w:rFonts w:hint="eastAsia"/>
                <w:b/>
                <w:bCs/>
                <w:color w:val="000000" w:themeColor="text1"/>
                <w:sz w:val="21"/>
                <w:szCs w:val="21"/>
                <w:highlight w:val="none"/>
                <w:lang w:eastAsia="zh-CN"/>
                <w14:textFill>
                  <w14:solidFill>
                    <w14:schemeClr w14:val="tx1"/>
                  </w14:solidFill>
                </w14:textFill>
              </w:rPr>
              <w:t>数量</w:t>
            </w:r>
            <w:r>
              <w:rPr>
                <w:rFonts w:hint="eastAsia"/>
                <w:b/>
                <w:bCs/>
                <w:color w:val="000000" w:themeColor="text1"/>
                <w:sz w:val="21"/>
                <w:szCs w:val="21"/>
                <w:highlight w:val="none"/>
                <w14:textFill>
                  <w14:solidFill>
                    <w14:schemeClr w14:val="tx1"/>
                  </w14:solidFill>
                </w14:textFill>
              </w:rPr>
              <w:t>具体以采购单位通知实际采购数量为准。本项目以单价形式报价，供应商所提交的报价不得超过预算单价，否则按无效报价处理。</w:t>
            </w:r>
          </w:p>
          <w:p w14:paraId="0217C046">
            <w:pPr>
              <w:keepNext w:val="0"/>
              <w:keepLines w:val="0"/>
              <w:pageBreakBefore w:val="0"/>
              <w:widowControl w:val="0"/>
              <w:kinsoku/>
              <w:wordWrap/>
              <w:overflowPunct/>
              <w:topLinePunct w:val="0"/>
              <w:autoSpaceDE/>
              <w:autoSpaceDN/>
              <w:bidi w:val="0"/>
              <w:adjustRightInd/>
              <w:snapToGrid/>
              <w:spacing w:line="400" w:lineRule="atLeast"/>
              <w:ind w:firstLine="422"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竞标</w:t>
            </w:r>
            <w:r>
              <w:rPr>
                <w:rFonts w:hint="eastAsia" w:ascii="宋体" w:hAnsi="宋体" w:eastAsia="宋体" w:cs="Times New Roman"/>
                <w:b w:val="0"/>
                <w:bCs w:val="0"/>
                <w:color w:val="000000" w:themeColor="text1"/>
                <w:szCs w:val="21"/>
                <w:highlight w:val="none"/>
                <w14:textFill>
                  <w14:solidFill>
                    <w14:schemeClr w14:val="tx1"/>
                  </w14:solidFill>
                </w14:textFill>
              </w:rPr>
              <w:t>报价</w:t>
            </w:r>
            <w:r>
              <w:rPr>
                <w:rFonts w:hint="eastAsia" w:ascii="宋体" w:hAnsi="宋体"/>
                <w:color w:val="000000" w:themeColor="text1"/>
                <w:szCs w:val="21"/>
                <w:highlight w:val="none"/>
                <w14:textFill>
                  <w14:solidFill>
                    <w14:schemeClr w14:val="tx1"/>
                  </w14:solidFill>
                </w14:textFill>
              </w:rPr>
              <w:t>需标明每</w:t>
            </w:r>
            <w:r>
              <w:rPr>
                <w:rFonts w:hint="eastAsia" w:ascii="宋体" w:hAnsi="宋体"/>
                <w:color w:val="000000" w:themeColor="text1"/>
                <w:szCs w:val="21"/>
                <w:highlight w:val="none"/>
                <w:lang w:val="en-US" w:eastAsia="zh-CN"/>
                <w14:textFill>
                  <w14:solidFill>
                    <w14:schemeClr w14:val="tx1"/>
                  </w14:solidFill>
                </w14:textFill>
              </w:rPr>
              <w:t>升</w:t>
            </w:r>
            <w:r>
              <w:rPr>
                <w:rFonts w:hint="eastAsia" w:ascii="宋体" w:hAnsi="宋体"/>
                <w:color w:val="000000" w:themeColor="text1"/>
                <w:szCs w:val="21"/>
                <w:highlight w:val="none"/>
                <w14:textFill>
                  <w14:solidFill>
                    <w14:schemeClr w14:val="tx1"/>
                  </w14:solidFill>
                </w14:textFill>
              </w:rPr>
              <w:t>单价,</w:t>
            </w:r>
            <w:r>
              <w:rPr>
                <w:rFonts w:hint="eastAsia" w:ascii="宋体" w:hAnsi="宋体"/>
                <w:b/>
                <w:bCs w:val="0"/>
                <w:color w:val="000000" w:themeColor="text1"/>
                <w:szCs w:val="21"/>
                <w:highlight w:val="none"/>
                <w14:textFill>
                  <w14:solidFill>
                    <w14:schemeClr w14:val="tx1"/>
                  </w14:solidFill>
                </w14:textFill>
              </w:rPr>
              <w:t>每</w:t>
            </w:r>
            <w:r>
              <w:rPr>
                <w:rFonts w:hint="eastAsia" w:ascii="宋体" w:hAnsi="宋体"/>
                <w:b/>
                <w:bCs w:val="0"/>
                <w:color w:val="000000" w:themeColor="text1"/>
                <w:szCs w:val="21"/>
                <w:highlight w:val="none"/>
                <w:lang w:val="en-US" w:eastAsia="zh-CN"/>
                <w14:textFill>
                  <w14:solidFill>
                    <w14:schemeClr w14:val="tx1"/>
                  </w14:solidFill>
                </w14:textFill>
              </w:rPr>
              <w:t>升</w:t>
            </w:r>
            <w:r>
              <w:rPr>
                <w:rFonts w:hint="eastAsia" w:ascii="宋体" w:hAnsi="宋体"/>
                <w:b/>
                <w:bCs w:val="0"/>
                <w:color w:val="000000" w:themeColor="text1"/>
                <w:szCs w:val="21"/>
                <w:highlight w:val="none"/>
                <w14:textFill>
                  <w14:solidFill>
                    <w14:schemeClr w14:val="tx1"/>
                  </w14:solidFill>
                </w14:textFill>
              </w:rPr>
              <w:t>单价不得超过</w:t>
            </w:r>
            <w:r>
              <w:rPr>
                <w:rFonts w:hint="eastAsia" w:ascii="宋体" w:hAnsi="宋体"/>
                <w:b/>
                <w:bCs w:val="0"/>
                <w:color w:val="000000" w:themeColor="text1"/>
                <w:sz w:val="21"/>
                <w:szCs w:val="21"/>
                <w:highlight w:val="none"/>
                <w:lang w:val="en-US" w:eastAsia="zh-CN"/>
                <w14:textFill>
                  <w14:solidFill>
                    <w14:schemeClr w14:val="tx1"/>
                  </w14:solidFill>
                </w14:textFill>
              </w:rPr>
              <w:t>3.2</w:t>
            </w:r>
            <w:r>
              <w:rPr>
                <w:rFonts w:ascii="宋体" w:hAnsi="宋体"/>
                <w:b/>
                <w:bCs w:val="0"/>
                <w:color w:val="000000" w:themeColor="text1"/>
                <w:szCs w:val="21"/>
                <w:highlight w:val="none"/>
                <w14:textFill>
                  <w14:solidFill>
                    <w14:schemeClr w14:val="tx1"/>
                  </w14:solidFill>
                </w14:textFill>
              </w:rPr>
              <w:t>元</w:t>
            </w:r>
            <w:r>
              <w:rPr>
                <w:rFonts w:hint="eastAsia" w:ascii="宋体" w:hAnsi="宋体"/>
                <w:color w:val="000000" w:themeColor="text1"/>
                <w:szCs w:val="21"/>
                <w:highlight w:val="none"/>
                <w14:textFill>
                  <w14:solidFill>
                    <w14:schemeClr w14:val="tx1"/>
                  </w14:solidFill>
                </w14:textFill>
              </w:rPr>
              <w:t>。实际数量以采购人验收为准，结算按</w:t>
            </w:r>
            <w:r>
              <w:rPr>
                <w:rFonts w:hint="eastAsia" w:ascii="宋体" w:hAnsi="宋体"/>
                <w:color w:val="000000" w:themeColor="text1"/>
                <w:szCs w:val="21"/>
                <w:highlight w:val="none"/>
                <w:lang w:eastAsia="zh-CN"/>
                <w14:textFill>
                  <w14:solidFill>
                    <w14:schemeClr w14:val="tx1"/>
                  </w14:solidFill>
                </w14:textFill>
              </w:rPr>
              <w:t>竞标</w:t>
            </w:r>
            <w:r>
              <w:rPr>
                <w:rFonts w:hint="eastAsia" w:ascii="宋体" w:hAnsi="宋体"/>
                <w:color w:val="000000" w:themeColor="text1"/>
                <w:szCs w:val="21"/>
                <w:highlight w:val="none"/>
                <w14:textFill>
                  <w14:solidFill>
                    <w14:schemeClr w14:val="tx1"/>
                  </w14:solidFill>
                </w14:textFill>
              </w:rPr>
              <w:t>报价单价和实际采购数量进行结算。采购人需追加与合同标的相同的产品，在不改变原合同条款且已依规落实相应资金的前提下，可从成交供应商处追加购买上述产品，所签订的相关补充购买合同金额累计不超过本采购项目的合同金额的10%。</w:t>
            </w:r>
          </w:p>
          <w:p w14:paraId="30A0D6BD">
            <w:pPr>
              <w:keepNext w:val="0"/>
              <w:keepLines w:val="0"/>
              <w:pageBreakBefore w:val="0"/>
              <w:widowControl w:val="0"/>
              <w:kinsoku/>
              <w:wordWrap/>
              <w:overflowPunct/>
              <w:topLinePunct w:val="0"/>
              <w:autoSpaceDE/>
              <w:autoSpaceDN/>
              <w:bidi w:val="0"/>
              <w:adjustRightInd/>
              <w:snapToGrid/>
              <w:spacing w:line="400" w:lineRule="atLeast"/>
              <w:ind w:firstLine="422"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.退出</w:t>
            </w:r>
            <w:r>
              <w:rPr>
                <w:rFonts w:hint="eastAsia" w:ascii="宋体" w:hAnsi="宋体" w:eastAsia="宋体" w:cs="Times New Roman"/>
                <w:b w:val="0"/>
                <w:bCs w:val="0"/>
                <w:color w:val="000000" w:themeColor="text1"/>
                <w:szCs w:val="21"/>
                <w:highlight w:val="none"/>
                <w14:textFill>
                  <w14:solidFill>
                    <w14:schemeClr w14:val="tx1"/>
                  </w14:solidFill>
                </w14:textFill>
              </w:rPr>
              <w:t>机制</w:t>
            </w:r>
            <w:r>
              <w:rPr>
                <w:rFonts w:hint="eastAsia" w:ascii="宋体" w:hAnsi="宋体"/>
                <w:color w:val="000000" w:themeColor="text1"/>
                <w:szCs w:val="21"/>
                <w:highlight w:val="none"/>
                <w14:textFill>
                  <w14:solidFill>
                    <w14:schemeClr w14:val="tx1"/>
                  </w14:solidFill>
                </w14:textFill>
              </w:rPr>
              <w:t>及违约责任</w:t>
            </w:r>
          </w:p>
          <w:p w14:paraId="5F3E828F">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成交供应商在本采购项目的合同履约过程中出现下列情形并经采购人书面确认的，采购人可单方面解除本采购项所涉及的合同，并由成交供应商自行承担所有损失及后果，因此产生的行政、刑事处罚和全部经济责任及法律责任均由成交供应商自行负责</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同时采购人有权将有关情况上报南宁市政府采购监督管理部门依法依规进行处理：</w:t>
            </w:r>
          </w:p>
          <w:p w14:paraId="673DFCBB">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①成交供应商达不到本采购项目约定的相关服务要求、承诺等，供货出现问题，影响采购人相关工作、业务正常运转或是形成实际无法履约的；</w:t>
            </w:r>
          </w:p>
          <w:p w14:paraId="10339FC8">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②成交供应商有违反《中华人民共和国产品质量法》、《中华人民共和国消费者权益保护法》、《中华人民共和国计量法》等现行相关法律、法规的行为，受到相关单位或部门处罚的；</w:t>
            </w:r>
          </w:p>
          <w:p w14:paraId="4978D691">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③采购人发现成交供应商提供的产品存在“以次充好”、产品质量不达标的；</w:t>
            </w:r>
          </w:p>
          <w:p w14:paraId="414B9E61">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④采购人发现成交供应商存在擅自将本项目或合同等转包、分包或部分转包、分包给第三方的；</w:t>
            </w:r>
          </w:p>
          <w:p w14:paraId="70A80C0D">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⑤成交供应商的相关证照被行政主管部门吊销的。</w:t>
            </w:r>
          </w:p>
          <w:p w14:paraId="65F317F3">
            <w:pPr>
              <w:keepNext w:val="0"/>
              <w:keepLines w:val="0"/>
              <w:pageBreakBefore w:val="0"/>
              <w:widowControl w:val="0"/>
              <w:kinsoku/>
              <w:wordWrap/>
              <w:overflowPunct/>
              <w:topLinePunct w:val="0"/>
              <w:bidi w:val="0"/>
              <w:adjustRightInd/>
              <w:spacing w:line="400" w:lineRule="atLeas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2）成交供应商在本采购项目的合同履约过程中出现下列情形并经采购人书面确认的，采购人与成交供应商除同步采取全部退（换）货措施外，采购人有权向成交供应商要求支付违约金，违约金计算方式为按采购人书面确认的次数，以每次按本采购项的采购总预算的1%计算、支付违约金；每个月累计超过5次或每季度累计超过10次的，采购人可单方面解除本采购项所涉及的合同，并由成交供应商自行承担所有损失及后果，因此产生的行政、刑事处罚和全部经济责任及法律责任均由成交供应商自行负责：</w:t>
            </w:r>
          </w:p>
          <w:p w14:paraId="1A6B9E8C">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①提供超过保质期的产品；</w:t>
            </w:r>
          </w:p>
          <w:p w14:paraId="436F7493">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②提供变质、污秽不洁、混有异物或者其他感官性状异常的产品；</w:t>
            </w:r>
          </w:p>
          <w:p w14:paraId="64CA5EF1">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③提供含有毒、有害物质或者被有毒有害物质污染的产品，或是对人体健康有害的产品；</w:t>
            </w:r>
          </w:p>
          <w:p w14:paraId="4D103D85">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如成交供应商无法供货，应及时直接与采购人沟通，确定替代产品，并及时按要求供货到位；若发生不能供货而又未及时沟通妥善解决的，或是成交供应商所提供产品与采购产品不符等，进而影响到采购人相关工作、业务正常运转的。</w:t>
            </w:r>
          </w:p>
          <w:p w14:paraId="088A909F">
            <w:pPr>
              <w:pStyle w:val="13"/>
              <w:keepNext w:val="0"/>
              <w:keepLines w:val="0"/>
              <w:pageBreakBefore w:val="0"/>
              <w:widowControl w:val="0"/>
              <w:kinsoku/>
              <w:wordWrap/>
              <w:overflowPunct/>
              <w:topLinePunct w:val="0"/>
              <w:bidi w:val="0"/>
              <w:adjustRightInd/>
              <w:spacing w:after="0"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⑤如检测结果低于成交供应商竞标响应文件技术参数的，采购人有权拒绝接收相关批次的货品并有权要求成交供应商2日内更换货物，由此造成向采购人延迟供货并经采购人书面确认的，成交供应商应承担相应的经济赔偿，具体是成交供应商每延迟1次按照合同总金额的1%计罚赔偿款；每个月累计超过5次或每季度累计超过10次的，采购人可单方面解除本采购项目所涉及的合同，并由成交供应商自行承担所有损失及后果，因此产生的行政、刑事处罚和全部经济责任及法律责任均由成交供应商自行负责。</w:t>
            </w:r>
          </w:p>
          <w:p w14:paraId="0F69A877">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成交供应商在本采购项目的合同履约过程中，采购人对成交供应商售后服务履约情况按月或季度开展动态评价，书面评价结果为“不合格”且经整改后复评的书面评价结果仍为“不合格”的，采购人可单方面解除本采购项所涉及的合同，并由成交供应商自行承担所有损失及后果，因此产生的行政、刑事处罚和全部经济责任及法律责任均由成交供应商自行负责。</w:t>
            </w:r>
          </w:p>
          <w:p w14:paraId="276132B9">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在本采购项目的合同履约过程中，成交供应商发生经采购人依据国家相关法律法规或公安机关内部条例文件书面认定的安全事故、情形、事件等，采购人有权向成交供应商要求按本采购项的采购总预算的5%计算并支付违约金；同时采购人可单方面解除本采购项所涉及的合同，并由成交供应商自行承担所有损失及后果，因此产生的行政、刑事处罚和全部经济责任及法律责任均由成交供应商自行负责。</w:t>
            </w:r>
          </w:p>
          <w:p w14:paraId="7D124EFD">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成交供应商不能满足本采购项目的配送要求时或是主动提出中止合同的，成交供应商必须提前两个月书面通知采购人，采购人书面同意后方可中止合同；否则，成交供应商应向采购人按本采购项的采购总预算的5%计算、支付违约金。在采购人书面同意中止合同之前，成交供应商应按本采购项目的合同持续履约、提供相关配送服务，并由成交供应商自行承担所有损失及后果，因此产生的行政、刑事处罚和全部经济责任及法律责任均由成交供应商自行负责</w:t>
            </w:r>
            <w:r>
              <w:rPr>
                <w:rFonts w:hint="eastAsia" w:ascii="宋体" w:hAnsi="宋体"/>
                <w:color w:val="000000" w:themeColor="text1"/>
                <w:szCs w:val="21"/>
                <w:highlight w:val="none"/>
                <w14:textFill>
                  <w14:solidFill>
                    <w14:schemeClr w14:val="tx1"/>
                  </w14:solidFill>
                </w14:textFill>
              </w:rPr>
              <w:t>。</w:t>
            </w:r>
          </w:p>
          <w:p w14:paraId="3149CCAB">
            <w:pPr>
              <w:keepNext w:val="0"/>
              <w:keepLines w:val="0"/>
              <w:pageBreakBefore w:val="0"/>
              <w:widowControl w:val="0"/>
              <w:kinsoku/>
              <w:wordWrap/>
              <w:overflowPunct/>
              <w:topLinePunct w:val="0"/>
              <w:autoSpaceDE/>
              <w:autoSpaceDN/>
              <w:bidi w:val="0"/>
              <w:adjustRightInd/>
              <w:snapToGrid/>
              <w:spacing w:line="400" w:lineRule="atLeast"/>
              <w:ind w:firstLine="422"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.本采购项目所</w:t>
            </w:r>
            <w:r>
              <w:rPr>
                <w:rFonts w:hint="eastAsia" w:ascii="宋体" w:hAnsi="宋体" w:eastAsia="宋体" w:cs="Times New Roman"/>
                <w:b w:val="0"/>
                <w:bCs w:val="0"/>
                <w:color w:val="000000" w:themeColor="text1"/>
                <w:szCs w:val="21"/>
                <w:highlight w:val="none"/>
                <w14:textFill>
                  <w14:solidFill>
                    <w14:schemeClr w14:val="tx1"/>
                  </w14:solidFill>
                </w14:textFill>
              </w:rPr>
              <w:t>涉及</w:t>
            </w:r>
            <w:r>
              <w:rPr>
                <w:rFonts w:hint="eastAsia" w:ascii="宋体" w:hAnsi="宋体"/>
                <w:color w:val="000000" w:themeColor="text1"/>
                <w:szCs w:val="21"/>
                <w:highlight w:val="none"/>
                <w14:textFill>
                  <w14:solidFill>
                    <w14:schemeClr w14:val="tx1"/>
                  </w14:solidFill>
                </w14:textFill>
              </w:rPr>
              <w:t>合同正式签订并生效后的15个工作日内，依据《中华人民共和国国家标准:醇基液体燃料(GB 16663-1996)》，成交供应商应当就下列事项与采购人协商一致并书面确认具体内容，同时将前述所确认的事项内容由成交供应商与采购人签订分项合同并作为本采购项目主合同的一部分予以生效后，成交供应商方可实施本采购项目的配送、采购人方可接受成交供应商提供本采购项目的配送。如成交供应商未能在本采购项目所涉及合同正式签订并生效后的15个工作日内就下列事项与采购人的相关单位协商一致并书面确认具体内容的，采购人可单方面解除本采购项所涉及的合同，并由成交供应商自行承担所有损失及后果，因此产生的行政、刑事处罚和全部经济责任及法律责任均由成交供应商自行负责。上述的事项包括但不限于：</w:t>
            </w:r>
          </w:p>
          <w:p w14:paraId="4DD32262">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1）产品预定的订单下单规程、机制及所需的订单记录凭据和人员、硬件配置等；</w:t>
            </w:r>
          </w:p>
          <w:p w14:paraId="344F2AAE">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产品的突发应急供货的规程、机制及所需的订单记录凭据和人员、硬件配置等；</w:t>
            </w:r>
          </w:p>
          <w:p w14:paraId="062E2EA2">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预定的产品供货规程、机制及所需的供货记录凭据和人员、硬件配置等；</w:t>
            </w:r>
          </w:p>
          <w:p w14:paraId="218C51F6">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产品验收入库规程、机制及所需的验收入库记录凭据和人员、硬件配置等；</w:t>
            </w:r>
          </w:p>
          <w:p w14:paraId="431571D1">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验收入库的产品留样采集、存放、留样到期销毁规程、机制及所需的留样管理记录凭据和人员、硬件配置等；</w:t>
            </w:r>
          </w:p>
          <w:p w14:paraId="38FE8C6E">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产品及有关留样的检测及其结果应用规程、机制及所需的检测及其结果记录凭据和人员、硬件配置等；</w:t>
            </w:r>
          </w:p>
          <w:p w14:paraId="07712B0A">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验收入库的产品领用出库规程、机制及所需的领用出库记录凭据和人员、硬件配置等；</w:t>
            </w:r>
          </w:p>
          <w:p w14:paraId="33277DD8">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产品的售后服务规程、机制及所需的售后服务记录凭据和人员、硬件配置等；</w:t>
            </w:r>
          </w:p>
          <w:p w14:paraId="0B695DA9">
            <w:pPr>
              <w:keepNext w:val="0"/>
              <w:keepLines w:val="0"/>
              <w:pageBreakBefore w:val="0"/>
              <w:widowControl w:val="0"/>
              <w:kinsoku/>
              <w:wordWrap/>
              <w:overflowPunct/>
              <w:topLinePunct w:val="0"/>
              <w:bidi w:val="0"/>
              <w:adjustRightInd/>
              <w:spacing w:line="400" w:lineRule="atLeas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采购人对成交供应商履约情况按月或季度开展动态评价及其评价结果应用的规程、机制及所需的动态评价记录凭据和人员、硬件配置等；</w:t>
            </w:r>
          </w:p>
          <w:p w14:paraId="75B98B47">
            <w:pPr>
              <w:keepNext w:val="0"/>
              <w:keepLines w:val="0"/>
              <w:pageBreakBefore w:val="0"/>
              <w:widowControl w:val="0"/>
              <w:kinsoku/>
              <w:wordWrap/>
              <w:overflowPunct/>
              <w:topLinePunct w:val="0"/>
              <w:bidi w:val="0"/>
              <w:adjustRightInd/>
              <w:spacing w:line="400" w:lineRule="atLeas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与市属监管场所在押人员伙房规范管理相关的其他规程、机制及所需的人员、硬件配置等；</w:t>
            </w:r>
          </w:p>
          <w:p w14:paraId="3E36BF2C">
            <w:pPr>
              <w:keepNext w:val="0"/>
              <w:keepLines w:val="0"/>
              <w:pageBreakBefore w:val="0"/>
              <w:widowControl w:val="0"/>
              <w:kinsoku/>
              <w:wordWrap/>
              <w:overflowPunct/>
              <w:topLinePunct w:val="0"/>
              <w:bidi w:val="0"/>
              <w:adjustRightInd/>
              <w:spacing w:line="400" w:lineRule="atLeast"/>
              <w:ind w:firstLine="422" w:firstLineChars="200"/>
              <w:textAlignment w:val="auto"/>
              <w:rPr>
                <w:rFonts w:hint="eastAsia" w:ascii="宋体" w:hAnsi="宋体"/>
                <w:b/>
                <w:bCs/>
                <w:color w:val="000000" w:themeColor="text1"/>
                <w:szCs w:val="21"/>
                <w:highlight w:val="none"/>
                <w:lang w:eastAsia="zh-CN"/>
                <w14:textFill>
                  <w14:solidFill>
                    <w14:schemeClr w14:val="tx1"/>
                  </w14:solidFill>
                </w14:textFill>
              </w:rPr>
            </w:pP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lang w:val="en-US" w:eastAsia="zh-CN"/>
                <w14:textFill>
                  <w14:solidFill>
                    <w14:schemeClr w14:val="tx1"/>
                  </w14:solidFill>
                </w14:textFill>
              </w:rPr>
              <w:t>6</w:t>
            </w:r>
            <w:r>
              <w:rPr>
                <w:rFonts w:hint="eastAsia" w:ascii="宋体" w:hAnsi="宋体"/>
                <w:b/>
                <w:bCs/>
                <w:color w:val="000000" w:themeColor="text1"/>
                <w:szCs w:val="21"/>
                <w:highlight w:val="none"/>
                <w:lang w:eastAsia="zh-CN"/>
                <w14:textFill>
                  <w14:solidFill>
                    <w14:schemeClr w14:val="tx1"/>
                  </w14:solidFill>
                </w14:textFill>
              </w:rPr>
              <w:t>.本采购需求和其项目涉及的产品相关质量合格证明、产品质量检测合格报告。</w:t>
            </w:r>
          </w:p>
          <w:p w14:paraId="50E23819">
            <w:pPr>
              <w:keepNext w:val="0"/>
              <w:keepLines w:val="0"/>
              <w:pageBreakBefore w:val="0"/>
              <w:widowControl w:val="0"/>
              <w:kinsoku/>
              <w:wordWrap/>
              <w:overflowPunct/>
              <w:topLinePunct w:val="0"/>
              <w:bidi w:val="0"/>
              <w:adjustRightInd/>
              <w:spacing w:line="400" w:lineRule="atLeast"/>
              <w:ind w:firstLine="422" w:firstLineChars="200"/>
              <w:textAlignment w:val="auto"/>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lang w:val="en-US" w:eastAsia="zh-CN"/>
                <w14:textFill>
                  <w14:solidFill>
                    <w14:schemeClr w14:val="tx1"/>
                  </w14:solidFill>
                </w14:textFill>
              </w:rPr>
              <w:t>7</w:t>
            </w:r>
            <w:r>
              <w:rPr>
                <w:rFonts w:hint="eastAsia" w:ascii="宋体" w:hAnsi="宋体"/>
                <w:b/>
                <w:bCs/>
                <w:color w:val="000000" w:themeColor="text1"/>
                <w:szCs w:val="21"/>
                <w:highlight w:val="none"/>
                <w:lang w:eastAsia="zh-CN"/>
                <w14:textFill>
                  <w14:solidFill>
                    <w14:schemeClr w14:val="tx1"/>
                  </w14:solidFill>
                </w14:textFill>
              </w:rPr>
              <w:t>.如商</w:t>
            </w:r>
            <w:r>
              <w:rPr>
                <w:rFonts w:hint="eastAsia" w:ascii="宋体" w:hAnsi="宋体" w:eastAsia="宋体" w:cs="Times New Roman"/>
                <w:b/>
                <w:bCs/>
                <w:color w:val="000000" w:themeColor="text1"/>
                <w:szCs w:val="21"/>
                <w:highlight w:val="none"/>
                <w:lang w:eastAsia="zh-CN"/>
                <w14:textFill>
                  <w14:solidFill>
                    <w14:schemeClr w14:val="tx1"/>
                  </w14:solidFill>
                </w14:textFill>
              </w:rPr>
              <w:t>务需求与实际有差异，则以合同约定、采购人工作业务开展的实际需要为准。（</w:t>
            </w:r>
            <w:r>
              <w:rPr>
                <w:rFonts w:hint="eastAsia" w:ascii="宋体" w:hAnsi="宋体" w:eastAsia="宋体" w:cs="宋体"/>
                <w:b/>
                <w:bCs/>
                <w:i w:val="0"/>
                <w:iCs w:val="0"/>
                <w:caps w:val="0"/>
                <w:color w:val="000000" w:themeColor="text1"/>
                <w:spacing w:val="0"/>
                <w:sz w:val="21"/>
                <w:szCs w:val="21"/>
                <w:highlight w:val="none"/>
                <w:shd w:val="clear" w:color="auto" w:fill="FFFFFF"/>
                <w14:textFill>
                  <w14:solidFill>
                    <w14:schemeClr w14:val="tx1"/>
                  </w14:solidFill>
                </w14:textFill>
              </w:rPr>
              <w:t>注</w:t>
            </w:r>
            <w:r>
              <w:rPr>
                <w:rFonts w:hint="eastAsia" w:ascii="宋体" w:hAnsi="宋体" w:eastAsia="宋体" w:cs="宋体"/>
                <w:b/>
                <w:bCs/>
                <w:i w:val="0"/>
                <w:iCs w:val="0"/>
                <w:caps w:val="0"/>
                <w:color w:val="000000" w:themeColor="text1"/>
                <w:spacing w:val="0"/>
                <w:sz w:val="21"/>
                <w:szCs w:val="21"/>
                <w:highlight w:val="none"/>
                <w:shd w:val="clear" w:color="auto" w:fill="FFFFFF"/>
                <w:lang w:eastAsia="zh-CN"/>
                <w14:textFill>
                  <w14:solidFill>
                    <w14:schemeClr w14:val="tx1"/>
                  </w14:solidFill>
                </w14:textFill>
              </w:rPr>
              <w:t>：</w:t>
            </w:r>
            <w:r>
              <w:rPr>
                <w:rFonts w:hint="eastAsia" w:ascii="宋体" w:hAnsi="宋体" w:eastAsia="宋体" w:cs="宋体"/>
                <w:b/>
                <w:bCs/>
                <w:i w:val="0"/>
                <w:iCs w:val="0"/>
                <w:caps w:val="0"/>
                <w:color w:val="000000" w:themeColor="text1"/>
                <w:spacing w:val="0"/>
                <w:sz w:val="21"/>
                <w:szCs w:val="21"/>
                <w:highlight w:val="none"/>
                <w:shd w:val="clear" w:color="auto" w:fill="FFFFFF"/>
                <w14:textFill>
                  <w14:solidFill>
                    <w14:schemeClr w14:val="tx1"/>
                  </w14:solidFill>
                </w14:textFill>
              </w:rPr>
              <w:t>不能偏离实质性条款</w:t>
            </w:r>
            <w:r>
              <w:rPr>
                <w:rFonts w:hint="eastAsia" w:ascii="宋体" w:hAnsi="宋体" w:eastAsia="宋体" w:cs="Times New Roman"/>
                <w:b/>
                <w:bCs/>
                <w:color w:val="000000" w:themeColor="text1"/>
                <w:szCs w:val="21"/>
                <w:highlight w:val="none"/>
                <w:lang w:eastAsia="zh-CN"/>
                <w14:textFill>
                  <w14:solidFill>
                    <w14:schemeClr w14:val="tx1"/>
                  </w14:solidFill>
                </w14:textFill>
              </w:rPr>
              <w:t>）</w:t>
            </w:r>
          </w:p>
        </w:tc>
      </w:tr>
      <w:tr w14:paraId="77D9A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15" w:type="pct"/>
            <w:gridSpan w:val="2"/>
            <w:tcBorders>
              <w:top w:val="single" w:color="auto" w:sz="4" w:space="0"/>
              <w:left w:val="single" w:color="auto" w:sz="4" w:space="0"/>
              <w:bottom w:val="single" w:color="auto" w:sz="4" w:space="0"/>
              <w:right w:val="single" w:color="auto" w:sz="4" w:space="0"/>
            </w:tcBorders>
            <w:noWrap w:val="0"/>
            <w:vAlign w:val="center"/>
          </w:tcPr>
          <w:p w14:paraId="798BFE41">
            <w:pPr>
              <w:keepNext w:val="0"/>
              <w:keepLines w:val="0"/>
              <w:pageBreakBefore w:val="0"/>
              <w:widowControl w:val="0"/>
              <w:kinsoku/>
              <w:wordWrap/>
              <w:overflowPunct/>
              <w:topLinePunct w:val="0"/>
              <w:autoSpaceDE/>
              <w:autoSpaceDN/>
              <w:bidi w:val="0"/>
              <w:adjustRightInd/>
              <w:snapToGrid/>
              <w:spacing w:line="400" w:lineRule="atLeast"/>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进口产品说明</w:t>
            </w:r>
          </w:p>
        </w:tc>
        <w:tc>
          <w:tcPr>
            <w:tcW w:w="4584" w:type="pct"/>
            <w:gridSpan w:val="5"/>
            <w:tcBorders>
              <w:top w:val="single" w:color="auto" w:sz="4" w:space="0"/>
              <w:left w:val="single" w:color="auto" w:sz="4" w:space="0"/>
              <w:bottom w:val="single" w:color="auto" w:sz="4" w:space="0"/>
              <w:right w:val="single" w:color="auto" w:sz="4" w:space="0"/>
            </w:tcBorders>
            <w:noWrap w:val="0"/>
            <w:vAlign w:val="top"/>
          </w:tcPr>
          <w:p w14:paraId="026E77DD">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如有进口产品参与</w:t>
            </w:r>
            <w:r>
              <w:rPr>
                <w:rFonts w:hint="eastAsia" w:ascii="宋体" w:hAnsi="宋体"/>
                <w:b/>
                <w:color w:val="000000" w:themeColor="text1"/>
                <w:szCs w:val="21"/>
                <w:highlight w:val="none"/>
                <w:lang w:eastAsia="zh-CN"/>
                <w14:textFill>
                  <w14:solidFill>
                    <w14:schemeClr w14:val="tx1"/>
                  </w14:solidFill>
                </w14:textFill>
              </w:rPr>
              <w:t>竞标</w:t>
            </w:r>
            <w:r>
              <w:rPr>
                <w:rFonts w:hint="eastAsia" w:ascii="宋体" w:hAnsi="宋体"/>
                <w:b/>
                <w:color w:val="000000" w:themeColor="text1"/>
                <w:szCs w:val="21"/>
                <w:highlight w:val="none"/>
                <w14:textFill>
                  <w14:solidFill>
                    <w14:schemeClr w14:val="tx1"/>
                  </w14:solidFill>
                </w14:textFill>
              </w:rPr>
              <w:t>的作无效标处理</w:t>
            </w:r>
            <w:r>
              <w:rPr>
                <w:rFonts w:hint="eastAsia" w:ascii="宋体" w:hAnsi="宋体"/>
                <w:color w:val="000000" w:themeColor="text1"/>
                <w:szCs w:val="21"/>
                <w:highlight w:val="none"/>
                <w14:textFill>
                  <w14:solidFill>
                    <w14:schemeClr w14:val="tx1"/>
                  </w14:solidFill>
                </w14:textFill>
              </w:rPr>
              <w:t>。</w:t>
            </w:r>
          </w:p>
        </w:tc>
      </w:tr>
    </w:tbl>
    <w:p w14:paraId="041DA083">
      <w:pPr>
        <w:pStyle w:val="20"/>
        <w:rPr>
          <w:rFonts w:hint="eastAsia" w:ascii="宋体" w:hAnsi="宋体" w:eastAsia="宋体" w:cs="宋体"/>
          <w:color w:val="000000" w:themeColor="text1"/>
          <w:szCs w:val="21"/>
          <w:highlight w:val="none"/>
          <w14:textFill>
            <w14:solidFill>
              <w14:schemeClr w14:val="tx1"/>
            </w14:solidFill>
          </w14:textFill>
        </w:rPr>
      </w:pPr>
    </w:p>
    <w:p w14:paraId="1878C726">
      <w:pPr>
        <w:pStyle w:val="20"/>
        <w:rPr>
          <w:rFonts w:hint="eastAsia" w:ascii="宋体" w:hAnsi="宋体" w:eastAsia="宋体" w:cs="宋体"/>
          <w:color w:val="000000" w:themeColor="text1"/>
          <w:szCs w:val="21"/>
          <w:highlight w:val="none"/>
          <w14:textFill>
            <w14:solidFill>
              <w14:schemeClr w14:val="tx1"/>
            </w14:solidFill>
          </w14:textFill>
        </w:rPr>
      </w:pPr>
    </w:p>
    <w:p w14:paraId="7A3ED493">
      <w:pPr>
        <w:pStyle w:val="20"/>
        <w:rPr>
          <w:rFonts w:hint="eastAsia"/>
          <w:color w:val="000000" w:themeColor="text1"/>
          <w:highlight w:val="none"/>
          <w14:textFill>
            <w14:solidFill>
              <w14:schemeClr w14:val="tx1"/>
            </w14:solidFill>
          </w14:textFill>
        </w:rPr>
      </w:pPr>
    </w:p>
    <w:p w14:paraId="780E9366">
      <w:pPr>
        <w:keepNext w:val="0"/>
        <w:keepLines w:val="0"/>
        <w:pageBreakBefore w:val="0"/>
        <w:widowControl w:val="0"/>
        <w:numPr>
          <w:ilvl w:val="0"/>
          <w:numId w:val="0"/>
        </w:numPr>
        <w:kinsoku/>
        <w:wordWrap/>
        <w:overflowPunct/>
        <w:topLinePunct w:val="0"/>
        <w:autoSpaceDE/>
        <w:autoSpaceDN/>
        <w:bidi w:val="0"/>
        <w:adjustRightInd/>
        <w:snapToGrid/>
        <w:spacing w:after="332" w:afterLines="100" w:line="400" w:lineRule="exact"/>
        <w:ind w:firstLine="424" w:firstLineChars="202"/>
        <w:jc w:val="left"/>
        <w:textAlignment w:val="auto"/>
        <w:rPr>
          <w:rFonts w:hint="eastAsia" w:ascii="宋体" w:hAnsi="宋体" w:cs="宋体"/>
          <w:color w:val="000000" w:themeColor="text1"/>
          <w:szCs w:val="21"/>
          <w:highlight w:val="none"/>
          <w14:textFill>
            <w14:solidFill>
              <w14:schemeClr w14:val="tx1"/>
            </w14:solidFill>
          </w14:textFill>
        </w:rPr>
      </w:pPr>
    </w:p>
    <w:p w14:paraId="630A3540">
      <w:pPr>
        <w:pStyle w:val="11"/>
        <w:spacing w:line="420" w:lineRule="exact"/>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br w:type="page"/>
      </w:r>
    </w:p>
    <w:p w14:paraId="2B0CCADA">
      <w:pPr>
        <w:spacing w:line="428" w:lineRule="exact"/>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FF6FED1">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29"/>
        <w:tblW w:w="9220" w:type="dxa"/>
        <w:jc w:val="center"/>
        <w:tblLayout w:type="autofit"/>
        <w:tblCellMar>
          <w:top w:w="0" w:type="dxa"/>
          <w:left w:w="108" w:type="dxa"/>
          <w:bottom w:w="0" w:type="dxa"/>
          <w:right w:w="108" w:type="dxa"/>
        </w:tblCellMar>
      </w:tblPr>
      <w:tblGrid>
        <w:gridCol w:w="641"/>
        <w:gridCol w:w="1116"/>
        <w:gridCol w:w="1516"/>
        <w:gridCol w:w="1612"/>
        <w:gridCol w:w="4335"/>
      </w:tblGrid>
      <w:tr w14:paraId="46A61F92">
        <w:tblPrEx>
          <w:tblCellMar>
            <w:top w:w="0" w:type="dxa"/>
            <w:left w:w="108" w:type="dxa"/>
            <w:bottom w:w="0" w:type="dxa"/>
            <w:right w:w="108" w:type="dxa"/>
          </w:tblCellMar>
        </w:tblPrEx>
        <w:trPr>
          <w:trHeight w:val="555" w:hRule="atLeast"/>
          <w:jc w:val="center"/>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583F9FEA">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2E5DD2DE">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0"/>
            <w:vAlign w:val="center"/>
          </w:tcPr>
          <w:p w14:paraId="7EC7505B">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015285A1">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00FC81E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91C95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0"/>
            <w:vAlign w:val="center"/>
          </w:tcPr>
          <w:p w14:paraId="3BBE0C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0"/>
            <w:vAlign w:val="center"/>
          </w:tcPr>
          <w:p w14:paraId="6B5EF8E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28BA95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1F29125F">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CEDDCD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3CE025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CD89CA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0"/>
            <w:vAlign w:val="center"/>
          </w:tcPr>
          <w:p w14:paraId="135BB1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5C057D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798D6D0B">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D39D5D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BAFE3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D62F78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0"/>
            <w:vAlign w:val="center"/>
          </w:tcPr>
          <w:p w14:paraId="65B8286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D68ABD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33B7C551">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7B529D1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95B8FF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A08C4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0"/>
            <w:vAlign w:val="center"/>
          </w:tcPr>
          <w:p w14:paraId="517735B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0"/>
            <w:vAlign w:val="center"/>
          </w:tcPr>
          <w:p w14:paraId="1DF8275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1A9E4F95">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3F449D2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A16EC4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0B4789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FDAFCE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0"/>
            <w:vAlign w:val="center"/>
          </w:tcPr>
          <w:p w14:paraId="07B52B2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778707AE">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2D0A4B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907270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77EAC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69676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0"/>
            <w:vAlign w:val="center"/>
          </w:tcPr>
          <w:p w14:paraId="6331E55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55F4A93D">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096D8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641DD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9E831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0"/>
            <w:vAlign w:val="center"/>
          </w:tcPr>
          <w:p w14:paraId="02CA06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0"/>
            <w:vAlign w:val="center"/>
          </w:tcPr>
          <w:p w14:paraId="1D8461F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78FD9D34">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6D85A5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DC3EA3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3ACAA6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0"/>
            <w:vAlign w:val="center"/>
          </w:tcPr>
          <w:p w14:paraId="3F066EC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0"/>
            <w:vAlign w:val="center"/>
          </w:tcPr>
          <w:p w14:paraId="624CAC8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6346C91D">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426C324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0"/>
            <w:vAlign w:val="center"/>
          </w:tcPr>
          <w:p w14:paraId="320B55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0"/>
            <w:vAlign w:val="center"/>
          </w:tcPr>
          <w:p w14:paraId="02B3C3F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14B824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499AEE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4A00E468">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6C7E6F2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0"/>
            <w:vAlign w:val="center"/>
          </w:tcPr>
          <w:p w14:paraId="308ED43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0"/>
            <w:vAlign w:val="center"/>
          </w:tcPr>
          <w:p w14:paraId="552437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E994D8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2E54F4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8648F97">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50F68A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0"/>
            <w:vAlign w:val="center"/>
          </w:tcPr>
          <w:p w14:paraId="10BBFE0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0"/>
            <w:vAlign w:val="center"/>
          </w:tcPr>
          <w:p w14:paraId="3366F41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0"/>
            <w:vAlign w:val="center"/>
          </w:tcPr>
          <w:p w14:paraId="5B9507A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A6E324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6ECEBA4B">
        <w:tblPrEx>
          <w:tblCellMar>
            <w:top w:w="0" w:type="dxa"/>
            <w:left w:w="108" w:type="dxa"/>
            <w:bottom w:w="0" w:type="dxa"/>
            <w:right w:w="108" w:type="dxa"/>
          </w:tblCellMar>
        </w:tblPrEx>
        <w:trPr>
          <w:trHeight w:val="73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0F771AA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0E4361D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38EB76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0"/>
            <w:vAlign w:val="center"/>
          </w:tcPr>
          <w:p w14:paraId="1E4429B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0"/>
            <w:vAlign w:val="center"/>
          </w:tcPr>
          <w:p w14:paraId="0E29AFA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24B005C6">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43C346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708696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298FE5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024E8E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0"/>
            <w:vAlign w:val="center"/>
          </w:tcPr>
          <w:p w14:paraId="7BDE2F8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7B6B50B3">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308564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F0AB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7A416D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1CBA835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0"/>
            <w:vAlign w:val="center"/>
          </w:tcPr>
          <w:p w14:paraId="0801FB0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3DCAEDF1">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C6D69C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6D62BD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0E0FE6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0"/>
            <w:vAlign w:val="center"/>
          </w:tcPr>
          <w:p w14:paraId="0C3DF5A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64177D9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3126AE82">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897C5A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F451B4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96662A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0524592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538CE77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25D08612">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440B7B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8081E2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08170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0"/>
            <w:vAlign w:val="center"/>
          </w:tcPr>
          <w:p w14:paraId="5E09AE4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0"/>
            <w:vAlign w:val="center"/>
          </w:tcPr>
          <w:p w14:paraId="55104A0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41810067">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9EE237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3CEDD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5C549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0"/>
            <w:vAlign w:val="center"/>
          </w:tcPr>
          <w:p w14:paraId="65C331C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0"/>
            <w:vAlign w:val="center"/>
          </w:tcPr>
          <w:p w14:paraId="15B0117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411AE44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0734BD5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0"/>
            <w:vAlign w:val="center"/>
          </w:tcPr>
          <w:p w14:paraId="173A2E7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0"/>
            <w:vAlign w:val="center"/>
          </w:tcPr>
          <w:p w14:paraId="620A0C6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9335F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517BE3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67D307F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75AF9B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0"/>
            <w:vAlign w:val="center"/>
          </w:tcPr>
          <w:p w14:paraId="6DA7A57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0"/>
            <w:vAlign w:val="center"/>
          </w:tcPr>
          <w:p w14:paraId="03B9E79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0"/>
            <w:vAlign w:val="center"/>
          </w:tcPr>
          <w:p w14:paraId="7FCB51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68A9D7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02F1C78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716E48B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0"/>
            <w:vAlign w:val="center"/>
          </w:tcPr>
          <w:p w14:paraId="1C51A8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0"/>
            <w:vAlign w:val="center"/>
          </w:tcPr>
          <w:p w14:paraId="1A6AA4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0"/>
            <w:vAlign w:val="center"/>
          </w:tcPr>
          <w:p w14:paraId="14C9FDF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9D8EFF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378931D5">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792EF1F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4BFA9B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0"/>
            <w:vAlign w:val="center"/>
          </w:tcPr>
          <w:p w14:paraId="3117DC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0"/>
            <w:vAlign w:val="center"/>
          </w:tcPr>
          <w:p w14:paraId="4C4C67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8AD967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6D95E5B1">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EDBF4D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3A22F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595C370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0"/>
            <w:vAlign w:val="center"/>
          </w:tcPr>
          <w:p w14:paraId="0E8132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0"/>
            <w:vAlign w:val="center"/>
          </w:tcPr>
          <w:p w14:paraId="28DBEE4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08D7E5B9">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5417F39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9484FD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C488F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9809C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319F5B0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4A7065B7">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445EC7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3D23D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943E2D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665F02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4C42971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54DD083C">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E6031B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60AC2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AE942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0"/>
            <w:vAlign w:val="center"/>
          </w:tcPr>
          <w:p w14:paraId="68D9D57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17F64D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13A056A5">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3738733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F48D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D400A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0"/>
            <w:vAlign w:val="center"/>
          </w:tcPr>
          <w:p w14:paraId="06C97E1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0"/>
            <w:vAlign w:val="center"/>
          </w:tcPr>
          <w:p w14:paraId="55E2525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6926FD85">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6979BF9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4FBF67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35DF9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D476AD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0"/>
            <w:vAlign w:val="center"/>
          </w:tcPr>
          <w:p w14:paraId="25D831A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1B24248A">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50D0D6F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5F22EA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C7BFCC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DBF3FE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0"/>
            <w:vAlign w:val="center"/>
          </w:tcPr>
          <w:p w14:paraId="7B46035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5B7F4004">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6897F4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E5A8FC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25BF1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2156C5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0"/>
            <w:vAlign w:val="center"/>
          </w:tcPr>
          <w:p w14:paraId="17A7679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2915B73F">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3FB4497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E860BD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000000" w:sz="8" w:space="0"/>
              <w:right w:val="single" w:color="000000" w:sz="8" w:space="0"/>
            </w:tcBorders>
            <w:noWrap w:val="0"/>
            <w:vAlign w:val="center"/>
          </w:tcPr>
          <w:p w14:paraId="662A411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000000" w:sz="8" w:space="0"/>
              <w:right w:val="single" w:color="000000" w:sz="8" w:space="0"/>
            </w:tcBorders>
            <w:noWrap w:val="0"/>
            <w:vAlign w:val="center"/>
          </w:tcPr>
          <w:p w14:paraId="22FBB42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AD1FDF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56729D77">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500E88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BFA47B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233485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000000" w:sz="8" w:space="0"/>
              <w:right w:val="single" w:color="000000" w:sz="8" w:space="0"/>
            </w:tcBorders>
            <w:noWrap w:val="0"/>
            <w:vAlign w:val="center"/>
          </w:tcPr>
          <w:p w14:paraId="7399F89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36325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04E7FB0E">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EE4EAF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E8E0B8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4591D8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000000" w:sz="8" w:space="0"/>
              <w:right w:val="single" w:color="000000" w:sz="8" w:space="0"/>
            </w:tcBorders>
            <w:noWrap w:val="0"/>
            <w:vAlign w:val="center"/>
          </w:tcPr>
          <w:p w14:paraId="06D9A0D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220921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45D9698F">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521682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6E5E5E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A53435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2E16C00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8C0085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22E6580F">
        <w:tblPrEx>
          <w:tblCellMar>
            <w:top w:w="0" w:type="dxa"/>
            <w:left w:w="108" w:type="dxa"/>
            <w:bottom w:w="0" w:type="dxa"/>
            <w:right w:w="108" w:type="dxa"/>
          </w:tblCellMar>
        </w:tblPrEx>
        <w:trPr>
          <w:trHeight w:val="73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6B7EBE4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000000" w:sz="8" w:space="0"/>
              <w:right w:val="single" w:color="000000" w:sz="8" w:space="0"/>
            </w:tcBorders>
            <w:noWrap w:val="0"/>
            <w:vAlign w:val="center"/>
          </w:tcPr>
          <w:p w14:paraId="1274AC9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000000" w:sz="8" w:space="0"/>
              <w:right w:val="single" w:color="000000" w:sz="8" w:space="0"/>
            </w:tcBorders>
            <w:noWrap w:val="0"/>
            <w:vAlign w:val="center"/>
          </w:tcPr>
          <w:p w14:paraId="28F03F0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000000" w:sz="8" w:space="0"/>
              <w:right w:val="single" w:color="000000" w:sz="8" w:space="0"/>
            </w:tcBorders>
            <w:noWrap w:val="0"/>
            <w:vAlign w:val="center"/>
          </w:tcPr>
          <w:p w14:paraId="4255212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590A62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144D8F8E">
        <w:tblPrEx>
          <w:tblCellMar>
            <w:top w:w="0" w:type="dxa"/>
            <w:left w:w="108" w:type="dxa"/>
            <w:bottom w:w="0" w:type="dxa"/>
            <w:right w:w="108" w:type="dxa"/>
          </w:tblCellMar>
        </w:tblPrEx>
        <w:trPr>
          <w:trHeight w:val="97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5C5A7AB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000000" w:sz="8" w:space="0"/>
              <w:right w:val="single" w:color="000000" w:sz="8" w:space="0"/>
            </w:tcBorders>
            <w:noWrap w:val="0"/>
            <w:vAlign w:val="center"/>
          </w:tcPr>
          <w:p w14:paraId="6C0F568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000000" w:sz="8" w:space="0"/>
              <w:right w:val="single" w:color="000000" w:sz="8" w:space="0"/>
            </w:tcBorders>
            <w:noWrap w:val="0"/>
            <w:vAlign w:val="center"/>
          </w:tcPr>
          <w:p w14:paraId="327657E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000000" w:sz="8" w:space="0"/>
              <w:right w:val="single" w:color="000000" w:sz="8" w:space="0"/>
            </w:tcBorders>
            <w:noWrap w:val="0"/>
            <w:vAlign w:val="center"/>
          </w:tcPr>
          <w:p w14:paraId="18CEE4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000000" w:sz="8" w:space="0"/>
              <w:right w:val="single" w:color="000000" w:sz="8" w:space="0"/>
            </w:tcBorders>
            <w:noWrap w:val="0"/>
            <w:vAlign w:val="center"/>
          </w:tcPr>
          <w:p w14:paraId="685E397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12A2A1B1">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5A41864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000000" w:sz="8" w:space="0"/>
              <w:right w:val="single" w:color="000000" w:sz="8" w:space="0"/>
            </w:tcBorders>
            <w:noWrap w:val="0"/>
            <w:vAlign w:val="center"/>
          </w:tcPr>
          <w:p w14:paraId="09CB5B3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000000" w:sz="8" w:space="0"/>
              <w:right w:val="single" w:color="000000" w:sz="8" w:space="0"/>
            </w:tcBorders>
            <w:noWrap w:val="0"/>
            <w:vAlign w:val="center"/>
          </w:tcPr>
          <w:p w14:paraId="7157B0F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000000" w:sz="8" w:space="0"/>
              <w:right w:val="single" w:color="000000" w:sz="8" w:space="0"/>
            </w:tcBorders>
            <w:noWrap w:val="0"/>
            <w:vAlign w:val="center"/>
          </w:tcPr>
          <w:p w14:paraId="67DDBD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2DF6B1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2A4813F8">
        <w:tblPrEx>
          <w:tblCellMar>
            <w:top w:w="0" w:type="dxa"/>
            <w:left w:w="108" w:type="dxa"/>
            <w:bottom w:w="0" w:type="dxa"/>
            <w:right w:w="108" w:type="dxa"/>
          </w:tblCellMar>
        </w:tblPrEx>
        <w:trPr>
          <w:trHeight w:val="28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1039F6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092715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000000" w:sz="8" w:space="0"/>
              <w:right w:val="single" w:color="000000" w:sz="8" w:space="0"/>
            </w:tcBorders>
            <w:noWrap w:val="0"/>
            <w:vAlign w:val="center"/>
          </w:tcPr>
          <w:p w14:paraId="03674A3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000000" w:sz="8" w:space="0"/>
              <w:right w:val="single" w:color="000000" w:sz="8" w:space="0"/>
            </w:tcBorders>
            <w:noWrap w:val="0"/>
            <w:vAlign w:val="center"/>
          </w:tcPr>
          <w:p w14:paraId="41C55A8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4C7031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04EF794E">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DC6A4E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9B37AC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E7CED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000000" w:sz="8" w:space="0"/>
              <w:right w:val="single" w:color="000000" w:sz="8" w:space="0"/>
            </w:tcBorders>
            <w:noWrap w:val="0"/>
            <w:vAlign w:val="center"/>
          </w:tcPr>
          <w:p w14:paraId="182BFFC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DE8D57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2F4C89A9">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6481BF0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38433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338141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000000" w:sz="8" w:space="0"/>
              <w:right w:val="single" w:color="000000" w:sz="8" w:space="0"/>
            </w:tcBorders>
            <w:noWrap w:val="0"/>
            <w:vAlign w:val="center"/>
          </w:tcPr>
          <w:p w14:paraId="2B9D980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A88D98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671AC21D">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1CF579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0"/>
            <w:vAlign w:val="center"/>
          </w:tcPr>
          <w:p w14:paraId="7283E88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0"/>
            <w:vAlign w:val="center"/>
          </w:tcPr>
          <w:p w14:paraId="3397E99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7CEE1ED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F10FED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5597231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4DBB1F2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0"/>
            <w:vAlign w:val="center"/>
          </w:tcPr>
          <w:p w14:paraId="3AB35EB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0"/>
            <w:vAlign w:val="center"/>
          </w:tcPr>
          <w:p w14:paraId="6C2DF01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4B2B1DB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F2F220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6AE402F2">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51CA3E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0"/>
            <w:vAlign w:val="center"/>
          </w:tcPr>
          <w:p w14:paraId="5D967BA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0"/>
            <w:vAlign w:val="center"/>
          </w:tcPr>
          <w:p w14:paraId="525146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81BC47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BA6087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413F636C">
      <w:pPr>
        <w:pStyle w:val="13"/>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eastAsia="宋体" w:cs="宋体"/>
          <w:color w:val="000000" w:themeColor="text1"/>
          <w:szCs w:val="21"/>
          <w:highlight w:val="none"/>
          <w14:textFill>
            <w14:solidFill>
              <w14:schemeClr w14:val="tx1"/>
            </w14:solidFill>
          </w14:textFill>
        </w:rPr>
        <w:t>指标。</w:t>
      </w:r>
    </w:p>
    <w:p w14:paraId="68CF9974">
      <w:pPr>
        <w:pStyle w:val="17"/>
        <w:jc w:val="lef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2.以“★”标注的为政府强制采购产品。</w:t>
      </w:r>
      <w:r>
        <w:rPr>
          <w:rFonts w:hint="eastAsia"/>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177ED79B">
      <w:pPr>
        <w:spacing w:line="528" w:lineRule="exact"/>
        <w:jc w:val="center"/>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29"/>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33A80119">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6A8D49B2">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984" w:type="dxa"/>
            <w:tcBorders>
              <w:top w:val="single" w:color="auto" w:sz="4" w:space="0"/>
              <w:left w:val="nil"/>
              <w:bottom w:val="single" w:color="auto" w:sz="4" w:space="0"/>
              <w:right w:val="single" w:color="auto" w:sz="4" w:space="0"/>
            </w:tcBorders>
            <w:noWrap w:val="0"/>
            <w:vAlign w:val="center"/>
          </w:tcPr>
          <w:p w14:paraId="49D108E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851" w:type="dxa"/>
            <w:tcBorders>
              <w:top w:val="single" w:color="auto" w:sz="4" w:space="0"/>
              <w:left w:val="nil"/>
              <w:bottom w:val="single" w:color="auto" w:sz="4" w:space="0"/>
              <w:right w:val="single" w:color="auto" w:sz="4" w:space="0"/>
            </w:tcBorders>
            <w:noWrap w:val="0"/>
            <w:vAlign w:val="center"/>
          </w:tcPr>
          <w:p w14:paraId="40457440">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42" w:type="dxa"/>
            <w:tcBorders>
              <w:top w:val="single" w:color="auto" w:sz="4" w:space="0"/>
              <w:left w:val="nil"/>
              <w:bottom w:val="single" w:color="auto" w:sz="4" w:space="0"/>
              <w:right w:val="single" w:color="auto" w:sz="4" w:space="0"/>
            </w:tcBorders>
            <w:noWrap w:val="0"/>
            <w:vAlign w:val="center"/>
          </w:tcPr>
          <w:p w14:paraId="662CE687">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701" w:type="dxa"/>
            <w:tcBorders>
              <w:top w:val="single" w:color="auto" w:sz="4" w:space="0"/>
              <w:left w:val="nil"/>
              <w:bottom w:val="single" w:color="auto" w:sz="4" w:space="0"/>
              <w:right w:val="single" w:color="auto" w:sz="4" w:space="0"/>
            </w:tcBorders>
            <w:noWrap w:val="0"/>
            <w:vAlign w:val="center"/>
          </w:tcPr>
          <w:p w14:paraId="03D71B1D">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134" w:type="dxa"/>
            <w:tcBorders>
              <w:top w:val="single" w:color="auto" w:sz="4" w:space="0"/>
              <w:left w:val="nil"/>
              <w:bottom w:val="single" w:color="auto" w:sz="4" w:space="0"/>
              <w:right w:val="single" w:color="auto" w:sz="4" w:space="0"/>
            </w:tcBorders>
            <w:noWrap w:val="0"/>
            <w:vAlign w:val="center"/>
          </w:tcPr>
          <w:p w14:paraId="736D38A9">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104A9EF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5B7DD37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984" w:type="dxa"/>
            <w:tcBorders>
              <w:top w:val="nil"/>
              <w:left w:val="nil"/>
              <w:bottom w:val="single" w:color="auto" w:sz="4" w:space="0"/>
              <w:right w:val="single" w:color="auto" w:sz="4" w:space="0"/>
            </w:tcBorders>
            <w:noWrap w:val="0"/>
            <w:vAlign w:val="center"/>
          </w:tcPr>
          <w:p w14:paraId="723822B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16537B2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BCDE1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0"/>
            <w:vAlign w:val="center"/>
          </w:tcPr>
          <w:p w14:paraId="5D3059A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134" w:type="dxa"/>
            <w:tcBorders>
              <w:top w:val="nil"/>
              <w:left w:val="nil"/>
              <w:bottom w:val="single" w:color="auto" w:sz="4" w:space="0"/>
              <w:right w:val="single" w:color="auto" w:sz="4" w:space="0"/>
            </w:tcBorders>
            <w:noWrap w:val="0"/>
            <w:vAlign w:val="center"/>
          </w:tcPr>
          <w:p w14:paraId="7CA2BA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200E3B1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9B09F3D">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984" w:type="dxa"/>
            <w:tcBorders>
              <w:top w:val="nil"/>
              <w:left w:val="nil"/>
              <w:bottom w:val="single" w:color="auto" w:sz="4" w:space="0"/>
              <w:right w:val="single" w:color="auto" w:sz="4" w:space="0"/>
            </w:tcBorders>
            <w:noWrap w:val="0"/>
            <w:vAlign w:val="center"/>
          </w:tcPr>
          <w:p w14:paraId="2B9718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4B815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0B8844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2A7EADA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6E5A80E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2301664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A64976">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5F3F5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285FE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0758B0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701" w:type="dxa"/>
            <w:tcBorders>
              <w:top w:val="nil"/>
              <w:left w:val="nil"/>
              <w:bottom w:val="single" w:color="auto" w:sz="4" w:space="0"/>
              <w:right w:val="single" w:color="auto" w:sz="4" w:space="0"/>
            </w:tcBorders>
            <w:noWrap w:val="0"/>
            <w:vAlign w:val="center"/>
          </w:tcPr>
          <w:p w14:paraId="2752ACF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134" w:type="dxa"/>
            <w:tcBorders>
              <w:top w:val="nil"/>
              <w:left w:val="nil"/>
              <w:bottom w:val="single" w:color="auto" w:sz="4" w:space="0"/>
              <w:right w:val="single" w:color="auto" w:sz="4" w:space="0"/>
            </w:tcBorders>
            <w:noWrap w:val="0"/>
            <w:vAlign w:val="center"/>
          </w:tcPr>
          <w:p w14:paraId="6D9A77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244667C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BE3665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984" w:type="dxa"/>
            <w:tcBorders>
              <w:top w:val="nil"/>
              <w:left w:val="nil"/>
              <w:bottom w:val="single" w:color="auto" w:sz="4" w:space="0"/>
              <w:right w:val="single" w:color="auto" w:sz="4" w:space="0"/>
            </w:tcBorders>
            <w:noWrap w:val="0"/>
            <w:vAlign w:val="center"/>
          </w:tcPr>
          <w:p w14:paraId="62AF1B2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6585981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084D54F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701" w:type="dxa"/>
            <w:tcBorders>
              <w:top w:val="nil"/>
              <w:left w:val="nil"/>
              <w:bottom w:val="single" w:color="auto" w:sz="4" w:space="0"/>
              <w:right w:val="single" w:color="auto" w:sz="4" w:space="0"/>
            </w:tcBorders>
            <w:noWrap w:val="0"/>
            <w:vAlign w:val="center"/>
          </w:tcPr>
          <w:p w14:paraId="1B86F87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134" w:type="dxa"/>
            <w:tcBorders>
              <w:top w:val="nil"/>
              <w:left w:val="nil"/>
              <w:bottom w:val="single" w:color="auto" w:sz="4" w:space="0"/>
              <w:right w:val="single" w:color="auto" w:sz="4" w:space="0"/>
            </w:tcBorders>
            <w:noWrap w:val="0"/>
            <w:vAlign w:val="center"/>
          </w:tcPr>
          <w:p w14:paraId="7BD04F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359E2E8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4F91A9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22CDF3C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6C40DA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4E0F62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701" w:type="dxa"/>
            <w:tcBorders>
              <w:top w:val="nil"/>
              <w:left w:val="nil"/>
              <w:bottom w:val="single" w:color="auto" w:sz="4" w:space="0"/>
              <w:right w:val="single" w:color="auto" w:sz="4" w:space="0"/>
            </w:tcBorders>
            <w:noWrap w:val="0"/>
            <w:vAlign w:val="center"/>
          </w:tcPr>
          <w:p w14:paraId="45BDDE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134" w:type="dxa"/>
            <w:tcBorders>
              <w:top w:val="nil"/>
              <w:left w:val="nil"/>
              <w:bottom w:val="single" w:color="auto" w:sz="4" w:space="0"/>
              <w:right w:val="single" w:color="auto" w:sz="4" w:space="0"/>
            </w:tcBorders>
            <w:noWrap w:val="0"/>
            <w:vAlign w:val="center"/>
          </w:tcPr>
          <w:p w14:paraId="6D7B6F8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05B549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5B98351">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984" w:type="dxa"/>
            <w:tcBorders>
              <w:top w:val="nil"/>
              <w:left w:val="nil"/>
              <w:bottom w:val="single" w:color="auto" w:sz="4" w:space="0"/>
              <w:right w:val="single" w:color="auto" w:sz="4" w:space="0"/>
            </w:tcBorders>
            <w:noWrap w:val="0"/>
            <w:vAlign w:val="center"/>
          </w:tcPr>
          <w:p w14:paraId="365105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10E714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2254C00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701" w:type="dxa"/>
            <w:tcBorders>
              <w:top w:val="nil"/>
              <w:left w:val="nil"/>
              <w:bottom w:val="single" w:color="auto" w:sz="4" w:space="0"/>
              <w:right w:val="single" w:color="auto" w:sz="4" w:space="0"/>
            </w:tcBorders>
            <w:noWrap w:val="0"/>
            <w:vAlign w:val="center"/>
          </w:tcPr>
          <w:p w14:paraId="55BE51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134" w:type="dxa"/>
            <w:tcBorders>
              <w:top w:val="nil"/>
              <w:left w:val="nil"/>
              <w:bottom w:val="single" w:color="auto" w:sz="4" w:space="0"/>
              <w:right w:val="single" w:color="auto" w:sz="4" w:space="0"/>
            </w:tcBorders>
            <w:noWrap w:val="0"/>
            <w:vAlign w:val="center"/>
          </w:tcPr>
          <w:p w14:paraId="2720F0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7846AB5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5A4AE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1C7C53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A68183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22300AD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701" w:type="dxa"/>
            <w:tcBorders>
              <w:top w:val="nil"/>
              <w:left w:val="nil"/>
              <w:bottom w:val="single" w:color="auto" w:sz="4" w:space="0"/>
              <w:right w:val="single" w:color="auto" w:sz="4" w:space="0"/>
            </w:tcBorders>
            <w:noWrap w:val="0"/>
            <w:vAlign w:val="center"/>
          </w:tcPr>
          <w:p w14:paraId="4835FB4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134" w:type="dxa"/>
            <w:tcBorders>
              <w:top w:val="nil"/>
              <w:left w:val="nil"/>
              <w:bottom w:val="single" w:color="auto" w:sz="4" w:space="0"/>
              <w:right w:val="single" w:color="auto" w:sz="4" w:space="0"/>
            </w:tcBorders>
            <w:noWrap w:val="0"/>
            <w:vAlign w:val="center"/>
          </w:tcPr>
          <w:p w14:paraId="172FA0A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3267AE3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86A136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984" w:type="dxa"/>
            <w:tcBorders>
              <w:top w:val="nil"/>
              <w:left w:val="nil"/>
              <w:bottom w:val="single" w:color="auto" w:sz="4" w:space="0"/>
              <w:right w:val="single" w:color="auto" w:sz="4" w:space="0"/>
            </w:tcBorders>
            <w:noWrap w:val="0"/>
            <w:vAlign w:val="center"/>
          </w:tcPr>
          <w:p w14:paraId="3E3E37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BF389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73578E0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701" w:type="dxa"/>
            <w:tcBorders>
              <w:top w:val="nil"/>
              <w:left w:val="nil"/>
              <w:bottom w:val="single" w:color="auto" w:sz="4" w:space="0"/>
              <w:right w:val="single" w:color="auto" w:sz="4" w:space="0"/>
            </w:tcBorders>
            <w:noWrap w:val="0"/>
            <w:vAlign w:val="center"/>
          </w:tcPr>
          <w:p w14:paraId="32C32B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134" w:type="dxa"/>
            <w:tcBorders>
              <w:top w:val="nil"/>
              <w:left w:val="nil"/>
              <w:bottom w:val="single" w:color="auto" w:sz="4" w:space="0"/>
              <w:right w:val="single" w:color="auto" w:sz="4" w:space="0"/>
            </w:tcBorders>
            <w:noWrap w:val="0"/>
            <w:vAlign w:val="center"/>
          </w:tcPr>
          <w:p w14:paraId="3F2C20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869175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3C6FFD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0BB86A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23893D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71E08E4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0"/>
            <w:vAlign w:val="center"/>
          </w:tcPr>
          <w:p w14:paraId="4DAC474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134" w:type="dxa"/>
            <w:tcBorders>
              <w:top w:val="nil"/>
              <w:left w:val="nil"/>
              <w:bottom w:val="single" w:color="auto" w:sz="4" w:space="0"/>
              <w:right w:val="single" w:color="auto" w:sz="4" w:space="0"/>
            </w:tcBorders>
            <w:noWrap w:val="0"/>
            <w:vAlign w:val="center"/>
          </w:tcPr>
          <w:p w14:paraId="68C6F10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73547C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D285E9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984" w:type="dxa"/>
            <w:tcBorders>
              <w:top w:val="nil"/>
              <w:left w:val="nil"/>
              <w:bottom w:val="single" w:color="auto" w:sz="4" w:space="0"/>
              <w:right w:val="single" w:color="auto" w:sz="4" w:space="0"/>
            </w:tcBorders>
            <w:noWrap w:val="0"/>
            <w:vAlign w:val="center"/>
          </w:tcPr>
          <w:p w14:paraId="3FD28D3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6CCEA6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7D2E31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18AF528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60D680A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0CDC62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6D9512">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FD77CE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EB3495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07F5CAB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701" w:type="dxa"/>
            <w:tcBorders>
              <w:top w:val="nil"/>
              <w:left w:val="nil"/>
              <w:bottom w:val="single" w:color="auto" w:sz="4" w:space="0"/>
              <w:right w:val="single" w:color="auto" w:sz="4" w:space="0"/>
            </w:tcBorders>
            <w:noWrap w:val="0"/>
            <w:vAlign w:val="center"/>
          </w:tcPr>
          <w:p w14:paraId="5AAD54D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134" w:type="dxa"/>
            <w:tcBorders>
              <w:top w:val="nil"/>
              <w:left w:val="nil"/>
              <w:bottom w:val="single" w:color="auto" w:sz="4" w:space="0"/>
              <w:right w:val="single" w:color="auto" w:sz="4" w:space="0"/>
            </w:tcBorders>
            <w:noWrap w:val="0"/>
            <w:vAlign w:val="center"/>
          </w:tcPr>
          <w:p w14:paraId="7CC793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5E4638C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2757AA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984" w:type="dxa"/>
            <w:tcBorders>
              <w:top w:val="nil"/>
              <w:left w:val="nil"/>
              <w:bottom w:val="single" w:color="auto" w:sz="4" w:space="0"/>
              <w:right w:val="single" w:color="auto" w:sz="4" w:space="0"/>
            </w:tcBorders>
            <w:noWrap w:val="0"/>
            <w:vAlign w:val="center"/>
          </w:tcPr>
          <w:p w14:paraId="55233A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3BF03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5988070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701" w:type="dxa"/>
            <w:tcBorders>
              <w:top w:val="nil"/>
              <w:left w:val="nil"/>
              <w:bottom w:val="single" w:color="auto" w:sz="4" w:space="0"/>
              <w:right w:val="single" w:color="auto" w:sz="4" w:space="0"/>
            </w:tcBorders>
            <w:noWrap w:val="0"/>
            <w:vAlign w:val="center"/>
          </w:tcPr>
          <w:p w14:paraId="5F3F179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134" w:type="dxa"/>
            <w:tcBorders>
              <w:top w:val="nil"/>
              <w:left w:val="nil"/>
              <w:bottom w:val="single" w:color="auto" w:sz="4" w:space="0"/>
              <w:right w:val="single" w:color="auto" w:sz="4" w:space="0"/>
            </w:tcBorders>
            <w:noWrap w:val="0"/>
            <w:vAlign w:val="center"/>
          </w:tcPr>
          <w:p w14:paraId="69CDA7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21CFD8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C965D3">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199F13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0C3219C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6771F7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701" w:type="dxa"/>
            <w:tcBorders>
              <w:top w:val="nil"/>
              <w:left w:val="nil"/>
              <w:bottom w:val="single" w:color="auto" w:sz="4" w:space="0"/>
              <w:right w:val="single" w:color="auto" w:sz="4" w:space="0"/>
            </w:tcBorders>
            <w:noWrap w:val="0"/>
            <w:vAlign w:val="center"/>
          </w:tcPr>
          <w:p w14:paraId="323F02E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0"/>
            <w:vAlign w:val="center"/>
          </w:tcPr>
          <w:p w14:paraId="2ECF72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982158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F6550D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984" w:type="dxa"/>
            <w:tcBorders>
              <w:top w:val="nil"/>
              <w:left w:val="nil"/>
              <w:bottom w:val="single" w:color="auto" w:sz="4" w:space="0"/>
              <w:right w:val="single" w:color="auto" w:sz="4" w:space="0"/>
            </w:tcBorders>
            <w:noWrap w:val="0"/>
            <w:vAlign w:val="center"/>
          </w:tcPr>
          <w:p w14:paraId="51464FA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455B653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62FD969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1DBF8E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69BA0AB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FF1426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6355CB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2DF03F7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A798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0029F61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701" w:type="dxa"/>
            <w:tcBorders>
              <w:top w:val="nil"/>
              <w:left w:val="nil"/>
              <w:bottom w:val="single" w:color="auto" w:sz="4" w:space="0"/>
              <w:right w:val="single" w:color="auto" w:sz="4" w:space="0"/>
            </w:tcBorders>
            <w:noWrap w:val="0"/>
            <w:vAlign w:val="center"/>
          </w:tcPr>
          <w:p w14:paraId="70F053A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475434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671ECA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952DA9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984" w:type="dxa"/>
            <w:tcBorders>
              <w:top w:val="nil"/>
              <w:left w:val="nil"/>
              <w:bottom w:val="single" w:color="auto" w:sz="4" w:space="0"/>
              <w:right w:val="single" w:color="auto" w:sz="4" w:space="0"/>
            </w:tcBorders>
            <w:noWrap w:val="0"/>
            <w:vAlign w:val="center"/>
          </w:tcPr>
          <w:p w14:paraId="281B4F3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7A34B6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0B0A7C8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5BFD09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2DDA972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649A6E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D0984BF">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AD1D23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544586F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8EC8A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0"/>
            <w:vAlign w:val="center"/>
          </w:tcPr>
          <w:p w14:paraId="3EFEA5D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2B8AD75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56A2A7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07AAD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984" w:type="dxa"/>
            <w:tcBorders>
              <w:top w:val="nil"/>
              <w:left w:val="nil"/>
              <w:bottom w:val="single" w:color="auto" w:sz="4" w:space="0"/>
              <w:right w:val="single" w:color="auto" w:sz="4" w:space="0"/>
            </w:tcBorders>
            <w:noWrap w:val="0"/>
            <w:vAlign w:val="center"/>
          </w:tcPr>
          <w:p w14:paraId="27AAD48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442296A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1D2D53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40EBBD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2552E4A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9BD025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D9760C6">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5CE5934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2B010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85EC24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0"/>
            <w:vAlign w:val="center"/>
          </w:tcPr>
          <w:p w14:paraId="79CE74C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30FE41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8366EE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DC6839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984" w:type="dxa"/>
            <w:tcBorders>
              <w:top w:val="nil"/>
              <w:left w:val="nil"/>
              <w:bottom w:val="single" w:color="auto" w:sz="4" w:space="0"/>
              <w:right w:val="single" w:color="auto" w:sz="4" w:space="0"/>
            </w:tcBorders>
            <w:noWrap w:val="0"/>
            <w:vAlign w:val="center"/>
          </w:tcPr>
          <w:p w14:paraId="5981A4F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E089A6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42EB7D7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701" w:type="dxa"/>
            <w:tcBorders>
              <w:top w:val="nil"/>
              <w:left w:val="nil"/>
              <w:bottom w:val="single" w:color="auto" w:sz="4" w:space="0"/>
              <w:right w:val="single" w:color="auto" w:sz="4" w:space="0"/>
            </w:tcBorders>
            <w:noWrap w:val="0"/>
            <w:vAlign w:val="center"/>
          </w:tcPr>
          <w:p w14:paraId="73C826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30F8832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B089F0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3BB103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1DDC04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0DF22A2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487E952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701" w:type="dxa"/>
            <w:tcBorders>
              <w:top w:val="nil"/>
              <w:left w:val="nil"/>
              <w:bottom w:val="single" w:color="auto" w:sz="4" w:space="0"/>
              <w:right w:val="single" w:color="auto" w:sz="4" w:space="0"/>
            </w:tcBorders>
            <w:noWrap w:val="0"/>
            <w:vAlign w:val="center"/>
          </w:tcPr>
          <w:p w14:paraId="336A7C4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0"/>
            <w:vAlign w:val="center"/>
          </w:tcPr>
          <w:p w14:paraId="577A36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A9EA44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47C220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984" w:type="dxa"/>
            <w:tcBorders>
              <w:top w:val="nil"/>
              <w:left w:val="nil"/>
              <w:bottom w:val="single" w:color="auto" w:sz="4" w:space="0"/>
              <w:right w:val="single" w:color="auto" w:sz="4" w:space="0"/>
            </w:tcBorders>
            <w:noWrap w:val="0"/>
            <w:vAlign w:val="center"/>
          </w:tcPr>
          <w:p w14:paraId="1561422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7D7170A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5365663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544BCA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2649B7D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A5A309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FFBDC26">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B567F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645022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E7E36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701" w:type="dxa"/>
            <w:tcBorders>
              <w:top w:val="nil"/>
              <w:left w:val="nil"/>
              <w:bottom w:val="single" w:color="auto" w:sz="4" w:space="0"/>
              <w:right w:val="single" w:color="auto" w:sz="4" w:space="0"/>
            </w:tcBorders>
            <w:noWrap w:val="0"/>
            <w:vAlign w:val="center"/>
          </w:tcPr>
          <w:p w14:paraId="4807D81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134" w:type="dxa"/>
            <w:tcBorders>
              <w:top w:val="nil"/>
              <w:left w:val="nil"/>
              <w:bottom w:val="single" w:color="auto" w:sz="4" w:space="0"/>
              <w:right w:val="single" w:color="auto" w:sz="4" w:space="0"/>
            </w:tcBorders>
            <w:noWrap w:val="0"/>
            <w:vAlign w:val="center"/>
          </w:tcPr>
          <w:p w14:paraId="1E93D03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40677C6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67F87DD">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984" w:type="dxa"/>
            <w:tcBorders>
              <w:top w:val="nil"/>
              <w:left w:val="nil"/>
              <w:bottom w:val="single" w:color="auto" w:sz="4" w:space="0"/>
              <w:right w:val="single" w:color="auto" w:sz="4" w:space="0"/>
            </w:tcBorders>
            <w:noWrap w:val="0"/>
            <w:vAlign w:val="center"/>
          </w:tcPr>
          <w:p w14:paraId="6ABBBDB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F92EE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215C4D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701" w:type="dxa"/>
            <w:tcBorders>
              <w:top w:val="nil"/>
              <w:left w:val="nil"/>
              <w:bottom w:val="single" w:color="auto" w:sz="4" w:space="0"/>
              <w:right w:val="single" w:color="auto" w:sz="4" w:space="0"/>
            </w:tcBorders>
            <w:noWrap w:val="0"/>
            <w:vAlign w:val="center"/>
          </w:tcPr>
          <w:p w14:paraId="1002FF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134" w:type="dxa"/>
            <w:tcBorders>
              <w:top w:val="nil"/>
              <w:left w:val="nil"/>
              <w:bottom w:val="single" w:color="auto" w:sz="4" w:space="0"/>
              <w:right w:val="single" w:color="auto" w:sz="4" w:space="0"/>
            </w:tcBorders>
            <w:noWrap w:val="0"/>
            <w:vAlign w:val="center"/>
          </w:tcPr>
          <w:p w14:paraId="262CC00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435552F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133AC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F8CDA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0A0EEDA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2E388E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701" w:type="dxa"/>
            <w:tcBorders>
              <w:top w:val="nil"/>
              <w:left w:val="nil"/>
              <w:bottom w:val="single" w:color="auto" w:sz="4" w:space="0"/>
              <w:right w:val="single" w:color="auto" w:sz="4" w:space="0"/>
            </w:tcBorders>
            <w:noWrap w:val="0"/>
            <w:vAlign w:val="center"/>
          </w:tcPr>
          <w:p w14:paraId="3291D8B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134" w:type="dxa"/>
            <w:tcBorders>
              <w:top w:val="nil"/>
              <w:left w:val="nil"/>
              <w:bottom w:val="single" w:color="auto" w:sz="4" w:space="0"/>
              <w:right w:val="single" w:color="auto" w:sz="4" w:space="0"/>
            </w:tcBorders>
            <w:noWrap w:val="0"/>
            <w:vAlign w:val="center"/>
          </w:tcPr>
          <w:p w14:paraId="44B602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07EC243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E999BC1">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984" w:type="dxa"/>
            <w:tcBorders>
              <w:top w:val="nil"/>
              <w:left w:val="nil"/>
              <w:bottom w:val="single" w:color="auto" w:sz="4" w:space="0"/>
              <w:right w:val="single" w:color="auto" w:sz="4" w:space="0"/>
            </w:tcBorders>
            <w:noWrap w:val="0"/>
            <w:vAlign w:val="center"/>
          </w:tcPr>
          <w:p w14:paraId="27DD916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73C2A1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6675E57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20E2936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134" w:type="dxa"/>
            <w:tcBorders>
              <w:top w:val="nil"/>
              <w:left w:val="nil"/>
              <w:bottom w:val="single" w:color="auto" w:sz="4" w:space="0"/>
              <w:right w:val="single" w:color="auto" w:sz="4" w:space="0"/>
            </w:tcBorders>
            <w:noWrap w:val="0"/>
            <w:vAlign w:val="center"/>
          </w:tcPr>
          <w:p w14:paraId="545B817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15E1578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27726C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66B0BB6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D26D42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4C41C1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701" w:type="dxa"/>
            <w:tcBorders>
              <w:top w:val="nil"/>
              <w:left w:val="nil"/>
              <w:bottom w:val="single" w:color="auto" w:sz="4" w:space="0"/>
              <w:right w:val="single" w:color="auto" w:sz="4" w:space="0"/>
            </w:tcBorders>
            <w:noWrap w:val="0"/>
            <w:vAlign w:val="center"/>
          </w:tcPr>
          <w:p w14:paraId="2DA7F10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134" w:type="dxa"/>
            <w:tcBorders>
              <w:top w:val="nil"/>
              <w:left w:val="nil"/>
              <w:bottom w:val="single" w:color="auto" w:sz="4" w:space="0"/>
              <w:right w:val="single" w:color="auto" w:sz="4" w:space="0"/>
            </w:tcBorders>
            <w:noWrap w:val="0"/>
            <w:vAlign w:val="center"/>
          </w:tcPr>
          <w:p w14:paraId="54D915B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5958B3E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94C52D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984" w:type="dxa"/>
            <w:tcBorders>
              <w:top w:val="nil"/>
              <w:left w:val="nil"/>
              <w:bottom w:val="single" w:color="auto" w:sz="4" w:space="0"/>
              <w:right w:val="single" w:color="auto" w:sz="4" w:space="0"/>
            </w:tcBorders>
            <w:noWrap w:val="0"/>
            <w:vAlign w:val="center"/>
          </w:tcPr>
          <w:p w14:paraId="1D5349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5B892B7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0AE9E79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1BEE12D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144BC95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20DBD5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ADF9FDD">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C139B0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2F4AC8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A5B51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701" w:type="dxa"/>
            <w:tcBorders>
              <w:top w:val="nil"/>
              <w:left w:val="nil"/>
              <w:bottom w:val="single" w:color="auto" w:sz="4" w:space="0"/>
              <w:right w:val="single" w:color="auto" w:sz="4" w:space="0"/>
            </w:tcBorders>
            <w:noWrap w:val="0"/>
            <w:vAlign w:val="center"/>
          </w:tcPr>
          <w:p w14:paraId="295B2AC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134" w:type="dxa"/>
            <w:tcBorders>
              <w:top w:val="nil"/>
              <w:left w:val="nil"/>
              <w:bottom w:val="single" w:color="auto" w:sz="4" w:space="0"/>
              <w:right w:val="single" w:color="auto" w:sz="4" w:space="0"/>
            </w:tcBorders>
            <w:noWrap w:val="0"/>
            <w:vAlign w:val="center"/>
          </w:tcPr>
          <w:p w14:paraId="0807E8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79C15A9">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420249A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984" w:type="dxa"/>
            <w:tcBorders>
              <w:top w:val="nil"/>
              <w:left w:val="nil"/>
              <w:bottom w:val="single" w:color="auto" w:sz="4" w:space="0"/>
              <w:right w:val="single" w:color="auto" w:sz="4" w:space="0"/>
            </w:tcBorders>
            <w:noWrap w:val="0"/>
            <w:vAlign w:val="center"/>
          </w:tcPr>
          <w:p w14:paraId="0A8A924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04E1F6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153B54A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6206BA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7F66DD2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25CD0C84">
      <w:pPr>
        <w:spacing w:line="560" w:lineRule="exact"/>
        <w:ind w:firstLine="525" w:firstLineChars="250"/>
        <w:rPr>
          <w:rFonts w:hint="eastAsia"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48F81C08">
      <w:pPr>
        <w:widowControl/>
        <w:jc w:val="left"/>
        <w:rPr>
          <w:rFonts w:ascii="宋体" w:hAnsi="宋体"/>
          <w:color w:val="000000" w:themeColor="text1"/>
          <w:kern w:val="0"/>
          <w:sz w:val="20"/>
          <w:szCs w:val="21"/>
          <w:highlight w:val="none"/>
          <w14:textFill>
            <w14:solidFill>
              <w14:schemeClr w14:val="tx1"/>
            </w14:solidFill>
          </w14:textFill>
        </w:rPr>
        <w:sectPr>
          <w:pgSz w:w="11906" w:h="16838"/>
          <w:pgMar w:top="1440" w:right="1080" w:bottom="1440" w:left="1080" w:header="720" w:footer="720" w:gutter="0"/>
          <w:pgNumType w:fmt="decimal"/>
          <w:cols w:space="720" w:num="1"/>
          <w:docGrid w:type="lines" w:linePitch="331" w:charSpace="0"/>
        </w:sectPr>
      </w:pPr>
    </w:p>
    <w:p w14:paraId="1ED7D9A3">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highlight w:val="none"/>
          <w14:textFill>
            <w14:solidFill>
              <w14:schemeClr w14:val="tx1"/>
            </w14:solidFill>
          </w14:textFill>
        </w:rPr>
      </w:pPr>
      <w:bookmarkStart w:id="30" w:name="_Toc12288"/>
      <w:r>
        <w:rPr>
          <w:rFonts w:hint="eastAsia" w:ascii="Cambria" w:hAnsi="Cambria"/>
          <w:bCs w:val="0"/>
          <w:color w:val="000000" w:themeColor="text1"/>
          <w:sz w:val="32"/>
          <w:szCs w:val="32"/>
          <w:highlight w:val="none"/>
          <w14:textFill>
            <w14:solidFill>
              <w14:schemeClr w14:val="tx1"/>
            </w14:solidFill>
          </w14:textFill>
        </w:rPr>
        <w:t>第三章</w:t>
      </w:r>
      <w:r>
        <w:rPr>
          <w:rFonts w:ascii="Cambria" w:hAnsi="Cambria"/>
          <w:bCs w:val="0"/>
          <w:color w:val="000000" w:themeColor="text1"/>
          <w:sz w:val="32"/>
          <w:szCs w:val="32"/>
          <w:highlight w:val="none"/>
          <w14:textFill>
            <w14:solidFill>
              <w14:schemeClr w14:val="tx1"/>
            </w14:solidFill>
          </w14:textFill>
        </w:rPr>
        <w:t xml:space="preserve"> </w:t>
      </w:r>
      <w:r>
        <w:rPr>
          <w:rFonts w:hint="eastAsia" w:ascii="Cambria" w:hAnsi="Cambria"/>
          <w:bCs w:val="0"/>
          <w:color w:val="000000" w:themeColor="text1"/>
          <w:sz w:val="32"/>
          <w:szCs w:val="32"/>
          <w:highlight w:val="none"/>
          <w14:textFill>
            <w14:solidFill>
              <w14:schemeClr w14:val="tx1"/>
            </w14:solidFill>
          </w14:textFill>
        </w:rPr>
        <w:t>供应商须知</w:t>
      </w:r>
      <w:bookmarkEnd w:id="30"/>
    </w:p>
    <w:p w14:paraId="3661BC45">
      <w:pPr>
        <w:pStyle w:val="3"/>
        <w:keepNext/>
        <w:keepLines/>
        <w:pageBreakBefore w:val="0"/>
        <w:widowControl w:val="0"/>
        <w:kinsoku/>
        <w:wordWrap/>
        <w:overflowPunct/>
        <w:topLinePunct w:val="0"/>
        <w:autoSpaceDE/>
        <w:autoSpaceDN/>
        <w:bidi w:val="0"/>
        <w:adjustRightInd/>
        <w:snapToGrid/>
        <w:spacing w:line="240" w:lineRule="auto"/>
        <w:ind w:firstLine="420" w:firstLineChars="0"/>
        <w:jc w:val="center"/>
        <w:textAlignment w:val="auto"/>
        <w:rPr>
          <w:rFonts w:hint="eastAsia" w:ascii="宋体" w:hAnsi="宋体"/>
          <w:b w:val="0"/>
          <w:color w:val="000000" w:themeColor="text1"/>
          <w:sz w:val="32"/>
          <w:szCs w:val="32"/>
          <w:highlight w:val="none"/>
          <w14:textFill>
            <w14:solidFill>
              <w14:schemeClr w14:val="tx1"/>
            </w14:solidFill>
          </w14:textFill>
        </w:rPr>
      </w:pPr>
      <w:bookmarkStart w:id="31" w:name="_Toc10368"/>
      <w:r>
        <w:rPr>
          <w:rFonts w:hint="eastAsia" w:ascii="宋体" w:hAnsi="宋体"/>
          <w:b w:val="0"/>
          <w:color w:val="000000" w:themeColor="text1"/>
          <w:highlight w:val="none"/>
          <w14:textFill>
            <w14:solidFill>
              <w14:schemeClr w14:val="tx1"/>
            </w14:solidFill>
          </w14:textFill>
        </w:rPr>
        <w:t>第一节 供应商须知前附表</w:t>
      </w:r>
      <w:bookmarkEnd w:id="31"/>
    </w:p>
    <w:tbl>
      <w:tblPr>
        <w:tblStyle w:val="29"/>
        <w:tblW w:w="87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467"/>
        <w:gridCol w:w="5591"/>
      </w:tblGrid>
      <w:tr w14:paraId="518E9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top"/>
          </w:tcPr>
          <w:p w14:paraId="471B0CBD">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1F1148F4">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条款内容</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45B91038">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具体要求</w:t>
            </w:r>
          </w:p>
        </w:tc>
      </w:tr>
      <w:tr w14:paraId="1ED7D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top"/>
          </w:tcPr>
          <w:p w14:paraId="57B5488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6CCDBF12">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供应商资格条件</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5E79A7EB">
            <w:pPr>
              <w:spacing w:line="400" w:lineRule="exact"/>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供应商资格条件要求详见公告</w:t>
            </w:r>
          </w:p>
        </w:tc>
      </w:tr>
      <w:tr w14:paraId="584A0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74293AA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E2FE8F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6C055BC">
            <w:pPr>
              <w:spacing w:line="360" w:lineRule="auto"/>
              <w:jc w:val="left"/>
              <w:rPr>
                <w:rFonts w:hint="eastAsia" w:ascii="宋体" w:hAnsi="宋体" w:cs="宋体"/>
                <w:color w:val="000000" w:themeColor="text1"/>
                <w:szCs w:val="21"/>
                <w:highlight w:val="none"/>
                <w14:textFill>
                  <w14:solidFill>
                    <w14:schemeClr w14:val="tx1"/>
                  </w14:solidFill>
                </w14:textFill>
              </w:rPr>
            </w:pPr>
            <w:bookmarkStart w:id="32" w:name="PO_3000001871_PM007_1"/>
            <w:r>
              <w:rPr>
                <w:rFonts w:hint="eastAsia" w:ascii="宋体" w:hAnsi="宋体"/>
                <w:color w:val="000000" w:themeColor="text1"/>
                <w:szCs w:val="21"/>
                <w:highlight w:val="none"/>
                <w:lang w:eastAsia="zh-CN"/>
                <w14:textFill>
                  <w14:solidFill>
                    <w14:schemeClr w14:val="tx1"/>
                  </w14:solidFill>
                </w14:textFill>
              </w:rPr>
              <w:t>不允许联合体</w:t>
            </w:r>
            <w:bookmarkEnd w:id="32"/>
            <w:r>
              <w:rPr>
                <w:rFonts w:hint="eastAsia" w:ascii="宋体" w:hAnsi="宋体"/>
                <w:color w:val="000000" w:themeColor="text1"/>
                <w:szCs w:val="21"/>
                <w:highlight w:val="none"/>
                <w:lang w:val="en-US" w:eastAsia="zh-CN"/>
                <w14:textFill>
                  <w14:solidFill>
                    <w14:schemeClr w14:val="tx1"/>
                  </w14:solidFill>
                </w14:textFill>
              </w:rPr>
              <w:t>竞标</w:t>
            </w:r>
            <w:r>
              <w:rPr>
                <w:rFonts w:hint="eastAsia" w:ascii="宋体" w:hAnsi="宋体"/>
                <w:color w:val="000000" w:themeColor="text1"/>
                <w:szCs w:val="21"/>
                <w:highlight w:val="none"/>
                <w14:textFill>
                  <w14:solidFill>
                    <w14:schemeClr w14:val="tx1"/>
                  </w14:solidFill>
                </w14:textFill>
              </w:rPr>
              <w:t>。</w:t>
            </w:r>
          </w:p>
        </w:tc>
      </w:tr>
      <w:tr w14:paraId="7FB44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22F044DE">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583D320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联合体竞标要求</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EED4352">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无</w:t>
            </w:r>
          </w:p>
        </w:tc>
      </w:tr>
      <w:tr w14:paraId="3F6F5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054FA92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5E27F5E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是否允许分包</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4355266F">
            <w:pPr>
              <w:pStyle w:val="11"/>
              <w:spacing w:line="360" w:lineRule="auto"/>
              <w:rPr>
                <w:rFonts w:hint="eastAsia" w:ascii="宋体" w:hAnsi="宋体"/>
                <w:color w:val="000000" w:themeColor="text1"/>
                <w:szCs w:val="21"/>
                <w:highlight w:val="none"/>
                <w:lang w:val="en-US" w:eastAsia="zh-CN"/>
                <w14:textFill>
                  <w14:solidFill>
                    <w14:schemeClr w14:val="tx1"/>
                  </w14:solidFill>
                </w14:textFill>
              </w:rPr>
            </w:pPr>
            <w:bookmarkStart w:id="33" w:name="PO_3000001871_PM044"/>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不允许分包</w:t>
            </w:r>
            <w:bookmarkEnd w:id="33"/>
          </w:p>
          <w:p w14:paraId="7E0B2928">
            <w:pPr>
              <w:pStyle w:val="11"/>
              <w:spacing w:line="360" w:lineRule="auto"/>
              <w:rPr>
                <w:rFonts w:hint="eastAsia" w:ascii="宋体" w:hAnsi="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分包内容：</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0322E6DB">
            <w:pPr>
              <w:pStyle w:val="11"/>
              <w:spacing w:line="360" w:lineRule="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分包金额或者比例：</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tc>
      </w:tr>
      <w:tr w14:paraId="6F110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36C3F14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51FBC3AF">
            <w:pPr>
              <w:snapToGrid w:val="0"/>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资格证明文件组成</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4E26E13">
            <w:pPr>
              <w:pStyle w:val="11"/>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000000" w:themeColor="text1"/>
                <w:szCs w:val="21"/>
                <w:highlight w:val="none"/>
                <w14:textFill>
                  <w14:solidFill>
                    <w14:schemeClr w14:val="tx1"/>
                  </w14:solidFill>
                </w14:textFill>
              </w:rPr>
              <w:t>必须提供，否则谈判文件按无效响应处理</w:t>
            </w:r>
            <w:r>
              <w:rPr>
                <w:rFonts w:hint="eastAsia" w:ascii="宋体" w:hAnsi="宋体" w:cs="宋体"/>
                <w:color w:val="000000" w:themeColor="text1"/>
                <w:szCs w:val="21"/>
                <w:highlight w:val="none"/>
                <w14:textFill>
                  <w14:solidFill>
                    <w14:schemeClr w14:val="tx1"/>
                  </w14:solidFill>
                </w14:textFill>
              </w:rPr>
              <w:t>）</w:t>
            </w:r>
          </w:p>
          <w:p w14:paraId="3BCD7DE9">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2.供应商依法缴纳税收的相关材料：[</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lang w:val="en-US" w:eastAsia="zh-CN"/>
                <w14:textFill>
                  <w14:solidFill>
                    <w14:schemeClr w14:val="tx1"/>
                  </w14:solidFill>
                </w14:textFill>
              </w:rPr>
              <w:t>2026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法免税的供应商，必须提供相应文件证明其依法免税。无纳税记录的，应提供竞标人所在地主管税务部门出具的依法纳税或依法免税证明复印件。</w:t>
            </w:r>
            <w:r>
              <w:rPr>
                <w:rFonts w:hint="eastAsia" w:ascii="宋体" w:hAnsi="宋体" w:cs="宋体"/>
                <w:color w:val="000000" w:themeColor="text1"/>
                <w:szCs w:val="21"/>
                <w:highlight w:val="none"/>
                <w14:textFill>
                  <w14:solidFill>
                    <w14:schemeClr w14:val="tx1"/>
                  </w14:solidFill>
                </w14:textFill>
              </w:rPr>
              <w:t>从取得营业执照时间起到</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必须提供，否则作无效响应处理</w:t>
            </w:r>
            <w:r>
              <w:rPr>
                <w:rFonts w:hint="eastAsia" w:ascii="宋体" w:hAnsi="宋体"/>
                <w:color w:val="000000" w:themeColor="text1"/>
                <w:szCs w:val="21"/>
                <w:highlight w:val="none"/>
                <w14:textFill>
                  <w14:solidFill>
                    <w14:schemeClr w14:val="tx1"/>
                  </w14:solidFill>
                </w14:textFill>
              </w:rPr>
              <w:t>）</w:t>
            </w:r>
          </w:p>
          <w:p w14:paraId="4241ED05">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3.供应商依法缴纳社会保障资金的相关材料</w:t>
            </w:r>
            <w:r>
              <w:rPr>
                <w:rFonts w:hint="eastAsia" w:ascii="宋体" w:hAnsi="宋体" w:cs="宋体"/>
                <w:color w:val="000000" w:themeColor="text1"/>
                <w:szCs w:val="21"/>
                <w:highlight w:val="none"/>
                <w:u w:val="single"/>
                <w:lang w:val="en-US" w:eastAsia="zh-CN"/>
                <w14:textFill>
                  <w14:solidFill>
                    <w14:schemeClr w14:val="tx1"/>
                  </w14:solidFill>
                </w14:textFill>
              </w:rPr>
              <w:t>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lang w:val="en-US" w:eastAsia="zh-CN"/>
                <w14:textFill>
                  <w14:solidFill>
                    <w14:schemeClr w14:val="tx1"/>
                  </w14:solidFill>
                </w14:textFill>
              </w:rPr>
              <w:t>2026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从取得营业执照时间起到响应文件提交截止时间为止不足要求月数的只需提供从取得营业执照起的依法缴纳社会保障资金的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必须提供，否则作无效响应处理</w:t>
            </w:r>
            <w:r>
              <w:rPr>
                <w:rFonts w:hint="eastAsia" w:ascii="宋体" w:hAnsi="宋体"/>
                <w:color w:val="000000" w:themeColor="text1"/>
                <w:szCs w:val="21"/>
                <w:highlight w:val="none"/>
                <w14:textFill>
                  <w14:solidFill>
                    <w14:schemeClr w14:val="tx1"/>
                  </w14:solidFill>
                </w14:textFill>
              </w:rPr>
              <w:t>）</w:t>
            </w:r>
          </w:p>
          <w:p w14:paraId="2C331AC2">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none"/>
                <w:lang w:val="en-US" w:eastAsia="zh-CN"/>
                <w14:textFill>
                  <w14:solidFill>
                    <w14:schemeClr w14:val="tx1"/>
                  </w14:solidFill>
                </w14:textFill>
              </w:rPr>
              <w:t>2024</w:t>
            </w:r>
            <w:r>
              <w:rPr>
                <w:rFonts w:hint="eastAsia" w:ascii="宋体" w:hAnsi="宋体"/>
                <w:color w:val="000000" w:themeColor="text1"/>
                <w:szCs w:val="21"/>
                <w:highlight w:val="none"/>
                <w:lang w:val="en-US" w:eastAsia="zh-CN"/>
                <w14:textFill>
                  <w14:solidFill>
                    <w14:schemeClr w14:val="tx1"/>
                  </w14:solidFill>
                </w14:textFill>
              </w:rPr>
              <w:t>年或2025年</w:t>
            </w:r>
            <w:r>
              <w:rPr>
                <w:rFonts w:hint="eastAsia" w:ascii="宋体" w:hAnsi="宋体"/>
                <w:color w:val="000000" w:themeColor="text1"/>
                <w:szCs w:val="21"/>
                <w:highlight w:val="none"/>
                <w14:textFill>
                  <w14:solidFill>
                    <w14:schemeClr w14:val="tx1"/>
                  </w14:solidFill>
                </w14:textFill>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必须提供，否则作无效响应处理</w:t>
            </w:r>
            <w:r>
              <w:rPr>
                <w:rFonts w:hint="eastAsia" w:ascii="宋体" w:hAnsi="宋体"/>
                <w:color w:val="000000" w:themeColor="text1"/>
                <w:szCs w:val="21"/>
                <w:highlight w:val="none"/>
                <w14:textFill>
                  <w14:solidFill>
                    <w14:schemeClr w14:val="tx1"/>
                  </w14:solidFill>
                </w14:textFill>
              </w:rPr>
              <w:t>）</w:t>
            </w:r>
          </w:p>
          <w:p w14:paraId="31F3CDFC">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5.供应商直接控股、管理关系信息表；（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DF3F370">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6.资格声明函；（</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19182DE">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7.本项目为专门面向</w:t>
            </w:r>
            <w:r>
              <w:rPr>
                <w:rFonts w:hint="eastAsia" w:ascii="宋体" w:hAnsi="宋体" w:eastAsia="宋体" w:cs="Times New Roman"/>
                <w:color w:val="000000" w:themeColor="text1"/>
                <w:szCs w:val="21"/>
                <w:highlight w:val="none"/>
                <w14:textFill>
                  <w14:solidFill>
                    <w14:schemeClr w14:val="tx1"/>
                  </w14:solidFill>
                </w14:textFill>
              </w:rPr>
              <w:t>小</w:t>
            </w:r>
            <w:r>
              <w:rPr>
                <w:rFonts w:hint="eastAsia" w:ascii="宋体" w:hAnsi="宋体" w:eastAsia="宋体" w:cs="Times New Roman"/>
                <w:color w:val="000000" w:themeColor="text1"/>
                <w:szCs w:val="21"/>
                <w:highlight w:val="none"/>
                <w:lang w:val="en-US" w:eastAsia="zh-CN"/>
                <w14:textFill>
                  <w14:solidFill>
                    <w14:schemeClr w14:val="tx1"/>
                  </w14:solidFill>
                </w14:textFill>
              </w:rPr>
              <w:t>微</w:t>
            </w:r>
            <w:r>
              <w:rPr>
                <w:rFonts w:hint="eastAsia" w:ascii="宋体" w:hAnsi="宋体" w:eastAsia="宋体" w:cs="Times New Roman"/>
                <w:color w:val="000000" w:themeColor="text1"/>
                <w:szCs w:val="21"/>
                <w:highlight w:val="none"/>
                <w14:textFill>
                  <w14:solidFill>
                    <w14:schemeClr w14:val="tx1"/>
                  </w14:solidFill>
                </w14:textFill>
              </w:rPr>
              <w:t>企业采购的项目</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供应商应为小微企业、监狱企业、残疾人福利性单位，</w:t>
            </w:r>
            <w:r>
              <w:rPr>
                <w:rFonts w:hint="eastAsia" w:ascii="宋体" w:hAnsi="宋体" w:cs="宋体"/>
                <w:color w:val="000000" w:themeColor="text1"/>
                <w:szCs w:val="21"/>
                <w:highlight w:val="none"/>
                <w14:textFill>
                  <w14:solidFill>
                    <w14:schemeClr w14:val="tx1"/>
                  </w14:solidFill>
                </w14:textFill>
              </w:rPr>
              <w:t>提供中小企业声明函或者残疾人福利性单位声明函（格式后附）或者供应商属于监狱企业的需提供由省级以上监狱管理局、戒毒管理局（含新疆生产建设兵团）出具的属于监狱企业的证明文件；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cs="宋体"/>
                <w:b/>
                <w:bCs/>
                <w:color w:val="000000" w:themeColor="text1"/>
                <w:szCs w:val="21"/>
                <w:highlight w:val="none"/>
                <w14:textFill>
                  <w14:solidFill>
                    <w14:schemeClr w14:val="tx1"/>
                  </w14:solidFill>
                </w14:textFill>
              </w:rPr>
              <w:t>（必须提供，否则响应文件按无效响应处理）</w:t>
            </w:r>
          </w:p>
          <w:p w14:paraId="479B2254">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8.提供《危险化学品经营许可证》复印件；（必须提供，否则作无效响应处理）</w:t>
            </w:r>
          </w:p>
          <w:p w14:paraId="45E46D37">
            <w:pPr>
              <w:snapToGrid w:val="0"/>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除谈判文件规定必须提供以外，供应商认为需要提供的其他证明材料</w:t>
            </w:r>
            <w:r>
              <w:rPr>
                <w:rFonts w:hint="eastAsia" w:ascii="宋体" w:hAnsi="宋体" w:cs="宋体"/>
                <w:color w:val="000000" w:themeColor="text1"/>
                <w:szCs w:val="21"/>
                <w:highlight w:val="none"/>
                <w:lang w:eastAsia="zh-CN"/>
                <w14:textFill>
                  <w14:solidFill>
                    <w14:schemeClr w14:val="tx1"/>
                  </w14:solidFill>
                </w14:textFill>
              </w:rPr>
              <w:t>。</w:t>
            </w:r>
          </w:p>
          <w:p w14:paraId="15BCB676">
            <w:pPr>
              <w:snapToGrid w:val="0"/>
              <w:spacing w:line="36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74D477DD">
            <w:pPr>
              <w:snapToGrid w:val="0"/>
              <w:spacing w:line="360" w:lineRule="auto"/>
              <w:ind w:firstLine="413" w:firstLineChars="196"/>
              <w:jc w:val="left"/>
              <w:rPr>
                <w:rFonts w:hint="eastAsia" w:ascii="宋体" w:hAnsi="宋体" w:cs="宋体"/>
                <w:b/>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1.以上标明“必须提供”的材料属于复印件的扫描件的，必须加盖供应商电子公章，否则响应文件按无效响应处理。</w:t>
            </w:r>
          </w:p>
        </w:tc>
      </w:tr>
      <w:tr w14:paraId="3D76F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D7FCC1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8C873C9">
            <w:pPr>
              <w:spacing w:line="36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商务文件组成</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0D41E7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1.无串通竞标行为的承诺函；（</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4C8200CD">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2.法定代表人身份证明书及法定代表人有效身份证正反面复印件；（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除自然人竞标外</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B514EF0">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cs="宋体"/>
                <w:b/>
                <w:color w:val="000000" w:themeColor="text1"/>
                <w:szCs w:val="21"/>
                <w:highlight w:val="none"/>
                <w14:textFill>
                  <w14:solidFill>
                    <w14:schemeClr w14:val="tx1"/>
                  </w14:solidFill>
                </w14:textFill>
              </w:rPr>
              <w:t>委托时必须提供，否则响应文件按无效响应处理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1A8A9302">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4.商务条款偏离表；（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EFFD68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5.竞标人情况介绍；</w:t>
            </w:r>
          </w:p>
          <w:p w14:paraId="33B5EB3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6.供应商认为需要提供的其他有关资料。</w:t>
            </w:r>
          </w:p>
          <w:p w14:paraId="77F23F61">
            <w:pPr>
              <w:snapToGrid w:val="0"/>
              <w:spacing w:line="36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5CCEB088">
            <w:pPr>
              <w:snapToGrid w:val="0"/>
              <w:spacing w:line="360" w:lineRule="auto"/>
              <w:ind w:firstLine="413" w:firstLineChars="196"/>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1.法定代表人授权委托书必须由法定代表人及委托代理人签字，并加盖供应商公章，否则响应文件按无效响应处理。</w:t>
            </w:r>
          </w:p>
          <w:p w14:paraId="34B9A565">
            <w:pPr>
              <w:spacing w:line="360" w:lineRule="auto"/>
              <w:ind w:firstLine="413" w:firstLineChars="196"/>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2.以上标明“必须提供”的材料属于复印件的扫描件的，必须加盖供应商电子公章，否则响应文件按无效响应处理。</w:t>
            </w:r>
          </w:p>
        </w:tc>
      </w:tr>
      <w:tr w14:paraId="01E33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F15FCE">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598F8A65">
            <w:pPr>
              <w:spacing w:line="360" w:lineRule="auto"/>
              <w:jc w:val="center"/>
              <w:rPr>
                <w:rFonts w:hint="eastAsia" w:ascii="宋体" w:hAnsi="宋体" w:cs="宋体"/>
                <w:b/>
                <w:bCs/>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技术文件组成</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551607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1.货物需求偏离表；（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D9BF2B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2.配置清单（均不含报价）；（</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0B7515D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3.售后服务方案；（</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32381A48">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4.项目实施人员一览表（</w:t>
            </w:r>
            <w:r>
              <w:rPr>
                <w:rFonts w:hint="eastAsia" w:ascii="宋体" w:hAnsi="宋体" w:cs="宋体"/>
                <w:b/>
                <w:color w:val="000000" w:themeColor="text1"/>
                <w:szCs w:val="21"/>
                <w:highlight w:val="none"/>
                <w14:textFill>
                  <w14:solidFill>
                    <w14:schemeClr w14:val="tx1"/>
                  </w14:solidFill>
                </w14:textFill>
              </w:rPr>
              <w:t>如有请提供</w:t>
            </w:r>
            <w:r>
              <w:rPr>
                <w:rFonts w:hint="eastAsia" w:ascii="宋体" w:hAnsi="宋体" w:cs="宋体"/>
                <w:color w:val="000000" w:themeColor="text1"/>
                <w:szCs w:val="21"/>
                <w:highlight w:val="none"/>
                <w14:textFill>
                  <w14:solidFill>
                    <w14:schemeClr w14:val="tx1"/>
                  </w14:solidFill>
                </w14:textFill>
              </w:rPr>
              <w:t xml:space="preserve">）； </w:t>
            </w:r>
          </w:p>
          <w:p w14:paraId="4BAE8E5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5.对应采购需求的货物需求、商务条款提供的其他文件资料；</w:t>
            </w:r>
          </w:p>
          <w:p w14:paraId="71E1233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6.供应商认为需要提供的其他有关资料。</w:t>
            </w:r>
          </w:p>
          <w:p w14:paraId="796E403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注：1.以上标明“必须提供”的材料属于复印件的扫描件的，必须加盖供应商电子公章，否则响应文件按无效响应处理。</w:t>
            </w:r>
          </w:p>
        </w:tc>
      </w:tr>
      <w:tr w14:paraId="1877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6FCA882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3F67EA42">
            <w:pPr>
              <w:spacing w:line="36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报价文件组成</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5EDE0F20">
            <w:pPr>
              <w:tabs>
                <w:tab w:val="left" w:pos="459"/>
              </w:tabs>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1.响应函；</w:t>
            </w:r>
            <w:r>
              <w:rPr>
                <w:rFonts w:hint="eastAsia" w:ascii="宋体" w:hAnsi="宋体"/>
                <w:b/>
                <w:color w:val="000000" w:themeColor="text1"/>
                <w:szCs w:val="21"/>
                <w:highlight w:val="none"/>
                <w14:textFill>
                  <w14:solidFill>
                    <w14:schemeClr w14:val="tx1"/>
                  </w14:solidFill>
                </w14:textFill>
              </w:rPr>
              <w:t>（必须提供，否则作无效响应处理）</w:t>
            </w:r>
          </w:p>
          <w:p w14:paraId="16111CA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响应报价表；（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4686FD9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3.中小企业声明函</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2118445">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4.《关于符合本国产品标准的声明函》或者财政部会同有关部门规定的有关证明文件；（供应商根据自身响应情况出具）</w:t>
            </w:r>
          </w:p>
        </w:tc>
      </w:tr>
      <w:tr w14:paraId="7550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F492EC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21DEDA4">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响应文件电子版要求</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F311D8E">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1.响应文件电子版要求：按照本采购文件“</w:t>
            </w:r>
            <w:r>
              <w:rPr>
                <w:rFonts w:hint="eastAsia" w:ascii="宋体" w:hAnsi="宋体"/>
                <w:color w:val="000000" w:themeColor="text1"/>
                <w:szCs w:val="21"/>
                <w:highlight w:val="none"/>
                <w14:textFill>
                  <w14:solidFill>
                    <w14:schemeClr w14:val="tx1"/>
                  </w14:solidFill>
                </w14:textFill>
              </w:rPr>
              <w:t>第五章 响应文件格式</w:t>
            </w:r>
            <w:r>
              <w:rPr>
                <w:rFonts w:hint="eastAsia" w:ascii="宋体" w:hAnsi="宋体" w:cs="宋体"/>
                <w:color w:val="000000" w:themeColor="text1"/>
                <w:szCs w:val="21"/>
                <w:highlight w:val="none"/>
                <w14:textFill>
                  <w14:solidFill>
                    <w14:schemeClr w14:val="tx1"/>
                  </w14:solidFill>
                </w14:textFill>
              </w:rPr>
              <w:t>”编写（第五章未附格式的，由供应商自行拟定）。不可涂改并在规定加盖公章处加盖电子公章，</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B9D070C">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Courier New"/>
                <w:color w:val="000000" w:themeColor="text1"/>
                <w:szCs w:val="21"/>
                <w:highlight w:val="none"/>
                <w14:textFill>
                  <w14:solidFill>
                    <w14:schemeClr w14:val="tx1"/>
                  </w14:solidFill>
                </w14:textFill>
              </w:rPr>
              <w:t>.响应文件电子版密封方式：电子响应文件通过平台有效CA加密后在广西政府采购云平台投送。（操作方式见公告附件“</w:t>
            </w:r>
            <w:r>
              <w:rPr>
                <w:rFonts w:hint="eastAsia" w:ascii="宋体" w:hAnsi="宋体"/>
                <w:color w:val="000000" w:themeColor="text1"/>
                <w:szCs w:val="21"/>
                <w:highlight w:val="none"/>
                <w14:textFill>
                  <w14:solidFill>
                    <w14:schemeClr w14:val="tx1"/>
                  </w14:solidFill>
                </w14:textFill>
              </w:rPr>
              <w:t>电子响应文件制作与投送教程</w:t>
            </w:r>
            <w:r>
              <w:rPr>
                <w:rFonts w:hint="eastAsia" w:ascii="宋体" w:hAnsi="宋体" w:cs="Courier New"/>
                <w:color w:val="000000" w:themeColor="text1"/>
                <w:szCs w:val="21"/>
                <w:highlight w:val="none"/>
                <w14:textFill>
                  <w14:solidFill>
                    <w14:schemeClr w14:val="tx1"/>
                  </w14:solidFill>
                </w14:textFill>
              </w:rPr>
              <w:t>” ）</w:t>
            </w:r>
          </w:p>
        </w:tc>
      </w:tr>
      <w:tr w14:paraId="476F1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018B3BA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D74B30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响应报价要求</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FE886C7">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报价必须包含满足本次竞标全部采购需求所应提供的货物，以及伴随的货物和工程（如有）的价格；包含竞标货物、货物、工程的成本、运输（含保险）、安装（如有）、调试、检验、技术货物、培训、税费等所有费用。</w:t>
            </w:r>
            <w:r>
              <w:rPr>
                <w:rFonts w:hint="eastAsia" w:ascii="宋体" w:hAnsi="宋体"/>
                <w:b/>
                <w:color w:val="000000" w:themeColor="text1"/>
                <w:szCs w:val="21"/>
                <w:highlight w:val="none"/>
                <w14:textFill>
                  <w14:solidFill>
                    <w14:schemeClr w14:val="tx1"/>
                  </w14:solidFill>
                </w14:textFill>
              </w:rPr>
              <w:t>（采购需求另有约定的，从其约定。）</w:t>
            </w:r>
          </w:p>
        </w:tc>
      </w:tr>
      <w:tr w14:paraId="1696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1F02821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712DED9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竞标有效期</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2C36D08">
            <w:pPr>
              <w:pStyle w:val="10"/>
              <w:widowControl w:val="0"/>
              <w:tabs>
                <w:tab w:val="clear" w:pos="454"/>
              </w:tabs>
              <w:snapToGrid w:val="0"/>
              <w:spacing w:after="120" w:line="360" w:lineRule="auto"/>
              <w:ind w:left="283" w:hanging="283" w:hangingChars="135"/>
              <w:rPr>
                <w:rFonts w:hint="eastAsia"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自首次响应文件提交截止之日起</w:t>
            </w:r>
            <w:bookmarkStart w:id="34" w:name="PO_3000001871_PM046"/>
            <w:r>
              <w:rPr>
                <w:rFonts w:hint="eastAsia" w:ascii="宋体" w:hAnsi="宋体" w:cs="宋体"/>
                <w:color w:val="000000" w:themeColor="text1"/>
                <w:kern w:val="2"/>
                <w:sz w:val="21"/>
                <w:szCs w:val="21"/>
                <w:highlight w:val="none"/>
                <w:u w:val="single"/>
                <w:lang w:eastAsia="zh-CN"/>
                <w14:textFill>
                  <w14:solidFill>
                    <w14:schemeClr w14:val="tx1"/>
                  </w14:solidFill>
                </w14:textFill>
              </w:rPr>
              <w:t>60日历</w:t>
            </w:r>
            <w:bookmarkEnd w:id="34"/>
            <w:r>
              <w:rPr>
                <w:rFonts w:hint="eastAsia" w:ascii="宋体" w:hAnsi="宋体" w:cs="宋体"/>
                <w:color w:val="000000" w:themeColor="text1"/>
                <w:kern w:val="2"/>
                <w:sz w:val="21"/>
                <w:szCs w:val="21"/>
                <w:highlight w:val="none"/>
                <w14:textFill>
                  <w14:solidFill>
                    <w14:schemeClr w14:val="tx1"/>
                  </w14:solidFill>
                </w14:textFill>
              </w:rPr>
              <w:t>日。</w:t>
            </w:r>
          </w:p>
        </w:tc>
      </w:tr>
      <w:tr w14:paraId="6466E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6FE4468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23AA0878">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谈判保证金</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1FBAA231">
            <w:pPr>
              <w:autoSpaceDE w:val="0"/>
              <w:autoSpaceDN w:val="0"/>
              <w:snapToGrid w:val="0"/>
              <w:spacing w:line="360" w:lineRule="auto"/>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本项目不收取谈判保证金。</w:t>
            </w:r>
          </w:p>
        </w:tc>
      </w:tr>
      <w:tr w14:paraId="14EF8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3CA0D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1D36867A">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首次响应文件提交起止时间</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03F19AF5">
            <w:pPr>
              <w:snapToGrid w:val="0"/>
              <w:spacing w:line="360" w:lineRule="auto"/>
              <w:jc w:val="lef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详见竞争性谈判公告。</w:t>
            </w:r>
          </w:p>
        </w:tc>
      </w:tr>
      <w:tr w14:paraId="50A2A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3266F5">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31F664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首次响应文件提交地点</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5880CD4E">
            <w:pPr>
              <w:snapToGrid w:val="0"/>
              <w:spacing w:line="360" w:lineRule="auto"/>
              <w:jc w:val="lef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详见竞争性谈判公告。</w:t>
            </w:r>
          </w:p>
        </w:tc>
      </w:tr>
      <w:tr w14:paraId="1A80C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69E1F5E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20.6</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750C951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备份响应文件</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5FB60C1">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本项目不接受备份响应文件。</w:t>
            </w:r>
          </w:p>
        </w:tc>
      </w:tr>
      <w:tr w14:paraId="41DEE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0E54182E">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3F90786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首次响应文件的退回</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C0D8D65">
            <w:pPr>
              <w:snapToGrid w:val="0"/>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详见竞争性谈判公告。</w:t>
            </w:r>
          </w:p>
        </w:tc>
      </w:tr>
      <w:tr w14:paraId="13A91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F21154">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6B9CB3D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负偏离要求</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549D769E">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w:t>
            </w:r>
            <w:r>
              <w:rPr>
                <w:rFonts w:hint="eastAsia" w:ascii="宋体" w:hAnsi="宋体" w:cs="宋体"/>
                <w:color w:val="000000" w:themeColor="text1"/>
                <w:szCs w:val="21"/>
                <w:highlight w:val="none"/>
                <w14:textFill>
                  <w14:solidFill>
                    <w14:schemeClr w14:val="tx1"/>
                  </w14:solidFill>
                </w14:textFill>
              </w:rPr>
              <w:t>项。</w:t>
            </w:r>
          </w:p>
          <w:p w14:paraId="336C09CA">
            <w:pPr>
              <w:snapToGrid w:val="0"/>
              <w:spacing w:line="360" w:lineRule="auto"/>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货物需求评审中允许负偏离的条款数为</w:t>
            </w:r>
            <w:r>
              <w:rPr>
                <w:rFonts w:hint="eastAsia" w:ascii="宋体" w:hAnsi="宋体" w:cs="宋体"/>
                <w:color w:val="000000" w:themeColor="text1"/>
                <w:szCs w:val="21"/>
                <w:highlight w:val="none"/>
                <w:u w:val="singl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项。</w:t>
            </w:r>
          </w:p>
        </w:tc>
      </w:tr>
      <w:tr w14:paraId="5309E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DE80C">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7861BCE1">
            <w:pPr>
              <w:snapToGrid w:val="0"/>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谈判的顺序</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4DEF06E4">
            <w:pPr>
              <w:snapToGrid w:val="0"/>
              <w:spacing w:line="360" w:lineRule="auto"/>
              <w:rPr>
                <w:rFonts w:hint="eastAsia" w:ascii="宋体" w:hAnsi="宋体" w:cs="宋体"/>
                <w:b/>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系统自动提取的顺序</w:t>
            </w:r>
          </w:p>
        </w:tc>
      </w:tr>
      <w:tr w14:paraId="37837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D4371C">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761B4A9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评审价相同时成交原则</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5D598582">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评审价相同时，按照最后报价由低到高顺序依次推荐；最后报价相同时，按以下原则确定成交候选人的顺序：</w:t>
            </w:r>
          </w:p>
          <w:p w14:paraId="4BF583D2">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依次按带“▲”的实质性要求正偏离项数多的优先、均无正偏离或者正偏离项数一致时负偏离项数少的优先、质量保证期长优先、故障响应时间短优先的顺序排列。</w:t>
            </w:r>
          </w:p>
          <w:p w14:paraId="0091E4A1">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□由谈判小组推荐代表随机抽取。</w:t>
            </w:r>
          </w:p>
        </w:tc>
      </w:tr>
      <w:tr w14:paraId="12331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523BC2B2">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59B7D40E">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23F7937A">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本项目不收取履约保证金 </w:t>
            </w:r>
          </w:p>
        </w:tc>
      </w:tr>
      <w:tr w14:paraId="2E297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42AD9CB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29.5</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6CD72B5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签订合同携带的材料</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F49814F">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使用的有效CA证书加盖单位电子公章</w:t>
            </w:r>
          </w:p>
        </w:tc>
      </w:tr>
      <w:tr w14:paraId="576CA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3B1BA2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3B2A5CD6">
            <w:pPr>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338C20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2AFF0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A3C6AE">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0C5D1BCC">
            <w:pPr>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8FD23E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078624D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lang w:eastAsia="zh-CN"/>
                <w14:textFill>
                  <w14:solidFill>
                    <w14:schemeClr w14:val="tx1"/>
                  </w14:solidFill>
                </w14:textFill>
              </w:rPr>
              <w:t>0771-2863138</w:t>
            </w:r>
            <w:r>
              <w:rPr>
                <w:rFonts w:hint="eastAsia" w:ascii="宋体" w:hAnsi="宋体"/>
                <w:color w:val="000000" w:themeColor="text1"/>
                <w:szCs w:val="21"/>
                <w:highlight w:val="none"/>
                <w14:textFill>
                  <w14:solidFill>
                    <w14:schemeClr w14:val="tx1"/>
                  </w14:solidFill>
                </w14:textFill>
              </w:rPr>
              <w:t>，</w:t>
            </w:r>
          </w:p>
          <w:p w14:paraId="0A9C35A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eastAsia="zh-CN"/>
                <w14:textFill>
                  <w14:solidFill>
                    <w14:schemeClr w14:val="tx1"/>
                  </w14:solidFill>
                </w14:textFill>
              </w:rPr>
              <w:t>南宁市江南区金凯路26号广西建通中心12楼</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14:paraId="1EF0305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val="en-US" w:eastAsia="zh-CN"/>
                <w14:textFill>
                  <w14:solidFill>
                    <w14:schemeClr w14:val="tx1"/>
                  </w14:solidFill>
                </w14:textFill>
              </w:rPr>
              <w:t>南宁市第一看守所</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0405436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lang w:eastAsia="zh-CN"/>
                <w14:textFill>
                  <w14:solidFill>
                    <w14:schemeClr w14:val="tx1"/>
                  </w14:solidFill>
                </w14:textFill>
              </w:rPr>
              <w:t>0771-5661076</w:t>
            </w:r>
            <w:r>
              <w:rPr>
                <w:rFonts w:hint="eastAsia" w:ascii="宋体" w:hAnsi="宋体"/>
                <w:color w:val="000000" w:themeColor="text1"/>
                <w:szCs w:val="21"/>
                <w:highlight w:val="none"/>
                <w14:textFill>
                  <w14:solidFill>
                    <w14:schemeClr w14:val="tx1"/>
                  </w14:solidFill>
                </w14:textFill>
              </w:rPr>
              <w:t>，</w:t>
            </w:r>
          </w:p>
          <w:p w14:paraId="60D45D2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eastAsia="zh-CN"/>
                <w14:textFill>
                  <w14:solidFill>
                    <w14:schemeClr w14:val="tx1"/>
                  </w14:solidFill>
                </w14:textFill>
              </w:rPr>
              <w:t>南宁市兴宁区昆仑大道163号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tc>
      </w:tr>
      <w:tr w14:paraId="11F86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DFDC7">
            <w:pPr>
              <w:widowControl/>
              <w:jc w:val="left"/>
              <w:rPr>
                <w:rFonts w:ascii="宋体" w:hAnsi="宋体" w:cs="宋体"/>
                <w:color w:val="000000" w:themeColor="text1"/>
                <w:szCs w:val="21"/>
                <w:highlight w:val="none"/>
                <w14:textFill>
                  <w14:solidFill>
                    <w14:schemeClr w14:val="tx1"/>
                  </w14:solidFill>
                </w14:textFill>
              </w:rPr>
            </w:pP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70249910">
            <w:pPr>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14BF494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质疑期内每个工作日</w:t>
            </w:r>
            <w:r>
              <w:rPr>
                <w:rFonts w:hint="eastAsia" w:ascii="宋体" w:hAnsi="宋体" w:cs="宋体"/>
                <w:color w:val="000000" w:themeColor="text1"/>
                <w:highlight w:val="none"/>
                <w:u w:val="single"/>
                <w14:textFill>
                  <w14:solidFill>
                    <w14:schemeClr w14:val="tx1"/>
                  </w14:solidFill>
                </w14:textFill>
              </w:rPr>
              <w:t xml:space="preserve">9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 xml:space="preserve">12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 xml:space="preserve"> 14</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17</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30 </w:t>
            </w:r>
            <w:r>
              <w:rPr>
                <w:rFonts w:hint="eastAsia" w:hAnsi="宋体"/>
                <w:color w:val="000000" w:themeColor="text1"/>
                <w:highlight w:val="none"/>
                <w14:textFill>
                  <w14:solidFill>
                    <w14:schemeClr w14:val="tx1"/>
                  </w14:solidFill>
                </w14:textFill>
              </w:rPr>
              <w:t>分</w:t>
            </w:r>
          </w:p>
        </w:tc>
      </w:tr>
      <w:tr w14:paraId="785F9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107965F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31.6</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3FB2616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受理投诉方式</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4E53973D">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受理方式：纸质方式受理，投诉书正、副本（经过质疑的事项才可投诉）。</w:t>
            </w:r>
          </w:p>
          <w:p w14:paraId="346B4913">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邮寄地址：</w:t>
            </w:r>
          </w:p>
          <w:p w14:paraId="709C443B">
            <w:pPr>
              <w:snapToGrid w:val="0"/>
              <w:spacing w:line="360" w:lineRule="auto"/>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 xml:space="preserve">名称：南宁市财政局 </w:t>
            </w:r>
          </w:p>
          <w:p w14:paraId="5B10396E">
            <w:pPr>
              <w:snapToGrid w:val="0"/>
              <w:spacing w:line="360" w:lineRule="auto"/>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 xml:space="preserve">地址：南宁市东葛路129号  </w:t>
            </w:r>
          </w:p>
          <w:p w14:paraId="3127FEA5">
            <w:pPr>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联系电话：0771-2189091</w:t>
            </w:r>
          </w:p>
        </w:tc>
      </w:tr>
      <w:tr w14:paraId="71968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3B7D507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258476D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采购代理费</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7E1CC6CA">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1. 是否收取采购代理费：</w:t>
            </w:r>
          </w:p>
          <w:p w14:paraId="70BDECDD">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☑是    □ 否</w:t>
            </w:r>
          </w:p>
          <w:p w14:paraId="224C585E">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2.采购代理费支付方式：</w:t>
            </w:r>
          </w:p>
          <w:p w14:paraId="5495A3E8">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☑本项目代理</w:t>
            </w:r>
            <w:r>
              <w:rPr>
                <w:rFonts w:hint="eastAsia" w:hAnsi="宋体" w:cs="宋体"/>
                <w:color w:val="000000" w:themeColor="text1"/>
                <w:sz w:val="21"/>
                <w:highlight w:val="none"/>
                <w:lang w:eastAsia="zh-CN"/>
                <w14:textFill>
                  <w14:solidFill>
                    <w14:schemeClr w14:val="tx1"/>
                  </w14:solidFill>
                </w14:textFill>
              </w:rPr>
              <w:t>服务</w:t>
            </w:r>
            <w:r>
              <w:rPr>
                <w:rFonts w:hint="eastAsia" w:hAnsi="宋体" w:cs="宋体"/>
                <w:color w:val="000000" w:themeColor="text1"/>
                <w:sz w:val="21"/>
                <w:highlight w:val="none"/>
                <w:lang w:val="en-US" w:eastAsia="zh-CN"/>
                <w14:textFill>
                  <w14:solidFill>
                    <w14:schemeClr w14:val="tx1"/>
                  </w14:solidFill>
                </w14:textFill>
              </w:rPr>
              <w:t>费由</w:t>
            </w:r>
            <w:r>
              <w:rPr>
                <w:rFonts w:hint="eastAsia" w:hAnsi="宋体" w:cs="宋体"/>
                <w:color w:val="000000" w:themeColor="text1"/>
                <w:sz w:val="21"/>
                <w:highlight w:val="none"/>
                <w:u w:val="single"/>
                <w:lang w:val="en-US" w:eastAsia="zh-CN"/>
                <w14:textFill>
                  <w14:solidFill>
                    <w14:schemeClr w14:val="tx1"/>
                  </w14:solidFill>
                </w14:textFill>
              </w:rPr>
              <w:t>成交供应商</w:t>
            </w:r>
            <w:r>
              <w:rPr>
                <w:rFonts w:hint="eastAsia" w:hAnsi="宋体" w:cs="宋体"/>
                <w:color w:val="000000" w:themeColor="text1"/>
                <w:sz w:val="21"/>
                <w:highlight w:val="none"/>
                <w:lang w:val="en-US" w:eastAsia="zh-CN"/>
                <w14:textFill>
                  <w14:solidFill>
                    <w14:schemeClr w14:val="tx1"/>
                  </w14:solidFill>
                </w14:textFill>
              </w:rPr>
              <w:t>领取成交通知书前，一次性向采购代理机构支付。</w:t>
            </w:r>
          </w:p>
          <w:p w14:paraId="2ECE1F68">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□采购人支付。</w:t>
            </w:r>
          </w:p>
          <w:p w14:paraId="324CD4EE">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3.采购代理费收取标准：</w:t>
            </w:r>
          </w:p>
          <w:p w14:paraId="1C4D63D8">
            <w:pPr>
              <w:pStyle w:val="17"/>
              <w:snapToGrid w:val="0"/>
              <w:spacing w:line="360" w:lineRule="auto"/>
              <w:rPr>
                <w:rFonts w:hint="eastAsia" w:hAnsi="宋体" w:cs="宋体"/>
                <w:color w:val="000000" w:themeColor="text1"/>
                <w:sz w:val="21"/>
                <w:highlight w:val="none"/>
                <w:lang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以成交金额为计费额，参考</w:t>
            </w:r>
            <w:r>
              <w:rPr>
                <w:rFonts w:hint="eastAsia" w:hAnsi="宋体" w:cs="宋体"/>
                <w:color w:val="000000" w:themeColor="text1"/>
                <w:sz w:val="21"/>
                <w:highlight w:val="none"/>
                <w14:textFill>
                  <w14:solidFill>
                    <w14:schemeClr w14:val="tx1"/>
                  </w14:solidFill>
                </w14:textFill>
              </w:rPr>
              <w:t>原国家发展计划委员会《招标代理服务费管理暂行办法》(计价格(2002)1980号收费标准、《国家发展改革委关于降低部分建设项目收费标准规范收费行为等有关问题的通知》(发改价格[2011]534号)要求执行，代理服务费低于4500元的按4500元计取</w:t>
            </w:r>
            <w:r>
              <w:rPr>
                <w:rFonts w:hint="eastAsia" w:hAnsi="宋体" w:cs="宋体"/>
                <w:color w:val="000000" w:themeColor="text1"/>
                <w:sz w:val="21"/>
                <w:highlight w:val="none"/>
                <w:lang w:eastAsia="zh-CN"/>
                <w14:textFill>
                  <w14:solidFill>
                    <w14:schemeClr w14:val="tx1"/>
                  </w14:solidFill>
                </w14:textFill>
              </w:rPr>
              <w:t>。</w:t>
            </w:r>
          </w:p>
          <w:p w14:paraId="54D91DC0">
            <w:pPr>
              <w:pStyle w:val="17"/>
              <w:snapToGrid w:val="0"/>
              <w:spacing w:line="360" w:lineRule="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4.采购代理费收取银行账户</w:t>
            </w:r>
          </w:p>
          <w:p w14:paraId="476B54C2">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 xml:space="preserve">账户名称：广西建通工程咨询有限责任公司第一分公司 </w:t>
            </w:r>
          </w:p>
          <w:p w14:paraId="08F93997">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 xml:space="preserve">开户银行：中国建设银行南宁苏卢支行 </w:t>
            </w:r>
          </w:p>
          <w:p w14:paraId="5384D456">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银行账号：45050160475200000032</w:t>
            </w:r>
          </w:p>
        </w:tc>
      </w:tr>
      <w:tr w14:paraId="1DE7F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157D7F6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34.1</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6D5F5BD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解释</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17D7EA9C">
            <w:pPr>
              <w:pStyle w:val="17"/>
              <w:snapToGrid w:val="0"/>
              <w:spacing w:line="360" w:lineRule="auto"/>
              <w:rPr>
                <w:rFonts w:hint="eastAsia" w:hAnsi="宋体"/>
                <w:b/>
                <w:color w:val="000000" w:themeColor="text1"/>
                <w:sz w:val="21"/>
                <w:highlight w:val="none"/>
                <w:lang w:val="en-US" w:eastAsia="zh-CN"/>
                <w14:textFill>
                  <w14:solidFill>
                    <w14:schemeClr w14:val="tx1"/>
                  </w14:solidFill>
                </w14:textFill>
              </w:rPr>
            </w:pPr>
            <w:r>
              <w:rPr>
                <w:rFonts w:hint="eastAsia" w:hAnsi="宋体"/>
                <w:b/>
                <w:color w:val="000000" w:themeColor="text1"/>
                <w:sz w:val="21"/>
                <w:highlight w:val="none"/>
                <w:lang w:val="en-US" w:eastAsia="zh-CN"/>
                <w14:textFill>
                  <w14:solidFill>
                    <w14:schemeClr w14:val="tx1"/>
                  </w14:solidFill>
                </w14:textFill>
              </w:rPr>
              <w:t>解释权：</w:t>
            </w:r>
            <w:r>
              <w:rPr>
                <w:rFonts w:hint="eastAsia" w:hAnsi="宋体"/>
                <w:color w:val="000000" w:themeColor="text1"/>
                <w:sz w:val="21"/>
                <w:highlight w:val="none"/>
                <w:lang w:val="en-US" w:eastAsia="zh-CN"/>
                <w14:textFill>
                  <w14:solidFill>
                    <w14:schemeClr w14:val="tx1"/>
                  </w14:solidFill>
                </w14:textFill>
              </w:rPr>
              <w:t>构成本谈判文件的各个组成文件应互为解释，互为说明；除谈判文件中有特别规定外，仅适用于竞标阶段的规定，按更正公告（澄清公告）、竞争性谈判公告、供应商须知、采购需求、</w:t>
            </w:r>
            <w:r>
              <w:rPr>
                <w:rFonts w:hint="eastAsia"/>
                <w:color w:val="000000" w:themeColor="text1"/>
                <w:sz w:val="21"/>
                <w:highlight w:val="none"/>
                <w:lang w:val="en-US" w:eastAsia="zh-CN"/>
                <w14:textFill>
                  <w14:solidFill>
                    <w14:schemeClr w14:val="tx1"/>
                  </w14:solidFill>
                </w14:textFill>
              </w:rPr>
              <w:t>评审程序、评审方法和评审标准</w:t>
            </w:r>
            <w:r>
              <w:rPr>
                <w:rFonts w:hint="eastAsia" w:hAnsi="宋体"/>
                <w:color w:val="000000" w:themeColor="text1"/>
                <w:sz w:val="21"/>
                <w:highlight w:val="none"/>
                <w:lang w:val="en-US" w:eastAsia="zh-CN"/>
                <w14:textFill>
                  <w14:solidFill>
                    <w14:schemeClr w14:val="tx1"/>
                  </w14:solidFill>
                </w14:textFill>
              </w:rPr>
              <w:t>、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hAnsi="宋体"/>
                <w:b/>
                <w:color w:val="000000" w:themeColor="text1"/>
                <w:sz w:val="21"/>
                <w:highlight w:val="none"/>
                <w:lang w:val="en-US" w:eastAsia="zh-CN"/>
                <w14:textFill>
                  <w14:solidFill>
                    <w14:schemeClr w14:val="tx1"/>
                  </w14:solidFill>
                </w14:textFill>
              </w:rPr>
              <w:t>由采购人或者采购代理机构负责解释。</w:t>
            </w:r>
          </w:p>
          <w:p w14:paraId="06A5F1EE">
            <w:pPr>
              <w:tabs>
                <w:tab w:val="left" w:pos="1080"/>
              </w:tabs>
              <w:spacing w:line="360" w:lineRule="auto"/>
              <w:rPr>
                <w:rFonts w:hint="eastAsia" w:ascii="宋体" w:hAnsi="宋体"/>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法律责任：</w:t>
            </w:r>
          </w:p>
          <w:p w14:paraId="0E2096E9">
            <w:pPr>
              <w:tabs>
                <w:tab w:val="left" w:pos="1080"/>
              </w:tabs>
              <w:spacing w:line="360" w:lineRule="auto"/>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45B499E1">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0AC5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0"/>
            <w:vAlign w:val="center"/>
          </w:tcPr>
          <w:p w14:paraId="27BC34C8">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34.2</w:t>
            </w:r>
          </w:p>
        </w:tc>
        <w:tc>
          <w:tcPr>
            <w:tcW w:w="2467" w:type="dxa"/>
            <w:tcBorders>
              <w:top w:val="single" w:color="000000" w:sz="4" w:space="0"/>
              <w:left w:val="single" w:color="000000" w:sz="4" w:space="0"/>
              <w:bottom w:val="single" w:color="000000" w:sz="4" w:space="0"/>
              <w:right w:val="single" w:color="000000" w:sz="4" w:space="0"/>
            </w:tcBorders>
            <w:noWrap w:val="0"/>
            <w:vAlign w:val="center"/>
          </w:tcPr>
          <w:p w14:paraId="6A41B9A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5591" w:type="dxa"/>
            <w:tcBorders>
              <w:top w:val="single" w:color="000000" w:sz="4" w:space="0"/>
              <w:left w:val="single" w:color="000000" w:sz="4" w:space="0"/>
              <w:bottom w:val="single" w:color="000000" w:sz="4" w:space="0"/>
              <w:right w:val="single" w:color="000000" w:sz="4" w:space="0"/>
            </w:tcBorders>
            <w:noWrap w:val="0"/>
            <w:vAlign w:val="center"/>
          </w:tcPr>
          <w:p w14:paraId="3A5ECEDD">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1.本谈判文件中描述供应商的“公章”是指供应商通过指定电子化政府采购平台办理数字证书（CA认证）获得的以法定主体行为名称制作的电子印章。</w:t>
            </w:r>
          </w:p>
          <w:p w14:paraId="1038C724">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2.本谈判文件中描述供应商的“签字”是指供应商通过指定电子化政府采购平台办理数字证书（CA认证）获得的以供应商法定代表人或者委托代理人姓名制作的电子印章或手写签字。</w:t>
            </w:r>
          </w:p>
          <w:p w14:paraId="19541AE5">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169316C">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4.自然人竞标的，谈判文件规定盖公章处由自然人摁手指指印。</w:t>
            </w:r>
          </w:p>
          <w:p w14:paraId="08314037">
            <w:pPr>
              <w:pStyle w:val="17"/>
              <w:snapToGrid w:val="0"/>
              <w:spacing w:line="360" w:lineRule="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5.本谈判文件所称的“以上”“以下”“以内”“届满”，包括本数；所称的“不满”“超过”“以外”，不包括本数。</w:t>
            </w:r>
          </w:p>
        </w:tc>
      </w:tr>
    </w:tbl>
    <w:p w14:paraId="76B5B7A4">
      <w:pPr>
        <w:pStyle w:val="3"/>
        <w:spacing w:line="420" w:lineRule="exact"/>
        <w:jc w:val="center"/>
        <w:rPr>
          <w:rFonts w:hint="eastAsia" w:ascii="宋体" w:hAnsi="宋体" w:cs="宋体"/>
          <w:b w:val="0"/>
          <w:color w:val="000000" w:themeColor="text1"/>
          <w:highlight w:val="none"/>
          <w14:textFill>
            <w14:solidFill>
              <w14:schemeClr w14:val="tx1"/>
            </w14:solidFill>
          </w14:textFill>
        </w:rPr>
      </w:pPr>
      <w:r>
        <w:rPr>
          <w:rFonts w:hint="eastAsia" w:ascii="宋体" w:hAnsi="宋体"/>
          <w:b w:val="0"/>
          <w:color w:val="000000" w:themeColor="text1"/>
          <w:highlight w:val="none"/>
          <w14:textFill>
            <w14:solidFill>
              <w14:schemeClr w14:val="tx1"/>
            </w14:solidFill>
          </w14:textFill>
        </w:rPr>
        <w:br w:type="page"/>
      </w:r>
      <w:bookmarkStart w:id="35" w:name="_Toc2888"/>
      <w:r>
        <w:rPr>
          <w:rFonts w:hint="eastAsia" w:ascii="宋体" w:hAnsi="宋体"/>
          <w:b w:val="0"/>
          <w:color w:val="000000" w:themeColor="text1"/>
          <w:highlight w:val="none"/>
          <w14:textFill>
            <w14:solidFill>
              <w14:schemeClr w14:val="tx1"/>
            </w14:solidFill>
          </w14:textFill>
        </w:rPr>
        <w:t>第二节 供应商须知正文</w:t>
      </w:r>
      <w:bookmarkEnd w:id="35"/>
    </w:p>
    <w:p w14:paraId="3F696F39">
      <w:pPr>
        <w:pStyle w:val="4"/>
        <w:spacing w:before="0" w:after="0" w:line="360" w:lineRule="auto"/>
        <w:ind w:firstLine="640" w:firstLineChars="200"/>
        <w:rPr>
          <w:rFonts w:hint="eastAsia" w:ascii="宋体" w:hAnsi="宋体"/>
          <w:b w:val="0"/>
          <w:color w:val="000000" w:themeColor="text1"/>
          <w:highlight w:val="none"/>
          <w14:textFill>
            <w14:solidFill>
              <w14:schemeClr w14:val="tx1"/>
            </w14:solidFill>
          </w14:textFill>
        </w:rPr>
      </w:pPr>
      <w:bookmarkStart w:id="36" w:name="_Toc11076"/>
      <w:r>
        <w:rPr>
          <w:rFonts w:hint="eastAsia" w:ascii="宋体" w:hAnsi="宋体"/>
          <w:b w:val="0"/>
          <w:color w:val="000000" w:themeColor="text1"/>
          <w:highlight w:val="none"/>
          <w14:textFill>
            <w14:solidFill>
              <w14:schemeClr w14:val="tx1"/>
            </w14:solidFill>
          </w14:textFill>
        </w:rPr>
        <w:t>一、总则</w:t>
      </w:r>
      <w:bookmarkEnd w:id="36"/>
    </w:p>
    <w:p w14:paraId="20E13580">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1.适用范围</w:t>
      </w:r>
    </w:p>
    <w:p w14:paraId="0C94B7E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FF3A0B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本竞争性谈判文件（以下简称谈判文件）适用于本项目的所有采购程序和环节（法律、法规另有规定的，从其规定）。</w:t>
      </w:r>
    </w:p>
    <w:p w14:paraId="5FC5022B">
      <w:pPr>
        <w:spacing w:line="360" w:lineRule="auto"/>
        <w:ind w:firstLine="482" w:firstLineChars="200"/>
        <w:rPr>
          <w:rFonts w:hint="eastAsia" w:ascii="宋体" w:hAnsi="宋体" w:cs="宋体"/>
          <w:color w:val="000000" w:themeColor="text1"/>
          <w:szCs w:val="21"/>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2.定义</w:t>
      </w:r>
    </w:p>
    <w:p w14:paraId="3AA6126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2.1“采购人”是指依法进行采购的国家机关、事业单位、团体组织。</w:t>
      </w:r>
    </w:p>
    <w:p w14:paraId="5CE56E59">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2.2“采购代理机构”是指政府采购集中采购机构和集中采购机构以外的采购代理机构。</w:t>
      </w:r>
    </w:p>
    <w:p w14:paraId="0B787C7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508F92C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2.4“货物”是指各种形态和种类的物品，包括原材料、燃料、设备、产品等。</w:t>
      </w:r>
    </w:p>
    <w:p w14:paraId="6A7EB48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2.5“竞标”是指按照本项目竞争性谈判公告或者邀请函规定的方式供应商获取谈判文件、提交响应文件并希望获得标的的行为。</w:t>
      </w:r>
    </w:p>
    <w:p w14:paraId="17F3D64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2.6“售后服务” 是指包含但不限于供应商须承担的备品备件、包装、运输、装卸、保险、货到就位以及安装、调试、培训、保修和其他类似的义务。</w:t>
      </w:r>
    </w:p>
    <w:p w14:paraId="1D9FCB7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2.7“书面形式”是指合同书、信件和数据电文（包括电报、电传、传真、电子数据交换和电子邮件）等可以有形地表现所载内容的形式。</w:t>
      </w:r>
    </w:p>
    <w:p w14:paraId="7D2CC5F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2.8“响应文件”</w:t>
      </w:r>
      <w:r>
        <w:rPr>
          <w:rFonts w:hint="eastAsia" w:ascii="宋体" w:hAnsi="宋体" w:cs="宋体"/>
          <w:color w:val="000000" w:themeColor="text1"/>
          <w:spacing w:val="-6"/>
          <w:szCs w:val="21"/>
          <w:highlight w:val="none"/>
          <w14:textFill>
            <w14:solidFill>
              <w14:schemeClr w14:val="tx1"/>
            </w14:solidFill>
          </w14:textFill>
        </w:rPr>
        <w:t>是指：供应商根据本文件要求，编制包含报价、技术和货物等所有内容的文件。</w:t>
      </w:r>
    </w:p>
    <w:p w14:paraId="23B4237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 “实质性要求”是指采购需求中带“▲”的条款或者不能负偏离的条款或者已经指明不满足按响应文件作无效处理的条款。</w:t>
      </w:r>
    </w:p>
    <w:p w14:paraId="35245AB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2.10“正偏离”，是指响应文件对谈判文件“采购需求”中有关条款作出优于条款要求并有利于采购人的响应情形；</w:t>
      </w:r>
    </w:p>
    <w:p w14:paraId="2460C52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2.11“负偏离”，是指响应文件对谈判文件“采购需求”中有关条款作出的响应不满足条款要求，导致采购人要求不能得到满足的情形。</w:t>
      </w:r>
    </w:p>
    <w:p w14:paraId="051405F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2.12“允许负偏离的条款”是指采购需求中的不属于“实质性要求”的条款。</w:t>
      </w:r>
    </w:p>
    <w:p w14:paraId="7BB039A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2.13“首次报价”是指供应商提交的首次响应文件中的竞标报价。</w:t>
      </w:r>
    </w:p>
    <w:p w14:paraId="7FFD882C">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3.供应商的资格条件</w:t>
      </w:r>
    </w:p>
    <w:p w14:paraId="4AE167C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供应商的资格条件详见“供应商须知前附表”。</w:t>
      </w:r>
    </w:p>
    <w:p w14:paraId="0F129262">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4.谈判费用</w:t>
      </w:r>
    </w:p>
    <w:p w14:paraId="38A7DCE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供应商应承担参与本次采购活动有关的所有费用，包括但不限于、勘查现场、编制和提交响应文件、参加谈判与应答、签订合同等，不论竞标结果如何，均应自行承担。</w:t>
      </w:r>
    </w:p>
    <w:p w14:paraId="382D4994">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5.联合体竞标</w:t>
      </w:r>
    </w:p>
    <w:p w14:paraId="5CDAF46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7164087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r>
        <w:rPr>
          <w:rFonts w:hint="eastAsia" w:ascii="宋体" w:hAnsi="宋体"/>
          <w:color w:val="000000" w:themeColor="text1"/>
          <w:highlight w:val="none"/>
          <w14:textFill>
            <w14:solidFill>
              <w14:schemeClr w14:val="tx1"/>
            </w14:solidFill>
          </w14:textFill>
        </w:rPr>
        <w:t>如接受联合体竞标，</w:t>
      </w:r>
      <w:r>
        <w:rPr>
          <w:rFonts w:hint="eastAsia" w:ascii="宋体" w:hAnsi="宋体" w:cs="宋体"/>
          <w:color w:val="000000" w:themeColor="text1"/>
          <w:szCs w:val="21"/>
          <w:highlight w:val="none"/>
          <w14:textFill>
            <w14:solidFill>
              <w14:schemeClr w14:val="tx1"/>
            </w14:solidFill>
          </w14:textFill>
        </w:rPr>
        <w:t>联合体竞标要求详见“供应商须知前附表”。</w:t>
      </w:r>
    </w:p>
    <w:p w14:paraId="6598264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w:t>
      </w:r>
      <w:r>
        <w:rPr>
          <w:rFonts w:hint="eastAsia" w:ascii="宋体" w:hAnsi="宋体"/>
          <w:bCs/>
          <w:color w:val="000000" w:themeColor="text1"/>
          <w:szCs w:val="21"/>
          <w:highlight w:val="none"/>
          <w14:textFill>
            <w14:solidFill>
              <w14:schemeClr w14:val="tx1"/>
            </w14:solidFill>
          </w14:textFill>
        </w:rPr>
        <w:t>根据《政府采购促进中小企业发展管理办法》（财库〔2020〕46号）第九条及《广西壮族自治区财政厅关于持续优化政府采购营商环境推动高质量发展的通知》（桂财采〔2024〕55</w:t>
      </w:r>
      <w:r>
        <w:rPr>
          <w:rFonts w:hint="eastAsia" w:ascii="宋体" w:hAnsi="宋体" w:eastAsia="宋体" w:cs="宋体"/>
          <w:bCs/>
          <w:color w:val="000000" w:themeColor="text1"/>
          <w:szCs w:val="21"/>
          <w:highlight w:val="none"/>
          <w14:textFill>
            <w14:solidFill>
              <w14:schemeClr w14:val="tx1"/>
            </w14:solidFill>
          </w14:textFill>
        </w:rPr>
        <w:t>号）规</w:t>
      </w:r>
      <w:r>
        <w:rPr>
          <w:rFonts w:hint="eastAsia" w:ascii="宋体" w:hAnsi="宋体"/>
          <w:bCs/>
          <w:color w:val="000000" w:themeColor="text1"/>
          <w:szCs w:val="21"/>
          <w:highlight w:val="none"/>
          <w14:textFill>
            <w14:solidFill>
              <w14:schemeClr w14:val="tx1"/>
            </w14:solidFill>
          </w14:textFill>
        </w:rPr>
        <w:t>定，接受大中型企业与小微企业组成联合体的采购项目，对于联合协议约定小微企业的合同份额占到合同总金额 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67675881">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 xml:space="preserve">6.转包与分包             </w:t>
      </w:r>
    </w:p>
    <w:p w14:paraId="72A9DEA1">
      <w:pPr>
        <w:spacing w:line="360" w:lineRule="auto"/>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6.1 本项目不允许转包</w:t>
      </w:r>
    </w:p>
    <w:p w14:paraId="69068DF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本项目是否允许分包详见“供应商须知前附表”，本项目不允许违法分包。</w:t>
      </w:r>
    </w:p>
    <w:p w14:paraId="72BFC52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根据《政府采购促进中小企业发展</w:t>
      </w:r>
      <w:r>
        <w:rPr>
          <w:rFonts w:hint="eastAsia"/>
          <w:color w:val="000000" w:themeColor="text1"/>
          <w:highlight w:val="none"/>
          <w14:textFill>
            <w14:solidFill>
              <w14:schemeClr w14:val="tx1"/>
            </w14:solidFill>
          </w14:textFill>
        </w:rPr>
        <w:t>管理</w:t>
      </w:r>
      <w:r>
        <w:rPr>
          <w:rFonts w:hint="eastAsia" w:ascii="宋体" w:hAnsi="宋体"/>
          <w:bCs/>
          <w:color w:val="000000" w:themeColor="text1"/>
          <w:szCs w:val="21"/>
          <w:highlight w:val="none"/>
          <w14:textFill>
            <w14:solidFill>
              <w14:schemeClr w14:val="tx1"/>
            </w14:solidFill>
          </w14:textFill>
        </w:rPr>
        <w:t>办法》（财库〔2020〕46号）第九条及《广西壮族自治区财政厅关于持续优化政府采购营商环境推动高质量发展的通知》（桂财采〔2024〕55号</w:t>
      </w:r>
      <w:r>
        <w:rPr>
          <w:rFonts w:hint="eastAsia" w:ascii="仿宋_GB2312" w:hAnsi="Calibri" w:eastAsia="仿宋_GB2312"/>
          <w:color w:val="000000" w:themeColor="text1"/>
          <w:sz w:val="24"/>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30%以上的，采购人、采购代理机构应当对大中型企业的报价给予4%-6%的扣除，用扣除后的价格参加评审。接受分包的小微企业与分包企业之间存在直接控股、管理关系的，不享受价格扣除优惠政策。</w:t>
      </w:r>
    </w:p>
    <w:p w14:paraId="361D96B6">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bookmarkStart w:id="37" w:name="_Toc254970532"/>
      <w:bookmarkStart w:id="38" w:name="_Toc254970673"/>
      <w:r>
        <w:rPr>
          <w:rFonts w:hint="eastAsia" w:ascii="黑体" w:hAnsi="黑体" w:eastAsia="黑体" w:cs="宋体"/>
          <w:b/>
          <w:bCs/>
          <w:color w:val="000000" w:themeColor="text1"/>
          <w:sz w:val="24"/>
          <w:highlight w:val="none"/>
          <w14:textFill>
            <w14:solidFill>
              <w14:schemeClr w14:val="tx1"/>
            </w14:solidFill>
          </w14:textFill>
        </w:rPr>
        <w:t>7.特别说明</w:t>
      </w:r>
      <w:bookmarkEnd w:id="37"/>
      <w:bookmarkEnd w:id="38"/>
    </w:p>
    <w:p w14:paraId="3CB8069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bookmarkStart w:id="39" w:name="_8.1提供相同品牌产品且通过资格审查、符合性审查的不同投标人参加同一合"/>
      <w:bookmarkEnd w:id="39"/>
      <w:r>
        <w:rPr>
          <w:rFonts w:hint="eastAsia" w:ascii="宋体" w:hAnsi="宋体" w:cs="宋体"/>
          <w:color w:val="000000" w:themeColor="text1"/>
          <w:szCs w:val="21"/>
          <w:highlight w:val="none"/>
          <w14:textFill>
            <w14:solidFill>
              <w14:schemeClr w14:val="tx1"/>
            </w14:solidFill>
          </w14:textFill>
        </w:rPr>
        <w:t>7.1如果本谈判文件要求提供供应商或制造商的资格、信誉、荣誉、业绩与企业认证等材料的，资格、信誉、荣誉、业绩与企业认证等必须为供应商或者制造商所拥有或自身获得 。</w:t>
      </w:r>
    </w:p>
    <w:p w14:paraId="0AED0E4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7.2供应商应仔细阅读谈判文件的所有内容，按照谈判文件的要求提交响应文件，并对所提供的全部资料的真实性承担法律责任。</w:t>
      </w:r>
    </w:p>
    <w:p w14:paraId="2EE88E2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1AEFD67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7.4在政府采购活动中，采购人员及相关人员与供应商有下列利害关系之一的，应当回避：</w:t>
      </w:r>
    </w:p>
    <w:p w14:paraId="5B9DB02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（1）参加采购活动前3年内与供应商存在劳动关系；</w:t>
      </w:r>
    </w:p>
    <w:p w14:paraId="56DC5B6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（2）参加采购活动前3年内担任供应商的董事、监事；</w:t>
      </w:r>
    </w:p>
    <w:p w14:paraId="2286CF4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（3）参加采购活动前3年内是供应商的控股股东或者实际控制人；</w:t>
      </w:r>
    </w:p>
    <w:p w14:paraId="5E38409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5578689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（5）与供应商有其他可能影响政府采购活动公平、公正进行的关系。</w:t>
      </w:r>
    </w:p>
    <w:p w14:paraId="7B8068F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C813A8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7.5有下列情形之一的，响应文件将被视为无效：</w:t>
      </w:r>
    </w:p>
    <w:p w14:paraId="19FC16C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（1）不同供应商的响应文件由同一单位或者个人编制；或者不同供应商报名的IP地址一致的；或者编制响应文件硬件设备CPU编号、硬盘编号、网卡地址一致的情况。</w:t>
      </w:r>
      <w:r>
        <w:rPr>
          <w:rFonts w:hint="eastAsia" w:hAnsi="宋体"/>
          <w:b/>
          <w:color w:val="000000" w:themeColor="text1"/>
          <w:highlight w:val="none"/>
          <w14:textFill>
            <w14:solidFill>
              <w14:schemeClr w14:val="tx1"/>
            </w14:solidFill>
          </w14:textFill>
        </w:rPr>
        <w:t>（供应商IP地址、硬件设备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编号、硬盘编号、网卡地址等数据相似异常以广西政府采购云平台解密文件后信息提示为准）</w:t>
      </w:r>
    </w:p>
    <w:p w14:paraId="72240A8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（2）不同供应商委托同一单位或者个人办理竞标事宜；</w:t>
      </w:r>
    </w:p>
    <w:p w14:paraId="5D37DAC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（3）不同的供应商的响应文件载明的项目管理员为同一个人；</w:t>
      </w:r>
    </w:p>
    <w:p w14:paraId="2C7786E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（4）不同供应商的响应文件异常一致或者报价呈规律性差异；</w:t>
      </w:r>
    </w:p>
    <w:p w14:paraId="5065AAB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（5）不同供应商的响应文件相互混装；</w:t>
      </w:r>
    </w:p>
    <w:p w14:paraId="413466C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（6）不同供应商的竞标保证金从同一单位或者个人账户转出。</w:t>
      </w:r>
    </w:p>
    <w:p w14:paraId="1DE8D7C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7.6供应商有下列情形之一的，属于恶意串通行为</w:t>
      </w:r>
      <w:bookmarkStart w:id="40" w:name="_Hlk54682620"/>
      <w:r>
        <w:rPr>
          <w:rFonts w:hint="eastAsia" w:ascii="宋体" w:hAnsi="宋体" w:cs="宋体"/>
          <w:color w:val="000000" w:themeColor="text1"/>
          <w:szCs w:val="21"/>
          <w:highlight w:val="none"/>
          <w14:textFill>
            <w14:solidFill>
              <w14:schemeClr w14:val="tx1"/>
            </w14:solidFill>
          </w14:textFill>
        </w:rPr>
        <w:t>，将报同级监督管理部门</w:t>
      </w:r>
      <w:bookmarkEnd w:id="40"/>
      <w:r>
        <w:rPr>
          <w:rFonts w:hint="eastAsia" w:ascii="宋体" w:hAnsi="宋体" w:cs="宋体"/>
          <w:color w:val="000000" w:themeColor="text1"/>
          <w:szCs w:val="21"/>
          <w:highlight w:val="none"/>
          <w14:textFill>
            <w14:solidFill>
              <w14:schemeClr w14:val="tx1"/>
            </w14:solidFill>
          </w14:textFill>
        </w:rPr>
        <w:t>：</w:t>
      </w:r>
    </w:p>
    <w:p w14:paraId="0F1832D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59ADB54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（2）供应商按照采购人或者采购代理机构的授意撤换、修改响应文件；</w:t>
      </w:r>
    </w:p>
    <w:p w14:paraId="1A586C1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（3）供应商之间协商报价、技术方案等响应文件或者响应文件的实质性内容；</w:t>
      </w:r>
    </w:p>
    <w:p w14:paraId="621D33C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78E8FEE4">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（5）供应商之间事先约定一致抬高或者压低报价,或者在政府采购活动中事先约定轮流以高价位或</w:t>
      </w:r>
      <w:r>
        <w:rPr>
          <w:rFonts w:hint="eastAsia" w:ascii="宋体" w:hAnsi="宋体" w:eastAsia="宋体" w:cs="宋体"/>
          <w:color w:val="000000" w:themeColor="text1"/>
          <w:szCs w:val="21"/>
          <w:highlight w:val="none"/>
          <w14:textFill>
            <w14:solidFill>
              <w14:schemeClr w14:val="tx1"/>
            </w14:solidFill>
          </w14:textFill>
        </w:rPr>
        <w:t>者低价位成交,或者事先约定由某一特定供应商成交,然后再参加竞标；</w:t>
      </w:r>
    </w:p>
    <w:p w14:paraId="4C0C5413">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（6）供应商之间商定部分供应商放弃参加政府采购活动或者放弃成交；</w:t>
      </w:r>
    </w:p>
    <w:p w14:paraId="1FC9A148">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（7）供应商与</w:t>
      </w:r>
      <w:r>
        <w:rPr>
          <w:rFonts w:hint="eastAsia"/>
          <w:color w:val="000000" w:themeColor="text1"/>
          <w:highlight w:val="none"/>
          <w14:textFill>
            <w14:solidFill>
              <w14:schemeClr w14:val="tx1"/>
            </w14:solidFill>
          </w14:textFill>
        </w:rPr>
        <w:t>采购人或者采购代理机构之间、供应商相互之间，为谋求特定供应商成交或者排斥其他供应商的其他串通行为。</w:t>
      </w:r>
      <w:bookmarkStart w:id="41" w:name="_Toc254970675"/>
      <w:bookmarkStart w:id="42" w:name="_Toc254970534"/>
    </w:p>
    <w:p w14:paraId="6889409A">
      <w:pPr>
        <w:spacing w:line="360" w:lineRule="auto"/>
        <w:ind w:firstLine="420" w:firstLineChars="200"/>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7.7 根据《国务院办公厅关于在政府采购中实施本国产品标准及相关政策的通知》（国办发〔2023〕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B9C03A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产品在中国境内生产的组件成本占比应当达到规定比例，计算公式为：</w:t>
      </w:r>
    </w:p>
    <w:p w14:paraId="203118A7">
      <w:pPr>
        <w:spacing w:line="360" w:lineRule="auto"/>
        <w:ind w:firstLine="48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drawing>
          <wp:inline distT="0" distB="0" distL="114300" distR="114300">
            <wp:extent cx="4827905" cy="762635"/>
            <wp:effectExtent l="0" t="0" r="1079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inline>
        </w:drawing>
      </w:r>
    </w:p>
    <w:p w14:paraId="226151ED">
      <w:pPr>
        <w:pStyle w:val="7"/>
        <w:spacing w:line="360" w:lineRule="auto"/>
        <w:rPr>
          <w:rFonts w:hint="eastAsia" w:ascii="宋体" w:hAnsi="宋体"/>
          <w:color w:val="000000" w:themeColor="text1"/>
          <w:highlight w:val="none"/>
          <w14:textFill>
            <w14:solidFill>
              <w14:schemeClr w14:val="tx1"/>
            </w14:solidFill>
          </w14:textFill>
        </w:rPr>
      </w:pPr>
      <w:bookmarkStart w:id="43" w:name="_Toc10951"/>
      <w:r>
        <w:rPr>
          <w:rFonts w:hint="eastAsia" w:ascii="宋体" w:hAnsi="宋体"/>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6039520">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0FBF5427">
      <w:pPr>
        <w:pStyle w:val="7"/>
        <w:spacing w:line="360" w:lineRule="auto"/>
        <w:rPr>
          <w:rFonts w:hint="eastAsia" w:ascii="宋体" w:hAnsi="宋体"/>
          <w:b w:val="0"/>
          <w:bCs w:val="0"/>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7854574">
      <w:pPr>
        <w:pStyle w:val="4"/>
        <w:spacing w:before="0" w:after="0" w:line="360" w:lineRule="auto"/>
        <w:ind w:firstLine="640" w:firstLineChars="200"/>
        <w:rPr>
          <w:rFonts w:ascii="宋体" w:hAnsi="宋体"/>
          <w:b w:val="0"/>
          <w:bCs w:val="0"/>
          <w:color w:val="000000" w:themeColor="text1"/>
          <w:highlight w:val="none"/>
          <w14:textFill>
            <w14:solidFill>
              <w14:schemeClr w14:val="tx1"/>
            </w14:solidFill>
          </w14:textFill>
        </w:rPr>
      </w:pPr>
      <w:r>
        <w:rPr>
          <w:rFonts w:hint="eastAsia" w:ascii="宋体" w:hAnsi="宋体"/>
          <w:b w:val="0"/>
          <w:bCs w:val="0"/>
          <w:color w:val="000000" w:themeColor="text1"/>
          <w:highlight w:val="none"/>
          <w14:textFill>
            <w14:solidFill>
              <w14:schemeClr w14:val="tx1"/>
            </w14:solidFill>
          </w14:textFill>
        </w:rPr>
        <w:t>二、谈判文件</w:t>
      </w:r>
      <w:bookmarkEnd w:id="41"/>
      <w:bookmarkEnd w:id="42"/>
      <w:bookmarkEnd w:id="43"/>
    </w:p>
    <w:p w14:paraId="7FEF5E29">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8.谈判文件的构成</w:t>
      </w:r>
    </w:p>
    <w:p w14:paraId="6CFD9D56">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竞争性谈判公告；</w:t>
      </w:r>
    </w:p>
    <w:p w14:paraId="1F34740F">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第二章 采购需求；</w:t>
      </w:r>
    </w:p>
    <w:p w14:paraId="66536D0C">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第三章 供应商须知； </w:t>
      </w:r>
    </w:p>
    <w:p w14:paraId="0A54DE79">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评审程序、评审方法和成交标准；</w:t>
      </w:r>
    </w:p>
    <w:p w14:paraId="60A7C5A0">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响应文件格式；</w:t>
      </w:r>
    </w:p>
    <w:p w14:paraId="5139F641">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合同文本；</w:t>
      </w:r>
    </w:p>
    <w:p w14:paraId="1857FABC">
      <w:pPr>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4B60DC51">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9.供应商的询问</w:t>
      </w:r>
    </w:p>
    <w:p w14:paraId="70B3E2D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供应商应认真阅读谈判文件的采购需求，如供应商对谈判文件有疑问的，如要求采购人作出澄清或者修改的，供应商尽应在提交首次响应文件截止之日前，以书面形式向采购人、采购代理机构提出。</w:t>
      </w:r>
    </w:p>
    <w:p w14:paraId="405B1DA5">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10.谈判文件的澄清和修改</w:t>
      </w:r>
    </w:p>
    <w:p w14:paraId="5D74C5C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10.1已获取谈判文件的潜在供应商，若有问题需要澄清，应于应标截止时间前，以书面形式向采购代理机构提出，采购代理机构与采购人研究后，对认为有必要回答的问题，按照本章10.3的内容处理。</w:t>
      </w:r>
    </w:p>
    <w:p w14:paraId="76BA74F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6178824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获取谈判文件的供应商，不足3个工作日的，应当顺延提交首次响应文件截止之日。</w:t>
      </w:r>
    </w:p>
    <w:p w14:paraId="13C56A8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10.4</w:t>
      </w:r>
      <w:r>
        <w:rPr>
          <w:rFonts w:hint="eastAsia" w:ascii="Arial" w:hAnsi="Arial" w:cs="Arial"/>
          <w:color w:val="000000" w:themeColor="text1"/>
          <w:highlight w:val="none"/>
          <w:shd w:val="clear" w:color="auto" w:fill="FFFFFF"/>
          <w14:textFill>
            <w14:solidFill>
              <w14:schemeClr w14:val="tx1"/>
            </w14:solidFill>
          </w14:textFill>
        </w:rPr>
        <w:t>采购信息更正公告的内容应当包括采购人和采购代理机构名称、地址、联系方式，原公告的采购项目名称及首次公告日期，更正事项、内容及日期，采购项目联系人和电话。</w:t>
      </w:r>
    </w:p>
    <w:p w14:paraId="0FEEEE7E">
      <w:pPr>
        <w:spacing w:line="360" w:lineRule="auto"/>
        <w:ind w:firstLine="420" w:firstLineChars="200"/>
        <w:rPr>
          <w:rFonts w:hint="eastAsia"/>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10.5  </w:t>
      </w:r>
      <w:r>
        <w:rPr>
          <w:rFonts w:hint="eastAsia"/>
          <w:color w:val="000000" w:themeColor="text1"/>
          <w:highlight w:val="none"/>
          <w14:textFill>
            <w14:solidFill>
              <w14:schemeClr w14:val="tx1"/>
            </w14:solidFill>
          </w14:textFill>
        </w:rPr>
        <w:t>采购人和采购代理机构可以视采购具体情况，变更</w:t>
      </w:r>
      <w:r>
        <w:rPr>
          <w:rFonts w:hint="eastAsia" w:hAnsi="宋体"/>
          <w:color w:val="000000" w:themeColor="text1"/>
          <w:highlight w:val="none"/>
          <w14:textFill>
            <w14:solidFill>
              <w14:schemeClr w14:val="tx1"/>
            </w14:solidFill>
          </w14:textFill>
        </w:rPr>
        <w:t>提交首次响应文件</w:t>
      </w:r>
      <w:r>
        <w:rPr>
          <w:rFonts w:hint="eastAsia"/>
          <w:color w:val="000000" w:themeColor="text1"/>
          <w:highlight w:val="none"/>
          <w14:textFill>
            <w14:solidFill>
              <w14:schemeClr w14:val="tx1"/>
            </w14:solidFill>
          </w14:textFill>
        </w:rPr>
        <w:t>截止时间和竞谈时间，将变更时间将在</w:t>
      </w:r>
      <w:r>
        <w:rPr>
          <w:rFonts w:hint="eastAsia" w:hAnsi="宋体"/>
          <w:color w:val="000000" w:themeColor="text1"/>
          <w:highlight w:val="none"/>
          <w14:textFill>
            <w14:solidFill>
              <w14:schemeClr w14:val="tx1"/>
            </w14:solidFill>
          </w14:textFill>
        </w:rPr>
        <w:t>“采购文件公告”中“七、其他补充事宜</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网上查询地址”</w:t>
      </w:r>
      <w:r>
        <w:rPr>
          <w:rFonts w:hint="eastAsia" w:cs="宋体"/>
          <w:color w:val="000000" w:themeColor="text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309C7CC0">
      <w:pPr>
        <w:spacing w:line="360" w:lineRule="auto"/>
        <w:ind w:firstLine="400" w:firstLineChars="200"/>
        <w:rPr>
          <w:rFonts w:ascii="宋体" w:hAnsi="Courier New"/>
          <w:color w:val="000000" w:themeColor="text1"/>
          <w:kern w:val="0"/>
          <w:sz w:val="20"/>
          <w:szCs w:val="21"/>
          <w:highlight w:val="none"/>
          <w14:textFill>
            <w14:solidFill>
              <w14:schemeClr w14:val="tx1"/>
            </w14:solidFill>
          </w14:textFill>
        </w:rPr>
      </w:pPr>
      <w:r>
        <w:rPr>
          <w:rFonts w:hint="eastAsia" w:ascii="宋体" w:hAnsi="Courier New"/>
          <w:color w:val="000000" w:themeColor="text1"/>
          <w:kern w:val="0"/>
          <w:sz w:val="20"/>
          <w:szCs w:val="21"/>
          <w:highlight w:val="none"/>
          <w14:textFill>
            <w14:solidFill>
              <w14:schemeClr w14:val="tx1"/>
            </w14:solidFill>
          </w14:textFill>
        </w:rPr>
        <w:t>▲</w:t>
      </w:r>
      <w:r>
        <w:rPr>
          <w:rFonts w:hint="eastAsia" w:ascii="宋体" w:hAnsi="Courier New"/>
          <w:b/>
          <w:color w:val="000000" w:themeColor="text1"/>
          <w:kern w:val="0"/>
          <w:sz w:val="20"/>
          <w:szCs w:val="21"/>
          <w:highlight w:val="none"/>
          <w14:textFill>
            <w14:solidFill>
              <w14:schemeClr w14:val="tx1"/>
            </w14:solidFill>
          </w14:textFill>
        </w:rPr>
        <w:t>响应文件未按谈判文件的澄清、修改的内容编制，又不符合实质性要求的，其响应文件作无效处理。</w:t>
      </w:r>
    </w:p>
    <w:p w14:paraId="29A2A4A8">
      <w:pPr>
        <w:pStyle w:val="4"/>
        <w:spacing w:before="0" w:after="0" w:line="360" w:lineRule="auto"/>
        <w:ind w:firstLine="640" w:firstLineChars="200"/>
        <w:rPr>
          <w:rFonts w:hint="eastAsia" w:ascii="宋体" w:hAnsi="宋体"/>
          <w:b w:val="0"/>
          <w:bCs w:val="0"/>
          <w:color w:val="000000" w:themeColor="text1"/>
          <w:highlight w:val="none"/>
          <w14:textFill>
            <w14:solidFill>
              <w14:schemeClr w14:val="tx1"/>
            </w14:solidFill>
          </w14:textFill>
        </w:rPr>
      </w:pPr>
      <w:bookmarkStart w:id="44" w:name="_Toc9356"/>
      <w:r>
        <w:rPr>
          <w:rFonts w:hint="eastAsia" w:ascii="宋体" w:hAnsi="宋体"/>
          <w:b w:val="0"/>
          <w:bCs w:val="0"/>
          <w:color w:val="000000" w:themeColor="text1"/>
          <w:highlight w:val="none"/>
          <w14:textFill>
            <w14:solidFill>
              <w14:schemeClr w14:val="tx1"/>
            </w14:solidFill>
          </w14:textFill>
        </w:rPr>
        <w:t>三、响应文件的编制</w:t>
      </w:r>
      <w:bookmarkEnd w:id="44"/>
    </w:p>
    <w:p w14:paraId="7FDEAA55">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11.响应文件的编制原则</w:t>
      </w:r>
    </w:p>
    <w:p w14:paraId="4F102F0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供应商必须按照谈判文件的要求编制响应文件，并对其提交的响应文件的真实性、合法性承担法律责任。响应文件必须对谈判文件作出实质性响应。</w:t>
      </w:r>
    </w:p>
    <w:p w14:paraId="16C80D8C">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12.响应文件的组成</w:t>
      </w:r>
    </w:p>
    <w:p w14:paraId="3D6EECE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12.1响应文件由资格证明文件、报价文件、商务和技术文件三部分组成。</w:t>
      </w:r>
    </w:p>
    <w:p w14:paraId="56D9AD4F">
      <w:pPr>
        <w:spacing w:line="360" w:lineRule="auto"/>
        <w:ind w:left="420" w:leftChars="200"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12.1.1资格证明文件：详见须知前附表</w:t>
      </w:r>
    </w:p>
    <w:p w14:paraId="38A9E084">
      <w:pPr>
        <w:spacing w:line="360" w:lineRule="auto"/>
        <w:ind w:left="420" w:leftChars="200"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12.1.2商务技术文件：详见须知前附表</w:t>
      </w:r>
    </w:p>
    <w:p w14:paraId="705C43D7">
      <w:pPr>
        <w:spacing w:line="360" w:lineRule="auto"/>
        <w:ind w:left="420" w:leftChars="200"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12.1.3报价文件：详见须知前附表</w:t>
      </w:r>
    </w:p>
    <w:p w14:paraId="4B61A86D">
      <w:pPr>
        <w:spacing w:line="360" w:lineRule="auto"/>
        <w:ind w:left="420" w:leftChars="200"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12.2响应文件电子版：详见须知前附表</w:t>
      </w:r>
    </w:p>
    <w:p w14:paraId="067023B0">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13.计量单位</w:t>
      </w:r>
    </w:p>
    <w:p w14:paraId="05D8878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谈判文件已有明确规定的，使用谈判文件规定的计量单位；谈判文件没有规定的，应采用中华人民共和国法定计量单位，货币种类为人民币，否则视同未响应。</w:t>
      </w:r>
    </w:p>
    <w:p w14:paraId="2DC437AF">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14.竞标的风险</w:t>
      </w:r>
    </w:p>
    <w:p w14:paraId="48FB8DB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供应商没有按照谈判文件要求提供全部资料，或者供应商没有对谈判文件在各方面作出实质性响应可能导致其响应无效，是供应商应当考虑的风险。</w:t>
      </w:r>
    </w:p>
    <w:p w14:paraId="39A1B8D7">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15.响应报价要求和构成</w:t>
      </w:r>
    </w:p>
    <w:p w14:paraId="2E8EE1A1">
      <w:pPr>
        <w:tabs>
          <w:tab w:val="left" w:pos="2492"/>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15.1响应报价应按“第五章 响应文件格式”中“响应报价表”格式填写。</w:t>
      </w:r>
    </w:p>
    <w:p w14:paraId="20465A9D">
      <w:pPr>
        <w:tabs>
          <w:tab w:val="left" w:pos="2492"/>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15.2响应报价的价格构成见“供应商须知前附表”。</w:t>
      </w:r>
    </w:p>
    <w:p w14:paraId="7D589E1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15.3响应报价要求</w:t>
      </w:r>
    </w:p>
    <w:p w14:paraId="76B3AA3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15.3.1供应商的响应报价应符合以下要求，否则响应文件按无效响应处理：</w:t>
      </w:r>
    </w:p>
    <w:p w14:paraId="2A6AB211">
      <w:pPr>
        <w:spacing w:line="360" w:lineRule="auto"/>
        <w:ind w:left="420" w:left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（1）供应商必须就“采购需求”中所竞标的每个分标的全部内容分别作完整唯一总价报价，不得存在漏项报价；</w:t>
      </w:r>
    </w:p>
    <w:p w14:paraId="1B84A89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（2）供应商必须就所竞标的分标的单项内容作唯一报价。</w:t>
      </w:r>
    </w:p>
    <w:p w14:paraId="5A7E569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15.3.2响应报价（包含首次报价、最后报价）超过所竞标分标规定的采购预算金额或者最高限价的，其响应文件将作无效处理。</w:t>
      </w:r>
    </w:p>
    <w:p w14:paraId="13E3BCE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15.3.3</w:t>
      </w:r>
      <w:bookmarkStart w:id="45" w:name="_Hlk42592874"/>
      <w:r>
        <w:rPr>
          <w:rFonts w:hint="eastAsia" w:ascii="宋体" w:hAnsi="宋体" w:cs="宋体"/>
          <w:color w:val="000000" w:themeColor="text1"/>
          <w:szCs w:val="21"/>
          <w:highlight w:val="none"/>
          <w14:textFill>
            <w14:solidFill>
              <w14:schemeClr w14:val="tx1"/>
            </w14:solidFill>
          </w14:textFill>
        </w:rPr>
        <w:t>响应报价（包含首次报价、最后报价）超过分项采购预算金额或者最高限价的，其响应文件将作无效处理。</w:t>
      </w:r>
    </w:p>
    <w:bookmarkEnd w:id="45"/>
    <w:p w14:paraId="16D35B57">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16.竞标有效期</w:t>
      </w:r>
    </w:p>
    <w:p w14:paraId="07BDA51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7D0BB7C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p>
    <w:p w14:paraId="67C6E4F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625193ED">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17.谈判保证金</w:t>
      </w:r>
    </w:p>
    <w:p w14:paraId="2B9D60C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422D0D5E">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18.响应文件编制的要求</w:t>
      </w:r>
    </w:p>
    <w:p w14:paraId="673F42D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cs="宋体"/>
          <w:color w:val="000000" w:themeColor="text1"/>
          <w:highlight w:val="none"/>
          <w14:textFill>
            <w14:solidFill>
              <w14:schemeClr w14:val="tx1"/>
            </w14:solidFill>
          </w14:textFill>
        </w:rPr>
        <w:t>由此引发的</w:t>
      </w:r>
      <w:r>
        <w:rPr>
          <w:rFonts w:hint="eastAsia" w:ascii="宋体" w:hAnsi="宋体" w:cs="宋体"/>
          <w:color w:val="000000" w:themeColor="text1"/>
          <w:szCs w:val="21"/>
          <w:highlight w:val="none"/>
          <w14:textFill>
            <w14:solidFill>
              <w14:schemeClr w14:val="tx1"/>
            </w14:solidFill>
          </w14:textFill>
        </w:rPr>
        <w:t>后果由供应商承担。</w:t>
      </w:r>
    </w:p>
    <w:p w14:paraId="7D70923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18.2响应文件应按资格证明、报价分别编制，商务技术文件合并编制，本谈判只接收电子版响应文件，要求见本章“12.2响应文件电子版要求”。</w:t>
      </w:r>
    </w:p>
    <w:p w14:paraId="20855D5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bookmarkStart w:id="46" w:name="_Hlk65832699"/>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响应文件须由供应商在</w:t>
      </w:r>
      <w:r>
        <w:rPr>
          <w:rFonts w:hint="eastAsia" w:ascii="宋体" w:hAnsi="宋体" w:cs="仿宋_GB2312"/>
          <w:color w:val="000000" w:themeColor="text1"/>
          <w:kern w:val="0"/>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第五章 响应文件格式</w:t>
      </w:r>
      <w:r>
        <w:rPr>
          <w:rFonts w:hint="eastAsia" w:ascii="宋体" w:hAnsi="宋体" w:cs="仿宋_GB2312"/>
          <w:color w:val="000000" w:themeColor="text1"/>
          <w:kern w:val="0"/>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规定位置</w:t>
      </w:r>
      <w:r>
        <w:rPr>
          <w:rFonts w:hint="eastAsia" w:ascii="宋体" w:hAnsi="宋体" w:cs="仿宋_GB2312"/>
          <w:color w:val="000000" w:themeColor="text1"/>
          <w:szCs w:val="21"/>
          <w:highlight w:val="none"/>
          <w14:textFill>
            <w14:solidFill>
              <w14:schemeClr w14:val="tx1"/>
            </w14:solidFill>
          </w14:textFill>
        </w:rPr>
        <w:t>进行签署、盖章</w:t>
      </w:r>
      <w:bookmarkEnd w:id="46"/>
      <w:r>
        <w:rPr>
          <w:rFonts w:hint="eastAsia" w:ascii="宋体" w:hAnsi="宋体" w:cs="宋体"/>
          <w:color w:val="000000" w:themeColor="text1"/>
          <w:szCs w:val="21"/>
          <w:highlight w:val="none"/>
          <w14:textFill>
            <w14:solidFill>
              <w14:schemeClr w14:val="tx1"/>
            </w14:solidFill>
          </w14:textFill>
        </w:rPr>
        <w:t>，否则其响应文件按无效响应处理。骑缝盖公章不视为在规定位置盖章。</w:t>
      </w:r>
    </w:p>
    <w:p w14:paraId="30F4045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18.4响应文件中标注的供应商名称应与营业执照（事业单位法人证书、执业许可证、自然人身份证）及电子公章一致，否则其响应文件按无效响应处理。</w:t>
      </w:r>
    </w:p>
    <w:p w14:paraId="7202FF6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18.5响应文件应避免涂改、行间插字或者删除，否则其响应文件按无效响应处理。</w:t>
      </w:r>
    </w:p>
    <w:p w14:paraId="07BB69F6">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19.响应文件的密封和标记</w:t>
      </w:r>
    </w:p>
    <w:p w14:paraId="7035E233">
      <w:pPr>
        <w:spacing w:line="360" w:lineRule="auto"/>
        <w:ind w:firstLine="420" w:firstLineChars="200"/>
        <w:rPr>
          <w:rFonts w:hint="eastAsia" w:ascii="宋体" w:hAnsi="宋体" w:cs="仿宋_GB2312"/>
          <w:color w:val="000000" w:themeColor="text1"/>
          <w:kern w:val="0"/>
          <w:szCs w:val="21"/>
          <w:highlight w:val="none"/>
          <w:lang w:val="zh-CN"/>
          <w14:textFill>
            <w14:solidFill>
              <w14:schemeClr w14:val="tx1"/>
            </w14:solidFill>
          </w14:textFill>
        </w:rPr>
      </w:pPr>
      <w:r>
        <w:rPr>
          <w:rFonts w:hint="eastAsia" w:ascii="宋体" w:hAnsi="宋体" w:cs="仿宋_GB2312"/>
          <w:color w:val="000000" w:themeColor="text1"/>
          <w:kern w:val="0"/>
          <w:szCs w:val="21"/>
          <w:highlight w:val="none"/>
          <w:lang w:val="zh-CN"/>
          <w14:textFill>
            <w14:solidFill>
              <w14:schemeClr w14:val="tx1"/>
            </w14:solidFill>
          </w14:textFill>
        </w:rPr>
        <w:t>19.1供应商进行电子交易应安装客户端软件—“</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cs="仿宋_GB2312"/>
          <w:color w:val="000000" w:themeColor="text1"/>
          <w:kern w:val="0"/>
          <w:szCs w:val="21"/>
          <w:highlight w:val="none"/>
          <w:lang w:val="zh-CN"/>
          <w14:textFill>
            <w14:solidFill>
              <w14:schemeClr w14:val="tx1"/>
            </w14:solidFill>
          </w14:textFill>
        </w:rPr>
        <w:t>电子交易客户端”，并按照谈判文件和电子交易平台的要求编制并加密响应文件。供应商未按规定加密的响应文件，电子交易平台将拒收并提示。</w:t>
      </w:r>
    </w:p>
    <w:p w14:paraId="213EC699">
      <w:pPr>
        <w:spacing w:line="360" w:lineRule="auto"/>
        <w:ind w:firstLine="420" w:firstLineChars="200"/>
        <w:rPr>
          <w:rFonts w:hint="eastAsia" w:ascii="宋体" w:hAnsi="宋体" w:cs="仿宋_GB2312"/>
          <w:color w:val="000000" w:themeColor="text1"/>
          <w:kern w:val="0"/>
          <w:szCs w:val="21"/>
          <w:highlight w:val="none"/>
          <w:lang w:val="zh-CN"/>
          <w14:textFill>
            <w14:solidFill>
              <w14:schemeClr w14:val="tx1"/>
            </w14:solidFill>
          </w14:textFill>
        </w:rPr>
      </w:pPr>
      <w:r>
        <w:rPr>
          <w:rFonts w:hint="eastAsia" w:ascii="宋体" w:hAnsi="宋体" w:cs="仿宋_GB2312"/>
          <w:color w:val="000000" w:themeColor="text1"/>
          <w:kern w:val="0"/>
          <w:szCs w:val="21"/>
          <w:highlight w:val="none"/>
          <w:lang w:val="zh-CN"/>
          <w14:textFill>
            <w14:solidFill>
              <w14:schemeClr w14:val="tx1"/>
            </w14:solidFill>
          </w14:textFill>
        </w:rPr>
        <w:t>19.2使用“</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cs="仿宋_GB2312"/>
          <w:color w:val="000000" w:themeColor="text1"/>
          <w:kern w:val="0"/>
          <w:szCs w:val="21"/>
          <w:highlight w:val="none"/>
          <w:lang w:val="zh-CN"/>
          <w14:textFill>
            <w14:solidFill>
              <w14:schemeClr w14:val="tx1"/>
            </w14:solidFill>
          </w14:textFill>
        </w:rPr>
        <w:t>电子交易客户端”需要提前申领CA数字证书，申领流程见该项目采购公告附件。</w:t>
      </w:r>
    </w:p>
    <w:p w14:paraId="39C42701">
      <w:pPr>
        <w:pStyle w:val="17"/>
        <w:spacing w:line="360" w:lineRule="auto"/>
        <w:ind w:firstLine="420" w:firstLineChars="200"/>
        <w:rPr>
          <w:rFonts w:hint="eastAsia" w:hAnsi="宋体" w:cs="仿宋_GB2312"/>
          <w:color w:val="000000" w:themeColor="text1"/>
          <w:sz w:val="21"/>
          <w:highlight w:val="none"/>
          <w14:textFill>
            <w14:solidFill>
              <w14:schemeClr w14:val="tx1"/>
            </w14:solidFill>
          </w14:textFill>
        </w:rPr>
      </w:pPr>
      <w:r>
        <w:rPr>
          <w:rFonts w:hint="eastAsia" w:hAnsi="宋体" w:cs="仿宋_GB2312"/>
          <w:color w:val="000000" w:themeColor="text1"/>
          <w:sz w:val="21"/>
          <w:highlight w:val="none"/>
          <w14:textFill>
            <w14:solidFill>
              <w14:schemeClr w14:val="tx1"/>
            </w14:solidFill>
          </w14:textFill>
        </w:rPr>
        <w:t>19.3为确保网上操作合法、有效和安全，供应商应当在响应文件提交截止时间前完成在“政府采购云平台”的身份认证，确保在电子交易过程中能够对相关数据电文进行加密和使用电子签名。</w:t>
      </w:r>
    </w:p>
    <w:p w14:paraId="232D7E47">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20.响应文件的提交</w:t>
      </w:r>
    </w:p>
    <w:p w14:paraId="352826F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20.1供应商必须在“供应商须知前附表”规定的时间和地点提交响应文件。</w:t>
      </w:r>
    </w:p>
    <w:p w14:paraId="6C3EEE6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.2 在响应文件提交截止时间以后，不能补充、修改响应文件。</w:t>
      </w:r>
    </w:p>
    <w:p w14:paraId="03C1F33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20.3 在提交“最后报价”后，供应商不能退出谈判。</w:t>
      </w:r>
    </w:p>
    <w:p w14:paraId="647EBCC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20.4 电子交易平台收到响应文件，将妥善保存并即时向供应商发出确认回执通知。在响应文件提交截止时间前，除供应商补充、修改或者撤回响应文件外，任何单位和个人不得解密或提取响应文件。</w:t>
      </w:r>
    </w:p>
    <w:p w14:paraId="365FAAA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20.5 采购机构不可视情况延长提交响应文件的截止时间。</w:t>
      </w:r>
    </w:p>
    <w:p w14:paraId="25055AB9">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20.6备份响应文件。</w:t>
      </w:r>
      <w:r>
        <w:rPr>
          <w:rFonts w:hint="eastAsia" w:hAnsi="宋体"/>
          <w:bCs/>
          <w:color w:val="000000" w:themeColor="text1"/>
          <w:szCs w:val="21"/>
          <w:highlight w:val="none"/>
          <w14:textFill>
            <w14:solidFill>
              <w14:schemeClr w14:val="tx1"/>
            </w14:solidFill>
          </w14:textFill>
        </w:rPr>
        <w:t>详见在“供应商须知前附表”。</w:t>
      </w:r>
    </w:p>
    <w:p w14:paraId="784048EB">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21.首次响应文件的补充、修改与撤回</w:t>
      </w:r>
    </w:p>
    <w:p w14:paraId="7D386F76">
      <w:pPr>
        <w:pStyle w:val="79"/>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s="仿宋_GB2312"/>
          <w:color w:val="000000" w:themeColor="text1"/>
          <w:sz w:val="21"/>
          <w:szCs w:val="21"/>
          <w:highlight w:val="none"/>
          <w14:textFill>
            <w14:solidFill>
              <w14:schemeClr w14:val="tx1"/>
            </w14:solidFill>
          </w14:textFill>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33D668E2">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bookmarkStart w:id="47" w:name="_Hlk45702405"/>
      <w:r>
        <w:rPr>
          <w:rFonts w:hint="eastAsia" w:ascii="黑体" w:hAnsi="黑体" w:eastAsia="黑体" w:cs="宋体"/>
          <w:b/>
          <w:bCs/>
          <w:color w:val="000000" w:themeColor="text1"/>
          <w:sz w:val="24"/>
          <w:highlight w:val="none"/>
          <w14:textFill>
            <w14:solidFill>
              <w14:schemeClr w14:val="tx1"/>
            </w14:solidFill>
          </w14:textFill>
        </w:rPr>
        <w:t>22. 首次响应文件的退回</w:t>
      </w:r>
    </w:p>
    <w:p w14:paraId="60E4DF0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75E6608A">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23. 截止时间后的撤回</w:t>
      </w:r>
    </w:p>
    <w:p w14:paraId="108204E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本项目不收取谈判保证金，供应商在首次响应文件提交截止时间后可向采购人、采购代理机构书面申请撤回响应文件。</w:t>
      </w:r>
      <w:bookmarkEnd w:id="47"/>
    </w:p>
    <w:p w14:paraId="3FB9472A">
      <w:pPr>
        <w:pStyle w:val="4"/>
        <w:spacing w:before="0" w:after="0" w:line="360" w:lineRule="auto"/>
        <w:ind w:firstLine="640" w:firstLineChars="200"/>
        <w:rPr>
          <w:rFonts w:hint="eastAsia" w:ascii="宋体" w:hAnsi="宋体"/>
          <w:b w:val="0"/>
          <w:bCs w:val="0"/>
          <w:color w:val="000000" w:themeColor="text1"/>
          <w:highlight w:val="none"/>
          <w14:textFill>
            <w14:solidFill>
              <w14:schemeClr w14:val="tx1"/>
            </w14:solidFill>
          </w14:textFill>
        </w:rPr>
      </w:pPr>
      <w:bookmarkStart w:id="48" w:name="_Toc19009"/>
      <w:r>
        <w:rPr>
          <w:rFonts w:hint="eastAsia" w:ascii="宋体" w:hAnsi="宋体"/>
          <w:b w:val="0"/>
          <w:bCs w:val="0"/>
          <w:color w:val="000000" w:themeColor="text1"/>
          <w:highlight w:val="none"/>
          <w14:textFill>
            <w14:solidFill>
              <w14:schemeClr w14:val="tx1"/>
            </w14:solidFill>
          </w14:textFill>
        </w:rPr>
        <w:t>四、评审及谈判</w:t>
      </w:r>
      <w:bookmarkEnd w:id="48"/>
    </w:p>
    <w:p w14:paraId="12B73D63">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24.谈判小组成立</w:t>
      </w:r>
    </w:p>
    <w:p w14:paraId="3AD3370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1412F14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24.2评审专家应当从政府采购评审专家库内相关专业的专家名单中随机抽取。技术复杂、专业性强的竞争性谈判采购项目，评审专家中应当包含1名法律专家。</w:t>
      </w:r>
    </w:p>
    <w:p w14:paraId="2EABD892">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25.首次响应文件的开启</w:t>
      </w:r>
    </w:p>
    <w:p w14:paraId="63A61FF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25.1首次响应文件由谈判小组或者采购代理机构在“供应商须知前附表”规定的时间开启。</w:t>
      </w:r>
    </w:p>
    <w:p w14:paraId="17522EBA">
      <w:pPr>
        <w:pStyle w:val="17"/>
        <w:spacing w:line="360" w:lineRule="auto"/>
        <w:ind w:firstLine="400" w:firstLineChars="200"/>
        <w:rPr>
          <w:rFonts w:hint="eastAsia" w:hAnsi="宋体"/>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25.2 </w:t>
      </w:r>
      <w:r>
        <w:rPr>
          <w:rFonts w:hint="eastAsia" w:hAnsi="宋体"/>
          <w:bCs/>
          <w:color w:val="000000" w:themeColor="text1"/>
          <w:highlight w:val="none"/>
          <w14:textFill>
            <w14:solidFill>
              <w14:schemeClr w14:val="tx1"/>
            </w14:solidFill>
          </w14:textFill>
        </w:rPr>
        <w:t>响应文件解密</w:t>
      </w:r>
    </w:p>
    <w:p w14:paraId="67ABBA11">
      <w:pPr>
        <w:pStyle w:val="17"/>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采购代理机构将在“供应商须知前附表”规定的时</w:t>
      </w:r>
      <w:r>
        <w:rPr>
          <w:rFonts w:hint="eastAsia" w:hAnsi="宋体"/>
          <w:color w:val="000000" w:themeColor="text1"/>
          <w:sz w:val="21"/>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hAnsi="宋体"/>
          <w:b/>
          <w:color w:val="000000" w:themeColor="text1"/>
          <w:sz w:val="21"/>
          <w:highlight w:val="none"/>
          <w14:textFill>
            <w14:solidFill>
              <w14:schemeClr w14:val="tx1"/>
            </w14:solidFill>
          </w14:textFill>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000000" w:themeColor="text1"/>
          <w:sz w:val="21"/>
          <w:highlight w:val="none"/>
          <w14:textFill>
            <w14:solidFill>
              <w14:schemeClr w14:val="tx1"/>
            </w14:solidFill>
          </w14:textFill>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000000" w:themeColor="text1"/>
          <w:sz w:val="21"/>
          <w:highlight w:val="none"/>
          <w14:textFill>
            <w14:solidFill>
              <w14:schemeClr w14:val="tx1"/>
            </w14:solidFill>
          </w14:textFill>
        </w:rPr>
        <w:t>视为响应文件无效。</w:t>
      </w:r>
      <w:r>
        <w:rPr>
          <w:rFonts w:hint="eastAsia" w:hAnsi="宋体"/>
          <w:color w:val="000000" w:themeColor="text1"/>
          <w:sz w:val="21"/>
          <w:highlight w:val="none"/>
          <w14:textFill>
            <w14:solidFill>
              <w14:schemeClr w14:val="tx1"/>
            </w14:solidFill>
          </w14:textFill>
        </w:rPr>
        <w:t>（解密</w:t>
      </w:r>
      <w:r>
        <w:rPr>
          <w:rFonts w:hint="eastAsia" w:hAnsi="宋体"/>
          <w:bCs/>
          <w:color w:val="000000" w:themeColor="text1"/>
          <w:sz w:val="21"/>
          <w:highlight w:val="none"/>
          <w14:textFill>
            <w14:solidFill>
              <w14:schemeClr w14:val="tx1"/>
            </w14:solidFill>
          </w14:textFill>
        </w:rPr>
        <w:t>异常情况处理：详见本章</w:t>
      </w:r>
      <w:r>
        <w:rPr>
          <w:rFonts w:hint="eastAsia" w:hAnsi="宋体"/>
          <w:color w:val="000000" w:themeColor="text1"/>
          <w:sz w:val="21"/>
          <w:highlight w:val="none"/>
          <w14:textFill>
            <w14:solidFill>
              <w14:schemeClr w14:val="tx1"/>
            </w14:solidFill>
          </w14:textFill>
        </w:rPr>
        <w:t>26.3 电子交易活动的中止。）</w:t>
      </w:r>
    </w:p>
    <w:p w14:paraId="21FCC011">
      <w:pPr>
        <w:pStyle w:val="17"/>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如</w:t>
      </w:r>
      <w:r>
        <w:rPr>
          <w:rFonts w:hint="eastAsia" w:hAnsi="宋体"/>
          <w:bCs/>
          <w:color w:val="000000" w:themeColor="text1"/>
          <w:sz w:val="21"/>
          <w:highlight w:val="none"/>
          <w14:textFill>
            <w14:solidFill>
              <w14:schemeClr w14:val="tx1"/>
            </w14:solidFill>
          </w14:textFill>
        </w:rPr>
        <w:t>供应商成功解密响应文件，但未在广西政府采购云平台电子开标大厅参加谈判的，视同认可谈判过程和结果，</w:t>
      </w:r>
      <w:r>
        <w:rPr>
          <w:rFonts w:hint="eastAsia" w:hAnsi="宋体"/>
          <w:color w:val="000000" w:themeColor="text1"/>
          <w:sz w:val="21"/>
          <w:highlight w:val="none"/>
          <w14:textFill>
            <w14:solidFill>
              <w14:schemeClr w14:val="tx1"/>
            </w14:solidFill>
          </w14:textFill>
        </w:rPr>
        <w:t>由此产生的后果由供应商自行负责。 参与谈判的供应商不足3家的，不得谈判。</w:t>
      </w:r>
    </w:p>
    <w:p w14:paraId="14A51220">
      <w:pPr>
        <w:spacing w:line="36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26.评审程序、评审方法和成交标准</w:t>
      </w:r>
    </w:p>
    <w:p w14:paraId="785748A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26.1谈判小组按照“第四章 评审程序、评审方法和成交标准”规定的方法、评审因素、标准和程序对响应文件进行评审。</w:t>
      </w:r>
    </w:p>
    <w:p w14:paraId="638D0C4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26.2 采购需求负偏离要求及谈判顺序详见 “供应商须知前附表”。</w:t>
      </w:r>
    </w:p>
    <w:p w14:paraId="2A18997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26.3电子交</w:t>
      </w:r>
      <w:r>
        <w:rPr>
          <w:rFonts w:hint="eastAsia" w:hAnsi="宋体"/>
          <w:color w:val="000000" w:themeColor="text1"/>
          <w:highlight w:val="none"/>
          <w14:textFill>
            <w14:solidFill>
              <w14:schemeClr w14:val="tx1"/>
            </w14:solidFill>
          </w14:textFill>
        </w:rPr>
        <w:t>易活动的中止。采购过程中出现以下情形，导致电子交易平台无法正常运行，或者无</w:t>
      </w:r>
      <w:r>
        <w:rPr>
          <w:rFonts w:hint="eastAsia" w:ascii="宋体" w:hAnsi="宋体" w:eastAsia="宋体" w:cs="宋体"/>
          <w:color w:val="000000" w:themeColor="text1"/>
          <w:highlight w:val="none"/>
          <w14:textFill>
            <w14:solidFill>
              <w14:schemeClr w14:val="tx1"/>
            </w14:solidFill>
          </w14:textFill>
        </w:rPr>
        <w:t>法保证电子交易的公平、公正和安全时，采购机构可中止电子交易活动：</w:t>
      </w:r>
    </w:p>
    <w:p w14:paraId="2FBC37C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（1）电子交易平台发生故障而无法登录访问的； </w:t>
      </w:r>
    </w:p>
    <w:p w14:paraId="3448F29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（2）电子交易平台应用或数据库出现错误，不能进行正常操作的；</w:t>
      </w:r>
    </w:p>
    <w:p w14:paraId="206BB47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（3）电子交易平台发现严重安全漏洞，有潜在泄密危险的；</w:t>
      </w:r>
    </w:p>
    <w:p w14:paraId="7E0DC65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（4）病毒发作导致不能进行正常操作的； </w:t>
      </w:r>
    </w:p>
    <w:p w14:paraId="42A18C89">
      <w:pPr>
        <w:spacing w:line="360" w:lineRule="auto"/>
        <w:ind w:firstLine="420" w:firstLineChars="200"/>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）其</w:t>
      </w:r>
      <w:r>
        <w:rPr>
          <w:rFonts w:hint="eastAsia" w:hAnsi="宋体"/>
          <w:color w:val="000000" w:themeColor="text1"/>
          <w:highlight w:val="none"/>
          <w14:textFill>
            <w14:solidFill>
              <w14:schemeClr w14:val="tx1"/>
            </w14:solidFill>
          </w14:textFill>
        </w:rPr>
        <w:t>他无法保证电子交易的公平、公正和安全的情况。</w:t>
      </w:r>
    </w:p>
    <w:p w14:paraId="0A6D033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26.4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2476F2F">
      <w:pPr>
        <w:pStyle w:val="4"/>
        <w:spacing w:before="0" w:after="0" w:line="360" w:lineRule="auto"/>
        <w:ind w:firstLine="640" w:firstLineChars="200"/>
        <w:rPr>
          <w:rFonts w:ascii="宋体" w:hAnsi="宋体"/>
          <w:b w:val="0"/>
          <w:bCs w:val="0"/>
          <w:color w:val="000000" w:themeColor="text1"/>
          <w:highlight w:val="none"/>
          <w14:textFill>
            <w14:solidFill>
              <w14:schemeClr w14:val="tx1"/>
            </w14:solidFill>
          </w14:textFill>
        </w:rPr>
      </w:pPr>
      <w:bookmarkStart w:id="49" w:name="_Toc27715"/>
      <w:r>
        <w:rPr>
          <w:rFonts w:hint="eastAsia" w:ascii="宋体" w:hAnsi="宋体"/>
          <w:b w:val="0"/>
          <w:bCs w:val="0"/>
          <w:color w:val="000000" w:themeColor="text1"/>
          <w:highlight w:val="none"/>
          <w14:textFill>
            <w14:solidFill>
              <w14:schemeClr w14:val="tx1"/>
            </w14:solidFill>
          </w14:textFill>
        </w:rPr>
        <w:t>五、成交及合同</w:t>
      </w:r>
      <w:bookmarkEnd w:id="49"/>
    </w:p>
    <w:p w14:paraId="73972B97">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27.确定成交供应商及结果公告</w:t>
      </w:r>
    </w:p>
    <w:p w14:paraId="20D9392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27.1确定成交供应商。</w:t>
      </w:r>
      <w:r>
        <w:rPr>
          <w:rFonts w:hint="eastAsia" w:ascii="宋体" w:hAnsi="宋体" w:cs="宋体"/>
          <w:color w:val="000000" w:themeColor="text1"/>
          <w:kern w:val="0"/>
          <w:szCs w:val="21"/>
          <w:highlight w:val="none"/>
          <w:u w:val="single"/>
          <w14:textFill>
            <w14:solidFill>
              <w14:schemeClr w14:val="tx1"/>
            </w14:solidFill>
          </w14:textFill>
        </w:rPr>
        <w:t xml:space="preserve"> 谈判小组按第四章“评审程序、评审方法和成交标准”的规定排列成交候选人顺序，并由采购人依照次序确定成交人</w:t>
      </w:r>
      <w:r>
        <w:rPr>
          <w:rFonts w:hint="eastAsia" w:ascii="宋体" w:hAnsi="宋体" w:cs="宋体"/>
          <w:color w:val="000000" w:themeColor="text1"/>
          <w:szCs w:val="21"/>
          <w:highlight w:val="none"/>
          <w:u w:val="single"/>
          <w14:textFill>
            <w14:solidFill>
              <w14:schemeClr w14:val="tx1"/>
            </w14:solidFill>
          </w14:textFill>
        </w:rPr>
        <w:t>。</w:t>
      </w:r>
    </w:p>
    <w:p w14:paraId="3BD525C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27.2成交通知及成交结果公告。</w:t>
      </w:r>
      <w:r>
        <w:rPr>
          <w:rFonts w:hint="eastAsia" w:ascii="宋体" w:hAnsi="宋体" w:cs="宋体"/>
          <w:color w:val="000000" w:themeColor="text1"/>
          <w:kern w:val="0"/>
          <w:szCs w:val="21"/>
          <w:highlight w:val="none"/>
          <w14:textFill>
            <w14:solidFill>
              <w14:schemeClr w14:val="tx1"/>
            </w14:solidFill>
          </w14:textFill>
        </w:rPr>
        <w:t>成交</w:t>
      </w:r>
      <w:r>
        <w:rPr>
          <w:rFonts w:hint="eastAsia" w:ascii="宋体" w:hAnsi="宋体" w:cs="宋体"/>
          <w:color w:val="000000" w:themeColor="text1"/>
          <w:szCs w:val="21"/>
          <w:highlight w:val="none"/>
          <w14:textFill>
            <w14:solidFill>
              <w14:schemeClr w14:val="tx1"/>
            </w14:solidFill>
          </w14:textFill>
        </w:rPr>
        <w:t>供应商确定后2个工作日内，在省级以上财政部门指定的媒体上公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58BD6E76">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bookmarkStart w:id="50" w:name="_Hlk66782294"/>
      <w:r>
        <w:rPr>
          <w:rFonts w:hint="eastAsia" w:ascii="宋体" w:hAnsi="宋体" w:cs="Courier New"/>
          <w:color w:val="000000" w:themeColor="text1"/>
          <w:szCs w:val="21"/>
          <w:highlight w:val="none"/>
          <w14:textFill>
            <w14:solidFill>
              <w14:schemeClr w14:val="tx1"/>
            </w14:solidFill>
          </w14:textFill>
        </w:rPr>
        <w:t>成交供应商享受</w:t>
      </w:r>
      <w:r>
        <w:rPr>
          <w:rFonts w:hint="eastAsia" w:ascii="宋体" w:hAnsi="宋体"/>
          <w:color w:val="000000" w:themeColor="text1"/>
          <w:szCs w:val="21"/>
          <w:highlight w:val="none"/>
          <w14:textFill>
            <w14:solidFill>
              <w14:schemeClr w14:val="tx1"/>
            </w14:solidFill>
          </w14:textFill>
        </w:rPr>
        <w:t>《政府采购促进中小企业发展管理办法》（财库〔2020〕46号）规定的中小企业扶持</w:t>
      </w:r>
      <w:r>
        <w:rPr>
          <w:rFonts w:hint="eastAsia" w:ascii="宋体" w:hAnsi="宋体" w:cs="Courier New"/>
          <w:color w:val="000000" w:themeColor="text1"/>
          <w:szCs w:val="21"/>
          <w:highlight w:val="none"/>
          <w14:textFill>
            <w14:solidFill>
              <w14:schemeClr w14:val="tx1"/>
            </w14:solidFill>
          </w14:textFill>
        </w:rPr>
        <w:t>政策的，采购人、采购代理机构应当随成交结果公开成交供应商的《中小企业声明函》。</w:t>
      </w:r>
      <w:bookmarkEnd w:id="50"/>
    </w:p>
    <w:p w14:paraId="3FC4444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444A59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2390EDCA">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28.履约保证金</w:t>
      </w:r>
    </w:p>
    <w:p w14:paraId="59A1E1C5">
      <w:pPr>
        <w:spacing w:line="360" w:lineRule="auto"/>
        <w:ind w:firstLine="420"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 “供应商须知前附表”</w:t>
      </w:r>
    </w:p>
    <w:p w14:paraId="66D71BBD">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29.签订合同</w:t>
      </w:r>
    </w:p>
    <w:p w14:paraId="3C23B904">
      <w:pPr>
        <w:pStyle w:val="79"/>
        <w:snapToGrid w:val="0"/>
        <w:spacing w:before="0"/>
        <w:ind w:firstLine="420"/>
        <w:rPr>
          <w:rFonts w:hint="eastAsia" w:ascii="宋体" w:hAnsi="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29.1</w:t>
      </w:r>
      <w:r>
        <w:rPr>
          <w:rFonts w:hint="eastAsia" w:ascii="宋体" w:hAnsi="宋体"/>
          <w:color w:val="000000" w:themeColor="text1"/>
          <w:sz w:val="21"/>
          <w:szCs w:val="21"/>
          <w:highlight w:val="none"/>
          <w14:textFill>
            <w14:solidFill>
              <w14:schemeClr w14:val="tx1"/>
            </w14:solidFill>
          </w14:textFill>
        </w:rPr>
        <w:t>采购人与成交供应商应当在</w:t>
      </w:r>
      <w:r>
        <w:rPr>
          <w:rFonts w:hint="eastAsia" w:ascii="宋体" w:hAnsi="宋体" w:cs="宋体"/>
          <w:color w:val="000000" w:themeColor="text1"/>
          <w:sz w:val="21"/>
          <w:szCs w:val="21"/>
          <w:highlight w:val="none"/>
          <w14:textFill>
            <w14:solidFill>
              <w14:schemeClr w14:val="tx1"/>
            </w14:solidFill>
          </w14:textFill>
        </w:rPr>
        <w:t>成交通知书规定的时间内</w:t>
      </w:r>
      <w:r>
        <w:rPr>
          <w:rFonts w:hint="eastAsia" w:ascii="宋体" w:hAnsi="宋体"/>
          <w:color w:val="000000" w:themeColor="text1"/>
          <w:sz w:val="21"/>
          <w:szCs w:val="21"/>
          <w:highlight w:val="none"/>
          <w14:textFill>
            <w14:solidFill>
              <w14:schemeClr w14:val="tx1"/>
            </w14:solidFill>
          </w14:textFill>
        </w:rPr>
        <w:t>，按照谈判文件确定的合同文本以及采购标的、货物技术、采购金额、采购数量、技术和货物要求等事项签订政府采购合同。</w:t>
      </w:r>
      <w:r>
        <w:rPr>
          <w:rFonts w:hint="eastAsia" w:ascii="宋体" w:hAnsi="宋体"/>
          <w:color w:val="000000" w:themeColor="text1"/>
          <w:sz w:val="21"/>
          <w:szCs w:val="21"/>
          <w:highlight w:val="none"/>
          <w:lang w:val="zh-CN"/>
          <w14:textFill>
            <w14:solidFill>
              <w14:schemeClr w14:val="tx1"/>
            </w14:solidFill>
          </w14:textFill>
        </w:rPr>
        <w:t>如成交供应商为联合体的，由联合体成员各方法定代表人或其授权代表与采购人代表签订合同。</w:t>
      </w:r>
    </w:p>
    <w:p w14:paraId="7B492F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6601333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29.3成交供应商拒绝签订政府采购合同的，</w:t>
      </w:r>
      <w:r>
        <w:rPr>
          <w:rFonts w:hint="eastAsia" w:ascii="宋体" w:hAnsi="宋体" w:cs="宋体"/>
          <w:color w:val="000000" w:themeColor="text1"/>
          <w:szCs w:val="21"/>
          <w:highlight w:val="none"/>
          <w14:textFill>
            <w14:solidFill>
              <w14:schemeClr w14:val="tx1"/>
            </w14:solidFill>
          </w14:textFill>
        </w:rPr>
        <w:t>采购人可以按照评审报告推荐的成交候选人名单排序，确定下一候选人为成交供应商</w:t>
      </w:r>
      <w:r>
        <w:rPr>
          <w:rFonts w:hint="eastAsia" w:ascii="宋体" w:hAnsi="宋体"/>
          <w:color w:val="000000" w:themeColor="text1"/>
          <w:szCs w:val="21"/>
          <w:highlight w:val="none"/>
          <w14:textFill>
            <w14:solidFill>
              <w14:schemeClr w14:val="tx1"/>
            </w14:solidFill>
          </w14:textFill>
        </w:rPr>
        <w:t>，也可以重新开展采购活动。拒绝签订政府采购合同的成交供应商不得参加对该项目重新开展的采购活动。</w:t>
      </w:r>
    </w:p>
    <w:p w14:paraId="7E38CAC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29.4如签订合同并生效后，供应商无故拒绝或延期，除按照合同条款处理外，列入不良行为记录，并给予通报。</w:t>
      </w:r>
    </w:p>
    <w:p w14:paraId="516C94AA">
      <w:pPr>
        <w:pStyle w:val="79"/>
        <w:spacing w:before="0"/>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仿宋_GB2312"/>
          <w:color w:val="000000" w:themeColor="text1"/>
          <w:sz w:val="21"/>
          <w:szCs w:val="21"/>
          <w:highlight w:val="none"/>
          <w14:textFill>
            <w14:solidFill>
              <w14:schemeClr w14:val="tx1"/>
            </w14:solidFill>
          </w14:textFill>
        </w:rPr>
        <w:t>29.5采购合同由采购人与成交供应商根据</w:t>
      </w:r>
      <w:r>
        <w:rPr>
          <w:rFonts w:hint="eastAsia" w:ascii="宋体" w:hAnsi="宋体"/>
          <w:color w:val="000000" w:themeColor="text1"/>
          <w:sz w:val="21"/>
          <w:szCs w:val="21"/>
          <w:highlight w:val="none"/>
          <w14:textFill>
            <w14:solidFill>
              <w14:schemeClr w14:val="tx1"/>
            </w14:solidFill>
          </w14:textFill>
        </w:rPr>
        <w:t>谈判</w:t>
      </w:r>
      <w:r>
        <w:rPr>
          <w:rFonts w:hint="eastAsia" w:ascii="宋体" w:hAnsi="宋体" w:cs="仿宋_GB2312"/>
          <w:color w:val="000000" w:themeColor="text1"/>
          <w:sz w:val="21"/>
          <w:szCs w:val="21"/>
          <w:highlight w:val="none"/>
          <w14:textFill>
            <w14:solidFill>
              <w14:schemeClr w14:val="tx1"/>
            </w14:solidFill>
          </w14:textFill>
        </w:rPr>
        <w:t>文件、响应文件等内容通过政府采购电子交易平台在线签订，自动备案，在线签订须携带的材料见“</w:t>
      </w:r>
      <w:r>
        <w:rPr>
          <w:color w:val="000000" w:themeColor="text1"/>
          <w:highlight w:val="none"/>
          <w14:textFill>
            <w14:solidFill>
              <w14:schemeClr w14:val="tx1"/>
            </w14:solidFill>
          </w14:textFill>
        </w:rPr>
        <w:t xml:space="preserve"> </w:t>
      </w:r>
      <w:r>
        <w:rPr>
          <w:rFonts w:hint="eastAsia" w:ascii="宋体" w:hAnsi="宋体" w:cs="仿宋_GB2312"/>
          <w:color w:val="000000" w:themeColor="text1"/>
          <w:sz w:val="21"/>
          <w:szCs w:val="21"/>
          <w:highlight w:val="none"/>
          <w14:textFill>
            <w14:solidFill>
              <w14:schemeClr w14:val="tx1"/>
            </w14:solidFill>
          </w14:textFill>
        </w:rPr>
        <w:t>供应商须</w:t>
      </w:r>
      <w:r>
        <w:rPr>
          <w:rFonts w:hint="eastAsia" w:ascii="宋体" w:hAnsi="宋体"/>
          <w:color w:val="000000" w:themeColor="text1"/>
          <w:sz w:val="21"/>
          <w:szCs w:val="21"/>
          <w:highlight w:val="none"/>
          <w14:textFill>
            <w14:solidFill>
              <w14:schemeClr w14:val="tx1"/>
            </w14:solidFill>
          </w14:textFill>
        </w:rPr>
        <w:t>知前附表</w:t>
      </w:r>
      <w:r>
        <w:rPr>
          <w:rFonts w:hint="eastAsia" w:ascii="宋体" w:hAnsi="宋体" w:cs="仿宋_GB2312"/>
          <w:color w:val="000000" w:themeColor="text1"/>
          <w:sz w:val="21"/>
          <w:szCs w:val="21"/>
          <w:highlight w:val="none"/>
          <w14:textFill>
            <w14:solidFill>
              <w14:schemeClr w14:val="tx1"/>
            </w14:solidFill>
          </w14:textFill>
        </w:rPr>
        <w:t>”。</w:t>
      </w:r>
    </w:p>
    <w:p w14:paraId="2276E205">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30.政府采购合同公告</w:t>
      </w:r>
    </w:p>
    <w:p w14:paraId="0AB3E83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E2D9AC1">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31. 询问、质疑和投诉</w:t>
      </w:r>
    </w:p>
    <w:p w14:paraId="1E68B00C">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31.1供应商对政府采购活动事项有疑问的，可以向采购人、采购代理机构提出询问，采购人或者采购代理机构应当在3个工作日内对供应商依法提出的询问作出答复。</w:t>
      </w:r>
    </w:p>
    <w:p w14:paraId="6C48E696">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000000" w:themeColor="text1"/>
          <w:highlight w:val="none"/>
          <w:shd w:val="clear" w:color="auto" w:fill="FFFFFF"/>
          <w14:textFill>
            <w14:solidFill>
              <w14:schemeClr w14:val="tx1"/>
            </w14:solidFill>
          </w14:textFill>
        </w:rPr>
        <w:t>接收质疑函的方式、联系部门、联系电话和通讯地址等信息详见</w:t>
      </w:r>
      <w:r>
        <w:rPr>
          <w:rFonts w:hint="eastAsia" w:ascii="宋体" w:hAnsi="宋体" w:cs="宋体"/>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 xml:space="preserve">具体质疑起算时间及处理方式如下： </w:t>
      </w:r>
    </w:p>
    <w:p w14:paraId="51C1360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）潜在供应商依法获取采购文件后，认为采购文件使自己的权益受到损害的，应当在竞争性谈判采购文件公告期限届满之日起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对竞争性谈判文件中采购需求（含资格要求、采购预算和评分办法）的质疑由采购人受理并负责答复；对竞争性谈判文件中的采购执行程序的质疑由采购代理机构受理并负责答复。</w:t>
      </w:r>
    </w:p>
    <w:p w14:paraId="6E62BBD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DDDCD1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）供应商认为成交结果使自己的权益受到损害的，应当在成交结果公告期限届满之日起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6775A8F8">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57E4715">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31.4 供应商提出质疑应当提交质疑函和必要的证明材料，针对同一采购程序环节的质疑必须在法定质疑期内一次性提出。质疑函应当包括下列内容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int="eastAsia" w:ascii="宋体" w:hAnsi="宋体" w:cs="宋体"/>
          <w:color w:val="000000" w:themeColor="text1"/>
          <w:highlight w:val="none"/>
          <w14:textFill>
            <w14:solidFill>
              <w14:schemeClr w14:val="tx1"/>
            </w14:solidFill>
          </w14:textFill>
        </w:rPr>
        <w:t>：</w:t>
      </w:r>
    </w:p>
    <w:p w14:paraId="7E95F87B">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72D8A35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3104ED7A">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2B609542">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730DC50F">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0091E92B">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2F7D3842">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465CB32E">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31.5采购人、采购代理机构认为供应商质疑不成立，或者成立但未对成交结果构成影响的，继续开展采购活动；认为供应商质疑成立且影响或者可能影响成交结果的，按照下列情况处理：</w:t>
      </w:r>
    </w:p>
    <w:p w14:paraId="3741C7C3">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7CBBE482">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3AD23DB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3B683243">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0969685D">
      <w:pPr>
        <w:pStyle w:val="4"/>
        <w:spacing w:before="0" w:after="0" w:line="360" w:lineRule="auto"/>
        <w:ind w:firstLine="643" w:firstLineChars="200"/>
        <w:rPr>
          <w:rFonts w:hint="eastAsia" w:ascii="宋体" w:hAnsi="宋体"/>
          <w:b w:val="0"/>
          <w:color w:val="000000" w:themeColor="text1"/>
          <w:highlight w:val="none"/>
          <w14:textFill>
            <w14:solidFill>
              <w14:schemeClr w14:val="tx1"/>
            </w14:solidFill>
          </w14:textFill>
        </w:rPr>
      </w:pPr>
      <w:bookmarkStart w:id="51" w:name="_Toc10317"/>
      <w:r>
        <w:rPr>
          <w:rFonts w:hint="eastAsia" w:ascii="宋体" w:hAnsi="宋体"/>
          <w:color w:val="000000" w:themeColor="text1"/>
          <w:highlight w:val="none"/>
          <w14:textFill>
            <w14:solidFill>
              <w14:schemeClr w14:val="tx1"/>
            </w14:solidFill>
          </w14:textFill>
        </w:rPr>
        <w:t>六</w:t>
      </w:r>
      <w:r>
        <w:rPr>
          <w:rFonts w:hint="eastAsia" w:ascii="宋体" w:hAnsi="宋体"/>
          <w:b w:val="0"/>
          <w:color w:val="000000" w:themeColor="text1"/>
          <w:highlight w:val="none"/>
          <w14:textFill>
            <w14:solidFill>
              <w14:schemeClr w14:val="tx1"/>
            </w14:solidFill>
          </w14:textFill>
        </w:rPr>
        <w:t>、验收</w:t>
      </w:r>
      <w:bookmarkEnd w:id="51"/>
    </w:p>
    <w:p w14:paraId="44C86F3C">
      <w:pPr>
        <w:tabs>
          <w:tab w:val="left" w:pos="0"/>
        </w:tabs>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32.验收</w:t>
      </w:r>
    </w:p>
    <w:p w14:paraId="4F8B57DB">
      <w:pPr>
        <w:tabs>
          <w:tab w:val="left" w:pos="0"/>
        </w:tabs>
        <w:spacing w:line="360" w:lineRule="auto"/>
        <w:ind w:firstLine="420" w:firstLineChars="200"/>
        <w:rPr>
          <w:rFonts w:hint="eastAsia"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433ACAF">
      <w:pPr>
        <w:tabs>
          <w:tab w:val="left" w:pos="0"/>
        </w:tabs>
        <w:spacing w:line="360" w:lineRule="auto"/>
        <w:ind w:firstLine="420" w:firstLineChars="200"/>
        <w:rPr>
          <w:rFonts w:hint="eastAsia"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32.2采购人可以邀请参加本项目的其他供应商或者第三方机构参与验收。参与验收的供应商或者第三方机构的意见作为验收书的参考资料一并存档。</w:t>
      </w:r>
    </w:p>
    <w:p w14:paraId="786F0342">
      <w:pPr>
        <w:tabs>
          <w:tab w:val="left" w:pos="0"/>
        </w:tabs>
        <w:spacing w:line="360" w:lineRule="auto"/>
        <w:ind w:firstLine="420" w:firstLineChars="200"/>
        <w:rPr>
          <w:rFonts w:hint="eastAsia"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25412A2">
      <w:pPr>
        <w:tabs>
          <w:tab w:val="left" w:pos="0"/>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B7FD57D">
      <w:pPr>
        <w:pStyle w:val="4"/>
        <w:spacing w:before="0" w:after="0" w:line="360" w:lineRule="auto"/>
        <w:ind w:firstLine="640" w:firstLineChars="200"/>
        <w:rPr>
          <w:rFonts w:hint="eastAsia" w:ascii="宋体" w:hAnsi="宋体"/>
          <w:b w:val="0"/>
          <w:bCs w:val="0"/>
          <w:color w:val="000000" w:themeColor="text1"/>
          <w:highlight w:val="none"/>
          <w14:textFill>
            <w14:solidFill>
              <w14:schemeClr w14:val="tx1"/>
            </w14:solidFill>
          </w14:textFill>
        </w:rPr>
      </w:pPr>
      <w:bookmarkStart w:id="52" w:name="_Toc15281"/>
      <w:r>
        <w:rPr>
          <w:rFonts w:hint="eastAsia" w:ascii="宋体" w:hAnsi="宋体"/>
          <w:b w:val="0"/>
          <w:bCs w:val="0"/>
          <w:color w:val="000000" w:themeColor="text1"/>
          <w:highlight w:val="none"/>
          <w14:textFill>
            <w14:solidFill>
              <w14:schemeClr w14:val="tx1"/>
            </w14:solidFill>
          </w14:textFill>
        </w:rPr>
        <w:t>七、其他事项</w:t>
      </w:r>
      <w:bookmarkEnd w:id="52"/>
    </w:p>
    <w:p w14:paraId="25E48879">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33.代理服务费</w:t>
      </w:r>
    </w:p>
    <w:p w14:paraId="5A2DF0A4">
      <w:pPr>
        <w:tabs>
          <w:tab w:val="left" w:pos="283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代理服务收费标准及缴费账户详见“供应商须知前附表”，供应商为联合体的，可以由联合体中的一方或者多方共同</w:t>
      </w:r>
      <w:r>
        <w:rPr>
          <w:rFonts w:hint="eastAsia" w:ascii="宋体" w:hAnsi="宋体" w:cs="宋体"/>
          <w:color w:val="000000" w:themeColor="text1"/>
          <w:szCs w:val="21"/>
          <w:highlight w:val="none"/>
          <w:lang w:val="en-US" w:eastAsia="zh-CN"/>
          <w14:textFill>
            <w14:solidFill>
              <w14:schemeClr w14:val="tx1"/>
            </w14:solidFill>
          </w14:textFill>
        </w:rPr>
        <w:t>缴纳</w:t>
      </w:r>
      <w:r>
        <w:rPr>
          <w:rFonts w:hint="eastAsia" w:ascii="宋体" w:hAnsi="宋体" w:cs="宋体"/>
          <w:color w:val="000000" w:themeColor="text1"/>
          <w:szCs w:val="21"/>
          <w:highlight w:val="none"/>
          <w14:textFill>
            <w14:solidFill>
              <w14:schemeClr w14:val="tx1"/>
            </w14:solidFill>
          </w14:textFill>
        </w:rPr>
        <w:t>代理服务费。</w:t>
      </w:r>
    </w:p>
    <w:p w14:paraId="0ED8E7DE">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34.需要补充的其他内容</w:t>
      </w:r>
    </w:p>
    <w:p w14:paraId="7B8E2D6B">
      <w:pPr>
        <w:pStyle w:val="17"/>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34.1</w:t>
      </w:r>
      <w:r>
        <w:rPr>
          <w:rFonts w:hint="eastAsia" w:hAnsi="宋体" w:cs="宋体"/>
          <w:color w:val="000000" w:themeColor="text1"/>
          <w:sz w:val="21"/>
          <w:highlight w:val="none"/>
          <w14:textFill>
            <w14:solidFill>
              <w14:schemeClr w14:val="tx1"/>
            </w14:solidFill>
          </w14:textFill>
        </w:rPr>
        <w:t>本谈判文件解释规则详见</w:t>
      </w:r>
      <w:r>
        <w:rPr>
          <w:rFonts w:hint="eastAsia" w:hAnsi="宋体"/>
          <w:color w:val="000000" w:themeColor="text1"/>
          <w:sz w:val="21"/>
          <w:highlight w:val="none"/>
          <w14:textFill>
            <w14:solidFill>
              <w14:schemeClr w14:val="tx1"/>
            </w14:solidFill>
          </w14:textFill>
        </w:rPr>
        <w:t>“供应商须知前附表”。</w:t>
      </w:r>
    </w:p>
    <w:p w14:paraId="544F109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34.2 其他事</w:t>
      </w:r>
      <w:r>
        <w:rPr>
          <w:rFonts w:hint="eastAsia" w:hAnsi="宋体"/>
          <w:color w:val="000000" w:themeColor="text1"/>
          <w:highlight w:val="none"/>
          <w14:textFill>
            <w14:solidFill>
              <w14:schemeClr w14:val="tx1"/>
            </w14:solidFill>
          </w14:textFill>
        </w:rPr>
        <w:t>项详见“供应商须知前附表”。</w:t>
      </w:r>
    </w:p>
    <w:p w14:paraId="2AE9A6AD">
      <w:pPr>
        <w:pStyle w:val="17"/>
        <w:spacing w:line="360" w:lineRule="auto"/>
        <w:ind w:firstLine="400" w:firstLineChars="200"/>
        <w:rPr>
          <w:rFonts w:hAnsi="宋体"/>
          <w:color w:val="000000" w:themeColor="text1"/>
          <w:sz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34.3</w:t>
      </w:r>
      <w:bookmarkStart w:id="53" w:name="_Hlk65857140"/>
      <w:r>
        <w:rPr>
          <w:rFonts w:hint="eastAsia" w:hAnsi="宋体"/>
          <w:color w:val="000000" w:themeColor="text1"/>
          <w:sz w:val="2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087C9368">
      <w:pPr>
        <w:pStyle w:val="17"/>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在货物采购项目中，货物由中小企业制造，即货物由中小企业生产且使用该中小企业商号或者注册商标，不对其中涉及的工程承建商和货物的承接商作出要求；</w:t>
      </w:r>
    </w:p>
    <w:p w14:paraId="5A084C8A">
      <w:pPr>
        <w:pStyle w:val="17"/>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FDDB547">
      <w:pPr>
        <w:pStyle w:val="17"/>
        <w:spacing w:line="360" w:lineRule="auto"/>
        <w:ind w:firstLine="420" w:firstLineChars="200"/>
        <w:textAlignment w:val="center"/>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依据本文件规定享受扶持政策获得政府采购合同的，小微企业不得将合同分包给大中型企业，中型企业不得将合同分包给大型企业。</w:t>
      </w:r>
      <w:bookmarkEnd w:id="53"/>
    </w:p>
    <w:p w14:paraId="3AA271A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 政采贷相关说明</w:t>
      </w:r>
    </w:p>
    <w:p w14:paraId="73D5EFEA">
      <w:pPr>
        <w:pStyle w:val="17"/>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为优化政府采购营商环境，缓解供应商资金难题，南宁市政府采购试行政府采购信用融资制度，</w:t>
      </w:r>
      <w:r>
        <w:rPr>
          <w:rFonts w:hint="eastAsia" w:hAnsi="宋体"/>
          <w:color w:val="000000" w:themeColor="text1"/>
          <w:sz w:val="21"/>
          <w:highlight w:val="none"/>
          <w:lang w:eastAsia="zh-CN"/>
          <w14:textFill>
            <w14:solidFill>
              <w14:schemeClr w14:val="tx1"/>
            </w14:solidFill>
          </w14:textFill>
        </w:rPr>
        <w:t>成交</w:t>
      </w:r>
      <w:r>
        <w:rPr>
          <w:rFonts w:hint="eastAsia" w:hAnsi="宋体"/>
          <w:color w:val="000000" w:themeColor="text1"/>
          <w:sz w:val="21"/>
          <w:highlight w:val="none"/>
          <w14:textFill>
            <w14:solidFill>
              <w14:schemeClr w14:val="tx1"/>
            </w14:solidFill>
          </w14:textFill>
        </w:rPr>
        <w:t>供应商如有融资需求，可凭政府采购合同通过以下方式申请政府采购信用融资贷款：</w:t>
      </w:r>
    </w:p>
    <w:p w14:paraId="3A375434">
      <w:pPr>
        <w:pStyle w:val="17"/>
        <w:numPr>
          <w:ilvl w:val="0"/>
          <w:numId w:val="0"/>
        </w:numPr>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ascii="宋体" w:hAnsi="宋体"/>
          <w:color w:val="000000" w:themeColor="text1"/>
          <w:kern w:val="0"/>
          <w:sz w:val="21"/>
          <w:szCs w:val="21"/>
          <w:highlight w:val="none"/>
          <w:lang w:val="en-US" w:eastAsia="zh-CN" w:bidi="ar-SA"/>
          <w14:textFill>
            <w14:solidFill>
              <w14:schemeClr w14:val="tx1"/>
            </w14:solidFill>
          </w14:textFill>
        </w:rPr>
        <w:t>（1）</w:t>
      </w:r>
      <w:r>
        <w:rPr>
          <w:rFonts w:hint="eastAsia" w:hAnsi="宋体"/>
          <w:color w:val="000000" w:themeColor="text1"/>
          <w:sz w:val="21"/>
          <w:highlight w:val="none"/>
          <w14:textFill>
            <w14:solidFill>
              <w14:schemeClr w14:val="tx1"/>
            </w14:solidFill>
          </w14:textFill>
        </w:rPr>
        <w:t>线下渠道：在“南宁市公共资源交易中心”官网（网址：</w:t>
      </w:r>
      <w:r>
        <w:rPr>
          <w:rFonts w:hint="eastAsia" w:hAnsi="宋体"/>
          <w:color w:val="000000" w:themeColor="text1"/>
          <w:sz w:val="21"/>
          <w:highlight w:val="none"/>
          <w14:textFill>
            <w14:solidFill>
              <w14:schemeClr w14:val="tx1"/>
            </w14:solidFill>
          </w14:textFill>
        </w:rPr>
        <w:fldChar w:fldCharType="begin"/>
      </w:r>
      <w:r>
        <w:rPr>
          <w:rFonts w:hint="eastAsia" w:hAnsi="宋体"/>
          <w:color w:val="000000" w:themeColor="text1"/>
          <w:sz w:val="21"/>
          <w:highlight w:val="none"/>
          <w14:textFill>
            <w14:solidFill>
              <w14:schemeClr w14:val="tx1"/>
            </w14:solidFill>
          </w14:textFill>
        </w:rPr>
        <w:instrText xml:space="preserve"> HYPERLINK "http://www.nnggzy.org.cn）\“交易信息-政府采购-政府采购信用融资\”中融资银行和南宁市企业融资货物中心专栏信息申请政府采购信用融资。" </w:instrText>
      </w:r>
      <w:r>
        <w:rPr>
          <w:rFonts w:hint="eastAsia" w:hAnsi="宋体"/>
          <w:color w:val="000000" w:themeColor="text1"/>
          <w:sz w:val="21"/>
          <w:highlight w:val="none"/>
          <w14:textFill>
            <w14:solidFill>
              <w14:schemeClr w14:val="tx1"/>
            </w14:solidFill>
          </w14:textFill>
        </w:rPr>
        <w:fldChar w:fldCharType="separate"/>
      </w:r>
      <w:r>
        <w:rPr>
          <w:rStyle w:val="35"/>
          <w:rFonts w:hint="eastAsia" w:hAnsi="宋体"/>
          <w:color w:val="000000" w:themeColor="text1"/>
          <w:sz w:val="21"/>
          <w:highlight w:val="none"/>
          <w14:textFill>
            <w14:solidFill>
              <w14:schemeClr w14:val="tx1"/>
            </w14:solidFill>
          </w14:textFill>
        </w:rPr>
        <w:t>http://www.nnggzy.org.cn）“交易信息-政府采购-政府采购信用融资”中融资银行和南宁市企业融资货物中心专栏信息申请政府采购信用融资。</w:t>
      </w:r>
      <w:r>
        <w:rPr>
          <w:rFonts w:hint="eastAsia" w:hAnsi="宋体"/>
          <w:color w:val="000000" w:themeColor="text1"/>
          <w:sz w:val="21"/>
          <w:highlight w:val="none"/>
          <w14:textFill>
            <w14:solidFill>
              <w14:schemeClr w14:val="tx1"/>
            </w14:solidFill>
          </w14:textFill>
        </w:rPr>
        <w:fldChar w:fldCharType="end"/>
      </w:r>
    </w:p>
    <w:p w14:paraId="604CAC75">
      <w:pPr>
        <w:pStyle w:val="17"/>
        <w:numPr>
          <w:ilvl w:val="0"/>
          <w:numId w:val="0"/>
        </w:numPr>
        <w:spacing w:line="360" w:lineRule="auto"/>
        <w:ind w:firstLine="400" w:firstLineChars="200"/>
        <w:rPr>
          <w:rFonts w:hint="eastAsia"/>
          <w:color w:val="000000" w:themeColor="text1"/>
          <w:highlight w:val="none"/>
          <w14:textFill>
            <w14:solidFill>
              <w14:schemeClr w14:val="tx1"/>
            </w14:solidFill>
          </w14:textFill>
        </w:rPr>
      </w:pPr>
      <w:r>
        <w:rPr>
          <w:rFonts w:hint="eastAsia" w:ascii="宋体" w:hAnsi="Courier New"/>
          <w:color w:val="000000" w:themeColor="text1"/>
          <w:kern w:val="0"/>
          <w:sz w:val="20"/>
          <w:szCs w:val="21"/>
          <w:highlight w:val="none"/>
          <w:lang w:val="en-US" w:eastAsia="zh-CN" w:bidi="ar-SA"/>
          <w14:textFill>
            <w14:solidFill>
              <w14:schemeClr w14:val="tx1"/>
            </w14:solidFill>
          </w14:textFill>
        </w:rPr>
        <w:t>（2）</w:t>
      </w:r>
      <w:r>
        <w:rPr>
          <w:rFonts w:hint="eastAsia" w:hAnsi="宋体"/>
          <w:b/>
          <w:color w:val="000000" w:themeColor="text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000000" w:themeColor="text1"/>
          <w:highlight w:val="none"/>
          <w14:textFill>
            <w14:solidFill>
              <w14:schemeClr w14:val="tx1"/>
            </w14:solidFill>
          </w14:textFill>
        </w:rPr>
        <w:br w:type="page"/>
      </w:r>
    </w:p>
    <w:p w14:paraId="022D35F7">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color w:val="000000" w:themeColor="text1"/>
          <w:highlight w:val="none"/>
          <w14:textFill>
            <w14:solidFill>
              <w14:schemeClr w14:val="tx1"/>
            </w14:solidFill>
          </w14:textFill>
        </w:rPr>
      </w:pPr>
      <w:bookmarkStart w:id="54" w:name="_Toc25073"/>
      <w:r>
        <w:rPr>
          <w:rFonts w:hint="eastAsia"/>
          <w:color w:val="000000" w:themeColor="text1"/>
          <w:highlight w:val="none"/>
          <w14:textFill>
            <w14:solidFill>
              <w14:schemeClr w14:val="tx1"/>
            </w14:solidFill>
          </w14:textFill>
        </w:rPr>
        <w:t>第四章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评审程序、评审方法和成交标准</w:t>
      </w:r>
      <w:bookmarkEnd w:id="54"/>
    </w:p>
    <w:p w14:paraId="55687C61">
      <w:pPr>
        <w:pStyle w:val="3"/>
        <w:keepNext/>
        <w:keepLines/>
        <w:pageBreakBefore w:val="0"/>
        <w:widowControl w:val="0"/>
        <w:kinsoku/>
        <w:wordWrap/>
        <w:overflowPunct/>
        <w:topLinePunct w:val="0"/>
        <w:autoSpaceDE/>
        <w:autoSpaceDN/>
        <w:bidi w:val="0"/>
        <w:adjustRightInd/>
        <w:snapToGrid/>
        <w:spacing w:before="0" w:beforeLines="100" w:after="0" w:line="360" w:lineRule="auto"/>
        <w:ind w:firstLine="640" w:firstLineChars="200"/>
        <w:jc w:val="center"/>
        <w:textAlignment w:val="auto"/>
        <w:rPr>
          <w:rFonts w:ascii="宋体" w:hAnsi="宋体"/>
          <w:b w:val="0"/>
          <w:color w:val="000000" w:themeColor="text1"/>
          <w:highlight w:val="none"/>
          <w14:textFill>
            <w14:solidFill>
              <w14:schemeClr w14:val="tx1"/>
            </w14:solidFill>
          </w14:textFill>
        </w:rPr>
      </w:pPr>
      <w:bookmarkStart w:id="55" w:name="_Toc26905"/>
      <w:r>
        <w:rPr>
          <w:rFonts w:hint="eastAsia" w:ascii="宋体" w:hAnsi="宋体"/>
          <w:b w:val="0"/>
          <w:color w:val="000000" w:themeColor="text1"/>
          <w:highlight w:val="none"/>
          <w14:textFill>
            <w14:solidFill>
              <w14:schemeClr w14:val="tx1"/>
            </w14:solidFill>
          </w14:textFill>
        </w:rPr>
        <w:t>第一节 评审程序和评审方法</w:t>
      </w:r>
      <w:bookmarkEnd w:id="55"/>
    </w:p>
    <w:p w14:paraId="4B2E97A1">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1.确认谈判文件</w:t>
      </w:r>
    </w:p>
    <w:p w14:paraId="21EA641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由谈判小组确认谈判文件。</w:t>
      </w:r>
    </w:p>
    <w:p w14:paraId="01B144B2">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2.资格审查</w:t>
      </w:r>
    </w:p>
    <w:p w14:paraId="374633A8">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olor w:val="000000" w:themeColor="text1"/>
          <w:szCs w:val="21"/>
          <w:highlight w:val="none"/>
          <w14:textFill>
            <w14:solidFill>
              <w14:schemeClr w14:val="tx1"/>
            </w14:solidFill>
          </w14:textFill>
        </w:rPr>
        <w:t>响应文件开启后，谈判小组依法对供应商的资格证明文件进行审查。</w:t>
      </w:r>
    </w:p>
    <w:p w14:paraId="0EFD5B8E">
      <w:pPr>
        <w:snapToGrid w:val="0"/>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注：采购人代表或者采购代理机构在资格审查结束前，对供应商进行信用查询。</w:t>
      </w:r>
    </w:p>
    <w:p w14:paraId="2D9BB999">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（1）查询渠道：广西政府采购云平台“信用中国”网站(</w:t>
      </w:r>
      <w:r>
        <w:rPr>
          <w:rFonts w:ascii="宋体" w:hAnsi="宋体" w:cs="宋体"/>
          <w:color w:val="000000" w:themeColor="text1"/>
          <w:szCs w:val="21"/>
          <w:highlight w:val="none"/>
          <w14:textFill>
            <w14:solidFill>
              <w14:schemeClr w14:val="tx1"/>
            </w14:solidFill>
          </w14:textFill>
        </w:rPr>
        <w:fldChar w:fldCharType="begin"/>
      </w:r>
      <w:r>
        <w:rPr>
          <w:rFonts w:ascii="宋体" w:hAnsi="宋体" w:cs="宋体"/>
          <w:color w:val="000000" w:themeColor="text1"/>
          <w:szCs w:val="21"/>
          <w:highlight w:val="none"/>
          <w14:textFill>
            <w14:solidFill>
              <w14:schemeClr w14:val="tx1"/>
            </w14:solidFill>
          </w14:textFill>
        </w:rPr>
        <w:instrText xml:space="preserve"> HYPERLINK "http://www.creditchina.gov.cn" </w:instrText>
      </w:r>
      <w:r>
        <w:rPr>
          <w:rFonts w:ascii="宋体" w:hAnsi="宋体" w:cs="宋体"/>
          <w:color w:val="000000" w:themeColor="text1"/>
          <w:szCs w:val="21"/>
          <w:highlight w:val="none"/>
          <w14:textFill>
            <w14:solidFill>
              <w14:schemeClr w14:val="tx1"/>
            </w14:solidFill>
          </w14:textFill>
        </w:rPr>
        <w:fldChar w:fldCharType="separate"/>
      </w:r>
      <w:r>
        <w:rPr>
          <w:rStyle w:val="35"/>
          <w:rFonts w:hint="eastAsia" w:ascii="宋体" w:hAnsi="宋体" w:cs="宋体"/>
          <w:color w:val="000000" w:themeColor="text1"/>
          <w:highlight w:val="none"/>
          <w14:textFill>
            <w14:solidFill>
              <w14:schemeClr w14:val="tx1"/>
            </w14:solidFill>
          </w14:textFill>
        </w:rPr>
        <w:t>www.creditchina.gov.cn</w:t>
      </w:r>
      <w:r>
        <w:rPr>
          <w:rFonts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)、中国政府采购网(</w:t>
      </w:r>
      <w:r>
        <w:rPr>
          <w:rFonts w:ascii="宋体" w:hAnsi="宋体" w:cs="宋体"/>
          <w:color w:val="000000" w:themeColor="text1"/>
          <w:szCs w:val="21"/>
          <w:highlight w:val="none"/>
          <w14:textFill>
            <w14:solidFill>
              <w14:schemeClr w14:val="tx1"/>
            </w14:solidFill>
          </w14:textFill>
        </w:rPr>
        <w:fldChar w:fldCharType="begin"/>
      </w:r>
      <w:r>
        <w:rPr>
          <w:rFonts w:ascii="宋体" w:hAnsi="宋体" w:cs="宋体"/>
          <w:color w:val="000000" w:themeColor="text1"/>
          <w:szCs w:val="21"/>
          <w:highlight w:val="none"/>
          <w14:textFill>
            <w14:solidFill>
              <w14:schemeClr w14:val="tx1"/>
            </w14:solidFill>
          </w14:textFill>
        </w:rPr>
        <w:instrText xml:space="preserve"> HYPERLINK "http://www.ccgp.gov.cn" </w:instrText>
      </w:r>
      <w:r>
        <w:rPr>
          <w:rFonts w:ascii="宋体" w:hAnsi="宋体" w:cs="宋体"/>
          <w:color w:val="000000" w:themeColor="text1"/>
          <w:szCs w:val="21"/>
          <w:highlight w:val="none"/>
          <w14:textFill>
            <w14:solidFill>
              <w14:schemeClr w14:val="tx1"/>
            </w14:solidFill>
          </w14:textFill>
        </w:rPr>
        <w:fldChar w:fldCharType="separate"/>
      </w:r>
      <w:r>
        <w:rPr>
          <w:rStyle w:val="35"/>
          <w:rFonts w:hint="eastAsia" w:ascii="宋体" w:hAnsi="宋体" w:cs="宋体"/>
          <w:color w:val="000000" w:themeColor="text1"/>
          <w:highlight w:val="none"/>
          <w14:textFill>
            <w14:solidFill>
              <w14:schemeClr w14:val="tx1"/>
            </w14:solidFill>
          </w14:textFill>
        </w:rPr>
        <w:t>www.ccgp.gov.cn</w:t>
      </w:r>
      <w:r>
        <w:rPr>
          <w:rFonts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)链接入口。</w:t>
      </w:r>
    </w:p>
    <w:p w14:paraId="6B42A0C6">
      <w:pPr>
        <w:snapToGrid w:val="0"/>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（2）信用查询截止时点：资格审查结束前。</w:t>
      </w:r>
    </w:p>
    <w:p w14:paraId="5FB96A12">
      <w:pPr>
        <w:snapToGrid w:val="0"/>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查询记录和证据留存方式：在查询网站中直接打印查询记录，截图另存为电子文档作为评审资料保存。</w:t>
      </w:r>
    </w:p>
    <w:p w14:paraId="159B3E6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EDDE7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2.2资格审查标准为本谈判文件中载明对供应商资格要求的条件。资格审查采用合格制，凡符合谈判文件规定的供应商资格要求的响应文件均通过资格审查。</w:t>
      </w:r>
    </w:p>
    <w:p w14:paraId="53A203C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2.3供应商有下列情形之一的，资格审查不通过，其响应文件按无效响应处理：</w:t>
      </w:r>
    </w:p>
    <w:p w14:paraId="2C4B93D2">
      <w:pPr>
        <w:snapToGrid w:val="0"/>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（1）不具备谈判文件中规定的资格要求的；</w:t>
      </w:r>
    </w:p>
    <w:p w14:paraId="3613CE1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（2）响应文件未提供任一项“供应商须知前附表”资格证明文件规定的“必须提供”的文件资料的；</w:t>
      </w:r>
    </w:p>
    <w:p w14:paraId="0E1AFA6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（3）响应文件提供的资格证明文件出现任一项不符合“供应商须知前附表”资格证明文件规定的“必须提供”的文件资料要求或者无效的。</w:t>
      </w:r>
    </w:p>
    <w:p w14:paraId="510FF91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bookmarkStart w:id="56" w:name="_Hlk68601553"/>
      <w:r>
        <w:rPr>
          <w:rFonts w:hint="eastAsia" w:ascii="宋体" w:hAnsi="宋体" w:cs="宋体"/>
          <w:color w:val="000000" w:themeColor="text1"/>
          <w:szCs w:val="21"/>
          <w:highlight w:val="none"/>
          <w14:textFill>
            <w14:solidFill>
              <w14:schemeClr w14:val="tx1"/>
            </w14:solidFill>
          </w14:textFill>
        </w:rPr>
        <w:t>（4）同一合同项下的不同供应商，单位负责人为同一人或者存在直接控股、管理关系的；为本项目提供过整体设计、规范编制或者项目管理、监理、检测等货物的。</w:t>
      </w:r>
      <w:bookmarkEnd w:id="56"/>
    </w:p>
    <w:p w14:paraId="08D6E3F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2.4通过资格审查的合格供应商不足3家的，不得进入符合性审查环节，</w:t>
      </w:r>
      <w:r>
        <w:rPr>
          <w:rFonts w:hint="eastAsia" w:ascii="宋体" w:hAnsi="宋体"/>
          <w:color w:val="000000" w:themeColor="text1"/>
          <w:szCs w:val="21"/>
          <w:highlight w:val="none"/>
          <w14:textFill>
            <w14:solidFill>
              <w14:schemeClr w14:val="tx1"/>
            </w14:solidFill>
          </w14:textFill>
        </w:rPr>
        <w:t>采购人或者采购代理机构应当重新开展采购活动。</w:t>
      </w:r>
    </w:p>
    <w:p w14:paraId="03EF12DA">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3.符合性审查</w:t>
      </w:r>
    </w:p>
    <w:p w14:paraId="5CA729B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bookmarkStart w:id="57" w:name="_Hlk42528882"/>
      <w:r>
        <w:rPr>
          <w:rFonts w:hint="eastAsia" w:ascii="宋体" w:hAnsi="宋体" w:cs="宋体"/>
          <w:color w:val="000000" w:themeColor="text1"/>
          <w:szCs w:val="21"/>
          <w:highlight w:val="none"/>
          <w14:textFill>
            <w14:solidFill>
              <w14:schemeClr w14:val="tx1"/>
            </w14:solidFill>
          </w14:textFill>
        </w:rPr>
        <w:t>3.1由谈判小组对</w:t>
      </w:r>
      <w:r>
        <w:rPr>
          <w:rFonts w:hint="eastAsia" w:ascii="宋体" w:hAnsi="宋体"/>
          <w:color w:val="000000" w:themeColor="text1"/>
          <w:szCs w:val="21"/>
          <w:highlight w:val="none"/>
          <w14:textFill>
            <w14:solidFill>
              <w14:schemeClr w14:val="tx1"/>
            </w14:solidFill>
          </w14:textFill>
        </w:rPr>
        <w:t>通过资格审查的合格供应商</w:t>
      </w:r>
      <w:r>
        <w:rPr>
          <w:rFonts w:hint="eastAsia" w:ascii="宋体" w:hAnsi="宋体" w:cs="宋体"/>
          <w:color w:val="000000" w:themeColor="text1"/>
          <w:szCs w:val="21"/>
          <w:highlight w:val="none"/>
          <w14:textFill>
            <w14:solidFill>
              <w14:schemeClr w14:val="tx1"/>
            </w14:solidFill>
          </w14:textFill>
        </w:rPr>
        <w:t>的响应文件的响应报价、商务、技术等实质性要求进行符合性审查，以确定其是否满足谈判文件的实质性要求。</w:t>
      </w:r>
    </w:p>
    <w:bookmarkEnd w:id="57"/>
    <w:p w14:paraId="20BA397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8BC928">
      <w:pPr>
        <w:spacing w:line="360" w:lineRule="auto"/>
        <w:ind w:firstLine="420" w:firstLineChars="200"/>
        <w:rPr>
          <w:rFonts w:hint="eastAsia"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cs="宋体"/>
          <w:color w:val="000000" w:themeColor="text1"/>
          <w:spacing w:val="-6"/>
          <w:szCs w:val="21"/>
          <w:highlight w:val="none"/>
          <w14:textFill>
            <w14:solidFill>
              <w14:schemeClr w14:val="tx1"/>
            </w14:solidFill>
          </w14:textFill>
        </w:rPr>
        <w:t>。供应商为自然人的，必须由本人签字并附身份证明。</w:t>
      </w:r>
    </w:p>
    <w:p w14:paraId="6AE55C7F">
      <w:pPr>
        <w:spacing w:line="360" w:lineRule="auto"/>
        <w:ind w:firstLine="396"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0D28BCC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（1）响应文件中报价表内容与响应文件中相应内容不一致的，以报价表为准；</w:t>
      </w:r>
    </w:p>
    <w:p w14:paraId="5FA712B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4A8343F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（3）单价金额小数点或者百分比有明显错位的，以报价表的总价为准，并修改单价；</w:t>
      </w:r>
    </w:p>
    <w:p w14:paraId="063C34F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06A6574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1096616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3.5商务技术、报价评审</w:t>
      </w:r>
    </w:p>
    <w:p w14:paraId="7D5106F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在评审时，如发现下列情形之一的，将被视为响应文件无效处理：</w:t>
      </w:r>
    </w:p>
    <w:p w14:paraId="1005C6E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6870F5C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1）响应文件未按谈判文件要求签署、盖章；</w:t>
      </w:r>
    </w:p>
    <w:p w14:paraId="3000797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 </w:t>
      </w:r>
    </w:p>
    <w:p w14:paraId="589F37B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2E2D44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4）商务条款中标“▲”的条款发生负偏离的或者允许负偏离的条款数超过“供应商须知前附表”规定项数的或者标明实质性的要求发生负偏离；</w:t>
      </w:r>
    </w:p>
    <w:p w14:paraId="48649B1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5）未对竞标有效期作出响应或者响应文件承诺的竞标有效期不满足谈判文件要求；</w:t>
      </w:r>
    </w:p>
    <w:p w14:paraId="1924E6B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6）响应文件的实质性内容未使用中文表述、使用计量单位不符合谈判文件要求；</w:t>
      </w:r>
    </w:p>
    <w:p w14:paraId="1C1107F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7）响应文件中的文件资料因填写不齐全或者内容虚假或者出现其他情形而导致被谈判小组认定无效；</w:t>
      </w:r>
    </w:p>
    <w:p w14:paraId="3B9BFA5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8）响应文件含有采购人不能接受的附加条件；</w:t>
      </w:r>
    </w:p>
    <w:p w14:paraId="35A07BE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9）属于“供应商须知正文”第7.5条情形；</w:t>
      </w:r>
    </w:p>
    <w:p w14:paraId="7593A41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10）技术需求允许负偏离的条款数超过“供应商须知前附表”规定项数；</w:t>
      </w:r>
    </w:p>
    <w:p w14:paraId="60E1F13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11）虚假竞标，或者出现其他情形而导致被谈判小组认定无效；</w:t>
      </w:r>
    </w:p>
    <w:p w14:paraId="1ACBBFF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12）竞标技术方案不明确，谈判文件未允许</w:t>
      </w:r>
      <w:r>
        <w:rPr>
          <w:rFonts w:hint="eastAsia" w:ascii="宋体" w:hAnsi="宋体"/>
          <w:color w:val="000000" w:themeColor="text1"/>
          <w:szCs w:val="21"/>
          <w:highlight w:val="none"/>
          <w14:textFill>
            <w14:solidFill>
              <w14:schemeClr w14:val="tx1"/>
            </w14:solidFill>
          </w14:textFill>
        </w:rPr>
        <w:t>但响应文件中</w:t>
      </w:r>
      <w:r>
        <w:rPr>
          <w:rFonts w:hint="eastAsia" w:ascii="宋体" w:hAnsi="宋体" w:cs="宋体"/>
          <w:color w:val="000000" w:themeColor="text1"/>
          <w:szCs w:val="21"/>
          <w:highlight w:val="none"/>
          <w14:textFill>
            <w14:solidFill>
              <w14:schemeClr w14:val="tx1"/>
            </w14:solidFill>
          </w14:textFill>
        </w:rPr>
        <w:t>存在一个或者一个以上备选（替代）竞标方案；</w:t>
      </w:r>
    </w:p>
    <w:p w14:paraId="61FE1D9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13）响应文件标注的项目名称或者项目编号与竞争性谈判文件标注的项目名称或者项目编号不一致的；</w:t>
      </w:r>
    </w:p>
    <w:p w14:paraId="4DD8D04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14）未响应谈判文件实质性要求；</w:t>
      </w:r>
    </w:p>
    <w:p w14:paraId="345DAC0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15）法律、法规和谈判文件规定的其他无效情形。</w:t>
      </w:r>
    </w:p>
    <w:p w14:paraId="0963ACE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（2）报价评审</w:t>
      </w:r>
    </w:p>
    <w:p w14:paraId="66A5BEB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1)响应文件未提供“供应商须知前附表”报价文件中规定的“响应报价表”；</w:t>
      </w:r>
    </w:p>
    <w:p w14:paraId="6790801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2）未采用人民币报价或者未按照谈判文件标明的币种报价；</w:t>
      </w:r>
    </w:p>
    <w:p w14:paraId="2B0CB04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分标进行报价或者存在漏项报价；供应商未就所竞标分标的单项内容作唯一报价；供应商未就所竞标分标的全部内容作唯一总价报价；供应商响应文件中存在有选择、有条件报价的（谈判文件允许有备选方案或者其他约定的除外）；</w:t>
      </w:r>
    </w:p>
    <w:p w14:paraId="5CD3A91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4）响应报价（包含首次报价、最后报价）超过所竞标分标规定的采购预算金额或者最高限价的（如本项目公布了最高限价）；</w:t>
      </w:r>
      <w:bookmarkStart w:id="58" w:name="_Hlk42596405"/>
      <w:r>
        <w:rPr>
          <w:rFonts w:hint="eastAsia" w:ascii="宋体" w:hAnsi="宋体" w:cs="宋体"/>
          <w:color w:val="000000" w:themeColor="text1"/>
          <w:szCs w:val="21"/>
          <w:highlight w:val="none"/>
          <w14:textFill>
            <w14:solidFill>
              <w14:schemeClr w14:val="tx1"/>
            </w14:solidFill>
          </w14:textFill>
        </w:rPr>
        <w:t>响应报价（包含首次报价、最后报价）</w:t>
      </w:r>
      <w:bookmarkEnd w:id="58"/>
      <w:bookmarkStart w:id="59" w:name="_Hlk42596276"/>
      <w:r>
        <w:rPr>
          <w:rFonts w:hint="eastAsia" w:ascii="宋体" w:hAnsi="宋体" w:cs="宋体"/>
          <w:color w:val="000000" w:themeColor="text1"/>
          <w:szCs w:val="21"/>
          <w:highlight w:val="none"/>
          <w14:textFill>
            <w14:solidFill>
              <w14:schemeClr w14:val="tx1"/>
            </w14:solidFill>
          </w14:textFill>
        </w:rPr>
        <w:t>超过谈判文件分项采购预算金额或者最高限价的</w:t>
      </w:r>
      <w:bookmarkEnd w:id="59"/>
      <w:r>
        <w:rPr>
          <w:rFonts w:hint="eastAsia" w:ascii="宋体" w:hAnsi="宋体" w:cs="宋体"/>
          <w:color w:val="000000" w:themeColor="text1"/>
          <w:szCs w:val="21"/>
          <w:highlight w:val="none"/>
          <w14:textFill>
            <w14:solidFill>
              <w14:schemeClr w14:val="tx1"/>
            </w14:solidFill>
          </w14:textFill>
        </w:rPr>
        <w:t>（如本项目公布了最高限价）；</w:t>
      </w:r>
    </w:p>
    <w:p w14:paraId="00EE7B8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谈判文件分项采购预算金额或者最高限价的（如本项目公布了最高限价）。</w:t>
      </w:r>
    </w:p>
    <w:p w14:paraId="0BAB9F5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响应文件响应的标的数量及单位与竞争性谈判采购文件要求实质性不一致的。</w:t>
      </w:r>
    </w:p>
    <w:p w14:paraId="4998514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4B163F2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3.7通过符合性审查的合格供应商不足3家的，不得进入谈判环节，应当重新开展采购活动。</w:t>
      </w:r>
    </w:p>
    <w:p w14:paraId="7A8979A8">
      <w:pPr>
        <w:spacing w:line="360" w:lineRule="auto"/>
        <w:ind w:firstLine="482" w:firstLineChars="200"/>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4.谈判程序</w:t>
      </w:r>
    </w:p>
    <w:p w14:paraId="55EE2039">
      <w:pPr>
        <w:spacing w:line="360" w:lineRule="auto"/>
        <w:ind w:firstLine="420" w:firstLineChars="200"/>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4.1谈判小组按照“供应商须知前附表”</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确定的</w:t>
      </w:r>
      <w:r>
        <w:rPr>
          <w:rFonts w:hint="eastAsia" w:ascii="宋体" w:hAnsi="宋体" w:cs="宋体"/>
          <w:color w:val="000000" w:themeColor="text1"/>
          <w:szCs w:val="21"/>
          <w:highlight w:val="none"/>
          <w14:textFill>
            <w14:solidFill>
              <w14:schemeClr w14:val="tx1"/>
            </w14:solidFill>
          </w14:textFill>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cs="宋体"/>
          <w:b/>
          <w:color w:val="000000" w:themeColor="text1"/>
          <w:szCs w:val="21"/>
          <w:highlight w:val="none"/>
          <w14:textFill>
            <w14:solidFill>
              <w14:schemeClr w14:val="tx1"/>
            </w14:solidFill>
          </w14:textFill>
        </w:rPr>
        <w:t>其响应文件按无效响应处理。</w:t>
      </w:r>
    </w:p>
    <w:p w14:paraId="5F9AC74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03F79E4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4.3对谈判文件作出的实质性变动是谈判文件的有效组成部分，由谈判小组及时以电子澄清函形式同时通知所有参加谈判的供应商。</w:t>
      </w:r>
    </w:p>
    <w:p w14:paraId="1DA989C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1A94221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4.5谈判中，</w:t>
      </w:r>
      <w:r>
        <w:rPr>
          <w:rFonts w:hint="eastAsia" w:ascii="宋体" w:hAnsi="宋体" w:cs="宋体"/>
          <w:color w:val="000000" w:themeColor="text1"/>
          <w:spacing w:val="-6"/>
          <w:szCs w:val="21"/>
          <w:highlight w:val="none"/>
          <w14:textFill>
            <w14:solidFill>
              <w14:schemeClr w14:val="tx1"/>
            </w14:solidFill>
          </w14:textFill>
        </w:rPr>
        <w:t>谈判的任何一方不得透露与谈判有关的其他供应商的技术资料、价格和其他信息。</w:t>
      </w:r>
    </w:p>
    <w:p w14:paraId="1B2EEAB8">
      <w:pPr>
        <w:pStyle w:val="79"/>
        <w:spacing w:before="0"/>
        <w:ind w:firstLine="396"/>
        <w:rPr>
          <w:rFonts w:hint="eastAsia" w:ascii="宋体" w:hAnsi="宋体" w:eastAsia="宋体" w:cs="宋体"/>
          <w:color w:val="000000" w:themeColor="text1"/>
          <w:spacing w:val="-6"/>
          <w:kern w:val="2"/>
          <w:sz w:val="21"/>
          <w:szCs w:val="21"/>
          <w:highlight w:val="none"/>
          <w14:textFill>
            <w14:solidFill>
              <w14:schemeClr w14:val="tx1"/>
            </w14:solidFill>
          </w14:textFill>
        </w:rPr>
      </w:pPr>
      <w:r>
        <w:rPr>
          <w:rFonts w:hint="eastAsia" w:ascii="宋体" w:hAnsi="宋体" w:eastAsia="宋体" w:cs="宋体"/>
          <w:color w:val="000000" w:themeColor="text1"/>
          <w:spacing w:val="-6"/>
          <w:kern w:val="2"/>
          <w:sz w:val="21"/>
          <w:szCs w:val="21"/>
          <w:highlight w:val="none"/>
          <w14:textFill>
            <w14:solidFill>
              <w14:schemeClr w14:val="tx1"/>
            </w14:solidFill>
          </w14:textFill>
        </w:rPr>
        <w:t>4.6谈判小组应对谈判过程和重要谈判内容进行记录，作为评标报告一部分，谈判小组在记录上签字确认。主要内容包括：</w:t>
      </w:r>
    </w:p>
    <w:p w14:paraId="0291A0C1">
      <w:pPr>
        <w:pStyle w:val="79"/>
        <w:spacing w:before="0"/>
        <w:ind w:firstLine="396"/>
        <w:rPr>
          <w:rFonts w:hint="eastAsia" w:ascii="宋体" w:hAnsi="宋体" w:eastAsia="宋体" w:cs="宋体"/>
          <w:color w:val="000000" w:themeColor="text1"/>
          <w:spacing w:val="-6"/>
          <w:kern w:val="2"/>
          <w:sz w:val="21"/>
          <w:szCs w:val="21"/>
          <w:highlight w:val="none"/>
          <w14:textFill>
            <w14:solidFill>
              <w14:schemeClr w14:val="tx1"/>
            </w14:solidFill>
          </w14:textFill>
        </w:rPr>
      </w:pPr>
      <w:r>
        <w:rPr>
          <w:rFonts w:hint="eastAsia" w:ascii="宋体" w:hAnsi="宋体" w:eastAsia="宋体" w:cs="宋体"/>
          <w:color w:val="000000" w:themeColor="text1"/>
          <w:spacing w:val="-6"/>
          <w:kern w:val="2"/>
          <w:sz w:val="21"/>
          <w:szCs w:val="21"/>
          <w:highlight w:val="none"/>
          <w14:textFill>
            <w14:solidFill>
              <w14:schemeClr w14:val="tx1"/>
            </w14:solidFill>
          </w14:textFill>
        </w:rPr>
        <w:t>（1）按照相关规定进行公示的，公示情况说明；</w:t>
      </w:r>
    </w:p>
    <w:p w14:paraId="39D6790B">
      <w:pPr>
        <w:pStyle w:val="79"/>
        <w:spacing w:before="0"/>
        <w:ind w:firstLine="396"/>
        <w:rPr>
          <w:rFonts w:hint="eastAsia" w:ascii="宋体" w:hAnsi="宋体" w:eastAsia="宋体" w:cs="宋体"/>
          <w:color w:val="000000" w:themeColor="text1"/>
          <w:spacing w:val="-6"/>
          <w:kern w:val="2"/>
          <w:sz w:val="21"/>
          <w:szCs w:val="21"/>
          <w:highlight w:val="none"/>
          <w14:textFill>
            <w14:solidFill>
              <w14:schemeClr w14:val="tx1"/>
            </w14:solidFill>
          </w14:textFill>
        </w:rPr>
      </w:pPr>
      <w:r>
        <w:rPr>
          <w:rFonts w:hint="eastAsia" w:ascii="宋体" w:hAnsi="宋体" w:eastAsia="宋体" w:cs="宋体"/>
          <w:color w:val="000000" w:themeColor="text1"/>
          <w:spacing w:val="-6"/>
          <w:kern w:val="2"/>
          <w:sz w:val="21"/>
          <w:szCs w:val="21"/>
          <w:highlight w:val="none"/>
          <w14:textFill>
            <w14:solidFill>
              <w14:schemeClr w14:val="tx1"/>
            </w14:solidFill>
          </w14:textFill>
        </w:rPr>
        <w:t>（2）谈判日期和地点，谈判人员名单；</w:t>
      </w:r>
    </w:p>
    <w:p w14:paraId="33FABE7B">
      <w:pPr>
        <w:pStyle w:val="79"/>
        <w:spacing w:before="0"/>
        <w:ind w:firstLine="396"/>
        <w:rPr>
          <w:rFonts w:hint="eastAsia" w:ascii="宋体" w:hAnsi="宋体" w:eastAsia="宋体" w:cs="宋体"/>
          <w:color w:val="000000" w:themeColor="text1"/>
          <w:spacing w:val="-6"/>
          <w:kern w:val="2"/>
          <w:sz w:val="21"/>
          <w:szCs w:val="21"/>
          <w:highlight w:val="none"/>
          <w14:textFill>
            <w14:solidFill>
              <w14:schemeClr w14:val="tx1"/>
            </w14:solidFill>
          </w14:textFill>
        </w:rPr>
      </w:pPr>
      <w:r>
        <w:rPr>
          <w:rFonts w:hint="eastAsia" w:ascii="宋体" w:hAnsi="宋体" w:eastAsia="宋体" w:cs="宋体"/>
          <w:color w:val="000000" w:themeColor="text1"/>
          <w:spacing w:val="-6"/>
          <w:kern w:val="2"/>
          <w:sz w:val="21"/>
          <w:szCs w:val="21"/>
          <w:highlight w:val="none"/>
          <w14:textFill>
            <w14:solidFill>
              <w14:schemeClr w14:val="tx1"/>
            </w14:solidFill>
          </w14:textFill>
        </w:rPr>
        <w:t>（3）合同主要条款及价格商定情况。</w:t>
      </w:r>
    </w:p>
    <w:p w14:paraId="494C0CFE">
      <w:pPr>
        <w:widowControl/>
        <w:tabs>
          <w:tab w:val="left" w:pos="540"/>
        </w:tabs>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4.7谈判过程中重新提交的响应文件，供应商可以在开启前补充、修改。</w:t>
      </w:r>
    </w:p>
    <w:p w14:paraId="5576538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4.8</w:t>
      </w:r>
      <w:r>
        <w:rPr>
          <w:rFonts w:hint="eastAsia" w:ascii="宋体" w:hAnsi="宋体"/>
          <w:color w:val="000000" w:themeColor="text1"/>
          <w:szCs w:val="21"/>
          <w:highlight w:val="none"/>
          <w14:textFill>
            <w14:solidFill>
              <w14:schemeClr w14:val="tx1"/>
            </w14:solidFill>
          </w14:textFill>
        </w:rPr>
        <w:t>对谈判过程提交的响应文件进行有效性、完整性和响应程度审查，通过审查的合格供应商不足3家的，采购人或者采购代理机构应当重新开展采购活动。</w:t>
      </w:r>
    </w:p>
    <w:p w14:paraId="6B0275D9">
      <w:pPr>
        <w:spacing w:line="360" w:lineRule="auto"/>
        <w:ind w:firstLine="482" w:firstLineChars="200"/>
        <w:rPr>
          <w:rFonts w:hint="eastAsia" w:ascii="宋体" w:hAnsi="宋体" w:cs="宋体"/>
          <w:color w:val="000000" w:themeColor="text1"/>
          <w:szCs w:val="21"/>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 最后报价</w:t>
      </w:r>
    </w:p>
    <w:p w14:paraId="67A5E2C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71D21A2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14:paraId="5B24B54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 最后报价是供应商响应文件的有效组成部分。</w:t>
      </w:r>
    </w:p>
    <w:p w14:paraId="37A56D9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5.4已经提交响应文件的供应商，在提交最后报价之前，可以根据谈判情况退出谈判，退出谈判的供应商的响应文件按无效响应处理。</w:t>
      </w:r>
    </w:p>
    <w:p w14:paraId="070E71A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5.5供应商未在规定时间内提交最后报价的</w:t>
      </w:r>
      <w:r>
        <w:rPr>
          <w:rFonts w:hint="eastAsia" w:ascii="宋体" w:hAnsi="宋体" w:cs="宋体"/>
          <w:b/>
          <w:color w:val="000000" w:themeColor="text1"/>
          <w:szCs w:val="21"/>
          <w:highlight w:val="none"/>
          <w14:textFill>
            <w14:solidFill>
              <w14:schemeClr w14:val="tx1"/>
            </w14:solidFill>
          </w14:textFill>
        </w:rPr>
        <w:t>，视同放弃报价权利退出谈判。</w:t>
      </w:r>
    </w:p>
    <w:p w14:paraId="52EDF02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5.6最终响应文件的报价出现前后不一致的，按照本章第3.4条的规定修正。 </w:t>
      </w:r>
    </w:p>
    <w:p w14:paraId="29980DC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5.7修正后的最终报价出现下列情形的，按无效响应处理：</w:t>
      </w:r>
    </w:p>
    <w:p w14:paraId="43C87D4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（1）供应商不确认的（全流程电子化评标采取在线确认）；</w:t>
      </w:r>
    </w:p>
    <w:p w14:paraId="18DD986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（2）经供应商确认修正后的响应报价（包含首次报价、最后报价）超过所竞标分标规定的采购预算金额或者最高限价的（如本项目公布了最高限价）（全流程电子化评标多轮报价设置了上</w:t>
      </w:r>
      <w:r>
        <w:rPr>
          <w:rFonts w:hint="eastAsia" w:ascii="宋体" w:hAnsi="宋体" w:cs="宋体"/>
          <w:color w:val="000000" w:themeColor="text1"/>
          <w:szCs w:val="21"/>
          <w:highlight w:val="none"/>
          <w:lang w:eastAsia="zh-CN"/>
          <w14:textFill>
            <w14:solidFill>
              <w14:schemeClr w14:val="tx1"/>
            </w14:solidFill>
          </w14:textFill>
        </w:rPr>
        <w:t>限</w:t>
      </w:r>
      <w:r>
        <w:rPr>
          <w:rFonts w:hint="eastAsia" w:ascii="宋体" w:hAnsi="宋体" w:cs="宋体"/>
          <w:color w:val="000000" w:themeColor="text1"/>
          <w:szCs w:val="21"/>
          <w:highlight w:val="none"/>
          <w14:textFill>
            <w14:solidFill>
              <w14:schemeClr w14:val="tx1"/>
            </w14:solidFill>
          </w14:textFill>
        </w:rPr>
        <w:t>控制价，即预算价）；</w:t>
      </w:r>
    </w:p>
    <w:p w14:paraId="2D2570E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（3）经供应商确认修正后的响应报价（包含首次报价、最后报价）超过分项采购预算金额或者最高限价的（如本项目公布了最高限价）。</w:t>
      </w:r>
    </w:p>
    <w:p w14:paraId="02C1698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5.8经供应商确认修正后的最后报价作为评审及签订合同的依据。</w:t>
      </w:r>
    </w:p>
    <w:p w14:paraId="77A2E7D4">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5.9供应商出现最后报价按无效响应处理或者响应文件按无效处理时</w:t>
      </w:r>
      <w:r>
        <w:rPr>
          <w:rFonts w:hint="eastAsia" w:ascii="宋体" w:hAnsi="宋体"/>
          <w:color w:val="000000" w:themeColor="text1"/>
          <w:sz w:val="22"/>
          <w:szCs w:val="22"/>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谈判小组应当告知有关供应商。</w:t>
      </w:r>
    </w:p>
    <w:p w14:paraId="0A1E80A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5.10最后报价结束后，谈判小组不得再与供应商进行任何形式的商谈。</w:t>
      </w:r>
    </w:p>
    <w:p w14:paraId="4C3D947A">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5.11</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在评审中发现下列情形之一的，应当启动异常低价</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审查程序：</w:t>
      </w:r>
    </w:p>
    <w:p w14:paraId="3983AF25">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①</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报价低于全部通过符合性审查供应商</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报价平均值</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%的，即</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报价＜全部通过符合性审查供应商</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报价平均值×</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 ；</w:t>
      </w:r>
    </w:p>
    <w:p w14:paraId="25B3BA36">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②</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报价低于通过符合性审查的次低报价供应商</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%的，即</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报价＜通过符合性审查的次低报价供应商</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w:t>
      </w:r>
    </w:p>
    <w:p w14:paraId="01E5D4B4">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③</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报价低于采购项目最高限价</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%的，即</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报价＜采购项目最高限价×</w:t>
      </w:r>
      <w:r>
        <w:rPr>
          <w:rFonts w:hint="eastAsia" w:ascii="宋体" w:hAnsi="宋体" w:cs="宋体"/>
          <w:b/>
          <w:bCs/>
          <w:color w:val="000000" w:themeColor="text1"/>
          <w:szCs w:val="21"/>
          <w:highlight w:val="none"/>
          <w:lang w:val="en-US" w:eastAsia="zh-CN"/>
          <w14:textFill>
            <w14:solidFill>
              <w14:schemeClr w14:val="tx1"/>
            </w14:solidFill>
          </w14:textFill>
        </w:rPr>
        <w:t>65</w:t>
      </w:r>
      <w:r>
        <w:rPr>
          <w:rFonts w:hint="eastAsia" w:ascii="宋体" w:hAnsi="宋体" w:eastAsia="宋体" w:cs="宋体"/>
          <w:b/>
          <w:bCs/>
          <w:color w:val="000000" w:themeColor="text1"/>
          <w:szCs w:val="21"/>
          <w:highlight w:val="none"/>
          <w14:textFill>
            <w14:solidFill>
              <w14:schemeClr w14:val="tx1"/>
            </w14:solidFill>
          </w14:textFill>
        </w:rPr>
        <w:t>%；</w:t>
      </w:r>
    </w:p>
    <w:p w14:paraId="5F136CC5">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④</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基于专业判断，认为供应商报价过低，有可能影响产品质量或者不能诚信履约的其他情形。</w:t>
      </w:r>
    </w:p>
    <w:p w14:paraId="0D3073FF">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启动异常低价</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审查后，属于前述第①项至第④项情形的，应当要求相关供应商在评审现场合理的时间内对</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45B2CB4">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供应商不能提供书面说明、证明材料，或者提供的书面说明、证明材料不能证明其报价合理性的，</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应当将其作为无效</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处理。</w:t>
      </w:r>
    </w:p>
    <w:p w14:paraId="486CD3A6">
      <w:pPr>
        <w:spacing w:line="360" w:lineRule="auto"/>
        <w:ind w:firstLine="422" w:firstLineChars="200"/>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采购人、采购代理机构应当为</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在评审现场及时获取同类项目中标（成交）价格、类似产品市场价格水平、行业人工费用标准、国家有关部门指导行业协会发布的行业平均成本等相关信息资料提供便利。</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借助互联网等渠道查询相关信息的，应当严格遵守评审工作纪律，不得实施影响评审公正的行为。</w:t>
      </w:r>
    </w:p>
    <w:p w14:paraId="5A5D8FE5">
      <w:pPr>
        <w:spacing w:line="360" w:lineRule="auto"/>
        <w:ind w:firstLine="422" w:firstLineChars="200"/>
        <w:rPr>
          <w:rFonts w:hint="eastAsia"/>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异常低价</w:t>
      </w:r>
      <w:r>
        <w:rPr>
          <w:rFonts w:hint="eastAsia" w:ascii="宋体" w:hAnsi="宋体" w:eastAsia="宋体" w:cs="宋体"/>
          <w:b/>
          <w:bCs/>
          <w:color w:val="000000" w:themeColor="text1"/>
          <w:szCs w:val="21"/>
          <w:highlight w:val="none"/>
          <w:lang w:eastAsia="zh-CN"/>
          <w14:textFill>
            <w14:solidFill>
              <w14:schemeClr w14:val="tx1"/>
            </w14:solidFill>
          </w14:textFill>
        </w:rPr>
        <w:t>竞标</w:t>
      </w:r>
      <w:r>
        <w:rPr>
          <w:rFonts w:hint="eastAsia" w:ascii="宋体" w:hAnsi="宋体" w:eastAsia="宋体" w:cs="宋体"/>
          <w:b/>
          <w:bCs/>
          <w:color w:val="000000" w:themeColor="text1"/>
          <w:szCs w:val="21"/>
          <w:highlight w:val="none"/>
          <w14:textFill>
            <w14:solidFill>
              <w14:schemeClr w14:val="tx1"/>
            </w14:solidFill>
          </w14:textFill>
        </w:rPr>
        <w:t>审查的启动原因、审查意见和审查结果应当在评审报告中记录，并随供应商提供的相关书面说明及证明材料；如有，以及</w:t>
      </w:r>
      <w:r>
        <w:rPr>
          <w:rFonts w:hint="eastAsia" w:ascii="宋体" w:hAnsi="宋体" w:eastAsia="宋体" w:cs="宋体"/>
          <w:b/>
          <w:bCs/>
          <w:color w:val="000000" w:themeColor="text1"/>
          <w:szCs w:val="21"/>
          <w:highlight w:val="none"/>
          <w:lang w:eastAsia="zh-CN"/>
          <w14:textFill>
            <w14:solidFill>
              <w14:schemeClr w14:val="tx1"/>
            </w14:solidFill>
          </w14:textFill>
        </w:rPr>
        <w:t>谈判小组</w:t>
      </w:r>
      <w:r>
        <w:rPr>
          <w:rFonts w:hint="eastAsia" w:ascii="宋体" w:hAnsi="宋体" w:eastAsia="宋体" w:cs="宋体"/>
          <w:b/>
          <w:bCs/>
          <w:color w:val="000000" w:themeColor="text1"/>
          <w:szCs w:val="21"/>
          <w:highlight w:val="none"/>
          <w14:textFill>
            <w14:solidFill>
              <w14:schemeClr w14:val="tx1"/>
            </w14:solidFill>
          </w14:textFill>
        </w:rPr>
        <w:t>有关互联网浏览、查询历史一并归档。</w:t>
      </w:r>
    </w:p>
    <w:p w14:paraId="49C9A3F8">
      <w:pPr>
        <w:spacing w:line="360" w:lineRule="auto"/>
        <w:ind w:firstLine="482" w:firstLineChars="200"/>
        <w:rPr>
          <w:rFonts w:hint="eastAsia" w:ascii="黑体" w:hAnsi="黑体" w:eastAsia="黑体" w:cs="宋体"/>
          <w:b w:val="0"/>
          <w:bCs w:val="0"/>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6. 最后报价政府采购政策性扣除</w:t>
      </w:r>
    </w:p>
    <w:p w14:paraId="4C1096C6">
      <w:pPr>
        <w:spacing w:line="360" w:lineRule="auto"/>
        <w:ind w:firstLine="422" w:firstLineChars="200"/>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 xml:space="preserve">  </w:t>
      </w:r>
      <w:r>
        <w:rPr>
          <w:rFonts w:hint="eastAsia" w:ascii="宋体" w:hAnsi="宋体" w:eastAsia="宋体" w:cs="宋体"/>
          <w:b/>
          <w:bCs/>
          <w:color w:val="000000" w:themeColor="text1"/>
          <w:szCs w:val="21"/>
          <w:highlight w:val="none"/>
          <w:lang w:val="en-US" w:eastAsia="zh-CN"/>
          <w14:textFill>
            <w14:solidFill>
              <w14:schemeClr w14:val="tx1"/>
            </w14:solidFill>
          </w14:textFill>
        </w:rPr>
        <w:t>1.</w:t>
      </w:r>
      <w:r>
        <w:rPr>
          <w:rFonts w:hint="eastAsia" w:ascii="宋体" w:hAnsi="宋体" w:eastAsia="宋体" w:cs="宋体"/>
          <w:b/>
          <w:bCs/>
          <w:color w:val="000000" w:themeColor="text1"/>
          <w:szCs w:val="21"/>
          <w:highlight w:val="none"/>
          <w14:textFill>
            <w14:solidFill>
              <w14:schemeClr w14:val="tx1"/>
            </w14:solidFill>
          </w14:textFill>
        </w:rPr>
        <w:t>本项目为专门面向小</w:t>
      </w:r>
      <w:r>
        <w:rPr>
          <w:rFonts w:hint="eastAsia" w:ascii="宋体" w:hAnsi="宋体" w:eastAsia="宋体" w:cs="宋体"/>
          <w:b/>
          <w:bCs/>
          <w:color w:val="000000" w:themeColor="text1"/>
          <w:szCs w:val="21"/>
          <w:highlight w:val="none"/>
          <w:lang w:val="en-US" w:eastAsia="zh-CN"/>
          <w14:textFill>
            <w14:solidFill>
              <w14:schemeClr w14:val="tx1"/>
            </w14:solidFill>
          </w14:textFill>
        </w:rPr>
        <w:t>微</w:t>
      </w:r>
      <w:r>
        <w:rPr>
          <w:rFonts w:hint="eastAsia" w:ascii="宋体" w:hAnsi="宋体" w:eastAsia="宋体" w:cs="宋体"/>
          <w:b/>
          <w:bCs/>
          <w:color w:val="000000" w:themeColor="text1"/>
          <w:szCs w:val="21"/>
          <w:highlight w:val="none"/>
          <w14:textFill>
            <w14:solidFill>
              <w14:schemeClr w14:val="tx1"/>
            </w14:solidFill>
          </w14:textFill>
        </w:rPr>
        <w:t>企业项目，不</w:t>
      </w:r>
      <w:r>
        <w:rPr>
          <w:rFonts w:hint="eastAsia" w:ascii="宋体" w:hAnsi="宋体" w:cs="宋体"/>
          <w:b/>
          <w:bCs/>
          <w:color w:val="000000" w:themeColor="text1"/>
          <w:szCs w:val="21"/>
          <w:highlight w:val="none"/>
          <w:lang w:val="en-US" w:eastAsia="zh-CN"/>
          <w14:textFill>
            <w14:solidFill>
              <w14:schemeClr w14:val="tx1"/>
            </w14:solidFill>
          </w14:textFill>
        </w:rPr>
        <w:t>再</w:t>
      </w:r>
      <w:r>
        <w:rPr>
          <w:rFonts w:hint="eastAsia" w:ascii="宋体" w:hAnsi="宋体" w:eastAsia="宋体" w:cs="宋体"/>
          <w:b/>
          <w:bCs/>
          <w:color w:val="000000" w:themeColor="text1"/>
          <w:szCs w:val="21"/>
          <w:highlight w:val="none"/>
          <w14:textFill>
            <w14:solidFill>
              <w14:schemeClr w14:val="tx1"/>
            </w14:solidFill>
          </w14:textFill>
        </w:rPr>
        <w:t>享受政策扣除</w:t>
      </w:r>
      <w:r>
        <w:rPr>
          <w:rFonts w:hint="eastAsia" w:ascii="宋体" w:hAnsi="宋体" w:eastAsia="宋体" w:cs="宋体"/>
          <w:b/>
          <w:bCs/>
          <w:color w:val="000000" w:themeColor="text1"/>
          <w:szCs w:val="21"/>
          <w:highlight w:val="none"/>
          <w:lang w:eastAsia="zh-CN"/>
          <w14:textFill>
            <w14:solidFill>
              <w14:schemeClr w14:val="tx1"/>
            </w14:solidFill>
          </w14:textFill>
        </w:rPr>
        <w:t>。</w:t>
      </w:r>
    </w:p>
    <w:p w14:paraId="1A807174">
      <w:pPr>
        <w:spacing w:line="360" w:lineRule="auto"/>
        <w:ind w:firstLine="422" w:firstLineChars="200"/>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2.本国产品政策性扣除计算方法。</w:t>
      </w:r>
    </w:p>
    <w:p w14:paraId="02BE2FAC">
      <w:pPr>
        <w:spacing w:line="360" w:lineRule="auto"/>
        <w:ind w:firstLine="422" w:firstLineChars="200"/>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2E2A1F4">
      <w:pPr>
        <w:spacing w:line="360" w:lineRule="auto"/>
        <w:ind w:firstLine="422" w:firstLineChars="200"/>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68732448">
      <w:pPr>
        <w:spacing w:line="360" w:lineRule="auto"/>
        <w:ind w:firstLine="422" w:firstLineChars="200"/>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如果所有参与竞争的供应商均可享受本国产品价格评审优惠，则统一不进行价格扣除。</w:t>
      </w:r>
    </w:p>
    <w:p w14:paraId="41E85115">
      <w:pPr>
        <w:spacing w:line="360" w:lineRule="auto"/>
        <w:ind w:firstLine="422" w:firstLineChars="200"/>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供应商在其响应文件中提供《关于符合本国产品标准的声明函》或财政部会同有关部门规定的有关证明文件，出具符合要求的《声明函》或有关证明文件的，该产品视为本国产品。即评审价=竞标报价-（1-20%），除上述情况外，评审价=竞标报价。</w:t>
      </w:r>
    </w:p>
    <w:p w14:paraId="24E843E4">
      <w:pPr>
        <w:spacing w:line="360" w:lineRule="auto"/>
        <w:ind w:firstLine="436" w:firstLineChars="181"/>
        <w:rPr>
          <w:rFonts w:hint="eastAsia"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7.评审复核</w:t>
      </w:r>
    </w:p>
    <w:p w14:paraId="2B1A4A3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7.1评审报告签署前，评审委员会要对评审结果进行复核，复核意见要体现在评审报告中。</w:t>
      </w:r>
    </w:p>
    <w:p w14:paraId="0292EE5F">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7.2除资格性审查认定错误和价格计算错误外，采购人或者采购代理机构不得以任何理由组织重新评审。</w:t>
      </w:r>
    </w:p>
    <w:p w14:paraId="535D06E7">
      <w:pPr>
        <w:pStyle w:val="3"/>
        <w:spacing w:before="0" w:after="0" w:line="360" w:lineRule="auto"/>
        <w:ind w:firstLine="640" w:firstLineChars="200"/>
        <w:jc w:val="center"/>
        <w:rPr>
          <w:rFonts w:hint="eastAsia" w:ascii="宋体" w:hAnsi="宋体" w:cs="宋体"/>
          <w:b w:val="0"/>
          <w:color w:val="000000" w:themeColor="text1"/>
          <w:highlight w:val="none"/>
          <w14:textFill>
            <w14:solidFill>
              <w14:schemeClr w14:val="tx1"/>
            </w14:solidFill>
          </w14:textFill>
        </w:rPr>
      </w:pPr>
      <w:bookmarkStart w:id="60" w:name="_Toc21591"/>
      <w:r>
        <w:rPr>
          <w:rFonts w:hint="eastAsia" w:ascii="宋体" w:hAnsi="宋体"/>
          <w:b w:val="0"/>
          <w:color w:val="000000" w:themeColor="text1"/>
          <w:highlight w:val="none"/>
          <w14:textFill>
            <w14:solidFill>
              <w14:schemeClr w14:val="tx1"/>
            </w14:solidFill>
          </w14:textFill>
        </w:rPr>
        <w:t>第二节 评审原则</w:t>
      </w:r>
      <w:bookmarkEnd w:id="60"/>
    </w:p>
    <w:p w14:paraId="59BE7D3F">
      <w:pPr>
        <w:spacing w:line="360" w:lineRule="auto"/>
        <w:ind w:firstLine="480" w:firstLineChars="200"/>
        <w:jc w:val="left"/>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1.评审原则</w:t>
      </w:r>
    </w:p>
    <w:p w14:paraId="1640BC7A">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584E4AD5">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1.2根据</w:t>
      </w:r>
      <w:r>
        <w:rPr>
          <w:rFonts w:hint="eastAsia"/>
          <w:color w:val="000000" w:themeColor="text1"/>
          <w:highlight w:val="none"/>
          <w14:textFill>
            <w14:solidFill>
              <w14:schemeClr w14:val="tx1"/>
            </w14:solidFill>
          </w14:textFill>
        </w:rPr>
        <w:t>《政府采购非招标采购方式管理办法》（财政部令第</w:t>
      </w:r>
      <w:r>
        <w:rPr>
          <w:color w:val="000000" w:themeColor="text1"/>
          <w:highlight w:val="none"/>
          <w14:textFill>
            <w14:solidFill>
              <w14:schemeClr w14:val="tx1"/>
            </w14:solidFill>
          </w14:textFill>
        </w:rPr>
        <w:t>74</w:t>
      </w:r>
      <w:r>
        <w:rPr>
          <w:rFonts w:hint="eastAsia"/>
          <w:color w:val="000000" w:themeColor="text1"/>
          <w:highlight w:val="none"/>
          <w14:textFill>
            <w14:solidFill>
              <w14:schemeClr w14:val="tx1"/>
            </w14:solidFill>
          </w14:textFill>
        </w:rPr>
        <w:t>号）第二十一条</w:t>
      </w:r>
      <w:r>
        <w:rPr>
          <w:rFonts w:hint="eastAsia" w:ascii="宋体" w:hAnsi="宋体" w:cs="宋体"/>
          <w:color w:val="000000" w:themeColor="text1"/>
          <w:highlight w:val="none"/>
          <w14:textFill>
            <w14:solidFill>
              <w14:schemeClr w14:val="tx1"/>
            </w14:solidFill>
          </w14:textFill>
        </w:rPr>
        <w:t>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bookmarkStart w:id="61" w:name="_Toc432194885"/>
      <w:bookmarkStart w:id="62" w:name="_Toc432106535"/>
      <w:bookmarkStart w:id="63" w:name="_Toc321836413"/>
    </w:p>
    <w:bookmarkEnd w:id="61"/>
    <w:bookmarkEnd w:id="62"/>
    <w:bookmarkEnd w:id="63"/>
    <w:p w14:paraId="3B9CB6DE">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0E11B521">
      <w:pPr>
        <w:spacing w:line="360" w:lineRule="auto"/>
        <w:ind w:firstLine="480" w:firstLineChars="200"/>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2.终止竞争性谈判采购活动</w:t>
      </w:r>
    </w:p>
    <w:p w14:paraId="07B259F5">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出现下列情形之一的，采购人或者采购代理机构应当终止竞争性谈判采购活动，发布项目终止公告并说明原因，重新开展采购活动：</w:t>
      </w:r>
    </w:p>
    <w:p w14:paraId="7B1A3D38">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（1）因情况变化，不再符合规定的竞争性谈判采购方式适用情形的； </w:t>
      </w:r>
    </w:p>
    <w:p w14:paraId="5E1B17B9">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（2）出现影响采购公正的违法、违规行为的；</w:t>
      </w:r>
    </w:p>
    <w:p w14:paraId="7F02F7EA">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14:paraId="18293033">
      <w:pPr>
        <w:pStyle w:val="3"/>
        <w:spacing w:before="0" w:after="0" w:line="360" w:lineRule="auto"/>
        <w:ind w:firstLine="640" w:firstLineChars="200"/>
        <w:jc w:val="center"/>
        <w:rPr>
          <w:rFonts w:hint="eastAsia" w:ascii="宋体" w:hAnsi="宋体" w:cs="宋体"/>
          <w:b w:val="0"/>
          <w:color w:val="000000" w:themeColor="text1"/>
          <w:highlight w:val="none"/>
          <w14:textFill>
            <w14:solidFill>
              <w14:schemeClr w14:val="tx1"/>
            </w14:solidFill>
          </w14:textFill>
        </w:rPr>
      </w:pPr>
      <w:bookmarkStart w:id="64" w:name="_Toc1326"/>
      <w:r>
        <w:rPr>
          <w:rFonts w:hint="eastAsia" w:ascii="宋体" w:hAnsi="宋体"/>
          <w:b w:val="0"/>
          <w:color w:val="000000" w:themeColor="text1"/>
          <w:highlight w:val="none"/>
          <w14:textFill>
            <w14:solidFill>
              <w14:schemeClr w14:val="tx1"/>
            </w14:solidFill>
          </w14:textFill>
        </w:rPr>
        <w:t>第三节 评标报告</w:t>
      </w:r>
      <w:bookmarkEnd w:id="64"/>
    </w:p>
    <w:p w14:paraId="45B24E50">
      <w:pPr>
        <w:spacing w:line="360" w:lineRule="auto"/>
        <w:ind w:firstLine="480" w:firstLineChars="200"/>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1.成交标准</w:t>
      </w:r>
    </w:p>
    <w:p w14:paraId="1BCCCCA6">
      <w:pPr>
        <w:pStyle w:val="17"/>
        <w:spacing w:line="360" w:lineRule="auto"/>
        <w:ind w:firstLine="420" w:firstLineChars="200"/>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并在线编写电子评审报告。</w:t>
      </w:r>
    </w:p>
    <w:p w14:paraId="5673611A">
      <w:pPr>
        <w:spacing w:line="360" w:lineRule="auto"/>
        <w:ind w:firstLine="480" w:firstLineChars="200"/>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2.评标争议事项处理</w:t>
      </w:r>
    </w:p>
    <w:p w14:paraId="544D27DD">
      <w:pPr>
        <w:pStyle w:val="79"/>
        <w:spacing w:before="0"/>
        <w:ind w:firstLine="420"/>
        <w:rPr>
          <w:rFonts w:hint="eastAsia" w:ascii="宋体" w:hAnsi="宋体" w:cs="宋体"/>
          <w:color w:val="000000" w:themeColor="text1"/>
          <w:kern w:val="2"/>
          <w:sz w:val="21"/>
          <w:szCs w:val="24"/>
          <w:highlight w:val="none"/>
          <w14:textFill>
            <w14:solidFill>
              <w14:schemeClr w14:val="tx1"/>
            </w14:solidFill>
          </w14:textFill>
        </w:rPr>
      </w:pPr>
      <w:r>
        <w:rPr>
          <w:rFonts w:hint="eastAsia" w:ascii="宋体" w:hAnsi="宋体" w:cs="宋体"/>
          <w:color w:val="000000" w:themeColor="text1"/>
          <w:kern w:val="2"/>
          <w:sz w:val="21"/>
          <w:szCs w:val="24"/>
          <w:highlight w:val="none"/>
          <w14:textFill>
            <w14:solidFill>
              <w14:schemeClr w14:val="tx1"/>
            </w14:solidFill>
          </w14:textFill>
        </w:rPr>
        <w:t>谈判小组成员对需要共同认定的事项存在争议的，应当按照少数服从多数的原则作出结论。持不同意见的谈判小组成员应当在评标报告上签署不同意见及理由，否则视为同意评标报告。</w:t>
      </w:r>
    </w:p>
    <w:p w14:paraId="1CE319D6">
      <w:pPr>
        <w:pStyle w:val="3"/>
        <w:spacing w:before="0" w:after="0" w:line="360" w:lineRule="auto"/>
        <w:ind w:firstLine="640" w:firstLineChars="200"/>
        <w:jc w:val="center"/>
        <w:rPr>
          <w:rFonts w:hint="eastAsia" w:ascii="宋体" w:hAnsi="宋体" w:cs="宋体"/>
          <w:b w:val="0"/>
          <w:color w:val="000000" w:themeColor="text1"/>
          <w:highlight w:val="none"/>
          <w14:textFill>
            <w14:solidFill>
              <w14:schemeClr w14:val="tx1"/>
            </w14:solidFill>
          </w14:textFill>
        </w:rPr>
      </w:pPr>
      <w:bookmarkStart w:id="65" w:name="_Toc31977"/>
      <w:r>
        <w:rPr>
          <w:rFonts w:hint="eastAsia" w:ascii="宋体" w:hAnsi="宋体"/>
          <w:b w:val="0"/>
          <w:color w:val="000000" w:themeColor="text1"/>
          <w:highlight w:val="none"/>
          <w14:textFill>
            <w14:solidFill>
              <w14:schemeClr w14:val="tx1"/>
            </w14:solidFill>
          </w14:textFill>
        </w:rPr>
        <w:t>第四节 评审过程的保密与录像</w:t>
      </w:r>
      <w:bookmarkEnd w:id="65"/>
    </w:p>
    <w:p w14:paraId="40EC66FF">
      <w:pPr>
        <w:spacing w:line="360" w:lineRule="auto"/>
        <w:ind w:firstLine="480" w:firstLineChars="200"/>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1.保密。</w:t>
      </w:r>
    </w:p>
    <w:p w14:paraId="4A53D1C4">
      <w:pPr>
        <w:widowControl/>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716747CE">
      <w:pPr>
        <w:widowControl/>
        <w:spacing w:line="360" w:lineRule="auto"/>
        <w:ind w:firstLine="480" w:firstLineChars="200"/>
        <w:rPr>
          <w:rFonts w:hint="eastAsia"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2.录音录像。</w:t>
      </w:r>
    </w:p>
    <w:p w14:paraId="4D21E9CA">
      <w:pPr>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采购代理机构对评审工作现场及操作屏幕进行全过程录音录像，录音录像资料作为采购项目文件随其他文件一并存档。</w:t>
      </w:r>
      <w:r>
        <w:rPr>
          <w:color w:val="000000" w:themeColor="text1"/>
          <w:highlight w:val="none"/>
          <w14:textFill>
            <w14:solidFill>
              <w14:schemeClr w14:val="tx1"/>
            </w14:solidFill>
          </w14:textFill>
        </w:rPr>
        <w:br w:type="page"/>
      </w:r>
    </w:p>
    <w:p w14:paraId="5ED42810">
      <w:pPr>
        <w:jc w:val="center"/>
        <w:rPr>
          <w:color w:val="000000" w:themeColor="text1"/>
          <w:highlight w:val="none"/>
          <w14:textFill>
            <w14:solidFill>
              <w14:schemeClr w14:val="tx1"/>
            </w14:solidFill>
          </w14:textFill>
        </w:rPr>
      </w:pPr>
    </w:p>
    <w:p w14:paraId="7336D8C2">
      <w:pPr>
        <w:jc w:val="center"/>
        <w:rPr>
          <w:color w:val="000000" w:themeColor="text1"/>
          <w:highlight w:val="none"/>
          <w14:textFill>
            <w14:solidFill>
              <w14:schemeClr w14:val="tx1"/>
            </w14:solidFill>
          </w14:textFill>
        </w:rPr>
      </w:pPr>
    </w:p>
    <w:p w14:paraId="316EE2DE">
      <w:pPr>
        <w:jc w:val="center"/>
        <w:rPr>
          <w:color w:val="000000" w:themeColor="text1"/>
          <w:highlight w:val="none"/>
          <w14:textFill>
            <w14:solidFill>
              <w14:schemeClr w14:val="tx1"/>
            </w14:solidFill>
          </w14:textFill>
        </w:rPr>
      </w:pPr>
    </w:p>
    <w:p w14:paraId="32D21E64">
      <w:pPr>
        <w:jc w:val="center"/>
        <w:rPr>
          <w:color w:val="000000" w:themeColor="text1"/>
          <w:highlight w:val="none"/>
          <w14:textFill>
            <w14:solidFill>
              <w14:schemeClr w14:val="tx1"/>
            </w14:solidFill>
          </w14:textFill>
        </w:rPr>
      </w:pPr>
    </w:p>
    <w:p w14:paraId="33036E9A">
      <w:pPr>
        <w:pStyle w:val="26"/>
        <w:rPr>
          <w:color w:val="000000" w:themeColor="text1"/>
          <w:highlight w:val="none"/>
          <w14:textFill>
            <w14:solidFill>
              <w14:schemeClr w14:val="tx1"/>
            </w14:solidFill>
          </w14:textFill>
        </w:rPr>
      </w:pPr>
    </w:p>
    <w:p w14:paraId="3B2996FF">
      <w:pPr>
        <w:rPr>
          <w:color w:val="000000" w:themeColor="text1"/>
          <w:highlight w:val="none"/>
          <w14:textFill>
            <w14:solidFill>
              <w14:schemeClr w14:val="tx1"/>
            </w14:solidFill>
          </w14:textFill>
        </w:rPr>
      </w:pPr>
    </w:p>
    <w:p w14:paraId="3C951291">
      <w:pPr>
        <w:pStyle w:val="26"/>
        <w:rPr>
          <w:color w:val="000000" w:themeColor="text1"/>
          <w:highlight w:val="none"/>
          <w14:textFill>
            <w14:solidFill>
              <w14:schemeClr w14:val="tx1"/>
            </w14:solidFill>
          </w14:textFill>
        </w:rPr>
      </w:pPr>
    </w:p>
    <w:p w14:paraId="42E731BF">
      <w:pPr>
        <w:rPr>
          <w:color w:val="000000" w:themeColor="text1"/>
          <w:highlight w:val="none"/>
          <w14:textFill>
            <w14:solidFill>
              <w14:schemeClr w14:val="tx1"/>
            </w14:solidFill>
          </w14:textFill>
        </w:rPr>
      </w:pPr>
    </w:p>
    <w:p w14:paraId="29337157">
      <w:pPr>
        <w:pStyle w:val="26"/>
        <w:rPr>
          <w:color w:val="000000" w:themeColor="text1"/>
          <w:highlight w:val="none"/>
          <w14:textFill>
            <w14:solidFill>
              <w14:schemeClr w14:val="tx1"/>
            </w14:solidFill>
          </w14:textFill>
        </w:rPr>
      </w:pPr>
    </w:p>
    <w:p w14:paraId="2EB267D7">
      <w:pPr>
        <w:rPr>
          <w:color w:val="000000" w:themeColor="text1"/>
          <w:highlight w:val="none"/>
          <w14:textFill>
            <w14:solidFill>
              <w14:schemeClr w14:val="tx1"/>
            </w14:solidFill>
          </w14:textFill>
        </w:rPr>
      </w:pPr>
    </w:p>
    <w:p w14:paraId="29E85AEE">
      <w:pPr>
        <w:pStyle w:val="26"/>
        <w:rPr>
          <w:color w:val="000000" w:themeColor="text1"/>
          <w:highlight w:val="none"/>
          <w14:textFill>
            <w14:solidFill>
              <w14:schemeClr w14:val="tx1"/>
            </w14:solidFill>
          </w14:textFill>
        </w:rPr>
      </w:pPr>
    </w:p>
    <w:p w14:paraId="0C169783">
      <w:pPr>
        <w:jc w:val="center"/>
        <w:rPr>
          <w:color w:val="000000" w:themeColor="text1"/>
          <w:highlight w:val="none"/>
          <w14:textFill>
            <w14:solidFill>
              <w14:schemeClr w14:val="tx1"/>
            </w14:solidFill>
          </w14:textFill>
        </w:rPr>
      </w:pPr>
    </w:p>
    <w:p w14:paraId="425CF065">
      <w:pPr>
        <w:pStyle w:val="2"/>
        <w:jc w:val="center"/>
        <w:rPr>
          <w:color w:val="000000" w:themeColor="text1"/>
          <w:highlight w:val="none"/>
          <w14:textFill>
            <w14:solidFill>
              <w14:schemeClr w14:val="tx1"/>
            </w14:solidFill>
          </w14:textFill>
        </w:rPr>
      </w:pPr>
      <w:bookmarkStart w:id="66" w:name="_Toc4389"/>
      <w:r>
        <w:rPr>
          <w:rFonts w:hint="eastAsia"/>
          <w:color w:val="000000" w:themeColor="text1"/>
          <w:highlight w:val="none"/>
          <w14:textFill>
            <w14:solidFill>
              <w14:schemeClr w14:val="tx1"/>
            </w14:solidFill>
          </w14:textFill>
        </w:rPr>
        <w:t>第五章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响应文件格式</w:t>
      </w:r>
      <w:r>
        <w:rPr>
          <w:color w:val="000000" w:themeColor="text1"/>
          <w:highlight w:val="none"/>
          <w14:textFill>
            <w14:solidFill>
              <w14:schemeClr w14:val="tx1"/>
            </w14:solidFill>
          </w14:textFill>
        </w:rPr>
        <w:br w:type="page"/>
      </w:r>
      <w:bookmarkEnd w:id="66"/>
    </w:p>
    <w:p w14:paraId="4866C301">
      <w:pPr>
        <w:pStyle w:val="3"/>
        <w:jc w:val="center"/>
        <w:rPr>
          <w:rFonts w:ascii="宋体" w:hAnsi="宋体"/>
          <w:b w:val="0"/>
          <w:color w:val="000000" w:themeColor="text1"/>
          <w:highlight w:val="none"/>
          <w14:textFill>
            <w14:solidFill>
              <w14:schemeClr w14:val="tx1"/>
            </w14:solidFill>
          </w14:textFill>
        </w:rPr>
      </w:pPr>
      <w:bookmarkStart w:id="67" w:name="_Toc21402"/>
      <w:r>
        <w:rPr>
          <w:rFonts w:hint="eastAsia" w:ascii="宋体" w:hAnsi="宋体"/>
          <w:b w:val="0"/>
          <w:color w:val="000000" w:themeColor="text1"/>
          <w:highlight w:val="none"/>
          <w14:textFill>
            <w14:solidFill>
              <w14:schemeClr w14:val="tx1"/>
            </w14:solidFill>
          </w14:textFill>
        </w:rPr>
        <w:t>第一节 封面格式</w:t>
      </w:r>
      <w:bookmarkEnd w:id="67"/>
    </w:p>
    <w:p w14:paraId="14854A1D">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23F0A93F">
      <w:pPr>
        <w:snapToGrid w:val="0"/>
        <w:spacing w:before="120" w:beforeLines="50" w:after="50"/>
        <w:jc w:val="center"/>
        <w:rPr>
          <w:rFonts w:hint="eastAsia" w:ascii="宋体" w:hAnsi="宋体"/>
          <w:bCs/>
          <w:color w:val="000000" w:themeColor="text1"/>
          <w:sz w:val="24"/>
          <w:szCs w:val="20"/>
          <w:highlight w:val="none"/>
          <w14:textFill>
            <w14:solidFill>
              <w14:schemeClr w14:val="tx1"/>
            </w14:solidFill>
          </w14:textFill>
        </w:rPr>
      </w:pPr>
    </w:p>
    <w:p w14:paraId="7D4AB6D5">
      <w:pPr>
        <w:snapToGrid w:val="0"/>
        <w:spacing w:before="120" w:beforeLines="50" w:after="5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响  应  文  件</w:t>
      </w:r>
    </w:p>
    <w:p w14:paraId="73516115">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758039CE">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0CB38A66">
      <w:pPr>
        <w:snapToGrid w:val="0"/>
        <w:spacing w:before="120" w:beforeLines="50" w:after="50"/>
        <w:rPr>
          <w:rFonts w:hint="eastAsia" w:ascii="仿宋_GB2312" w:hAnsi="仿宋_GB2312" w:eastAsia="仿宋_GB2312" w:cs="仿宋_GB2312"/>
          <w:bCs/>
          <w:color w:val="000000" w:themeColor="text1"/>
          <w:sz w:val="32"/>
          <w:szCs w:val="32"/>
          <w:highlight w:val="none"/>
          <w14:textFill>
            <w14:solidFill>
              <w14:schemeClr w14:val="tx1"/>
            </w14:solidFill>
          </w14:textFill>
        </w:rPr>
      </w:pPr>
    </w:p>
    <w:p w14:paraId="75E996DE">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r>
        <w:rPr>
          <w:rFonts w:hint="eastAsia" w:ascii="宋体" w:hAnsi="宋体" w:cs="仿宋_GB2312"/>
          <w:bCs/>
          <w:color w:val="000000" w:themeColor="text1"/>
          <w:sz w:val="32"/>
          <w:szCs w:val="32"/>
          <w:highlight w:val="none"/>
          <w:lang w:eastAsia="zh-CN"/>
          <w14:textFill>
            <w14:solidFill>
              <w14:schemeClr w14:val="tx1"/>
            </w14:solidFill>
          </w14:textFill>
        </w:rPr>
        <w:t>南宁市第一看守所2026年度在押人员伙房伙食灶醇基液体燃料采购</w:t>
      </w:r>
    </w:p>
    <w:p w14:paraId="6735845C">
      <w:pPr>
        <w:snapToGrid w:val="0"/>
        <w:spacing w:before="120" w:beforeLines="50" w:after="50"/>
        <w:ind w:firstLine="480" w:firstLineChars="150"/>
        <w:rPr>
          <w:rFonts w:hint="eastAsia" w:ascii="宋体" w:hAnsi="宋体" w:cs="仿宋_GB2312"/>
          <w:bCs/>
          <w:color w:val="000000" w:themeColor="text1"/>
          <w:sz w:val="32"/>
          <w:szCs w:val="32"/>
          <w:highlight w:val="none"/>
          <w14:textFill>
            <w14:solidFill>
              <w14:schemeClr w14:val="tx1"/>
            </w14:solidFill>
          </w14:textFill>
        </w:rPr>
      </w:pPr>
    </w:p>
    <w:p w14:paraId="120E783E">
      <w:pPr>
        <w:snapToGrid w:val="0"/>
        <w:spacing w:before="120" w:beforeLines="50" w:after="50"/>
        <w:ind w:firstLine="640" w:firstLineChars="200"/>
        <w:rPr>
          <w:rFonts w:hint="eastAsia" w:ascii="宋体" w:hAnsi="宋体" w:cs="仿宋_GB2312"/>
          <w:bCs/>
          <w:color w:val="000000" w:themeColor="text1"/>
          <w:sz w:val="32"/>
          <w:szCs w:val="32"/>
          <w:highlight w:val="none"/>
          <w:lang w:eastAsia="zh-CN"/>
          <w14:textFill>
            <w14:solidFill>
              <w14:schemeClr w14:val="tx1"/>
            </w14:solidFill>
          </w14:textFill>
        </w:rPr>
      </w:pPr>
      <w:r>
        <w:rPr>
          <w:rFonts w:hint="eastAsia" w:ascii="宋体" w:hAnsi="宋体" w:cs="仿宋_GB2312"/>
          <w:bCs/>
          <w:color w:val="000000" w:themeColor="text1"/>
          <w:sz w:val="32"/>
          <w:szCs w:val="32"/>
          <w:highlight w:val="none"/>
          <w:lang w:eastAsia="zh-CN"/>
          <w14:textFill>
            <w14:solidFill>
              <w14:schemeClr w14:val="tx1"/>
            </w14:solidFill>
          </w14:textFill>
        </w:rPr>
        <w:t>项目编号：</w:t>
      </w:r>
    </w:p>
    <w:p w14:paraId="4D40044B">
      <w:pPr>
        <w:snapToGrid w:val="0"/>
        <w:spacing w:before="120" w:beforeLines="50" w:after="50"/>
        <w:ind w:firstLine="480" w:firstLineChars="150"/>
        <w:rPr>
          <w:rFonts w:hint="eastAsia" w:ascii="宋体" w:hAnsi="宋体" w:cs="仿宋_GB2312"/>
          <w:bCs/>
          <w:color w:val="000000" w:themeColor="text1"/>
          <w:sz w:val="32"/>
          <w:szCs w:val="32"/>
          <w:highlight w:val="none"/>
          <w:lang w:eastAsia="zh-CN"/>
          <w14:textFill>
            <w14:solidFill>
              <w14:schemeClr w14:val="tx1"/>
            </w14:solidFill>
          </w14:textFill>
        </w:rPr>
      </w:pPr>
    </w:p>
    <w:p w14:paraId="52C5055A">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7E07836C">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37678840">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6F67B8E6">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5AE37CF9">
      <w:pPr>
        <w:snapToGrid w:val="0"/>
        <w:spacing w:before="120" w:beforeLines="50" w:after="50"/>
        <w:ind w:firstLine="480" w:firstLineChars="150"/>
        <w:jc w:val="center"/>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首次响应文件提交截止时间前不得解密</w:t>
      </w:r>
    </w:p>
    <w:p w14:paraId="7D17CED7">
      <w:pPr>
        <w:snapToGrid w:val="0"/>
        <w:spacing w:before="120" w:beforeLines="50" w:after="50"/>
        <w:ind w:firstLine="5440" w:firstLineChars="1700"/>
        <w:jc w:val="center"/>
        <w:rPr>
          <w:rFonts w:hint="eastAsia" w:ascii="宋体" w:hAnsi="宋体" w:cs="仿宋_GB2312"/>
          <w:bCs/>
          <w:color w:val="000000" w:themeColor="text1"/>
          <w:sz w:val="32"/>
          <w:szCs w:val="32"/>
          <w:highlight w:val="none"/>
          <w14:textFill>
            <w14:solidFill>
              <w14:schemeClr w14:val="tx1"/>
            </w14:solidFill>
          </w14:textFill>
        </w:rPr>
      </w:pPr>
    </w:p>
    <w:p w14:paraId="2C6AA70C">
      <w:pPr>
        <w:snapToGrid w:val="0"/>
        <w:spacing w:before="120" w:beforeLines="50" w:after="50"/>
        <w:ind w:firstLine="645"/>
        <w:jc w:val="center"/>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年    月    日</w:t>
      </w:r>
    </w:p>
    <w:p w14:paraId="22DF5CF3">
      <w:pPr>
        <w:spacing w:line="240" w:lineRule="atLeast"/>
        <w:rPr>
          <w:rFonts w:hint="eastAsia" w:ascii="宋体" w:hAnsi="宋体"/>
          <w:b/>
          <w:bCs/>
          <w:color w:val="000000" w:themeColor="text1"/>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br w:type="page"/>
      </w:r>
    </w:p>
    <w:p w14:paraId="67579508">
      <w:pPr>
        <w:snapToGrid w:val="0"/>
        <w:spacing w:before="120" w:beforeLines="50" w:after="50" w:line="360" w:lineRule="auto"/>
        <w:jc w:val="center"/>
        <w:outlineLvl w:val="1"/>
        <w:rPr>
          <w:rFonts w:hint="eastAsia" w:ascii="宋体" w:hAnsi="宋体"/>
          <w:bCs/>
          <w:color w:val="000000" w:themeColor="text1"/>
          <w:sz w:val="32"/>
          <w:szCs w:val="32"/>
          <w:highlight w:val="none"/>
          <w14:textFill>
            <w14:solidFill>
              <w14:schemeClr w14:val="tx1"/>
            </w14:solidFill>
          </w14:textFill>
        </w:rPr>
      </w:pPr>
      <w:bookmarkStart w:id="68" w:name="_Toc31349"/>
      <w:r>
        <w:rPr>
          <w:rFonts w:hint="eastAsia" w:ascii="宋体" w:hAnsi="宋体"/>
          <w:bCs/>
          <w:color w:val="000000" w:themeColor="text1"/>
          <w:sz w:val="32"/>
          <w:szCs w:val="32"/>
          <w:highlight w:val="none"/>
          <w14:textFill>
            <w14:solidFill>
              <w14:schemeClr w14:val="tx1"/>
            </w14:solidFill>
          </w14:textFill>
        </w:rPr>
        <w:t>第二节 资格证明文件格式</w:t>
      </w:r>
      <w:bookmarkEnd w:id="68"/>
    </w:p>
    <w:p w14:paraId="46952D3D">
      <w:pPr>
        <w:snapToGrid w:val="0"/>
        <w:spacing w:before="120"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全流程电子文件</w:t>
      </w:r>
    </w:p>
    <w:p w14:paraId="4A63145E">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63EDAB2E">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16CA4AF9">
      <w:pPr>
        <w:snapToGrid w:val="0"/>
        <w:spacing w:before="120" w:beforeLines="50" w:after="5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资  格  证  明  文  件（封面）</w:t>
      </w:r>
    </w:p>
    <w:p w14:paraId="2F47EC90">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7CCE2424">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2AF2D1CB">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16879372">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4AA6ADCD">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66F76205">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r>
        <w:rPr>
          <w:rFonts w:hint="eastAsia" w:ascii="宋体" w:hAnsi="宋体" w:cs="仿宋_GB2312"/>
          <w:bCs/>
          <w:color w:val="000000" w:themeColor="text1"/>
          <w:sz w:val="32"/>
          <w:szCs w:val="32"/>
          <w:highlight w:val="none"/>
          <w:lang w:eastAsia="zh-CN"/>
          <w14:textFill>
            <w14:solidFill>
              <w14:schemeClr w14:val="tx1"/>
            </w14:solidFill>
          </w14:textFill>
        </w:rPr>
        <w:t>南宁市第一看守所2026年度在押人员伙房伙食灶醇基液体燃料采购</w:t>
      </w:r>
    </w:p>
    <w:p w14:paraId="552B1C9F">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2FA8C92B">
      <w:pPr>
        <w:snapToGrid w:val="0"/>
        <w:spacing w:before="120" w:beforeLines="50" w:after="50"/>
        <w:ind w:firstLine="720" w:firstLineChars="225"/>
        <w:rPr>
          <w:rFonts w:hint="eastAsia" w:ascii="宋体" w:hAnsi="宋体" w:cs="仿宋_GB2312"/>
          <w:bCs/>
          <w:color w:val="000000" w:themeColor="text1"/>
          <w:sz w:val="32"/>
          <w:szCs w:val="32"/>
          <w:highlight w:val="none"/>
          <w:lang w:eastAsia="zh-CN"/>
          <w14:textFill>
            <w14:solidFill>
              <w14:schemeClr w14:val="tx1"/>
            </w14:solidFill>
          </w14:textFill>
        </w:rPr>
      </w:pPr>
      <w:r>
        <w:rPr>
          <w:rFonts w:hint="eastAsia" w:ascii="宋体" w:hAnsi="宋体" w:cs="仿宋_GB2312"/>
          <w:bCs/>
          <w:color w:val="000000" w:themeColor="text1"/>
          <w:sz w:val="32"/>
          <w:szCs w:val="32"/>
          <w:highlight w:val="none"/>
          <w:lang w:eastAsia="zh-CN"/>
          <w14:textFill>
            <w14:solidFill>
              <w14:schemeClr w14:val="tx1"/>
            </w14:solidFill>
          </w14:textFill>
        </w:rPr>
        <w:t>项目编号：</w:t>
      </w:r>
    </w:p>
    <w:p w14:paraId="30CEDF35">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4B849F7E">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1CD52671">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05665416">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6D3A8A8C">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29621315">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0A9CEDAA">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4B45237E">
      <w:pPr>
        <w:pStyle w:val="7"/>
        <w:snapToGrid w:val="0"/>
        <w:spacing w:before="50" w:after="50"/>
        <w:ind w:firstLine="1280" w:firstLineChars="400"/>
        <w:rPr>
          <w:rFonts w:hint="eastAsia" w:ascii="宋体" w:hAnsi="宋体" w:cs="仿宋_GB2312"/>
          <w:bCs/>
          <w:color w:val="000000" w:themeColor="text1"/>
          <w:sz w:val="32"/>
          <w:szCs w:val="32"/>
          <w:highlight w:val="none"/>
          <w14:textFill>
            <w14:solidFill>
              <w14:schemeClr w14:val="tx1"/>
            </w14:solidFill>
          </w14:textFill>
        </w:rPr>
      </w:pPr>
    </w:p>
    <w:p w14:paraId="1D371BCE">
      <w:pPr>
        <w:snapToGrid w:val="0"/>
        <w:spacing w:before="120" w:beforeLines="50" w:after="50"/>
        <w:jc w:val="center"/>
        <w:rPr>
          <w:rFonts w:hint="eastAsia"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0FFB0793">
      <w:pPr>
        <w:snapToGrid w:val="0"/>
        <w:spacing w:before="120" w:beforeLines="50" w:after="50" w:line="360" w:lineRule="auto"/>
        <w:ind w:left="142" w:firstLine="480" w:firstLineChars="200"/>
        <w:jc w:val="left"/>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二、资格证明文件目录</w:t>
      </w:r>
    </w:p>
    <w:p w14:paraId="7C8D21BD">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5594DD1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6CD92F86">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营业执照(或事业法人登记证或其他工商等登记证明材料)复印件（供应商为自然人的，须提供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CE9A13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47579BA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2F12FE5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四、供应商直接控股股东信息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E15D6F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五、供应商直接关联关系信息表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79E670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六、资格声明函……………………………………………………………（页码）</w:t>
      </w:r>
    </w:p>
    <w:p w14:paraId="32B755A2">
      <w:pPr>
        <w:snapToGrid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w:t>
      </w:r>
      <w:r>
        <w:rPr>
          <w:rFonts w:hint="eastAsia" w:ascii="仿宋" w:hAnsi="仿宋" w:eastAsia="仿宋" w:cs="仿宋"/>
          <w:color w:val="000000" w:themeColor="text1"/>
          <w:kern w:val="0"/>
          <w:sz w:val="24"/>
          <w:highlight w:val="none"/>
          <w14:textFill>
            <w14:solidFill>
              <w14:schemeClr w14:val="tx1"/>
            </w14:solidFill>
          </w14:textFill>
        </w:rPr>
        <w:t>中小企业声明函（监狱企业及残疾人福利性单位视同小微企业）……………………………………………………………………………（页码）</w:t>
      </w:r>
    </w:p>
    <w:p w14:paraId="7DA27077">
      <w:pPr>
        <w:snapToGrid w:val="0"/>
        <w:spacing w:line="360" w:lineRule="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八、</w:t>
      </w:r>
      <w:r>
        <w:rPr>
          <w:rFonts w:hint="eastAsia" w:ascii="仿宋_GB2312" w:hAnsi="仿宋" w:eastAsia="仿宋_GB2312" w:cs="仿宋_GB2312"/>
          <w:color w:val="000000" w:themeColor="text1"/>
          <w:sz w:val="24"/>
          <w:highlight w:val="none"/>
          <w14:textFill>
            <w14:solidFill>
              <w14:schemeClr w14:val="tx1"/>
            </w14:solidFill>
          </w14:textFill>
        </w:rPr>
        <w:t>符合特定资格条件的有关证明材料（复印件）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0695853">
      <w:pPr>
        <w:spacing w:line="360" w:lineRule="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注：以上目录是编制供应商响应文件的基本格式要求，各供应商可根据自身情况进一步细化。</w:t>
      </w:r>
    </w:p>
    <w:p w14:paraId="4162CBDA">
      <w:pPr>
        <w:widowControl/>
        <w:jc w:val="left"/>
        <w:rPr>
          <w:rFonts w:ascii="宋体" w:hAnsi="宋体"/>
          <w:color w:val="000000" w:themeColor="text1"/>
          <w:sz w:val="24"/>
          <w:szCs w:val="20"/>
          <w:highlight w:val="none"/>
          <w14:textFill>
            <w14:solidFill>
              <w14:schemeClr w14:val="tx1"/>
            </w14:solidFill>
          </w14:textFill>
        </w:rPr>
        <w:sectPr>
          <w:pgSz w:w="11910" w:h="16840"/>
          <w:pgMar w:top="1440" w:right="1080" w:bottom="1440" w:left="1080" w:header="1134" w:footer="1134" w:gutter="0"/>
          <w:pgNumType w:fmt="decimal"/>
          <w:cols w:space="720" w:num="1"/>
        </w:sectPr>
      </w:pPr>
    </w:p>
    <w:p w14:paraId="20F08C9F">
      <w:pPr>
        <w:pStyle w:val="17"/>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一、营业执照(或事业法人登记证或其他工商等登记证明材料)复印件（供应商为自然人的，提供自然人的身份证明）</w:t>
      </w:r>
    </w:p>
    <w:p w14:paraId="70F7E919">
      <w:pPr>
        <w:pStyle w:val="17"/>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041C986E">
      <w:pPr>
        <w:autoSpaceDE w:val="0"/>
        <w:autoSpaceDN w:val="0"/>
        <w:spacing w:line="360" w:lineRule="auto"/>
        <w:ind w:left="4365" w:leftChars="1850" w:hanging="480" w:hanging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61D6FB0">
      <w:pPr>
        <w:autoSpaceDE w:val="0"/>
        <w:autoSpaceDN w:val="0"/>
        <w:spacing w:line="360" w:lineRule="auto"/>
        <w:ind w:firstLine="6120" w:firstLineChars="255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43060ED9">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09D9BD3A">
      <w:pPr>
        <w:pStyle w:val="17"/>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二、符合参与政府采购活动的资格条件依法缴纳税收、社会保障资金等方面的材料</w:t>
      </w:r>
    </w:p>
    <w:p w14:paraId="594FAC7E">
      <w:pPr>
        <w:spacing w:line="300" w:lineRule="auto"/>
        <w:rPr>
          <w:rFonts w:hint="eastAsia" w:ascii="宋体" w:hAnsi="宋体"/>
          <w:color w:val="000000" w:themeColor="text1"/>
          <w:szCs w:val="21"/>
          <w:highlight w:val="none"/>
          <w14:textFill>
            <w14:solidFill>
              <w14:schemeClr w14:val="tx1"/>
            </w14:solidFill>
          </w14:textFill>
        </w:rPr>
      </w:pPr>
    </w:p>
    <w:p w14:paraId="1A66F2D1">
      <w:pPr>
        <w:autoSpaceDE w:val="0"/>
        <w:autoSpaceDN w:val="0"/>
        <w:spacing w:line="360" w:lineRule="auto"/>
        <w:ind w:left="4365" w:leftChars="1850" w:hanging="480" w:hanging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25595C74">
      <w:pPr>
        <w:autoSpaceDE w:val="0"/>
        <w:autoSpaceDN w:val="0"/>
        <w:spacing w:line="360" w:lineRule="auto"/>
        <w:ind w:firstLine="6120" w:firstLineChars="255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D606D8E">
      <w:pPr>
        <w:spacing w:line="300" w:lineRule="auto"/>
        <w:rPr>
          <w:rFonts w:hint="eastAsia" w:ascii="宋体" w:hAnsi="宋体"/>
          <w:color w:val="000000" w:themeColor="text1"/>
          <w:szCs w:val="21"/>
          <w:highlight w:val="none"/>
          <w14:textFill>
            <w14:solidFill>
              <w14:schemeClr w14:val="tx1"/>
            </w14:solidFill>
          </w14:textFill>
        </w:rPr>
      </w:pPr>
    </w:p>
    <w:p w14:paraId="43CB5552">
      <w:pPr>
        <w:spacing w:line="300" w:lineRule="auto"/>
        <w:ind w:firstLine="596" w:firstLineChars="198"/>
        <w:rPr>
          <w:rFonts w:hint="eastAsia"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三、财务状况报告方面的材料</w:t>
      </w:r>
    </w:p>
    <w:p w14:paraId="0D209C6C">
      <w:pPr>
        <w:spacing w:line="300" w:lineRule="auto"/>
        <w:rPr>
          <w:rFonts w:hint="eastAsia" w:ascii="宋体" w:hAnsi="宋体"/>
          <w:color w:val="000000" w:themeColor="text1"/>
          <w:szCs w:val="21"/>
          <w:highlight w:val="none"/>
          <w14:textFill>
            <w14:solidFill>
              <w14:schemeClr w14:val="tx1"/>
            </w14:solidFill>
          </w14:textFill>
        </w:rPr>
      </w:pPr>
    </w:p>
    <w:p w14:paraId="4BF81B25">
      <w:pPr>
        <w:autoSpaceDE w:val="0"/>
        <w:autoSpaceDN w:val="0"/>
        <w:spacing w:line="360" w:lineRule="auto"/>
        <w:ind w:left="4365" w:leftChars="1850" w:hanging="480" w:hanging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F4CAA15">
      <w:pPr>
        <w:autoSpaceDE w:val="0"/>
        <w:autoSpaceDN w:val="0"/>
        <w:spacing w:line="360" w:lineRule="auto"/>
        <w:ind w:firstLine="6120" w:firstLineChars="255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7659890A">
      <w:pPr>
        <w:spacing w:line="32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14:paraId="2EB3C84B">
      <w:pPr>
        <w:snapToGrid w:val="0"/>
        <w:spacing w:before="120" w:beforeLines="50" w:after="50" w:line="360" w:lineRule="auto"/>
        <w:jc w:val="center"/>
        <w:rPr>
          <w:rFonts w:hint="eastAsia" w:ascii="宋体" w:hAnsi="宋体"/>
          <w:b/>
          <w:color w:val="000000" w:themeColor="text1"/>
          <w:sz w:val="24"/>
          <w:highlight w:val="none"/>
          <w14:textFill>
            <w14:solidFill>
              <w14:schemeClr w14:val="tx1"/>
            </w14:solidFill>
          </w14:textFill>
        </w:rPr>
      </w:pPr>
    </w:p>
    <w:p w14:paraId="723B0C7E">
      <w:pPr>
        <w:spacing w:line="360" w:lineRule="auto"/>
        <w:ind w:firstLine="596" w:firstLineChars="198"/>
        <w:rPr>
          <w:rFonts w:hint="eastAsia"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四、供应商直接控股股东信息</w:t>
      </w:r>
    </w:p>
    <w:p w14:paraId="2B356D1E">
      <w:pPr>
        <w:spacing w:line="360" w:lineRule="auto"/>
        <w:jc w:val="center"/>
        <w:rPr>
          <w:rFonts w:hint="eastAsia" w:ascii="宋体" w:hAnsi="宋体"/>
          <w:b/>
          <w:color w:val="000000" w:themeColor="text1"/>
          <w:sz w:val="24"/>
          <w:highlight w:val="none"/>
          <w14:textFill>
            <w14:solidFill>
              <w14:schemeClr w14:val="tx1"/>
            </w14:solidFill>
          </w14:textFill>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F0E45BE">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D277C6">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E441C5">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6ED3E4">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4C78E5">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8FC090">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0F69299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DA4FD5">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BA78D3">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3CA5C3">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12F7FA">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B8219A">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70168DB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EE0C5">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219FAC">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2AE362">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9F5468">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DC614F">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67BFFD9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09CA8C">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6D32F5">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99FF06">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7605F8">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9F7570">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1CD67ED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4CA0E3">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AF5363">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E696D8">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FAB0FE">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DAACE">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79358D42">
      <w:pPr>
        <w:spacing w:line="360" w:lineRule="auto"/>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注：</w:t>
      </w:r>
    </w:p>
    <w:p w14:paraId="7E730678">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9B5C3D0">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4F7F7DEA">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3.供应商不存在直接控股股东的，则填“无”。</w:t>
      </w:r>
    </w:p>
    <w:p w14:paraId="52B2049D">
      <w:pPr>
        <w:snapToGrid w:val="0"/>
        <w:spacing w:line="360" w:lineRule="auto"/>
        <w:jc w:val="left"/>
        <w:rPr>
          <w:rFonts w:hint="eastAsia" w:ascii="宋体" w:hAnsi="宋体" w:cs="宋体"/>
          <w:color w:val="000000" w:themeColor="text1"/>
          <w:sz w:val="24"/>
          <w:highlight w:val="none"/>
          <w14:textFill>
            <w14:solidFill>
              <w14:schemeClr w14:val="tx1"/>
            </w14:solidFill>
          </w14:textFill>
        </w:rPr>
      </w:pPr>
    </w:p>
    <w:p w14:paraId="108CE0B0">
      <w:pPr>
        <w:snapToGrid w:val="0"/>
        <w:spacing w:line="360" w:lineRule="auto"/>
        <w:jc w:val="left"/>
        <w:rPr>
          <w:rFonts w:hint="eastAsia" w:ascii="宋体" w:hAnsi="宋体" w:cs="宋体"/>
          <w:color w:val="000000" w:themeColor="text1"/>
          <w:sz w:val="24"/>
          <w:highlight w:val="none"/>
          <w14:textFill>
            <w14:solidFill>
              <w14:schemeClr w14:val="tx1"/>
            </w14:solidFill>
          </w14:textFill>
        </w:rPr>
      </w:pPr>
    </w:p>
    <w:p w14:paraId="7A82BA50">
      <w:pPr>
        <w:autoSpaceDE w:val="0"/>
        <w:autoSpaceDN w:val="0"/>
        <w:spacing w:line="360" w:lineRule="auto"/>
        <w:ind w:left="4365" w:leftChars="1850" w:hanging="480" w:hanging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BC1A406">
      <w:pPr>
        <w:autoSpaceDE w:val="0"/>
        <w:autoSpaceDN w:val="0"/>
        <w:spacing w:line="360" w:lineRule="auto"/>
        <w:ind w:firstLine="6120" w:firstLineChars="255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806D8BA">
      <w:pPr>
        <w:snapToGrid w:val="0"/>
        <w:rPr>
          <w:rFonts w:hint="eastAsia" w:ascii="仿宋" w:hAnsi="仿宋" w:eastAsia="仿宋" w:cs="仿宋_GB2312"/>
          <w:b/>
          <w:color w:val="000000" w:themeColor="text1"/>
          <w:kern w:val="0"/>
          <w:sz w:val="30"/>
          <w:szCs w:val="30"/>
          <w:highlight w:val="none"/>
          <w14:textFill>
            <w14:solidFill>
              <w14:schemeClr w14:val="tx1"/>
            </w14:solidFill>
          </w14:textFill>
        </w:rPr>
      </w:pPr>
    </w:p>
    <w:p w14:paraId="1D39D320">
      <w:pPr>
        <w:snapToGrid w:val="0"/>
        <w:ind w:firstLine="596" w:firstLineChars="198"/>
        <w:rPr>
          <w:rFonts w:hint="eastAsia"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五、供应商直接管理关系信息表</w:t>
      </w:r>
    </w:p>
    <w:p w14:paraId="2B134846">
      <w:pPr>
        <w:snapToGrid w:val="0"/>
        <w:spacing w:line="360" w:lineRule="auto"/>
        <w:jc w:val="center"/>
        <w:rPr>
          <w:rFonts w:hint="eastAsia" w:ascii="宋体" w:hAnsi="宋体"/>
          <w:b/>
          <w:color w:val="000000" w:themeColor="text1"/>
          <w:sz w:val="24"/>
          <w:highlight w:val="none"/>
          <w14:textFill>
            <w14:solidFill>
              <w14:schemeClr w14:val="tx1"/>
            </w14:solidFill>
          </w14:textFill>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5FD00EF">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94CCAD">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0BB3AF">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0A52A1">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D03C48">
            <w:pPr>
              <w:widowControl/>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625711F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29094D">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EBB653">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E036AB">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F2638">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7703D6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773F40">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C6878D">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D22DFF">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49B8FE">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1D192F6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8C9165">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004EB2">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39CDB9">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30F1E0">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7653DAE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F61FFC">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B1AFB2">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47DD00">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E3BBA9">
            <w:pPr>
              <w:widowControl/>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0A1C2094">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注：</w:t>
      </w:r>
    </w:p>
    <w:p w14:paraId="6D4E6DEB">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7993CC61">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2.本表所指的管理关系仅限于直接管理关系，不包括间接的管理关系。</w:t>
      </w:r>
    </w:p>
    <w:p w14:paraId="05D54E4F">
      <w:pPr>
        <w:spacing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3.供应商不存在直接管理关系的，则填“无”。</w:t>
      </w:r>
    </w:p>
    <w:p w14:paraId="568DEED7">
      <w:pPr>
        <w:spacing w:line="360" w:lineRule="auto"/>
        <w:jc w:val="left"/>
        <w:rPr>
          <w:rFonts w:hint="eastAsia"/>
          <w:color w:val="000000" w:themeColor="text1"/>
          <w:sz w:val="24"/>
          <w:highlight w:val="none"/>
          <w14:textFill>
            <w14:solidFill>
              <w14:schemeClr w14:val="tx1"/>
            </w14:solidFill>
          </w14:textFill>
        </w:rPr>
      </w:pPr>
    </w:p>
    <w:p w14:paraId="7594379E">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5C3C688">
      <w:pPr>
        <w:autoSpaceDE w:val="0"/>
        <w:autoSpaceDN w:val="0"/>
        <w:spacing w:line="360" w:lineRule="auto"/>
        <w:ind w:firstLine="6120" w:firstLineChars="2550"/>
        <w:rPr>
          <w:rFonts w:hint="eastAsia" w:ascii="宋体" w:hAnsi="宋体"/>
          <w:color w:val="000000" w:themeColor="text1"/>
          <w:sz w:val="28"/>
          <w:szCs w:val="28"/>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r>
        <w:rPr>
          <w:rFonts w:hint="eastAsia" w:ascii="宋体" w:hAnsi="宋体"/>
          <w:color w:val="000000" w:themeColor="text1"/>
          <w:sz w:val="24"/>
          <w:highlight w:val="none"/>
          <w14:textFill>
            <w14:solidFill>
              <w14:schemeClr w14:val="tx1"/>
            </w14:solidFill>
          </w14:textFill>
        </w:rPr>
        <w:t xml:space="preserve">                                  </w:t>
      </w:r>
    </w:p>
    <w:p w14:paraId="35255751">
      <w:pPr>
        <w:spacing w:line="320" w:lineRule="exact"/>
        <w:ind w:firstLine="560" w:firstLineChars="200"/>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br w:type="page"/>
      </w:r>
      <w:r>
        <w:rPr>
          <w:rFonts w:hint="eastAsia" w:ascii="仿宋" w:hAnsi="仿宋" w:eastAsia="仿宋" w:cs="仿宋_GB2312"/>
          <w:b/>
          <w:color w:val="000000" w:themeColor="text1"/>
          <w:kern w:val="0"/>
          <w:sz w:val="30"/>
          <w:szCs w:val="30"/>
          <w:highlight w:val="none"/>
          <w14:textFill>
            <w14:solidFill>
              <w14:schemeClr w14:val="tx1"/>
            </w14:solidFill>
          </w14:textFill>
        </w:rPr>
        <w:t>六、资格声明函</w:t>
      </w:r>
    </w:p>
    <w:p w14:paraId="74CC98C0">
      <w:pPr>
        <w:spacing w:line="320" w:lineRule="exact"/>
        <w:jc w:val="center"/>
        <w:rPr>
          <w:rFonts w:hint="eastAsia" w:ascii="宋体" w:hAnsi="宋体"/>
          <w:b/>
          <w:color w:val="000000" w:themeColor="text1"/>
          <w:sz w:val="32"/>
          <w:szCs w:val="32"/>
          <w:highlight w:val="none"/>
          <w14:textFill>
            <w14:solidFill>
              <w14:schemeClr w14:val="tx1"/>
            </w14:solidFill>
          </w14:textFill>
        </w:rPr>
      </w:pPr>
    </w:p>
    <w:p w14:paraId="2447CBD3">
      <w:pPr>
        <w:spacing w:line="24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资格声明函</w:t>
      </w:r>
    </w:p>
    <w:p w14:paraId="4A2ABB48">
      <w:pPr>
        <w:spacing w:line="320" w:lineRule="exact"/>
        <w:jc w:val="center"/>
        <w:rPr>
          <w:rFonts w:hint="eastAsia" w:ascii="宋体" w:hAnsi="宋体"/>
          <w:color w:val="000000" w:themeColor="text1"/>
          <w:sz w:val="24"/>
          <w:szCs w:val="20"/>
          <w:highlight w:val="none"/>
          <w14:textFill>
            <w14:solidFill>
              <w14:schemeClr w14:val="tx1"/>
            </w14:solidFill>
          </w14:textFill>
        </w:rPr>
      </w:pPr>
    </w:p>
    <w:p w14:paraId="4C0F889F">
      <w:pPr>
        <w:spacing w:line="360" w:lineRule="auto"/>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致：</w:t>
      </w:r>
      <w:r>
        <w:rPr>
          <w:rFonts w:hint="eastAsia" w:ascii="仿宋_GB2312" w:hAnsi="宋体" w:eastAsia="仿宋_GB2312" w:cs="宋体"/>
          <w:color w:val="000000" w:themeColor="text1"/>
          <w:sz w:val="24"/>
          <w:highlight w:val="none"/>
          <w:u w:val="single"/>
          <w:lang w:eastAsia="zh-CN"/>
          <w14:textFill>
            <w14:solidFill>
              <w14:schemeClr w14:val="tx1"/>
            </w14:solidFill>
          </w14:textFill>
        </w:rPr>
        <w:t>广西建通工程咨询有限责任公司</w:t>
      </w:r>
      <w:r>
        <w:rPr>
          <w:rFonts w:hint="eastAsia" w:ascii="仿宋_GB2312" w:hAnsi="宋体" w:eastAsia="仿宋_GB2312" w:cs="宋体"/>
          <w:color w:val="000000" w:themeColor="text1"/>
          <w:sz w:val="24"/>
          <w:highlight w:val="none"/>
          <w14:textFill>
            <w14:solidFill>
              <w14:schemeClr w14:val="tx1"/>
            </w14:solidFill>
          </w14:textFill>
        </w:rPr>
        <w:t>：</w:t>
      </w:r>
    </w:p>
    <w:p w14:paraId="123A7808">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u w:val="single"/>
          <w14:textFill>
            <w14:solidFill>
              <w14:schemeClr w14:val="tx1"/>
            </w14:solidFill>
          </w14:textFill>
        </w:rPr>
        <w:t>（供应商名称）</w:t>
      </w:r>
      <w:r>
        <w:rPr>
          <w:rFonts w:hint="eastAsia" w:ascii="仿宋_GB2312" w:hAnsi="宋体" w:eastAsia="仿宋_GB2312" w:cs="宋体"/>
          <w:color w:val="000000" w:themeColor="text1"/>
          <w:sz w:val="24"/>
          <w:highlight w:val="none"/>
          <w14:textFill>
            <w14:solidFill>
              <w14:schemeClr w14:val="tx1"/>
            </w14:solidFill>
          </w14:textFill>
        </w:rPr>
        <w:t>系中华人民共和国合法供应商，经营地址</w:t>
      </w:r>
      <w:r>
        <w:rPr>
          <w:rFonts w:hint="eastAsia" w:ascii="仿宋_GB2312" w:hAnsi="宋体" w:eastAsia="仿宋_GB2312" w:cs="宋体"/>
          <w:color w:val="000000" w:themeColor="text1"/>
          <w:sz w:val="24"/>
          <w:highlight w:val="none"/>
          <w:u w:val="single"/>
          <w14:textFill>
            <w14:solidFill>
              <w14:schemeClr w14:val="tx1"/>
            </w14:solidFill>
          </w14:textFill>
        </w:rPr>
        <w:t xml:space="preserve">                              </w:t>
      </w:r>
      <w:r>
        <w:rPr>
          <w:rFonts w:hint="eastAsia" w:ascii="仿宋_GB2312" w:hAnsi="宋体" w:eastAsia="仿宋_GB2312" w:cs="宋体"/>
          <w:color w:val="000000" w:themeColor="text1"/>
          <w:sz w:val="24"/>
          <w:highlight w:val="none"/>
          <w14:textFill>
            <w14:solidFill>
              <w14:schemeClr w14:val="tx1"/>
            </w14:solidFill>
          </w14:textFill>
        </w:rPr>
        <w:t>。</w:t>
      </w:r>
    </w:p>
    <w:p w14:paraId="47C7D108">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我方愿意参加贵方组织的</w:t>
      </w:r>
      <w:r>
        <w:rPr>
          <w:rFonts w:hint="eastAsia" w:ascii="仿宋_GB2312" w:hAnsi="宋体" w:eastAsia="仿宋_GB2312" w:cs="宋体"/>
          <w:color w:val="000000" w:themeColor="text1"/>
          <w:sz w:val="24"/>
          <w:highlight w:val="none"/>
          <w:u w:val="single"/>
          <w:lang w:eastAsia="zh-CN"/>
          <w14:textFill>
            <w14:solidFill>
              <w14:schemeClr w14:val="tx1"/>
            </w14:solidFill>
          </w14:textFill>
        </w:rPr>
        <w:t>南宁市第一看守所2026年度在押人员伙房伙食灶醇基液体燃料采购</w:t>
      </w:r>
      <w:r>
        <w:rPr>
          <w:rFonts w:hint="eastAsia" w:ascii="仿宋_GB2312" w:hAnsi="宋体" w:eastAsia="仿宋_GB2312" w:cs="宋体"/>
          <w:color w:val="000000" w:themeColor="text1"/>
          <w:sz w:val="24"/>
          <w:highlight w:val="none"/>
          <w14:textFill>
            <w14:solidFill>
              <w14:schemeClr w14:val="tx1"/>
            </w14:solidFill>
          </w14:textFill>
        </w:rPr>
        <w:t>项目的竞标，为便于贵方公正、择优地确定成交供应商及其竞标产品和货物，我方就本次竞标有关事项郑重声明如下：</w:t>
      </w:r>
    </w:p>
    <w:p w14:paraId="7DA485FC">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1.我方向贵方提交的所有响应文件、资料都是准确的和真实的。</w:t>
      </w:r>
    </w:p>
    <w:p w14:paraId="50DD0FE7">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05FE610F">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3.在此，我方宣布同意如下：</w:t>
      </w:r>
    </w:p>
    <w:p w14:paraId="2CFD8FFC">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（1）将按谈判文件的约定履行合同责任和义务；</w:t>
      </w:r>
    </w:p>
    <w:p w14:paraId="55B28D8E">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（2）已详细审查全部谈判文件，包括澄清或者更正公告（如有）；</w:t>
      </w:r>
    </w:p>
    <w:p w14:paraId="55506BD1">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（3）同意提供按照贵方可能要求的与谈判有关的一切数据或者资料；</w:t>
      </w:r>
    </w:p>
    <w:p w14:paraId="3B5286F5">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（4）响应谈判文件规定的竞标有效期。</w:t>
      </w:r>
    </w:p>
    <w:p w14:paraId="6CF321F3">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1DC3108">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548938C">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1228BF0">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□我方本次响应文件</w:t>
      </w:r>
      <w:r>
        <w:rPr>
          <w:rFonts w:hint="eastAsia" w:ascii="仿宋_GB2312" w:hAnsi="宋体" w:eastAsia="仿宋_GB2312" w:cs="宋体"/>
          <w:color w:val="000000" w:themeColor="text1"/>
          <w:kern w:val="0"/>
          <w:sz w:val="24"/>
          <w:highlight w:val="none"/>
          <w14:textFill>
            <w14:solidFill>
              <w14:schemeClr w14:val="tx1"/>
            </w14:solidFill>
          </w14:textFill>
        </w:rPr>
        <w:t>内容中</w:t>
      </w:r>
      <w:r>
        <w:rPr>
          <w:rFonts w:hint="eastAsia" w:ascii="仿宋_GB2312" w:hAnsi="宋体" w:eastAsia="仿宋_GB2312" w:cs="宋体"/>
          <w:color w:val="000000" w:themeColor="text1"/>
          <w:sz w:val="24"/>
          <w:highlight w:val="none"/>
          <w14:textFill>
            <w14:solidFill>
              <w14:schemeClr w14:val="tx1"/>
            </w14:solidFill>
          </w14:textFill>
        </w:rPr>
        <w:t>未</w:t>
      </w:r>
      <w:r>
        <w:rPr>
          <w:rFonts w:hint="eastAsia" w:ascii="仿宋_GB2312" w:hAnsi="宋体" w:eastAsia="仿宋_GB2312" w:cs="宋体"/>
          <w:color w:val="000000" w:themeColor="text1"/>
          <w:kern w:val="0"/>
          <w:sz w:val="24"/>
          <w:highlight w:val="none"/>
          <w14:textFill>
            <w14:solidFill>
              <w14:schemeClr w14:val="tx1"/>
            </w14:solidFill>
          </w14:textFill>
        </w:rPr>
        <w:t>涉及商业秘密；</w:t>
      </w:r>
    </w:p>
    <w:p w14:paraId="0BF9807B">
      <w:pPr>
        <w:spacing w:line="360" w:lineRule="auto"/>
        <w:ind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□我方本次响应文件</w:t>
      </w:r>
      <w:r>
        <w:rPr>
          <w:rFonts w:hint="eastAsia" w:ascii="仿宋_GB2312" w:hAnsi="宋体" w:eastAsia="仿宋_GB2312" w:cs="宋体"/>
          <w:color w:val="000000" w:themeColor="text1"/>
          <w:kern w:val="0"/>
          <w:sz w:val="24"/>
          <w:highlight w:val="none"/>
          <w14:textFill>
            <w14:solidFill>
              <w14:schemeClr w14:val="tx1"/>
            </w14:solidFill>
          </w14:textFill>
        </w:rPr>
        <w:t>涉及商业秘密的内容有：</w:t>
      </w:r>
      <w:r>
        <w:rPr>
          <w:rFonts w:hint="eastAsia" w:ascii="仿宋_GB2312" w:hAnsi="宋体" w:eastAsia="仿宋_GB2312" w:cs="宋体"/>
          <w:color w:val="000000" w:themeColor="text1"/>
          <w:kern w:val="0"/>
          <w:sz w:val="24"/>
          <w:highlight w:val="none"/>
          <w:u w:val="single"/>
          <w14:textFill>
            <w14:solidFill>
              <w14:schemeClr w14:val="tx1"/>
            </w14:solidFill>
          </w14:textFill>
        </w:rPr>
        <w:t xml:space="preserve">                         </w:t>
      </w:r>
      <w:r>
        <w:rPr>
          <w:rFonts w:hint="eastAsia" w:ascii="仿宋_GB2312" w:hAnsi="宋体" w:eastAsia="仿宋_GB2312" w:cs="宋体"/>
          <w:color w:val="000000" w:themeColor="text1"/>
          <w:kern w:val="0"/>
          <w:sz w:val="24"/>
          <w:highlight w:val="none"/>
          <w14:textFill>
            <w14:solidFill>
              <w14:schemeClr w14:val="tx1"/>
            </w14:solidFill>
          </w14:textFill>
        </w:rPr>
        <w:t>；</w:t>
      </w:r>
    </w:p>
    <w:p w14:paraId="511167F9">
      <w:pPr>
        <w:pStyle w:val="17"/>
        <w:spacing w:line="360" w:lineRule="auto"/>
        <w:ind w:firstLine="480" w:firstLineChars="200"/>
        <w:rPr>
          <w:rFonts w:hint="eastAsia" w:ascii="仿宋_GB2312" w:hAnsi="宋体" w:eastAsia="仿宋_GB2312" w:cs="宋体"/>
          <w:color w:val="000000" w:themeColor="text1"/>
          <w:sz w:val="24"/>
          <w:szCs w:val="24"/>
          <w:highlight w:val="none"/>
          <w:u w:val="single"/>
          <w14:textFill>
            <w14:solidFill>
              <w14:schemeClr w14:val="tx1"/>
            </w14:solidFill>
          </w14:textFill>
        </w:rPr>
      </w:pPr>
      <w:r>
        <w:rPr>
          <w:rFonts w:hint="eastAsia" w:ascii="仿宋_GB2312" w:hAnsi="宋体" w:eastAsia="仿宋_GB2312" w:cs="宋体"/>
          <w:color w:val="000000" w:themeColor="text1"/>
          <w:sz w:val="24"/>
          <w:szCs w:val="24"/>
          <w:highlight w:val="none"/>
          <w14:textFill>
            <w14:solidFill>
              <w14:schemeClr w14:val="tx1"/>
            </w14:solidFill>
          </w14:textFill>
        </w:rPr>
        <w:t>7.与本谈判有关的一切正式往来信函请寄：</w:t>
      </w:r>
      <w:r>
        <w:rPr>
          <w:rFonts w:hint="eastAsia" w:ascii="仿宋_GB2312" w:hAnsi="宋体" w:eastAsia="仿宋_GB2312" w:cs="宋体"/>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s="宋体"/>
          <w:color w:val="000000" w:themeColor="text1"/>
          <w:sz w:val="24"/>
          <w:szCs w:val="24"/>
          <w:highlight w:val="none"/>
          <w14:textFill>
            <w14:solidFill>
              <w14:schemeClr w14:val="tx1"/>
            </w14:solidFill>
          </w14:textFill>
        </w:rPr>
        <w:t>邮政编号：</w:t>
      </w:r>
      <w:r>
        <w:rPr>
          <w:rFonts w:hint="eastAsia" w:ascii="仿宋_GB2312" w:hAnsi="宋体" w:eastAsia="仿宋_GB2312" w:cs="宋体"/>
          <w:color w:val="000000" w:themeColor="text1"/>
          <w:sz w:val="24"/>
          <w:szCs w:val="24"/>
          <w:highlight w:val="none"/>
          <w:u w:val="single"/>
          <w14:textFill>
            <w14:solidFill>
              <w14:schemeClr w14:val="tx1"/>
            </w14:solidFill>
          </w14:textFill>
        </w:rPr>
        <w:t xml:space="preserve">        </w:t>
      </w:r>
    </w:p>
    <w:p w14:paraId="573363BE">
      <w:pPr>
        <w:pStyle w:val="17"/>
        <w:spacing w:line="360" w:lineRule="auto"/>
        <w:ind w:firstLine="480" w:firstLineChars="200"/>
        <w:rPr>
          <w:rFonts w:hint="eastAsia" w:ascii="仿宋_GB2312" w:hAnsi="宋体" w:eastAsia="仿宋_GB2312" w:cs="宋体"/>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sz w:val="24"/>
          <w:szCs w:val="24"/>
          <w:highlight w:val="none"/>
          <w14:textFill>
            <w14:solidFill>
              <w14:schemeClr w14:val="tx1"/>
            </w14:solidFill>
          </w14:textFill>
        </w:rPr>
        <w:t>电话/传真：</w:t>
      </w:r>
      <w:r>
        <w:rPr>
          <w:rFonts w:hint="eastAsia" w:ascii="仿宋_GB2312" w:hAnsi="宋体" w:eastAsia="仿宋_GB2312" w:cs="宋体"/>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s="宋体"/>
          <w:color w:val="000000" w:themeColor="text1"/>
          <w:sz w:val="24"/>
          <w:szCs w:val="24"/>
          <w:highlight w:val="none"/>
          <w14:textFill>
            <w14:solidFill>
              <w14:schemeClr w14:val="tx1"/>
            </w14:solidFill>
          </w14:textFill>
        </w:rPr>
        <w:t xml:space="preserve"> 电子函件：</w:t>
      </w:r>
      <w:r>
        <w:rPr>
          <w:rFonts w:hint="eastAsia" w:ascii="仿宋_GB2312" w:hAnsi="宋体" w:eastAsia="仿宋_GB2312" w:cs="宋体"/>
          <w:color w:val="000000" w:themeColor="text1"/>
          <w:sz w:val="24"/>
          <w:szCs w:val="24"/>
          <w:highlight w:val="none"/>
          <w:u w:val="single"/>
          <w14:textFill>
            <w14:solidFill>
              <w14:schemeClr w14:val="tx1"/>
            </w14:solidFill>
          </w14:textFill>
        </w:rPr>
        <w:t xml:space="preserve">                            </w:t>
      </w:r>
      <w:r>
        <w:rPr>
          <w:rFonts w:hint="eastAsia" w:ascii="仿宋_GB2312" w:hAnsi="宋体" w:eastAsia="仿宋_GB2312" w:cs="宋体"/>
          <w:color w:val="000000" w:themeColor="text1"/>
          <w:sz w:val="24"/>
          <w:szCs w:val="24"/>
          <w:highlight w:val="none"/>
          <w14:textFill>
            <w14:solidFill>
              <w14:schemeClr w14:val="tx1"/>
            </w14:solidFill>
          </w14:textFill>
        </w:rPr>
        <w:t xml:space="preserve">    </w:t>
      </w:r>
    </w:p>
    <w:p w14:paraId="396C06C6">
      <w:pPr>
        <w:pStyle w:val="15"/>
        <w:tabs>
          <w:tab w:val="left" w:pos="939"/>
        </w:tabs>
        <w:spacing w:line="360" w:lineRule="auto"/>
        <w:ind w:left="141" w:leftChars="67" w:firstLine="360" w:firstLineChars="15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开户银行：</w:t>
      </w:r>
      <w:r>
        <w:rPr>
          <w:rFonts w:hint="eastAsia" w:ascii="仿宋_GB2312" w:hAnsi="宋体" w:eastAsia="仿宋_GB2312" w:cs="宋体"/>
          <w:color w:val="000000" w:themeColor="text1"/>
          <w:sz w:val="24"/>
          <w:highlight w:val="none"/>
          <w:u w:val="single"/>
          <w14:textFill>
            <w14:solidFill>
              <w14:schemeClr w14:val="tx1"/>
            </w14:solidFill>
          </w14:textFill>
        </w:rPr>
        <w:t xml:space="preserve">                         </w:t>
      </w:r>
      <w:r>
        <w:rPr>
          <w:rFonts w:hint="eastAsia" w:ascii="仿宋_GB2312" w:hAnsi="宋体" w:eastAsia="仿宋_GB2312" w:cs="宋体"/>
          <w:color w:val="000000" w:themeColor="text1"/>
          <w:sz w:val="24"/>
          <w:highlight w:val="none"/>
          <w14:textFill>
            <w14:solidFill>
              <w14:schemeClr w14:val="tx1"/>
            </w14:solidFill>
          </w14:textFill>
        </w:rPr>
        <w:t xml:space="preserve">  </w:t>
      </w:r>
      <w:r>
        <w:rPr>
          <w:rFonts w:hint="eastAsia" w:ascii="仿宋_GB2312" w:hAnsi="宋体" w:eastAsia="仿宋_GB2312" w:cs="宋体"/>
          <w:color w:val="000000" w:themeColor="text1"/>
          <w:sz w:val="24"/>
          <w:highlight w:val="none"/>
          <w:lang w:val="en-US" w:eastAsia="zh-CN"/>
          <w14:textFill>
            <w14:solidFill>
              <w14:schemeClr w14:val="tx1"/>
            </w14:solidFill>
          </w14:textFill>
        </w:rPr>
        <w:t>账</w:t>
      </w:r>
      <w:r>
        <w:rPr>
          <w:rFonts w:hint="eastAsia" w:ascii="仿宋_GB2312" w:hAnsi="宋体" w:eastAsia="仿宋_GB2312" w:cs="宋体"/>
          <w:color w:val="000000" w:themeColor="text1"/>
          <w:sz w:val="24"/>
          <w:highlight w:val="none"/>
          <w14:textFill>
            <w14:solidFill>
              <w14:schemeClr w14:val="tx1"/>
            </w14:solidFill>
          </w14:textFill>
        </w:rPr>
        <w:t>号：</w:t>
      </w:r>
      <w:r>
        <w:rPr>
          <w:rFonts w:hint="eastAsia" w:ascii="仿宋_GB2312" w:hAnsi="宋体" w:eastAsia="仿宋_GB2312" w:cs="宋体"/>
          <w:color w:val="000000" w:themeColor="text1"/>
          <w:sz w:val="24"/>
          <w:highlight w:val="none"/>
          <w:u w:val="single"/>
          <w14:textFill>
            <w14:solidFill>
              <w14:schemeClr w14:val="tx1"/>
            </w14:solidFill>
          </w14:textFill>
        </w:rPr>
        <w:t xml:space="preserve">                               </w:t>
      </w:r>
    </w:p>
    <w:p w14:paraId="5CE95316">
      <w:pPr>
        <w:pStyle w:val="15"/>
        <w:tabs>
          <w:tab w:val="left" w:pos="939"/>
        </w:tabs>
        <w:spacing w:line="360" w:lineRule="auto"/>
        <w:ind w:left="0" w:leftChars="0" w:firstLine="480" w:firstLineChars="20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8.以上事项如有虚假或者隐瞒，我方愿意承担一切后果，并不再寻求任何旨在减轻或者免除法律责任的辩解。</w:t>
      </w:r>
    </w:p>
    <w:p w14:paraId="19384462">
      <w:pPr>
        <w:pStyle w:val="15"/>
        <w:tabs>
          <w:tab w:val="left" w:pos="939"/>
        </w:tabs>
        <w:spacing w:line="360" w:lineRule="auto"/>
        <w:ind w:left="141" w:leftChars="67" w:firstLine="360" w:firstLineChars="150"/>
        <w:rPr>
          <w:rFonts w:hint="eastAsia"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特此承诺。</w:t>
      </w:r>
    </w:p>
    <w:p w14:paraId="52F74C15">
      <w:pPr>
        <w:pStyle w:val="15"/>
        <w:tabs>
          <w:tab w:val="left" w:pos="939"/>
        </w:tabs>
        <w:spacing w:line="360" w:lineRule="auto"/>
        <w:ind w:left="0" w:lef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注：如为联合体竞标，盖章处须加盖联合体各方公章并由联合体各方法定代表人签署，否则其响应文件按无效响应处理。</w:t>
      </w:r>
    </w:p>
    <w:p w14:paraId="68C1B541">
      <w:pPr>
        <w:pStyle w:val="15"/>
        <w:tabs>
          <w:tab w:val="left" w:pos="939"/>
        </w:tabs>
        <w:spacing w:line="360" w:lineRule="auto"/>
        <w:ind w:left="0" w:leftChars="0" w:firstLine="480" w:firstLineChars="200"/>
        <w:rPr>
          <w:rFonts w:hint="eastAsia" w:ascii="宋体" w:hAnsi="宋体" w:cs="宋体"/>
          <w:color w:val="000000" w:themeColor="text1"/>
          <w:sz w:val="24"/>
          <w:highlight w:val="none"/>
          <w14:textFill>
            <w14:solidFill>
              <w14:schemeClr w14:val="tx1"/>
            </w14:solidFill>
          </w14:textFill>
        </w:rPr>
      </w:pPr>
    </w:p>
    <w:p w14:paraId="3D330241">
      <w:pPr>
        <w:autoSpaceDE w:val="0"/>
        <w:autoSpaceDN w:val="0"/>
        <w:spacing w:line="360" w:lineRule="auto"/>
        <w:ind w:left="4365" w:leftChars="1850" w:hanging="480" w:hanging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564F2EF3">
      <w:pPr>
        <w:autoSpaceDE w:val="0"/>
        <w:autoSpaceDN w:val="0"/>
        <w:spacing w:line="360" w:lineRule="auto"/>
        <w:ind w:firstLine="6120" w:firstLineChars="25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8A8A5FA">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10" w:h="16840"/>
          <w:pgMar w:top="1440" w:right="1080" w:bottom="1440" w:left="1080" w:header="720" w:footer="720" w:gutter="0"/>
          <w:pgNumType w:fmt="decimal"/>
          <w:cols w:space="720" w:num="1"/>
        </w:sectPr>
      </w:pPr>
    </w:p>
    <w:p w14:paraId="1206941D">
      <w:pPr>
        <w:numPr>
          <w:ilvl w:val="0"/>
          <w:numId w:val="0"/>
        </w:numPr>
        <w:spacing w:line="300" w:lineRule="auto"/>
        <w:rPr>
          <w:rFonts w:hint="eastAsia" w:ascii="仿宋" w:hAnsi="仿宋" w:eastAsia="仿宋" w:cs="仿宋"/>
          <w:b/>
          <w:color w:val="000000" w:themeColor="text1"/>
          <w:kern w:val="2"/>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七、</w:t>
      </w:r>
      <w:r>
        <w:rPr>
          <w:rFonts w:hint="eastAsia" w:ascii="仿宋" w:hAnsi="仿宋" w:eastAsia="仿宋" w:cs="仿宋"/>
          <w:b/>
          <w:color w:val="000000" w:themeColor="text1"/>
          <w:kern w:val="2"/>
          <w:sz w:val="30"/>
          <w:szCs w:val="30"/>
          <w:highlight w:val="none"/>
          <w14:textFill>
            <w14:solidFill>
              <w14:schemeClr w14:val="tx1"/>
            </w14:solidFill>
          </w14:textFill>
        </w:rPr>
        <w:t>中小企业声明函格式</w:t>
      </w:r>
    </w:p>
    <w:p w14:paraId="42919A56">
      <w:pPr>
        <w:numPr>
          <w:ilvl w:val="0"/>
          <w:numId w:val="0"/>
        </w:numPr>
        <w:spacing w:line="300" w:lineRule="auto"/>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2AEFF7AE">
      <w:pPr>
        <w:numPr>
          <w:ilvl w:val="0"/>
          <w:numId w:val="0"/>
        </w:numPr>
        <w:spacing w:line="300" w:lineRule="auto"/>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中小企业声明函（货物）</w:t>
      </w:r>
    </w:p>
    <w:p w14:paraId="1D8520AE">
      <w:pPr>
        <w:pStyle w:val="13"/>
        <w:spacing w:after="0" w:line="360" w:lineRule="auto"/>
        <w:ind w:left="-426" w:right="142" w:firstLine="64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sz w:val="24"/>
          <w:highlight w:val="none"/>
          <w:u w:val="single"/>
          <w:lang w:eastAsia="zh-CN"/>
          <w14:textFill>
            <w14:solidFill>
              <w14:schemeClr w14:val="tx1"/>
            </w14:solidFill>
          </w14:textFill>
        </w:rPr>
        <w:t>南宁市第一看守所</w:t>
      </w:r>
      <w:r>
        <w:rPr>
          <w:rFonts w:hint="eastAsia"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u w:val="single"/>
          <w:lang w:eastAsia="zh-CN"/>
          <w14:textFill>
            <w14:solidFill>
              <w14:schemeClr w14:val="tx1"/>
            </w14:solidFill>
          </w14:textFill>
        </w:rPr>
        <w:t>南宁市第一看守所2026年度在押人员伙房伙食灶醇基液体燃料采购</w:t>
      </w:r>
      <w:r>
        <w:rPr>
          <w:rFonts w:hint="eastAsia"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2D1D7FFF">
      <w:pPr>
        <w:tabs>
          <w:tab w:val="left" w:pos="1384"/>
          <w:tab w:val="left" w:pos="4562"/>
          <w:tab w:val="left" w:pos="6803"/>
        </w:tabs>
        <w:spacing w:line="360" w:lineRule="auto"/>
        <w:ind w:left="-426" w:right="-58" w:firstLine="655"/>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u w:val="single"/>
          <w14:textFill>
            <w14:solidFill>
              <w14:schemeClr w14:val="tx1"/>
            </w14:solidFill>
          </w14:textFill>
        </w:rPr>
        <w:t>（标的名称）</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（采购文件中明确的所属行业）</w:t>
      </w:r>
      <w:r>
        <w:rPr>
          <w:rFonts w:hint="eastAsia" w:ascii="宋体" w:hAnsi="宋体"/>
          <w:color w:val="000000" w:themeColor="text1"/>
          <w:sz w:val="24"/>
          <w:highlight w:val="none"/>
          <w14:textFill>
            <w14:solidFill>
              <w14:schemeClr w14:val="tx1"/>
            </w14:solidFill>
          </w14:textFill>
        </w:rPr>
        <w:t>行业；制造商为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5D6EEE27">
      <w:pPr>
        <w:tabs>
          <w:tab w:val="left" w:pos="1065"/>
          <w:tab w:val="left" w:pos="6477"/>
        </w:tabs>
        <w:spacing w:line="360" w:lineRule="auto"/>
        <w:ind w:left="-426" w:right="-58" w:firstLine="655"/>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（标的名称）</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（采购文件中明确的所属行业）</w:t>
      </w:r>
      <w:r>
        <w:rPr>
          <w:rFonts w:hint="eastAsia" w:ascii="宋体" w:hAnsi="宋体"/>
          <w:color w:val="000000" w:themeColor="text1"/>
          <w:sz w:val="24"/>
          <w:highlight w:val="none"/>
          <w14:textFill>
            <w14:solidFill>
              <w14:schemeClr w14:val="tx1"/>
            </w14:solidFill>
          </w14:textFill>
        </w:rPr>
        <w:t>行业；制造商为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18E2FC2F">
      <w:pPr>
        <w:pStyle w:val="13"/>
        <w:spacing w:after="0" w:line="360" w:lineRule="auto"/>
        <w:ind w:left="142" w:right="142"/>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5938CC20">
      <w:pPr>
        <w:pStyle w:val="13"/>
        <w:spacing w:after="0" w:line="360" w:lineRule="auto"/>
        <w:ind w:left="-405" w:leftChars="-193" w:right="142" w:firstLine="453" w:firstLineChars="189"/>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72A20487">
      <w:pPr>
        <w:pStyle w:val="13"/>
        <w:spacing w:after="0" w:line="360" w:lineRule="auto"/>
        <w:ind w:left="-426" w:right="142" w:firstLine="567"/>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67B6AD6D">
      <w:pPr>
        <w:pStyle w:val="13"/>
        <w:spacing w:after="0" w:line="360" w:lineRule="auto"/>
        <w:ind w:left="3960" w:right="1808"/>
        <w:contextualSpacing/>
        <w:rPr>
          <w:rFonts w:hint="eastAsia" w:ascii="宋体" w:hAnsi="宋体"/>
          <w:color w:val="000000" w:themeColor="text1"/>
          <w:sz w:val="24"/>
          <w:highlight w:val="none"/>
          <w14:textFill>
            <w14:solidFill>
              <w14:schemeClr w14:val="tx1"/>
            </w14:solidFill>
          </w14:textFill>
        </w:rPr>
      </w:pPr>
    </w:p>
    <w:p w14:paraId="42ECC053">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02EFE626">
      <w:pPr>
        <w:autoSpaceDE w:val="0"/>
        <w:autoSpaceDN w:val="0"/>
        <w:spacing w:line="360" w:lineRule="auto"/>
        <w:ind w:firstLine="6480" w:firstLineChars="27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01FFCB6">
      <w:pPr>
        <w:pStyle w:val="13"/>
        <w:spacing w:after="0" w:line="360" w:lineRule="auto"/>
        <w:ind w:left="3960" w:right="1808"/>
        <w:contextualSpacing/>
        <w:rPr>
          <w:rFonts w:hint="eastAsia"/>
          <w:color w:val="000000" w:themeColor="text1"/>
          <w:highlight w:val="none"/>
          <w14:textFill>
            <w14:solidFill>
              <w14:schemeClr w14:val="tx1"/>
            </w14:solidFill>
          </w14:textFill>
        </w:rPr>
      </w:pPr>
    </w:p>
    <w:p w14:paraId="146501DE">
      <w:pPr>
        <w:spacing w:line="360" w:lineRule="auto"/>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0603D5D">
      <w:pPr>
        <w:spacing w:line="360" w:lineRule="auto"/>
        <w:ind w:firstLine="753" w:firstLineChars="250"/>
        <w:jc w:val="center"/>
        <w:rPr>
          <w:rFonts w:hint="eastAsia" w:ascii="宋体" w:hAnsi="宋体" w:eastAsia="宋体" w:cs="宋体"/>
          <w:b/>
          <w:color w:val="000000" w:themeColor="text1"/>
          <w:kern w:val="2"/>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br w:type="page"/>
      </w:r>
      <w:r>
        <w:rPr>
          <w:rFonts w:hint="eastAsia" w:ascii="宋体" w:hAnsi="宋体" w:eastAsia="宋体" w:cs="宋体"/>
          <w:b/>
          <w:color w:val="000000" w:themeColor="text1"/>
          <w:kern w:val="2"/>
          <w:sz w:val="30"/>
          <w:szCs w:val="30"/>
          <w:highlight w:val="none"/>
          <w14:textFill>
            <w14:solidFill>
              <w14:schemeClr w14:val="tx1"/>
            </w14:solidFill>
          </w14:textFill>
        </w:rPr>
        <w:t>残疾人福利性单位声明函格式</w:t>
      </w:r>
    </w:p>
    <w:p w14:paraId="47F491F2">
      <w:pPr>
        <w:spacing w:line="520" w:lineRule="exact"/>
        <w:rPr>
          <w:rFonts w:hint="eastAsia" w:ascii="宋体" w:hAnsi="宋体" w:eastAsia="宋体" w:cs="宋体"/>
          <w:color w:val="000000" w:themeColor="text1"/>
          <w:sz w:val="32"/>
          <w:szCs w:val="32"/>
          <w:highlight w:val="none"/>
          <w14:textFill>
            <w14:solidFill>
              <w14:schemeClr w14:val="tx1"/>
            </w14:solidFill>
          </w14:textFill>
        </w:rPr>
      </w:pPr>
    </w:p>
    <w:p w14:paraId="6F2767A7">
      <w:pPr>
        <w:rPr>
          <w:rFonts w:hint="eastAsia" w:ascii="宋体" w:hAnsi="宋体" w:eastAsia="宋体" w:cs="宋体"/>
          <w:color w:val="000000" w:themeColor="text1"/>
          <w:highlight w:val="none"/>
          <w14:textFill>
            <w14:solidFill>
              <w14:schemeClr w14:val="tx1"/>
            </w14:solidFill>
          </w14:textFill>
        </w:rPr>
      </w:pPr>
    </w:p>
    <w:p w14:paraId="57CAE546">
      <w:pPr>
        <w:spacing w:line="360" w:lineRule="auto"/>
        <w:ind w:firstLine="480" w:firstLineChars="200"/>
        <w:contextualSpacing/>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单位的</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76F969D3">
      <w:pPr>
        <w:spacing w:line="360" w:lineRule="auto"/>
        <w:ind w:firstLine="480" w:firstLineChars="200"/>
        <w:contextualSpacing/>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本单位对上述声明的真实性负责。如有虚假，将依法承担相应责任。</w:t>
      </w:r>
    </w:p>
    <w:p w14:paraId="45FB417C">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69DDEC01">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14EC92C8">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1D2E81C7">
      <w:pPr>
        <w:spacing w:line="360" w:lineRule="auto"/>
        <w:ind w:firstLine="2400" w:firstLineChars="1000"/>
        <w:contextualSpacing/>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供应商名称（电子签章）：</w:t>
      </w:r>
    </w:p>
    <w:p w14:paraId="21520D53">
      <w:pPr>
        <w:spacing w:line="360" w:lineRule="auto"/>
        <w:ind w:firstLine="4320" w:firstLineChars="1800"/>
        <w:contextualSpacing/>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  期：     年   月   日</w:t>
      </w:r>
    </w:p>
    <w:p w14:paraId="6239144D">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37E66285">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49FAA297">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p>
    <w:p w14:paraId="3B462B95">
      <w:pPr>
        <w:spacing w:line="360" w:lineRule="auto"/>
        <w:contextualSpacing/>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w:t>
      </w:r>
    </w:p>
    <w:p w14:paraId="5B04ACE8">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lang w:val="en-US" w:eastAsia="zh-CN"/>
          <w14:textFill>
            <w14:solidFill>
              <w14:schemeClr w14:val="tx1"/>
            </w14:solidFill>
          </w14:textFill>
        </w:rPr>
        <w:t>八</w:t>
      </w:r>
      <w:r>
        <w:rPr>
          <w:rFonts w:hint="eastAsia" w:ascii="仿宋" w:hAnsi="仿宋" w:eastAsia="仿宋" w:cs="仿宋_GB2312"/>
          <w:b/>
          <w:color w:val="000000" w:themeColor="text1"/>
          <w:sz w:val="30"/>
          <w:szCs w:val="30"/>
          <w:highlight w:val="none"/>
          <w14:textFill>
            <w14:solidFill>
              <w14:schemeClr w14:val="tx1"/>
            </w14:solidFill>
          </w14:textFill>
        </w:rPr>
        <w:t>、符合特定资格条件的有关证明材料（复印件）</w:t>
      </w:r>
    </w:p>
    <w:p w14:paraId="38B09687">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6ECD0EF9">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6427436">
      <w:pPr>
        <w:autoSpaceDE w:val="0"/>
        <w:autoSpaceDN w:val="0"/>
        <w:spacing w:line="360" w:lineRule="auto"/>
        <w:ind w:firstLine="6480" w:firstLineChars="270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72CF7492">
      <w:pPr>
        <w:widowControl/>
        <w:spacing w:line="360" w:lineRule="auto"/>
        <w:jc w:val="left"/>
        <w:rPr>
          <w:rFonts w:ascii="宋体" w:hAnsi="宋体"/>
          <w:color w:val="000000" w:themeColor="text1"/>
          <w:highlight w:val="none"/>
          <w14:textFill>
            <w14:solidFill>
              <w14:schemeClr w14:val="tx1"/>
            </w14:solidFill>
          </w14:textFill>
        </w:rPr>
        <w:sectPr>
          <w:pgSz w:w="11910" w:h="16840"/>
          <w:pgMar w:top="1440" w:right="1080" w:bottom="1440" w:left="1080" w:header="720" w:footer="720" w:gutter="0"/>
          <w:pgNumType w:fmt="decimal"/>
          <w:cols w:space="720" w:num="1"/>
        </w:sectPr>
      </w:pPr>
    </w:p>
    <w:p w14:paraId="2BB1D8B5">
      <w:pPr>
        <w:pStyle w:val="3"/>
        <w:jc w:val="center"/>
        <w:rPr>
          <w:rFonts w:hint="eastAsia" w:ascii="宋体" w:hAnsi="宋体" w:cs="宋体"/>
          <w:b w:val="0"/>
          <w:color w:val="000000" w:themeColor="text1"/>
          <w:highlight w:val="none"/>
          <w14:textFill>
            <w14:solidFill>
              <w14:schemeClr w14:val="tx1"/>
            </w14:solidFill>
          </w14:textFill>
        </w:rPr>
      </w:pPr>
      <w:bookmarkStart w:id="69" w:name="_Toc14371"/>
      <w:r>
        <w:rPr>
          <w:rFonts w:hint="eastAsia" w:ascii="宋体" w:hAnsi="宋体"/>
          <w:b w:val="0"/>
          <w:bCs w:val="0"/>
          <w:color w:val="000000" w:themeColor="text1"/>
          <w:highlight w:val="none"/>
          <w14:textFill>
            <w14:solidFill>
              <w14:schemeClr w14:val="tx1"/>
            </w14:solidFill>
          </w14:textFill>
        </w:rPr>
        <w:t xml:space="preserve">第三节 </w:t>
      </w:r>
      <w:r>
        <w:rPr>
          <w:rFonts w:hint="eastAsia" w:ascii="宋体" w:hAnsi="宋体"/>
          <w:b w:val="0"/>
          <w:color w:val="000000" w:themeColor="text1"/>
          <w:highlight w:val="none"/>
          <w14:textFill>
            <w14:solidFill>
              <w14:schemeClr w14:val="tx1"/>
            </w14:solidFill>
          </w14:textFill>
        </w:rPr>
        <w:t>商务技术文件格式</w:t>
      </w:r>
      <w:bookmarkEnd w:id="69"/>
    </w:p>
    <w:p w14:paraId="66D52620">
      <w:pPr>
        <w:snapToGrid w:val="0"/>
        <w:spacing w:before="120"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全流程电子文件</w:t>
      </w:r>
    </w:p>
    <w:p w14:paraId="4DC36198">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476CEA42">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255B1AA8">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p>
    <w:p w14:paraId="5BFE439E">
      <w:pPr>
        <w:snapToGrid w:val="0"/>
        <w:spacing w:before="120" w:beforeLines="50" w:after="5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  务  技  术  文  件（封面）</w:t>
      </w:r>
    </w:p>
    <w:p w14:paraId="5ADEBA8E">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6993627B">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2C6522C4">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5A7F85F3">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7A6F499B">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14:paraId="22586CA1">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r>
        <w:rPr>
          <w:rFonts w:hint="eastAsia" w:ascii="宋体" w:hAnsi="宋体" w:cs="仿宋_GB2312"/>
          <w:bCs/>
          <w:color w:val="000000" w:themeColor="text1"/>
          <w:sz w:val="32"/>
          <w:szCs w:val="32"/>
          <w:highlight w:val="none"/>
          <w:lang w:eastAsia="zh-CN"/>
          <w14:textFill>
            <w14:solidFill>
              <w14:schemeClr w14:val="tx1"/>
            </w14:solidFill>
          </w14:textFill>
        </w:rPr>
        <w:t>南宁市第一看守所2026年度在押人员伙房伙食灶醇基液体燃料采购</w:t>
      </w:r>
    </w:p>
    <w:p w14:paraId="244B6855">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463A3BC6">
      <w:pPr>
        <w:snapToGrid w:val="0"/>
        <w:spacing w:before="120" w:beforeLines="50" w:after="50"/>
        <w:ind w:firstLine="720" w:firstLineChars="225"/>
        <w:rPr>
          <w:rFonts w:hint="eastAsia" w:ascii="宋体" w:hAnsi="宋体" w:cs="仿宋_GB2312"/>
          <w:bCs/>
          <w:color w:val="000000" w:themeColor="text1"/>
          <w:sz w:val="32"/>
          <w:szCs w:val="32"/>
          <w:highlight w:val="none"/>
          <w:lang w:eastAsia="zh-CN"/>
          <w14:textFill>
            <w14:solidFill>
              <w14:schemeClr w14:val="tx1"/>
            </w14:solidFill>
          </w14:textFill>
        </w:rPr>
      </w:pPr>
      <w:r>
        <w:rPr>
          <w:rFonts w:hint="eastAsia" w:ascii="宋体" w:hAnsi="宋体" w:cs="仿宋_GB2312"/>
          <w:bCs/>
          <w:color w:val="000000" w:themeColor="text1"/>
          <w:sz w:val="32"/>
          <w:szCs w:val="32"/>
          <w:highlight w:val="none"/>
          <w:lang w:eastAsia="zh-CN"/>
          <w14:textFill>
            <w14:solidFill>
              <w14:schemeClr w14:val="tx1"/>
            </w14:solidFill>
          </w14:textFill>
        </w:rPr>
        <w:t>项目编号：</w:t>
      </w:r>
    </w:p>
    <w:p w14:paraId="740BC387">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02BF0EDD">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3B802D85">
      <w:pPr>
        <w:snapToGrid w:val="0"/>
        <w:spacing w:before="120"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34C5D679">
      <w:pPr>
        <w:pStyle w:val="7"/>
        <w:snapToGrid w:val="0"/>
        <w:spacing w:before="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7B4F391F">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477296FA">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793CC74A">
      <w:pPr>
        <w:pStyle w:val="7"/>
        <w:snapToGrid w:val="0"/>
        <w:spacing w:before="50" w:after="50"/>
        <w:ind w:firstLine="1280" w:firstLineChars="400"/>
        <w:rPr>
          <w:rFonts w:hint="eastAsia" w:ascii="宋体" w:hAnsi="宋体" w:cs="仿宋_GB2312"/>
          <w:bCs/>
          <w:color w:val="000000" w:themeColor="text1"/>
          <w:sz w:val="32"/>
          <w:szCs w:val="32"/>
          <w:highlight w:val="none"/>
          <w14:textFill>
            <w14:solidFill>
              <w14:schemeClr w14:val="tx1"/>
            </w14:solidFill>
          </w14:textFill>
        </w:rPr>
      </w:pPr>
    </w:p>
    <w:p w14:paraId="1F0653A1">
      <w:pPr>
        <w:snapToGrid w:val="0"/>
        <w:spacing w:before="120" w:beforeLines="50" w:after="50"/>
        <w:jc w:val="center"/>
        <w:rPr>
          <w:rFonts w:hint="eastAsia"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75848030">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商务技术文件目录</w:t>
      </w:r>
    </w:p>
    <w:p w14:paraId="2CA8A781">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57E276AF">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782CBA7C">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52001927">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6E34F344">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五、竞标人情况介绍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865CE06">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六、供应商类似业绩的证明文件（如有要求）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749A6504">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七、货物需求偏离表…………………………………………………………（页码）</w:t>
      </w:r>
    </w:p>
    <w:p w14:paraId="055A4380">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八、配置清单…………………………………………………………………（页码）</w:t>
      </w:r>
    </w:p>
    <w:p w14:paraId="094AD7DE">
      <w:pPr>
        <w:pStyle w:val="82"/>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九、售后服务方案………………………………</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53AA536">
      <w:pPr>
        <w:pStyle w:val="82"/>
        <w:spacing w:line="360" w:lineRule="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十、</w:t>
      </w:r>
      <w:r>
        <w:rPr>
          <w:rFonts w:hint="eastAsia" w:ascii="仿宋" w:hAnsi="仿宋" w:eastAsia="仿宋" w:cs="仿宋"/>
          <w:color w:val="000000" w:themeColor="text1"/>
          <w:highlight w:val="none"/>
          <w:lang w:val="zh-CN"/>
          <w14:textFill>
            <w14:solidFill>
              <w14:schemeClr w14:val="tx1"/>
            </w14:solidFill>
          </w14:textFill>
        </w:rPr>
        <w:t>项目实施人员一览表………………………………</w:t>
      </w:r>
      <w:r>
        <w:rPr>
          <w:rFonts w:hint="eastAsia" w:ascii="仿宋" w:hAnsi="仿宋" w:eastAsia="仿宋" w:cs="仿宋"/>
          <w:color w:val="000000" w:themeColor="text1"/>
          <w:highlight w:val="none"/>
          <w14:textFill>
            <w14:solidFill>
              <w14:schemeClr w14:val="tx1"/>
            </w14:solidFill>
          </w14:textFill>
        </w:rPr>
        <w:t>……………………（页码）</w:t>
      </w:r>
    </w:p>
    <w:p w14:paraId="04148944">
      <w:pPr>
        <w:pStyle w:val="82"/>
        <w:spacing w:line="360" w:lineRule="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十一、货物需求、商务条款要求提供的其他材料</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………（页码）</w:t>
      </w:r>
    </w:p>
    <w:p w14:paraId="0EF65DB9">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注：以上目录是基本格式要求，各供应商可根据自身情况进一步向下增加内容或细化。</w:t>
      </w:r>
    </w:p>
    <w:p w14:paraId="0EA189E2">
      <w:pPr>
        <w:snapToGrid w:val="0"/>
        <w:spacing w:before="120" w:beforeLines="50" w:after="50" w:line="360" w:lineRule="auto"/>
        <w:ind w:left="142"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86590CC">
      <w:pPr>
        <w:spacing w:line="520" w:lineRule="exact"/>
        <w:ind w:firstLine="880" w:firstLineChars="200"/>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一、无串标行为承诺函</w:t>
      </w:r>
    </w:p>
    <w:p w14:paraId="765F5944">
      <w:pPr>
        <w:spacing w:line="52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750C61D6">
      <w:pPr>
        <w:spacing w:line="52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无串通竞标行为的承诺函</w:t>
      </w:r>
    </w:p>
    <w:p w14:paraId="15EC9601">
      <w:pPr>
        <w:spacing w:line="36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E0C88EA">
      <w:pPr>
        <w:spacing w:line="360" w:lineRule="auto"/>
        <w:ind w:firstLine="482" w:firstLineChars="200"/>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一、我方承诺无下列相互串通竞标的情形：</w:t>
      </w:r>
    </w:p>
    <w:p w14:paraId="000595DF">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1.不同供应商的响应文件由同一单位或者个人编制；</w:t>
      </w:r>
      <w:r>
        <w:rPr>
          <w:rFonts w:hint="eastAsia" w:ascii="宋体" w:hAnsi="宋体"/>
          <w:color w:val="000000" w:themeColor="text1"/>
          <w:sz w:val="24"/>
          <w:highlight w:val="none"/>
          <w14:textFill>
            <w14:solidFill>
              <w14:schemeClr w14:val="tx1"/>
            </w14:solidFill>
          </w14:textFill>
        </w:rPr>
        <w:t>或者不同供应商报名的IP地址一致的；或者编制响应文件硬件设备CPU编号、硬盘编号、网卡地址一致的情况。</w:t>
      </w:r>
    </w:p>
    <w:p w14:paraId="30717347">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2.不同供应商委托同一单位或者个人办理竞标事宜；</w:t>
      </w:r>
    </w:p>
    <w:p w14:paraId="5C8A5EA2">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3.不同的供应商的响应文件载明的项目管理员为同一个人；</w:t>
      </w:r>
    </w:p>
    <w:p w14:paraId="2C9B03B5">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4.不</w:t>
      </w:r>
      <w:r>
        <w:rPr>
          <w:rFonts w:hint="eastAsia" w:ascii="宋体" w:hAnsi="宋体" w:cs="仿宋_GB2312"/>
          <w:color w:val="000000" w:themeColor="text1"/>
          <w:spacing w:val="-6"/>
          <w:sz w:val="24"/>
          <w:highlight w:val="none"/>
          <w14:textFill>
            <w14:solidFill>
              <w14:schemeClr w14:val="tx1"/>
            </w14:solidFill>
          </w14:textFill>
        </w:rPr>
        <w:t>同供应商的响应文件异常一致或者竞标报价呈规律性差异；</w:t>
      </w:r>
    </w:p>
    <w:p w14:paraId="3E83D6FF">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5.不同供应商的响应文件相互混装；</w:t>
      </w:r>
    </w:p>
    <w:p w14:paraId="2A1C772A">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6.不同供应商的竞标保证金从同一单位或者个人账户转出。</w:t>
      </w:r>
    </w:p>
    <w:p w14:paraId="6DA9E623">
      <w:pPr>
        <w:spacing w:line="360" w:lineRule="auto"/>
        <w:ind w:firstLine="482" w:firstLineChars="200"/>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二、我方承诺无下列恶意串通的情形：</w:t>
      </w:r>
    </w:p>
    <w:p w14:paraId="36F17FB2">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1.供应商直接或者间接从采购人或者采购代理机构处获得其他供应商的相关信息并修改其响应文件；</w:t>
      </w:r>
    </w:p>
    <w:p w14:paraId="3913BC23">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2.供应商按照采购人或者采购代理机构的授意撤换、修改响应文件；</w:t>
      </w:r>
    </w:p>
    <w:p w14:paraId="2F11CE21">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w:t>
      </w:r>
      <w:r>
        <w:rPr>
          <w:rFonts w:hint="eastAsia" w:ascii="宋体" w:hAnsi="宋体" w:cs="仿宋_GB2312"/>
          <w:color w:val="000000" w:themeColor="text1"/>
          <w:spacing w:val="-6"/>
          <w:sz w:val="24"/>
          <w:highlight w:val="none"/>
          <w14:textFill>
            <w14:solidFill>
              <w14:schemeClr w14:val="tx1"/>
            </w14:solidFill>
          </w14:textFill>
        </w:rPr>
        <w:t>应商之间协商报价、技术方案等响应文件的实质性内容；</w:t>
      </w:r>
    </w:p>
    <w:p w14:paraId="603C85E6">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4.属于同一集团、协会、商会等组织成员的供应商按照该组织要求协同参加政府采购活动；</w:t>
      </w:r>
    </w:p>
    <w:p w14:paraId="47455356">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5.供应商之间事先约定一致抬高或者压低竞标报价,或者在竞争性谈判项目中事先约定轮流以高价位或者低价位成交,或者事先约定由某一特定供应商成交,然后再参加竞标；</w:t>
      </w:r>
    </w:p>
    <w:p w14:paraId="44396282">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6.供应商之间商定部分供应商放弃参加政府采购活动或者放弃成交；</w:t>
      </w:r>
    </w:p>
    <w:p w14:paraId="56BB8237">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highlight w:val="none"/>
          <w14:textFill>
            <w14:solidFill>
              <w14:schemeClr w14:val="tx1"/>
            </w14:solidFill>
          </w14:textFill>
        </w:rPr>
        <w:t>谋求特定供应商成交或者排斥其他供应商的其他串通行为。</w:t>
      </w:r>
    </w:p>
    <w:p w14:paraId="35005717">
      <w:pPr>
        <w:spacing w:line="360" w:lineRule="auto"/>
        <w:ind w:firstLine="482" w:firstLineChars="200"/>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63250FAE">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710D626">
      <w:pPr>
        <w:spacing w:line="520" w:lineRule="exact"/>
        <w:ind w:firstLine="6360" w:firstLineChars="2650"/>
        <w:jc w:val="left"/>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日期：  年  月   日        </w:t>
      </w:r>
      <w:r>
        <w:rPr>
          <w:rFonts w:hint="eastAsia" w:ascii="宋体" w:hAnsi="宋体"/>
          <w:b/>
          <w:bCs/>
          <w:color w:val="000000" w:themeColor="text1"/>
          <w:sz w:val="32"/>
          <w:szCs w:val="32"/>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二、法定代表人身份证明及法定代表人有效身份证正反面复印件</w:t>
      </w:r>
    </w:p>
    <w:p w14:paraId="77BBF3C6">
      <w:pPr>
        <w:spacing w:line="52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法定代表人证明书</w:t>
      </w:r>
    </w:p>
    <w:p w14:paraId="45592544">
      <w:pPr>
        <w:spacing w:line="360" w:lineRule="auto"/>
        <w:ind w:left="540"/>
        <w:contextualSpacing/>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B20B2BD">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r>
        <w:rPr>
          <w:rFonts w:hint="eastAsia" w:ascii="宋体" w:hAnsi="宋体" w:cs="仿宋_GB2312"/>
          <w:color w:val="000000" w:themeColor="text1"/>
          <w:sz w:val="24"/>
          <w:highlight w:val="none"/>
          <w:u w:val="single"/>
          <w14:textFill>
            <w14:solidFill>
              <w14:schemeClr w14:val="tx1"/>
            </w14:solidFill>
          </w14:textFill>
        </w:rPr>
        <w:t xml:space="preserve">                                                        </w:t>
      </w:r>
    </w:p>
    <w:p w14:paraId="7F34BA6E">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地    址：</w:t>
      </w:r>
      <w:r>
        <w:rPr>
          <w:rFonts w:hint="eastAsia" w:ascii="宋体" w:hAnsi="宋体" w:cs="仿宋_GB2312"/>
          <w:color w:val="000000" w:themeColor="text1"/>
          <w:sz w:val="24"/>
          <w:highlight w:val="none"/>
          <w:u w:val="single"/>
          <w14:textFill>
            <w14:solidFill>
              <w14:schemeClr w14:val="tx1"/>
            </w14:solidFill>
          </w14:textFill>
        </w:rPr>
        <w:t xml:space="preserve">                                                        </w:t>
      </w:r>
    </w:p>
    <w:p w14:paraId="1BB66FAF">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姓    名：</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性     别：</w:t>
      </w:r>
      <w:r>
        <w:rPr>
          <w:rFonts w:hint="eastAsia" w:ascii="宋体" w:hAnsi="宋体" w:cs="仿宋_GB2312"/>
          <w:color w:val="000000" w:themeColor="text1"/>
          <w:sz w:val="24"/>
          <w:highlight w:val="none"/>
          <w:u w:val="single"/>
          <w14:textFill>
            <w14:solidFill>
              <w14:schemeClr w14:val="tx1"/>
            </w14:solidFill>
          </w14:textFill>
        </w:rPr>
        <w:t xml:space="preserve">                </w:t>
      </w:r>
    </w:p>
    <w:p w14:paraId="3294408E">
      <w:pPr>
        <w:spacing w:line="360" w:lineRule="auto"/>
        <w:ind w:left="540"/>
        <w:contextualSpacing/>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年    龄：</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职     务：</w:t>
      </w:r>
      <w:r>
        <w:rPr>
          <w:rFonts w:hint="eastAsia" w:ascii="宋体" w:hAnsi="宋体" w:cs="仿宋_GB2312"/>
          <w:color w:val="000000" w:themeColor="text1"/>
          <w:sz w:val="24"/>
          <w:highlight w:val="none"/>
          <w:u w:val="single"/>
          <w14:textFill>
            <w14:solidFill>
              <w14:schemeClr w14:val="tx1"/>
            </w14:solidFill>
          </w14:textFill>
        </w:rPr>
        <w:t xml:space="preserve">                </w:t>
      </w:r>
    </w:p>
    <w:p w14:paraId="2388F09B">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身份证号码：</w:t>
      </w:r>
      <w:r>
        <w:rPr>
          <w:rFonts w:hint="eastAsia" w:ascii="宋体" w:hAnsi="宋体" w:cs="仿宋_GB2312"/>
          <w:color w:val="000000" w:themeColor="text1"/>
          <w:sz w:val="24"/>
          <w:highlight w:val="none"/>
          <w:u w:val="single"/>
          <w14:textFill>
            <w14:solidFill>
              <w14:schemeClr w14:val="tx1"/>
            </w14:solidFill>
          </w14:textFill>
        </w:rPr>
        <w:t xml:space="preserve">                                        </w:t>
      </w:r>
    </w:p>
    <w:p w14:paraId="2801E625">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（供应商名称）</w:t>
      </w:r>
      <w:r>
        <w:rPr>
          <w:rFonts w:hint="eastAsia" w:ascii="宋体" w:hAnsi="宋体" w:cs="仿宋_GB2312"/>
          <w:color w:val="000000" w:themeColor="text1"/>
          <w:sz w:val="24"/>
          <w:highlight w:val="none"/>
          <w14:textFill>
            <w14:solidFill>
              <w14:schemeClr w14:val="tx1"/>
            </w14:solidFill>
          </w14:textFill>
        </w:rPr>
        <w:t>的法定代表人。</w:t>
      </w:r>
    </w:p>
    <w:p w14:paraId="6256637E">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特此证明。</w:t>
      </w:r>
    </w:p>
    <w:p w14:paraId="2279DD4E">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290BE467">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03E45D4E">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72F5ADA7">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附件：法定代表人有效身份证正反面复印件</w:t>
      </w:r>
    </w:p>
    <w:p w14:paraId="25326842">
      <w:pPr>
        <w:spacing w:line="36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462EC020">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78BF0D2">
      <w:pPr>
        <w:spacing w:line="360" w:lineRule="auto"/>
        <w:jc w:val="center"/>
        <w:rPr>
          <w:rFonts w:hint="eastAsia"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5E475083">
      <w:pPr>
        <w:spacing w:line="360" w:lineRule="auto"/>
        <w:jc w:val="left"/>
        <w:rPr>
          <w:rFonts w:hint="eastAsia" w:ascii="宋体" w:hAnsi="宋体" w:cs="仿宋_GB2312"/>
          <w:color w:val="000000" w:themeColor="text1"/>
          <w:sz w:val="24"/>
          <w:highlight w:val="none"/>
          <w14:textFill>
            <w14:solidFill>
              <w14:schemeClr w14:val="tx1"/>
            </w14:solidFill>
          </w14:textFill>
        </w:rPr>
      </w:pPr>
    </w:p>
    <w:p w14:paraId="49861D40">
      <w:pPr>
        <w:spacing w:line="360" w:lineRule="auto"/>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注：1.自然人竞标的无需提供，联合体竞标的只需牵头人出具。</w:t>
      </w:r>
    </w:p>
    <w:p w14:paraId="6F81DD25">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17D06901">
      <w:pPr>
        <w:widowControl/>
        <w:spacing w:line="360" w:lineRule="auto"/>
        <w:jc w:val="left"/>
        <w:rPr>
          <w:rFonts w:ascii="宋体" w:hAnsi="宋体" w:cs="仿宋_GB2312"/>
          <w:color w:val="000000" w:themeColor="text1"/>
          <w:sz w:val="24"/>
          <w:highlight w:val="none"/>
          <w14:textFill>
            <w14:solidFill>
              <w14:schemeClr w14:val="tx1"/>
            </w14:solidFill>
          </w14:textFill>
        </w:rPr>
        <w:sectPr>
          <w:pgSz w:w="11910" w:h="16840"/>
          <w:pgMar w:top="1440" w:right="1080" w:bottom="1440" w:left="1080" w:header="720" w:footer="720" w:gutter="0"/>
          <w:pgNumType w:fmt="decimal"/>
          <w:cols w:space="720" w:num="1"/>
        </w:sectPr>
      </w:pPr>
    </w:p>
    <w:tbl>
      <w:tblPr>
        <w:tblStyle w:val="29"/>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05A6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14:paraId="1C73895C">
            <w:pPr>
              <w:spacing w:line="360" w:lineRule="auto"/>
              <w:rPr>
                <w:rFonts w:hint="eastAsia" w:ascii="宋体"/>
                <w:b/>
                <w:color w:val="000000" w:themeColor="text1"/>
                <w:sz w:val="24"/>
                <w:highlight w:val="none"/>
                <w14:textFill>
                  <w14:solidFill>
                    <w14:schemeClr w14:val="tx1"/>
                  </w14:solidFill>
                </w14:textFill>
              </w:rPr>
            </w:pPr>
          </w:p>
          <w:p w14:paraId="3C43C059">
            <w:pPr>
              <w:spacing w:line="360" w:lineRule="auto"/>
              <w:rPr>
                <w:rFonts w:hint="eastAsia"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法定代表身份证复印件粘贴处（正、反面）</w:t>
            </w:r>
          </w:p>
        </w:tc>
      </w:tr>
    </w:tbl>
    <w:p w14:paraId="6D1A7A29">
      <w:pPr>
        <w:spacing w:line="360" w:lineRule="auto"/>
        <w:ind w:firstLine="482" w:firstLineChars="200"/>
        <w:jc w:val="left"/>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p>
    <w:p w14:paraId="2BD6B18E">
      <w:pPr>
        <w:adjustRightInd w:val="0"/>
        <w:snapToGrid w:val="0"/>
        <w:spacing w:line="300" w:lineRule="auto"/>
        <w:jc w:val="left"/>
        <w:rPr>
          <w:rFonts w:hint="eastAsia" w:ascii="宋体" w:hAnsi="宋体"/>
          <w:b/>
          <w:color w:val="000000" w:themeColor="text1"/>
          <w:szCs w:val="21"/>
          <w:highlight w:val="none"/>
          <w14:textFill>
            <w14:solidFill>
              <w14:schemeClr w14:val="tx1"/>
            </w14:solidFill>
          </w14:textFill>
        </w:rPr>
      </w:pPr>
    </w:p>
    <w:p w14:paraId="7709C954">
      <w:pPr>
        <w:snapToGrid w:val="0"/>
        <w:spacing w:line="360" w:lineRule="auto"/>
        <w:ind w:firstLine="880" w:firstLineChars="200"/>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三、法定代表人授权委托书</w:t>
      </w:r>
    </w:p>
    <w:p w14:paraId="1831DCE7">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00E26BA5">
      <w:pPr>
        <w:spacing w:line="52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授权委托书（非联合体竞标格式）</w:t>
      </w:r>
    </w:p>
    <w:p w14:paraId="0CC24E88">
      <w:pPr>
        <w:spacing w:line="52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（如有委托时）</w:t>
      </w:r>
    </w:p>
    <w:p w14:paraId="7C042228">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40DAB49A">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致：</w:t>
      </w:r>
      <w:r>
        <w:rPr>
          <w:rFonts w:hint="eastAsia" w:ascii="宋体" w:hAnsi="宋体" w:cs="仿宋_GB2312"/>
          <w:color w:val="000000" w:themeColor="text1"/>
          <w:sz w:val="24"/>
          <w:highlight w:val="none"/>
          <w:u w:val="single"/>
          <w:lang w:eastAsia="zh-CN"/>
          <w14:textFill>
            <w14:solidFill>
              <w14:schemeClr w14:val="tx1"/>
            </w14:solidFill>
          </w14:textFill>
        </w:rPr>
        <w:t>广西建通工程咨询有限责任公司</w:t>
      </w:r>
      <w:r>
        <w:rPr>
          <w:rFonts w:hint="eastAsia" w:ascii="宋体" w:hAnsi="宋体" w:cs="仿宋_GB2312"/>
          <w:color w:val="000000" w:themeColor="text1"/>
          <w:sz w:val="24"/>
          <w:highlight w:val="none"/>
          <w14:textFill>
            <w14:solidFill>
              <w14:schemeClr w14:val="tx1"/>
            </w14:solidFill>
          </w14:textFill>
        </w:rPr>
        <w:t>：</w:t>
      </w:r>
    </w:p>
    <w:p w14:paraId="3BB84520">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（供应商名称）  </w:t>
      </w:r>
      <w:r>
        <w:rPr>
          <w:rFonts w:hint="eastAsia" w:ascii="宋体" w:hAnsi="宋体" w:cs="仿宋_GB2312"/>
          <w:color w:val="000000" w:themeColor="text1"/>
          <w:sz w:val="24"/>
          <w:highlight w:val="none"/>
          <w14:textFill>
            <w14:solidFill>
              <w14:schemeClr w14:val="tx1"/>
            </w14:solidFill>
          </w14:textFill>
        </w:rPr>
        <w:t>的（</w:t>
      </w:r>
      <w:r>
        <w:rPr>
          <w:rFonts w:hint="eastAsia" w:ascii="宋体" w:hAnsi="宋体" w:cs="仿宋_GB2312"/>
          <w:color w:val="000000" w:themeColor="text1"/>
          <w:sz w:val="24"/>
          <w:highlight w:val="none"/>
          <w:u w:val="single"/>
          <w14:textFill>
            <w14:solidFill>
              <w14:schemeClr w14:val="tx1"/>
            </w14:solidFill>
          </w14:textFill>
        </w:rPr>
        <w:t>□法定代表人/□负责人/□自然人本人</w:t>
      </w:r>
      <w:r>
        <w:rPr>
          <w:rFonts w:hint="eastAsia" w:ascii="宋体" w:hAnsi="宋体" w:cs="仿宋_GB2312"/>
          <w:color w:val="000000" w:themeColor="text1"/>
          <w:sz w:val="24"/>
          <w:highlight w:val="none"/>
          <w14:textFill>
            <w14:solidFill>
              <w14:schemeClr w14:val="tx1"/>
            </w14:solidFill>
          </w14:textFill>
        </w:rPr>
        <w:t>），现授权</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以我方的名义参加</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u w:val="single"/>
          <w:lang w:eastAsia="zh-CN"/>
          <w14:textFill>
            <w14:solidFill>
              <w14:schemeClr w14:val="tx1"/>
            </w14:solidFill>
          </w14:textFill>
        </w:rPr>
        <w:t>南宁市第一看守所2026年度在押人员伙房伙食灶醇基液体燃料采购</w:t>
      </w:r>
      <w:r>
        <w:rPr>
          <w:rFonts w:hint="eastAsia" w:ascii="宋体" w:hAnsi="宋体" w:cs="仿宋_GB2312"/>
          <w:color w:val="000000" w:themeColor="text1"/>
          <w:sz w:val="24"/>
          <w:highlight w:val="none"/>
          <w14:textFill>
            <w14:solidFill>
              <w14:schemeClr w14:val="tx1"/>
            </w14:solidFill>
          </w14:textFill>
        </w:rPr>
        <w:t>项目的竞标活动，并代表我方全权办理针对上述项目的所有采购程序和环节的具体事务和签署相关文件。</w:t>
      </w:r>
    </w:p>
    <w:p w14:paraId="5DF7C0C9">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我方对委托代理人的签字事项负全部责任。</w:t>
      </w:r>
    </w:p>
    <w:p w14:paraId="76A52546">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66E14A74">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136E8AF8">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附：法定代表人身份证明书及委托代理人有效身份证正反面复印件</w:t>
      </w:r>
    </w:p>
    <w:p w14:paraId="7511D576">
      <w:pPr>
        <w:spacing w:line="360" w:lineRule="auto"/>
        <w:rPr>
          <w:rFonts w:hint="eastAsia" w:ascii="宋体" w:hAnsi="宋体" w:cs="仿宋_GB2312"/>
          <w:color w:val="000000" w:themeColor="text1"/>
          <w:sz w:val="24"/>
          <w:highlight w:val="none"/>
          <w14:textFill>
            <w14:solidFill>
              <w14:schemeClr w14:val="tx1"/>
            </w14:solidFill>
          </w14:textFill>
        </w:rPr>
      </w:pPr>
    </w:p>
    <w:p w14:paraId="4282FE1E">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委托代理人（签字）：                 法定代表人（签字或盖章）：                    </w:t>
      </w:r>
    </w:p>
    <w:p w14:paraId="5CE09958">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委托代理人身份证号码：                              </w:t>
      </w:r>
    </w:p>
    <w:p w14:paraId="13329BF1">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p>
    <w:p w14:paraId="0B2A9971">
      <w:pPr>
        <w:spacing w:line="360" w:lineRule="auto"/>
        <w:ind w:firstLine="3840" w:firstLineChars="16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064E1E1B">
      <w:pPr>
        <w:spacing w:line="360" w:lineRule="auto"/>
        <w:jc w:val="center"/>
        <w:rPr>
          <w:rFonts w:hint="eastAsia"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4E0FEB6D">
      <w:pPr>
        <w:spacing w:line="360" w:lineRule="auto"/>
        <w:rPr>
          <w:rFonts w:hint="eastAsia" w:ascii="宋体" w:hAnsi="宋体" w:cs="仿宋_GB2312"/>
          <w:color w:val="000000" w:themeColor="text1"/>
          <w:sz w:val="24"/>
          <w:highlight w:val="none"/>
          <w14:textFill>
            <w14:solidFill>
              <w14:schemeClr w14:val="tx1"/>
            </w14:solidFill>
          </w14:textFill>
        </w:rPr>
      </w:pPr>
    </w:p>
    <w:p w14:paraId="0E82E4E4">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注：1.法定代表人必须在授权委托书上亲笔签字或盖章，委托代理人必须在授权委托书上亲笔签字，</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13AE6E79">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E9F3978">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3.法人、其他组织竞标时“我方”是指“我单位”，自然人竞标时“我方”是指“本人”。</w:t>
      </w:r>
    </w:p>
    <w:p w14:paraId="7D266090">
      <w:pPr>
        <w:spacing w:line="360" w:lineRule="auto"/>
        <w:ind w:firstLine="420" w:firstLineChars="200"/>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2E6ACDC4">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授权委托书（联合体竞标格式）</w:t>
      </w:r>
    </w:p>
    <w:p w14:paraId="13239C9A">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（如有委托时）</w:t>
      </w:r>
    </w:p>
    <w:p w14:paraId="17352DBE">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2F92B8EF">
      <w:pPr>
        <w:spacing w:line="50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E669E8A">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本授权委托书声明：根据</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（牵头人名称）与</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（联合体其他成员名称）签订的《联合体竞标协议书》的内容，</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（牵头人名称）的法定代表人</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（姓名）现授权</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（姓名）为联合委托代理人，并代表我方全权办理针对上述项目的所有采购程序和环节的具体事务和签署相关文件。</w:t>
      </w:r>
    </w:p>
    <w:p w14:paraId="25AB0398">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我方对委托代理人的签字事项负全部责任。</w:t>
      </w:r>
    </w:p>
    <w:p w14:paraId="200E7E63">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1285D981">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3809A0F0">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p>
    <w:p w14:paraId="18D728E2">
      <w:pPr>
        <w:spacing w:line="360" w:lineRule="auto"/>
        <w:ind w:firstLine="1560" w:firstLineChars="65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牵头人法定代表人（签字或盖章）：</w:t>
      </w:r>
    </w:p>
    <w:p w14:paraId="43C6164B">
      <w:pPr>
        <w:spacing w:line="360" w:lineRule="auto"/>
        <w:ind w:firstLine="3000" w:firstLineChars="125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牵头人（电子签章）：</w:t>
      </w:r>
    </w:p>
    <w:p w14:paraId="1BBBFEF1">
      <w:pPr>
        <w:spacing w:line="360" w:lineRule="auto"/>
        <w:ind w:firstLine="3840" w:firstLineChars="16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3FB996BD">
      <w:pPr>
        <w:spacing w:line="360" w:lineRule="auto"/>
        <w:rPr>
          <w:rFonts w:hint="eastAsia" w:ascii="宋体" w:hAnsi="宋体" w:cs="仿宋_GB2312"/>
          <w:color w:val="000000" w:themeColor="text1"/>
          <w:sz w:val="24"/>
          <w:highlight w:val="none"/>
          <w14:textFill>
            <w14:solidFill>
              <w14:schemeClr w14:val="tx1"/>
            </w14:solidFill>
          </w14:textFill>
        </w:rPr>
      </w:pPr>
    </w:p>
    <w:p w14:paraId="102089AE">
      <w:pPr>
        <w:spacing w:line="360" w:lineRule="auto"/>
        <w:ind w:firstLine="3120" w:firstLineChars="13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被授权人（签字）：</w:t>
      </w:r>
    </w:p>
    <w:p w14:paraId="264863D9">
      <w:pPr>
        <w:spacing w:line="360" w:lineRule="auto"/>
        <w:ind w:firstLine="3840" w:firstLineChars="16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1D4BC9A0">
      <w:pPr>
        <w:spacing w:line="360" w:lineRule="auto"/>
        <w:rPr>
          <w:rFonts w:hint="eastAsia" w:ascii="宋体" w:hAnsi="宋体" w:cs="仿宋_GB2312"/>
          <w:color w:val="000000" w:themeColor="text1"/>
          <w:sz w:val="24"/>
          <w:highlight w:val="none"/>
          <w14:textFill>
            <w14:solidFill>
              <w14:schemeClr w14:val="tx1"/>
            </w14:solidFill>
          </w14:textFill>
        </w:rPr>
      </w:pPr>
    </w:p>
    <w:p w14:paraId="5F6147B9">
      <w:pPr>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w:t>
      </w:r>
    </w:p>
    <w:p w14:paraId="235D06CC">
      <w:pPr>
        <w:spacing w:line="360" w:lineRule="auto"/>
        <w:ind w:firstLine="480" w:firstLineChars="20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1.法定代表人必须在授权委托书上亲笔签字或盖章，委托代理人必须在授权委托书上亲笔签字，</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23DFF3CA">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2.本授权委托书应由联合体牵头人的法定代表人按上述规定签署。</w:t>
      </w:r>
    </w:p>
    <w:p w14:paraId="022FB008">
      <w:pPr>
        <w:spacing w:line="360" w:lineRule="auto"/>
        <w:ind w:firstLine="480" w:firstLineChars="200"/>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3A9582B7">
      <w:pPr>
        <w:spacing w:line="360" w:lineRule="auto"/>
        <w:ind w:firstLine="480" w:firstLineChars="200"/>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4.法人、其他组织竞标时“我方”是指“我单位”，自然人竞标时“我方”是指“本人”。</w:t>
      </w:r>
    </w:p>
    <w:p w14:paraId="14E34A5D">
      <w:pPr>
        <w:snapToGrid w:val="0"/>
        <w:spacing w:line="360" w:lineRule="auto"/>
        <w:ind w:firstLine="640" w:firstLineChars="200"/>
        <w:rPr>
          <w:rFonts w:hint="eastAsia" w:ascii="宋体" w:hAnsi="宋体"/>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四、商务条款偏离表</w:t>
      </w:r>
    </w:p>
    <w:p w14:paraId="11E49B40">
      <w:pPr>
        <w:spacing w:line="50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商务条款偏离表（格式）</w:t>
      </w:r>
    </w:p>
    <w:p w14:paraId="402DFA3B">
      <w:pPr>
        <w:spacing w:line="36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分标号</w:t>
      </w:r>
      <w:r>
        <w:rPr>
          <w:rFonts w:hint="eastAsia" w:ascii="宋体" w:hAnsi="宋体"/>
          <w:color w:val="000000" w:themeColor="text1"/>
          <w:szCs w:val="21"/>
          <w:highlight w:val="none"/>
          <w14:textFill>
            <w14:solidFill>
              <w14:schemeClr w14:val="tx1"/>
            </w14:solidFill>
          </w14:textFill>
        </w:rPr>
        <w:t>（此处有分标时填写具体分标号，无分标时填写“无”）</w:t>
      </w:r>
      <w:r>
        <w:rPr>
          <w:rFonts w:hint="eastAsia" w:ascii="宋体" w:hAnsi="宋体" w:cs="仿宋_GB2312"/>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u w:val="single"/>
          <w14:textFill>
            <w14:solidFill>
              <w14:schemeClr w14:val="tx1"/>
            </w14:solidFill>
          </w14:textFill>
        </w:rPr>
        <w:t xml:space="preserve">                       </w:t>
      </w:r>
    </w:p>
    <w:tbl>
      <w:tblPr>
        <w:tblStyle w:val="29"/>
        <w:tblpPr w:leftFromText="180" w:rightFromText="180" w:vertAnchor="text" w:horzAnchor="margin" w:tblpXSpec="center" w:tblpY="94"/>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669"/>
        <w:gridCol w:w="2545"/>
        <w:gridCol w:w="2369"/>
      </w:tblGrid>
      <w:tr w14:paraId="1F26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674" w:type="dxa"/>
            <w:tcBorders>
              <w:top w:val="single" w:color="auto" w:sz="4" w:space="0"/>
              <w:left w:val="single" w:color="auto" w:sz="4" w:space="0"/>
              <w:right w:val="single" w:color="auto" w:sz="4" w:space="0"/>
            </w:tcBorders>
            <w:noWrap/>
            <w:vAlign w:val="top"/>
          </w:tcPr>
          <w:p w14:paraId="0F3EAAD1">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669" w:type="dxa"/>
            <w:tcBorders>
              <w:top w:val="single" w:color="auto" w:sz="4" w:space="0"/>
              <w:left w:val="single" w:color="auto" w:sz="4" w:space="0"/>
              <w:bottom w:val="single" w:color="auto" w:sz="4" w:space="0"/>
              <w:right w:val="single" w:color="auto" w:sz="4" w:space="0"/>
            </w:tcBorders>
            <w:noWrap/>
            <w:vAlign w:val="top"/>
          </w:tcPr>
          <w:p w14:paraId="36EC763A">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竞争性谈判采购文件的商务需求</w:t>
            </w:r>
          </w:p>
        </w:tc>
        <w:tc>
          <w:tcPr>
            <w:tcW w:w="2545" w:type="dxa"/>
            <w:tcBorders>
              <w:top w:val="single" w:color="auto" w:sz="4" w:space="0"/>
              <w:left w:val="single" w:color="auto" w:sz="4" w:space="0"/>
              <w:right w:val="single" w:color="auto" w:sz="4" w:space="0"/>
            </w:tcBorders>
            <w:noWrap w:val="0"/>
            <w:vAlign w:val="top"/>
          </w:tcPr>
          <w:p w14:paraId="5604589E">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响应文件承诺的商务条款</w:t>
            </w:r>
          </w:p>
        </w:tc>
        <w:tc>
          <w:tcPr>
            <w:tcW w:w="2369" w:type="dxa"/>
            <w:tcBorders>
              <w:top w:val="single" w:color="auto" w:sz="4" w:space="0"/>
              <w:left w:val="single" w:color="auto" w:sz="4" w:space="0"/>
              <w:right w:val="single" w:color="auto" w:sz="4" w:space="0"/>
            </w:tcBorders>
            <w:noWrap w:val="0"/>
            <w:vAlign w:val="top"/>
          </w:tcPr>
          <w:p w14:paraId="716663D9">
            <w:pPr>
              <w:spacing w:line="24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2A4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restart"/>
            <w:tcBorders>
              <w:top w:val="single" w:color="auto" w:sz="4" w:space="0"/>
              <w:left w:val="single" w:color="auto" w:sz="4" w:space="0"/>
              <w:right w:val="single" w:color="auto" w:sz="4" w:space="0"/>
            </w:tcBorders>
            <w:noWrap/>
            <w:vAlign w:val="top"/>
          </w:tcPr>
          <w:p w14:paraId="1461085A">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669" w:type="dxa"/>
            <w:tcBorders>
              <w:top w:val="single" w:color="auto" w:sz="4" w:space="0"/>
              <w:left w:val="single" w:color="auto" w:sz="4" w:space="0"/>
              <w:bottom w:val="single" w:color="auto" w:sz="4" w:space="0"/>
              <w:right w:val="single" w:color="auto" w:sz="4" w:space="0"/>
            </w:tcBorders>
            <w:noWrap/>
            <w:vAlign w:val="top"/>
          </w:tcPr>
          <w:p w14:paraId="0666B383">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45" w:type="dxa"/>
            <w:tcBorders>
              <w:top w:val="single" w:color="auto" w:sz="4" w:space="0"/>
              <w:left w:val="single" w:color="auto" w:sz="4" w:space="0"/>
              <w:right w:val="single" w:color="auto" w:sz="4" w:space="0"/>
            </w:tcBorders>
            <w:noWrap w:val="0"/>
            <w:vAlign w:val="top"/>
          </w:tcPr>
          <w:p w14:paraId="00F5DEAE">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369" w:type="dxa"/>
            <w:tcBorders>
              <w:top w:val="single" w:color="auto" w:sz="4" w:space="0"/>
              <w:left w:val="single" w:color="auto" w:sz="4" w:space="0"/>
              <w:right w:val="single" w:color="auto" w:sz="4" w:space="0"/>
            </w:tcBorders>
            <w:noWrap w:val="0"/>
            <w:vAlign w:val="top"/>
          </w:tcPr>
          <w:p w14:paraId="3E8409CC">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52A85FF">
            <w:pPr>
              <w:spacing w:line="240" w:lineRule="auto"/>
              <w:rPr>
                <w:rFonts w:ascii="宋体" w:hAnsi="宋体"/>
                <w:color w:val="000000" w:themeColor="text1"/>
                <w:szCs w:val="21"/>
                <w:highlight w:val="none"/>
                <w14:textFill>
                  <w14:solidFill>
                    <w14:schemeClr w14:val="tx1"/>
                  </w14:solidFill>
                </w14:textFill>
              </w:rPr>
            </w:pPr>
          </w:p>
        </w:tc>
      </w:tr>
      <w:tr w14:paraId="2FC5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6227C01C">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1FDC95C2">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28BBA81">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42F860F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E0EE260">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04BCAB4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FF0EA59">
            <w:pPr>
              <w:spacing w:line="240" w:lineRule="auto"/>
              <w:rPr>
                <w:rFonts w:ascii="宋体" w:hAnsi="宋体"/>
                <w:color w:val="000000" w:themeColor="text1"/>
                <w:szCs w:val="21"/>
                <w:highlight w:val="none"/>
                <w14:textFill>
                  <w14:solidFill>
                    <w14:schemeClr w14:val="tx1"/>
                  </w14:solidFill>
                </w14:textFill>
              </w:rPr>
            </w:pPr>
          </w:p>
        </w:tc>
      </w:tr>
      <w:tr w14:paraId="6B5A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7B642B64">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4D60B69D">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800CCC7">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05409393">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5924C61">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7B5E28AE">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5C7EC16">
            <w:pPr>
              <w:spacing w:line="240" w:lineRule="auto"/>
              <w:rPr>
                <w:rFonts w:ascii="宋体" w:hAnsi="宋体"/>
                <w:color w:val="000000" w:themeColor="text1"/>
                <w:szCs w:val="21"/>
                <w:highlight w:val="none"/>
                <w14:textFill>
                  <w14:solidFill>
                    <w14:schemeClr w14:val="tx1"/>
                  </w14:solidFill>
                </w14:textFill>
              </w:rPr>
            </w:pPr>
          </w:p>
        </w:tc>
      </w:tr>
      <w:tr w14:paraId="67BF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bottom w:val="single" w:color="auto" w:sz="4" w:space="0"/>
              <w:right w:val="single" w:color="auto" w:sz="4" w:space="0"/>
            </w:tcBorders>
            <w:noWrap/>
            <w:vAlign w:val="top"/>
          </w:tcPr>
          <w:p w14:paraId="7818FA74">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213D2037">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45" w:type="dxa"/>
            <w:tcBorders>
              <w:left w:val="single" w:color="auto" w:sz="4" w:space="0"/>
              <w:bottom w:val="single" w:color="auto" w:sz="4" w:space="0"/>
              <w:right w:val="single" w:color="auto" w:sz="4" w:space="0"/>
            </w:tcBorders>
            <w:noWrap w:val="0"/>
            <w:vAlign w:val="top"/>
          </w:tcPr>
          <w:p w14:paraId="3E33F69E">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69" w:type="dxa"/>
            <w:tcBorders>
              <w:left w:val="single" w:color="auto" w:sz="4" w:space="0"/>
              <w:bottom w:val="single" w:color="auto" w:sz="4" w:space="0"/>
              <w:right w:val="single" w:color="auto" w:sz="4" w:space="0"/>
            </w:tcBorders>
            <w:noWrap w:val="0"/>
            <w:vAlign w:val="top"/>
          </w:tcPr>
          <w:p w14:paraId="1A1448C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95849CA">
            <w:pPr>
              <w:spacing w:line="240" w:lineRule="auto"/>
              <w:rPr>
                <w:rFonts w:ascii="宋体" w:hAnsi="宋体"/>
                <w:color w:val="000000" w:themeColor="text1"/>
                <w:szCs w:val="21"/>
                <w:highlight w:val="none"/>
                <w14:textFill>
                  <w14:solidFill>
                    <w14:schemeClr w14:val="tx1"/>
                  </w14:solidFill>
                </w14:textFill>
              </w:rPr>
            </w:pPr>
          </w:p>
        </w:tc>
      </w:tr>
      <w:tr w14:paraId="102A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restart"/>
            <w:tcBorders>
              <w:top w:val="single" w:color="auto" w:sz="4" w:space="0"/>
              <w:left w:val="single" w:color="auto" w:sz="4" w:space="0"/>
              <w:right w:val="single" w:color="auto" w:sz="4" w:space="0"/>
            </w:tcBorders>
            <w:noWrap/>
            <w:vAlign w:val="top"/>
          </w:tcPr>
          <w:p w14:paraId="6FCC6836">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669" w:type="dxa"/>
            <w:tcBorders>
              <w:top w:val="single" w:color="auto" w:sz="4" w:space="0"/>
              <w:left w:val="single" w:color="auto" w:sz="4" w:space="0"/>
              <w:bottom w:val="single" w:color="auto" w:sz="4" w:space="0"/>
              <w:right w:val="single" w:color="auto" w:sz="4" w:space="0"/>
            </w:tcBorders>
            <w:noWrap/>
            <w:vAlign w:val="top"/>
          </w:tcPr>
          <w:p w14:paraId="5B126F3F">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45" w:type="dxa"/>
            <w:tcBorders>
              <w:top w:val="single" w:color="auto" w:sz="4" w:space="0"/>
              <w:left w:val="single" w:color="auto" w:sz="4" w:space="0"/>
              <w:right w:val="single" w:color="auto" w:sz="4" w:space="0"/>
            </w:tcBorders>
            <w:noWrap w:val="0"/>
            <w:vAlign w:val="top"/>
          </w:tcPr>
          <w:p w14:paraId="3AAF1CD8">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369" w:type="dxa"/>
            <w:tcBorders>
              <w:top w:val="single" w:color="auto" w:sz="4" w:space="0"/>
              <w:left w:val="single" w:color="auto" w:sz="4" w:space="0"/>
              <w:right w:val="single" w:color="auto" w:sz="4" w:space="0"/>
            </w:tcBorders>
            <w:noWrap w:val="0"/>
            <w:vAlign w:val="top"/>
          </w:tcPr>
          <w:p w14:paraId="3D71C37B">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3B8D25C">
            <w:pPr>
              <w:spacing w:line="240" w:lineRule="auto"/>
              <w:rPr>
                <w:rFonts w:ascii="宋体" w:hAnsi="宋体"/>
                <w:color w:val="000000" w:themeColor="text1"/>
                <w:szCs w:val="21"/>
                <w:highlight w:val="none"/>
                <w14:textFill>
                  <w14:solidFill>
                    <w14:schemeClr w14:val="tx1"/>
                  </w14:solidFill>
                </w14:textFill>
              </w:rPr>
            </w:pPr>
          </w:p>
        </w:tc>
      </w:tr>
      <w:tr w14:paraId="6C64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75B68AED">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2855409E">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8E71227">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5E58728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9A73191">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381901B6">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94DBDD2">
            <w:pPr>
              <w:spacing w:line="240" w:lineRule="auto"/>
              <w:rPr>
                <w:rFonts w:ascii="宋体" w:hAnsi="宋体"/>
                <w:color w:val="000000" w:themeColor="text1"/>
                <w:szCs w:val="21"/>
                <w:highlight w:val="none"/>
                <w14:textFill>
                  <w14:solidFill>
                    <w14:schemeClr w14:val="tx1"/>
                  </w14:solidFill>
                </w14:textFill>
              </w:rPr>
            </w:pPr>
          </w:p>
        </w:tc>
      </w:tr>
      <w:tr w14:paraId="4868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22C8BA8E">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51C9F11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0A95052">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5C98ED6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8FFDE63">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00120D49">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31E63CF">
            <w:pPr>
              <w:spacing w:line="240" w:lineRule="auto"/>
              <w:rPr>
                <w:rFonts w:ascii="宋体" w:hAnsi="宋体"/>
                <w:color w:val="000000" w:themeColor="text1"/>
                <w:szCs w:val="21"/>
                <w:highlight w:val="none"/>
                <w14:textFill>
                  <w14:solidFill>
                    <w14:schemeClr w14:val="tx1"/>
                  </w14:solidFill>
                </w14:textFill>
              </w:rPr>
            </w:pPr>
          </w:p>
        </w:tc>
      </w:tr>
      <w:tr w14:paraId="292D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bottom w:val="single" w:color="auto" w:sz="4" w:space="0"/>
              <w:right w:val="single" w:color="auto" w:sz="4" w:space="0"/>
            </w:tcBorders>
            <w:noWrap/>
            <w:vAlign w:val="top"/>
          </w:tcPr>
          <w:p w14:paraId="7C3DCBBA">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36C5AEAB">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45" w:type="dxa"/>
            <w:tcBorders>
              <w:left w:val="single" w:color="auto" w:sz="4" w:space="0"/>
              <w:bottom w:val="single" w:color="auto" w:sz="4" w:space="0"/>
              <w:right w:val="single" w:color="auto" w:sz="4" w:space="0"/>
            </w:tcBorders>
            <w:noWrap w:val="0"/>
            <w:vAlign w:val="top"/>
          </w:tcPr>
          <w:p w14:paraId="59807E7F">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69" w:type="dxa"/>
            <w:tcBorders>
              <w:left w:val="single" w:color="auto" w:sz="4" w:space="0"/>
              <w:bottom w:val="single" w:color="auto" w:sz="4" w:space="0"/>
              <w:right w:val="single" w:color="auto" w:sz="4" w:space="0"/>
            </w:tcBorders>
            <w:noWrap w:val="0"/>
            <w:vAlign w:val="top"/>
          </w:tcPr>
          <w:p w14:paraId="57DD9620">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EB87621">
            <w:pPr>
              <w:spacing w:line="240" w:lineRule="auto"/>
              <w:rPr>
                <w:rFonts w:ascii="宋体" w:hAnsi="宋体"/>
                <w:color w:val="000000" w:themeColor="text1"/>
                <w:szCs w:val="21"/>
                <w:highlight w:val="none"/>
                <w14:textFill>
                  <w14:solidFill>
                    <w14:schemeClr w14:val="tx1"/>
                  </w14:solidFill>
                </w14:textFill>
              </w:rPr>
            </w:pPr>
          </w:p>
        </w:tc>
      </w:tr>
      <w:tr w14:paraId="775D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restart"/>
            <w:tcBorders>
              <w:top w:val="single" w:color="auto" w:sz="4" w:space="0"/>
              <w:left w:val="single" w:color="auto" w:sz="4" w:space="0"/>
              <w:right w:val="single" w:color="auto" w:sz="4" w:space="0"/>
            </w:tcBorders>
            <w:noWrap/>
            <w:vAlign w:val="top"/>
          </w:tcPr>
          <w:p w14:paraId="1BAC5732">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669" w:type="dxa"/>
            <w:tcBorders>
              <w:top w:val="single" w:color="auto" w:sz="4" w:space="0"/>
              <w:left w:val="single" w:color="auto" w:sz="4" w:space="0"/>
              <w:bottom w:val="single" w:color="auto" w:sz="4" w:space="0"/>
              <w:right w:val="single" w:color="auto" w:sz="4" w:space="0"/>
            </w:tcBorders>
            <w:noWrap/>
            <w:vAlign w:val="top"/>
          </w:tcPr>
          <w:p w14:paraId="6AEB741F">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45" w:type="dxa"/>
            <w:tcBorders>
              <w:top w:val="single" w:color="auto" w:sz="4" w:space="0"/>
              <w:left w:val="single" w:color="auto" w:sz="4" w:space="0"/>
              <w:right w:val="single" w:color="auto" w:sz="4" w:space="0"/>
            </w:tcBorders>
            <w:noWrap w:val="0"/>
            <w:vAlign w:val="top"/>
          </w:tcPr>
          <w:p w14:paraId="0F401A25">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369" w:type="dxa"/>
            <w:tcBorders>
              <w:top w:val="single" w:color="auto" w:sz="4" w:space="0"/>
              <w:left w:val="single" w:color="auto" w:sz="4" w:space="0"/>
              <w:right w:val="single" w:color="auto" w:sz="4" w:space="0"/>
            </w:tcBorders>
            <w:noWrap w:val="0"/>
            <w:vAlign w:val="top"/>
          </w:tcPr>
          <w:p w14:paraId="54AB1898">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1F62255">
            <w:pPr>
              <w:spacing w:line="240" w:lineRule="auto"/>
              <w:rPr>
                <w:rFonts w:ascii="宋体" w:hAnsi="宋体"/>
                <w:color w:val="000000" w:themeColor="text1"/>
                <w:szCs w:val="21"/>
                <w:highlight w:val="none"/>
                <w14:textFill>
                  <w14:solidFill>
                    <w14:schemeClr w14:val="tx1"/>
                  </w14:solidFill>
                </w14:textFill>
              </w:rPr>
            </w:pPr>
          </w:p>
        </w:tc>
      </w:tr>
      <w:tr w14:paraId="2C09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18283A86">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2E41E081">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07237B1">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72287CDE">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5E9AEA3">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5D6C2654">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0AAA8DE">
            <w:pPr>
              <w:spacing w:line="240" w:lineRule="auto"/>
              <w:rPr>
                <w:rFonts w:ascii="宋体" w:hAnsi="宋体"/>
                <w:color w:val="000000" w:themeColor="text1"/>
                <w:szCs w:val="21"/>
                <w:highlight w:val="none"/>
                <w14:textFill>
                  <w14:solidFill>
                    <w14:schemeClr w14:val="tx1"/>
                  </w14:solidFill>
                </w14:textFill>
              </w:rPr>
            </w:pPr>
          </w:p>
        </w:tc>
      </w:tr>
      <w:tr w14:paraId="7C0B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right w:val="single" w:color="auto" w:sz="4" w:space="0"/>
            </w:tcBorders>
            <w:noWrap/>
            <w:vAlign w:val="top"/>
          </w:tcPr>
          <w:p w14:paraId="3D8B9FD1">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4BEF57B8">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3AAF939">
            <w:pPr>
              <w:spacing w:line="240" w:lineRule="auto"/>
              <w:rPr>
                <w:rFonts w:ascii="宋体" w:hAnsi="宋体"/>
                <w:color w:val="000000" w:themeColor="text1"/>
                <w:szCs w:val="21"/>
                <w:highlight w:val="none"/>
                <w14:textFill>
                  <w14:solidFill>
                    <w14:schemeClr w14:val="tx1"/>
                  </w14:solidFill>
                </w14:textFill>
              </w:rPr>
            </w:pPr>
          </w:p>
        </w:tc>
        <w:tc>
          <w:tcPr>
            <w:tcW w:w="2545" w:type="dxa"/>
            <w:tcBorders>
              <w:left w:val="single" w:color="auto" w:sz="4" w:space="0"/>
              <w:right w:val="single" w:color="auto" w:sz="4" w:space="0"/>
            </w:tcBorders>
            <w:noWrap w:val="0"/>
            <w:vAlign w:val="top"/>
          </w:tcPr>
          <w:p w14:paraId="77D53E2D">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0E76327">
            <w:pPr>
              <w:spacing w:line="240" w:lineRule="auto"/>
              <w:rPr>
                <w:rFonts w:ascii="宋体" w:hAnsi="宋体"/>
                <w:color w:val="000000" w:themeColor="text1"/>
                <w:szCs w:val="21"/>
                <w:highlight w:val="none"/>
                <w14:textFill>
                  <w14:solidFill>
                    <w14:schemeClr w14:val="tx1"/>
                  </w14:solidFill>
                </w14:textFill>
              </w:rPr>
            </w:pPr>
          </w:p>
        </w:tc>
        <w:tc>
          <w:tcPr>
            <w:tcW w:w="2369" w:type="dxa"/>
            <w:tcBorders>
              <w:left w:val="single" w:color="auto" w:sz="4" w:space="0"/>
              <w:right w:val="single" w:color="auto" w:sz="4" w:space="0"/>
            </w:tcBorders>
            <w:noWrap w:val="0"/>
            <w:vAlign w:val="top"/>
          </w:tcPr>
          <w:p w14:paraId="472A08C8">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88C1E26">
            <w:pPr>
              <w:spacing w:line="240" w:lineRule="auto"/>
              <w:rPr>
                <w:rFonts w:ascii="宋体" w:hAnsi="宋体"/>
                <w:color w:val="000000" w:themeColor="text1"/>
                <w:szCs w:val="21"/>
                <w:highlight w:val="none"/>
                <w14:textFill>
                  <w14:solidFill>
                    <w14:schemeClr w14:val="tx1"/>
                  </w14:solidFill>
                </w14:textFill>
              </w:rPr>
            </w:pPr>
          </w:p>
        </w:tc>
      </w:tr>
      <w:tr w14:paraId="65C9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4" w:type="dxa"/>
            <w:vMerge w:val="continue"/>
            <w:tcBorders>
              <w:left w:val="single" w:color="auto" w:sz="4" w:space="0"/>
              <w:bottom w:val="single" w:color="auto" w:sz="4" w:space="0"/>
              <w:right w:val="single" w:color="auto" w:sz="4" w:space="0"/>
            </w:tcBorders>
            <w:noWrap/>
            <w:vAlign w:val="top"/>
          </w:tcPr>
          <w:p w14:paraId="4D892017">
            <w:pPr>
              <w:spacing w:line="240" w:lineRule="auto"/>
              <w:rPr>
                <w:rFonts w:ascii="宋体" w:hAnsi="宋体"/>
                <w:color w:val="000000" w:themeColor="text1"/>
                <w:szCs w:val="21"/>
                <w:highlight w:val="none"/>
                <w14:textFill>
                  <w14:solidFill>
                    <w14:schemeClr w14:val="tx1"/>
                  </w14:solidFill>
                </w14:textFill>
              </w:rPr>
            </w:pPr>
          </w:p>
        </w:tc>
        <w:tc>
          <w:tcPr>
            <w:tcW w:w="3669" w:type="dxa"/>
            <w:tcBorders>
              <w:top w:val="single" w:color="auto" w:sz="4" w:space="0"/>
              <w:left w:val="single" w:color="auto" w:sz="4" w:space="0"/>
              <w:bottom w:val="single" w:color="auto" w:sz="4" w:space="0"/>
              <w:right w:val="single" w:color="auto" w:sz="4" w:space="0"/>
            </w:tcBorders>
            <w:noWrap/>
            <w:vAlign w:val="top"/>
          </w:tcPr>
          <w:p w14:paraId="3783DA31">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45" w:type="dxa"/>
            <w:tcBorders>
              <w:left w:val="single" w:color="auto" w:sz="4" w:space="0"/>
              <w:bottom w:val="single" w:color="auto" w:sz="4" w:space="0"/>
              <w:right w:val="single" w:color="auto" w:sz="4" w:space="0"/>
            </w:tcBorders>
            <w:noWrap w:val="0"/>
            <w:vAlign w:val="top"/>
          </w:tcPr>
          <w:p w14:paraId="2289FD87">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69" w:type="dxa"/>
            <w:tcBorders>
              <w:left w:val="single" w:color="auto" w:sz="4" w:space="0"/>
              <w:bottom w:val="single" w:color="auto" w:sz="4" w:space="0"/>
              <w:right w:val="single" w:color="auto" w:sz="4" w:space="0"/>
            </w:tcBorders>
            <w:noWrap w:val="0"/>
            <w:vAlign w:val="top"/>
          </w:tcPr>
          <w:p w14:paraId="67B6EB83">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52F6A42">
            <w:pPr>
              <w:spacing w:line="240" w:lineRule="auto"/>
              <w:rPr>
                <w:rFonts w:ascii="宋体" w:hAnsi="宋体"/>
                <w:color w:val="000000" w:themeColor="text1"/>
                <w:szCs w:val="21"/>
                <w:highlight w:val="none"/>
                <w14:textFill>
                  <w14:solidFill>
                    <w14:schemeClr w14:val="tx1"/>
                  </w14:solidFill>
                </w14:textFill>
              </w:rPr>
            </w:pPr>
          </w:p>
        </w:tc>
      </w:tr>
      <w:tr w14:paraId="0F9D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257" w:type="dxa"/>
            <w:gridSpan w:val="4"/>
            <w:tcBorders>
              <w:top w:val="single" w:color="auto" w:sz="4" w:space="0"/>
              <w:left w:val="single" w:color="auto" w:sz="4" w:space="0"/>
              <w:bottom w:val="single" w:color="auto" w:sz="4" w:space="0"/>
              <w:right w:val="single" w:color="auto" w:sz="4" w:space="0"/>
            </w:tcBorders>
            <w:noWrap/>
            <w:vAlign w:val="top"/>
          </w:tcPr>
          <w:p w14:paraId="6C3000AA">
            <w:pPr>
              <w:spacing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2DC4B138">
      <w:pPr>
        <w:pStyle w:val="14"/>
        <w:spacing w:line="400" w:lineRule="exact"/>
        <w:ind w:firstLine="0" w:firstLineChars="0"/>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注：</w:t>
      </w:r>
    </w:p>
    <w:p w14:paraId="387ECE6D">
      <w:pPr>
        <w:pStyle w:val="14"/>
        <w:spacing w:line="400" w:lineRule="exact"/>
        <w:ind w:firstLine="480" w:firstLineChars="200"/>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1.说明：应对照谈判文件“第二章 采购需求”中的商务条款逐条作出明确响应，并作出偏离说明。</w:t>
      </w:r>
    </w:p>
    <w:p w14:paraId="3AB5455D">
      <w:pPr>
        <w:pStyle w:val="14"/>
        <w:spacing w:line="400" w:lineRule="exact"/>
        <w:ind w:firstLine="480" w:firstLineChars="200"/>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2.供应商应根据自身的承诺，对照谈判文件要求，在“偏离说明”中注明“正偏离”、“负偏离”或者“无偏离”。既不属于“正偏离”也不属于“负偏离”即为“无偏离”。</w:t>
      </w:r>
      <w:r>
        <w:rPr>
          <w:rFonts w:hint="eastAsia" w:ascii="宋体" w:hAnsi="宋体" w:cs="仿宋_GB2312"/>
          <w:color w:val="000000" w:themeColor="text1"/>
          <w:sz w:val="24"/>
          <w:szCs w:val="24"/>
          <w:highlight w:val="none"/>
          <w14:textFill>
            <w14:solidFill>
              <w14:schemeClr w14:val="tx1"/>
            </w14:solidFill>
          </w14:textFill>
        </w:rPr>
        <w:t xml:space="preserve"> 当响应文件的</w:t>
      </w:r>
      <w:r>
        <w:rPr>
          <w:rFonts w:hint="eastAsia" w:ascii="宋体" w:hAnsi="宋体" w:eastAsia="宋体" w:cs="仿宋_GB2312"/>
          <w:color w:val="000000" w:themeColor="text1"/>
          <w:sz w:val="24"/>
          <w:szCs w:val="24"/>
          <w:highlight w:val="none"/>
          <w14:textFill>
            <w14:solidFill>
              <w14:schemeClr w14:val="tx1"/>
            </w14:solidFill>
          </w14:textFill>
        </w:rPr>
        <w:t>商务内容低于竞争性谈判采购文件要求时，竞标人应当如实写明“负偏离”，否则视为虚假应标</w:t>
      </w:r>
    </w:p>
    <w:p w14:paraId="03EB5E5C">
      <w:pPr>
        <w:spacing w:line="400" w:lineRule="exact"/>
        <w:ind w:firstLine="480" w:firstLineChars="200"/>
        <w:rPr>
          <w:rFonts w:hint="eastAsia" w:ascii="宋体" w:hAnsi="宋体" w:cs="仿宋_GB2312"/>
          <w:color w:val="000000" w:themeColor="text1"/>
          <w:kern w:val="0"/>
          <w:sz w:val="24"/>
          <w:highlight w:val="none"/>
          <w14:textFill>
            <w14:solidFill>
              <w14:schemeClr w14:val="tx1"/>
            </w14:solidFill>
          </w14:textFill>
        </w:rPr>
      </w:pPr>
      <w:r>
        <w:rPr>
          <w:rFonts w:hint="eastAsia" w:ascii="宋体" w:hAnsi="宋体" w:cs="仿宋_GB2312"/>
          <w:color w:val="000000" w:themeColor="text1"/>
          <w:kern w:val="0"/>
          <w:sz w:val="24"/>
          <w:highlight w:val="none"/>
          <w14:textFill>
            <w14:solidFill>
              <w14:schemeClr w14:val="tx1"/>
            </w14:solidFill>
          </w14:textFill>
        </w:rPr>
        <w:t>3.表格内容均需按要求填写并盖章，不得留空，否则按竞标无效处理。</w:t>
      </w:r>
    </w:p>
    <w:p w14:paraId="61D0E4F9">
      <w:pPr>
        <w:pStyle w:val="17"/>
        <w:spacing w:line="400" w:lineRule="exact"/>
        <w:ind w:firstLine="480"/>
        <w:rPr>
          <w:rFonts w:hint="eastAsia" w:hAnsi="宋体" w:cs="仿宋_GB2312"/>
          <w:color w:val="000000" w:themeColor="text1"/>
          <w:sz w:val="24"/>
          <w:szCs w:val="24"/>
          <w:highlight w:val="none"/>
          <w14:textFill>
            <w14:solidFill>
              <w14:schemeClr w14:val="tx1"/>
            </w14:solidFill>
          </w14:textFill>
        </w:rPr>
      </w:pPr>
      <w:r>
        <w:rPr>
          <w:rFonts w:hint="eastAsia" w:hAnsi="宋体" w:cs="仿宋_GB2312"/>
          <w:color w:val="000000" w:themeColor="text1"/>
          <w:sz w:val="24"/>
          <w:szCs w:val="24"/>
          <w:highlight w:val="none"/>
          <w14:textFill>
            <w14:solidFill>
              <w14:schemeClr w14:val="tx1"/>
            </w14:solidFill>
          </w14:textFill>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29C51A8A">
      <w:pPr>
        <w:spacing w:line="360" w:lineRule="auto"/>
        <w:ind w:right="-817" w:rightChars="-389"/>
        <w:contextualSpacing/>
        <w:rPr>
          <w:rFonts w:hint="eastAsia" w:ascii="宋体" w:hAnsi="宋体" w:cs="仿宋_GB2312"/>
          <w:color w:val="000000" w:themeColor="text1"/>
          <w:sz w:val="24"/>
          <w:highlight w:val="none"/>
          <w14:textFill>
            <w14:solidFill>
              <w14:schemeClr w14:val="tx1"/>
            </w14:solidFill>
          </w14:textFill>
        </w:rPr>
      </w:pPr>
    </w:p>
    <w:p w14:paraId="0ADF4910">
      <w:pPr>
        <w:spacing w:line="360" w:lineRule="auto"/>
        <w:ind w:firstLine="3840" w:firstLineChars="1600"/>
        <w:rPr>
          <w:rFonts w:hint="eastAsia" w:ascii="宋体" w:hAnsi="宋体"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181C0326">
      <w:pPr>
        <w:spacing w:line="360" w:lineRule="auto"/>
        <w:jc w:val="center"/>
        <w:rPr>
          <w:rFonts w:hint="eastAsia"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56CB4738">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01B02119">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3C5DA60B">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五、竞标人情况介绍</w:t>
      </w:r>
    </w:p>
    <w:p w14:paraId="527F0E8D">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446569CE">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7993FE3">
      <w:pPr>
        <w:autoSpaceDE w:val="0"/>
        <w:autoSpaceDN w:val="0"/>
        <w:spacing w:line="360" w:lineRule="auto"/>
        <w:ind w:firstLine="6480" w:firstLineChars="270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1507EC5B">
      <w:pPr>
        <w:snapToGrid w:val="0"/>
        <w:spacing w:before="120" w:beforeLines="50" w:after="50"/>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六、供应商类似的业绩证明文件</w:t>
      </w:r>
    </w:p>
    <w:p w14:paraId="5A3E7DEA">
      <w:pPr>
        <w:pStyle w:val="23"/>
        <w:snapToGrid w:val="0"/>
        <w:ind w:left="480" w:hanging="480"/>
        <w:rPr>
          <w:rFonts w:hint="eastAsia" w:ascii="宋体" w:hAnsi="宋体"/>
          <w:color w:val="000000" w:themeColor="text1"/>
          <w:sz w:val="24"/>
          <w:highlight w:val="none"/>
          <w14:textFill>
            <w14:solidFill>
              <w14:schemeClr w14:val="tx1"/>
            </w14:solidFill>
          </w14:textFill>
        </w:rPr>
      </w:pPr>
    </w:p>
    <w:tbl>
      <w:tblPr>
        <w:tblStyle w:val="29"/>
        <w:tblW w:w="91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4"/>
        <w:gridCol w:w="1643"/>
        <w:gridCol w:w="1011"/>
        <w:gridCol w:w="1011"/>
        <w:gridCol w:w="1516"/>
        <w:gridCol w:w="1140"/>
        <w:gridCol w:w="1642"/>
      </w:tblGrid>
      <w:tr w14:paraId="24C3C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6" w:hRule="atLeast"/>
          <w:jc w:val="center"/>
        </w:trPr>
        <w:tc>
          <w:tcPr>
            <w:tcW w:w="1234" w:type="dxa"/>
            <w:vMerge w:val="restart"/>
            <w:tcBorders>
              <w:top w:val="single" w:color="auto" w:sz="4" w:space="0"/>
              <w:left w:val="single" w:color="auto" w:sz="4" w:space="0"/>
              <w:bottom w:val="single" w:color="auto" w:sz="4" w:space="0"/>
              <w:right w:val="single" w:color="auto" w:sz="4" w:space="0"/>
            </w:tcBorders>
            <w:noWrap w:val="0"/>
            <w:vAlign w:val="center"/>
          </w:tcPr>
          <w:p w14:paraId="1F00CDBB">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1643" w:type="dxa"/>
            <w:vMerge w:val="restart"/>
            <w:tcBorders>
              <w:top w:val="single" w:color="auto" w:sz="4" w:space="0"/>
              <w:left w:val="single" w:color="auto" w:sz="4" w:space="0"/>
              <w:bottom w:val="single" w:color="auto" w:sz="4" w:space="0"/>
              <w:right w:val="single" w:color="auto" w:sz="4" w:space="0"/>
            </w:tcBorders>
            <w:noWrap w:val="0"/>
            <w:vAlign w:val="center"/>
          </w:tcPr>
          <w:p w14:paraId="1B95C9E0">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011" w:type="dxa"/>
            <w:vMerge w:val="restart"/>
            <w:tcBorders>
              <w:top w:val="single" w:color="auto" w:sz="4" w:space="0"/>
              <w:left w:val="single" w:color="auto" w:sz="4" w:space="0"/>
              <w:bottom w:val="single" w:color="auto" w:sz="4" w:space="0"/>
              <w:right w:val="single" w:color="auto" w:sz="4" w:space="0"/>
            </w:tcBorders>
            <w:noWrap w:val="0"/>
            <w:vAlign w:val="center"/>
          </w:tcPr>
          <w:p w14:paraId="04064661">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0D5EAF50">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1C5831E5">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3667" w:type="dxa"/>
            <w:gridSpan w:val="3"/>
            <w:tcBorders>
              <w:top w:val="single" w:color="auto" w:sz="4" w:space="0"/>
              <w:left w:val="single" w:color="auto" w:sz="4" w:space="0"/>
              <w:bottom w:val="single" w:color="auto" w:sz="4" w:space="0"/>
              <w:right w:val="single" w:color="auto" w:sz="4" w:space="0"/>
            </w:tcBorders>
            <w:noWrap w:val="0"/>
            <w:vAlign w:val="center"/>
          </w:tcPr>
          <w:p w14:paraId="318FE45A">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附件在响应文件中页码</w:t>
            </w:r>
          </w:p>
        </w:tc>
        <w:tc>
          <w:tcPr>
            <w:tcW w:w="1642" w:type="dxa"/>
            <w:vMerge w:val="restart"/>
            <w:tcBorders>
              <w:top w:val="single" w:color="auto" w:sz="4" w:space="0"/>
              <w:left w:val="single" w:color="auto" w:sz="4" w:space="0"/>
              <w:bottom w:val="single" w:color="auto" w:sz="4" w:space="0"/>
              <w:right w:val="single" w:color="auto" w:sz="4" w:space="0"/>
            </w:tcBorders>
            <w:noWrap w:val="0"/>
            <w:vAlign w:val="center"/>
          </w:tcPr>
          <w:p w14:paraId="72477673">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采购人联系人及联系电话</w:t>
            </w:r>
          </w:p>
        </w:tc>
      </w:tr>
      <w:tr w14:paraId="40AD7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4" w:hRule="atLeast"/>
          <w:jc w:val="center"/>
        </w:trPr>
        <w:tc>
          <w:tcPr>
            <w:tcW w:w="1234" w:type="dxa"/>
            <w:vMerge w:val="continue"/>
            <w:tcBorders>
              <w:top w:val="single" w:color="auto" w:sz="4" w:space="0"/>
              <w:left w:val="single" w:color="auto" w:sz="4" w:space="0"/>
              <w:bottom w:val="single" w:color="auto" w:sz="4" w:space="0"/>
              <w:right w:val="single" w:color="auto" w:sz="4" w:space="0"/>
            </w:tcBorders>
            <w:noWrap w:val="0"/>
            <w:vAlign w:val="center"/>
          </w:tcPr>
          <w:p w14:paraId="24F8FBC3">
            <w:pPr>
              <w:widowControl/>
              <w:spacing w:line="240" w:lineRule="auto"/>
              <w:jc w:val="left"/>
              <w:rPr>
                <w:rFonts w:ascii="宋体" w:hAnsi="宋体"/>
                <w:color w:val="000000" w:themeColor="text1"/>
                <w:sz w:val="24"/>
                <w:highlight w:val="none"/>
                <w14:textFill>
                  <w14:solidFill>
                    <w14:schemeClr w14:val="tx1"/>
                  </w14:solidFill>
                </w14:textFill>
              </w:rPr>
            </w:pPr>
          </w:p>
        </w:tc>
        <w:tc>
          <w:tcPr>
            <w:tcW w:w="1643" w:type="dxa"/>
            <w:vMerge w:val="continue"/>
            <w:tcBorders>
              <w:top w:val="single" w:color="auto" w:sz="4" w:space="0"/>
              <w:left w:val="single" w:color="auto" w:sz="4" w:space="0"/>
              <w:bottom w:val="single" w:color="auto" w:sz="4" w:space="0"/>
              <w:right w:val="single" w:color="auto" w:sz="4" w:space="0"/>
            </w:tcBorders>
            <w:noWrap w:val="0"/>
            <w:vAlign w:val="center"/>
          </w:tcPr>
          <w:p w14:paraId="7AEE8B01">
            <w:pPr>
              <w:widowControl/>
              <w:spacing w:line="240" w:lineRule="auto"/>
              <w:jc w:val="left"/>
              <w:rPr>
                <w:rFonts w:ascii="宋体" w:hAnsi="宋体"/>
                <w:color w:val="000000" w:themeColor="text1"/>
                <w:sz w:val="24"/>
                <w:highlight w:val="none"/>
                <w14:textFill>
                  <w14:solidFill>
                    <w14:schemeClr w14:val="tx1"/>
                  </w14:solidFill>
                </w14:textFill>
              </w:rPr>
            </w:pPr>
          </w:p>
        </w:tc>
        <w:tc>
          <w:tcPr>
            <w:tcW w:w="1011" w:type="dxa"/>
            <w:vMerge w:val="continue"/>
            <w:tcBorders>
              <w:top w:val="single" w:color="auto" w:sz="4" w:space="0"/>
              <w:left w:val="single" w:color="auto" w:sz="4" w:space="0"/>
              <w:bottom w:val="single" w:color="auto" w:sz="4" w:space="0"/>
              <w:right w:val="single" w:color="auto" w:sz="4" w:space="0"/>
            </w:tcBorders>
            <w:noWrap w:val="0"/>
            <w:vAlign w:val="center"/>
          </w:tcPr>
          <w:p w14:paraId="51B2E517">
            <w:pPr>
              <w:widowControl/>
              <w:spacing w:line="240" w:lineRule="auto"/>
              <w:jc w:val="left"/>
              <w:rPr>
                <w:rFonts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1945C51A">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F254D55">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中标（成交）通知书</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236E4E4">
            <w:pPr>
              <w:snapToGrid w:val="0"/>
              <w:spacing w:line="24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1642" w:type="dxa"/>
            <w:vMerge w:val="continue"/>
            <w:tcBorders>
              <w:top w:val="single" w:color="auto" w:sz="4" w:space="0"/>
              <w:left w:val="single" w:color="auto" w:sz="4" w:space="0"/>
              <w:bottom w:val="single" w:color="auto" w:sz="4" w:space="0"/>
              <w:right w:val="single" w:color="auto" w:sz="4" w:space="0"/>
            </w:tcBorders>
            <w:noWrap w:val="0"/>
            <w:vAlign w:val="center"/>
          </w:tcPr>
          <w:p w14:paraId="3519DB48">
            <w:pPr>
              <w:widowControl/>
              <w:spacing w:line="240" w:lineRule="auto"/>
              <w:jc w:val="left"/>
              <w:rPr>
                <w:rFonts w:ascii="宋体" w:hAnsi="宋体"/>
                <w:color w:val="000000" w:themeColor="text1"/>
                <w:sz w:val="24"/>
                <w:highlight w:val="none"/>
                <w14:textFill>
                  <w14:solidFill>
                    <w14:schemeClr w14:val="tx1"/>
                  </w14:solidFill>
                </w14:textFill>
              </w:rPr>
            </w:pPr>
          </w:p>
        </w:tc>
      </w:tr>
      <w:tr w14:paraId="67E7F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top"/>
          </w:tcPr>
          <w:p w14:paraId="1F967D65">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643" w:type="dxa"/>
            <w:tcBorders>
              <w:top w:val="single" w:color="auto" w:sz="4" w:space="0"/>
              <w:left w:val="single" w:color="auto" w:sz="4" w:space="0"/>
              <w:bottom w:val="single" w:color="auto" w:sz="4" w:space="0"/>
              <w:right w:val="single" w:color="auto" w:sz="4" w:space="0"/>
            </w:tcBorders>
            <w:noWrap w:val="0"/>
            <w:vAlign w:val="top"/>
          </w:tcPr>
          <w:p w14:paraId="3095D568">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0CA08A99">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55C52CAD">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50950899">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42E03F0D">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top"/>
          </w:tcPr>
          <w:p w14:paraId="4535D0F4">
            <w:pPr>
              <w:snapToGrid w:val="0"/>
              <w:spacing w:line="240" w:lineRule="auto"/>
              <w:jc w:val="left"/>
              <w:rPr>
                <w:rFonts w:hint="eastAsia" w:ascii="宋体" w:hAnsi="宋体"/>
                <w:color w:val="000000" w:themeColor="text1"/>
                <w:sz w:val="24"/>
                <w:highlight w:val="none"/>
                <w14:textFill>
                  <w14:solidFill>
                    <w14:schemeClr w14:val="tx1"/>
                  </w14:solidFill>
                </w14:textFill>
              </w:rPr>
            </w:pPr>
          </w:p>
        </w:tc>
      </w:tr>
      <w:tr w14:paraId="64895B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top"/>
          </w:tcPr>
          <w:p w14:paraId="33068D33">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3" w:type="dxa"/>
            <w:tcBorders>
              <w:top w:val="single" w:color="auto" w:sz="4" w:space="0"/>
              <w:left w:val="single" w:color="auto" w:sz="4" w:space="0"/>
              <w:bottom w:val="single" w:color="auto" w:sz="4" w:space="0"/>
              <w:right w:val="single" w:color="auto" w:sz="4" w:space="0"/>
            </w:tcBorders>
            <w:noWrap w:val="0"/>
            <w:vAlign w:val="top"/>
          </w:tcPr>
          <w:p w14:paraId="1347F96E">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755052B1">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33ED08BD">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6DC6756B">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51585AA1">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top"/>
          </w:tcPr>
          <w:p w14:paraId="79590F2F">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r>
      <w:tr w14:paraId="73BF1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top"/>
          </w:tcPr>
          <w:p w14:paraId="4BC02BED">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3" w:type="dxa"/>
            <w:tcBorders>
              <w:top w:val="single" w:color="auto" w:sz="4" w:space="0"/>
              <w:left w:val="single" w:color="auto" w:sz="4" w:space="0"/>
              <w:bottom w:val="single" w:color="auto" w:sz="4" w:space="0"/>
              <w:right w:val="single" w:color="auto" w:sz="4" w:space="0"/>
            </w:tcBorders>
            <w:noWrap w:val="0"/>
            <w:vAlign w:val="top"/>
          </w:tcPr>
          <w:p w14:paraId="1CD58E5F">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1C1ED407">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422B8097">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2D5577C4">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29A7D2EE">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top"/>
          </w:tcPr>
          <w:p w14:paraId="3CC7CEFC">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r>
      <w:tr w14:paraId="2507D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top"/>
          </w:tcPr>
          <w:p w14:paraId="1EF024CC">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3" w:type="dxa"/>
            <w:tcBorders>
              <w:top w:val="single" w:color="auto" w:sz="4" w:space="0"/>
              <w:left w:val="single" w:color="auto" w:sz="4" w:space="0"/>
              <w:bottom w:val="single" w:color="auto" w:sz="4" w:space="0"/>
              <w:right w:val="single" w:color="auto" w:sz="4" w:space="0"/>
            </w:tcBorders>
            <w:noWrap w:val="0"/>
            <w:vAlign w:val="top"/>
          </w:tcPr>
          <w:p w14:paraId="08BD718B">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3F136B5E">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6B0142A0">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23BE3E20">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03FD0F7E">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top"/>
          </w:tcPr>
          <w:p w14:paraId="47A28AD9">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r>
      <w:tr w14:paraId="72BD0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top"/>
          </w:tcPr>
          <w:p w14:paraId="39E1D158">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3" w:type="dxa"/>
            <w:tcBorders>
              <w:top w:val="single" w:color="auto" w:sz="4" w:space="0"/>
              <w:left w:val="single" w:color="auto" w:sz="4" w:space="0"/>
              <w:bottom w:val="single" w:color="auto" w:sz="4" w:space="0"/>
              <w:right w:val="single" w:color="auto" w:sz="4" w:space="0"/>
            </w:tcBorders>
            <w:noWrap w:val="0"/>
            <w:vAlign w:val="top"/>
          </w:tcPr>
          <w:p w14:paraId="44225196">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7486860C">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011" w:type="dxa"/>
            <w:tcBorders>
              <w:top w:val="single" w:color="auto" w:sz="4" w:space="0"/>
              <w:left w:val="single" w:color="auto" w:sz="4" w:space="0"/>
              <w:bottom w:val="single" w:color="auto" w:sz="4" w:space="0"/>
              <w:right w:val="single" w:color="auto" w:sz="4" w:space="0"/>
            </w:tcBorders>
            <w:noWrap w:val="0"/>
            <w:vAlign w:val="top"/>
          </w:tcPr>
          <w:p w14:paraId="09F9C441">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top"/>
          </w:tcPr>
          <w:p w14:paraId="7391C3E2">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42A77306">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noWrap w:val="0"/>
            <w:vAlign w:val="top"/>
          </w:tcPr>
          <w:p w14:paraId="2785ECCE">
            <w:pPr>
              <w:snapToGrid w:val="0"/>
              <w:spacing w:before="50" w:after="120" w:afterLines="50" w:line="240" w:lineRule="auto"/>
              <w:jc w:val="left"/>
              <w:rPr>
                <w:rFonts w:hint="eastAsia" w:ascii="宋体" w:hAnsi="宋体"/>
                <w:color w:val="000000" w:themeColor="text1"/>
                <w:sz w:val="24"/>
                <w:highlight w:val="none"/>
                <w14:textFill>
                  <w14:solidFill>
                    <w14:schemeClr w14:val="tx1"/>
                  </w14:solidFill>
                </w14:textFill>
              </w:rPr>
            </w:pPr>
          </w:p>
        </w:tc>
      </w:tr>
    </w:tbl>
    <w:p w14:paraId="2B03C2B1">
      <w:pPr>
        <w:pStyle w:val="23"/>
        <w:snapToGrid w:val="0"/>
        <w:ind w:left="480" w:hanging="480"/>
        <w:rPr>
          <w:rFonts w:hint="eastAsia" w:ascii="宋体" w:hAnsi="宋体"/>
          <w:color w:val="000000" w:themeColor="text1"/>
          <w:sz w:val="24"/>
          <w:highlight w:val="none"/>
          <w14:textFill>
            <w14:solidFill>
              <w14:schemeClr w14:val="tx1"/>
            </w14:solidFill>
          </w14:textFill>
        </w:rPr>
      </w:pPr>
    </w:p>
    <w:p w14:paraId="7E431F8F">
      <w:pPr>
        <w:pStyle w:val="23"/>
        <w:snapToGrid w:val="0"/>
        <w:ind w:left="480" w:hanging="480"/>
        <w:rPr>
          <w:rFonts w:hint="eastAsia" w:ascii="宋体" w:hAnsi="宋体"/>
          <w:color w:val="000000" w:themeColor="text1"/>
          <w:sz w:val="24"/>
          <w:highlight w:val="none"/>
          <w14:textFill>
            <w14:solidFill>
              <w14:schemeClr w14:val="tx1"/>
            </w14:solidFill>
          </w14:textFill>
        </w:rPr>
      </w:pPr>
    </w:p>
    <w:p w14:paraId="4905D6DC">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:相关项目业绩一览表（供应商同类项目合同复印件或中标（成交）通知书）</w:t>
      </w:r>
    </w:p>
    <w:p w14:paraId="66861413">
      <w:pPr>
        <w:pStyle w:val="17"/>
        <w:spacing w:line="360" w:lineRule="auto"/>
        <w:ind w:left="42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注：供应商可按上述的格式自行编制，须随表提交相应的合同复印件和用户单位验收证明并注明所在供应商商务技术文件页码。</w:t>
      </w:r>
    </w:p>
    <w:p w14:paraId="69A9676C">
      <w:pPr>
        <w:snapToGrid w:val="0"/>
        <w:spacing w:line="360" w:lineRule="auto"/>
        <w:ind w:firstLine="4935" w:firstLineChars="235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0BFFE3B5">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30214B7C">
      <w:pPr>
        <w:snapToGrid w:val="0"/>
        <w:spacing w:line="360" w:lineRule="auto"/>
        <w:ind w:left="4410" w:leftChars="2100" w:firstLine="5670" w:firstLineChars="270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供应商名称(电子签章)：</w:t>
      </w:r>
    </w:p>
    <w:p w14:paraId="2A56991E">
      <w:pPr>
        <w:spacing w:line="50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7F521DE">
      <w:pPr>
        <w:widowControl/>
        <w:jc w:val="left"/>
        <w:rPr>
          <w:rFonts w:ascii="仿宋_GB2312" w:hAnsi="仿宋_GB2312" w:eastAsia="仿宋_GB2312" w:cs="仿宋_GB2312"/>
          <w:color w:val="000000" w:themeColor="text1"/>
          <w:sz w:val="32"/>
          <w:szCs w:val="32"/>
          <w:highlight w:val="none"/>
          <w14:textFill>
            <w14:solidFill>
              <w14:schemeClr w14:val="tx1"/>
            </w14:solidFill>
          </w14:textFill>
        </w:rPr>
        <w:sectPr>
          <w:pgSz w:w="11910" w:h="16840"/>
          <w:pgMar w:top="1440" w:right="1080" w:bottom="1440" w:left="1080" w:header="720" w:footer="720" w:gutter="0"/>
          <w:pgNumType w:fmt="decimal"/>
          <w:cols w:space="720" w:num="1"/>
        </w:sectPr>
      </w:pPr>
    </w:p>
    <w:p w14:paraId="583C6C05">
      <w:pPr>
        <w:autoSpaceDE w:val="0"/>
        <w:autoSpaceDN w:val="0"/>
        <w:spacing w:line="360" w:lineRule="auto"/>
        <w:ind w:firstLine="6120" w:firstLineChars="25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0039DD46">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七、货物需求偏离表</w:t>
      </w:r>
    </w:p>
    <w:p w14:paraId="252DABA1">
      <w:pPr>
        <w:spacing w:line="50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458AEC64">
      <w:pPr>
        <w:spacing w:line="50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货物需求偏离表</w:t>
      </w:r>
    </w:p>
    <w:p w14:paraId="0C50BCBC">
      <w:pPr>
        <w:spacing w:line="500" w:lineRule="exact"/>
        <w:jc w:val="center"/>
        <w:rPr>
          <w:rFonts w:hint="eastAsia"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(注：按采购需求具体条款修改)</w:t>
      </w:r>
    </w:p>
    <w:p w14:paraId="52F12A89">
      <w:pPr>
        <w:spacing w:line="360" w:lineRule="auto"/>
        <w:jc w:val="left"/>
        <w:rPr>
          <w:rFonts w:hint="eastAsia" w:ascii="宋体" w:hAnsi="宋体"/>
          <w:color w:val="000000" w:themeColor="text1"/>
          <w:sz w:val="24"/>
          <w:highlight w:val="none"/>
          <w14:textFill>
            <w14:solidFill>
              <w14:schemeClr w14:val="tx1"/>
            </w14:solidFill>
          </w14:textFill>
        </w:rPr>
      </w:pPr>
    </w:p>
    <w:p w14:paraId="401A5EA3">
      <w:pPr>
        <w:pStyle w:val="17"/>
        <w:spacing w:line="360" w:lineRule="auto"/>
        <w:ind w:firstLine="480"/>
        <w:rPr>
          <w:rFonts w:hint="eastAsia" w:hAnsi="宋体" w:cs="仿宋_GB2312"/>
          <w:color w:val="000000" w:themeColor="text1"/>
          <w:sz w:val="24"/>
          <w:szCs w:val="24"/>
          <w:highlight w:val="none"/>
          <w14:textFill>
            <w14:solidFill>
              <w14:schemeClr w14:val="tx1"/>
            </w14:solidFill>
          </w14:textFill>
        </w:rPr>
      </w:pPr>
      <w:r>
        <w:rPr>
          <w:rFonts w:hint="eastAsia" w:hAnsi="宋体" w:cs="仿宋_GB2312"/>
          <w:color w:val="000000" w:themeColor="text1"/>
          <w:sz w:val="24"/>
          <w:szCs w:val="24"/>
          <w:highlight w:val="none"/>
          <w14:textFill>
            <w14:solidFill>
              <w14:schemeClr w14:val="tx1"/>
            </w14:solidFill>
          </w14:textFill>
        </w:rPr>
        <w:t>所竞分标：</w:t>
      </w:r>
      <w:r>
        <w:rPr>
          <w:rFonts w:hint="eastAsia" w:hAnsi="宋体" w:cs="仿宋_GB2312"/>
          <w:color w:val="000000" w:themeColor="text1"/>
          <w:sz w:val="24"/>
          <w:szCs w:val="24"/>
          <w:highlight w:val="none"/>
          <w:u w:val="single"/>
          <w14:textFill>
            <w14:solidFill>
              <w14:schemeClr w14:val="tx1"/>
            </w14:solidFill>
          </w14:textFill>
        </w:rPr>
        <w:t xml:space="preserve">              </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33FA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2F61357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5286CF6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1E1DB4CD">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CCD926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5B28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336A5D55">
            <w:pPr>
              <w:widowControl/>
              <w:jc w:val="left"/>
              <w:rPr>
                <w:rFonts w:ascii="宋体" w:hAnsi="宋体"/>
                <w:color w:val="000000" w:themeColor="text1"/>
                <w:szCs w:val="21"/>
                <w:highlight w:val="none"/>
                <w14:textFill>
                  <w14:solidFill>
                    <w14:schemeClr w14:val="tx1"/>
                  </w14:solidFill>
                </w14:textFill>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BBF767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18BFCC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6FA1716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BE73A9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2E0A922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8E5B5F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31FFBC81">
            <w:pPr>
              <w:widowControl/>
              <w:jc w:val="left"/>
              <w:rPr>
                <w:rFonts w:ascii="宋体" w:hAnsi="宋体"/>
                <w:color w:val="000000" w:themeColor="text1"/>
                <w:szCs w:val="21"/>
                <w:highlight w:val="none"/>
                <w14:textFill>
                  <w14:solidFill>
                    <w14:schemeClr w14:val="tx1"/>
                  </w14:solidFill>
                </w14:textFill>
              </w:rPr>
            </w:pPr>
          </w:p>
        </w:tc>
      </w:tr>
      <w:tr w14:paraId="3056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ECACAA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F23C4D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455982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142A0F0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008998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A15FE0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C73327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50A773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9326A3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E139EA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57C997B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C507D7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899C00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BA3A284">
            <w:pPr>
              <w:rPr>
                <w:rFonts w:hint="eastAsia" w:ascii="宋体" w:hAnsi="宋体"/>
                <w:color w:val="000000" w:themeColor="text1"/>
                <w:szCs w:val="21"/>
                <w:highlight w:val="none"/>
                <w14:textFill>
                  <w14:solidFill>
                    <w14:schemeClr w14:val="tx1"/>
                  </w14:solidFill>
                </w14:textFill>
              </w:rPr>
            </w:pPr>
          </w:p>
        </w:tc>
      </w:tr>
      <w:tr w14:paraId="2DD8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E659E3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56AAD7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4CCFD80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ED7BD9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7EEF80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E060C3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8D749D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FED62A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53E312E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197C3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5C29917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BB3254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981C5B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0B559D8">
            <w:pPr>
              <w:rPr>
                <w:rFonts w:hint="eastAsia" w:ascii="宋体" w:hAnsi="宋体"/>
                <w:color w:val="000000" w:themeColor="text1"/>
                <w:szCs w:val="21"/>
                <w:highlight w:val="none"/>
                <w14:textFill>
                  <w14:solidFill>
                    <w14:schemeClr w14:val="tx1"/>
                  </w14:solidFill>
                </w14:textFill>
              </w:rPr>
            </w:pPr>
          </w:p>
        </w:tc>
      </w:tr>
      <w:tr w14:paraId="65B0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243F597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12047AFA">
            <w:pPr>
              <w:rPr>
                <w:rFonts w:hint="eastAsia" w:ascii="宋体" w:hAnsi="宋体"/>
                <w:color w:val="000000" w:themeColor="text1"/>
                <w:szCs w:val="21"/>
                <w:highlight w:val="none"/>
                <w14:textFill>
                  <w14:solidFill>
                    <w14:schemeClr w14:val="tx1"/>
                  </w14:solidFill>
                </w14:textFill>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7C9767FD">
            <w:pPr>
              <w:rPr>
                <w:rFonts w:hint="eastAsia" w:ascii="宋体" w:hAnsi="宋体"/>
                <w:color w:val="000000" w:themeColor="text1"/>
                <w:szCs w:val="21"/>
                <w:highlight w:val="none"/>
                <w14:textFill>
                  <w14:solidFill>
                    <w14:schemeClr w14:val="tx1"/>
                  </w14:solidFill>
                </w14:textFill>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8C24F7F">
            <w:pPr>
              <w:rPr>
                <w:rFonts w:hint="eastAsia" w:ascii="宋体" w:hAnsi="宋体"/>
                <w:color w:val="000000" w:themeColor="text1"/>
                <w:szCs w:val="21"/>
                <w:highlight w:val="none"/>
                <w14:textFill>
                  <w14:solidFill>
                    <w14:schemeClr w14:val="tx1"/>
                  </w14:solidFill>
                </w14:textFill>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1B52A29">
            <w:pPr>
              <w:rPr>
                <w:rFonts w:hint="eastAsia" w:ascii="宋体" w:hAnsi="宋体"/>
                <w:color w:val="000000" w:themeColor="text1"/>
                <w:szCs w:val="21"/>
                <w:highlight w:val="none"/>
                <w14:textFill>
                  <w14:solidFill>
                    <w14:schemeClr w14:val="tx1"/>
                  </w14:solidFill>
                </w14:textFill>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72F1E0D0">
            <w:pPr>
              <w:rPr>
                <w:rFonts w:hint="eastAsia" w:ascii="宋体" w:hAnsi="宋体"/>
                <w:color w:val="000000" w:themeColor="text1"/>
                <w:szCs w:val="21"/>
                <w:highlight w:val="none"/>
                <w14:textFill>
                  <w14:solidFill>
                    <w14:schemeClr w14:val="tx1"/>
                  </w14:solidFill>
                </w14:textFill>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CA0B47E">
            <w:pPr>
              <w:rPr>
                <w:rFonts w:hint="eastAsia" w:ascii="宋体" w:hAnsi="宋体"/>
                <w:color w:val="000000" w:themeColor="text1"/>
                <w:szCs w:val="21"/>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BA092F">
            <w:pPr>
              <w:rPr>
                <w:rFonts w:hint="eastAsia" w:ascii="宋体" w:hAnsi="宋体"/>
                <w:color w:val="000000" w:themeColor="text1"/>
                <w:szCs w:val="21"/>
                <w:highlight w:val="none"/>
                <w14:textFill>
                  <w14:solidFill>
                    <w14:schemeClr w14:val="tx1"/>
                  </w14:solidFill>
                </w14:textFill>
              </w:rPr>
            </w:pPr>
          </w:p>
        </w:tc>
      </w:tr>
    </w:tbl>
    <w:p w14:paraId="156CC966">
      <w:pPr>
        <w:pStyle w:val="12"/>
        <w:keepNext w:val="0"/>
        <w:keepLines w:val="0"/>
        <w:pageBreakBefore w:val="0"/>
        <w:widowControl w:val="0"/>
        <w:kinsoku/>
        <w:wordWrap/>
        <w:overflowPunct/>
        <w:topLinePunct w:val="0"/>
        <w:autoSpaceDE/>
        <w:autoSpaceDN/>
        <w:bidi w:val="0"/>
        <w:adjustRightInd/>
        <w:snapToGrid/>
        <w:spacing w:after="0" w:line="360" w:lineRule="auto"/>
        <w:contextualSpacing/>
        <w:textAlignment w:val="auto"/>
        <w:rPr>
          <w:rFonts w:hint="eastAsia" w:ascii="宋体" w:hAnsi="宋体"/>
          <w:color w:val="000000" w:themeColor="text1"/>
          <w:kern w:val="0"/>
          <w:sz w:val="21"/>
          <w:szCs w:val="21"/>
          <w:highlight w:val="none"/>
          <w14:textFill>
            <w14:solidFill>
              <w14:schemeClr w14:val="tx1"/>
            </w14:solidFill>
          </w14:textFill>
        </w:rPr>
      </w:pPr>
      <w:r>
        <w:rPr>
          <w:rFonts w:hint="eastAsia" w:ascii="宋体" w:hAnsi="宋体"/>
          <w:color w:val="000000" w:themeColor="text1"/>
          <w:kern w:val="0"/>
          <w:sz w:val="21"/>
          <w:szCs w:val="21"/>
          <w:highlight w:val="none"/>
          <w14:textFill>
            <w14:solidFill>
              <w14:schemeClr w14:val="tx1"/>
            </w14:solidFill>
          </w14:textFill>
        </w:rPr>
        <w:t>注：</w:t>
      </w:r>
    </w:p>
    <w:p w14:paraId="4A80EBE6">
      <w:pPr>
        <w:pStyle w:val="12"/>
        <w:keepNext w:val="0"/>
        <w:keepLines w:val="0"/>
        <w:pageBreakBefore w:val="0"/>
        <w:widowControl w:val="0"/>
        <w:kinsoku/>
        <w:wordWrap/>
        <w:overflowPunct/>
        <w:topLinePunct w:val="0"/>
        <w:autoSpaceDE/>
        <w:autoSpaceDN/>
        <w:bidi w:val="0"/>
        <w:adjustRightInd/>
        <w:snapToGrid/>
        <w:spacing w:after="0" w:line="360" w:lineRule="auto"/>
        <w:contextualSpacing/>
        <w:textAlignment w:val="auto"/>
        <w:rPr>
          <w:rFonts w:hint="eastAsia" w:ascii="宋体" w:hAnsi="宋体" w:cs="仿宋_GB2312"/>
          <w:color w:val="000000" w:themeColor="text1"/>
          <w:kern w:val="0"/>
          <w:sz w:val="21"/>
          <w:szCs w:val="21"/>
          <w:highlight w:val="none"/>
          <w14:textFill>
            <w14:solidFill>
              <w14:schemeClr w14:val="tx1"/>
            </w14:solidFill>
          </w14:textFill>
        </w:rPr>
      </w:pPr>
      <w:r>
        <w:rPr>
          <w:rFonts w:hint="eastAsia" w:ascii="宋体" w:hAnsi="宋体" w:cs="仿宋_GB2312"/>
          <w:color w:val="000000" w:themeColor="text1"/>
          <w:kern w:val="0"/>
          <w:sz w:val="21"/>
          <w:szCs w:val="21"/>
          <w:highlight w:val="none"/>
          <w14:textFill>
            <w14:solidFill>
              <w14:schemeClr w14:val="tx1"/>
            </w14:solidFill>
          </w14:textFill>
        </w:rPr>
        <w:t>1.说明：应对照谈判文件“第二章”中“货物需求一览表”的采购清单及技术参数条款逐条作出明确响应，并作出偏离说明。</w:t>
      </w:r>
    </w:p>
    <w:p w14:paraId="09D47A8A">
      <w:pPr>
        <w:pStyle w:val="1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仿宋_GB2312"/>
          <w:color w:val="000000" w:themeColor="text1"/>
          <w:sz w:val="21"/>
          <w:szCs w:val="21"/>
          <w:highlight w:val="none"/>
          <w14:textFill>
            <w14:solidFill>
              <w14:schemeClr w14:val="tx1"/>
            </w14:solidFill>
          </w14:textFill>
        </w:rPr>
      </w:pPr>
      <w:r>
        <w:rPr>
          <w:rFonts w:hint="eastAsia" w:ascii="宋体" w:hAnsi="宋体" w:eastAsia="宋体" w:cs="仿宋_GB2312"/>
          <w:color w:val="000000" w:themeColor="text1"/>
          <w:sz w:val="21"/>
          <w:szCs w:val="21"/>
          <w:highlight w:val="none"/>
          <w14:textFill>
            <w14:solidFill>
              <w14:schemeClr w14:val="tx1"/>
            </w14:solidFill>
          </w14:textFill>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4E76F6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仿宋_GB2312"/>
          <w:color w:val="000000" w:themeColor="text1"/>
          <w:kern w:val="0"/>
          <w:szCs w:val="21"/>
          <w:highlight w:val="none"/>
          <w14:textFill>
            <w14:solidFill>
              <w14:schemeClr w14:val="tx1"/>
            </w14:solidFill>
          </w14:textFill>
        </w:rPr>
      </w:pPr>
      <w:r>
        <w:rPr>
          <w:rFonts w:hint="eastAsia" w:ascii="宋体" w:hAnsi="宋体" w:cs="仿宋_GB2312"/>
          <w:color w:val="000000" w:themeColor="text1"/>
          <w:kern w:val="0"/>
          <w:szCs w:val="21"/>
          <w:highlight w:val="none"/>
          <w14:textFill>
            <w14:solidFill>
              <w14:schemeClr w14:val="tx1"/>
            </w14:solidFill>
          </w14:textFill>
        </w:rPr>
        <w:t>3.表格内容均需按要求填写并盖章，不得留空，否则按竞标无效处理。</w:t>
      </w:r>
    </w:p>
    <w:p w14:paraId="78803DBB">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s="仿宋_GB2312"/>
          <w:color w:val="000000" w:themeColor="text1"/>
          <w:sz w:val="21"/>
          <w:highlight w:val="none"/>
          <w14:textFill>
            <w14:solidFill>
              <w14:schemeClr w14:val="tx1"/>
            </w14:solidFill>
          </w14:textFill>
        </w:rPr>
      </w:pPr>
      <w:r>
        <w:rPr>
          <w:rFonts w:hint="eastAsia" w:hAnsi="宋体" w:cs="仿宋_GB2312"/>
          <w:color w:val="000000" w:themeColor="text1"/>
          <w:sz w:val="21"/>
          <w:highlight w:val="none"/>
          <w14:textFill>
            <w14:solidFill>
              <w14:schemeClr w14:val="tx1"/>
            </w14:solidFill>
          </w14:textFill>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415F6265">
      <w:pPr>
        <w:pStyle w:val="1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eastAsia="宋体" w:cs="仿宋_GB2312"/>
          <w:color w:val="000000" w:themeColor="text1"/>
          <w:sz w:val="21"/>
          <w:szCs w:val="21"/>
          <w:highlight w:val="none"/>
          <w14:textFill>
            <w14:solidFill>
              <w14:schemeClr w14:val="tx1"/>
            </w14:solidFill>
          </w14:textFill>
        </w:rPr>
        <w:t>5. 如技术偏离表中的竞标响应与佐证材料不一致的，以佐证材料为准。</w:t>
      </w:r>
    </w:p>
    <w:p w14:paraId="6E06F3BC">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3AD5A5F7">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FB73109">
      <w:pPr>
        <w:autoSpaceDE w:val="0"/>
        <w:autoSpaceDN w:val="0"/>
        <w:spacing w:line="360" w:lineRule="auto"/>
        <w:ind w:firstLine="6480" w:firstLineChars="270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7CB63212">
      <w:pPr>
        <w:widowControl/>
        <w:jc w:val="left"/>
        <w:rPr>
          <w:rFonts w:ascii="仿宋_GB2312" w:hAnsi="仿宋_GB2312" w:eastAsia="仿宋_GB2312" w:cs="仿宋_GB2312"/>
          <w:color w:val="000000" w:themeColor="text1"/>
          <w:sz w:val="32"/>
          <w:szCs w:val="32"/>
          <w:highlight w:val="none"/>
          <w14:textFill>
            <w14:solidFill>
              <w14:schemeClr w14:val="tx1"/>
            </w14:solidFill>
          </w14:textFill>
        </w:rPr>
        <w:sectPr>
          <w:pgSz w:w="11910" w:h="16840"/>
          <w:pgMar w:top="1440" w:right="1080" w:bottom="1440" w:left="1080" w:header="720" w:footer="720" w:gutter="0"/>
          <w:pgNumType w:fmt="decimal"/>
          <w:cols w:space="720" w:num="1"/>
        </w:sectPr>
      </w:pPr>
    </w:p>
    <w:p w14:paraId="35CA974F">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八、配置清单</w:t>
      </w:r>
    </w:p>
    <w:p w14:paraId="581FB6BC">
      <w:pPr>
        <w:spacing w:line="500" w:lineRule="exact"/>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20E9379D">
      <w:pPr>
        <w:adjustRightInd w:val="0"/>
        <w:snapToGrid w:val="0"/>
        <w:spacing w:line="520" w:lineRule="exact"/>
        <w:jc w:val="center"/>
        <w:rPr>
          <w:rFonts w:hint="eastAsia"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货物配置清单</w:t>
      </w:r>
    </w:p>
    <w:p w14:paraId="77B9AF7E">
      <w:pPr>
        <w:spacing w:line="300" w:lineRule="auto"/>
        <w:rPr>
          <w:rFonts w:hint="eastAsia" w:ascii="宋体" w:hAnsi="宋体"/>
          <w:color w:val="000000" w:themeColor="text1"/>
          <w:szCs w:val="21"/>
          <w:highlight w:val="none"/>
          <w14:textFill>
            <w14:solidFill>
              <w14:schemeClr w14:val="tx1"/>
            </w14:solidFill>
          </w14:textFill>
        </w:rPr>
      </w:pPr>
    </w:p>
    <w:p w14:paraId="49ED4914">
      <w:pPr>
        <w:spacing w:line="36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所竞分标：</w:t>
      </w:r>
      <w:r>
        <w:rPr>
          <w:rFonts w:hint="eastAsia" w:ascii="宋体" w:hAnsi="宋体" w:cs="仿宋_GB2312"/>
          <w:color w:val="000000" w:themeColor="text1"/>
          <w:sz w:val="24"/>
          <w:highlight w:val="none"/>
          <w:u w:val="single"/>
          <w14:textFill>
            <w14:solidFill>
              <w14:schemeClr w14:val="tx1"/>
            </w14:solidFill>
          </w14:textFill>
        </w:rPr>
        <w:t xml:space="preserve">                 </w:t>
      </w:r>
    </w:p>
    <w:tbl>
      <w:tblPr>
        <w:tblStyle w:val="2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2"/>
        <w:gridCol w:w="1387"/>
        <w:gridCol w:w="895"/>
        <w:gridCol w:w="996"/>
        <w:gridCol w:w="1988"/>
        <w:gridCol w:w="1387"/>
        <w:gridCol w:w="821"/>
        <w:gridCol w:w="1666"/>
      </w:tblGrid>
      <w:tr w14:paraId="65FC7D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FC70CEF">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2DC40C99">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货物名称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1EAFE782">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27E4DF0">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65C8E859">
            <w:pPr>
              <w:snapToGrid w:val="0"/>
              <w:spacing w:before="50" w:after="50"/>
              <w:jc w:val="center"/>
              <w:rPr>
                <w:rFonts w:hint="eastAsia" w:ascii="宋体" w:hAnsi="宋体"/>
                <w:color w:val="000000" w:themeColor="text1"/>
                <w:sz w:val="24"/>
                <w:highlight w:val="none"/>
                <w14:textFill>
                  <w14:solidFill>
                    <w14:schemeClr w14:val="tx1"/>
                  </w14:solidFill>
                </w14:textFill>
              </w:rPr>
            </w:pPr>
          </w:p>
          <w:p w14:paraId="697F1CEC">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FF58E15">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3FD33D32">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AA6B4EE">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参数性能、指标及配置</w:t>
            </w:r>
          </w:p>
        </w:tc>
      </w:tr>
      <w:tr w14:paraId="7BD06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52D72032">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D26935F">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4C3F4E1">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4692B7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71F1930">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BF06C6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41F8C3C">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0D963CB0">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02D3C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622B3F7">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7DDE54C">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1127C19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343756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0432EF1B">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15F54592">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FB8CC4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732AAA56">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1CA66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ED66208">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1C86E9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D337D8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AD2349E">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7D19923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A3A0E10">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F864610">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1CFBE43">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bl>
    <w:p w14:paraId="3320B78D">
      <w:pPr>
        <w:spacing w:line="360" w:lineRule="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备注：</w:t>
      </w:r>
    </w:p>
    <w:p w14:paraId="29987AF9">
      <w:pPr>
        <w:tabs>
          <w:tab w:val="left" w:pos="1065"/>
        </w:tabs>
        <w:adjustRightInd w:val="0"/>
        <w:spacing w:line="36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b/>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货物名称、数量及单位、品牌必须与“货物需求一览表”一致，</w:t>
      </w:r>
      <w:r>
        <w:rPr>
          <w:rFonts w:hint="eastAsia" w:ascii="宋体" w:hAnsi="宋体"/>
          <w:bCs/>
          <w:color w:val="000000" w:themeColor="text1"/>
          <w:sz w:val="21"/>
          <w:szCs w:val="21"/>
          <w:highlight w:val="none"/>
          <w14:textFill>
            <w14:solidFill>
              <w14:schemeClr w14:val="tx1"/>
            </w14:solidFill>
          </w14:textFill>
        </w:rPr>
        <w:t>否则响应文件作无效处理</w:t>
      </w:r>
      <w:r>
        <w:rPr>
          <w:rFonts w:hint="eastAsia" w:ascii="宋体" w:hAnsi="宋体"/>
          <w:b/>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ab/>
      </w:r>
    </w:p>
    <w:p w14:paraId="289D8888">
      <w:pPr>
        <w:adjustRightInd w:val="0"/>
        <w:spacing w:line="360" w:lineRule="auto"/>
        <w:jc w:val="left"/>
        <w:rPr>
          <w:rFonts w:hint="eastAsia" w:ascii="宋体" w:hAnsi="宋体" w:cs="仿宋_GB2312"/>
          <w:color w:val="000000" w:themeColor="text1"/>
          <w:sz w:val="24"/>
          <w:highlight w:val="none"/>
          <w14:textFill>
            <w14:solidFill>
              <w14:schemeClr w14:val="tx1"/>
            </w14:solidFill>
          </w14:textFill>
        </w:rPr>
      </w:pPr>
    </w:p>
    <w:p w14:paraId="0D189095">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FD7C437">
      <w:pPr>
        <w:autoSpaceDE w:val="0"/>
        <w:autoSpaceDN w:val="0"/>
        <w:spacing w:line="360" w:lineRule="auto"/>
        <w:ind w:firstLine="6480" w:firstLineChars="2700"/>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44CA8953">
      <w:pPr>
        <w:spacing w:line="50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782602AC">
      <w:pPr>
        <w:snapToGrid w:val="0"/>
        <w:spacing w:before="120" w:beforeLines="50" w:after="50"/>
        <w:ind w:left="143" w:leftChars="68" w:firstLine="596" w:firstLineChars="198"/>
        <w:jc w:val="center"/>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九、售后服务方案</w:t>
      </w:r>
    </w:p>
    <w:p w14:paraId="270B377E">
      <w:pPr>
        <w:tabs>
          <w:tab w:val="left" w:pos="1065"/>
        </w:tabs>
        <w:adjustRightInd w:val="0"/>
        <w:spacing w:line="360" w:lineRule="auto"/>
        <w:rPr>
          <w:rFonts w:hint="eastAsia"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由竞标人按本项目竞争性谈判采购文件第二章“货物需求一览表”中商务条款部分的售后服务要求自行填写，其中要包含售后服务承诺书。</w:t>
      </w:r>
    </w:p>
    <w:p w14:paraId="4A3AAC12">
      <w:pPr>
        <w:snapToGrid w:val="0"/>
        <w:spacing w:line="360" w:lineRule="auto"/>
        <w:jc w:val="center"/>
        <w:rPr>
          <w:rFonts w:hint="eastAsia" w:ascii="仿宋" w:hAnsi="仿宋" w:eastAsia="仿宋" w:cs="仿宋"/>
          <w:b/>
          <w:color w:val="000000" w:themeColor="text1"/>
          <w:sz w:val="30"/>
          <w:szCs w:val="30"/>
          <w:highlight w:val="none"/>
          <w:lang w:val="en-US" w:eastAsia="zh-CN"/>
          <w14:textFill>
            <w14:solidFill>
              <w14:schemeClr w14:val="tx1"/>
            </w14:solidFill>
          </w14:textFill>
        </w:rPr>
      </w:pPr>
    </w:p>
    <w:p w14:paraId="7D56F000">
      <w:pPr>
        <w:snapToGrid w:val="0"/>
        <w:spacing w:line="360" w:lineRule="auto"/>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十、</w:t>
      </w:r>
      <w:r>
        <w:rPr>
          <w:rFonts w:hint="eastAsia" w:ascii="仿宋" w:hAnsi="仿宋" w:eastAsia="仿宋" w:cs="仿宋"/>
          <w:b/>
          <w:color w:val="000000" w:themeColor="text1"/>
          <w:sz w:val="30"/>
          <w:szCs w:val="30"/>
          <w:highlight w:val="none"/>
          <w14:textFill>
            <w14:solidFill>
              <w14:schemeClr w14:val="tx1"/>
            </w14:solidFill>
          </w14:textFill>
        </w:rPr>
        <w:t>项目实施人员一览表（如有请提供）</w:t>
      </w:r>
    </w:p>
    <w:p w14:paraId="09757FC7">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（由供应商根据采购需求及采购文件要求编制）</w:t>
      </w:r>
    </w:p>
    <w:p w14:paraId="74C9076D">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56122A35">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十</w:t>
      </w:r>
      <w:r>
        <w:rPr>
          <w:rFonts w:hint="eastAsia" w:ascii="仿宋" w:hAnsi="仿宋" w:eastAsia="仿宋" w:cs="仿宋_GB2312"/>
          <w:b/>
          <w:color w:val="000000" w:themeColor="text1"/>
          <w:sz w:val="30"/>
          <w:szCs w:val="30"/>
          <w:highlight w:val="none"/>
          <w:lang w:val="en-US" w:eastAsia="zh-CN"/>
          <w14:textFill>
            <w14:solidFill>
              <w14:schemeClr w14:val="tx1"/>
            </w14:solidFill>
          </w14:textFill>
        </w:rPr>
        <w:t>一</w:t>
      </w:r>
      <w:r>
        <w:rPr>
          <w:rFonts w:hint="eastAsia" w:ascii="仿宋" w:hAnsi="仿宋" w:eastAsia="仿宋" w:cs="仿宋_GB2312"/>
          <w:b/>
          <w:color w:val="000000" w:themeColor="text1"/>
          <w:sz w:val="30"/>
          <w:szCs w:val="30"/>
          <w:highlight w:val="none"/>
          <w14:textFill>
            <w14:solidFill>
              <w14:schemeClr w14:val="tx1"/>
            </w14:solidFill>
          </w14:textFill>
        </w:rPr>
        <w:t>、货物需求、商务条款要求提供的其他材料</w:t>
      </w:r>
    </w:p>
    <w:p w14:paraId="7895ABEC">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p>
    <w:p w14:paraId="1335E8A4">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52E25E8B">
      <w:pPr>
        <w:autoSpaceDE w:val="0"/>
        <w:autoSpaceDN w:val="0"/>
        <w:spacing w:line="360" w:lineRule="auto"/>
        <w:ind w:firstLine="6480" w:firstLineChars="27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425BBFCB">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1F9B0907">
      <w:pPr>
        <w:adjustRightInd w:val="0"/>
        <w:snapToGrid w:val="0"/>
        <w:spacing w:line="300" w:lineRule="auto"/>
        <w:rPr>
          <w:rFonts w:hint="eastAsia" w:ascii="宋体" w:hAnsi="宋体"/>
          <w:color w:val="000000" w:themeColor="text1"/>
          <w:szCs w:val="21"/>
          <w:highlight w:val="none"/>
          <w:u w:val="single"/>
          <w14:textFill>
            <w14:solidFill>
              <w14:schemeClr w14:val="tx1"/>
            </w14:solidFill>
          </w14:textFill>
        </w:rPr>
      </w:pPr>
    </w:p>
    <w:p w14:paraId="7F880035">
      <w:pPr>
        <w:pStyle w:val="3"/>
        <w:jc w:val="center"/>
        <w:rPr>
          <w:rFonts w:hint="eastAsia" w:ascii="宋体" w:hAnsi="宋体"/>
          <w:color w:val="000000" w:themeColor="text1"/>
          <w:highlight w:val="none"/>
          <w14:textFill>
            <w14:solidFill>
              <w14:schemeClr w14:val="tx1"/>
            </w14:solidFill>
          </w14:textFill>
        </w:rPr>
      </w:pPr>
      <w:bookmarkStart w:id="70" w:name="_Toc12680"/>
      <w:r>
        <w:rPr>
          <w:rFonts w:hint="eastAsia" w:ascii="宋体" w:hAnsi="宋体"/>
          <w:color w:val="000000" w:themeColor="text1"/>
          <w:highlight w:val="none"/>
          <w14:textFill>
            <w14:solidFill>
              <w14:schemeClr w14:val="tx1"/>
            </w14:solidFill>
          </w14:textFill>
        </w:rPr>
        <w:t>第四节 报价文件格式</w:t>
      </w:r>
      <w:bookmarkEnd w:id="70"/>
    </w:p>
    <w:p w14:paraId="2CDA1854">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全流程电子文件</w:t>
      </w:r>
    </w:p>
    <w:p w14:paraId="51DEC9A9">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7EA5DF33">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4177B5AF">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3D1F121F">
      <w:pPr>
        <w:snapToGrid w:val="0"/>
        <w:spacing w:before="165" w:beforeLines="50" w:after="5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文  件（封面）</w:t>
      </w:r>
    </w:p>
    <w:p w14:paraId="5D020B1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6A3DBEF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0501168">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5C441D7">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721E561">
      <w:pPr>
        <w:snapToGrid w:val="0"/>
        <w:spacing w:before="165"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r>
        <w:rPr>
          <w:rFonts w:hint="eastAsia" w:ascii="宋体" w:hAnsi="宋体" w:cs="仿宋_GB2312"/>
          <w:bCs/>
          <w:color w:val="000000" w:themeColor="text1"/>
          <w:sz w:val="32"/>
          <w:szCs w:val="32"/>
          <w:highlight w:val="none"/>
          <w:lang w:eastAsia="zh-CN"/>
          <w14:textFill>
            <w14:solidFill>
              <w14:schemeClr w14:val="tx1"/>
            </w14:solidFill>
          </w14:textFill>
        </w:rPr>
        <w:t>南宁市第一看守所2026年度在押人员伙房伙食灶醇基液体燃料采购</w:t>
      </w:r>
    </w:p>
    <w:p w14:paraId="5A48F600">
      <w:pPr>
        <w:snapToGrid w:val="0"/>
        <w:spacing w:before="165"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0DC58F14">
      <w:pPr>
        <w:snapToGrid w:val="0"/>
        <w:spacing w:before="165" w:beforeLines="50" w:after="50"/>
        <w:ind w:firstLine="720" w:firstLineChars="225"/>
        <w:rPr>
          <w:rFonts w:hint="eastAsia" w:ascii="宋体" w:hAnsi="宋体" w:cs="仿宋_GB2312"/>
          <w:bCs/>
          <w:color w:val="000000" w:themeColor="text1"/>
          <w:sz w:val="32"/>
          <w:szCs w:val="32"/>
          <w:highlight w:val="none"/>
          <w:lang w:eastAsia="zh-CN"/>
          <w14:textFill>
            <w14:solidFill>
              <w14:schemeClr w14:val="tx1"/>
            </w14:solidFill>
          </w14:textFill>
        </w:rPr>
      </w:pPr>
      <w:r>
        <w:rPr>
          <w:rFonts w:hint="eastAsia" w:ascii="宋体" w:hAnsi="宋体" w:cs="仿宋_GB2312"/>
          <w:bCs/>
          <w:color w:val="000000" w:themeColor="text1"/>
          <w:sz w:val="32"/>
          <w:szCs w:val="32"/>
          <w:highlight w:val="none"/>
          <w:lang w:eastAsia="zh-CN"/>
          <w14:textFill>
            <w14:solidFill>
              <w14:schemeClr w14:val="tx1"/>
            </w14:solidFill>
          </w14:textFill>
        </w:rPr>
        <w:t>项目编号：</w:t>
      </w:r>
    </w:p>
    <w:p w14:paraId="5E7F4875">
      <w:pPr>
        <w:snapToGrid w:val="0"/>
        <w:spacing w:before="165"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2D4CAFDC">
      <w:pPr>
        <w:snapToGrid w:val="0"/>
        <w:spacing w:before="165"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49B90748">
      <w:pPr>
        <w:snapToGrid w:val="0"/>
        <w:spacing w:before="165" w:beforeLines="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0151AA60">
      <w:pPr>
        <w:pStyle w:val="7"/>
        <w:snapToGrid w:val="0"/>
        <w:spacing w:before="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007CB85D">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1EFFFBBD">
      <w:pPr>
        <w:pStyle w:val="7"/>
        <w:snapToGrid w:val="0"/>
        <w:spacing w:before="50" w:after="50"/>
        <w:ind w:firstLine="720" w:firstLineChars="225"/>
        <w:rPr>
          <w:rFonts w:hint="eastAsia" w:ascii="宋体" w:hAnsi="宋体" w:cs="仿宋_GB2312"/>
          <w:bCs/>
          <w:color w:val="000000" w:themeColor="text1"/>
          <w:sz w:val="32"/>
          <w:szCs w:val="32"/>
          <w:highlight w:val="none"/>
          <w14:textFill>
            <w14:solidFill>
              <w14:schemeClr w14:val="tx1"/>
            </w14:solidFill>
          </w14:textFill>
        </w:rPr>
      </w:pPr>
    </w:p>
    <w:p w14:paraId="2BD637EE">
      <w:pPr>
        <w:pStyle w:val="7"/>
        <w:snapToGrid w:val="0"/>
        <w:spacing w:before="50" w:after="50"/>
        <w:ind w:firstLine="1280" w:firstLineChars="400"/>
        <w:rPr>
          <w:rFonts w:hint="eastAsia" w:ascii="宋体" w:hAnsi="宋体" w:cs="仿宋_GB2312"/>
          <w:bCs/>
          <w:color w:val="000000" w:themeColor="text1"/>
          <w:sz w:val="32"/>
          <w:szCs w:val="32"/>
          <w:highlight w:val="none"/>
          <w14:textFill>
            <w14:solidFill>
              <w14:schemeClr w14:val="tx1"/>
            </w14:solidFill>
          </w14:textFill>
        </w:rPr>
      </w:pPr>
    </w:p>
    <w:p w14:paraId="7146418D">
      <w:pPr>
        <w:snapToGrid w:val="0"/>
        <w:spacing w:before="165" w:beforeLines="50" w:after="50"/>
        <w:jc w:val="center"/>
        <w:rPr>
          <w:rFonts w:hint="eastAsia"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0B324DC1">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报价文件目录</w:t>
      </w:r>
    </w:p>
    <w:p w14:paraId="1D43A63D">
      <w:pPr>
        <w:rPr>
          <w:rFonts w:hint="eastAsia" w:ascii="宋体" w:hAnsi="宋体" w:cs="宋体"/>
          <w:color w:val="000000" w:themeColor="text1"/>
          <w:highlight w:val="none"/>
          <w14:textFill>
            <w14:solidFill>
              <w14:schemeClr w14:val="tx1"/>
            </w14:solidFill>
          </w14:textFill>
        </w:rPr>
      </w:pPr>
    </w:p>
    <w:p w14:paraId="27C79983">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一、响应函………………………………………………………（页码）</w:t>
      </w:r>
    </w:p>
    <w:p w14:paraId="359EB84C">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二、响应报价表…………………………………………………（页码）</w:t>
      </w:r>
    </w:p>
    <w:p w14:paraId="2C9C8EC2">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三、中小企业声明函……………………………………………（页码）</w:t>
      </w:r>
    </w:p>
    <w:p w14:paraId="70F33E31">
      <w:pP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四、《关于符合本国产品标准的声明函》或者财政部会同有关部门规定的有关证明文件；（供应商根据自身响应情况出具）</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98DBB54">
      <w:pPr>
        <w:pStyle w:val="17"/>
        <w:spacing w:line="500" w:lineRule="exact"/>
        <w:ind w:firstLine="480" w:firstLineChars="200"/>
        <w:rPr>
          <w:rFonts w:hint="eastAsia" w:hAnsi="宋体" w:cs="仿宋_GB2312"/>
          <w:color w:val="000000" w:themeColor="text1"/>
          <w:sz w:val="24"/>
          <w:highlight w:val="none"/>
          <w14:textFill>
            <w14:solidFill>
              <w14:schemeClr w14:val="tx1"/>
            </w14:solidFill>
          </w14:textFill>
        </w:rPr>
      </w:pPr>
      <w:r>
        <w:rPr>
          <w:rFonts w:hint="eastAsia" w:hAnsi="宋体" w:cs="仿宋_GB2312"/>
          <w:color w:val="000000" w:themeColor="text1"/>
          <w:sz w:val="24"/>
          <w:highlight w:val="none"/>
          <w14:textFill>
            <w14:solidFill>
              <w14:schemeClr w14:val="tx1"/>
            </w14:solidFill>
          </w14:textFill>
        </w:rPr>
        <w:br w:type="page"/>
      </w:r>
      <w:r>
        <w:rPr>
          <w:rFonts w:hint="eastAsia" w:ascii="仿宋" w:hAnsi="仿宋" w:eastAsia="仿宋" w:cs="仿宋_GB2312"/>
          <w:b/>
          <w:color w:val="000000" w:themeColor="text1"/>
          <w:kern w:val="2"/>
          <w:sz w:val="30"/>
          <w:szCs w:val="30"/>
          <w:highlight w:val="none"/>
          <w14:textFill>
            <w14:solidFill>
              <w14:schemeClr w14:val="tx1"/>
            </w14:solidFill>
          </w14:textFill>
        </w:rPr>
        <w:t>一、响应函</w:t>
      </w:r>
    </w:p>
    <w:p w14:paraId="33D12815">
      <w:pPr>
        <w:pStyle w:val="17"/>
        <w:spacing w:line="500" w:lineRule="exact"/>
        <w:ind w:firstLine="602"/>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响应函</w:t>
      </w:r>
    </w:p>
    <w:p w14:paraId="138242BD">
      <w:pPr>
        <w:pStyle w:val="17"/>
        <w:spacing w:line="360" w:lineRule="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致：</w:t>
      </w:r>
      <w:r>
        <w:rPr>
          <w:rFonts w:ascii="Times New Roman" w:hAnsi="Times New Roman"/>
          <w:color w:val="000000" w:themeColor="text1"/>
          <w:sz w:val="21"/>
          <w:szCs w:val="21"/>
          <w:highlight w:val="none"/>
          <w:u w:val="single"/>
          <w14:textFill>
            <w14:solidFill>
              <w14:schemeClr w14:val="tx1"/>
            </w14:solidFill>
          </w14:textFill>
        </w:rPr>
        <w:t xml:space="preserve"> </w:t>
      </w:r>
      <w:r>
        <w:rPr>
          <w:rFonts w:hint="eastAsia" w:ascii="Times New Roman" w:hAnsi="Times New Roman"/>
          <w:color w:val="000000" w:themeColor="text1"/>
          <w:sz w:val="21"/>
          <w:szCs w:val="21"/>
          <w:highlight w:val="none"/>
          <w:u w:val="single"/>
          <w:lang w:eastAsia="zh-CN"/>
          <w14:textFill>
            <w14:solidFill>
              <w14:schemeClr w14:val="tx1"/>
            </w14:solidFill>
          </w14:textFill>
        </w:rPr>
        <w:t>广西建通工程咨询有限责任公司</w:t>
      </w:r>
    </w:p>
    <w:p w14:paraId="1D3DF90C">
      <w:pPr>
        <w:pStyle w:val="17"/>
        <w:spacing w:line="360" w:lineRule="auto"/>
        <w:ind w:firstLine="420" w:firstLineChars="20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我方已仔细阅读了贵方组织的</w:t>
      </w:r>
      <w:r>
        <w:rPr>
          <w:rFonts w:hint="eastAsia"/>
          <w:color w:val="000000" w:themeColor="text1"/>
          <w:sz w:val="21"/>
          <w:szCs w:val="21"/>
          <w:highlight w:val="none"/>
          <w:u w:val="single"/>
          <w:lang w:eastAsia="zh-CN"/>
          <w14:textFill>
            <w14:solidFill>
              <w14:schemeClr w14:val="tx1"/>
            </w14:solidFill>
          </w14:textFill>
        </w:rPr>
        <w:t>南宁市第一看守所2026年度在押人员伙房伙食灶醇基液体燃料采购</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项目（项目编号：</w:t>
      </w:r>
      <w:r>
        <w:rPr>
          <w:rFonts w:hint="eastAsia" w:hAnsi="宋体"/>
          <w:color w:val="000000" w:themeColor="text1"/>
          <w:sz w:val="21"/>
          <w:szCs w:val="21"/>
          <w:highlight w:val="none"/>
          <w:u w:val="singl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 xml:space="preserve">）的竞争性谈判采购文件的全部内容，现正式递交下述文件参加贵方组织的本次政府采购活动： </w:t>
      </w:r>
    </w:p>
    <w:p w14:paraId="3CBF326A">
      <w:pPr>
        <w:pStyle w:val="17"/>
        <w:spacing w:line="360" w:lineRule="auto"/>
        <w:ind w:firstLine="420" w:firstLineChars="20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一、首次报价文件电子版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份（包含按“第三章 供应商须知”提交的全部文件）；</w:t>
      </w:r>
    </w:p>
    <w:p w14:paraId="101645E6">
      <w:pPr>
        <w:pStyle w:val="17"/>
        <w:spacing w:line="360" w:lineRule="auto"/>
        <w:ind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hAnsi="宋体"/>
          <w:color w:val="000000" w:themeColor="text1"/>
          <w:sz w:val="21"/>
          <w:szCs w:val="21"/>
          <w:highlight w:val="none"/>
          <w14:textFill>
            <w14:solidFill>
              <w14:schemeClr w14:val="tx1"/>
            </w14:solidFill>
          </w14:textFill>
        </w:rPr>
        <w:t>技术</w:t>
      </w:r>
      <w:r>
        <w:rPr>
          <w:rFonts w:hint="eastAsia"/>
          <w:color w:val="000000" w:themeColor="text1"/>
          <w:sz w:val="21"/>
          <w:szCs w:val="21"/>
          <w:highlight w:val="none"/>
          <w14:textFill>
            <w14:solidFill>
              <w14:schemeClr w14:val="tx1"/>
            </w14:solidFill>
          </w14:textFill>
        </w:rPr>
        <w:t>文件电子版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份（包含按“第三章 供应商须知”提交的全部文件）；商务</w:t>
      </w:r>
      <w:r>
        <w:rPr>
          <w:rFonts w:hint="eastAsia" w:hAnsi="宋体"/>
          <w:color w:val="000000" w:themeColor="text1"/>
          <w:sz w:val="21"/>
          <w:szCs w:val="21"/>
          <w:highlight w:val="none"/>
          <w14:textFill>
            <w14:solidFill>
              <w14:schemeClr w14:val="tx1"/>
            </w14:solidFill>
          </w14:textFill>
        </w:rPr>
        <w:t>文件</w:t>
      </w:r>
      <w:r>
        <w:rPr>
          <w:rFonts w:hint="eastAsia"/>
          <w:color w:val="000000" w:themeColor="text1"/>
          <w:sz w:val="21"/>
          <w:szCs w:val="21"/>
          <w:highlight w:val="none"/>
          <w14:textFill>
            <w14:solidFill>
              <w14:schemeClr w14:val="tx1"/>
            </w14:solidFill>
          </w14:textFill>
        </w:rPr>
        <w:t>电子版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份（包含按“第三章 供应商须知”提交的全部文件）；（商务技术文件已合并装订成册）</w:t>
      </w:r>
    </w:p>
    <w:p w14:paraId="418684AF">
      <w:pPr>
        <w:pStyle w:val="17"/>
        <w:spacing w:line="360" w:lineRule="auto"/>
        <w:ind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三、资格证明文件电子版（包含按“第三章供应商须知”提交的全部文件）；</w:t>
      </w:r>
    </w:p>
    <w:p w14:paraId="2DCB8291">
      <w:pPr>
        <w:pStyle w:val="17"/>
        <w:spacing w:line="360" w:lineRule="auto"/>
        <w:ind w:firstLine="420" w:firstLineChars="20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据此函，签字人兹宣布：</w:t>
      </w:r>
    </w:p>
    <w:p w14:paraId="5B60FCE2">
      <w:pPr>
        <w:pStyle w:val="17"/>
        <w:spacing w:line="360" w:lineRule="auto"/>
        <w:ind w:firstLine="42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我方愿意以</w:t>
      </w:r>
      <w:r>
        <w:rPr>
          <w:rFonts w:hint="eastAsia"/>
          <w:color w:val="000000" w:themeColor="text1"/>
          <w:kern w:val="0"/>
          <w:szCs w:val="21"/>
          <w:highlight w:val="none"/>
          <w14:textFill>
            <w14:solidFill>
              <w14:schemeClr w14:val="tx1"/>
            </w14:solidFill>
          </w14:textFill>
        </w:rPr>
        <w:t>（大写）人民币</w:t>
      </w:r>
      <w:r>
        <w:rPr>
          <w:rFonts w:hint="eastAsia"/>
          <w:color w:val="000000" w:themeColor="text1"/>
          <w:sz w:val="21"/>
          <w:szCs w:val="21"/>
          <w:highlight w:val="none"/>
          <w:u w:val="single"/>
          <w:lang w:val="en-US" w:eastAsia="zh-CN"/>
          <w14:textFill>
            <w14:solidFill>
              <w14:schemeClr w14:val="tx1"/>
            </w14:solidFill>
          </w14:textFill>
        </w:rPr>
        <w:t xml:space="preserve">       （￥          元/升)</w:t>
      </w:r>
      <w:r>
        <w:rPr>
          <w:rFonts w:hint="eastAsia"/>
          <w:color w:val="000000" w:themeColor="text1"/>
          <w:sz w:val="21"/>
          <w:szCs w:val="21"/>
          <w:highlight w:val="none"/>
          <w14:textFill>
            <w14:solidFill>
              <w14:schemeClr w14:val="tx1"/>
            </w14:solidFill>
          </w14:textFill>
        </w:rPr>
        <w:t>的竞标</w:t>
      </w:r>
      <w:r>
        <w:rPr>
          <w:rFonts w:hint="eastAsia"/>
          <w:color w:val="000000" w:themeColor="text1"/>
          <w:sz w:val="21"/>
          <w:szCs w:val="21"/>
          <w:highlight w:val="none"/>
          <w:lang w:val="en-US" w:eastAsia="zh-CN"/>
          <w14:textFill>
            <w14:solidFill>
              <w14:schemeClr w14:val="tx1"/>
            </w14:solidFill>
          </w14:textFill>
        </w:rPr>
        <w:t>单价</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交货时间</w:t>
      </w:r>
      <w:r>
        <w:rPr>
          <w:rFonts w:hint="eastAsia"/>
          <w:color w:val="000000" w:themeColor="text1"/>
          <w:sz w:val="21"/>
          <w:szCs w:val="21"/>
          <w:highlight w:val="none"/>
          <w14:textFill>
            <w14:solidFill>
              <w14:schemeClr w14:val="tx1"/>
            </w14:solidFill>
          </w14:textFill>
        </w:rPr>
        <w:t>（无分标时填写）：</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，提供本项目竞争性谈判采购文件第二章“服务需求一览表”中相应的采购内容。</w:t>
      </w:r>
    </w:p>
    <w:p w14:paraId="34C87D6D">
      <w:pPr>
        <w:pStyle w:val="17"/>
        <w:spacing w:line="360" w:lineRule="auto"/>
        <w:ind w:firstLine="42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其中（有分标时填写）：</w:t>
      </w:r>
    </w:p>
    <w:p w14:paraId="72F2308A">
      <w:pPr>
        <w:pStyle w:val="17"/>
        <w:spacing w:line="360" w:lineRule="auto"/>
        <w:ind w:firstLine="42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分标报价为</w:t>
      </w:r>
      <w:r>
        <w:rPr>
          <w:rFonts w:hint="eastAsia"/>
          <w:color w:val="000000" w:themeColor="text1"/>
          <w:kern w:val="0"/>
          <w:szCs w:val="21"/>
          <w:highlight w:val="none"/>
          <w14:textFill>
            <w14:solidFill>
              <w14:schemeClr w14:val="tx1"/>
            </w14:solidFill>
          </w14:textFill>
        </w:rPr>
        <w:t>（大写）人民币</w:t>
      </w:r>
      <w:r>
        <w:rPr>
          <w:rFonts w:hint="eastAsia"/>
          <w:color w:val="000000" w:themeColor="text1"/>
          <w:kern w:val="0"/>
          <w:szCs w:val="21"/>
          <w:highlight w:val="none"/>
          <w:u w:val="single"/>
          <w14:textFill>
            <w14:solidFill>
              <w14:schemeClr w14:val="tx1"/>
            </w14:solidFill>
          </w14:textFill>
        </w:rPr>
        <w:t xml:space="preserve">               </w:t>
      </w:r>
      <w:r>
        <w:rPr>
          <w:rFonts w:hint="eastAsia"/>
          <w:color w:val="000000" w:themeColor="text1"/>
          <w:kern w:val="0"/>
          <w:szCs w:val="21"/>
          <w:highlight w:val="none"/>
          <w14:textFill>
            <w14:solidFill>
              <w14:schemeClr w14:val="tx1"/>
            </w14:solidFill>
          </w14:textFill>
        </w:rPr>
        <w:t xml:space="preserve"> (￥</w:t>
      </w:r>
      <w:r>
        <w:rPr>
          <w:rFonts w:hint="eastAsia"/>
          <w:color w:val="000000" w:themeColor="text1"/>
          <w:kern w:val="0"/>
          <w:szCs w:val="21"/>
          <w:highlight w:val="none"/>
          <w:u w:val="single"/>
          <w14:textFill>
            <w14:solidFill>
              <w14:schemeClr w14:val="tx1"/>
            </w14:solidFill>
          </w14:textFill>
        </w:rPr>
        <w:t xml:space="preserve">           </w:t>
      </w:r>
      <w:r>
        <w:rPr>
          <w:rFonts w:hint="eastAsia"/>
          <w:color w:val="000000" w:themeColor="text1"/>
          <w:kern w:val="0"/>
          <w:szCs w:val="21"/>
          <w:highlight w:val="none"/>
          <w14:textFill>
            <w14:solidFill>
              <w14:schemeClr w14:val="tx1"/>
            </w14:solidFill>
          </w14:textFill>
        </w:rPr>
        <w:t>元)</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服务期限</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w:t>
      </w:r>
    </w:p>
    <w:p w14:paraId="5846093A">
      <w:pPr>
        <w:pStyle w:val="17"/>
        <w:spacing w:line="360" w:lineRule="auto"/>
        <w:ind w:firstLine="42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分标报价为</w:t>
      </w:r>
      <w:r>
        <w:rPr>
          <w:rFonts w:hint="eastAsia"/>
          <w:color w:val="000000" w:themeColor="text1"/>
          <w:kern w:val="0"/>
          <w:szCs w:val="21"/>
          <w:highlight w:val="none"/>
          <w14:textFill>
            <w14:solidFill>
              <w14:schemeClr w14:val="tx1"/>
            </w14:solidFill>
          </w14:textFill>
        </w:rPr>
        <w:t>（大写）人民币</w:t>
      </w:r>
      <w:r>
        <w:rPr>
          <w:rFonts w:hint="eastAsia"/>
          <w:color w:val="000000" w:themeColor="text1"/>
          <w:kern w:val="0"/>
          <w:szCs w:val="21"/>
          <w:highlight w:val="none"/>
          <w:u w:val="single"/>
          <w14:textFill>
            <w14:solidFill>
              <w14:schemeClr w14:val="tx1"/>
            </w14:solidFill>
          </w14:textFill>
        </w:rPr>
        <w:t xml:space="preserve">               </w:t>
      </w:r>
      <w:r>
        <w:rPr>
          <w:rFonts w:hint="eastAsia"/>
          <w:color w:val="000000" w:themeColor="text1"/>
          <w:kern w:val="0"/>
          <w:szCs w:val="21"/>
          <w:highlight w:val="none"/>
          <w14:textFill>
            <w14:solidFill>
              <w14:schemeClr w14:val="tx1"/>
            </w14:solidFill>
          </w14:textFill>
        </w:rPr>
        <w:t xml:space="preserve"> (￥</w:t>
      </w:r>
      <w:r>
        <w:rPr>
          <w:rFonts w:hint="eastAsia"/>
          <w:color w:val="000000" w:themeColor="text1"/>
          <w:kern w:val="0"/>
          <w:szCs w:val="21"/>
          <w:highlight w:val="none"/>
          <w:u w:val="single"/>
          <w14:textFill>
            <w14:solidFill>
              <w14:schemeClr w14:val="tx1"/>
            </w14:solidFill>
          </w14:textFill>
        </w:rPr>
        <w:t xml:space="preserve">           </w:t>
      </w:r>
      <w:r>
        <w:rPr>
          <w:rFonts w:hint="eastAsia"/>
          <w:color w:val="000000" w:themeColor="text1"/>
          <w:kern w:val="0"/>
          <w:szCs w:val="21"/>
          <w:highlight w:val="none"/>
          <w14:textFill>
            <w14:solidFill>
              <w14:schemeClr w14:val="tx1"/>
            </w14:solidFill>
          </w14:textFill>
        </w:rPr>
        <w:t>元)</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服务期限</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w:t>
      </w:r>
    </w:p>
    <w:p w14:paraId="49F0F8FF">
      <w:pPr>
        <w:pStyle w:val="17"/>
        <w:spacing w:line="360" w:lineRule="auto"/>
        <w:ind w:firstLine="420"/>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p w14:paraId="175CA821">
      <w:pPr>
        <w:pStyle w:val="17"/>
        <w:spacing w:line="360" w:lineRule="auto"/>
        <w:ind w:firstLine="42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我方同意自本项目竞争性谈判采购文件采购公告规定的递交响应文件截止时间起遵循</w:t>
      </w:r>
      <w:r>
        <w:rPr>
          <w:rFonts w:hint="eastAsia" w:hAnsi="宋体"/>
          <w:color w:val="000000" w:themeColor="text1"/>
          <w:sz w:val="21"/>
          <w:szCs w:val="21"/>
          <w:highlight w:val="none"/>
          <w14:textFill>
            <w14:solidFill>
              <w14:schemeClr w14:val="tx1"/>
            </w14:solidFill>
          </w14:textFill>
        </w:rPr>
        <w:t>本响应函</w:t>
      </w:r>
      <w:r>
        <w:rPr>
          <w:rFonts w:hint="eastAsia"/>
          <w:color w:val="000000" w:themeColor="text1"/>
          <w:sz w:val="21"/>
          <w:szCs w:val="21"/>
          <w:highlight w:val="none"/>
          <w14:textFill>
            <w14:solidFill>
              <w14:schemeClr w14:val="tx1"/>
            </w14:solidFill>
          </w14:textFill>
        </w:rPr>
        <w:t>，并承诺在“第三章 供应商须知”规定的响应有效期内不修改、撤销响应文件。</w:t>
      </w:r>
    </w:p>
    <w:p w14:paraId="5C5648E3">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我方在此声明，所递交的响应文件及有关资料内容完整、真实和准确。</w:t>
      </w:r>
    </w:p>
    <w:p w14:paraId="23535939">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如本项目采购内容涉及须符合国家强制规定的，我方承诺我方本次竞标均符合国家有关强制规定。</w:t>
      </w:r>
    </w:p>
    <w:p w14:paraId="0CF142FD">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如我方成交，我方承诺在收到成交通知书后，在成交通知书规定的期限内，</w:t>
      </w:r>
      <w:r>
        <w:rPr>
          <w:rFonts w:hint="eastAsia" w:hAnsi="宋体"/>
          <w:color w:val="000000" w:themeColor="text1"/>
          <w:sz w:val="21"/>
          <w:szCs w:val="21"/>
          <w:highlight w:val="none"/>
          <w14:textFill>
            <w14:solidFill>
              <w14:schemeClr w14:val="tx1"/>
            </w14:solidFill>
          </w14:textFill>
        </w:rPr>
        <w:t>根据竞争性谈判采购文件、我方的响应文件及有关澄清承诺书的要求按第六章“合同文本”与采购人订立书面合同，并按照合同约定</w:t>
      </w:r>
      <w:r>
        <w:rPr>
          <w:rFonts w:hint="eastAsia"/>
          <w:color w:val="000000" w:themeColor="text1"/>
          <w:sz w:val="21"/>
          <w:szCs w:val="21"/>
          <w:highlight w:val="none"/>
          <w14:textFill>
            <w14:solidFill>
              <w14:schemeClr w14:val="tx1"/>
            </w14:solidFill>
          </w14:textFill>
        </w:rPr>
        <w:t>承担完成合同的责任和义务。</w:t>
      </w:r>
    </w:p>
    <w:p w14:paraId="10F06268">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我方已详细审核竞争性谈判采购文件，我方知道必须放弃提出含糊不清或误解问题的权利。</w:t>
      </w:r>
    </w:p>
    <w:p w14:paraId="3A79A100">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我方承诺满足竞争性谈判采购文件</w:t>
      </w:r>
      <w:r>
        <w:rPr>
          <w:rFonts w:hint="eastAsia" w:hAnsi="宋体"/>
          <w:color w:val="000000" w:themeColor="text1"/>
          <w:sz w:val="21"/>
          <w:szCs w:val="21"/>
          <w:highlight w:val="none"/>
          <w14:textFill>
            <w14:solidFill>
              <w14:schemeClr w14:val="tx1"/>
            </w14:solidFill>
          </w14:textFill>
        </w:rPr>
        <w:t>第六章“合同文本”</w:t>
      </w:r>
      <w:r>
        <w:rPr>
          <w:rFonts w:hint="eastAsia"/>
          <w:color w:val="000000" w:themeColor="text1"/>
          <w:sz w:val="21"/>
          <w:szCs w:val="21"/>
          <w:highlight w:val="none"/>
          <w14:textFill>
            <w14:solidFill>
              <w14:schemeClr w14:val="tx1"/>
            </w14:solidFill>
          </w14:textFill>
        </w:rPr>
        <w:t>的条款，承担完成合同的责任和义务。</w:t>
      </w:r>
    </w:p>
    <w:p w14:paraId="437F02B2">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我方同意应贵方要求提供与本竞标有关的任何数据或资料。若贵方需要，我方愿意提供我方作出的一切承诺的证明材料。</w:t>
      </w:r>
    </w:p>
    <w:p w14:paraId="2B6D5692">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我方完全理解贵方不一定接受响应报价最低的竞标人为成交供应商的行为。</w:t>
      </w:r>
    </w:p>
    <w:p w14:paraId="00A9FF3C">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我方将严格遵守《中华人民共和国政府采购法》第七十七条的规定，即供应商有下列情形之一的，处以采购金额千分之五以上千分之十</w:t>
      </w:r>
      <w:r>
        <w:rPr>
          <w:rFonts w:hint="eastAsia" w:hAnsi="宋体"/>
          <w:color w:val="000000" w:themeColor="text1"/>
          <w:sz w:val="21"/>
          <w:szCs w:val="2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0802B06">
      <w:pPr>
        <w:pStyle w:val="17"/>
        <w:numPr>
          <w:ilvl w:val="0"/>
          <w:numId w:val="0"/>
        </w:numPr>
        <w:tabs>
          <w:tab w:val="left" w:pos="945"/>
        </w:tabs>
        <w:spacing w:line="360" w:lineRule="auto"/>
        <w:ind w:left="1140" w:leftChars="0" w:firstLine="420" w:firstLineChars="0"/>
        <w:rPr>
          <w:rFonts w:hint="eastAsia" w:hAnsi="宋体"/>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（1）</w:t>
      </w:r>
      <w:r>
        <w:rPr>
          <w:rFonts w:hint="eastAsia" w:hAnsi="宋体"/>
          <w:color w:val="000000" w:themeColor="text1"/>
          <w:sz w:val="21"/>
          <w:szCs w:val="21"/>
          <w:highlight w:val="none"/>
          <w14:textFill>
            <w14:solidFill>
              <w14:schemeClr w14:val="tx1"/>
            </w14:solidFill>
          </w14:textFill>
        </w:rPr>
        <w:t>提供虚假材料谋取中标、成交的；</w:t>
      </w:r>
    </w:p>
    <w:p w14:paraId="12FCFF07">
      <w:pPr>
        <w:pStyle w:val="17"/>
        <w:numPr>
          <w:ilvl w:val="0"/>
          <w:numId w:val="0"/>
        </w:numPr>
        <w:tabs>
          <w:tab w:val="left" w:pos="945"/>
        </w:tabs>
        <w:spacing w:line="360" w:lineRule="auto"/>
        <w:ind w:left="1140" w:leftChars="0" w:firstLine="420" w:firstLineChars="0"/>
        <w:rPr>
          <w:rFonts w:hint="eastAsia" w:hAnsi="宋体"/>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（2）</w:t>
      </w:r>
      <w:r>
        <w:rPr>
          <w:rFonts w:hint="eastAsia" w:hAnsi="宋体"/>
          <w:color w:val="000000" w:themeColor="text1"/>
          <w:sz w:val="21"/>
          <w:szCs w:val="21"/>
          <w:highlight w:val="none"/>
          <w14:textFill>
            <w14:solidFill>
              <w14:schemeClr w14:val="tx1"/>
            </w14:solidFill>
          </w14:textFill>
        </w:rPr>
        <w:t>采取不正当手段诋毁、排挤其他供应商的；</w:t>
      </w:r>
    </w:p>
    <w:p w14:paraId="7B6639C2">
      <w:pPr>
        <w:pStyle w:val="17"/>
        <w:numPr>
          <w:ilvl w:val="0"/>
          <w:numId w:val="0"/>
        </w:numPr>
        <w:tabs>
          <w:tab w:val="left" w:pos="945"/>
        </w:tabs>
        <w:spacing w:line="360" w:lineRule="auto"/>
        <w:ind w:left="1140" w:leftChars="0" w:firstLine="420" w:firstLineChars="0"/>
        <w:rPr>
          <w:rFonts w:hint="eastAsia"/>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（3）</w:t>
      </w:r>
      <w:r>
        <w:rPr>
          <w:rFonts w:hint="eastAsia" w:hAnsi="宋体"/>
          <w:color w:val="000000" w:themeColor="text1"/>
          <w:sz w:val="21"/>
          <w:szCs w:val="21"/>
          <w:highlight w:val="none"/>
          <w14:textFill>
            <w14:solidFill>
              <w14:schemeClr w14:val="tx1"/>
            </w14:solidFill>
          </w14:textFill>
        </w:rPr>
        <w:t>与采购人、其他供应商或者采购代理机构恶意串通的；</w:t>
      </w:r>
    </w:p>
    <w:p w14:paraId="7D3A110F">
      <w:pPr>
        <w:pStyle w:val="17"/>
        <w:numPr>
          <w:ilvl w:val="0"/>
          <w:numId w:val="0"/>
        </w:numPr>
        <w:tabs>
          <w:tab w:val="left" w:pos="945"/>
        </w:tabs>
        <w:spacing w:line="360" w:lineRule="auto"/>
        <w:ind w:left="1140" w:leftChars="0" w:firstLine="420" w:firstLineChars="0"/>
        <w:rPr>
          <w:rFonts w:hint="eastAsia"/>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（4）</w:t>
      </w:r>
      <w:r>
        <w:rPr>
          <w:rFonts w:hint="eastAsia" w:hAnsi="宋体"/>
          <w:color w:val="000000" w:themeColor="text1"/>
          <w:sz w:val="21"/>
          <w:szCs w:val="21"/>
          <w:highlight w:val="none"/>
          <w14:textFill>
            <w14:solidFill>
              <w14:schemeClr w14:val="tx1"/>
            </w14:solidFill>
          </w14:textFill>
        </w:rPr>
        <w:t>向采购人、采购代理机构行贿或者提供其他不正当利益的；</w:t>
      </w:r>
    </w:p>
    <w:p w14:paraId="5BB976D4">
      <w:pPr>
        <w:pStyle w:val="17"/>
        <w:numPr>
          <w:ilvl w:val="0"/>
          <w:numId w:val="0"/>
        </w:numPr>
        <w:tabs>
          <w:tab w:val="left" w:pos="945"/>
        </w:tabs>
        <w:spacing w:line="360" w:lineRule="auto"/>
        <w:ind w:left="1140" w:leftChars="0" w:firstLine="420" w:firstLineChars="0"/>
        <w:rPr>
          <w:rFonts w:hint="eastAsia"/>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（5）</w:t>
      </w:r>
      <w:r>
        <w:rPr>
          <w:rFonts w:hint="eastAsia" w:hAnsi="宋体"/>
          <w:color w:val="000000" w:themeColor="text1"/>
          <w:sz w:val="21"/>
          <w:szCs w:val="21"/>
          <w:highlight w:val="none"/>
          <w14:textFill>
            <w14:solidFill>
              <w14:schemeClr w14:val="tx1"/>
            </w14:solidFill>
          </w14:textFill>
        </w:rPr>
        <w:t>在采购过程中与采购人进行协商谈判的；</w:t>
      </w:r>
    </w:p>
    <w:p w14:paraId="0B4A4C8D">
      <w:pPr>
        <w:pStyle w:val="17"/>
        <w:numPr>
          <w:ilvl w:val="0"/>
          <w:numId w:val="0"/>
        </w:numPr>
        <w:tabs>
          <w:tab w:val="left" w:pos="945"/>
        </w:tabs>
        <w:spacing w:line="360" w:lineRule="auto"/>
        <w:ind w:left="1140" w:leftChars="0" w:firstLine="420" w:firstLineChars="0"/>
        <w:rPr>
          <w:rFonts w:hint="eastAsia"/>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t>（6）</w:t>
      </w:r>
      <w:r>
        <w:rPr>
          <w:rFonts w:hint="eastAsia" w:hAnsi="宋体"/>
          <w:color w:val="000000" w:themeColor="text1"/>
          <w:sz w:val="21"/>
          <w:szCs w:val="21"/>
          <w:highlight w:val="none"/>
          <w14:textFill>
            <w14:solidFill>
              <w14:schemeClr w14:val="tx1"/>
            </w14:solidFill>
          </w14:textFill>
        </w:rPr>
        <w:t>拒绝有关部门监督检查或提供虚假情况的。</w:t>
      </w:r>
    </w:p>
    <w:p w14:paraId="60B70F43">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11.与本谈判有关的一切正式往来信函请寄</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 xml:space="preserve"> </w:t>
      </w:r>
    </w:p>
    <w:p w14:paraId="055242EE">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地址：</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 xml:space="preserve"> </w:t>
      </w:r>
    </w:p>
    <w:p w14:paraId="41186C33">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电话：</w:t>
      </w:r>
      <w:r>
        <w:rPr>
          <w:rFonts w:hint="eastAsia"/>
          <w:color w:val="000000" w:themeColor="text1"/>
          <w:sz w:val="21"/>
          <w:szCs w:val="21"/>
          <w:highlight w:val="none"/>
          <w:u w:val="single"/>
          <w14:textFill>
            <w14:solidFill>
              <w14:schemeClr w14:val="tx1"/>
            </w14:solidFill>
          </w14:textFill>
        </w:rPr>
        <w:t xml:space="preserve">                                      　　　　　　　　　</w:t>
      </w:r>
    </w:p>
    <w:p w14:paraId="4097BADE">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传真：</w:t>
      </w:r>
      <w:r>
        <w:rPr>
          <w:rFonts w:hint="eastAsia"/>
          <w:color w:val="000000" w:themeColor="text1"/>
          <w:sz w:val="21"/>
          <w:szCs w:val="21"/>
          <w:highlight w:val="none"/>
          <w:u w:val="single"/>
          <w14:textFill>
            <w14:solidFill>
              <w14:schemeClr w14:val="tx1"/>
            </w14:solidFill>
          </w14:textFill>
        </w:rPr>
        <w:t>　　　　　　　　　　　　　　　　　　　　　　　　　　　　</w:t>
      </w:r>
    </w:p>
    <w:p w14:paraId="08388A9F">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电子邮箱：</w:t>
      </w:r>
      <w:r>
        <w:rPr>
          <w:rFonts w:hint="eastAsia"/>
          <w:color w:val="000000" w:themeColor="text1"/>
          <w:sz w:val="21"/>
          <w:szCs w:val="21"/>
          <w:highlight w:val="none"/>
          <w:u w:val="single"/>
          <w14:textFill>
            <w14:solidFill>
              <w14:schemeClr w14:val="tx1"/>
            </w14:solidFill>
          </w14:textFill>
        </w:rPr>
        <w:t xml:space="preserve">                                                    </w:t>
      </w:r>
    </w:p>
    <w:p w14:paraId="039D475C">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邮政编码：</w:t>
      </w:r>
      <w:r>
        <w:rPr>
          <w:rFonts w:hint="eastAsia"/>
          <w:color w:val="000000" w:themeColor="text1"/>
          <w:sz w:val="21"/>
          <w:szCs w:val="21"/>
          <w:highlight w:val="none"/>
          <w:u w:val="single"/>
          <w14:textFill>
            <w14:solidFill>
              <w14:schemeClr w14:val="tx1"/>
            </w14:solidFill>
          </w14:textFill>
        </w:rPr>
        <w:t xml:space="preserve">                                                    </w:t>
      </w:r>
    </w:p>
    <w:p w14:paraId="4DB67372">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开户名称：</w:t>
      </w:r>
      <w:r>
        <w:rPr>
          <w:rFonts w:hint="eastAsia"/>
          <w:color w:val="000000" w:themeColor="text1"/>
          <w:sz w:val="21"/>
          <w:szCs w:val="21"/>
          <w:highlight w:val="none"/>
          <w:u w:val="single"/>
          <w14:textFill>
            <w14:solidFill>
              <w14:schemeClr w14:val="tx1"/>
            </w14:solidFill>
          </w14:textFill>
        </w:rPr>
        <w:t xml:space="preserve">                                                    </w:t>
      </w:r>
    </w:p>
    <w:p w14:paraId="2432A021">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开户银行：</w:t>
      </w:r>
      <w:r>
        <w:rPr>
          <w:rFonts w:hint="eastAsia"/>
          <w:color w:val="000000" w:themeColor="text1"/>
          <w:sz w:val="21"/>
          <w:szCs w:val="21"/>
          <w:highlight w:val="none"/>
          <w:u w:val="single"/>
          <w14:textFill>
            <w14:solidFill>
              <w14:schemeClr w14:val="tx1"/>
            </w14:solidFill>
          </w14:textFill>
        </w:rPr>
        <w:t xml:space="preserve">                                                    </w:t>
      </w:r>
    </w:p>
    <w:p w14:paraId="63B44355">
      <w:pPr>
        <w:pStyle w:val="17"/>
        <w:spacing w:line="360" w:lineRule="auto"/>
        <w:ind w:firstLine="420"/>
        <w:rPr>
          <w:rFonts w:hint="eastAsia"/>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银行账号：</w:t>
      </w:r>
      <w:r>
        <w:rPr>
          <w:rFonts w:hint="eastAsia"/>
          <w:color w:val="000000" w:themeColor="text1"/>
          <w:sz w:val="21"/>
          <w:szCs w:val="21"/>
          <w:highlight w:val="none"/>
          <w:u w:val="single"/>
          <w14:textFill>
            <w14:solidFill>
              <w14:schemeClr w14:val="tx1"/>
            </w14:solidFill>
          </w14:textFill>
        </w:rPr>
        <w:t xml:space="preserve">                                                    </w:t>
      </w:r>
    </w:p>
    <w:p w14:paraId="5F34B5F4">
      <w:pPr>
        <w:pStyle w:val="15"/>
        <w:tabs>
          <w:tab w:val="left" w:pos="939"/>
        </w:tabs>
        <w:spacing w:line="360" w:lineRule="auto"/>
        <w:ind w:left="141" w:leftChars="67" w:firstLine="315" w:firstLineChars="15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特此承诺。</w:t>
      </w:r>
    </w:p>
    <w:p w14:paraId="5276699A">
      <w:pPr>
        <w:autoSpaceDE w:val="0"/>
        <w:autoSpaceDN w:val="0"/>
        <w:spacing w:line="360" w:lineRule="auto"/>
        <w:ind w:left="4305" w:leftChars="1950" w:hanging="210" w:hangingChars="100"/>
        <w:rPr>
          <w:rFonts w:hint="eastAsia" w:ascii="仿宋_GB2312" w:hAnsi="仿宋" w:eastAsia="仿宋_GB2312" w:cs="仿宋_GB2312"/>
          <w:color w:val="000000" w:themeColor="text1"/>
          <w:kern w:val="0"/>
          <w:sz w:val="21"/>
          <w:szCs w:val="21"/>
          <w:highlight w:val="none"/>
          <w14:textFill>
            <w14:solidFill>
              <w14:schemeClr w14:val="tx1"/>
            </w14:solidFill>
          </w14:textFill>
        </w:rPr>
      </w:pPr>
      <w:r>
        <w:rPr>
          <w:rFonts w:hint="eastAsia" w:ascii="仿宋_GB2312" w:hAnsi="仿宋" w:eastAsia="仿宋_GB2312" w:cs="仿宋_GB2312"/>
          <w:color w:val="000000" w:themeColor="text1"/>
          <w:kern w:val="0"/>
          <w:sz w:val="21"/>
          <w:szCs w:val="21"/>
          <w:highlight w:val="none"/>
          <w14:textFill>
            <w14:solidFill>
              <w14:schemeClr w14:val="tx1"/>
            </w14:solidFill>
          </w14:textFill>
        </w:rPr>
        <w:t>供应商名称（电子签章）：</w:t>
      </w:r>
    </w:p>
    <w:p w14:paraId="16F5B1E9">
      <w:pPr>
        <w:ind w:firstLine="5250" w:firstLineChars="2500"/>
        <w:rPr>
          <w:rFonts w:hint="eastAsia" w:ascii="仿宋_GB2312" w:hAnsi="仿宋"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 w:eastAsia="仿宋_GB2312" w:cs="仿宋_GB2312"/>
          <w:color w:val="000000" w:themeColor="text1"/>
          <w:kern w:val="0"/>
          <w:sz w:val="21"/>
          <w:szCs w:val="21"/>
          <w:highlight w:val="none"/>
          <w:lang w:val="zh-CN"/>
          <w14:textFill>
            <w14:solidFill>
              <w14:schemeClr w14:val="tx1"/>
            </w14:solidFill>
          </w14:textFill>
        </w:rPr>
        <w:t>日期：  年  月   日</w:t>
      </w:r>
    </w:p>
    <w:p w14:paraId="6A9775C7">
      <w:pPr>
        <w:widowControl/>
        <w:jc w:val="left"/>
        <w:rPr>
          <w:rFonts w:ascii="仿宋_GB2312" w:hAnsi="仿宋" w:eastAsia="仿宋_GB2312" w:cs="仿宋_GB2312"/>
          <w:color w:val="000000" w:themeColor="text1"/>
          <w:kern w:val="0"/>
          <w:sz w:val="21"/>
          <w:szCs w:val="21"/>
          <w:highlight w:val="none"/>
          <w:lang w:val="zh-CN"/>
          <w14:textFill>
            <w14:solidFill>
              <w14:schemeClr w14:val="tx1"/>
            </w14:solidFill>
          </w14:textFill>
        </w:rPr>
        <w:sectPr>
          <w:pgSz w:w="11906" w:h="16838"/>
          <w:pgMar w:top="1440" w:right="1080" w:bottom="1440" w:left="1080" w:header="720" w:footer="720" w:gutter="0"/>
          <w:pgNumType w:fmt="decimal"/>
          <w:cols w:space="720" w:num="1"/>
          <w:docGrid w:type="lines" w:linePitch="331" w:charSpace="0"/>
        </w:sectPr>
      </w:pPr>
    </w:p>
    <w:p w14:paraId="39D444F5">
      <w:pPr>
        <w:pStyle w:val="17"/>
        <w:keepNext w:val="0"/>
        <w:keepLines w:val="0"/>
        <w:pageBreakBefore w:val="0"/>
        <w:widowControl w:val="0"/>
        <w:kinsoku/>
        <w:wordWrap/>
        <w:overflowPunct/>
        <w:topLinePunct w:val="0"/>
        <w:autoSpaceDE/>
        <w:autoSpaceDN/>
        <w:bidi w:val="0"/>
        <w:adjustRightInd/>
        <w:snapToGrid/>
        <w:spacing w:after="332" w:afterLines="100" w:line="500" w:lineRule="exact"/>
        <w:textAlignment w:val="auto"/>
        <w:rPr>
          <w:rFonts w:ascii="仿宋" w:hAnsi="仿宋" w:eastAsia="仿宋" w:cs="仿宋_GB2312"/>
          <w:b/>
          <w:color w:val="000000" w:themeColor="text1"/>
          <w:kern w:val="2"/>
          <w:sz w:val="30"/>
          <w:szCs w:val="30"/>
          <w:highlight w:val="none"/>
          <w14:textFill>
            <w14:solidFill>
              <w14:schemeClr w14:val="tx1"/>
            </w14:solidFill>
          </w14:textFill>
        </w:rPr>
      </w:pPr>
      <w:r>
        <w:rPr>
          <w:rFonts w:hint="eastAsia" w:ascii="仿宋" w:hAnsi="仿宋" w:eastAsia="仿宋" w:cs="仿宋_GB2312"/>
          <w:b/>
          <w:color w:val="000000" w:themeColor="text1"/>
          <w:kern w:val="2"/>
          <w:sz w:val="30"/>
          <w:szCs w:val="30"/>
          <w:highlight w:val="none"/>
          <w14:textFill>
            <w14:solidFill>
              <w14:schemeClr w14:val="tx1"/>
            </w14:solidFill>
          </w14:textFill>
        </w:rPr>
        <w:t xml:space="preserve">二、响应报价表 </w:t>
      </w:r>
    </w:p>
    <w:p w14:paraId="75DF2A33">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lang w:eastAsia="zh-CN"/>
          <w14:textFill>
            <w14:solidFill>
              <w14:schemeClr w14:val="tx1"/>
            </w14:solidFill>
          </w14:textFill>
        </w:rPr>
        <w:t>南宁市第一看守所2026年度在押人员伙房伙食灶醇基液体燃料采购</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val="en-US" w:eastAsia="zh-CN"/>
          <w14:textFill>
            <w14:solidFill>
              <w14:schemeClr w14:val="tx1"/>
            </w14:solidFill>
          </w14:textFill>
        </w:rPr>
        <w:t xml:space="preserve">      </w:t>
      </w:r>
    </w:p>
    <w:p w14:paraId="4FB6CBA3">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分标：</w:t>
      </w:r>
      <w:r>
        <w:rPr>
          <w:rFonts w:hint="eastAsia" w:ascii="宋体" w:hAnsi="宋体"/>
          <w:color w:val="000000" w:themeColor="text1"/>
          <w:sz w:val="24"/>
          <w:highlight w:val="none"/>
          <w:u w:val="single"/>
          <w14:textFill>
            <w14:solidFill>
              <w14:schemeClr w14:val="tx1"/>
            </w14:solidFill>
          </w14:textFill>
        </w:rPr>
        <w:t xml:space="preserve">           </w:t>
      </w:r>
    </w:p>
    <w:p w14:paraId="7AB3CF93">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供应商名称：</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tbl>
      <w:tblPr>
        <w:tblStyle w:val="29"/>
        <w:tblpPr w:leftFromText="180" w:rightFromText="180" w:vertAnchor="text" w:horzAnchor="page" w:tblpX="1117" w:tblpY="528"/>
        <w:tblOverlap w:val="never"/>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389"/>
        <w:gridCol w:w="1937"/>
        <w:gridCol w:w="1222"/>
        <w:gridCol w:w="1085"/>
        <w:gridCol w:w="1711"/>
        <w:gridCol w:w="1915"/>
      </w:tblGrid>
      <w:tr w14:paraId="161C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597" w:type="dxa"/>
            <w:tcBorders>
              <w:top w:val="single" w:color="auto" w:sz="4" w:space="0"/>
              <w:left w:val="single" w:color="auto" w:sz="4" w:space="0"/>
              <w:bottom w:val="single" w:color="auto" w:sz="4" w:space="0"/>
              <w:right w:val="single" w:color="auto" w:sz="4" w:space="0"/>
            </w:tcBorders>
            <w:noWrap w:val="0"/>
            <w:vAlign w:val="center"/>
          </w:tcPr>
          <w:p w14:paraId="2363B6C4">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1A7E49C6">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货物名称</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421E37C1">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货物规格型号</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483FED6E">
            <w:pPr>
              <w:jc w:val="center"/>
              <w:rPr>
                <w:rFonts w:ascii="宋体" w:hAnsi="宋体"/>
                <w:color w:val="000000" w:themeColor="text1"/>
                <w:szCs w:val="22"/>
                <w:highlight w:val="none"/>
                <w14:textFill>
                  <w14:solidFill>
                    <w14:schemeClr w14:val="tx1"/>
                  </w14:solidFill>
                </w14:textFill>
              </w:rPr>
            </w:pPr>
            <w:r>
              <w:rPr>
                <w:rFonts w:ascii="宋体" w:hAnsi="宋体"/>
                <w:color w:val="000000" w:themeColor="text1"/>
                <w:szCs w:val="22"/>
                <w:highlight w:val="none"/>
                <w14:textFill>
                  <w14:solidFill>
                    <w14:schemeClr w14:val="tx1"/>
                  </w14:solidFill>
                </w14:textFill>
              </w:rPr>
              <w:t>品牌</w:t>
            </w:r>
          </w:p>
        </w:tc>
        <w:tc>
          <w:tcPr>
            <w:tcW w:w="1085" w:type="dxa"/>
            <w:tcBorders>
              <w:top w:val="single" w:color="auto" w:sz="4" w:space="0"/>
              <w:left w:val="single" w:color="auto" w:sz="4" w:space="0"/>
              <w:bottom w:val="single" w:color="auto" w:sz="4" w:space="0"/>
              <w:right w:val="single" w:color="auto" w:sz="4" w:space="0"/>
            </w:tcBorders>
            <w:noWrap w:val="0"/>
            <w:vAlign w:val="center"/>
          </w:tcPr>
          <w:p w14:paraId="7BB5DF25">
            <w:pPr>
              <w:jc w:val="center"/>
              <w:rPr>
                <w:rFonts w:hint="eastAsia" w:ascii="宋体" w:hAnsi="宋体" w:eastAsia="宋体"/>
                <w:color w:val="000000" w:themeColor="text1"/>
                <w:szCs w:val="22"/>
                <w:highlight w:val="none"/>
                <w:lang w:eastAsia="zh-CN"/>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w:t>
            </w:r>
          </w:p>
        </w:tc>
        <w:tc>
          <w:tcPr>
            <w:tcW w:w="1711" w:type="dxa"/>
            <w:tcBorders>
              <w:top w:val="single" w:color="auto" w:sz="4" w:space="0"/>
              <w:left w:val="single" w:color="auto" w:sz="4" w:space="0"/>
              <w:bottom w:val="single" w:color="auto" w:sz="4" w:space="0"/>
              <w:right w:val="single" w:color="auto" w:sz="4" w:space="0"/>
            </w:tcBorders>
            <w:noWrap w:val="0"/>
            <w:vAlign w:val="center"/>
          </w:tcPr>
          <w:p w14:paraId="443E576D">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lang w:eastAsia="zh-CN"/>
                <w14:textFill>
                  <w14:solidFill>
                    <w14:schemeClr w14:val="tx1"/>
                  </w14:solidFill>
                </w14:textFill>
              </w:rPr>
              <w:t>单价(元/升)</w:t>
            </w:r>
          </w:p>
        </w:tc>
        <w:tc>
          <w:tcPr>
            <w:tcW w:w="1915" w:type="dxa"/>
            <w:tcBorders>
              <w:top w:val="single" w:color="auto" w:sz="4" w:space="0"/>
              <w:left w:val="single" w:color="auto" w:sz="4" w:space="0"/>
              <w:bottom w:val="single" w:color="auto" w:sz="4" w:space="0"/>
              <w:right w:val="single" w:color="auto" w:sz="4" w:space="0"/>
            </w:tcBorders>
            <w:noWrap w:val="0"/>
            <w:vAlign w:val="center"/>
          </w:tcPr>
          <w:p w14:paraId="0724FB48">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4E1D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597" w:type="dxa"/>
            <w:tcBorders>
              <w:top w:val="single" w:color="auto" w:sz="4" w:space="0"/>
              <w:left w:val="single" w:color="auto" w:sz="4" w:space="0"/>
              <w:bottom w:val="single" w:color="auto" w:sz="4" w:space="0"/>
              <w:right w:val="single" w:color="auto" w:sz="4" w:space="0"/>
            </w:tcBorders>
            <w:noWrap w:val="0"/>
            <w:vAlign w:val="center"/>
          </w:tcPr>
          <w:p w14:paraId="7056DD44">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73D6AFA2">
            <w:pPr>
              <w:rPr>
                <w:rFonts w:hint="eastAsia" w:ascii="宋体" w:hAnsi="宋体"/>
                <w:color w:val="000000" w:themeColor="text1"/>
                <w:szCs w:val="22"/>
                <w:highlight w:val="none"/>
                <w14:textFill>
                  <w14:solidFill>
                    <w14:schemeClr w14:val="tx1"/>
                  </w14:solidFill>
                </w14:textFill>
              </w:rPr>
            </w:pPr>
          </w:p>
        </w:tc>
        <w:tc>
          <w:tcPr>
            <w:tcW w:w="1937" w:type="dxa"/>
            <w:tcBorders>
              <w:top w:val="single" w:color="auto" w:sz="4" w:space="0"/>
              <w:left w:val="single" w:color="auto" w:sz="4" w:space="0"/>
              <w:bottom w:val="single" w:color="auto" w:sz="4" w:space="0"/>
              <w:right w:val="single" w:color="auto" w:sz="4" w:space="0"/>
            </w:tcBorders>
            <w:noWrap w:val="0"/>
            <w:vAlign w:val="center"/>
          </w:tcPr>
          <w:p w14:paraId="43DE4F34">
            <w:pPr>
              <w:rPr>
                <w:rFonts w:hint="eastAsia" w:ascii="宋体" w:hAnsi="宋体"/>
                <w:color w:val="000000" w:themeColor="text1"/>
                <w:szCs w:val="22"/>
                <w:highlight w:val="none"/>
                <w14:textFill>
                  <w14:solidFill>
                    <w14:schemeClr w14:val="tx1"/>
                  </w14:solidFill>
                </w14:textFill>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811D90E">
            <w:pPr>
              <w:rPr>
                <w:rFonts w:hint="eastAsia" w:ascii="宋体" w:hAnsi="宋体"/>
                <w:color w:val="000000" w:themeColor="text1"/>
                <w:szCs w:val="22"/>
                <w:highlight w:val="none"/>
                <w14:textFill>
                  <w14:solidFill>
                    <w14:schemeClr w14:val="tx1"/>
                  </w14:solidFill>
                </w14:textFill>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14:paraId="2ECE7891">
            <w:pPr>
              <w:rPr>
                <w:rFonts w:hint="eastAsia" w:ascii="宋体" w:hAnsi="宋体"/>
                <w:color w:val="000000" w:themeColor="text1"/>
                <w:szCs w:val="22"/>
                <w:highlight w:val="none"/>
                <w14:textFill>
                  <w14:solidFill>
                    <w14:schemeClr w14:val="tx1"/>
                  </w14:solidFill>
                </w14:textFill>
              </w:rPr>
            </w:pPr>
          </w:p>
        </w:tc>
        <w:tc>
          <w:tcPr>
            <w:tcW w:w="1711" w:type="dxa"/>
            <w:tcBorders>
              <w:top w:val="single" w:color="auto" w:sz="4" w:space="0"/>
              <w:left w:val="single" w:color="auto" w:sz="4" w:space="0"/>
              <w:bottom w:val="single" w:color="auto" w:sz="4" w:space="0"/>
              <w:right w:val="single" w:color="auto" w:sz="4" w:space="0"/>
            </w:tcBorders>
            <w:noWrap w:val="0"/>
            <w:vAlign w:val="center"/>
          </w:tcPr>
          <w:p w14:paraId="6EA7745F">
            <w:pPr>
              <w:rPr>
                <w:rFonts w:hint="eastAsia" w:ascii="宋体" w:hAnsi="宋体"/>
                <w:color w:val="000000" w:themeColor="text1"/>
                <w:szCs w:val="22"/>
                <w:highlight w:val="none"/>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F845195">
            <w:pPr>
              <w:rPr>
                <w:rFonts w:hint="eastAsia" w:ascii="宋体" w:hAnsi="宋体"/>
                <w:color w:val="000000" w:themeColor="text1"/>
                <w:szCs w:val="22"/>
                <w:highlight w:val="none"/>
                <w14:textFill>
                  <w14:solidFill>
                    <w14:schemeClr w14:val="tx1"/>
                  </w14:solidFill>
                </w14:textFill>
              </w:rPr>
            </w:pPr>
          </w:p>
        </w:tc>
      </w:tr>
      <w:tr w14:paraId="7F14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597" w:type="dxa"/>
            <w:tcBorders>
              <w:top w:val="single" w:color="auto" w:sz="4" w:space="0"/>
              <w:left w:val="single" w:color="auto" w:sz="4" w:space="0"/>
              <w:bottom w:val="single" w:color="auto" w:sz="4" w:space="0"/>
              <w:right w:val="single" w:color="auto" w:sz="4" w:space="0"/>
            </w:tcBorders>
            <w:noWrap w:val="0"/>
            <w:vAlign w:val="center"/>
          </w:tcPr>
          <w:p w14:paraId="5BDC3217">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7984BD7F">
            <w:pPr>
              <w:rPr>
                <w:rFonts w:hint="eastAsia" w:ascii="宋体" w:hAnsi="宋体"/>
                <w:color w:val="000000" w:themeColor="text1"/>
                <w:szCs w:val="22"/>
                <w:highlight w:val="none"/>
                <w14:textFill>
                  <w14:solidFill>
                    <w14:schemeClr w14:val="tx1"/>
                  </w14:solidFill>
                </w14:textFill>
              </w:rPr>
            </w:pPr>
          </w:p>
        </w:tc>
        <w:tc>
          <w:tcPr>
            <w:tcW w:w="1937" w:type="dxa"/>
            <w:tcBorders>
              <w:top w:val="single" w:color="auto" w:sz="4" w:space="0"/>
              <w:left w:val="single" w:color="auto" w:sz="4" w:space="0"/>
              <w:bottom w:val="single" w:color="auto" w:sz="4" w:space="0"/>
              <w:right w:val="single" w:color="auto" w:sz="4" w:space="0"/>
            </w:tcBorders>
            <w:noWrap w:val="0"/>
            <w:vAlign w:val="center"/>
          </w:tcPr>
          <w:p w14:paraId="14CE2318">
            <w:pPr>
              <w:rPr>
                <w:rFonts w:hint="eastAsia" w:ascii="宋体" w:hAnsi="宋体"/>
                <w:color w:val="000000" w:themeColor="text1"/>
                <w:szCs w:val="22"/>
                <w:highlight w:val="none"/>
                <w14:textFill>
                  <w14:solidFill>
                    <w14:schemeClr w14:val="tx1"/>
                  </w14:solidFill>
                </w14:textFill>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3E708C3D">
            <w:pPr>
              <w:rPr>
                <w:rFonts w:hint="eastAsia" w:ascii="宋体" w:hAnsi="宋体"/>
                <w:color w:val="000000" w:themeColor="text1"/>
                <w:szCs w:val="22"/>
                <w:highlight w:val="none"/>
                <w14:textFill>
                  <w14:solidFill>
                    <w14:schemeClr w14:val="tx1"/>
                  </w14:solidFill>
                </w14:textFill>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14:paraId="507F7615">
            <w:pPr>
              <w:rPr>
                <w:rFonts w:hint="eastAsia" w:ascii="宋体" w:hAnsi="宋体"/>
                <w:color w:val="000000" w:themeColor="text1"/>
                <w:szCs w:val="22"/>
                <w:highlight w:val="none"/>
                <w14:textFill>
                  <w14:solidFill>
                    <w14:schemeClr w14:val="tx1"/>
                  </w14:solidFill>
                </w14:textFill>
              </w:rPr>
            </w:pPr>
          </w:p>
        </w:tc>
        <w:tc>
          <w:tcPr>
            <w:tcW w:w="1711" w:type="dxa"/>
            <w:tcBorders>
              <w:top w:val="single" w:color="auto" w:sz="4" w:space="0"/>
              <w:left w:val="single" w:color="auto" w:sz="4" w:space="0"/>
              <w:bottom w:val="single" w:color="auto" w:sz="4" w:space="0"/>
              <w:right w:val="single" w:color="auto" w:sz="4" w:space="0"/>
            </w:tcBorders>
            <w:noWrap w:val="0"/>
            <w:vAlign w:val="center"/>
          </w:tcPr>
          <w:p w14:paraId="20D099A4">
            <w:pPr>
              <w:rPr>
                <w:rFonts w:hint="eastAsia" w:ascii="宋体" w:hAnsi="宋体"/>
                <w:color w:val="000000" w:themeColor="text1"/>
                <w:szCs w:val="22"/>
                <w:highlight w:val="none"/>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757350F9">
            <w:pPr>
              <w:rPr>
                <w:rFonts w:hint="eastAsia" w:ascii="宋体" w:hAnsi="宋体"/>
                <w:color w:val="000000" w:themeColor="text1"/>
                <w:szCs w:val="22"/>
                <w:highlight w:val="none"/>
                <w14:textFill>
                  <w14:solidFill>
                    <w14:schemeClr w14:val="tx1"/>
                  </w14:solidFill>
                </w14:textFill>
              </w:rPr>
            </w:pPr>
          </w:p>
        </w:tc>
      </w:tr>
      <w:tr w14:paraId="0483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97" w:type="dxa"/>
            <w:tcBorders>
              <w:top w:val="single" w:color="auto" w:sz="4" w:space="0"/>
              <w:left w:val="single" w:color="auto" w:sz="4" w:space="0"/>
              <w:bottom w:val="single" w:color="auto" w:sz="4" w:space="0"/>
              <w:right w:val="single" w:color="auto" w:sz="4" w:space="0"/>
            </w:tcBorders>
            <w:noWrap w:val="0"/>
            <w:vAlign w:val="center"/>
          </w:tcPr>
          <w:p w14:paraId="2B26E114">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w:t>
            </w:r>
          </w:p>
        </w:tc>
        <w:tc>
          <w:tcPr>
            <w:tcW w:w="1389" w:type="dxa"/>
            <w:tcBorders>
              <w:top w:val="single" w:color="auto" w:sz="4" w:space="0"/>
              <w:left w:val="single" w:color="auto" w:sz="4" w:space="0"/>
              <w:bottom w:val="single" w:color="auto" w:sz="4" w:space="0"/>
              <w:right w:val="single" w:color="auto" w:sz="4" w:space="0"/>
            </w:tcBorders>
            <w:noWrap w:val="0"/>
            <w:vAlign w:val="center"/>
          </w:tcPr>
          <w:p w14:paraId="0B6BE532">
            <w:pPr>
              <w:rPr>
                <w:rFonts w:hint="eastAsia" w:ascii="宋体" w:hAnsi="宋体"/>
                <w:color w:val="000000" w:themeColor="text1"/>
                <w:szCs w:val="22"/>
                <w:highlight w:val="none"/>
                <w14:textFill>
                  <w14:solidFill>
                    <w14:schemeClr w14:val="tx1"/>
                  </w14:solidFill>
                </w14:textFill>
              </w:rPr>
            </w:pPr>
          </w:p>
        </w:tc>
        <w:tc>
          <w:tcPr>
            <w:tcW w:w="1937" w:type="dxa"/>
            <w:tcBorders>
              <w:top w:val="single" w:color="auto" w:sz="4" w:space="0"/>
              <w:left w:val="single" w:color="auto" w:sz="4" w:space="0"/>
              <w:bottom w:val="single" w:color="auto" w:sz="4" w:space="0"/>
              <w:right w:val="single" w:color="auto" w:sz="4" w:space="0"/>
            </w:tcBorders>
            <w:noWrap w:val="0"/>
            <w:vAlign w:val="center"/>
          </w:tcPr>
          <w:p w14:paraId="2A93A9E4">
            <w:pPr>
              <w:rPr>
                <w:rFonts w:hint="eastAsia" w:ascii="宋体" w:hAnsi="宋体"/>
                <w:color w:val="000000" w:themeColor="text1"/>
                <w:szCs w:val="22"/>
                <w:highlight w:val="none"/>
                <w14:textFill>
                  <w14:solidFill>
                    <w14:schemeClr w14:val="tx1"/>
                  </w14:solidFill>
                </w14:textFill>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2B94AC2E">
            <w:pPr>
              <w:rPr>
                <w:rFonts w:hint="eastAsia" w:ascii="宋体" w:hAnsi="宋体"/>
                <w:color w:val="000000" w:themeColor="text1"/>
                <w:szCs w:val="22"/>
                <w:highlight w:val="none"/>
                <w14:textFill>
                  <w14:solidFill>
                    <w14:schemeClr w14:val="tx1"/>
                  </w14:solidFill>
                </w14:textFill>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14:paraId="33B696E6">
            <w:pPr>
              <w:rPr>
                <w:rFonts w:hint="eastAsia" w:ascii="宋体" w:hAnsi="宋体"/>
                <w:color w:val="000000" w:themeColor="text1"/>
                <w:szCs w:val="22"/>
                <w:highlight w:val="none"/>
                <w14:textFill>
                  <w14:solidFill>
                    <w14:schemeClr w14:val="tx1"/>
                  </w14:solidFill>
                </w14:textFill>
              </w:rPr>
            </w:pPr>
          </w:p>
        </w:tc>
        <w:tc>
          <w:tcPr>
            <w:tcW w:w="1711" w:type="dxa"/>
            <w:tcBorders>
              <w:top w:val="single" w:color="auto" w:sz="4" w:space="0"/>
              <w:left w:val="single" w:color="auto" w:sz="4" w:space="0"/>
              <w:bottom w:val="single" w:color="auto" w:sz="4" w:space="0"/>
              <w:right w:val="single" w:color="auto" w:sz="4" w:space="0"/>
            </w:tcBorders>
            <w:noWrap w:val="0"/>
            <w:vAlign w:val="center"/>
          </w:tcPr>
          <w:p w14:paraId="6958F568">
            <w:pPr>
              <w:rPr>
                <w:rFonts w:hint="eastAsia" w:ascii="宋体" w:hAnsi="宋体"/>
                <w:color w:val="000000" w:themeColor="text1"/>
                <w:szCs w:val="22"/>
                <w:highlight w:val="none"/>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D5BB827">
            <w:pPr>
              <w:rPr>
                <w:rFonts w:hint="eastAsia" w:ascii="宋体" w:hAnsi="宋体"/>
                <w:color w:val="000000" w:themeColor="text1"/>
                <w:szCs w:val="22"/>
                <w:highlight w:val="none"/>
                <w14:textFill>
                  <w14:solidFill>
                    <w14:schemeClr w14:val="tx1"/>
                  </w14:solidFill>
                </w14:textFill>
              </w:rPr>
            </w:pPr>
          </w:p>
        </w:tc>
      </w:tr>
      <w:tr w14:paraId="76E1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9856" w:type="dxa"/>
            <w:gridSpan w:val="7"/>
            <w:tcBorders>
              <w:top w:val="single" w:color="auto" w:sz="4" w:space="0"/>
              <w:left w:val="single" w:color="auto" w:sz="4" w:space="0"/>
              <w:bottom w:val="single" w:color="auto" w:sz="4" w:space="0"/>
              <w:right w:val="single" w:color="auto" w:sz="4" w:space="0"/>
            </w:tcBorders>
            <w:noWrap w:val="0"/>
            <w:vAlign w:val="center"/>
          </w:tcPr>
          <w:p w14:paraId="64DB8C13">
            <w:pPr>
              <w:jc w:val="both"/>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 xml:space="preserve">竞标单价合计（包含税费等所有费用）：（大写）人民币              （￥        </w:t>
            </w:r>
            <w:r>
              <w:rPr>
                <w:rFonts w:hint="eastAsia"/>
                <w:color w:val="000000" w:themeColor="text1"/>
                <w:sz w:val="21"/>
                <w:szCs w:val="21"/>
                <w:highlight w:val="none"/>
                <w:u w:val="single"/>
                <w:lang w:val="en-US" w:eastAsia="zh-CN"/>
                <w14:textFill>
                  <w14:solidFill>
                    <w14:schemeClr w14:val="tx1"/>
                  </w14:solidFill>
                </w14:textFill>
              </w:rPr>
              <w:t>元/升</w:t>
            </w:r>
            <w:r>
              <w:rPr>
                <w:rFonts w:hint="eastAsia" w:ascii="宋体" w:hAnsi="宋体"/>
                <w:color w:val="000000" w:themeColor="text1"/>
                <w:szCs w:val="22"/>
                <w:highlight w:val="none"/>
                <w14:textFill>
                  <w14:solidFill>
                    <w14:schemeClr w14:val="tx1"/>
                  </w14:solidFill>
                </w14:textFill>
              </w:rPr>
              <w:t>）</w:t>
            </w:r>
          </w:p>
        </w:tc>
      </w:tr>
      <w:tr w14:paraId="588F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9856" w:type="dxa"/>
            <w:gridSpan w:val="7"/>
            <w:tcBorders>
              <w:top w:val="single" w:color="auto" w:sz="4" w:space="0"/>
              <w:left w:val="single" w:color="auto" w:sz="4" w:space="0"/>
              <w:bottom w:val="single" w:color="auto" w:sz="4" w:space="0"/>
              <w:right w:val="single" w:color="auto" w:sz="4" w:space="0"/>
            </w:tcBorders>
            <w:noWrap w:val="0"/>
            <w:vAlign w:val="center"/>
          </w:tcPr>
          <w:p w14:paraId="6919061D">
            <w:pPr>
              <w:jc w:val="both"/>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39CD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9856" w:type="dxa"/>
            <w:gridSpan w:val="7"/>
            <w:tcBorders>
              <w:top w:val="single" w:color="auto" w:sz="4" w:space="0"/>
              <w:left w:val="single" w:color="auto" w:sz="4" w:space="0"/>
              <w:bottom w:val="single" w:color="auto" w:sz="4" w:space="0"/>
              <w:right w:val="single" w:color="auto" w:sz="4" w:space="0"/>
            </w:tcBorders>
            <w:noWrap w:val="0"/>
            <w:vAlign w:val="center"/>
          </w:tcPr>
          <w:p w14:paraId="25151FC4">
            <w:pPr>
              <w:jc w:val="both"/>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68FF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9856" w:type="dxa"/>
            <w:gridSpan w:val="7"/>
            <w:tcBorders>
              <w:top w:val="single" w:color="auto" w:sz="4" w:space="0"/>
              <w:left w:val="single" w:color="auto" w:sz="4" w:space="0"/>
              <w:bottom w:val="single" w:color="auto" w:sz="4" w:space="0"/>
              <w:right w:val="single" w:color="auto" w:sz="4" w:space="0"/>
            </w:tcBorders>
            <w:noWrap w:val="0"/>
            <w:vAlign w:val="center"/>
          </w:tcPr>
          <w:p w14:paraId="7D74329B">
            <w:pPr>
              <w:jc w:val="both"/>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r w14:paraId="6D96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9856" w:type="dxa"/>
            <w:gridSpan w:val="7"/>
            <w:tcBorders>
              <w:top w:val="single" w:color="auto" w:sz="4" w:space="0"/>
              <w:left w:val="single" w:color="auto" w:sz="4" w:space="0"/>
              <w:bottom w:val="single" w:color="auto" w:sz="4" w:space="0"/>
              <w:right w:val="single" w:color="auto" w:sz="4" w:space="0"/>
            </w:tcBorders>
            <w:noWrap w:val="0"/>
            <w:vAlign w:val="center"/>
          </w:tcPr>
          <w:p w14:paraId="0AA47F63">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说明：</w:t>
            </w:r>
          </w:p>
          <w:p w14:paraId="5700DCB9">
            <w:pPr>
              <w:jc w:val="both"/>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u w:val="single"/>
                <w14:textFill>
                  <w14:solidFill>
                    <w14:schemeClr w14:val="tx1"/>
                  </w14:solidFill>
                </w14:textFill>
              </w:rPr>
              <w:t>1.响应产品中，属于本国产品总值为¥       （具体明细详见附表，附表格式自拟），占响应产品的比例为    %。</w:t>
            </w:r>
          </w:p>
        </w:tc>
      </w:tr>
    </w:tbl>
    <w:p w14:paraId="75BD13E9">
      <w:pPr>
        <w:snapToGrid w:val="0"/>
        <w:spacing w:before="50" w:after="50" w:line="360" w:lineRule="auto"/>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68C11549">
      <w:pPr>
        <w:keepNext w:val="0"/>
        <w:keepLines w:val="0"/>
        <w:pageBreakBefore w:val="0"/>
        <w:widowControl w:val="0"/>
        <w:kinsoku/>
        <w:wordWrap/>
        <w:overflowPunct/>
        <w:topLinePunct w:val="0"/>
        <w:autoSpaceDE/>
        <w:autoSpaceDN/>
        <w:bidi w:val="0"/>
        <w:adjustRightInd/>
        <w:snapToGrid w:val="0"/>
        <w:spacing w:before="50" w:after="50" w:line="400" w:lineRule="exact"/>
        <w:ind w:firstLine="480" w:firstLineChars="200"/>
        <w:jc w:val="left"/>
        <w:textAlignment w:val="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5C19205E">
      <w:pPr>
        <w:keepNext w:val="0"/>
        <w:keepLines w:val="0"/>
        <w:pageBreakBefore w:val="0"/>
        <w:widowControl w:val="0"/>
        <w:kinsoku/>
        <w:wordWrap/>
        <w:overflowPunct/>
        <w:topLinePunct w:val="0"/>
        <w:autoSpaceDE/>
        <w:autoSpaceDN/>
        <w:bidi w:val="0"/>
        <w:adjustRightInd/>
        <w:snapToGrid w:val="0"/>
        <w:spacing w:before="50" w:after="50" w:line="400" w:lineRule="exact"/>
        <w:ind w:firstLine="480" w:firstLineChars="200"/>
        <w:jc w:val="left"/>
        <w:textAlignment w:val="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供应商需按本表格式填写，不得自行更改，也不得留空, 如有多分标，按分标分别提供响应报价表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w:t>
      </w:r>
    </w:p>
    <w:p w14:paraId="6C5004E5">
      <w:pPr>
        <w:keepNext w:val="0"/>
        <w:keepLines w:val="0"/>
        <w:pageBreakBefore w:val="0"/>
        <w:widowControl w:val="0"/>
        <w:kinsoku/>
        <w:wordWrap/>
        <w:overflowPunct/>
        <w:topLinePunct w:val="0"/>
        <w:autoSpaceDE/>
        <w:autoSpaceDN/>
        <w:bidi w:val="0"/>
        <w:adjustRightInd/>
        <w:snapToGrid w:val="0"/>
        <w:spacing w:before="50" w:after="50" w:line="400" w:lineRule="exact"/>
        <w:ind w:firstLine="480" w:firstLineChars="200"/>
        <w:jc w:val="left"/>
        <w:textAlignment w:val="auto"/>
        <w:rPr>
          <w:rFonts w:hint="eastAsia" w:ascii="仿宋_GB2312" w:hAnsi="仿宋" w:eastAsia="仿宋_GB2312" w:cs="仿宋_GB2312"/>
          <w:b/>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否则其响应作无效响应处理。</w:t>
      </w:r>
    </w:p>
    <w:p w14:paraId="32C14D65">
      <w:pPr>
        <w:keepNext w:val="0"/>
        <w:keepLines w:val="0"/>
        <w:pageBreakBefore w:val="0"/>
        <w:widowControl w:val="0"/>
        <w:kinsoku/>
        <w:wordWrap/>
        <w:overflowPunct/>
        <w:topLinePunct w:val="0"/>
        <w:autoSpaceDE/>
        <w:autoSpaceDN/>
        <w:bidi w:val="0"/>
        <w:adjustRightInd/>
        <w:snapToGrid w:val="0"/>
        <w:spacing w:before="50" w:after="50" w:line="400" w:lineRule="exact"/>
        <w:ind w:firstLine="480" w:firstLineChars="200"/>
        <w:jc w:val="left"/>
        <w:textAlignment w:val="auto"/>
        <w:rPr>
          <w:rFonts w:hint="eastAsia" w:ascii="仿宋_GB2312" w:hAnsi="仿宋" w:eastAsia="仿宋_GB2312" w:cs="仿宋_GB2312"/>
          <w:b/>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以上表格要求细分项目及报价，在“货物名称”一栏中，填写具体货物，</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否则其响应作无效响应处理。</w:t>
      </w:r>
    </w:p>
    <w:p w14:paraId="3CEF6133">
      <w:pPr>
        <w:keepNext w:val="0"/>
        <w:keepLines w:val="0"/>
        <w:pageBreakBefore w:val="0"/>
        <w:widowControl w:val="0"/>
        <w:kinsoku/>
        <w:wordWrap/>
        <w:overflowPunct/>
        <w:topLinePunct w:val="0"/>
        <w:autoSpaceDE/>
        <w:autoSpaceDN/>
        <w:bidi w:val="0"/>
        <w:adjustRightInd/>
        <w:snapToGrid w:val="0"/>
        <w:spacing w:before="50" w:after="50" w:line="400" w:lineRule="exact"/>
        <w:ind w:firstLine="482" w:firstLineChars="200"/>
        <w:jc w:val="left"/>
        <w:textAlignment w:val="auto"/>
        <w:rPr>
          <w:rFonts w:hint="default" w:ascii="仿宋_GB2312" w:hAnsi="仿宋" w:eastAsia="仿宋_GB2312" w:cs="仿宋_GB2312"/>
          <w:b/>
          <w:color w:val="000000" w:themeColor="text1"/>
          <w:kern w:val="0"/>
          <w:sz w:val="24"/>
          <w:szCs w:val="24"/>
          <w:highlight w:val="none"/>
          <w:lang w:val="en-US" w:eastAsia="zh-CN" w:bidi="ar-SA"/>
          <w14:textFill>
            <w14:solidFill>
              <w14:schemeClr w14:val="tx1"/>
            </w14:solidFill>
          </w14:textFill>
        </w:rPr>
      </w:pPr>
      <w:r>
        <w:rPr>
          <w:rFonts w:hint="eastAsia" w:ascii="仿宋_GB2312" w:hAnsi="仿宋" w:eastAsia="仿宋_GB2312" w:cs="仿宋_GB2312"/>
          <w:b/>
          <w:color w:val="000000" w:themeColor="text1"/>
          <w:kern w:val="0"/>
          <w:sz w:val="24"/>
          <w:szCs w:val="24"/>
          <w:highlight w:val="none"/>
          <w:lang w:val="en-US" w:eastAsia="zh-CN" w:bidi="ar-SA"/>
          <w14:textFill>
            <w14:solidFill>
              <w14:schemeClr w14:val="tx1"/>
            </w14:solidFill>
          </w14:textFill>
        </w:rPr>
        <w:t>4.本项目采购数量具体以采购单位通知实际采购数量为准。本项目以单价形式报价，供应商所提交的报价不得超过预算单价，否则按无效报价处理。</w:t>
      </w:r>
    </w:p>
    <w:p w14:paraId="299C49D4">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5.</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特别提示：采购机构将对项目名称和项目编号，成交供应商名称、地址和成交金额，主要成交标的的名称、规格型号、数量、单价、货物要求等予以公示。</w:t>
      </w:r>
    </w:p>
    <w:p w14:paraId="2D7B1997">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en-US" w:eastAsia="zh-CN"/>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B3387BD">
      <w:pPr>
        <w:autoSpaceDE w:val="0"/>
        <w:autoSpaceDN w:val="0"/>
        <w:spacing w:line="360" w:lineRule="auto"/>
        <w:ind w:left="4335" w:leftChars="1950" w:hanging="240" w:hangingChars="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68A43BA3">
      <w:pPr>
        <w:autoSpaceDE w:val="0"/>
        <w:autoSpaceDN w:val="0"/>
        <w:spacing w:line="360" w:lineRule="auto"/>
        <w:ind w:firstLine="6480" w:firstLineChars="27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2A373A42">
      <w:pPr>
        <w:widowControl/>
        <w:shd w:val="clear" w:color="auto" w:fill="FFFFFF"/>
        <w:jc w:val="center"/>
        <w:rPr>
          <w:rFonts w:ascii="宋体" w:hAnsi="宋体" w:cs="宋体"/>
          <w:color w:val="000000" w:themeColor="text1"/>
          <w:kern w:val="0"/>
          <w:sz w:val="36"/>
          <w:szCs w:val="36"/>
          <w:highlight w:val="none"/>
          <w14:textFill>
            <w14:solidFill>
              <w14:schemeClr w14:val="tx1"/>
            </w14:solidFill>
          </w14:textFill>
        </w:rPr>
      </w:pPr>
      <w:r>
        <w:rPr>
          <w:rFonts w:hint="eastAsia" w:ascii="宋体" w:hAnsi="宋体" w:cs="宋体"/>
          <w:b/>
          <w:bCs/>
          <w:color w:val="000000" w:themeColor="text1"/>
          <w:kern w:val="0"/>
          <w:sz w:val="36"/>
          <w:szCs w:val="36"/>
          <w:highlight w:val="none"/>
          <w14:textFill>
            <w14:solidFill>
              <w14:schemeClr w14:val="tx1"/>
            </w14:solidFill>
          </w14:textFill>
        </w:rPr>
        <w:t>关于符合本国产品标准的声明函</w:t>
      </w:r>
    </w:p>
    <w:p w14:paraId="7080FD25">
      <w:pPr>
        <w:widowControl/>
        <w:shd w:val="clear" w:color="auto" w:fill="FFFFFF"/>
        <w:spacing w:before="30" w:after="30"/>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w:t>
      </w:r>
    </w:p>
    <w:p w14:paraId="345BD256">
      <w:pPr>
        <w:pStyle w:val="17"/>
        <w:spacing w:line="360" w:lineRule="auto"/>
        <w:ind w:firstLine="42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0171A07">
      <w:pPr>
        <w:pStyle w:val="17"/>
        <w:spacing w:line="360" w:lineRule="auto"/>
        <w:ind w:firstLine="42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产品</w:t>
      </w:r>
      <w:r>
        <w:rPr>
          <w:rFonts w:hint="eastAsia" w:ascii="宋体" w:hAnsi="宋体" w:cs="宋体"/>
          <w:color w:val="000000" w:themeColor="text1"/>
          <w:kern w:val="0"/>
          <w:sz w:val="24"/>
          <w:highlight w:val="none"/>
          <w14:textFill>
            <w14:solidFill>
              <w14:schemeClr w14:val="tx1"/>
            </w14:solidFill>
          </w14:textFill>
        </w:rPr>
        <w:t>名称1）</w:t>
      </w:r>
      <w:r>
        <w:rPr>
          <w:rFonts w:hint="eastAsia" w:ascii="宋体" w:hAnsi="宋体" w:cs="宋体"/>
          <w:color w:val="000000" w:themeColor="text1"/>
          <w:kern w:val="0"/>
          <w:sz w:val="18"/>
          <w:szCs w:val="18"/>
          <w:highlight w:val="none"/>
          <w:vertAlign w:val="superscript"/>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，生产厂为（厂名）</w:t>
      </w:r>
      <w:r>
        <w:rPr>
          <w:rFonts w:hint="eastAsia" w:ascii="宋体" w:hAnsi="宋体" w:cs="宋体"/>
          <w:color w:val="000000" w:themeColor="text1"/>
          <w:kern w:val="0"/>
          <w:sz w:val="18"/>
          <w:szCs w:val="18"/>
          <w:highlight w:val="none"/>
          <w:vertAlign w:val="superscript"/>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，厂址为（生产厂址）。（产品名称1）的中国境内生产的组件成本占比≥（规定比例）</w:t>
      </w:r>
      <w:r>
        <w:rPr>
          <w:rFonts w:hint="eastAsia" w:ascii="宋体" w:hAnsi="宋体" w:cs="宋体"/>
          <w:color w:val="000000" w:themeColor="text1"/>
          <w:kern w:val="0"/>
          <w:sz w:val="18"/>
          <w:szCs w:val="18"/>
          <w:highlight w:val="none"/>
          <w:vertAlign w:val="superscript"/>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。（产品名称1）的（关键组件）</w:t>
      </w:r>
      <w:r>
        <w:rPr>
          <w:rFonts w:hint="eastAsia" w:ascii="宋体" w:hAnsi="宋体" w:cs="宋体"/>
          <w:color w:val="000000" w:themeColor="text1"/>
          <w:kern w:val="0"/>
          <w:sz w:val="18"/>
          <w:szCs w:val="18"/>
          <w:highlight w:val="none"/>
          <w:vertAlign w:val="superscript"/>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在中国境内生产。（产品名称1）的（关键工序）</w:t>
      </w:r>
      <w:r>
        <w:rPr>
          <w:rFonts w:hint="eastAsia" w:ascii="宋体" w:hAnsi="宋体" w:cs="宋体"/>
          <w:color w:val="000000" w:themeColor="text1"/>
          <w:kern w:val="0"/>
          <w:sz w:val="18"/>
          <w:szCs w:val="18"/>
          <w:highlight w:val="none"/>
          <w:vertAlign w:val="superscript"/>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在中国境内完成。</w:t>
      </w:r>
    </w:p>
    <w:p w14:paraId="7BCB4A5B">
      <w:pPr>
        <w:pStyle w:val="17"/>
        <w:spacing w:line="360" w:lineRule="auto"/>
        <w:ind w:firstLine="42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产品名称2），生产厂为（厂名），厂址为（生产厂址）。（产品名称2）的中国境内生产的组件成本占比≥（规定比例）。（产品名称2）的（关键组件）在中国境内生产。（产品名称2）的（关键工序）在中国境内完成。</w:t>
      </w:r>
    </w:p>
    <w:p w14:paraId="5959EF0F">
      <w:pPr>
        <w:pStyle w:val="17"/>
        <w:spacing w:line="360" w:lineRule="auto"/>
        <w:ind w:firstLine="42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p w14:paraId="09E7A75E">
      <w:pPr>
        <w:pStyle w:val="17"/>
        <w:spacing w:line="360" w:lineRule="auto"/>
        <w:ind w:firstLine="42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本公司（单位）对上述声明内容的真实性负责。如有虚假，愿承担相应法律责任。</w:t>
      </w:r>
    </w:p>
    <w:p w14:paraId="4DE085D2">
      <w:pPr>
        <w:widowControl/>
        <w:shd w:val="clear" w:color="auto" w:fill="FFFFFF"/>
        <w:spacing w:before="30" w:after="3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w:t>
      </w:r>
    </w:p>
    <w:p w14:paraId="7E642104">
      <w:pPr>
        <w:pStyle w:val="17"/>
        <w:spacing w:line="360" w:lineRule="auto"/>
        <w:ind w:firstLine="420"/>
        <w:jc w:val="righ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公</w:t>
      </w:r>
      <w:r>
        <w:rPr>
          <w:rFonts w:hint="eastAsia" w:ascii="宋体" w:hAnsi="宋体" w:cs="宋体"/>
          <w:color w:val="000000" w:themeColor="text1"/>
          <w:kern w:val="0"/>
          <w:sz w:val="24"/>
          <w:highlight w:val="none"/>
          <w:lang w:val="en-US" w:eastAsia="zh-CN"/>
          <w14:textFill>
            <w14:solidFill>
              <w14:schemeClr w14:val="tx1"/>
            </w14:solidFill>
          </w14:textFill>
        </w:rPr>
        <w:t>司</w:t>
      </w:r>
      <w:r>
        <w:rPr>
          <w:rFonts w:hint="eastAsia" w:ascii="宋体" w:hAnsi="宋体" w:cs="宋体"/>
          <w:color w:val="000000" w:themeColor="text1"/>
          <w:kern w:val="0"/>
          <w:sz w:val="24"/>
          <w:highlight w:val="none"/>
          <w14:textFill>
            <w14:solidFill>
              <w14:schemeClr w14:val="tx1"/>
            </w14:solidFill>
          </w14:textFill>
        </w:rPr>
        <w:t>（单位）名称（盖章）：　        </w:t>
      </w:r>
    </w:p>
    <w:p w14:paraId="1F67830A">
      <w:pPr>
        <w:pStyle w:val="17"/>
        <w:spacing w:line="360" w:lineRule="auto"/>
        <w:ind w:firstLine="420"/>
        <w:jc w:val="righ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日期：　     年　  月　  日         </w:t>
      </w:r>
    </w:p>
    <w:p w14:paraId="5FCDC92D">
      <w:pPr>
        <w:pStyle w:val="17"/>
        <w:spacing w:line="360" w:lineRule="auto"/>
        <w:ind w:firstLine="420"/>
        <w:rPr>
          <w:rFonts w:hint="eastAsia"/>
          <w:color w:val="000000" w:themeColor="text1"/>
          <w:sz w:val="21"/>
          <w:szCs w:val="21"/>
          <w:highlight w:val="none"/>
          <w14:textFill>
            <w14:solidFill>
              <w14:schemeClr w14:val="tx1"/>
            </w14:solidFill>
          </w14:textFill>
        </w:rPr>
      </w:pPr>
    </w:p>
    <w:p w14:paraId="009B8BDC">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1.产品如有型号，请在“产品名称”栏一并填写。</w:t>
      </w:r>
    </w:p>
    <w:p w14:paraId="56686107">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2.生产厂名与厂址应与生产厂营业执照载明的相关信息保持一致。</w:t>
      </w:r>
    </w:p>
    <w:p w14:paraId="6E8B279B">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3.该产品的中国境内生产的组件成本占比相关要求实施前，“规定比例”栏可不填，下同。</w:t>
      </w:r>
    </w:p>
    <w:p w14:paraId="39896FFA">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4.该产品的关键组件要求实施前，“关键组件”栏可不填，下同。</w:t>
      </w:r>
    </w:p>
    <w:p w14:paraId="1B16B5CB">
      <w:pPr>
        <w:pStyle w:val="17"/>
        <w:spacing w:line="360" w:lineRule="auto"/>
        <w:ind w:firstLine="42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5.该产品的关键工序要求实施前，“关键工序”栏可不填，下同。</w:t>
      </w:r>
    </w:p>
    <w:p w14:paraId="7351962C">
      <w:pPr>
        <w:spacing w:line="360" w:lineRule="auto"/>
        <w:contextualSpacing/>
        <w:rPr>
          <w:rFonts w:ascii="宋体" w:hAnsi="宋体" w:cs="仿宋_GB2312"/>
          <w:color w:val="000000" w:themeColor="text1"/>
          <w:sz w:val="24"/>
          <w:highlight w:val="none"/>
          <w14:textFill>
            <w14:solidFill>
              <w14:schemeClr w14:val="tx1"/>
            </w14:solidFill>
          </w14:textFill>
        </w:rPr>
      </w:pPr>
    </w:p>
    <w:p w14:paraId="4E920609">
      <w:pPr>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39C02D6E">
      <w:pPr>
        <w:autoSpaceDE w:val="0"/>
        <w:autoSpaceDN w:val="0"/>
        <w:spacing w:line="360" w:lineRule="auto"/>
        <w:ind w:firstLine="6480" w:firstLineChars="27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7BFC8C4C">
      <w:pPr>
        <w:spacing w:line="360" w:lineRule="auto"/>
        <w:ind w:right="-817" w:rightChars="-389" w:firstLine="5461" w:firstLineChars="1700"/>
        <w:contextualSpacing/>
        <w:rPr>
          <w:rFonts w:hint="eastAsia" w:ascii="仿宋_GB2312" w:hAnsi="仿宋_GB2312" w:eastAsia="仿宋_GB2312" w:cs="仿宋_GB2312"/>
          <w:b/>
          <w:color w:val="000000" w:themeColor="text1"/>
          <w:sz w:val="32"/>
          <w:szCs w:val="32"/>
          <w:highlight w:val="none"/>
          <w14:textFill>
            <w14:solidFill>
              <w14:schemeClr w14:val="tx1"/>
            </w14:solidFill>
          </w14:textFill>
        </w:rPr>
      </w:pPr>
    </w:p>
    <w:p w14:paraId="18063FE5">
      <w:pPr>
        <w:rPr>
          <w:rFonts w:hint="eastAsia" w:ascii="宋体" w:hAnsi="宋体"/>
          <w:color w:val="000000" w:themeColor="text1"/>
          <w:highlight w:val="none"/>
          <w14:textFill>
            <w14:solidFill>
              <w14:schemeClr w14:val="tx1"/>
            </w14:solidFill>
          </w14:textFill>
        </w:rPr>
      </w:pPr>
      <w:bookmarkStart w:id="71" w:name="_Toc4733"/>
      <w:r>
        <w:rPr>
          <w:rFonts w:hint="eastAsia" w:ascii="宋体" w:hAnsi="宋体"/>
          <w:color w:val="000000" w:themeColor="text1"/>
          <w:highlight w:val="none"/>
          <w14:textFill>
            <w14:solidFill>
              <w14:schemeClr w14:val="tx1"/>
            </w14:solidFill>
          </w14:textFill>
        </w:rPr>
        <w:br w:type="page"/>
      </w:r>
    </w:p>
    <w:p w14:paraId="5BD043DE">
      <w:pPr>
        <w:pStyle w:val="3"/>
        <w:jc w:val="center"/>
        <w:rPr>
          <w:rFonts w:hint="eastAsia" w:ascii="宋体" w:hAnsi="宋体" w:cs="宋体"/>
          <w:b w:val="0"/>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第五节 其他文书、文件格式</w:t>
      </w:r>
      <w:bookmarkEnd w:id="71"/>
    </w:p>
    <w:p w14:paraId="2A3E7738">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6E2F8D09">
      <w:pPr>
        <w:ind w:firstLine="600" w:firstLineChars="200"/>
        <w:rPr>
          <w:rFonts w:hint="eastAsia" w:ascii="仿宋_GB2312" w:hAnsi="仿宋_GB2312" w:eastAsia="仿宋_GB2312" w:cs="仿宋_GB2312"/>
          <w:color w:val="000000" w:themeColor="text1"/>
          <w:sz w:val="30"/>
          <w:szCs w:val="30"/>
          <w:highlight w:val="none"/>
          <w14:textFill>
            <w14:solidFill>
              <w14:schemeClr w14:val="tx1"/>
            </w14:solidFill>
          </w14:textFill>
        </w:rPr>
      </w:pPr>
    </w:p>
    <w:p w14:paraId="0FCE1E9B">
      <w:pPr>
        <w:ind w:firstLine="600" w:firstLineChars="200"/>
        <w:rPr>
          <w:rFonts w:hint="eastAsia" w:ascii="仿宋_GB2312" w:hAnsi="仿宋_GB2312" w:eastAsia="仿宋_GB2312" w:cs="仿宋_GB2312"/>
          <w:color w:val="000000" w:themeColor="text1"/>
          <w:sz w:val="30"/>
          <w:szCs w:val="30"/>
          <w:highlight w:val="none"/>
          <w:lang w:val="e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本</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企业（单位）自愿参与政府投资政府采购的</w:t>
      </w:r>
      <w:r>
        <w:rPr>
          <w:rFonts w:hint="eastAsia" w:ascii="仿宋_GB2312" w:hAnsi="仿宋_GB2312" w:eastAsia="仿宋_GB2312" w:cs="仿宋_GB2312"/>
          <w:color w:val="000000" w:themeColor="text1"/>
          <w:sz w:val="30"/>
          <w:szCs w:val="30"/>
          <w:highlight w:val="none"/>
          <w:u w:val="single"/>
          <w:lang w:val="en" w:eastAsia="zh-CN"/>
          <w14:textFill>
            <w14:solidFill>
              <w14:schemeClr w14:val="tx1"/>
            </w14:solidFill>
          </w14:textFill>
        </w:rPr>
        <w:t>南宁市第一看守所2026年度在押人员伙房伙食灶醇基液体燃料采购</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lang w:val="en"/>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000000" w:themeColor="text1"/>
          <w:sz w:val="30"/>
          <w:szCs w:val="30"/>
          <w:highlight w:val="none"/>
          <w14:textFill>
            <w14:solidFill>
              <w14:schemeClr w14:val="tx1"/>
            </w14:solidFill>
          </w14:textFill>
        </w:rPr>
        <w:t>单位</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）将承担由此产生的全部责任。</w:t>
      </w:r>
    </w:p>
    <w:p w14:paraId="0BC09F3F">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p>
    <w:p w14:paraId="7FD108EE">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291B7EBA">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37D2C405">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7474106E">
      <w:pPr>
        <w:snapToGrid w:val="0"/>
        <w:spacing w:line="360" w:lineRule="auto"/>
        <w:ind w:left="5137" w:leftChars="1736" w:hanging="1491" w:hangingChars="825"/>
        <w:rPr>
          <w:rFonts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14:textFill>
            <w14:solidFill>
              <w14:schemeClr w14:val="tx1"/>
            </w14:solidFill>
          </w14:textFill>
        </w:rPr>
        <w:t>供应商名称</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(电子签章)：</w:t>
      </w:r>
    </w:p>
    <w:p w14:paraId="4E6370C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66A85EE">
      <w:pPr>
        <w:widowControl/>
        <w:jc w:val="left"/>
        <w:rPr>
          <w:rFonts w:ascii="宋体" w:hAnsi="宋体" w:cs="仿宋_GB2312"/>
          <w:color w:val="000000" w:themeColor="text1"/>
          <w:sz w:val="24"/>
          <w:highlight w:val="none"/>
          <w14:textFill>
            <w14:solidFill>
              <w14:schemeClr w14:val="tx1"/>
            </w14:solidFill>
          </w14:textFill>
        </w:rPr>
        <w:sectPr>
          <w:pgSz w:w="11906" w:h="16838"/>
          <w:pgMar w:top="1440" w:right="1080" w:bottom="1440" w:left="1080" w:header="720" w:footer="720" w:gutter="0"/>
          <w:pgNumType w:fmt="decimal"/>
          <w:cols w:space="720" w:num="1"/>
          <w:docGrid w:type="lines" w:linePitch="331" w:charSpace="0"/>
        </w:sectPr>
      </w:pPr>
    </w:p>
    <w:p w14:paraId="2C336CAC">
      <w:pPr>
        <w:spacing w:line="520" w:lineRule="exact"/>
        <w:rPr>
          <w:rFonts w:hint="eastAsia" w:ascii="宋体" w:hAnsi="宋体" w:cs="仿宋_GB2312"/>
          <w:color w:val="000000" w:themeColor="text1"/>
          <w:sz w:val="24"/>
          <w:highlight w:val="none"/>
          <w14:textFill>
            <w14:solidFill>
              <w14:schemeClr w14:val="tx1"/>
            </w14:solidFill>
          </w14:textFill>
        </w:rPr>
      </w:pPr>
    </w:p>
    <w:p w14:paraId="2F4ACBA3">
      <w:pPr>
        <w:spacing w:line="360" w:lineRule="auto"/>
        <w:jc w:val="center"/>
        <w:rPr>
          <w:rFonts w:hint="eastAsia" w:ascii="宋体" w:hAnsi="宋体"/>
          <w:b/>
          <w:bCs/>
          <w:color w:val="000000" w:themeColor="text1"/>
          <w:sz w:val="44"/>
          <w:szCs w:val="44"/>
          <w:highlight w:val="none"/>
          <w14:textFill>
            <w14:solidFill>
              <w14:schemeClr w14:val="tx1"/>
            </w14:solidFill>
          </w14:textFill>
        </w:rPr>
      </w:pPr>
    </w:p>
    <w:p w14:paraId="6D2F36D8">
      <w:pPr>
        <w:pStyle w:val="2"/>
        <w:numPr>
          <w:ilvl w:val="0"/>
          <w:numId w:val="0"/>
        </w:numPr>
        <w:jc w:val="center"/>
        <w:rPr>
          <w:rFonts w:hint="eastAsia" w:ascii="宋体" w:hAnsi="宋体"/>
          <w:b w:val="0"/>
          <w:bCs w:val="0"/>
          <w:color w:val="000000" w:themeColor="text1"/>
          <w:highlight w:val="none"/>
          <w14:textFill>
            <w14:solidFill>
              <w14:schemeClr w14:val="tx1"/>
            </w14:solidFill>
          </w14:textFill>
        </w:rPr>
      </w:pPr>
      <w:bookmarkStart w:id="72" w:name="_Toc6879"/>
      <w:r>
        <w:rPr>
          <w:rFonts w:hint="eastAsia" w:ascii="宋体" w:hAnsi="宋体"/>
          <w:b w:val="0"/>
          <w:bCs w:val="0"/>
          <w:color w:val="000000" w:themeColor="text1"/>
          <w:kern w:val="44"/>
          <w:sz w:val="44"/>
          <w:szCs w:val="44"/>
          <w:highlight w:val="none"/>
          <w:lang w:val="en-US" w:eastAsia="zh-CN" w:bidi="ar-SA"/>
          <w14:textFill>
            <w14:solidFill>
              <w14:schemeClr w14:val="tx1"/>
            </w14:solidFill>
          </w14:textFill>
        </w:rPr>
        <w:t>第六章</w:t>
      </w:r>
      <w:r>
        <w:rPr>
          <w:rFonts w:hint="eastAsia" w:ascii="宋体" w:hAnsi="宋体"/>
          <w:b w:val="0"/>
          <w:bCs w:val="0"/>
          <w:color w:val="000000" w:themeColor="text1"/>
          <w:highlight w:val="none"/>
          <w14:textFill>
            <w14:solidFill>
              <w14:schemeClr w14:val="tx1"/>
            </w14:solidFill>
          </w14:textFill>
        </w:rPr>
        <w:t xml:space="preserve"> 合同文本</w:t>
      </w:r>
    </w:p>
    <w:bookmarkEnd w:id="72"/>
    <w:p w14:paraId="57D698D1">
      <w:pPr>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br w:type="page"/>
      </w:r>
    </w:p>
    <w:p w14:paraId="4A090F3C">
      <w:pPr>
        <w:spacing w:line="360" w:lineRule="auto"/>
        <w:jc w:val="center"/>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广西政府采购云平台合同编号：</w:t>
      </w:r>
    </w:p>
    <w:p w14:paraId="2E07B093">
      <w:pPr>
        <w:pStyle w:val="20"/>
        <w:rPr>
          <w:rFonts w:hint="eastAsia" w:ascii="仿宋_GB2312" w:hAnsi="楷体" w:eastAsia="仿宋_GB2312"/>
          <w:color w:val="000000" w:themeColor="text1"/>
          <w:sz w:val="24"/>
          <w:highlight w:val="none"/>
          <w14:textFill>
            <w14:solidFill>
              <w14:schemeClr w14:val="tx1"/>
            </w14:solidFill>
          </w14:textFill>
        </w:rPr>
      </w:pPr>
    </w:p>
    <w:p w14:paraId="75E142EB">
      <w:pPr>
        <w:pStyle w:val="20"/>
        <w:rPr>
          <w:rFonts w:hint="eastAsia" w:ascii="仿宋_GB2312" w:hAnsi="楷体" w:eastAsia="仿宋_GB2312"/>
          <w:color w:val="000000" w:themeColor="text1"/>
          <w:sz w:val="24"/>
          <w:highlight w:val="none"/>
          <w14:textFill>
            <w14:solidFill>
              <w14:schemeClr w14:val="tx1"/>
            </w14:solidFill>
          </w14:textFill>
        </w:rPr>
      </w:pPr>
    </w:p>
    <w:p w14:paraId="5511FD04">
      <w:pPr>
        <w:pStyle w:val="20"/>
        <w:rPr>
          <w:rFonts w:hint="eastAsia" w:ascii="仿宋_GB2312" w:hAnsi="楷体" w:eastAsia="仿宋_GB2312"/>
          <w:color w:val="000000" w:themeColor="text1"/>
          <w:sz w:val="24"/>
          <w:highlight w:val="none"/>
          <w14:textFill>
            <w14:solidFill>
              <w14:schemeClr w14:val="tx1"/>
            </w14:solidFill>
          </w14:textFill>
        </w:rPr>
      </w:pPr>
    </w:p>
    <w:p w14:paraId="12DB41D8">
      <w:pPr>
        <w:pStyle w:val="20"/>
        <w:rPr>
          <w:rFonts w:hint="eastAsia" w:ascii="仿宋_GB2312" w:hAnsi="楷体" w:eastAsia="仿宋_GB2312"/>
          <w:color w:val="000000" w:themeColor="text1"/>
          <w:sz w:val="24"/>
          <w:highlight w:val="none"/>
          <w14:textFill>
            <w14:solidFill>
              <w14:schemeClr w14:val="tx1"/>
            </w14:solidFill>
          </w14:textFill>
        </w:rPr>
      </w:pPr>
    </w:p>
    <w:p w14:paraId="5FB40525">
      <w:pPr>
        <w:pStyle w:val="20"/>
        <w:rPr>
          <w:rFonts w:hint="eastAsia" w:ascii="仿宋_GB2312" w:hAnsi="楷体" w:eastAsia="仿宋_GB2312"/>
          <w:color w:val="000000" w:themeColor="text1"/>
          <w:sz w:val="24"/>
          <w:highlight w:val="none"/>
          <w14:textFill>
            <w14:solidFill>
              <w14:schemeClr w14:val="tx1"/>
            </w14:solidFill>
          </w14:textFill>
        </w:rPr>
      </w:pPr>
    </w:p>
    <w:p w14:paraId="7D3DA280">
      <w:pPr>
        <w:spacing w:line="360" w:lineRule="auto"/>
        <w:jc w:val="center"/>
        <w:rPr>
          <w:rFonts w:hint="eastAsia"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520D58C9">
      <w:pPr>
        <w:spacing w:line="360" w:lineRule="auto"/>
        <w:ind w:firstLine="420" w:firstLineChars="200"/>
        <w:rPr>
          <w:rFonts w:hint="eastAsia" w:ascii="宋体"/>
          <w:color w:val="000000" w:themeColor="text1"/>
          <w:highlight w:val="none"/>
          <w14:textFill>
            <w14:solidFill>
              <w14:schemeClr w14:val="tx1"/>
            </w14:solidFill>
          </w14:textFill>
        </w:rPr>
      </w:pPr>
    </w:p>
    <w:p w14:paraId="6A65E29D">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073A42BA">
      <w:pPr>
        <w:spacing w:line="360" w:lineRule="auto"/>
        <w:jc w:val="center"/>
        <w:rPr>
          <w:rFonts w:hint="eastAsia"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lang w:eastAsia="zh-CN"/>
          <w14:textFill>
            <w14:solidFill>
              <w14:schemeClr w14:val="tx1"/>
            </w14:solidFill>
          </w14:textFill>
        </w:rPr>
        <w:t>南宁市第一看守所2026年度在押人员伙房伙食灶醇基液体燃料采购</w:t>
      </w:r>
      <w:r>
        <w:rPr>
          <w:rFonts w:hint="eastAsia" w:ascii="宋体"/>
          <w:b/>
          <w:bCs/>
          <w:color w:val="000000" w:themeColor="text1"/>
          <w:sz w:val="44"/>
          <w:highlight w:val="none"/>
          <w14:textFill>
            <w14:solidFill>
              <w14:schemeClr w14:val="tx1"/>
            </w14:solidFill>
          </w14:textFill>
        </w:rPr>
        <w:t>合同</w:t>
      </w:r>
    </w:p>
    <w:p w14:paraId="0E88EAB6">
      <w:pPr>
        <w:spacing w:line="360" w:lineRule="auto"/>
        <w:jc w:val="center"/>
        <w:rPr>
          <w:rFonts w:hint="eastAsia" w:ascii="宋体"/>
          <w:b/>
          <w:bCs/>
          <w:color w:val="000000" w:themeColor="text1"/>
          <w:sz w:val="44"/>
          <w:highlight w:val="none"/>
          <w14:textFill>
            <w14:solidFill>
              <w14:schemeClr w14:val="tx1"/>
            </w14:solidFill>
          </w14:textFill>
        </w:rPr>
      </w:pPr>
    </w:p>
    <w:p w14:paraId="6A8A3536">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080BA9B0">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12148392">
      <w:pPr>
        <w:ind w:firstLine="1807" w:firstLineChars="500"/>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采购项目编号：</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b/>
          <w:color w:val="000000" w:themeColor="text1"/>
          <w:sz w:val="36"/>
          <w:szCs w:val="36"/>
          <w:highlight w:val="none"/>
          <w:u w:val="single"/>
          <w14:textFill>
            <w14:solidFill>
              <w14:schemeClr w14:val="tx1"/>
            </w14:solidFill>
          </w14:textFill>
        </w:rPr>
        <w:t xml:space="preserve"> </w:t>
      </w:r>
    </w:p>
    <w:p w14:paraId="114B6013">
      <w:pPr>
        <w:ind w:firstLine="1807" w:firstLineChars="500"/>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采购计划</w:t>
      </w:r>
      <w:r>
        <w:rPr>
          <w:rFonts w:hint="eastAsia" w:ascii="宋体" w:hAnsi="宋体"/>
          <w:b/>
          <w:color w:val="000000" w:themeColor="text1"/>
          <w:sz w:val="36"/>
          <w:szCs w:val="36"/>
          <w:highlight w:val="none"/>
          <w:lang w:val="en-US" w:eastAsia="zh-CN"/>
          <w14:textFill>
            <w14:solidFill>
              <w14:schemeClr w14:val="tx1"/>
            </w14:solidFill>
          </w14:textFill>
        </w:rPr>
        <w:t>文号</w:t>
      </w:r>
      <w:r>
        <w:rPr>
          <w:rFonts w:hint="eastAsia" w:ascii="宋体" w:hAnsi="宋体"/>
          <w:b/>
          <w:color w:val="000000" w:themeColor="text1"/>
          <w:sz w:val="36"/>
          <w:szCs w:val="36"/>
          <w:highlight w:val="none"/>
          <w14:textFill>
            <w14:solidFill>
              <w14:schemeClr w14:val="tx1"/>
            </w14:solidFill>
          </w14:textFill>
        </w:rPr>
        <w:t>：</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b/>
          <w:color w:val="000000" w:themeColor="text1"/>
          <w:sz w:val="36"/>
          <w:szCs w:val="36"/>
          <w:highlight w:val="none"/>
          <w:u w:val="single"/>
          <w14:textFill>
            <w14:solidFill>
              <w14:schemeClr w14:val="tx1"/>
            </w14:solidFill>
          </w14:textFill>
        </w:rPr>
        <w:t xml:space="preserve"> </w:t>
      </w:r>
    </w:p>
    <w:p w14:paraId="07395671">
      <w:pPr>
        <w:pStyle w:val="26"/>
        <w:ind w:firstLine="1807" w:firstLineChars="500"/>
        <w:jc w:val="both"/>
        <w:rPr>
          <w:rFonts w:hint="default" w:eastAsia="宋体"/>
          <w:i w:val="0"/>
          <w:iCs w:val="0"/>
          <w:color w:val="000000" w:themeColor="text1"/>
          <w:highlight w:val="none"/>
          <w:u w:val="single"/>
          <w:lang w:val="en-US" w:eastAsia="zh-CN"/>
          <w14:textFill>
            <w14:solidFill>
              <w14:schemeClr w14:val="tx1"/>
            </w14:solidFill>
          </w14:textFill>
        </w:rPr>
      </w:pPr>
      <w:r>
        <w:rPr>
          <w:rFonts w:hint="eastAsia" w:ascii="宋体" w:hAnsi="宋体"/>
          <w:b/>
          <w:i w:val="0"/>
          <w:iCs w:val="0"/>
          <w:color w:val="000000" w:themeColor="text1"/>
          <w:sz w:val="36"/>
          <w:szCs w:val="36"/>
          <w:highlight w:val="none"/>
          <w:u w:val="none"/>
          <w:lang w:val="en-US" w:eastAsia="zh-CN"/>
          <w14:textFill>
            <w14:solidFill>
              <w14:schemeClr w14:val="tx1"/>
            </w14:solidFill>
          </w14:textFill>
        </w:rPr>
        <w:t>分标号：</w:t>
      </w:r>
      <w:r>
        <w:rPr>
          <w:rFonts w:hint="eastAsia" w:ascii="宋体" w:hAnsi="宋体"/>
          <w:b/>
          <w:i w:val="0"/>
          <w:iCs w:val="0"/>
          <w:color w:val="000000" w:themeColor="text1"/>
          <w:sz w:val="36"/>
          <w:szCs w:val="36"/>
          <w:highlight w:val="none"/>
          <w:u w:val="single"/>
          <w:lang w:val="en-US" w:eastAsia="zh-CN"/>
          <w14:textFill>
            <w14:solidFill>
              <w14:schemeClr w14:val="tx1"/>
            </w14:solidFill>
          </w14:textFill>
        </w:rPr>
        <w:t xml:space="preserve">                       </w:t>
      </w:r>
    </w:p>
    <w:p w14:paraId="29F4D0FD">
      <w:pPr>
        <w:ind w:firstLine="1308" w:firstLineChars="545"/>
        <w:rPr>
          <w:rFonts w:hint="eastAsia" w:ascii="宋体" w:hAnsi="宋体" w:cs="宋体"/>
          <w:color w:val="000000" w:themeColor="text1"/>
          <w:sz w:val="24"/>
          <w:highlight w:val="none"/>
          <w14:textFill>
            <w14:solidFill>
              <w14:schemeClr w14:val="tx1"/>
            </w14:solidFill>
          </w14:textFill>
        </w:rPr>
      </w:pPr>
    </w:p>
    <w:p w14:paraId="5FF7D6F9">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36631E70">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3F222939">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采购人：</w:t>
      </w:r>
      <w:r>
        <w:rPr>
          <w:rFonts w:hint="eastAsia" w:ascii="宋体" w:hAnsi="宋体"/>
          <w:b/>
          <w:color w:val="000000" w:themeColor="text1"/>
          <w:sz w:val="36"/>
          <w:szCs w:val="36"/>
          <w:highlight w:val="none"/>
          <w:u w:val="single"/>
          <w:lang w:eastAsia="zh-CN"/>
          <w14:textFill>
            <w14:solidFill>
              <w14:schemeClr w14:val="tx1"/>
            </w14:solidFill>
          </w14:textFill>
        </w:rPr>
        <w:t>南宁市第一看守所</w:t>
      </w:r>
      <w:r>
        <w:rPr>
          <w:rFonts w:hint="eastAsia" w:ascii="宋体" w:hAnsi="宋体"/>
          <w:b/>
          <w:color w:val="000000" w:themeColor="text1"/>
          <w:sz w:val="36"/>
          <w:szCs w:val="36"/>
          <w:highlight w:val="none"/>
          <w:u w:val="single"/>
          <w14:textFill>
            <w14:solidFill>
              <w14:schemeClr w14:val="tx1"/>
            </w14:solidFill>
          </w14:textFill>
        </w:rPr>
        <w:t xml:space="preserve"> </w:t>
      </w:r>
    </w:p>
    <w:p w14:paraId="135F9452">
      <w:pPr>
        <w:tabs>
          <w:tab w:val="left" w:pos="7380"/>
        </w:tabs>
        <w:spacing w:line="360" w:lineRule="auto"/>
        <w:ind w:firstLine="1995" w:firstLineChars="552"/>
        <w:rPr>
          <w:rFonts w:hint="eastAsia"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lang w:val="en-US" w:eastAsia="zh-CN"/>
          <w14:textFill>
            <w14:solidFill>
              <w14:schemeClr w14:val="tx1"/>
            </w14:solidFill>
          </w14:textFill>
        </w:rPr>
        <w:t>成交</w:t>
      </w:r>
      <w:r>
        <w:rPr>
          <w:rFonts w:hint="eastAsia" w:ascii="宋体" w:hAnsi="宋体"/>
          <w:b/>
          <w:color w:val="000000" w:themeColor="text1"/>
          <w:sz w:val="36"/>
          <w:szCs w:val="36"/>
          <w:highlight w:val="none"/>
          <w14:textFill>
            <w14:solidFill>
              <w14:schemeClr w14:val="tx1"/>
            </w14:solidFill>
          </w14:textFill>
        </w:rPr>
        <w:t>供应商：</w:t>
      </w:r>
      <w:r>
        <w:rPr>
          <w:rFonts w:hint="eastAsia" w:ascii="宋体" w:hAnsi="宋体"/>
          <w:b/>
          <w:color w:val="000000" w:themeColor="text1"/>
          <w:sz w:val="36"/>
          <w:szCs w:val="36"/>
          <w:highlight w:val="none"/>
          <w:u w:val="single"/>
          <w14:textFill>
            <w14:solidFill>
              <w14:schemeClr w14:val="tx1"/>
            </w14:solidFill>
          </w14:textFill>
        </w:rPr>
        <w:t xml:space="preserve">                   </w:t>
      </w:r>
    </w:p>
    <w:p w14:paraId="42D54920">
      <w:pPr>
        <w:tabs>
          <w:tab w:val="left" w:pos="7380"/>
        </w:tabs>
        <w:spacing w:line="360" w:lineRule="auto"/>
        <w:rPr>
          <w:rFonts w:hint="eastAsia" w:ascii="宋体"/>
          <w:b/>
          <w:bCs/>
          <w:color w:val="000000" w:themeColor="text1"/>
          <w:sz w:val="44"/>
          <w:highlight w:val="none"/>
          <w14:textFill>
            <w14:solidFill>
              <w14:schemeClr w14:val="tx1"/>
            </w14:solidFill>
          </w14:textFill>
        </w:rPr>
      </w:pPr>
    </w:p>
    <w:p w14:paraId="536829FA">
      <w:pPr>
        <w:tabs>
          <w:tab w:val="left" w:pos="7380"/>
        </w:tabs>
        <w:spacing w:line="360" w:lineRule="auto"/>
        <w:ind w:firstLine="3360" w:firstLineChars="14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签订时间：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p>
    <w:p w14:paraId="2598B2A2">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529FFB87">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64EDB46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708404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6DDB088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53B12E4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67A921E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4.1成交通知书 …………………………………………………………………（页码）</w:t>
      </w:r>
    </w:p>
    <w:p w14:paraId="73388C25">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4.2采购文件货物需求一览表 …………………………………………………（页码）</w:t>
      </w:r>
    </w:p>
    <w:p w14:paraId="21FF247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4.3采购文件的更改通知（如有） ……………………………………………（页码）</w:t>
      </w:r>
    </w:p>
    <w:p w14:paraId="1784EEE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4.4响应函 ………………………………………………………………………（页码）</w:t>
      </w:r>
    </w:p>
    <w:p w14:paraId="1F798B55">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4.5响应报价表 …………………………………………………………………（页码）</w:t>
      </w:r>
    </w:p>
    <w:p w14:paraId="340FD97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4.6响应货物技术资料表 ………………………………………………………（页码）</w:t>
      </w:r>
    </w:p>
    <w:p w14:paraId="2F17BBE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60F8A27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4.8成交供应商澄清函（如有请提供） ………………………………………（页码）</w:t>
      </w:r>
    </w:p>
    <w:p w14:paraId="0E696B3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69C84D2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10042DBE">
      <w:pPr>
        <w:widowControl/>
        <w:jc w:val="left"/>
        <w:rPr>
          <w:rFonts w:ascii="仿宋_GB2312" w:eastAsia="仿宋_GB2312"/>
          <w:color w:val="000000" w:themeColor="text1"/>
          <w:kern w:val="0"/>
          <w:sz w:val="32"/>
          <w:szCs w:val="20"/>
          <w:highlight w:val="none"/>
          <w14:textFill>
            <w14:solidFill>
              <w14:schemeClr w14:val="tx1"/>
            </w14:solidFill>
          </w14:textFill>
        </w:rPr>
        <w:sectPr>
          <w:pgSz w:w="11906" w:h="16838"/>
          <w:pgMar w:top="1440" w:right="1080" w:bottom="1440" w:left="1080" w:header="720" w:footer="720" w:gutter="0"/>
          <w:pgNumType w:fmt="decimal"/>
          <w:cols w:space="720" w:num="1"/>
          <w:docGrid w:type="lines" w:linePitch="331" w:charSpace="0"/>
        </w:sectPr>
      </w:pPr>
    </w:p>
    <w:p w14:paraId="6E93EEDE">
      <w:pPr>
        <w:pStyle w:val="83"/>
        <w:ind w:firstLine="562"/>
        <w:jc w:val="center"/>
        <w:outlineLvl w:val="1"/>
        <w:rPr>
          <w:rFonts w:hint="eastAsia" w:ascii="仿宋_GB2312" w:hAnsi="楷体" w:eastAsia="仿宋_GB2312"/>
          <w:b/>
          <w:color w:val="000000" w:themeColor="text1"/>
          <w:sz w:val="28"/>
          <w:szCs w:val="28"/>
          <w:highlight w:val="none"/>
          <w14:textFill>
            <w14:solidFill>
              <w14:schemeClr w14:val="tx1"/>
            </w14:solidFill>
          </w14:textFill>
        </w:rPr>
      </w:pPr>
      <w:bookmarkStart w:id="73" w:name="_Toc2021"/>
      <w:r>
        <w:rPr>
          <w:rFonts w:hint="eastAsia" w:ascii="仿宋_GB2312" w:hAnsi="楷体" w:eastAsia="仿宋_GB2312"/>
          <w:b/>
          <w:color w:val="000000" w:themeColor="text1"/>
          <w:sz w:val="28"/>
          <w:szCs w:val="28"/>
          <w:highlight w:val="none"/>
          <w14:textFill>
            <w14:solidFill>
              <w14:schemeClr w14:val="tx1"/>
            </w14:solidFill>
          </w14:textFill>
        </w:rPr>
        <w:t>第一部分 合同书</w:t>
      </w:r>
      <w:bookmarkEnd w:id="73"/>
    </w:p>
    <w:p w14:paraId="210B99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eastAsia="zh-CN"/>
          <w14:textFill>
            <w14:solidFill>
              <w14:schemeClr w14:val="tx1"/>
            </w14:solidFill>
          </w14:textFill>
        </w:rPr>
        <w:t>南宁市第一看守所</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竞争性谈判方式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项目进行了采购。经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（供应商名称）</w:t>
      </w:r>
      <w:r>
        <w:rPr>
          <w:rFonts w:hint="eastAsia" w:ascii="仿宋_GB2312" w:hAnsi="楷体" w:eastAsia="仿宋_GB2312"/>
          <w:color w:val="000000" w:themeColor="text1"/>
          <w:sz w:val="24"/>
          <w:highlight w:val="none"/>
          <w14:textFill>
            <w14:solidFill>
              <w14:schemeClr w14:val="tx1"/>
            </w14:solidFill>
          </w14:textFill>
        </w:rPr>
        <w:t>为该项目成交供应商。现于成交通知书发出之日起</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日（时限根据项目情况而定，不得超过25日）内，按照采购文件确定的事项签订本合同。</w:t>
      </w:r>
    </w:p>
    <w:p w14:paraId="010A4FE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南宁市第一看守所</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成交</w:t>
      </w:r>
      <w:r>
        <w:rPr>
          <w:rFonts w:hint="eastAsia" w:ascii="仿宋_GB2312" w:hAnsi="楷体" w:eastAsia="仿宋_GB2312"/>
          <w:color w:val="000000" w:themeColor="text1"/>
          <w:sz w:val="24"/>
          <w:highlight w:val="none"/>
          <w:u w:val="single"/>
          <w14:textFill>
            <w14:solidFill>
              <w14:schemeClr w14:val="tx1"/>
            </w14:solidFill>
          </w14:textFill>
        </w:rPr>
        <w:t xml:space="preserve">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8048AB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74" w:name="_Toc2232"/>
      <w:bookmarkStart w:id="75" w:name="_Toc3029"/>
      <w:bookmarkStart w:id="76" w:name="_Toc24059"/>
      <w:r>
        <w:rPr>
          <w:rFonts w:hint="eastAsia" w:ascii="仿宋_GB2312" w:hAnsi="楷体" w:eastAsia="仿宋_GB2312"/>
          <w:b/>
          <w:color w:val="000000" w:themeColor="text1"/>
          <w:sz w:val="24"/>
          <w:highlight w:val="none"/>
          <w14:textFill>
            <w14:solidFill>
              <w14:schemeClr w14:val="tx1"/>
            </w14:solidFill>
          </w14:textFill>
        </w:rPr>
        <w:t>1.1 合同组成部分</w:t>
      </w:r>
      <w:bookmarkEnd w:id="74"/>
      <w:bookmarkEnd w:id="75"/>
      <w:bookmarkEnd w:id="76"/>
    </w:p>
    <w:p w14:paraId="2EDF78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0781666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34DC13F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成交通知书；</w:t>
      </w:r>
    </w:p>
    <w:p w14:paraId="773C7BC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采购文件及“响应报价”（含澄清或者说明文件）；</w:t>
      </w:r>
    </w:p>
    <w:p w14:paraId="406998D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采购文件（含澄清或者修改文件）；</w:t>
      </w:r>
    </w:p>
    <w:p w14:paraId="735595A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0E509F7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77" w:name="_Toc27126"/>
      <w:bookmarkStart w:id="78" w:name="_Toc24300"/>
      <w:bookmarkStart w:id="79" w:name="_Toc21295"/>
      <w:r>
        <w:rPr>
          <w:rFonts w:hint="eastAsia" w:ascii="仿宋_GB2312" w:hAnsi="楷体" w:eastAsia="仿宋_GB2312"/>
          <w:b/>
          <w:color w:val="000000" w:themeColor="text1"/>
          <w:sz w:val="24"/>
          <w:highlight w:val="none"/>
          <w14:textFill>
            <w14:solidFill>
              <w14:schemeClr w14:val="tx1"/>
            </w14:solidFill>
          </w14:textFill>
        </w:rPr>
        <w:t>1.2 标的物</w:t>
      </w:r>
      <w:bookmarkEnd w:id="77"/>
      <w:bookmarkEnd w:id="78"/>
      <w:bookmarkEnd w:id="79"/>
    </w:p>
    <w:p w14:paraId="256B20B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4EDF8248">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7439895">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69F89B6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85A49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4CDBD4B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80" w:name="_Toc21551"/>
      <w:bookmarkStart w:id="81" w:name="_Toc23292"/>
      <w:bookmarkStart w:id="82" w:name="_Toc21631"/>
      <w:r>
        <w:rPr>
          <w:rFonts w:hint="eastAsia" w:ascii="仿宋_GB2312" w:hAnsi="楷体" w:eastAsia="仿宋_GB2312"/>
          <w:b/>
          <w:color w:val="000000" w:themeColor="text1"/>
          <w:sz w:val="24"/>
          <w:highlight w:val="none"/>
          <w14:textFill>
            <w14:solidFill>
              <w14:schemeClr w14:val="tx1"/>
            </w14:solidFill>
          </w14:textFill>
        </w:rPr>
        <w:t>1.3 价款</w:t>
      </w:r>
      <w:bookmarkEnd w:id="80"/>
      <w:bookmarkEnd w:id="81"/>
      <w:bookmarkEnd w:id="82"/>
    </w:p>
    <w:p w14:paraId="14EEF26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tbl>
      <w:tblPr>
        <w:tblStyle w:val="29"/>
        <w:tblW w:w="47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8"/>
        <w:gridCol w:w="1659"/>
        <w:gridCol w:w="1178"/>
        <w:gridCol w:w="697"/>
        <w:gridCol w:w="1419"/>
        <w:gridCol w:w="1419"/>
        <w:gridCol w:w="1900"/>
      </w:tblGrid>
      <w:tr w14:paraId="4F5C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2"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13C7355B">
            <w:pPr>
              <w:rPr>
                <w:rFonts w:ascii="宋体" w:hAnsi="宋体"/>
                <w:b/>
                <w:bCs/>
                <w:color w:val="000000" w:themeColor="text1"/>
                <w:szCs w:val="22"/>
                <w:highlight w:val="none"/>
                <w14:textFill>
                  <w14:solidFill>
                    <w14:schemeClr w14:val="tx1"/>
                  </w14:solidFill>
                </w14:textFill>
              </w:rPr>
            </w:pPr>
            <w:r>
              <w:rPr>
                <w:rFonts w:hint="eastAsia" w:ascii="宋体" w:hAnsi="宋体"/>
                <w:b/>
                <w:bCs/>
                <w:color w:val="000000" w:themeColor="text1"/>
                <w:szCs w:val="22"/>
                <w:highlight w:val="none"/>
                <w14:textFill>
                  <w14:solidFill>
                    <w14:schemeClr w14:val="tx1"/>
                  </w14:solidFill>
                </w14:textFill>
              </w:rPr>
              <w:t>序号</w:t>
            </w:r>
          </w:p>
        </w:tc>
        <w:tc>
          <w:tcPr>
            <w:tcW w:w="530" w:type="pct"/>
            <w:tcBorders>
              <w:top w:val="single" w:color="auto" w:sz="4" w:space="0"/>
              <w:left w:val="single" w:color="auto" w:sz="4" w:space="0"/>
              <w:bottom w:val="single" w:color="auto" w:sz="4" w:space="0"/>
              <w:right w:val="single" w:color="auto" w:sz="4" w:space="0"/>
            </w:tcBorders>
            <w:noWrap/>
            <w:vAlign w:val="center"/>
          </w:tcPr>
          <w:p w14:paraId="55E8B520">
            <w:pPr>
              <w:jc w:val="center"/>
              <w:rPr>
                <w:rFonts w:ascii="宋体" w:hAnsi="宋体"/>
                <w:b/>
                <w:bCs/>
                <w:color w:val="000000" w:themeColor="text1"/>
                <w:szCs w:val="22"/>
                <w:highlight w:val="none"/>
                <w14:textFill>
                  <w14:solidFill>
                    <w14:schemeClr w14:val="tx1"/>
                  </w14:solidFill>
                </w14:textFill>
              </w:rPr>
            </w:pPr>
            <w:r>
              <w:rPr>
                <w:rFonts w:hint="eastAsia" w:ascii="宋体" w:hAnsi="宋体"/>
                <w:b/>
                <w:bCs/>
                <w:color w:val="000000" w:themeColor="text1"/>
                <w:szCs w:val="22"/>
                <w:highlight w:val="none"/>
                <w:lang w:val="en-US" w:eastAsia="zh-CN"/>
                <w14:textFill>
                  <w14:solidFill>
                    <w14:schemeClr w14:val="tx1"/>
                  </w14:solidFill>
                </w14:textFill>
              </w:rPr>
              <w:t>货物</w:t>
            </w:r>
            <w:r>
              <w:rPr>
                <w:rFonts w:hint="eastAsia" w:ascii="宋体" w:hAnsi="宋体"/>
                <w:b/>
                <w:bCs/>
                <w:color w:val="000000" w:themeColor="text1"/>
                <w:szCs w:val="22"/>
                <w:highlight w:val="none"/>
                <w14:textFill>
                  <w14:solidFill>
                    <w14:schemeClr w14:val="tx1"/>
                  </w14:solidFill>
                </w14:textFill>
              </w:rPr>
              <w:t>名称</w:t>
            </w:r>
          </w:p>
        </w:tc>
        <w:tc>
          <w:tcPr>
            <w:tcW w:w="832" w:type="pct"/>
            <w:tcBorders>
              <w:top w:val="single" w:color="auto" w:sz="4" w:space="0"/>
              <w:left w:val="single" w:color="auto" w:sz="4" w:space="0"/>
              <w:bottom w:val="single" w:color="auto" w:sz="4" w:space="0"/>
              <w:right w:val="single" w:color="auto" w:sz="4" w:space="0"/>
            </w:tcBorders>
            <w:noWrap/>
            <w:vAlign w:val="center"/>
          </w:tcPr>
          <w:p w14:paraId="0E78852C">
            <w:pPr>
              <w:spacing w:line="360" w:lineRule="auto"/>
              <w:jc w:val="center"/>
              <w:rPr>
                <w:rFonts w:ascii="宋体" w:hAnsi="宋体"/>
                <w:color w:val="000000" w:themeColor="text1"/>
                <w:szCs w:val="22"/>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品牌</w:t>
            </w:r>
            <w:r>
              <w:rPr>
                <w:rFonts w:hint="eastAsia" w:ascii="宋体" w:hAnsi="宋体" w:cs="仿宋_GB2312"/>
                <w:b/>
                <w:bCs/>
                <w:color w:val="000000" w:themeColor="text1"/>
                <w:sz w:val="24"/>
                <w:highlight w:val="none"/>
                <w:lang w:val="en-US" w:eastAsia="zh-CN"/>
                <w14:textFill>
                  <w14:solidFill>
                    <w14:schemeClr w14:val="tx1"/>
                  </w14:solidFill>
                </w14:textFill>
              </w:rPr>
              <w:t>或</w:t>
            </w:r>
            <w:r>
              <w:rPr>
                <w:rFonts w:hint="eastAsia" w:ascii="宋体" w:hAnsi="宋体" w:cs="仿宋_GB2312"/>
                <w:b/>
                <w:bCs/>
                <w:color w:val="000000" w:themeColor="text1"/>
                <w:sz w:val="24"/>
                <w:highlight w:val="none"/>
                <w14:textFill>
                  <w14:solidFill>
                    <w14:schemeClr w14:val="tx1"/>
                  </w14:solidFill>
                </w14:textFill>
              </w:rPr>
              <w:t>制造商</w:t>
            </w:r>
          </w:p>
        </w:tc>
        <w:tc>
          <w:tcPr>
            <w:tcW w:w="590" w:type="pct"/>
            <w:tcBorders>
              <w:top w:val="single" w:color="auto" w:sz="4" w:space="0"/>
              <w:left w:val="single" w:color="auto" w:sz="4" w:space="0"/>
              <w:bottom w:val="single" w:color="auto" w:sz="4" w:space="0"/>
              <w:right w:val="single" w:color="auto" w:sz="4" w:space="0"/>
            </w:tcBorders>
            <w:noWrap/>
            <w:vAlign w:val="center"/>
          </w:tcPr>
          <w:p w14:paraId="272C58B3">
            <w:pPr>
              <w:spacing w:line="360" w:lineRule="auto"/>
              <w:jc w:val="center"/>
              <w:rPr>
                <w:rFonts w:ascii="宋体" w:hAnsi="宋体"/>
                <w:color w:val="000000" w:themeColor="text1"/>
                <w:szCs w:val="22"/>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规格型号</w:t>
            </w:r>
          </w:p>
        </w:tc>
        <w:tc>
          <w:tcPr>
            <w:tcW w:w="349" w:type="pct"/>
            <w:tcBorders>
              <w:top w:val="single" w:color="auto" w:sz="4" w:space="0"/>
              <w:left w:val="single" w:color="auto" w:sz="4" w:space="0"/>
              <w:bottom w:val="single" w:color="auto" w:sz="4" w:space="0"/>
              <w:right w:val="single" w:color="auto" w:sz="4" w:space="0"/>
            </w:tcBorders>
            <w:noWrap/>
            <w:vAlign w:val="center"/>
          </w:tcPr>
          <w:p w14:paraId="384479C6">
            <w:pPr>
              <w:spacing w:line="36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数量</w:t>
            </w:r>
          </w:p>
          <w:p w14:paraId="191D5F6A">
            <w:pPr>
              <w:spacing w:line="360" w:lineRule="auto"/>
              <w:jc w:val="center"/>
              <w:rPr>
                <w:rFonts w:ascii="宋体" w:hAnsi="宋体"/>
                <w:color w:val="000000" w:themeColor="text1"/>
                <w:szCs w:val="22"/>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①</w:t>
            </w:r>
          </w:p>
        </w:tc>
        <w:tc>
          <w:tcPr>
            <w:tcW w:w="712" w:type="pct"/>
            <w:tcBorders>
              <w:top w:val="single" w:color="auto" w:sz="4" w:space="0"/>
              <w:left w:val="single" w:color="auto" w:sz="4" w:space="0"/>
              <w:bottom w:val="single" w:color="auto" w:sz="4" w:space="0"/>
              <w:right w:val="single" w:color="auto" w:sz="4" w:space="0"/>
            </w:tcBorders>
            <w:noWrap/>
            <w:vAlign w:val="center"/>
          </w:tcPr>
          <w:p w14:paraId="6D872758">
            <w:pPr>
              <w:spacing w:line="360" w:lineRule="auto"/>
              <w:jc w:val="center"/>
              <w:rPr>
                <w:rFonts w:hint="eastAsia" w:ascii="宋体" w:hAnsi="宋体" w:eastAsia="宋体"/>
                <w:color w:val="000000" w:themeColor="text1"/>
                <w:szCs w:val="22"/>
                <w:highlight w:val="none"/>
                <w:lang w:eastAsia="zh-CN"/>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单位</w:t>
            </w:r>
            <w:r>
              <w:rPr>
                <w:rFonts w:hint="eastAsia" w:ascii="宋体" w:hAnsi="宋体" w:cs="仿宋_GB2312"/>
                <w:b/>
                <w:bCs/>
                <w:color w:val="000000" w:themeColor="text1"/>
                <w:sz w:val="24"/>
                <w:highlight w:val="none"/>
                <w:lang w:eastAsia="zh-CN"/>
                <w14:textFill>
                  <w14:solidFill>
                    <w14:schemeClr w14:val="tx1"/>
                  </w14:solidFill>
                </w14:textFill>
              </w:rPr>
              <w:t>（</w:t>
            </w:r>
            <w:r>
              <w:rPr>
                <w:rFonts w:hint="eastAsia" w:ascii="宋体" w:hAnsi="宋体" w:cs="仿宋_GB2312"/>
                <w:b/>
                <w:bCs/>
                <w:color w:val="000000" w:themeColor="text1"/>
                <w:sz w:val="24"/>
                <w:highlight w:val="none"/>
                <w:lang w:val="en-US" w:eastAsia="zh-CN"/>
                <w14:textFill>
                  <w14:solidFill>
                    <w14:schemeClr w14:val="tx1"/>
                  </w14:solidFill>
                </w14:textFill>
              </w:rPr>
              <w:t>升</w:t>
            </w:r>
            <w:r>
              <w:rPr>
                <w:rFonts w:hint="eastAsia" w:ascii="宋体" w:hAnsi="宋体" w:cs="仿宋_GB2312"/>
                <w:b/>
                <w:bCs/>
                <w:color w:val="000000" w:themeColor="text1"/>
                <w:sz w:val="24"/>
                <w:highlight w:val="none"/>
                <w:lang w:eastAsia="zh-CN"/>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noWrap/>
            <w:vAlign w:val="center"/>
          </w:tcPr>
          <w:p w14:paraId="3E50C7DB">
            <w:pPr>
              <w:spacing w:line="360" w:lineRule="auto"/>
              <w:jc w:val="center"/>
              <w:rPr>
                <w:rFonts w:hint="eastAsia" w:ascii="宋体" w:hAnsi="宋体" w:eastAsia="宋体" w:cs="仿宋_GB2312"/>
                <w:b/>
                <w:bCs/>
                <w:color w:val="000000" w:themeColor="text1"/>
                <w:sz w:val="24"/>
                <w:highlight w:val="none"/>
                <w:lang w:eastAsia="zh-CN"/>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单价</w:t>
            </w:r>
            <w:r>
              <w:rPr>
                <w:rFonts w:hint="eastAsia" w:ascii="宋体" w:hAnsi="宋体" w:cs="仿宋_GB2312"/>
                <w:b/>
                <w:bCs/>
                <w:color w:val="000000" w:themeColor="text1"/>
                <w:sz w:val="24"/>
                <w:highlight w:val="none"/>
                <w:lang w:eastAsia="zh-CN"/>
                <w14:textFill>
                  <w14:solidFill>
                    <w14:schemeClr w14:val="tx1"/>
                  </w14:solidFill>
                </w14:textFill>
              </w:rPr>
              <w:t>（元）</w:t>
            </w:r>
          </w:p>
          <w:p w14:paraId="101EEBD9">
            <w:pPr>
              <w:spacing w:line="360" w:lineRule="auto"/>
              <w:jc w:val="center"/>
              <w:rPr>
                <w:rFonts w:hint="eastAsia" w:ascii="宋体" w:hAnsi="宋体"/>
                <w:color w:val="000000" w:themeColor="text1"/>
                <w:szCs w:val="22"/>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②</w:t>
            </w:r>
          </w:p>
        </w:tc>
        <w:tc>
          <w:tcPr>
            <w:tcW w:w="953" w:type="pct"/>
            <w:tcBorders>
              <w:top w:val="single" w:color="auto" w:sz="4" w:space="0"/>
              <w:left w:val="single" w:color="auto" w:sz="4" w:space="0"/>
              <w:bottom w:val="single" w:color="auto" w:sz="4" w:space="0"/>
              <w:right w:val="single" w:color="auto" w:sz="4" w:space="0"/>
            </w:tcBorders>
            <w:noWrap/>
            <w:vAlign w:val="center"/>
          </w:tcPr>
          <w:p w14:paraId="393D4C84">
            <w:pPr>
              <w:spacing w:line="360" w:lineRule="auto"/>
              <w:jc w:val="center"/>
              <w:rPr>
                <w:rFonts w:hint="eastAsia" w:ascii="宋体" w:hAnsi="宋体" w:eastAsia="宋体" w:cs="仿宋_GB2312"/>
                <w:b/>
                <w:bCs/>
                <w:color w:val="000000" w:themeColor="text1"/>
                <w:sz w:val="24"/>
                <w:highlight w:val="none"/>
                <w:lang w:eastAsia="zh-CN"/>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竞标报价</w:t>
            </w:r>
            <w:r>
              <w:rPr>
                <w:rFonts w:hint="eastAsia" w:ascii="宋体" w:hAnsi="宋体" w:cs="仿宋_GB2312"/>
                <w:b/>
                <w:bCs/>
                <w:color w:val="000000" w:themeColor="text1"/>
                <w:sz w:val="24"/>
                <w:highlight w:val="none"/>
                <w:lang w:eastAsia="zh-CN"/>
                <w14:textFill>
                  <w14:solidFill>
                    <w14:schemeClr w14:val="tx1"/>
                  </w14:solidFill>
                </w14:textFill>
              </w:rPr>
              <w:t>（元）</w:t>
            </w:r>
          </w:p>
          <w:p w14:paraId="52258C54">
            <w:pPr>
              <w:spacing w:line="360" w:lineRule="auto"/>
              <w:jc w:val="center"/>
              <w:rPr>
                <w:rFonts w:ascii="宋体" w:hAnsi="宋体"/>
                <w:color w:val="000000" w:themeColor="text1"/>
                <w:szCs w:val="22"/>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③=①×②</w:t>
            </w:r>
          </w:p>
        </w:tc>
      </w:tr>
      <w:tr w14:paraId="15CD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12BFA937">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530" w:type="pct"/>
            <w:tcBorders>
              <w:top w:val="single" w:color="auto" w:sz="4" w:space="0"/>
              <w:left w:val="single" w:color="auto" w:sz="4" w:space="0"/>
              <w:bottom w:val="single" w:color="auto" w:sz="4" w:space="0"/>
              <w:right w:val="single" w:color="auto" w:sz="4" w:space="0"/>
            </w:tcBorders>
            <w:noWrap/>
            <w:vAlign w:val="center"/>
          </w:tcPr>
          <w:p w14:paraId="73CE77CC">
            <w:pPr>
              <w:rPr>
                <w:rFonts w:ascii="宋体" w:hAnsi="宋体"/>
                <w:color w:val="000000" w:themeColor="text1"/>
                <w:szCs w:val="22"/>
                <w:highlight w:val="none"/>
                <w14:textFill>
                  <w14:solidFill>
                    <w14:schemeClr w14:val="tx1"/>
                  </w14:solidFill>
                </w14:textFill>
              </w:rPr>
            </w:pPr>
          </w:p>
        </w:tc>
        <w:tc>
          <w:tcPr>
            <w:tcW w:w="832" w:type="pct"/>
            <w:tcBorders>
              <w:top w:val="single" w:color="auto" w:sz="4" w:space="0"/>
              <w:left w:val="single" w:color="auto" w:sz="4" w:space="0"/>
              <w:bottom w:val="single" w:color="auto" w:sz="4" w:space="0"/>
              <w:right w:val="single" w:color="auto" w:sz="4" w:space="0"/>
            </w:tcBorders>
            <w:noWrap/>
            <w:vAlign w:val="center"/>
          </w:tcPr>
          <w:p w14:paraId="6D48B06A">
            <w:pPr>
              <w:rPr>
                <w:rFonts w:ascii="宋体" w:hAnsi="宋体"/>
                <w:color w:val="000000" w:themeColor="text1"/>
                <w:szCs w:val="22"/>
                <w:highlight w:val="none"/>
                <w14:textFill>
                  <w14:solidFill>
                    <w14:schemeClr w14:val="tx1"/>
                  </w14:solidFill>
                </w14:textFill>
              </w:rPr>
            </w:pPr>
          </w:p>
        </w:tc>
        <w:tc>
          <w:tcPr>
            <w:tcW w:w="590" w:type="pct"/>
            <w:tcBorders>
              <w:top w:val="single" w:color="auto" w:sz="4" w:space="0"/>
              <w:left w:val="single" w:color="auto" w:sz="4" w:space="0"/>
              <w:bottom w:val="single" w:color="auto" w:sz="4" w:space="0"/>
              <w:right w:val="single" w:color="auto" w:sz="4" w:space="0"/>
            </w:tcBorders>
            <w:noWrap/>
            <w:vAlign w:val="center"/>
          </w:tcPr>
          <w:p w14:paraId="53CF8864">
            <w:pPr>
              <w:rPr>
                <w:rFonts w:ascii="宋体" w:hAnsi="宋体"/>
                <w:color w:val="000000" w:themeColor="text1"/>
                <w:szCs w:val="22"/>
                <w:highlight w:val="none"/>
                <w14:textFill>
                  <w14:solidFill>
                    <w14:schemeClr w14:val="tx1"/>
                  </w14:solidFill>
                </w14:textFill>
              </w:rPr>
            </w:pPr>
          </w:p>
        </w:tc>
        <w:tc>
          <w:tcPr>
            <w:tcW w:w="349" w:type="pct"/>
            <w:tcBorders>
              <w:top w:val="single" w:color="auto" w:sz="4" w:space="0"/>
              <w:left w:val="single" w:color="auto" w:sz="4" w:space="0"/>
              <w:bottom w:val="single" w:color="auto" w:sz="4" w:space="0"/>
              <w:right w:val="single" w:color="auto" w:sz="4" w:space="0"/>
            </w:tcBorders>
            <w:noWrap/>
            <w:vAlign w:val="center"/>
          </w:tcPr>
          <w:p w14:paraId="38B0DD1D">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center"/>
          </w:tcPr>
          <w:p w14:paraId="7AB35C8E">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top"/>
          </w:tcPr>
          <w:p w14:paraId="6A062F45">
            <w:pPr>
              <w:rPr>
                <w:rFonts w:ascii="宋体" w:hAnsi="宋体"/>
                <w:color w:val="000000" w:themeColor="text1"/>
                <w:szCs w:val="22"/>
                <w:highlight w:val="none"/>
                <w14:textFill>
                  <w14:solidFill>
                    <w14:schemeClr w14:val="tx1"/>
                  </w14:solidFill>
                </w14:textFill>
              </w:rPr>
            </w:pPr>
          </w:p>
        </w:tc>
        <w:tc>
          <w:tcPr>
            <w:tcW w:w="953" w:type="pct"/>
            <w:tcBorders>
              <w:top w:val="single" w:color="auto" w:sz="4" w:space="0"/>
              <w:left w:val="single" w:color="auto" w:sz="4" w:space="0"/>
              <w:bottom w:val="single" w:color="auto" w:sz="4" w:space="0"/>
              <w:right w:val="single" w:color="auto" w:sz="4" w:space="0"/>
            </w:tcBorders>
            <w:noWrap/>
            <w:vAlign w:val="top"/>
          </w:tcPr>
          <w:p w14:paraId="04973323">
            <w:pPr>
              <w:rPr>
                <w:rFonts w:ascii="宋体" w:hAnsi="宋体"/>
                <w:color w:val="000000" w:themeColor="text1"/>
                <w:szCs w:val="22"/>
                <w:highlight w:val="none"/>
                <w14:textFill>
                  <w14:solidFill>
                    <w14:schemeClr w14:val="tx1"/>
                  </w14:solidFill>
                </w14:textFill>
              </w:rPr>
            </w:pPr>
          </w:p>
        </w:tc>
      </w:tr>
      <w:tr w14:paraId="7CB1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0F8EE4D9">
            <w:pPr>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2</w:t>
            </w:r>
          </w:p>
        </w:tc>
        <w:tc>
          <w:tcPr>
            <w:tcW w:w="530" w:type="pct"/>
            <w:tcBorders>
              <w:top w:val="single" w:color="auto" w:sz="4" w:space="0"/>
              <w:left w:val="single" w:color="auto" w:sz="4" w:space="0"/>
              <w:bottom w:val="single" w:color="auto" w:sz="4" w:space="0"/>
              <w:right w:val="single" w:color="auto" w:sz="4" w:space="0"/>
            </w:tcBorders>
            <w:noWrap/>
            <w:vAlign w:val="center"/>
          </w:tcPr>
          <w:p w14:paraId="15EBA52E">
            <w:pPr>
              <w:rPr>
                <w:rFonts w:ascii="宋体" w:hAnsi="宋体"/>
                <w:color w:val="000000" w:themeColor="text1"/>
                <w:szCs w:val="22"/>
                <w:highlight w:val="none"/>
                <w14:textFill>
                  <w14:solidFill>
                    <w14:schemeClr w14:val="tx1"/>
                  </w14:solidFill>
                </w14:textFill>
              </w:rPr>
            </w:pPr>
          </w:p>
        </w:tc>
        <w:tc>
          <w:tcPr>
            <w:tcW w:w="832" w:type="pct"/>
            <w:tcBorders>
              <w:top w:val="single" w:color="auto" w:sz="4" w:space="0"/>
              <w:left w:val="single" w:color="auto" w:sz="4" w:space="0"/>
              <w:bottom w:val="single" w:color="auto" w:sz="4" w:space="0"/>
              <w:right w:val="single" w:color="auto" w:sz="4" w:space="0"/>
            </w:tcBorders>
            <w:noWrap/>
            <w:vAlign w:val="center"/>
          </w:tcPr>
          <w:p w14:paraId="3261FAE9">
            <w:pPr>
              <w:rPr>
                <w:rFonts w:ascii="宋体" w:hAnsi="宋体"/>
                <w:color w:val="000000" w:themeColor="text1"/>
                <w:szCs w:val="22"/>
                <w:highlight w:val="none"/>
                <w14:textFill>
                  <w14:solidFill>
                    <w14:schemeClr w14:val="tx1"/>
                  </w14:solidFill>
                </w14:textFill>
              </w:rPr>
            </w:pPr>
          </w:p>
        </w:tc>
        <w:tc>
          <w:tcPr>
            <w:tcW w:w="590" w:type="pct"/>
            <w:tcBorders>
              <w:top w:val="single" w:color="auto" w:sz="4" w:space="0"/>
              <w:left w:val="single" w:color="auto" w:sz="4" w:space="0"/>
              <w:bottom w:val="single" w:color="auto" w:sz="4" w:space="0"/>
              <w:right w:val="single" w:color="auto" w:sz="4" w:space="0"/>
            </w:tcBorders>
            <w:noWrap/>
            <w:vAlign w:val="center"/>
          </w:tcPr>
          <w:p w14:paraId="67AC2F3E">
            <w:pPr>
              <w:rPr>
                <w:rFonts w:ascii="宋体" w:hAnsi="宋体"/>
                <w:color w:val="000000" w:themeColor="text1"/>
                <w:szCs w:val="22"/>
                <w:highlight w:val="none"/>
                <w14:textFill>
                  <w14:solidFill>
                    <w14:schemeClr w14:val="tx1"/>
                  </w14:solidFill>
                </w14:textFill>
              </w:rPr>
            </w:pPr>
          </w:p>
        </w:tc>
        <w:tc>
          <w:tcPr>
            <w:tcW w:w="349" w:type="pct"/>
            <w:tcBorders>
              <w:top w:val="single" w:color="auto" w:sz="4" w:space="0"/>
              <w:left w:val="single" w:color="auto" w:sz="4" w:space="0"/>
              <w:bottom w:val="single" w:color="auto" w:sz="4" w:space="0"/>
              <w:right w:val="single" w:color="auto" w:sz="4" w:space="0"/>
            </w:tcBorders>
            <w:noWrap/>
            <w:vAlign w:val="center"/>
          </w:tcPr>
          <w:p w14:paraId="41250DA7">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center"/>
          </w:tcPr>
          <w:p w14:paraId="6AE1922E">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top"/>
          </w:tcPr>
          <w:p w14:paraId="55CB2142">
            <w:pPr>
              <w:rPr>
                <w:rFonts w:ascii="宋体" w:hAnsi="宋体"/>
                <w:color w:val="000000" w:themeColor="text1"/>
                <w:szCs w:val="22"/>
                <w:highlight w:val="none"/>
                <w14:textFill>
                  <w14:solidFill>
                    <w14:schemeClr w14:val="tx1"/>
                  </w14:solidFill>
                </w14:textFill>
              </w:rPr>
            </w:pPr>
          </w:p>
        </w:tc>
        <w:tc>
          <w:tcPr>
            <w:tcW w:w="953" w:type="pct"/>
            <w:tcBorders>
              <w:top w:val="single" w:color="auto" w:sz="4" w:space="0"/>
              <w:left w:val="single" w:color="auto" w:sz="4" w:space="0"/>
              <w:bottom w:val="single" w:color="auto" w:sz="4" w:space="0"/>
              <w:right w:val="single" w:color="auto" w:sz="4" w:space="0"/>
            </w:tcBorders>
            <w:noWrap/>
            <w:vAlign w:val="top"/>
          </w:tcPr>
          <w:p w14:paraId="0C489BD1">
            <w:pPr>
              <w:rPr>
                <w:rFonts w:ascii="宋体" w:hAnsi="宋体"/>
                <w:color w:val="000000" w:themeColor="text1"/>
                <w:szCs w:val="22"/>
                <w:highlight w:val="none"/>
                <w14:textFill>
                  <w14:solidFill>
                    <w14:schemeClr w14:val="tx1"/>
                  </w14:solidFill>
                </w14:textFill>
              </w:rPr>
            </w:pPr>
          </w:p>
        </w:tc>
      </w:tr>
      <w:tr w14:paraId="0E9D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42F5770C">
            <w:pPr>
              <w:rPr>
                <w:rFonts w:hint="default" w:ascii="宋体" w:hAnsi="宋体" w:eastAsia="宋体"/>
                <w:color w:val="000000" w:themeColor="text1"/>
                <w:szCs w:val="22"/>
                <w:highlight w:val="none"/>
                <w:lang w:val="en-US" w:eastAsia="zh-CN"/>
                <w14:textFill>
                  <w14:solidFill>
                    <w14:schemeClr w14:val="tx1"/>
                  </w14:solidFill>
                </w14:textFill>
              </w:rPr>
            </w:pPr>
            <w:r>
              <w:rPr>
                <w:rFonts w:hint="eastAsia" w:ascii="宋体" w:hAnsi="宋体"/>
                <w:color w:val="000000" w:themeColor="text1"/>
                <w:szCs w:val="22"/>
                <w:highlight w:val="none"/>
                <w:lang w:val="en-US" w:eastAsia="zh-CN"/>
                <w14:textFill>
                  <w14:solidFill>
                    <w14:schemeClr w14:val="tx1"/>
                  </w14:solidFill>
                </w14:textFill>
              </w:rPr>
              <w:t>...</w:t>
            </w:r>
          </w:p>
        </w:tc>
        <w:tc>
          <w:tcPr>
            <w:tcW w:w="530" w:type="pct"/>
            <w:tcBorders>
              <w:top w:val="single" w:color="auto" w:sz="4" w:space="0"/>
              <w:left w:val="single" w:color="auto" w:sz="4" w:space="0"/>
              <w:bottom w:val="single" w:color="auto" w:sz="4" w:space="0"/>
              <w:right w:val="single" w:color="auto" w:sz="4" w:space="0"/>
            </w:tcBorders>
            <w:noWrap/>
            <w:vAlign w:val="center"/>
          </w:tcPr>
          <w:p w14:paraId="526B1D66">
            <w:pPr>
              <w:rPr>
                <w:rFonts w:ascii="宋体" w:hAnsi="宋体"/>
                <w:color w:val="000000" w:themeColor="text1"/>
                <w:szCs w:val="22"/>
                <w:highlight w:val="none"/>
                <w14:textFill>
                  <w14:solidFill>
                    <w14:schemeClr w14:val="tx1"/>
                  </w14:solidFill>
                </w14:textFill>
              </w:rPr>
            </w:pPr>
          </w:p>
        </w:tc>
        <w:tc>
          <w:tcPr>
            <w:tcW w:w="832" w:type="pct"/>
            <w:tcBorders>
              <w:top w:val="single" w:color="auto" w:sz="4" w:space="0"/>
              <w:left w:val="single" w:color="auto" w:sz="4" w:space="0"/>
              <w:bottom w:val="single" w:color="auto" w:sz="4" w:space="0"/>
              <w:right w:val="single" w:color="auto" w:sz="4" w:space="0"/>
            </w:tcBorders>
            <w:noWrap/>
            <w:vAlign w:val="center"/>
          </w:tcPr>
          <w:p w14:paraId="740DDA84">
            <w:pPr>
              <w:rPr>
                <w:rFonts w:ascii="宋体" w:hAnsi="宋体"/>
                <w:color w:val="000000" w:themeColor="text1"/>
                <w:szCs w:val="22"/>
                <w:highlight w:val="none"/>
                <w14:textFill>
                  <w14:solidFill>
                    <w14:schemeClr w14:val="tx1"/>
                  </w14:solidFill>
                </w14:textFill>
              </w:rPr>
            </w:pPr>
          </w:p>
        </w:tc>
        <w:tc>
          <w:tcPr>
            <w:tcW w:w="590" w:type="pct"/>
            <w:tcBorders>
              <w:top w:val="single" w:color="auto" w:sz="4" w:space="0"/>
              <w:left w:val="single" w:color="auto" w:sz="4" w:space="0"/>
              <w:bottom w:val="single" w:color="auto" w:sz="4" w:space="0"/>
              <w:right w:val="single" w:color="auto" w:sz="4" w:space="0"/>
            </w:tcBorders>
            <w:noWrap/>
            <w:vAlign w:val="center"/>
          </w:tcPr>
          <w:p w14:paraId="22B1CF83">
            <w:pPr>
              <w:rPr>
                <w:rFonts w:ascii="宋体" w:hAnsi="宋体"/>
                <w:color w:val="000000" w:themeColor="text1"/>
                <w:szCs w:val="22"/>
                <w:highlight w:val="none"/>
                <w14:textFill>
                  <w14:solidFill>
                    <w14:schemeClr w14:val="tx1"/>
                  </w14:solidFill>
                </w14:textFill>
              </w:rPr>
            </w:pPr>
          </w:p>
        </w:tc>
        <w:tc>
          <w:tcPr>
            <w:tcW w:w="349" w:type="pct"/>
            <w:tcBorders>
              <w:top w:val="single" w:color="auto" w:sz="4" w:space="0"/>
              <w:left w:val="single" w:color="auto" w:sz="4" w:space="0"/>
              <w:bottom w:val="single" w:color="auto" w:sz="4" w:space="0"/>
              <w:right w:val="single" w:color="auto" w:sz="4" w:space="0"/>
            </w:tcBorders>
            <w:noWrap/>
            <w:vAlign w:val="center"/>
          </w:tcPr>
          <w:p w14:paraId="4F632AAA">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center"/>
          </w:tcPr>
          <w:p w14:paraId="42B11707">
            <w:pPr>
              <w:rPr>
                <w:rFonts w:ascii="宋体" w:hAnsi="宋体"/>
                <w:color w:val="000000" w:themeColor="text1"/>
                <w:szCs w:val="22"/>
                <w:highlight w:val="none"/>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noWrap/>
            <w:vAlign w:val="top"/>
          </w:tcPr>
          <w:p w14:paraId="17A18240">
            <w:pPr>
              <w:rPr>
                <w:rFonts w:ascii="宋体" w:hAnsi="宋体"/>
                <w:color w:val="000000" w:themeColor="text1"/>
                <w:szCs w:val="22"/>
                <w:highlight w:val="none"/>
                <w14:textFill>
                  <w14:solidFill>
                    <w14:schemeClr w14:val="tx1"/>
                  </w14:solidFill>
                </w14:textFill>
              </w:rPr>
            </w:pPr>
          </w:p>
        </w:tc>
        <w:tc>
          <w:tcPr>
            <w:tcW w:w="953" w:type="pct"/>
            <w:tcBorders>
              <w:top w:val="single" w:color="auto" w:sz="4" w:space="0"/>
              <w:left w:val="single" w:color="auto" w:sz="4" w:space="0"/>
              <w:bottom w:val="single" w:color="auto" w:sz="4" w:space="0"/>
              <w:right w:val="single" w:color="auto" w:sz="4" w:space="0"/>
            </w:tcBorders>
            <w:noWrap/>
            <w:vAlign w:val="top"/>
          </w:tcPr>
          <w:p w14:paraId="6282966A">
            <w:pPr>
              <w:rPr>
                <w:rFonts w:ascii="宋体" w:hAnsi="宋体"/>
                <w:color w:val="000000" w:themeColor="text1"/>
                <w:szCs w:val="22"/>
                <w:highlight w:val="none"/>
                <w14:textFill>
                  <w14:solidFill>
                    <w14:schemeClr w14:val="tx1"/>
                  </w14:solidFill>
                </w14:textFill>
              </w:rPr>
            </w:pPr>
          </w:p>
        </w:tc>
      </w:tr>
    </w:tbl>
    <w:p w14:paraId="62D53730">
      <w:pPr>
        <w:pStyle w:val="20"/>
        <w:rPr>
          <w:rFonts w:hint="eastAsia"/>
          <w:color w:val="000000" w:themeColor="text1"/>
          <w:highlight w:val="none"/>
          <w14:textFill>
            <w14:solidFill>
              <w14:schemeClr w14:val="tx1"/>
            </w14:solidFill>
          </w14:textFill>
        </w:rPr>
      </w:pPr>
    </w:p>
    <w:p w14:paraId="2EF85FB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83" w:name="_Toc10340"/>
      <w:bookmarkStart w:id="84" w:name="_Toc22618"/>
      <w:bookmarkStart w:id="85" w:name="_Toc1814"/>
      <w:r>
        <w:rPr>
          <w:rFonts w:hint="eastAsia" w:ascii="仿宋_GB2312" w:hAnsi="楷体" w:eastAsia="仿宋_GB2312"/>
          <w:b/>
          <w:color w:val="000000" w:themeColor="text1"/>
          <w:sz w:val="24"/>
          <w:highlight w:val="none"/>
          <w14:textFill>
            <w14:solidFill>
              <w14:schemeClr w14:val="tx1"/>
            </w14:solidFill>
          </w14:textFill>
        </w:rPr>
        <w:t>1.4 付款方式和发票开具方式</w:t>
      </w:r>
      <w:bookmarkEnd w:id="83"/>
      <w:bookmarkEnd w:id="84"/>
      <w:bookmarkEnd w:id="85"/>
    </w:p>
    <w:p w14:paraId="319D26A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6D658A1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471DAB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86" w:name="_Toc19304"/>
      <w:bookmarkStart w:id="87" w:name="_Toc32071"/>
      <w:bookmarkStart w:id="88" w:name="_Toc2846"/>
      <w:r>
        <w:rPr>
          <w:rFonts w:hint="eastAsia" w:ascii="仿宋_GB2312" w:hAnsi="楷体" w:eastAsia="仿宋_GB2312"/>
          <w:b/>
          <w:color w:val="000000" w:themeColor="text1"/>
          <w:sz w:val="24"/>
          <w:highlight w:val="none"/>
          <w14:textFill>
            <w14:solidFill>
              <w14:schemeClr w14:val="tx1"/>
            </w14:solidFill>
          </w14:textFill>
        </w:rPr>
        <w:t>1.5 标的物</w:t>
      </w:r>
      <w:r>
        <w:rPr>
          <w:rFonts w:hint="eastAsia" w:ascii="仿宋_GB2312" w:hAnsi="楷体" w:eastAsia="仿宋_GB2312"/>
          <w:b/>
          <w:color w:val="000000" w:themeColor="text1"/>
          <w:sz w:val="24"/>
          <w:highlight w:val="none"/>
          <w:lang w:eastAsia="zh-CN"/>
          <w14:textFill>
            <w14:solidFill>
              <w14:schemeClr w14:val="tx1"/>
            </w14:solidFill>
          </w14:textFill>
        </w:rPr>
        <w:t>服务期限</w:t>
      </w:r>
      <w:r>
        <w:rPr>
          <w:rFonts w:hint="eastAsia" w:ascii="仿宋_GB2312" w:hAnsi="楷体" w:eastAsia="仿宋_GB2312"/>
          <w:b/>
          <w:color w:val="000000" w:themeColor="text1"/>
          <w:sz w:val="24"/>
          <w:highlight w:val="none"/>
          <w14:textFill>
            <w14:solidFill>
              <w14:schemeClr w14:val="tx1"/>
            </w14:solidFill>
          </w14:textFill>
        </w:rPr>
        <w:t>、地点、方式</w:t>
      </w:r>
      <w:bookmarkEnd w:id="86"/>
      <w:bookmarkEnd w:id="87"/>
      <w:bookmarkEnd w:id="88"/>
      <w:r>
        <w:rPr>
          <w:rFonts w:hint="eastAsia" w:ascii="仿宋_GB2312" w:hAnsi="楷体" w:eastAsia="仿宋_GB2312"/>
          <w:b/>
          <w:color w:val="000000" w:themeColor="text1"/>
          <w:sz w:val="24"/>
          <w:highlight w:val="none"/>
          <w14:textFill>
            <w14:solidFill>
              <w14:schemeClr w14:val="tx1"/>
            </w14:solidFill>
          </w14:textFill>
        </w:rPr>
        <w:t>和质保期限</w:t>
      </w:r>
    </w:p>
    <w:p w14:paraId="16118F9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1.5.1 </w:t>
      </w:r>
      <w:r>
        <w:rPr>
          <w:rFonts w:hint="eastAsia" w:ascii="仿宋_GB2312" w:hAnsi="楷体" w:eastAsia="仿宋_GB2312"/>
          <w:color w:val="000000" w:themeColor="text1"/>
          <w:sz w:val="24"/>
          <w:highlight w:val="none"/>
          <w:lang w:eastAsia="zh-CN"/>
          <w14:textFill>
            <w14:solidFill>
              <w14:schemeClr w14:val="tx1"/>
            </w14:solidFill>
          </w14:textFill>
        </w:rPr>
        <w:t>交货时间</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4BAF6B8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1.5.2 </w:t>
      </w:r>
      <w:r>
        <w:rPr>
          <w:rFonts w:hint="eastAsia" w:ascii="仿宋_GB2312" w:hAnsi="楷体" w:eastAsia="仿宋_GB2312"/>
          <w:color w:val="000000" w:themeColor="text1"/>
          <w:sz w:val="24"/>
          <w:highlight w:val="none"/>
          <w:lang w:eastAsia="zh-CN"/>
          <w14:textFill>
            <w14:solidFill>
              <w14:schemeClr w14:val="tx1"/>
            </w14:solidFill>
          </w14:textFill>
        </w:rPr>
        <w:t>交货地点</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60423F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交货方式：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209049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货物及质保期限：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3A3D36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89" w:name="_Toc27250"/>
      <w:bookmarkStart w:id="90" w:name="_Toc21423"/>
      <w:bookmarkStart w:id="91" w:name="_Toc19554"/>
      <w:r>
        <w:rPr>
          <w:rFonts w:hint="eastAsia" w:ascii="仿宋_GB2312" w:hAnsi="楷体" w:eastAsia="仿宋_GB2312"/>
          <w:b/>
          <w:color w:val="000000" w:themeColor="text1"/>
          <w:sz w:val="24"/>
          <w:highlight w:val="none"/>
          <w14:textFill>
            <w14:solidFill>
              <w14:schemeClr w14:val="tx1"/>
            </w14:solidFill>
          </w14:textFill>
        </w:rPr>
        <w:t>1.6 违约责任</w:t>
      </w:r>
      <w:bookmarkEnd w:id="89"/>
      <w:bookmarkEnd w:id="90"/>
      <w:bookmarkEnd w:id="91"/>
    </w:p>
    <w:p w14:paraId="417B0F4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除不可抗力外，如果乙方没有按照本合同约定的期限、地点和方式交付标的物，乙方应当向甲方支付违约金，违约金按每迟延交付标的物一日的应交付而未交付标的物价格的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  】日的，甲方有权在要求乙方支付违约金的同时，书面通知乙方解除本合同，乙方应退回全部已收取的合同价款并按合同总金额的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49B2ED1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0AAB658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FB88CC8">
      <w:pPr>
        <w:spacing w:line="360" w:lineRule="auto"/>
        <w:ind w:left="239" w:leftChars="114" w:firstLine="240" w:firstLineChars="100"/>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w:t>
      </w:r>
      <w:r>
        <w:rPr>
          <w:rFonts w:hint="eastAsia" w:ascii="仿宋" w:hAnsi="仿宋" w:eastAsia="仿宋" w:cs="仿宋"/>
          <w:color w:val="000000" w:themeColor="text1"/>
          <w:sz w:val="24"/>
          <w:highlight w:val="none"/>
          <w14:textFill>
            <w14:solidFill>
              <w14:schemeClr w14:val="tx1"/>
            </w14:solidFill>
          </w14:textFill>
        </w:rPr>
        <w:t>乙方在质保期内未按承诺提供售后等货物的，每发生一次向甲方支付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w:t>
      </w:r>
      <w:r>
        <w:rPr>
          <w:rFonts w:hint="eastAsia" w:ascii="仿宋_GB2312" w:hAnsi="楷体" w:eastAsia="仿宋_GB2312"/>
          <w:color w:val="000000" w:themeColor="text1"/>
          <w:sz w:val="24"/>
          <w:highlight w:val="none"/>
          <w14:textFill>
            <w14:solidFill>
              <w14:schemeClr w14:val="tx1"/>
            </w14:solidFill>
          </w14:textFill>
        </w:rPr>
        <w:t>（根据项目实际填写，一般为2000元）</w:t>
      </w:r>
      <w:r>
        <w:rPr>
          <w:rFonts w:hint="eastAsia" w:ascii="仿宋" w:hAnsi="仿宋" w:eastAsia="仿宋" w:cs="仿宋"/>
          <w:color w:val="000000" w:themeColor="text1"/>
          <w:sz w:val="24"/>
          <w:highlight w:val="none"/>
          <w14:textFill>
            <w14:solidFill>
              <w14:schemeClr w14:val="tx1"/>
            </w14:solidFill>
          </w14:textFill>
        </w:rPr>
        <w:t>的违约金。</w:t>
      </w:r>
    </w:p>
    <w:p w14:paraId="57A499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F01DAD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D80F44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w:t>
      </w:r>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结果的，导致甲方中止履行合同的情形，均不视为甲方违约。</w:t>
      </w:r>
    </w:p>
    <w:p w14:paraId="459FF86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92" w:name="_Toc16021"/>
      <w:bookmarkStart w:id="93" w:name="_Toc28375"/>
      <w:bookmarkStart w:id="94" w:name="_Toc15583"/>
      <w:r>
        <w:rPr>
          <w:rFonts w:hint="eastAsia" w:ascii="仿宋_GB2312" w:hAnsi="楷体" w:eastAsia="仿宋_GB2312"/>
          <w:b/>
          <w:color w:val="000000" w:themeColor="text1"/>
          <w:sz w:val="24"/>
          <w:highlight w:val="none"/>
          <w14:textFill>
            <w14:solidFill>
              <w14:schemeClr w14:val="tx1"/>
            </w14:solidFill>
          </w14:textFill>
        </w:rPr>
        <w:t>1.7 合同争议的解决</w:t>
      </w:r>
      <w:bookmarkEnd w:id="92"/>
      <w:bookmarkEnd w:id="93"/>
      <w:bookmarkEnd w:id="94"/>
    </w:p>
    <w:p w14:paraId="1E8719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2E4C0B0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南宁</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6F8C78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w:t>
      </w:r>
      <w:r>
        <w:rPr>
          <w:rFonts w:hint="eastAsia" w:ascii="仿宋_GB2312" w:hAnsi="楷体" w:eastAsia="仿宋_GB2312"/>
          <w:color w:val="000000" w:themeColor="text1"/>
          <w:sz w:val="24"/>
          <w:highlight w:val="none"/>
          <w14:textFill>
            <w14:solidFill>
              <w14:schemeClr w14:val="tx1"/>
            </w14:solidFill>
          </w14:textFill>
        </w:rPr>
        <w:t>人民法院起诉。</w:t>
      </w:r>
    </w:p>
    <w:p w14:paraId="5EF9D22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95" w:name="_Toc7245"/>
      <w:bookmarkStart w:id="96" w:name="_Toc15322"/>
      <w:bookmarkStart w:id="97" w:name="_Toc11173"/>
      <w:r>
        <w:rPr>
          <w:rFonts w:hint="eastAsia" w:ascii="仿宋_GB2312" w:hAnsi="楷体" w:eastAsia="仿宋_GB2312"/>
          <w:b/>
          <w:color w:val="000000" w:themeColor="text1"/>
          <w:sz w:val="24"/>
          <w:highlight w:val="none"/>
          <w14:textFill>
            <w14:solidFill>
              <w14:schemeClr w14:val="tx1"/>
            </w14:solidFill>
          </w14:textFill>
        </w:rPr>
        <w:t>1.8 合同生效</w:t>
      </w:r>
      <w:bookmarkEnd w:id="95"/>
      <w:bookmarkEnd w:id="96"/>
      <w:bookmarkEnd w:id="97"/>
    </w:p>
    <w:p w14:paraId="67DF598C">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本合同自双方当事人加盖有效公章时生效。</w:t>
      </w:r>
    </w:p>
    <w:p w14:paraId="0DC7D4D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5A8E01D1">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2BACDBA6">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35455186">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1693DED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3234A48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                       或授权代表（签字）: </w:t>
      </w:r>
    </w:p>
    <w:p w14:paraId="55A2379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4064954D">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06952035">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1C1CD5C6">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55D374B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61AE5C11">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7A61D04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5E57854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563762AD">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6A862E56">
      <w:pPr>
        <w:pStyle w:val="83"/>
        <w:ind w:firstLine="482"/>
        <w:jc w:val="center"/>
        <w:outlineLvl w:val="1"/>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bookmarkStart w:id="98" w:name="_Toc22143"/>
      <w:bookmarkStart w:id="99" w:name="_Toc331685783"/>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bookmarkEnd w:id="98"/>
      <w:bookmarkEnd w:id="99"/>
    </w:p>
    <w:p w14:paraId="6B2546C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00" w:name="_Ref467379094"/>
      <w:bookmarkStart w:id="101" w:name="_Ref467379214"/>
      <w:bookmarkStart w:id="102" w:name="_Ref467378404"/>
      <w:bookmarkStart w:id="103" w:name="_Ref467379195"/>
      <w:bookmarkStart w:id="104" w:name="_Ref467379101"/>
      <w:bookmarkStart w:id="105" w:name="_Ref467379225"/>
      <w:bookmarkStart w:id="106" w:name="_Toc19614"/>
      <w:bookmarkStart w:id="107" w:name="_Toc259093669"/>
      <w:bookmarkStart w:id="108" w:name="_Toc16917"/>
      <w:bookmarkStart w:id="109" w:name="_Toc279701240"/>
      <w:bookmarkStart w:id="110" w:name="_Ref467379205"/>
      <w:bookmarkStart w:id="111" w:name="_Toc487900349"/>
      <w:bookmarkStart w:id="112" w:name="_Toc28763"/>
      <w:bookmarkStart w:id="113" w:name="_Ref467378499"/>
      <w:bookmarkStart w:id="114" w:name="_Ref467379109"/>
      <w:bookmarkStart w:id="115" w:name="_Ref467378463"/>
      <w:r>
        <w:rPr>
          <w:rFonts w:hint="eastAsia" w:ascii="仿宋_GB2312" w:hAnsi="楷体" w:eastAsia="仿宋_GB2312"/>
          <w:b/>
          <w:color w:val="000000" w:themeColor="text1"/>
          <w:sz w:val="24"/>
          <w:highlight w:val="none"/>
          <w14:textFill>
            <w14:solidFill>
              <w14:schemeClr w14:val="tx1"/>
            </w14:solidFill>
          </w14:textFill>
        </w:rPr>
        <w:t>2.1 定义</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18CF9C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15332D9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w:t>
      </w:r>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人签订的载明双方当事人所达成的协议，并包括所有的附件、附录和构成合同的其他文件。</w:t>
      </w:r>
    </w:p>
    <w:p w14:paraId="45C8477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w:t>
      </w:r>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人在完全履行合同义务后，采购人应支付给成交人的价格。</w:t>
      </w:r>
    </w:p>
    <w:p w14:paraId="78932A2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w:t>
      </w:r>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364EB1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16" w:name="_Ref467378840"/>
      <w:r>
        <w:rPr>
          <w:rFonts w:hint="eastAsia" w:ascii="仿宋_GB2312" w:hAnsi="楷体" w:eastAsia="仿宋_GB2312"/>
          <w:color w:val="000000" w:themeColor="text1"/>
          <w:sz w:val="24"/>
          <w:highlight w:val="none"/>
          <w14:textFill>
            <w14:solidFill>
              <w14:schemeClr w14:val="tx1"/>
            </w14:solidFill>
          </w14:textFill>
        </w:rPr>
        <w:t>2.1.4 “甲方”系指与</w:t>
      </w:r>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人签署合同的采购人</w:t>
      </w:r>
      <w:bookmarkEnd w:id="116"/>
      <w:r>
        <w:rPr>
          <w:rFonts w:hint="eastAsia" w:ascii="仿宋_GB2312" w:hAnsi="楷体" w:eastAsia="仿宋_GB2312"/>
          <w:color w:val="000000" w:themeColor="text1"/>
          <w:sz w:val="24"/>
          <w:highlight w:val="none"/>
          <w14:textFill>
            <w14:solidFill>
              <w14:schemeClr w14:val="tx1"/>
            </w14:solidFill>
          </w14:textFill>
        </w:rPr>
        <w:t>；采购人委托采购机构代表其与乙方签订合同的，采购人的授权委托书作为合同附件。</w:t>
      </w:r>
    </w:p>
    <w:p w14:paraId="33918F9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17" w:name="_Ref467379400"/>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bookmarkEnd w:id="117"/>
      <w:r>
        <w:rPr>
          <w:rFonts w:hint="eastAsia" w:ascii="仿宋_GB2312" w:hAnsi="楷体" w:eastAsia="仿宋_GB2312"/>
          <w:color w:val="000000" w:themeColor="text1"/>
          <w:sz w:val="24"/>
          <w:highlight w:val="none"/>
          <w:lang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人；两个以上的自然人、法人或者其他组织组成一个联合体，以一个供应商的身份共同参加政府采购的，联合体各方均应为乙方或者与乙方相同地位的合同当事人，并就合同约定的事项对甲方承担连带责任。</w:t>
      </w:r>
    </w:p>
    <w:p w14:paraId="7F483E0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18" w:name="_Ref467379436"/>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bookmarkEnd w:id="118"/>
    </w:p>
    <w:p w14:paraId="5D693C6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19" w:name="_Toc27635"/>
      <w:bookmarkStart w:id="120" w:name="_Toc259093670"/>
      <w:bookmarkStart w:id="121" w:name="_Toc32504"/>
      <w:bookmarkStart w:id="122" w:name="_Toc487900350"/>
      <w:bookmarkStart w:id="123" w:name="_Toc13336"/>
      <w:bookmarkStart w:id="124" w:name="_Toc279701241"/>
      <w:r>
        <w:rPr>
          <w:rFonts w:hint="eastAsia" w:ascii="仿宋_GB2312" w:hAnsi="楷体" w:eastAsia="仿宋_GB2312"/>
          <w:b/>
          <w:color w:val="000000" w:themeColor="text1"/>
          <w:sz w:val="24"/>
          <w:highlight w:val="none"/>
          <w14:textFill>
            <w14:solidFill>
              <w14:schemeClr w14:val="tx1"/>
            </w14:solidFill>
          </w14:textFill>
        </w:rPr>
        <w:t>2.2 技术规范</w:t>
      </w:r>
      <w:bookmarkEnd w:id="119"/>
      <w:bookmarkEnd w:id="120"/>
      <w:bookmarkEnd w:id="121"/>
      <w:bookmarkEnd w:id="122"/>
      <w:bookmarkEnd w:id="123"/>
      <w:bookmarkEnd w:id="124"/>
    </w:p>
    <w:p w14:paraId="1BD433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BBB1ED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25" w:name="_Toc27853"/>
      <w:bookmarkStart w:id="126" w:name="_Toc279701242"/>
      <w:bookmarkStart w:id="127" w:name="_Toc9829"/>
      <w:bookmarkStart w:id="128" w:name="_Toc259093671"/>
      <w:bookmarkStart w:id="129" w:name="_Toc31634"/>
      <w:bookmarkStart w:id="130" w:name="_Toc487900351"/>
      <w:r>
        <w:rPr>
          <w:rFonts w:hint="eastAsia" w:ascii="仿宋_GB2312" w:hAnsi="楷体" w:eastAsia="仿宋_GB2312"/>
          <w:b/>
          <w:color w:val="000000" w:themeColor="text1"/>
          <w:sz w:val="24"/>
          <w:highlight w:val="none"/>
          <w14:textFill>
            <w14:solidFill>
              <w14:schemeClr w14:val="tx1"/>
            </w14:solidFill>
          </w14:textFill>
        </w:rPr>
        <w:t>2.3 知识产权</w:t>
      </w:r>
      <w:bookmarkEnd w:id="125"/>
      <w:bookmarkEnd w:id="126"/>
      <w:bookmarkEnd w:id="127"/>
      <w:bookmarkEnd w:id="128"/>
      <w:bookmarkEnd w:id="129"/>
      <w:bookmarkEnd w:id="130"/>
    </w:p>
    <w:p w14:paraId="2625AC6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66ED48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46F335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31" w:name="_Toc11932"/>
      <w:bookmarkStart w:id="132" w:name="_Toc4194"/>
      <w:bookmarkStart w:id="133" w:name="_Toc29149"/>
      <w:r>
        <w:rPr>
          <w:rFonts w:hint="eastAsia" w:ascii="仿宋_GB2312" w:hAnsi="楷体" w:eastAsia="仿宋_GB2312"/>
          <w:b/>
          <w:color w:val="000000" w:themeColor="text1"/>
          <w:sz w:val="24"/>
          <w:highlight w:val="none"/>
          <w14:textFill>
            <w14:solidFill>
              <w14:schemeClr w14:val="tx1"/>
            </w14:solidFill>
          </w14:textFill>
        </w:rPr>
        <w:t>2.4 包装和装运</w:t>
      </w:r>
      <w:bookmarkEnd w:id="131"/>
      <w:bookmarkEnd w:id="132"/>
      <w:bookmarkEnd w:id="133"/>
    </w:p>
    <w:p w14:paraId="3C504B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228B1F0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4155892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34" w:name="_Toc259093674"/>
      <w:bookmarkStart w:id="135" w:name="_Toc279701245"/>
      <w:bookmarkStart w:id="136" w:name="_Toc487900354"/>
      <w:bookmarkStart w:id="137" w:name="_Ref467379527"/>
      <w:bookmarkStart w:id="138" w:name="_Ref467378541"/>
      <w:bookmarkStart w:id="139" w:name="_Ref467379542"/>
      <w:bookmarkStart w:id="140" w:name="_Ref467378591"/>
      <w:bookmarkStart w:id="141" w:name="_Ref467379536"/>
      <w:bookmarkStart w:id="142" w:name="_Toc26182"/>
      <w:bookmarkStart w:id="143" w:name="_Toc30272"/>
      <w:bookmarkStart w:id="144" w:name="_Toc19074"/>
      <w:r>
        <w:rPr>
          <w:rFonts w:hint="eastAsia" w:ascii="仿宋_GB2312" w:hAnsi="楷体" w:eastAsia="仿宋_GB2312"/>
          <w:b/>
          <w:color w:val="000000" w:themeColor="text1"/>
          <w:sz w:val="24"/>
          <w:highlight w:val="none"/>
          <w14:textFill>
            <w14:solidFill>
              <w14:schemeClr w14:val="tx1"/>
            </w14:solidFill>
          </w14:textFill>
        </w:rPr>
        <w:t>2.</w:t>
      </w:r>
      <w:bookmarkEnd w:id="134"/>
      <w:bookmarkEnd w:id="135"/>
      <w:bookmarkEnd w:id="136"/>
      <w:bookmarkEnd w:id="137"/>
      <w:bookmarkEnd w:id="138"/>
      <w:bookmarkEnd w:id="139"/>
      <w:bookmarkEnd w:id="140"/>
      <w:bookmarkEnd w:id="141"/>
      <w:r>
        <w:rPr>
          <w:rFonts w:hint="eastAsia" w:ascii="仿宋_GB2312" w:hAnsi="楷体" w:eastAsia="仿宋_GB2312"/>
          <w:b/>
          <w:color w:val="000000" w:themeColor="text1"/>
          <w:sz w:val="24"/>
          <w:highlight w:val="none"/>
          <w14:textFill>
            <w14:solidFill>
              <w14:schemeClr w14:val="tx1"/>
            </w14:solidFill>
          </w14:textFill>
        </w:rPr>
        <w:t>5 履约检查和问题反馈</w:t>
      </w:r>
      <w:bookmarkEnd w:id="142"/>
      <w:bookmarkEnd w:id="143"/>
      <w:bookmarkEnd w:id="144"/>
    </w:p>
    <w:p w14:paraId="153BCFC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45" w:name="_Ref467379657"/>
      <w:r>
        <w:rPr>
          <w:rFonts w:hint="eastAsia" w:ascii="仿宋_GB2312" w:hAnsi="楷体" w:eastAsia="仿宋_GB2312"/>
          <w:color w:val="000000" w:themeColor="text1"/>
          <w:sz w:val="24"/>
          <w:highlight w:val="none"/>
          <w14:textFill>
            <w14:solidFill>
              <w14:schemeClr w14:val="tx1"/>
            </w14:solidFill>
          </w14:textFill>
        </w:rPr>
        <w:t>2.5.1</w:t>
      </w:r>
      <w:bookmarkEnd w:id="145"/>
      <w:bookmarkStart w:id="146" w:name="_Toc186431854"/>
      <w:bookmarkStart w:id="147" w:name="_Ref467379807"/>
      <w:bookmarkStart w:id="148" w:name="_Ref467379793"/>
      <w:bookmarkStart w:id="149" w:name="_Toc259093676"/>
      <w:bookmarkStart w:id="150" w:name="_Toc279701247"/>
      <w:bookmarkStart w:id="151" w:name="_Toc487900357"/>
      <w:r>
        <w:rPr>
          <w:rFonts w:hint="eastAsia" w:ascii="仿宋_GB2312" w:hAnsi="楷体" w:eastAsia="仿宋_GB2312"/>
          <w:color w:val="000000" w:themeColor="text1"/>
          <w:sz w:val="24"/>
          <w:highlight w:val="none"/>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B04EE0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146"/>
      <w:bookmarkStart w:id="152" w:name="_Toc186431855"/>
      <w:r>
        <w:rPr>
          <w:rFonts w:hint="eastAsia" w:ascii="仿宋_GB2312" w:hAnsi="楷体" w:eastAsia="仿宋_GB2312"/>
          <w:color w:val="000000" w:themeColor="text1"/>
          <w:sz w:val="24"/>
          <w:highlight w:val="none"/>
          <w14:textFill>
            <w14:solidFill>
              <w14:schemeClr w14:val="tx1"/>
            </w14:solidFill>
          </w14:textFill>
        </w:rPr>
        <w:t>。</w:t>
      </w:r>
    </w:p>
    <w:bookmarkEnd w:id="152"/>
    <w:p w14:paraId="027B419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3" w:name="_Toc28451"/>
      <w:bookmarkStart w:id="154" w:name="_Toc19219"/>
      <w:bookmarkStart w:id="155" w:name="_Toc7836"/>
      <w:r>
        <w:rPr>
          <w:rFonts w:hint="eastAsia" w:ascii="仿宋_GB2312" w:hAnsi="楷体" w:eastAsia="仿宋_GB2312"/>
          <w:b/>
          <w:color w:val="000000" w:themeColor="text1"/>
          <w:sz w:val="24"/>
          <w:highlight w:val="none"/>
          <w14:textFill>
            <w14:solidFill>
              <w14:schemeClr w14:val="tx1"/>
            </w14:solidFill>
          </w14:textFill>
        </w:rPr>
        <w:t>2.6 结算方式和付款条件</w:t>
      </w:r>
      <w:bookmarkEnd w:id="147"/>
      <w:bookmarkEnd w:id="148"/>
      <w:bookmarkEnd w:id="149"/>
      <w:bookmarkEnd w:id="150"/>
      <w:bookmarkEnd w:id="151"/>
      <w:bookmarkEnd w:id="153"/>
      <w:bookmarkEnd w:id="154"/>
      <w:bookmarkEnd w:id="155"/>
    </w:p>
    <w:p w14:paraId="11DA371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4E3C25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6" w:name="_Ref467379863"/>
      <w:bookmarkStart w:id="157" w:name="_Toc259093677"/>
      <w:bookmarkStart w:id="158" w:name="_Ref467379923"/>
      <w:bookmarkStart w:id="159" w:name="_Toc279701248"/>
      <w:bookmarkStart w:id="160" w:name="_Ref467379852"/>
      <w:bookmarkStart w:id="161" w:name="_Toc487900358"/>
      <w:bookmarkStart w:id="162" w:name="_Toc16110"/>
      <w:bookmarkStart w:id="163" w:name="_Toc774"/>
      <w:bookmarkStart w:id="164" w:name="_Toc3225"/>
      <w:r>
        <w:rPr>
          <w:rFonts w:hint="eastAsia" w:ascii="仿宋_GB2312" w:hAnsi="楷体" w:eastAsia="仿宋_GB2312"/>
          <w:b/>
          <w:color w:val="000000" w:themeColor="text1"/>
          <w:sz w:val="24"/>
          <w:highlight w:val="none"/>
          <w14:textFill>
            <w14:solidFill>
              <w14:schemeClr w14:val="tx1"/>
            </w14:solidFill>
          </w14:textFill>
        </w:rPr>
        <w:t>2.7 技术资料</w:t>
      </w:r>
      <w:bookmarkEnd w:id="156"/>
      <w:bookmarkEnd w:id="157"/>
      <w:bookmarkEnd w:id="158"/>
      <w:bookmarkEnd w:id="159"/>
      <w:bookmarkEnd w:id="160"/>
      <w:bookmarkEnd w:id="161"/>
      <w:r>
        <w:rPr>
          <w:rFonts w:hint="eastAsia" w:ascii="仿宋_GB2312" w:hAnsi="楷体" w:eastAsia="仿宋_GB2312"/>
          <w:b/>
          <w:color w:val="000000" w:themeColor="text1"/>
          <w:sz w:val="24"/>
          <w:highlight w:val="none"/>
          <w14:textFill>
            <w14:solidFill>
              <w14:schemeClr w14:val="tx1"/>
            </w14:solidFill>
          </w14:textFill>
        </w:rPr>
        <w:t>和保密义务</w:t>
      </w:r>
      <w:bookmarkEnd w:id="162"/>
      <w:bookmarkEnd w:id="163"/>
      <w:bookmarkEnd w:id="164"/>
    </w:p>
    <w:p w14:paraId="1AE84AB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43624F3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7C4536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DD891C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5" w:name="_Toc7860"/>
      <w:r>
        <w:rPr>
          <w:rFonts w:hint="eastAsia" w:ascii="仿宋_GB2312" w:hAnsi="楷体" w:eastAsia="仿宋_GB2312"/>
          <w:b/>
          <w:color w:val="000000" w:themeColor="text1"/>
          <w:sz w:val="24"/>
          <w:highlight w:val="none"/>
          <w14:textFill>
            <w14:solidFill>
              <w14:schemeClr w14:val="tx1"/>
            </w14:solidFill>
          </w14:textFill>
        </w:rPr>
        <w:t>2.8 质量保证</w:t>
      </w:r>
      <w:bookmarkEnd w:id="165"/>
    </w:p>
    <w:p w14:paraId="771D791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3EA0CA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7FFE150B">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w:t>
      </w:r>
      <w:r>
        <w:rPr>
          <w:rFonts w:hint="eastAsia" w:ascii="仿宋_GB2312" w:hAnsi="仿宋" w:eastAsia="仿宋_GB2312"/>
          <w:color w:val="000000" w:themeColor="text1"/>
          <w:sz w:val="24"/>
          <w:highlight w:val="none"/>
          <w:lang w:eastAsia="zh-CN"/>
          <w14:textFill>
            <w14:solidFill>
              <w14:schemeClr w14:val="tx1"/>
            </w14:solidFill>
          </w14:textFill>
        </w:rPr>
        <w:t>响应</w:t>
      </w:r>
      <w:r>
        <w:rPr>
          <w:rFonts w:hint="eastAsia" w:ascii="仿宋_GB2312" w:hAnsi="仿宋" w:eastAsia="仿宋_GB2312"/>
          <w:color w:val="000000" w:themeColor="text1"/>
          <w:sz w:val="24"/>
          <w:highlight w:val="none"/>
          <w14:textFill>
            <w14:solidFill>
              <w14:schemeClr w14:val="tx1"/>
            </w14:solidFill>
          </w14:textFill>
        </w:rPr>
        <w:t>文件一致。未经甲方书面同意，乙方不得擅自更换</w:t>
      </w:r>
      <w:r>
        <w:rPr>
          <w:rFonts w:hint="eastAsia" w:ascii="仿宋_GB2312" w:hAnsi="仿宋" w:eastAsia="仿宋_GB2312"/>
          <w:color w:val="000000" w:themeColor="text1"/>
          <w:sz w:val="24"/>
          <w:highlight w:val="none"/>
          <w:lang w:eastAsia="zh-CN"/>
          <w14:textFill>
            <w14:solidFill>
              <w14:schemeClr w14:val="tx1"/>
            </w14:solidFill>
          </w14:textFill>
        </w:rPr>
        <w:t>响应</w:t>
      </w:r>
      <w:r>
        <w:rPr>
          <w:rFonts w:hint="eastAsia" w:ascii="仿宋_GB2312" w:hAnsi="仿宋" w:eastAsia="仿宋_GB2312"/>
          <w:color w:val="000000" w:themeColor="text1"/>
          <w:sz w:val="24"/>
          <w:highlight w:val="none"/>
          <w14:textFill>
            <w14:solidFill>
              <w14:schemeClr w14:val="tx1"/>
            </w14:solidFill>
          </w14:textFill>
        </w:rPr>
        <w:t>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w:t>
      </w:r>
    </w:p>
    <w:p w14:paraId="02B106C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themeColor="text1"/>
          <w:sz w:val="24"/>
          <w:highlight w:val="none"/>
          <w:u w:val="single"/>
          <w14:textFill>
            <w14:solidFill>
              <w14:schemeClr w14:val="tx1"/>
            </w14:solidFill>
          </w14:textFill>
        </w:rPr>
        <w:t>30%</w:t>
      </w:r>
      <w:r>
        <w:rPr>
          <w:rFonts w:hint="eastAsia" w:ascii="仿宋_GB2312" w:hAnsi="仿宋" w:eastAsia="仿宋_GB2312"/>
          <w:color w:val="000000" w:themeColor="text1"/>
          <w:sz w:val="24"/>
          <w:highlight w:val="none"/>
          <w14:textFill>
            <w14:solidFill>
              <w14:schemeClr w14:val="tx1"/>
            </w14:solidFill>
          </w14:textFill>
        </w:rPr>
        <w:t>（根据项目实际情况填写，一般为30%）。</w:t>
      </w:r>
    </w:p>
    <w:p w14:paraId="6041B0D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6" w:name="_Toc17244"/>
      <w:bookmarkStart w:id="167" w:name="_Toc259093681"/>
      <w:bookmarkStart w:id="168" w:name="_Toc279701252"/>
      <w:bookmarkStart w:id="169" w:name="_Toc487900362"/>
      <w:r>
        <w:rPr>
          <w:rFonts w:hint="eastAsia" w:ascii="仿宋_GB2312" w:hAnsi="楷体" w:eastAsia="仿宋_GB2312"/>
          <w:b/>
          <w:color w:val="000000" w:themeColor="text1"/>
          <w:sz w:val="24"/>
          <w:highlight w:val="none"/>
          <w14:textFill>
            <w14:solidFill>
              <w14:schemeClr w14:val="tx1"/>
            </w14:solidFill>
          </w14:textFill>
        </w:rPr>
        <w:t>2.9 标的物的风险负担</w:t>
      </w:r>
      <w:bookmarkEnd w:id="166"/>
    </w:p>
    <w:p w14:paraId="65E7E4B5">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51958BB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0" w:name="_Toc14055"/>
      <w:r>
        <w:rPr>
          <w:rFonts w:hint="eastAsia" w:ascii="仿宋_GB2312" w:hAnsi="楷体" w:eastAsia="仿宋_GB2312"/>
          <w:b/>
          <w:color w:val="000000" w:themeColor="text1"/>
          <w:sz w:val="24"/>
          <w:highlight w:val="none"/>
          <w14:textFill>
            <w14:solidFill>
              <w14:schemeClr w14:val="tx1"/>
            </w14:solidFill>
          </w14:textFill>
        </w:rPr>
        <w:t>2.10 延迟交货</w:t>
      </w:r>
      <w:bookmarkEnd w:id="167"/>
      <w:bookmarkEnd w:id="168"/>
      <w:bookmarkEnd w:id="169"/>
      <w:bookmarkEnd w:id="170"/>
      <w:r>
        <w:rPr>
          <w:rFonts w:hint="eastAsia" w:ascii="仿宋_GB2312" w:hAnsi="楷体" w:eastAsia="仿宋_GB2312"/>
          <w:b/>
          <w:color w:val="000000" w:themeColor="text1"/>
          <w:sz w:val="24"/>
          <w:highlight w:val="none"/>
          <w14:textFill>
            <w14:solidFill>
              <w14:schemeClr w14:val="tx1"/>
            </w14:solidFill>
          </w14:textFill>
        </w:rPr>
        <w:t>/交付</w:t>
      </w:r>
    </w:p>
    <w:p w14:paraId="628C7D8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BD2787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1" w:name="_Toc7502"/>
      <w:bookmarkStart w:id="172" w:name="_Ref467378121"/>
      <w:bookmarkStart w:id="173" w:name="_Toc279701254"/>
      <w:bookmarkStart w:id="174" w:name="_Toc259093683"/>
      <w:bookmarkStart w:id="175" w:name="_Toc487900364"/>
      <w:r>
        <w:rPr>
          <w:rFonts w:hint="eastAsia" w:ascii="仿宋_GB2312" w:hAnsi="楷体" w:eastAsia="仿宋_GB2312"/>
          <w:b/>
          <w:color w:val="000000" w:themeColor="text1"/>
          <w:sz w:val="24"/>
          <w:highlight w:val="none"/>
          <w14:textFill>
            <w14:solidFill>
              <w14:schemeClr w14:val="tx1"/>
            </w14:solidFill>
          </w14:textFill>
        </w:rPr>
        <w:t>2.11 合同变更</w:t>
      </w:r>
      <w:bookmarkEnd w:id="171"/>
    </w:p>
    <w:p w14:paraId="0FB81C2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727DD6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176" w:name="_Toc259093688"/>
      <w:bookmarkStart w:id="177" w:name="_Toc279701259"/>
      <w:bookmarkStart w:id="178" w:name="_Toc487900369"/>
    </w:p>
    <w:p w14:paraId="552AA41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9" w:name="_Toc15237"/>
      <w:bookmarkStart w:id="180" w:name="_Toc10366"/>
      <w:bookmarkStart w:id="181" w:name="_Toc22955"/>
      <w:r>
        <w:rPr>
          <w:rFonts w:hint="eastAsia" w:ascii="仿宋_GB2312" w:hAnsi="楷体" w:eastAsia="仿宋_GB2312"/>
          <w:b/>
          <w:color w:val="000000" w:themeColor="text1"/>
          <w:sz w:val="24"/>
          <w:highlight w:val="none"/>
          <w14:textFill>
            <w14:solidFill>
              <w14:schemeClr w14:val="tx1"/>
            </w14:solidFill>
          </w14:textFill>
        </w:rPr>
        <w:t>2.12 合同转让</w:t>
      </w:r>
      <w:bookmarkEnd w:id="176"/>
      <w:bookmarkEnd w:id="177"/>
      <w:bookmarkEnd w:id="178"/>
      <w:r>
        <w:rPr>
          <w:rFonts w:hint="eastAsia" w:ascii="仿宋_GB2312" w:hAnsi="楷体" w:eastAsia="仿宋_GB2312"/>
          <w:b/>
          <w:color w:val="000000" w:themeColor="text1"/>
          <w:sz w:val="24"/>
          <w:highlight w:val="none"/>
          <w14:textFill>
            <w14:solidFill>
              <w14:schemeClr w14:val="tx1"/>
            </w14:solidFill>
          </w14:textFill>
        </w:rPr>
        <w:t>和分包</w:t>
      </w:r>
      <w:bookmarkEnd w:id="179"/>
      <w:bookmarkEnd w:id="180"/>
      <w:bookmarkEnd w:id="181"/>
    </w:p>
    <w:p w14:paraId="567A2C9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7AFFAC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82" w:name="_Toc13566"/>
      <w:bookmarkStart w:id="183" w:name="_Toc14066"/>
      <w:bookmarkStart w:id="184" w:name="_Toc16508"/>
      <w:r>
        <w:rPr>
          <w:rFonts w:hint="eastAsia" w:ascii="仿宋_GB2312" w:hAnsi="楷体" w:eastAsia="仿宋_GB2312"/>
          <w:b/>
          <w:color w:val="000000" w:themeColor="text1"/>
          <w:sz w:val="24"/>
          <w:highlight w:val="none"/>
          <w14:textFill>
            <w14:solidFill>
              <w14:schemeClr w14:val="tx1"/>
            </w14:solidFill>
          </w14:textFill>
        </w:rPr>
        <w:t>2.13 不可抗力</w:t>
      </w:r>
      <w:bookmarkEnd w:id="182"/>
      <w:bookmarkEnd w:id="183"/>
      <w:bookmarkEnd w:id="184"/>
    </w:p>
    <w:p w14:paraId="1A61256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405ED2C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5FD1763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1C2BC16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6FAA58F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85" w:name="_Toc689"/>
      <w:bookmarkStart w:id="186" w:name="_Toc6969"/>
      <w:bookmarkStart w:id="187" w:name="_Toc487900365"/>
      <w:bookmarkStart w:id="188" w:name="_Toc279701255"/>
      <w:bookmarkStart w:id="189" w:name="_Toc259093684"/>
      <w:bookmarkStart w:id="190" w:name="_Toc30676"/>
      <w:r>
        <w:rPr>
          <w:rFonts w:hint="eastAsia" w:ascii="仿宋_GB2312" w:hAnsi="楷体" w:eastAsia="仿宋_GB2312"/>
          <w:b/>
          <w:color w:val="000000" w:themeColor="text1"/>
          <w:sz w:val="24"/>
          <w:highlight w:val="none"/>
          <w14:textFill>
            <w14:solidFill>
              <w14:schemeClr w14:val="tx1"/>
            </w14:solidFill>
          </w14:textFill>
        </w:rPr>
        <w:t>2.14 税费</w:t>
      </w:r>
      <w:bookmarkEnd w:id="185"/>
      <w:bookmarkEnd w:id="186"/>
      <w:bookmarkEnd w:id="187"/>
      <w:bookmarkEnd w:id="188"/>
      <w:bookmarkEnd w:id="189"/>
      <w:bookmarkEnd w:id="190"/>
    </w:p>
    <w:p w14:paraId="4F72B4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01427D5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91" w:name="_Toc259093687"/>
      <w:bookmarkStart w:id="192" w:name="_Toc8298"/>
      <w:bookmarkStart w:id="193" w:name="_Toc16959"/>
      <w:bookmarkStart w:id="194" w:name="_Toc279701258"/>
      <w:bookmarkStart w:id="195" w:name="_Toc7102"/>
      <w:bookmarkStart w:id="196" w:name="_Toc487900368"/>
      <w:r>
        <w:rPr>
          <w:rFonts w:hint="eastAsia" w:ascii="仿宋_GB2312" w:hAnsi="楷体" w:eastAsia="仿宋_GB2312"/>
          <w:b/>
          <w:color w:val="000000" w:themeColor="text1"/>
          <w:sz w:val="24"/>
          <w:highlight w:val="none"/>
          <w14:textFill>
            <w14:solidFill>
              <w14:schemeClr w14:val="tx1"/>
            </w14:solidFill>
          </w14:textFill>
        </w:rPr>
        <w:t>2.15 乙方破产</w:t>
      </w:r>
      <w:bookmarkEnd w:id="191"/>
      <w:bookmarkEnd w:id="192"/>
      <w:bookmarkEnd w:id="193"/>
      <w:bookmarkEnd w:id="194"/>
      <w:bookmarkEnd w:id="195"/>
      <w:bookmarkEnd w:id="196"/>
    </w:p>
    <w:p w14:paraId="7ABE4F1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C9E474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97" w:name="_Toc6134"/>
      <w:bookmarkStart w:id="198" w:name="_Toc15387"/>
      <w:bookmarkStart w:id="199" w:name="_Toc29333"/>
      <w:r>
        <w:rPr>
          <w:rFonts w:hint="eastAsia" w:ascii="仿宋_GB2312" w:hAnsi="楷体" w:eastAsia="仿宋_GB2312"/>
          <w:b/>
          <w:color w:val="000000" w:themeColor="text1"/>
          <w:sz w:val="24"/>
          <w:highlight w:val="none"/>
          <w14:textFill>
            <w14:solidFill>
              <w14:schemeClr w14:val="tx1"/>
            </w14:solidFill>
          </w14:textFill>
        </w:rPr>
        <w:t>2.16 合同中止、终止</w:t>
      </w:r>
      <w:bookmarkEnd w:id="197"/>
      <w:bookmarkEnd w:id="198"/>
      <w:bookmarkEnd w:id="199"/>
    </w:p>
    <w:p w14:paraId="19A1C67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7634C73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0AA6033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0" w:name="_Toc6596"/>
      <w:bookmarkStart w:id="201" w:name="_Toc14563"/>
      <w:bookmarkStart w:id="202" w:name="_Toc1125"/>
      <w:r>
        <w:rPr>
          <w:rFonts w:hint="eastAsia" w:ascii="仿宋_GB2312" w:hAnsi="楷体" w:eastAsia="仿宋_GB2312"/>
          <w:b/>
          <w:color w:val="000000" w:themeColor="text1"/>
          <w:sz w:val="24"/>
          <w:highlight w:val="none"/>
          <w14:textFill>
            <w14:solidFill>
              <w14:schemeClr w14:val="tx1"/>
            </w14:solidFill>
          </w14:textFill>
        </w:rPr>
        <w:t>2.17 检验和验收</w:t>
      </w:r>
      <w:bookmarkEnd w:id="200"/>
      <w:bookmarkEnd w:id="201"/>
      <w:bookmarkEnd w:id="202"/>
    </w:p>
    <w:p w14:paraId="05A288A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023D64F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5394DD3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bookmarkEnd w:id="172"/>
    <w:bookmarkEnd w:id="173"/>
    <w:bookmarkEnd w:id="174"/>
    <w:bookmarkEnd w:id="175"/>
    <w:p w14:paraId="0C5A00C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3" w:name="_Toc487900371"/>
      <w:bookmarkStart w:id="204" w:name="_Toc279701261"/>
      <w:bookmarkStart w:id="205" w:name="_Toc259093690"/>
      <w:bookmarkStart w:id="206" w:name="_Toc25182"/>
      <w:bookmarkStart w:id="207" w:name="_Toc11284"/>
      <w:bookmarkStart w:id="208" w:name="_Toc19604"/>
      <w:r>
        <w:rPr>
          <w:rFonts w:hint="eastAsia" w:ascii="仿宋_GB2312" w:hAnsi="楷体" w:eastAsia="仿宋_GB2312"/>
          <w:b/>
          <w:color w:val="000000" w:themeColor="text1"/>
          <w:sz w:val="24"/>
          <w:highlight w:val="none"/>
          <w14:textFill>
            <w14:solidFill>
              <w14:schemeClr w14:val="tx1"/>
            </w14:solidFill>
          </w14:textFill>
        </w:rPr>
        <w:t>2.18 通知</w:t>
      </w:r>
      <w:bookmarkEnd w:id="203"/>
      <w:bookmarkEnd w:id="204"/>
      <w:bookmarkEnd w:id="205"/>
      <w:r>
        <w:rPr>
          <w:rFonts w:hint="eastAsia" w:ascii="仿宋_GB2312" w:hAnsi="楷体" w:eastAsia="仿宋_GB2312"/>
          <w:b/>
          <w:color w:val="000000" w:themeColor="text1"/>
          <w:sz w:val="24"/>
          <w:highlight w:val="none"/>
          <w14:textFill>
            <w14:solidFill>
              <w14:schemeClr w14:val="tx1"/>
            </w14:solidFill>
          </w14:textFill>
        </w:rPr>
        <w:t>和送达</w:t>
      </w:r>
      <w:bookmarkEnd w:id="206"/>
      <w:bookmarkEnd w:id="207"/>
      <w:bookmarkEnd w:id="208"/>
    </w:p>
    <w:p w14:paraId="6A2EE5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09" w:name="_Toc6698"/>
      <w:bookmarkStart w:id="210" w:name="_Toc3135"/>
      <w:bookmarkStart w:id="211" w:name="_Toc259093691"/>
      <w:bookmarkStart w:id="212" w:name="_Toc279701262"/>
      <w:bookmarkStart w:id="213" w:name="_Toc487900372"/>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209"/>
      <w:bookmarkEnd w:id="210"/>
    </w:p>
    <w:p w14:paraId="2B5AF2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14" w:name="_Toc23294"/>
      <w:bookmarkStart w:id="215" w:name="_Toc23128"/>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14"/>
      <w:bookmarkEnd w:id="215"/>
    </w:p>
    <w:p w14:paraId="532A139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6" w:name="_Toc4355"/>
      <w:bookmarkStart w:id="217" w:name="_Toc30599"/>
      <w:bookmarkStart w:id="218" w:name="_Toc18540"/>
      <w:r>
        <w:rPr>
          <w:rFonts w:hint="eastAsia" w:ascii="仿宋_GB2312" w:hAnsi="楷体" w:eastAsia="仿宋_GB2312"/>
          <w:b/>
          <w:color w:val="000000" w:themeColor="text1"/>
          <w:sz w:val="24"/>
          <w:highlight w:val="none"/>
          <w14:textFill>
            <w14:solidFill>
              <w14:schemeClr w14:val="tx1"/>
            </w14:solidFill>
          </w14:textFill>
        </w:rPr>
        <w:t>2.19 计量单位</w:t>
      </w:r>
      <w:bookmarkEnd w:id="211"/>
      <w:bookmarkEnd w:id="212"/>
      <w:bookmarkEnd w:id="213"/>
      <w:bookmarkEnd w:id="216"/>
      <w:bookmarkEnd w:id="217"/>
      <w:bookmarkEnd w:id="218"/>
    </w:p>
    <w:p w14:paraId="6CE227A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740C0B2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9" w:name="_Toc259093692"/>
      <w:bookmarkStart w:id="220" w:name="_Toc12773"/>
      <w:bookmarkStart w:id="221" w:name="_Toc487900373"/>
      <w:bookmarkStart w:id="222" w:name="_Toc10330"/>
      <w:bookmarkStart w:id="223" w:name="_Toc279701263"/>
      <w:bookmarkStart w:id="224" w:name="_Toc18567"/>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bookmarkEnd w:id="219"/>
      <w:bookmarkEnd w:id="220"/>
      <w:bookmarkEnd w:id="221"/>
      <w:bookmarkEnd w:id="222"/>
      <w:bookmarkEnd w:id="223"/>
      <w:bookmarkEnd w:id="224"/>
    </w:p>
    <w:p w14:paraId="6C4DDEE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59639BC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2B47CD3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25" w:name="_Toc279701264"/>
      <w:bookmarkStart w:id="226" w:name="_Toc12004"/>
      <w:bookmarkStart w:id="227" w:name="_Toc16673"/>
      <w:bookmarkStart w:id="228" w:name="_Toc259093693"/>
      <w:bookmarkStart w:id="229" w:name="_Toc3148"/>
      <w:bookmarkStart w:id="230" w:name="_Toc487900374"/>
      <w:r>
        <w:rPr>
          <w:rFonts w:hint="eastAsia" w:ascii="仿宋_GB2312" w:hAnsi="楷体" w:eastAsia="仿宋_GB2312"/>
          <w:b/>
          <w:color w:val="000000" w:themeColor="text1"/>
          <w:sz w:val="24"/>
          <w:highlight w:val="none"/>
          <w14:textFill>
            <w14:solidFill>
              <w14:schemeClr w14:val="tx1"/>
            </w14:solidFill>
          </w14:textFill>
        </w:rPr>
        <w:t>2.21 履约保证金</w:t>
      </w:r>
      <w:bookmarkEnd w:id="225"/>
      <w:bookmarkEnd w:id="226"/>
      <w:bookmarkEnd w:id="227"/>
      <w:bookmarkEnd w:id="228"/>
      <w:bookmarkEnd w:id="229"/>
    </w:p>
    <w:p w14:paraId="17804D3B">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320193B7">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19D7BDA7">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□否）为中小企业“政采贷”可融资合同，关于中小企业信用融资事项见采购文件“供应商须知正文”。</w:t>
      </w:r>
    </w:p>
    <w:p w14:paraId="7B4A1FE2">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bookmarkEnd w:id="230"/>
    <w:p w14:paraId="5018E07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1" w:name="_Toc6885"/>
      <w:bookmarkStart w:id="232" w:name="_Toc14001"/>
      <w:bookmarkStart w:id="233" w:name="_Toc19890"/>
      <w:r>
        <w:rPr>
          <w:rFonts w:hint="eastAsia" w:ascii="仿宋_GB2312" w:hAnsi="楷体" w:eastAsia="仿宋_GB2312"/>
          <w:b/>
          <w:color w:val="000000" w:themeColor="text1"/>
          <w:sz w:val="24"/>
          <w:highlight w:val="none"/>
          <w14:textFill>
            <w14:solidFill>
              <w14:schemeClr w14:val="tx1"/>
            </w14:solidFill>
          </w14:textFill>
        </w:rPr>
        <w:t>2.23 合同份数</w:t>
      </w:r>
      <w:bookmarkEnd w:id="231"/>
      <w:bookmarkEnd w:id="232"/>
      <w:bookmarkEnd w:id="233"/>
    </w:p>
    <w:p w14:paraId="54BB4DE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714075D7">
      <w:pPr>
        <w:pStyle w:val="83"/>
        <w:ind w:left="0" w:leftChars="0" w:firstLine="0" w:firstLineChars="0"/>
        <w:jc w:val="center"/>
        <w:outlineLvl w:val="1"/>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bookmarkStart w:id="234" w:name="_Toc331685784"/>
      <w:bookmarkStart w:id="235" w:name="_Toc28961"/>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bookmarkEnd w:id="234"/>
      <w:bookmarkEnd w:id="235"/>
    </w:p>
    <w:p w14:paraId="5C58246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09A14D8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3.1具有知识产权的标的物知识产权归属：</w:t>
      </w:r>
    </w:p>
    <w:p w14:paraId="1E238C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242D65CB">
      <w:pPr>
        <w:spacing w:line="360" w:lineRule="auto"/>
        <w:ind w:firstLine="480" w:firstLineChars="200"/>
        <w:rPr>
          <w:rFonts w:hint="eastAsia" w:ascii="仿宋_GB2312" w:hAnsi="楷体" w:eastAsia="仿宋_GB2312"/>
          <w:color w:val="000000" w:themeColor="text1"/>
          <w:sz w:val="24"/>
          <w:highlight w:val="none"/>
          <w:lang w:eastAsia="zh-CN"/>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3.2包装和装运专用条款（如果有）：标的物或者在途标的物或者交付给第一承运人后的标的物毁损、灭失 的风险”由乙方承担</w:t>
      </w:r>
      <w:r>
        <w:rPr>
          <w:rFonts w:hint="eastAsia" w:ascii="仿宋_GB2312" w:hAnsi="楷体" w:eastAsia="仿宋_GB2312"/>
          <w:color w:val="000000" w:themeColor="text1"/>
          <w:sz w:val="24"/>
          <w:highlight w:val="none"/>
          <w:lang w:eastAsia="zh-CN"/>
          <w14:textFill>
            <w14:solidFill>
              <w14:schemeClr w14:val="tx1"/>
            </w14:solidFill>
          </w14:textFill>
        </w:rPr>
        <w:t>。</w:t>
      </w:r>
    </w:p>
    <w:p w14:paraId="54CCEF0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3F08311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3.3装运标的物的要求和通知：</w:t>
      </w:r>
    </w:p>
    <w:p w14:paraId="613A80A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2E63F2DB">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3.4</w:t>
      </w:r>
      <w:r>
        <w:rPr>
          <w:rFonts w:hint="eastAsia" w:ascii="仿宋_GB2312" w:hAnsi="楷体" w:eastAsia="仿宋_GB2312"/>
          <w:b/>
          <w:color w:val="000000" w:themeColor="text1"/>
          <w:sz w:val="24"/>
          <w:highlight w:val="none"/>
          <w14:textFill>
            <w14:solidFill>
              <w14:schemeClr w14:val="tx1"/>
            </w14:solidFill>
          </w14:textFill>
        </w:rPr>
        <w:t>结算方式和付款条件</w:t>
      </w:r>
    </w:p>
    <w:p w14:paraId="6B6CB768">
      <w:pPr>
        <w:spacing w:line="360" w:lineRule="auto"/>
        <w:ind w:firstLine="480" w:firstLineChars="20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hAns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55A1775F">
      <w:pPr>
        <w:spacing w:line="360" w:lineRule="auto"/>
        <w:ind w:firstLine="480" w:firstLineChars="20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p>
    <w:p w14:paraId="01A54B5A">
      <w:pPr>
        <w:spacing w:line="360" w:lineRule="auto"/>
        <w:ind w:firstLine="480" w:firstLineChars="20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p>
    <w:p w14:paraId="15665078">
      <w:pPr>
        <w:spacing w:line="360" w:lineRule="auto"/>
        <w:ind w:firstLine="480" w:firstLineChars="20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p>
    <w:p w14:paraId="77F962EE">
      <w:pPr>
        <w:spacing w:line="360" w:lineRule="auto"/>
        <w:ind w:firstLine="480" w:firstLineChars="200"/>
        <w:rPr>
          <w:rFonts w:hint="eastAsia" w:ascii="仿宋_GB2312" w:hAns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hAnsi="仿宋_GB2312" w:eastAsia="仿宋_GB2312" w:cs="仿宋_GB2312"/>
          <w:color w:val="000000" w:themeColor="text1"/>
          <w:kern w:val="0"/>
          <w:sz w:val="24"/>
          <w:highlight w:val="none"/>
          <w14:textFill>
            <w14:solidFill>
              <w14:schemeClr w14:val="tx1"/>
            </w14:solidFill>
          </w14:textFill>
        </w:rPr>
        <w:t>二</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w:t>
      </w:r>
    </w:p>
    <w:p w14:paraId="429146AE">
      <w:pPr>
        <w:spacing w:line="360" w:lineRule="auto"/>
        <w:ind w:firstLine="480" w:firstLineChars="20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p>
    <w:p w14:paraId="729CC45C">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甲方无故逾期支付货物费用的，按照每逾期一日支付欠付货物费额度的</w:t>
      </w:r>
      <w:r>
        <w:rPr>
          <w:rFonts w:hint="eastAsia" w:ascii="仿宋_GB2312" w:hAnsi="仿宋" w:eastAsia="仿宋_GB2312"/>
          <w:color w:val="000000" w:themeColor="text1"/>
          <w:sz w:val="24"/>
          <w:highlight w:val="none"/>
          <w:u w:val="single"/>
          <w14:textFill>
            <w14:solidFill>
              <w14:schemeClr w14:val="tx1"/>
            </w14:solidFill>
          </w14:textFill>
        </w:rPr>
        <w:t>万分之五</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3A95F8B9">
      <w:pPr>
        <w:spacing w:line="360" w:lineRule="auto"/>
        <w:ind w:firstLine="480" w:firstLineChars="200"/>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lang w:val="zh-CN"/>
          <w14:textFill>
            <w14:solidFill>
              <w14:schemeClr w14:val="tx1"/>
            </w14:solidFill>
          </w14:textFill>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585A4350">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206B62E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457A3BA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2C7235D1">
      <w:pPr>
        <w:spacing w:line="360" w:lineRule="auto"/>
        <w:ind w:firstLine="480" w:firstLineChars="200"/>
        <w:rPr>
          <w:rFonts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3.5.1受不可抗力影响的一方在不可抗力发生后，应在日内以书面形式通知对方当事人，并在日内，将有关部门出具的证明文件送达对方当事人。</w:t>
      </w:r>
    </w:p>
    <w:p w14:paraId="3B954114">
      <w:pPr>
        <w:spacing w:line="360" w:lineRule="auto"/>
        <w:ind w:firstLine="480" w:firstLineChars="200"/>
        <w:rPr>
          <w:rFonts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3.5.2因不可抗力致使合同有变更必要的，双方当事人应在日内以书面形式变更合同；</w:t>
      </w:r>
    </w:p>
    <w:p w14:paraId="3B1E1D45">
      <w:pPr>
        <w:spacing w:line="360" w:lineRule="auto"/>
        <w:ind w:firstLine="480" w:firstLineChars="200"/>
        <w:rPr>
          <w:rFonts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3.5.3标的物交付前，乙方应对标的物的质量、数量等方面进行详细、全面的检验，并向甲方出具证明标的物符合合同约定的文件；标的物交付时，乙方在日内发起验收，并可依法邀请相关方参加，验收应出具验收书。</w:t>
      </w:r>
    </w:p>
    <w:p w14:paraId="66B5F5F1">
      <w:pPr>
        <w:spacing w:line="360" w:lineRule="auto"/>
        <w:ind w:firstLine="480" w:firstLineChars="200"/>
        <w:rPr>
          <w:rFonts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3.5.4 检验和验收标准、程序等具体内容以及前述验收书的效力：</w:t>
      </w:r>
    </w:p>
    <w:p w14:paraId="477D4F24">
      <w:pPr>
        <w:spacing w:line="360" w:lineRule="auto"/>
        <w:ind w:firstLine="480" w:firstLineChars="200"/>
        <w:rPr>
          <w:rFonts w:ascii="仿宋_GB2312" w:hAnsi="楷体" w:eastAsia="仿宋_GB2312"/>
          <w:color w:val="000000" w:themeColor="text1"/>
          <w:sz w:val="24"/>
          <w:highlight w:val="none"/>
          <w:u w:val="single"/>
          <w14:textFill>
            <w14:solidFill>
              <w14:schemeClr w14:val="tx1"/>
            </w14:solidFill>
          </w14:textFill>
        </w:rPr>
      </w:pPr>
    </w:p>
    <w:p w14:paraId="3B7BFAF4">
      <w:pPr>
        <w:spacing w:line="360" w:lineRule="auto"/>
        <w:ind w:firstLine="480" w:firstLineChars="200"/>
        <w:rPr>
          <w:rFonts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3.5.5其他：</w:t>
      </w:r>
    </w:p>
    <w:p w14:paraId="5F19DAF0">
      <w:pPr>
        <w:spacing w:line="360" w:lineRule="auto"/>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3.6项目验收：</w:t>
      </w:r>
    </w:p>
    <w:p w14:paraId="158F000B">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3.6.1甲方参照《南宁市政府采购供应商履约验收评价管理办法》（南财采</w:t>
      </w:r>
      <w:r>
        <w:rPr>
          <w:rFonts w:hint="eastAsia" w:ascii="仿宋" w:hAnsi="仿宋" w:eastAsia="仿宋" w:cs="仿宋"/>
          <w:color w:val="000000" w:themeColor="text1"/>
          <w:kern w:val="0"/>
          <w:sz w:val="24"/>
          <w:highlight w:val="none"/>
          <w:lang w:eastAsia="zh-CN"/>
          <w14:textFill>
            <w14:solidFill>
              <w14:schemeClr w14:val="tx1"/>
            </w14:solidFill>
          </w14:textFill>
        </w:rPr>
        <w:t>〔2019〕217号</w:t>
      </w:r>
      <w:r>
        <w:rPr>
          <w:rFonts w:hint="eastAsia" w:ascii="仿宋" w:hAnsi="仿宋" w:eastAsia="仿宋" w:cs="仿宋"/>
          <w:color w:val="000000" w:themeColor="text1"/>
          <w:kern w:val="0"/>
          <w:sz w:val="24"/>
          <w:highlight w:val="none"/>
          <w14:textFill>
            <w14:solidFill>
              <w14:schemeClr w14:val="tx1"/>
            </w14:solidFill>
          </w14:textFill>
        </w:rPr>
        <w:t>）规定组织对乙方履约的验收。验收方成员应当在验收书上签字，并承担相应的法律责任。如果发现与合同中要求不符，乙方须承担由此发生的一切损失和费用，并接受相应的处理。</w:t>
      </w:r>
    </w:p>
    <w:p w14:paraId="3871713A">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1FD1BF5E">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269DED5">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3.6.4验收产生的费用</w:t>
      </w: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支付。</w:t>
      </w:r>
    </w:p>
    <w:p w14:paraId="7D0E797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3.6.5验收内容及资料要求：</w:t>
      </w:r>
    </w:p>
    <w:p w14:paraId="5411AAC4">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根据采购文件确定的技术指标或者货物要求确定验收指标和标准。未进行相应约定的，应当符合国家强制性规定、政策要求、安全标准、行业或企业有关标准等。</w:t>
      </w:r>
    </w:p>
    <w:p w14:paraId="42D0AB41">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3.6.6验收内容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3A61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2EB5DDB">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04412E4">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51F04B4E">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4E2E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79D5FB8">
            <w:pPr>
              <w:widowControl/>
              <w:spacing w:line="360" w:lineRule="auto"/>
              <w:ind w:firstLine="200"/>
              <w:jc w:val="both"/>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16888F8">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22C204B">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41AA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DBCF3D7">
            <w:pPr>
              <w:widowControl/>
              <w:spacing w:line="360" w:lineRule="auto"/>
              <w:ind w:firstLine="200"/>
              <w:jc w:val="both"/>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8E598A5">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5F348986">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640D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EA5293E">
            <w:pPr>
              <w:widowControl/>
              <w:spacing w:line="360" w:lineRule="auto"/>
              <w:ind w:firstLine="200"/>
              <w:jc w:val="both"/>
              <w:rPr>
                <w:rFonts w:hint="eastAsia" w:ascii="仿宋" w:hAnsi="仿宋" w:eastAsia="仿宋" w:cs="仿宋"/>
                <w:bCs/>
                <w:color w:val="000000" w:themeColor="text1"/>
                <w:kern w:val="0"/>
                <w:sz w:val="24"/>
                <w:highlight w:val="none"/>
                <w:lang w:eastAsia="zh-CN"/>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56FBE12">
            <w:pPr>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50078B62">
            <w:pPr>
              <w:pStyle w:val="13"/>
              <w:spacing w:after="0" w:line="360" w:lineRule="auto"/>
              <w:ind w:firstLine="200"/>
              <w:jc w:val="left"/>
              <w:rPr>
                <w:rFonts w:hint="eastAsia" w:ascii="仿宋" w:hAnsi="仿宋" w:eastAsia="仿宋" w:cs="仿宋"/>
                <w:color w:val="000000" w:themeColor="text1"/>
                <w:highlight w:val="none"/>
                <w14:textFill>
                  <w14:solidFill>
                    <w14:schemeClr w14:val="tx1"/>
                  </w14:solidFill>
                </w14:textFill>
              </w:rPr>
            </w:pPr>
          </w:p>
        </w:tc>
      </w:tr>
      <w:tr w14:paraId="3291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2D5CE63">
            <w:pPr>
              <w:widowControl/>
              <w:spacing w:line="360" w:lineRule="auto"/>
              <w:ind w:firstLine="200"/>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19EC69C">
            <w:pPr>
              <w:spacing w:line="360" w:lineRule="auto"/>
              <w:ind w:firstLine="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p w14:paraId="6F08EA9C">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189EDEE">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6EF2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EE3198F">
            <w:pPr>
              <w:widowControl/>
              <w:spacing w:line="360" w:lineRule="auto"/>
              <w:ind w:firstLine="200"/>
              <w:jc w:val="both"/>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8FB987C">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A857AF1">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p>
        </w:tc>
      </w:tr>
    </w:tbl>
    <w:p w14:paraId="05A36BEF">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39C9FCEF">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3.6.7验收资料要求</w:t>
      </w:r>
    </w:p>
    <w:p w14:paraId="2366305D">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验收资料要求包括（不限于）以下内容：</w:t>
      </w:r>
    </w:p>
    <w:p w14:paraId="7A3493FA">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（1）采购文件；</w:t>
      </w:r>
    </w:p>
    <w:p w14:paraId="45D870C7">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（2）响应文件；</w:t>
      </w:r>
    </w:p>
    <w:p w14:paraId="12744671">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（3）采购合同；</w:t>
      </w:r>
    </w:p>
    <w:p w14:paraId="5E8D4AC1">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（4）其他需提供的相关材料：（由业主根据实际情况填写）。</w:t>
      </w:r>
    </w:p>
    <w:p w14:paraId="0BFF57E1">
      <w:pPr>
        <w:widowControl/>
        <w:ind w:firstLine="720" w:firstLineChars="300"/>
        <w:jc w:val="left"/>
        <w:rPr>
          <w:rFonts w:hint="eastAsia" w:ascii="仿宋" w:hAnsi="仿宋" w:eastAsia="仿宋"/>
          <w:bCs/>
          <w:color w:val="000000" w:themeColor="text1"/>
          <w:sz w:val="24"/>
          <w:highlight w:val="none"/>
          <w14:textFill>
            <w14:solidFill>
              <w14:schemeClr w14:val="tx1"/>
            </w14:solidFill>
          </w14:textFill>
        </w:rPr>
      </w:pPr>
    </w:p>
    <w:p w14:paraId="468F7DD8">
      <w:pPr>
        <w:tabs>
          <w:tab w:val="left" w:pos="3261"/>
        </w:tabs>
        <w:spacing w:line="360" w:lineRule="auto"/>
        <w:rPr>
          <w:rFonts w:hint="eastAsia" w:ascii="宋体" w:hAnsi="宋体" w:cs="仿宋_GB2312"/>
          <w:b/>
          <w:color w:val="000000" w:themeColor="text1"/>
          <w:sz w:val="44"/>
          <w:szCs w:val="44"/>
          <w:highlight w:val="none"/>
          <w14:textFill>
            <w14:solidFill>
              <w14:schemeClr w14:val="tx1"/>
            </w14:solidFill>
          </w14:textFill>
        </w:rPr>
      </w:pPr>
    </w:p>
    <w:p w14:paraId="13AA6BCE">
      <w:pPr>
        <w:tabs>
          <w:tab w:val="left" w:pos="3261"/>
        </w:tabs>
        <w:spacing w:line="360" w:lineRule="auto"/>
        <w:jc w:val="both"/>
        <w:rPr>
          <w:rFonts w:hint="eastAsia" w:ascii="宋体" w:hAnsi="宋体" w:cs="仿宋_GB2312"/>
          <w:b/>
          <w:color w:val="000000" w:themeColor="text1"/>
          <w:sz w:val="44"/>
          <w:szCs w:val="44"/>
          <w:highlight w:val="none"/>
          <w14:textFill>
            <w14:solidFill>
              <w14:schemeClr w14:val="tx1"/>
            </w14:solidFill>
          </w14:textFill>
        </w:rPr>
      </w:pPr>
    </w:p>
    <w:p w14:paraId="6920682E">
      <w:pPr>
        <w:tabs>
          <w:tab w:val="left" w:pos="3261"/>
        </w:tabs>
        <w:spacing w:line="360" w:lineRule="auto"/>
        <w:jc w:val="center"/>
        <w:rPr>
          <w:rFonts w:hint="eastAsia" w:ascii="宋体" w:hAnsi="宋体" w:cs="仿宋_GB2312"/>
          <w:b/>
          <w:color w:val="000000" w:themeColor="text1"/>
          <w:sz w:val="44"/>
          <w:szCs w:val="44"/>
          <w:highlight w:val="none"/>
          <w14:textFill>
            <w14:solidFill>
              <w14:schemeClr w14:val="tx1"/>
            </w14:solidFill>
          </w14:textFill>
        </w:rPr>
      </w:pPr>
    </w:p>
    <w:p w14:paraId="32404CB8">
      <w:pPr>
        <w:tabs>
          <w:tab w:val="left" w:pos="3261"/>
        </w:tabs>
        <w:spacing w:line="360" w:lineRule="auto"/>
        <w:jc w:val="center"/>
        <w:rPr>
          <w:rFonts w:hint="eastAsia" w:ascii="宋体" w:hAnsi="宋体" w:cs="仿宋_GB2312"/>
          <w:b/>
          <w:color w:val="000000" w:themeColor="text1"/>
          <w:sz w:val="44"/>
          <w:szCs w:val="44"/>
          <w:highlight w:val="none"/>
          <w14:textFill>
            <w14:solidFill>
              <w14:schemeClr w14:val="tx1"/>
            </w14:solidFill>
          </w14:textFill>
        </w:rPr>
      </w:pPr>
    </w:p>
    <w:p w14:paraId="101B6C1A">
      <w:pPr>
        <w:jc w:val="center"/>
        <w:rPr>
          <w:rFonts w:hint="eastAsia" w:ascii="宋体" w:hAnsi="宋体" w:cs="仿宋_GB2312"/>
          <w:b/>
          <w:color w:val="000000" w:themeColor="text1"/>
          <w:highlight w:val="none"/>
          <w14:textFill>
            <w14:solidFill>
              <w14:schemeClr w14:val="tx1"/>
            </w14:solidFill>
          </w14:textFill>
        </w:rPr>
      </w:pPr>
    </w:p>
    <w:p w14:paraId="355CD462">
      <w:pPr>
        <w:jc w:val="center"/>
        <w:rPr>
          <w:rFonts w:hint="eastAsia" w:ascii="宋体" w:hAnsi="宋体" w:cs="仿宋_GB2312"/>
          <w:b/>
          <w:color w:val="000000" w:themeColor="text1"/>
          <w:highlight w:val="none"/>
          <w14:textFill>
            <w14:solidFill>
              <w14:schemeClr w14:val="tx1"/>
            </w14:solidFill>
          </w14:textFill>
        </w:rPr>
      </w:pPr>
    </w:p>
    <w:p w14:paraId="3BF58554">
      <w:pPr>
        <w:pStyle w:val="2"/>
        <w:jc w:val="center"/>
        <w:rPr>
          <w:rFonts w:hint="eastAsia" w:ascii="宋体" w:hAnsi="宋体" w:cs="仿宋_GB2312"/>
          <w:color w:val="000000" w:themeColor="text1"/>
          <w:highlight w:val="none"/>
          <w14:textFill>
            <w14:solidFill>
              <w14:schemeClr w14:val="tx1"/>
            </w14:solidFill>
          </w14:textFill>
        </w:rPr>
      </w:pPr>
      <w:bookmarkStart w:id="236" w:name="_Toc30623"/>
      <w:r>
        <w:rPr>
          <w:rFonts w:hint="eastAsia" w:ascii="宋体" w:hAnsi="宋体" w:cs="仿宋_GB2312"/>
          <w:b w:val="0"/>
          <w:color w:val="000000" w:themeColor="text1"/>
          <w:highlight w:val="none"/>
          <w14:textFill>
            <w14:solidFill>
              <w14:schemeClr w14:val="tx1"/>
            </w14:solidFill>
          </w14:textFill>
        </w:rPr>
        <w:t>第七章 质疑、投诉材料格式</w:t>
      </w:r>
      <w:bookmarkEnd w:id="236"/>
    </w:p>
    <w:p w14:paraId="6D36D968">
      <w:pPr>
        <w:widowControl/>
        <w:spacing w:line="576" w:lineRule="auto"/>
        <w:jc w:val="left"/>
        <w:rPr>
          <w:rFonts w:ascii="宋体" w:hAnsi="宋体" w:cs="仿宋_GB2312"/>
          <w:b/>
          <w:bCs/>
          <w:color w:val="000000" w:themeColor="text1"/>
          <w:kern w:val="44"/>
          <w:sz w:val="44"/>
          <w:szCs w:val="44"/>
          <w:highlight w:val="none"/>
          <w14:textFill>
            <w14:solidFill>
              <w14:schemeClr w14:val="tx1"/>
            </w14:solidFill>
          </w14:textFill>
        </w:rPr>
        <w:sectPr>
          <w:pgSz w:w="11910" w:h="16840"/>
          <w:pgMar w:top="1440" w:right="1080" w:bottom="1440" w:left="1080" w:header="720" w:footer="720" w:gutter="0"/>
          <w:pgNumType w:fmt="decimal"/>
          <w:cols w:space="720" w:num="1"/>
        </w:sectPr>
      </w:pPr>
    </w:p>
    <w:p w14:paraId="12930761">
      <w:pPr>
        <w:spacing w:line="360" w:lineRule="auto"/>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质疑函（格式）</w:t>
      </w:r>
    </w:p>
    <w:p w14:paraId="04CC1AF6">
      <w:pPr>
        <w:pStyle w:val="17"/>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一、质疑供应商基本信息：</w:t>
      </w:r>
    </w:p>
    <w:p w14:paraId="135E1B25">
      <w:pPr>
        <w:pStyle w:val="17"/>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1C28DAC">
      <w:pPr>
        <w:pStyle w:val="17"/>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258CE2B9">
      <w:pPr>
        <w:pStyle w:val="17"/>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p>
    <w:p w14:paraId="6E9DA45D">
      <w:pPr>
        <w:pStyle w:val="17"/>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p>
    <w:p w14:paraId="50081342">
      <w:pPr>
        <w:pStyle w:val="17"/>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p>
    <w:p w14:paraId="4A9D77DD">
      <w:pPr>
        <w:pStyle w:val="17"/>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03AB05C3">
      <w:pPr>
        <w:pStyle w:val="17"/>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二、质疑项目基本情况：</w:t>
      </w:r>
    </w:p>
    <w:p w14:paraId="746E139E">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lang w:eastAsia="zh-CN"/>
          <w14:textFill>
            <w14:solidFill>
              <w14:schemeClr w14:val="tx1"/>
            </w14:solidFill>
          </w14:textFill>
        </w:rPr>
        <w:t>南宁市第一看守所2026年度在押人员伙房伙食灶醇基液体燃料采购</w:t>
      </w:r>
      <w:r>
        <w:rPr>
          <w:rFonts w:hint="eastAsia" w:hAnsi="宋体"/>
          <w:bCs/>
          <w:color w:val="000000" w:themeColor="text1"/>
          <w:sz w:val="24"/>
          <w:szCs w:val="24"/>
          <w:highlight w:val="none"/>
          <w:u w:val="single"/>
          <w14:textFill>
            <w14:solidFill>
              <w14:schemeClr w14:val="tx1"/>
            </w14:solidFill>
          </w14:textFill>
        </w:rPr>
        <w:t xml:space="preserve"> </w:t>
      </w:r>
    </w:p>
    <w:p w14:paraId="22531AF2">
      <w:pPr>
        <w:pStyle w:val="17"/>
        <w:spacing w:line="360" w:lineRule="auto"/>
        <w:ind w:left="25" w:leftChars="12" w:firstLine="472" w:firstLineChars="197"/>
        <w:contextualSpacing/>
        <w:rPr>
          <w:rFonts w:hint="default" w:hAnsi="宋体"/>
          <w:color w:val="000000" w:themeColor="text1"/>
          <w:sz w:val="24"/>
          <w:szCs w:val="24"/>
          <w:highlight w:val="none"/>
          <w:lang w:val="en-US"/>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lang w:val="en-US" w:eastAsia="zh-CN"/>
          <w14:textFill>
            <w14:solidFill>
              <w14:schemeClr w14:val="tx1"/>
            </w14:solidFill>
          </w14:textFill>
        </w:rPr>
        <w:t xml:space="preserve">                      </w:t>
      </w:r>
    </w:p>
    <w:p w14:paraId="07A29596">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lang w:eastAsia="zh-CN"/>
          <w14:textFill>
            <w14:solidFill>
              <w14:schemeClr w14:val="tx1"/>
            </w14:solidFill>
          </w14:textFill>
        </w:rPr>
        <w:t>南宁市第一看守所</w:t>
      </w:r>
      <w:r>
        <w:rPr>
          <w:rFonts w:hint="eastAsia" w:hAnsi="宋体"/>
          <w:bCs/>
          <w:color w:val="000000" w:themeColor="text1"/>
          <w:sz w:val="24"/>
          <w:szCs w:val="24"/>
          <w:highlight w:val="none"/>
          <w:u w:val="single"/>
          <w14:textFill>
            <w14:solidFill>
              <w14:schemeClr w14:val="tx1"/>
            </w14:solidFill>
          </w14:textFill>
        </w:rPr>
        <w:t xml:space="preserve"> </w:t>
      </w:r>
    </w:p>
    <w:p w14:paraId="1DA41CBC">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w:t>
      </w:r>
    </w:p>
    <w:p w14:paraId="0C4C28E9">
      <w:pPr>
        <w:pStyle w:val="17"/>
        <w:spacing w:line="360" w:lineRule="auto"/>
        <w:ind w:left="25" w:leftChars="12" w:firstLine="352" w:firstLineChars="14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□采购文件   采购文件获取日期：</w:t>
      </w:r>
      <w:r>
        <w:rPr>
          <w:rFonts w:hint="eastAsia" w:hAnsi="宋体"/>
          <w:bCs/>
          <w:color w:val="000000" w:themeColor="text1"/>
          <w:sz w:val="24"/>
          <w:szCs w:val="24"/>
          <w:highlight w:val="none"/>
          <w:u w:val="single"/>
          <w14:textFill>
            <w14:solidFill>
              <w14:schemeClr w14:val="tx1"/>
            </w14:solidFill>
          </w14:textFill>
        </w:rPr>
        <w:t xml:space="preserve">                                   </w:t>
      </w:r>
    </w:p>
    <w:p w14:paraId="0420B720">
      <w:pPr>
        <w:pStyle w:val="17"/>
        <w:spacing w:line="360" w:lineRule="auto"/>
        <w:ind w:left="25" w:leftChars="12" w:firstLine="352" w:firstLineChars="14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□采购过程   </w:t>
      </w:r>
    </w:p>
    <w:p w14:paraId="490F65C3">
      <w:pPr>
        <w:pStyle w:val="17"/>
        <w:spacing w:line="360" w:lineRule="auto"/>
        <w:ind w:left="25" w:leftChars="12" w:firstLine="352" w:firstLineChars="147"/>
        <w:contextualSpacing/>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□成交结果   </w:t>
      </w:r>
    </w:p>
    <w:p w14:paraId="5CFC64A5">
      <w:pPr>
        <w:pStyle w:val="17"/>
        <w:spacing w:line="360" w:lineRule="auto"/>
        <w:ind w:left="25" w:leftChars="12" w:firstLine="472" w:firstLineChars="196"/>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三、质疑事项具体内容</w:t>
      </w:r>
    </w:p>
    <w:p w14:paraId="796D2343">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质疑事项1：</w:t>
      </w:r>
      <w:r>
        <w:rPr>
          <w:rFonts w:hint="eastAsia" w:hAnsi="宋体"/>
          <w:bCs/>
          <w:color w:val="000000" w:themeColor="text1"/>
          <w:sz w:val="24"/>
          <w:szCs w:val="24"/>
          <w:highlight w:val="none"/>
          <w:u w:val="single"/>
          <w14:textFill>
            <w14:solidFill>
              <w14:schemeClr w14:val="tx1"/>
            </w14:solidFill>
          </w14:textFill>
        </w:rPr>
        <w:t xml:space="preserve">                                                                    </w:t>
      </w:r>
    </w:p>
    <w:p w14:paraId="44061DF8">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事实依据：</w:t>
      </w:r>
      <w:r>
        <w:rPr>
          <w:rFonts w:hint="eastAsia" w:hAnsi="宋体"/>
          <w:bCs/>
          <w:color w:val="000000" w:themeColor="text1"/>
          <w:sz w:val="24"/>
          <w:szCs w:val="24"/>
          <w:highlight w:val="none"/>
          <w:u w:val="single"/>
          <w14:textFill>
            <w14:solidFill>
              <w14:schemeClr w14:val="tx1"/>
            </w14:solidFill>
          </w14:textFill>
        </w:rPr>
        <w:t xml:space="preserve">                                                                      </w:t>
      </w:r>
    </w:p>
    <w:p w14:paraId="75A19917">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6D80D16">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质疑事项2</w:t>
      </w:r>
    </w:p>
    <w:p w14:paraId="6ADC493F">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w:t>
      </w:r>
    </w:p>
    <w:p w14:paraId="3847B336">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四、与质疑事项相关的质疑请求：</w:t>
      </w:r>
    </w:p>
    <w:p w14:paraId="093C8E17">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4C2BD47F">
      <w:pPr>
        <w:pStyle w:val="17"/>
        <w:spacing w:line="360" w:lineRule="auto"/>
        <w:ind w:left="25" w:leftChars="12" w:firstLine="352" w:firstLineChars="147"/>
        <w:contextualSpacing/>
        <w:rPr>
          <w:rFonts w:hint="eastAsia" w:hAnsi="宋体"/>
          <w:color w:val="000000" w:themeColor="text1"/>
          <w:sz w:val="24"/>
          <w:szCs w:val="24"/>
          <w:highlight w:val="none"/>
          <w14:textFill>
            <w14:solidFill>
              <w14:schemeClr w14:val="tx1"/>
            </w14:solidFill>
          </w14:textFill>
        </w:rPr>
      </w:pPr>
    </w:p>
    <w:p w14:paraId="08DC37BC">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78901121">
      <w:pPr>
        <w:pStyle w:val="17"/>
        <w:spacing w:line="360" w:lineRule="auto"/>
        <w:ind w:left="25" w:leftChars="12" w:firstLine="352" w:firstLineChars="147"/>
        <w:contextualSpacing/>
        <w:rPr>
          <w:rFonts w:hint="eastAsia" w:hAnsi="宋体"/>
          <w:color w:val="000000" w:themeColor="text1"/>
          <w:sz w:val="24"/>
          <w:szCs w:val="24"/>
          <w:highlight w:val="none"/>
          <w14:textFill>
            <w14:solidFill>
              <w14:schemeClr w14:val="tx1"/>
            </w14:solidFill>
          </w14:textFill>
        </w:rPr>
      </w:pPr>
    </w:p>
    <w:p w14:paraId="3B7DF0FC">
      <w:pPr>
        <w:pStyle w:val="17"/>
        <w:spacing w:line="360" w:lineRule="auto"/>
        <w:ind w:left="25" w:leftChars="12" w:firstLine="472" w:firstLineChars="197"/>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3AACBC3B">
      <w:pPr>
        <w:pStyle w:val="17"/>
        <w:spacing w:line="360" w:lineRule="auto"/>
        <w:ind w:firstLine="482"/>
        <w:rPr>
          <w:rFonts w:hint="eastAsia" w:hAnsi="宋体"/>
          <w:b/>
          <w:color w:val="000000" w:themeColor="text1"/>
          <w:sz w:val="24"/>
          <w:szCs w:val="24"/>
          <w:highlight w:val="none"/>
          <w14:textFill>
            <w14:solidFill>
              <w14:schemeClr w14:val="tx1"/>
            </w14:solidFill>
          </w14:textFill>
        </w:rPr>
      </w:pPr>
    </w:p>
    <w:p w14:paraId="5FB2DC77">
      <w:pPr>
        <w:pStyle w:val="17"/>
        <w:spacing w:line="360" w:lineRule="auto"/>
        <w:ind w:firstLine="482"/>
        <w:rPr>
          <w:rFonts w:hint="eastAsia" w:hAnsi="宋体"/>
          <w:b/>
          <w:color w:val="000000" w:themeColor="text1"/>
          <w:sz w:val="24"/>
          <w:szCs w:val="24"/>
          <w:highlight w:val="none"/>
          <w14:textFill>
            <w14:solidFill>
              <w14:schemeClr w14:val="tx1"/>
            </w14:solidFill>
          </w14:textFill>
        </w:rPr>
      </w:pPr>
    </w:p>
    <w:p w14:paraId="7B3A9A5B">
      <w:pPr>
        <w:pStyle w:val="17"/>
        <w:spacing w:line="360" w:lineRule="auto"/>
        <w:ind w:firstLine="482"/>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51893916">
      <w:pPr>
        <w:pStyle w:val="17"/>
        <w:spacing w:line="360" w:lineRule="auto"/>
        <w:ind w:left="25" w:leftChars="12" w:firstLine="354" w:firstLineChars="147"/>
        <w:contextualSpacing/>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1.供应商提出质疑时，应提交质疑函和必要的证明材料</w:t>
      </w:r>
      <w:r>
        <w:rPr>
          <w:rFonts w:hint="eastAsia" w:hAnsi="宋体"/>
          <w:b/>
          <w:bCs/>
          <w:color w:val="000000" w:themeColor="text1"/>
          <w:sz w:val="24"/>
          <w:szCs w:val="24"/>
          <w:highlight w:val="none"/>
          <w14:textFill>
            <w14:solidFill>
              <w14:schemeClr w14:val="tx1"/>
            </w14:solidFill>
          </w14:textFill>
        </w:rPr>
        <w:t>。</w:t>
      </w:r>
    </w:p>
    <w:p w14:paraId="4D08E357">
      <w:pPr>
        <w:pStyle w:val="17"/>
        <w:spacing w:line="360" w:lineRule="auto"/>
        <w:ind w:left="25" w:leftChars="12" w:firstLine="354" w:firstLineChars="147"/>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E4ED4E1">
      <w:pPr>
        <w:pStyle w:val="17"/>
        <w:spacing w:line="360" w:lineRule="auto"/>
        <w:ind w:left="25" w:leftChars="12" w:firstLine="354" w:firstLineChars="147"/>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3.质疑函的质疑事项应具体、明确，并有必要的事实依据和法律依据。</w:t>
      </w:r>
    </w:p>
    <w:p w14:paraId="1D33FF71">
      <w:pPr>
        <w:pStyle w:val="17"/>
        <w:spacing w:line="360" w:lineRule="auto"/>
        <w:ind w:left="25" w:leftChars="12" w:firstLine="354" w:firstLineChars="147"/>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4.质疑函的质疑请求应与质疑事项相关。</w:t>
      </w:r>
    </w:p>
    <w:p w14:paraId="7DA45EF0">
      <w:pPr>
        <w:pStyle w:val="17"/>
        <w:spacing w:line="360" w:lineRule="auto"/>
        <w:ind w:left="25" w:leftChars="12" w:firstLine="354" w:firstLineChars="147"/>
        <w:contextualSpacing/>
        <w:rPr>
          <w:rFonts w:hint="eastAsia"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5.质疑供应商为法人或者其他组织的，质疑函应由法定代表人、主要负责人，或者其授权代表签字或者盖章，并加盖公章。</w:t>
      </w:r>
    </w:p>
    <w:p w14:paraId="610589A9">
      <w:pPr>
        <w:pStyle w:val="17"/>
        <w:snapToGrid w:val="0"/>
        <w:ind w:firstLine="482"/>
        <w:rPr>
          <w:rFonts w:hint="eastAsia"/>
          <w:b/>
          <w:color w:val="000000" w:themeColor="text1"/>
          <w:sz w:val="24"/>
          <w:szCs w:val="24"/>
          <w:highlight w:val="none"/>
          <w14:textFill>
            <w14:solidFill>
              <w14:schemeClr w14:val="tx1"/>
            </w14:solidFill>
          </w14:textFill>
        </w:rPr>
      </w:pPr>
    </w:p>
    <w:p w14:paraId="5BAF9459">
      <w:pPr>
        <w:spacing w:line="460" w:lineRule="exact"/>
        <w:jc w:val="center"/>
        <w:rPr>
          <w:rFonts w:hint="eastAsia" w:eastAsia="隶书"/>
          <w:color w:val="000000" w:themeColor="text1"/>
          <w:sz w:val="44"/>
          <w:highlight w:val="none"/>
          <w14:textFill>
            <w14:solidFill>
              <w14:schemeClr w14:val="tx1"/>
            </w14:solidFill>
          </w14:textFill>
        </w:rPr>
      </w:pPr>
      <w:r>
        <w:rPr>
          <w:rFonts w:eastAsia="隶书"/>
          <w:color w:val="000000" w:themeColor="text1"/>
          <w:sz w:val="44"/>
          <w:highlight w:val="none"/>
          <w14:textFill>
            <w14:solidFill>
              <w14:schemeClr w14:val="tx1"/>
            </w14:solidFill>
          </w14:textFill>
        </w:rPr>
        <w:br w:type="page"/>
      </w:r>
    </w:p>
    <w:p w14:paraId="1CF9FD1D">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投诉书（格式）</w:t>
      </w:r>
    </w:p>
    <w:p w14:paraId="6680AA7B">
      <w:pPr>
        <w:pStyle w:val="17"/>
        <w:snapToGrid w:val="0"/>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一、投诉相关主体基本情况：</w:t>
      </w:r>
    </w:p>
    <w:p w14:paraId="4BEA8670">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B94FF08">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4CA334F4">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法定代表人/主要负责人：</w:t>
      </w:r>
      <w:r>
        <w:rPr>
          <w:rFonts w:hint="eastAsia" w:hAnsi="宋体"/>
          <w:bCs/>
          <w:color w:val="000000" w:themeColor="text1"/>
          <w:sz w:val="24"/>
          <w:szCs w:val="24"/>
          <w:highlight w:val="none"/>
          <w:u w:val="single"/>
          <w14:textFill>
            <w14:solidFill>
              <w14:schemeClr w14:val="tx1"/>
            </w14:solidFill>
          </w14:textFill>
        </w:rPr>
        <w:t xml:space="preserve">                                                         </w:t>
      </w:r>
    </w:p>
    <w:p w14:paraId="36D755FC">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p>
    <w:p w14:paraId="1D5D014D">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p>
    <w:p w14:paraId="3B9F20AA">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p>
    <w:p w14:paraId="5F2CFE12">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6B8E0C0E">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被投诉人1：</w:t>
      </w:r>
    </w:p>
    <w:p w14:paraId="52011EA2">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p>
    <w:p w14:paraId="5DD60DDA">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681333F">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p>
    <w:p w14:paraId="041C4822">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被投诉人2：</w:t>
      </w:r>
    </w:p>
    <w:p w14:paraId="2E6BE30B">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w:t>
      </w:r>
    </w:p>
    <w:p w14:paraId="3C240443">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相关供应商：</w:t>
      </w:r>
      <w:r>
        <w:rPr>
          <w:rFonts w:hint="eastAsia" w:hAnsi="宋体"/>
          <w:bCs/>
          <w:color w:val="000000" w:themeColor="text1"/>
          <w:sz w:val="24"/>
          <w:szCs w:val="24"/>
          <w:highlight w:val="none"/>
          <w:u w:val="single"/>
          <w14:textFill>
            <w14:solidFill>
              <w14:schemeClr w14:val="tx1"/>
            </w14:solidFill>
          </w14:textFill>
        </w:rPr>
        <w:t xml:space="preserve">                                                                       </w:t>
      </w:r>
    </w:p>
    <w:p w14:paraId="2A951959">
      <w:pPr>
        <w:pStyle w:val="17"/>
        <w:snapToGrid w:val="0"/>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u w:val="single"/>
          <w14:textFill>
            <w14:solidFill>
              <w14:schemeClr w14:val="tx1"/>
            </w14:solidFill>
          </w14:textFill>
        </w:rPr>
        <w:t xml:space="preserve">                         </w:t>
      </w:r>
    </w:p>
    <w:p w14:paraId="67DF7C97">
      <w:pPr>
        <w:pStyle w:val="17"/>
        <w:snapToGrid w:val="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5A56000">
      <w:pPr>
        <w:pStyle w:val="17"/>
        <w:snapToGrid w:val="0"/>
        <w:spacing w:line="360" w:lineRule="auto"/>
        <w:ind w:firstLine="482" w:firstLineChars="200"/>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二、投诉项目基本情况：</w:t>
      </w:r>
    </w:p>
    <w:p w14:paraId="464C4F23">
      <w:pPr>
        <w:pStyle w:val="17"/>
        <w:spacing w:line="360" w:lineRule="auto"/>
        <w:ind w:left="25" w:leftChars="12" w:firstLine="472" w:firstLineChars="197"/>
        <w:rPr>
          <w:rFonts w:hint="default" w:hAnsi="宋体" w:eastAsia="宋体"/>
          <w:color w:val="000000" w:themeColor="text1"/>
          <w:sz w:val="24"/>
          <w:szCs w:val="24"/>
          <w:highlight w:val="none"/>
          <w:lang w:val="en-US" w:eastAsia="zh-CN"/>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lang w:val="en-US" w:eastAsia="zh-CN"/>
          <w14:textFill>
            <w14:solidFill>
              <w14:schemeClr w14:val="tx1"/>
            </w14:solidFill>
          </w14:textFill>
        </w:rPr>
        <w:t xml:space="preserve">                       </w:t>
      </w:r>
    </w:p>
    <w:p w14:paraId="400213D3">
      <w:pPr>
        <w:pStyle w:val="17"/>
        <w:spacing w:line="360" w:lineRule="auto"/>
        <w:ind w:left="25" w:leftChars="12" w:firstLine="472" w:firstLineChars="197"/>
        <w:rPr>
          <w:rFonts w:hint="default" w:hAnsi="宋体" w:eastAsia="宋体"/>
          <w:color w:val="000000" w:themeColor="text1"/>
          <w:sz w:val="24"/>
          <w:szCs w:val="24"/>
          <w:highlight w:val="none"/>
          <w:lang w:val="en-US" w:eastAsia="zh-CN"/>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项目的编号：</w:t>
      </w:r>
      <w:r>
        <w:rPr>
          <w:rFonts w:hint="eastAsia" w:hAnsi="宋体"/>
          <w:color w:val="000000" w:themeColor="text1"/>
          <w:sz w:val="24"/>
          <w:szCs w:val="24"/>
          <w:highlight w:val="none"/>
          <w:u w:val="single"/>
          <w:lang w:val="en-US" w:eastAsia="zh-CN"/>
          <w14:textFill>
            <w14:solidFill>
              <w14:schemeClr w14:val="tx1"/>
            </w14:solidFill>
          </w14:textFill>
        </w:rPr>
        <w:t xml:space="preserve">                          </w:t>
      </w:r>
    </w:p>
    <w:p w14:paraId="200097AD">
      <w:pPr>
        <w:pStyle w:val="17"/>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lang w:eastAsia="zh-CN"/>
          <w14:textFill>
            <w14:solidFill>
              <w14:schemeClr w14:val="tx1"/>
            </w14:solidFill>
          </w14:textFill>
        </w:rPr>
        <w:t>南宁市第一看守所</w:t>
      </w:r>
      <w:r>
        <w:rPr>
          <w:rFonts w:hint="eastAsia" w:hAnsi="宋体"/>
          <w:bCs/>
          <w:color w:val="000000" w:themeColor="text1"/>
          <w:sz w:val="24"/>
          <w:szCs w:val="24"/>
          <w:highlight w:val="none"/>
          <w:u w:val="single"/>
          <w14:textFill>
            <w14:solidFill>
              <w14:schemeClr w14:val="tx1"/>
            </w14:solidFill>
          </w14:textFill>
        </w:rPr>
        <w:t xml:space="preserve">  </w:t>
      </w:r>
    </w:p>
    <w:p w14:paraId="3000AC6D">
      <w:pPr>
        <w:pStyle w:val="17"/>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代理机构名称：</w:t>
      </w:r>
      <w:r>
        <w:rPr>
          <w:rFonts w:hint="eastAsia" w:hAnsi="宋体"/>
          <w:bCs/>
          <w:color w:val="000000" w:themeColor="text1"/>
          <w:sz w:val="24"/>
          <w:szCs w:val="24"/>
          <w:highlight w:val="none"/>
          <w:u w:val="single"/>
          <w:lang w:eastAsia="zh-CN"/>
          <w14:textFill>
            <w14:solidFill>
              <w14:schemeClr w14:val="tx1"/>
            </w14:solidFill>
          </w14:textFill>
        </w:rPr>
        <w:t>广西建通工程咨询有限责任公司</w:t>
      </w:r>
      <w:r>
        <w:rPr>
          <w:rFonts w:hint="eastAsia" w:hAnsi="宋体"/>
          <w:bCs/>
          <w:color w:val="000000" w:themeColor="text1"/>
          <w:sz w:val="24"/>
          <w:szCs w:val="24"/>
          <w:highlight w:val="none"/>
          <w:u w:val="single"/>
          <w14:textFill>
            <w14:solidFill>
              <w14:schemeClr w14:val="tx1"/>
            </w14:solidFill>
          </w14:textFill>
        </w:rPr>
        <w:t xml:space="preserve"> </w:t>
      </w:r>
    </w:p>
    <w:p w14:paraId="0ED81F27">
      <w:pPr>
        <w:pStyle w:val="17"/>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w:t>
      </w:r>
      <w:r>
        <w:rPr>
          <w:rFonts w:hint="eastAsia" w:hAnsi="宋体"/>
          <w:bCs/>
          <w:color w:val="000000" w:themeColor="text1"/>
          <w:sz w:val="24"/>
          <w:szCs w:val="24"/>
          <w:highlight w:val="none"/>
          <w14:textFill>
            <w14:solidFill>
              <w14:schemeClr w14:val="tx1"/>
            </w14:solidFill>
          </w14:textFill>
        </w:rPr>
        <w:t>文件公告：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40E4752D">
      <w:pPr>
        <w:pStyle w:val="17"/>
        <w:spacing w:line="360" w:lineRule="auto"/>
        <w:ind w:left="25" w:leftChars="12" w:firstLine="472" w:firstLineChars="197"/>
        <w:rPr>
          <w:rFonts w:hint="eastAsia" w:hAnsi="宋体"/>
          <w:b/>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采购结果公告：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53394832">
      <w:pPr>
        <w:pStyle w:val="17"/>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三、质疑基本情况</w:t>
      </w:r>
    </w:p>
    <w:p w14:paraId="33E23B2E">
      <w:pPr>
        <w:pStyle w:val="17"/>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投诉人于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提出质疑，质疑事项为：</w:t>
      </w:r>
    </w:p>
    <w:p w14:paraId="6A582CB5">
      <w:pPr>
        <w:pStyle w:val="17"/>
        <w:spacing w:line="36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75B94465">
      <w:pPr>
        <w:pStyle w:val="17"/>
        <w:spacing w:line="36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5E61E543">
      <w:pPr>
        <w:pStyle w:val="17"/>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采购人/代理机构</w:t>
      </w:r>
      <w:r>
        <w:rPr>
          <w:rFonts w:hint="eastAsia" w:hAnsi="宋体"/>
          <w:bCs/>
          <w:color w:val="000000" w:themeColor="text1"/>
          <w:sz w:val="24"/>
          <w:szCs w:val="24"/>
          <w:highlight w:val="none"/>
          <w14:textFill>
            <w14:solidFill>
              <w14:schemeClr w14:val="tx1"/>
            </w14:solidFill>
          </w14:textFill>
        </w:rPr>
        <w:t>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r>
        <w:rPr>
          <w:rFonts w:hint="eastAsia" w:hAnsi="宋体"/>
          <w:bCs/>
          <w:color w:val="000000" w:themeColor="text1"/>
          <w:sz w:val="24"/>
          <w:szCs w:val="24"/>
          <w:highlight w:val="none"/>
          <w14:textFill>
            <w14:solidFill>
              <w14:schemeClr w14:val="tx1"/>
            </w14:solidFill>
          </w14:textFill>
        </w:rPr>
        <w:t xml:space="preserve">就质疑事项作出了答复/没有在法定期限内作出答复。                                                                                             </w:t>
      </w:r>
    </w:p>
    <w:p w14:paraId="1156708F">
      <w:pPr>
        <w:pStyle w:val="17"/>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四、投诉事项具体内容</w:t>
      </w:r>
    </w:p>
    <w:p w14:paraId="602791B8">
      <w:pPr>
        <w:pStyle w:val="17"/>
        <w:spacing w:line="360" w:lineRule="auto"/>
        <w:ind w:left="25" w:leftChars="12" w:firstLine="472" w:firstLineChars="197"/>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投诉事项1：</w:t>
      </w:r>
      <w:r>
        <w:rPr>
          <w:rFonts w:hint="eastAsia" w:hAnsi="宋体"/>
          <w:bCs/>
          <w:color w:val="000000" w:themeColor="text1"/>
          <w:sz w:val="24"/>
          <w:szCs w:val="24"/>
          <w:highlight w:val="none"/>
          <w:u w:val="single"/>
          <w14:textFill>
            <w14:solidFill>
              <w14:schemeClr w14:val="tx1"/>
            </w14:solidFill>
          </w14:textFill>
        </w:rPr>
        <w:t xml:space="preserve">                                                                           </w:t>
      </w:r>
    </w:p>
    <w:p w14:paraId="57F6E083">
      <w:pPr>
        <w:pStyle w:val="17"/>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事实依据：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67CF763C">
      <w:pPr>
        <w:pStyle w:val="17"/>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 xml:space="preserve">                                                                                        </w:t>
      </w:r>
    </w:p>
    <w:p w14:paraId="77E45C3E">
      <w:pPr>
        <w:pStyle w:val="17"/>
        <w:spacing w:line="360" w:lineRule="auto"/>
        <w:ind w:firstLine="480" w:firstLineChars="20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65907045">
      <w:pPr>
        <w:pStyle w:val="17"/>
        <w:spacing w:line="360" w:lineRule="auto"/>
        <w:ind w:left="25" w:leftChars="12" w:firstLine="352" w:firstLineChars="147"/>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46EBD95E">
      <w:pPr>
        <w:pStyle w:val="17"/>
        <w:spacing w:line="360" w:lineRule="auto"/>
        <w:ind w:left="25" w:leftChars="12" w:firstLine="472" w:firstLineChars="197"/>
        <w:rPr>
          <w:rFonts w:hint="eastAsia"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投诉事项2  </w:t>
      </w:r>
      <w:r>
        <w:rPr>
          <w:rFonts w:hint="eastAsia" w:hAnsi="宋体"/>
          <w:bCs/>
          <w:color w:val="000000" w:themeColor="text1"/>
          <w:sz w:val="24"/>
          <w:szCs w:val="24"/>
          <w:highlight w:val="none"/>
          <w14:textFill>
            <w14:solidFill>
              <w14:schemeClr w14:val="tx1"/>
            </w14:solidFill>
          </w14:textFill>
        </w:rPr>
        <w:t xml:space="preserve">   </w:t>
      </w:r>
    </w:p>
    <w:p w14:paraId="21C5BB73">
      <w:pPr>
        <w:pStyle w:val="17"/>
        <w:spacing w:line="360" w:lineRule="auto"/>
        <w:ind w:left="25" w:leftChars="12" w:firstLine="472" w:firstLineChars="197"/>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w:t>
      </w:r>
    </w:p>
    <w:p w14:paraId="3EFDC07E">
      <w:pPr>
        <w:pStyle w:val="17"/>
        <w:spacing w:line="360" w:lineRule="auto"/>
        <w:ind w:left="25" w:leftChars="12" w:firstLine="472" w:firstLineChars="196"/>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五、与投诉事项相关的投诉请求：</w:t>
      </w:r>
    </w:p>
    <w:p w14:paraId="170B4A15">
      <w:pPr>
        <w:pStyle w:val="17"/>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57965D08">
      <w:pPr>
        <w:pStyle w:val="17"/>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11B621AC">
      <w:pPr>
        <w:pStyle w:val="17"/>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79DB9421">
      <w:pPr>
        <w:pStyle w:val="17"/>
        <w:spacing w:line="360" w:lineRule="auto"/>
        <w:ind w:left="25" w:leftChars="12" w:firstLine="352" w:firstLineChars="147"/>
        <w:rPr>
          <w:rFonts w:hint="eastAsia" w:hAnsi="宋体"/>
          <w:color w:val="000000" w:themeColor="text1"/>
          <w:sz w:val="24"/>
          <w:szCs w:val="24"/>
          <w:highlight w:val="none"/>
          <w14:textFill>
            <w14:solidFill>
              <w14:schemeClr w14:val="tx1"/>
            </w14:solidFill>
          </w14:textFill>
        </w:rPr>
      </w:pPr>
    </w:p>
    <w:p w14:paraId="71AB9F48">
      <w:pPr>
        <w:pStyle w:val="17"/>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0D98DC4D">
      <w:pPr>
        <w:pStyle w:val="17"/>
        <w:spacing w:line="360" w:lineRule="auto"/>
        <w:ind w:left="25" w:leftChars="12" w:firstLine="472" w:firstLineChars="197"/>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p>
    <w:p w14:paraId="5C4E0805">
      <w:pPr>
        <w:pStyle w:val="17"/>
        <w:snapToGrid w:val="0"/>
        <w:spacing w:line="360" w:lineRule="auto"/>
        <w:ind w:firstLine="482"/>
        <w:rPr>
          <w:rFonts w:hint="eastAsia" w:hAnsi="宋体"/>
          <w:b/>
          <w:color w:val="000000" w:themeColor="text1"/>
          <w:sz w:val="24"/>
          <w:szCs w:val="24"/>
          <w:highlight w:val="none"/>
          <w14:textFill>
            <w14:solidFill>
              <w14:schemeClr w14:val="tx1"/>
            </w14:solidFill>
          </w14:textFill>
        </w:rPr>
      </w:pPr>
    </w:p>
    <w:p w14:paraId="6663AA8C">
      <w:pPr>
        <w:pStyle w:val="17"/>
        <w:snapToGrid w:val="0"/>
        <w:spacing w:line="360" w:lineRule="auto"/>
        <w:ind w:firstLine="482"/>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3F085130">
      <w:pPr>
        <w:pStyle w:val="17"/>
        <w:spacing w:line="360" w:lineRule="auto"/>
        <w:ind w:left="25" w:leftChars="12" w:firstLine="354" w:firstLineChars="147"/>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highlight w:val="none"/>
          <w14:textFill>
            <w14:solidFill>
              <w14:schemeClr w14:val="tx1"/>
            </w14:solidFill>
          </w14:textFill>
        </w:rPr>
        <w:t>。</w:t>
      </w:r>
    </w:p>
    <w:p w14:paraId="42F46060">
      <w:pPr>
        <w:pStyle w:val="17"/>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A4A8536">
      <w:pPr>
        <w:pStyle w:val="17"/>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3.投诉书应简要列明质疑事项，质疑函、质疑答复等作为附件材料提供。</w:t>
      </w:r>
    </w:p>
    <w:p w14:paraId="754CE13A">
      <w:pPr>
        <w:pStyle w:val="17"/>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4.投诉书的投诉事项应具体、明确，并有必要的事实依据和法律依据。</w:t>
      </w:r>
    </w:p>
    <w:p w14:paraId="7081D03B">
      <w:pPr>
        <w:pStyle w:val="17"/>
        <w:spacing w:line="360" w:lineRule="auto"/>
        <w:ind w:left="25" w:leftChars="12" w:firstLine="354" w:firstLineChars="147"/>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5.投诉书的投诉请求应与投诉事项相关。</w:t>
      </w:r>
    </w:p>
    <w:p w14:paraId="23F2E46D">
      <w:pPr>
        <w:pStyle w:val="17"/>
        <w:spacing w:line="360" w:lineRule="auto"/>
        <w:ind w:left="25" w:leftChars="12" w:firstLine="354" w:firstLineChars="147"/>
        <w:rPr>
          <w:rFonts w:hint="eastAsia"/>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6.投诉人为法人或者其他组织的，投诉书应由法定代表人、主要负责人，或者其授权代表签字或者盖章，并加盖公章。</w:t>
      </w:r>
    </w:p>
    <w:sectPr>
      <w:headerReference r:id="rId5" w:type="default"/>
      <w:footerReference r:id="rId6" w:type="default"/>
      <w:pgSz w:w="11910" w:h="16840"/>
      <w:pgMar w:top="1440"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373D77-4E1C-4E1C-AB2F-83362F0AF807}"/>
  </w:font>
  <w:font w:name="黑体">
    <w:panose1 w:val="02010609060101010101"/>
    <w:charset w:val="86"/>
    <w:family w:val="auto"/>
    <w:pitch w:val="default"/>
    <w:sig w:usb0="800002BF" w:usb1="38CF7CFA" w:usb2="00000016" w:usb3="00000000" w:csb0="00040001" w:csb1="00000000"/>
    <w:embedRegular r:id="rId2" w:fontKey="{5C08833E-49CB-4F32-B120-4238209F1463}"/>
  </w:font>
  <w:font w:name="Courier New">
    <w:panose1 w:val="02070309020205020404"/>
    <w:charset w:val="01"/>
    <w:family w:val="modern"/>
    <w:pitch w:val="default"/>
    <w:sig w:usb0="E0002EFF" w:usb1="C0007843" w:usb2="00000009" w:usb3="00000000" w:csb0="400001FF" w:csb1="FFFF0000"/>
    <w:embedRegular r:id="rId3" w:fontKey="{85A17E44-1E0A-4712-A3A7-AE3BF53D2A0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AAE6D50-AC94-409B-AFF8-8580DB94921D}"/>
  </w:font>
  <w:font w:name="Cambria">
    <w:panose1 w:val="02040503050406030204"/>
    <w:charset w:val="00"/>
    <w:family w:val="roman"/>
    <w:pitch w:val="default"/>
    <w:sig w:usb0="E00006FF" w:usb1="420024FF" w:usb2="02000000" w:usb3="00000000" w:csb0="2000019F" w:csb1="00000000"/>
    <w:embedRegular r:id="rId5" w:fontKey="{87649B15-C364-49C3-9A4F-309D0D62C0C9}"/>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6" w:fontKey="{9FFF0FE8-161A-4E6F-A77C-10E2383453BA}"/>
  </w:font>
  <w:font w:name="仿宋">
    <w:panose1 w:val="02010609060101010101"/>
    <w:charset w:val="86"/>
    <w:family w:val="modern"/>
    <w:pitch w:val="default"/>
    <w:sig w:usb0="800002BF" w:usb1="38CF7CFA" w:usb2="00000016" w:usb3="00000000" w:csb0="00040001" w:csb1="00000000"/>
    <w:embedRegular r:id="rId7" w:fontKey="{E428C2E5-9404-4935-8F73-C7B330AFD154}"/>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00000001" w:usb1="08000000" w:usb2="00000000" w:usb3="00000000" w:csb0="00040000" w:csb1="00000000"/>
    <w:embedRegular r:id="rId8" w:fontKey="{72C91C8D-E9AB-4325-8E61-237A54489C68}"/>
  </w:font>
  <w:font w:name="华文新魏">
    <w:panose1 w:val="02010800040101010101"/>
    <w:charset w:val="86"/>
    <w:family w:val="auto"/>
    <w:pitch w:val="default"/>
    <w:sig w:usb0="00000001" w:usb1="080F0000" w:usb2="00000000" w:usb3="00000000" w:csb0="00040000" w:csb1="00000000"/>
    <w:embedRegular r:id="rId9" w:fontKey="{DC32C09C-DCD1-4BA8-A440-3857BED3AD03}"/>
  </w:font>
  <w:font w:name="Arial Unicode MS">
    <w:panose1 w:val="020B0604020202020204"/>
    <w:charset w:val="86"/>
    <w:family w:val="swiss"/>
    <w:pitch w:val="default"/>
    <w:sig w:usb0="F7FFAEFF" w:usb1="F9DFFFFF" w:usb2="0000007F" w:usb3="00000000" w:csb0="203F01FF" w:csb1="DFFF0000"/>
    <w:embedRegular r:id="rId10" w:fontKey="{14A03DEF-E37D-4FBC-AC17-C24C5754F1C1}"/>
  </w:font>
  <w:font w:name="微软雅黑">
    <w:panose1 w:val="020B0503020204020204"/>
    <w:charset w:val="86"/>
    <w:family w:val="auto"/>
    <w:pitch w:val="default"/>
    <w:sig w:usb0="80000287" w:usb1="2ACF3C50" w:usb2="00000016" w:usb3="00000000" w:csb0="0004001F" w:csb1="00000000"/>
    <w:embedRegular r:id="rId11" w:fontKey="{878BAB08-CE92-46CD-AACE-75B523F13F3C}"/>
  </w:font>
  <w:font w:name="Helvetica">
    <w:altName w:val="Arial"/>
    <w:panose1 w:val="020B0604020202020204"/>
    <w:charset w:val="00"/>
    <w:family w:val="swiss"/>
    <w:pitch w:val="default"/>
    <w:sig w:usb0="00000000" w:usb1="00000000" w:usb2="00000009" w:usb3="00000000" w:csb0="000001FF" w:csb1="00000000"/>
    <w:embedRegular r:id="rId12" w:fontKey="{118799EE-361E-4DA8-8768-DED64DCF5960}"/>
  </w:font>
  <w:font w:name="楷体">
    <w:panose1 w:val="02010609060101010101"/>
    <w:charset w:val="86"/>
    <w:family w:val="modern"/>
    <w:pitch w:val="default"/>
    <w:sig w:usb0="800002BF" w:usb1="38CF7CFA" w:usb2="00000016" w:usb3="00000000" w:csb0="00040001" w:csb1="00000000"/>
    <w:embedRegular r:id="rId13" w:fontKey="{E42DF93D-698F-493B-BE64-BF9BB897665F}"/>
  </w:font>
  <w:font w:name="隶书">
    <w:panose1 w:val="02010509060101010101"/>
    <w:charset w:val="86"/>
    <w:family w:val="modern"/>
    <w:pitch w:val="default"/>
    <w:sig w:usb0="00000001" w:usb1="080E0000" w:usb2="00000000" w:usb3="00000000" w:csb0="00040000" w:csb1="00000000"/>
    <w:embedRegular r:id="rId14" w:fontKey="{4A2085EB-EEFE-4EEF-8AC4-2AF458602764}"/>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3CFC">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8E4BFC">
                          <w:pPr>
                            <w:pStyle w:val="20"/>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文本框 51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Xrj0MzwEAAKoDAAAOAAAAAAAAAAEAIAAAAB4BAABkcnMv&#10;ZTJvRG9jLnhtbFBLBQYAAAAABgAGAFkBAABfBQAAAAA=&#10;">
              <v:fill on="f" focussize="0,0"/>
              <v:stroke on="f"/>
              <v:imagedata o:title=""/>
              <o:lock v:ext="edit" aspectratio="f"/>
              <v:textbox inset="0mm,0mm,0mm,0mm" style="mso-fit-shape-to-text:t;">
                <w:txbxContent>
                  <w:p w14:paraId="678E4BFC">
                    <w:pPr>
                      <w:pStyle w:val="2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68C66">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EFCE78">
                          <w:pPr>
                            <w:pStyle w:val="20"/>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sQRs8BAACqAwAADgAAAGRycy9lMm9Eb2MueG1srVPNjtMwEL4j8Q6W&#10;7zRpE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l5w5YenBL9+/XX78uvz8yl4t&#10;V8ukUO+xosI7T6VxeAsD7c0cRwom4kMbbPoSJUZ50vd81VcNkcl0ab1ar0tKScrNDuEXD9d9wPhO&#10;gWXJqHmgB8y6itMHjGPpXJK6ObjVxuRHNO6vAGGOEZW3YLqdmIwTJysO+2Git4fmTOx62oSaO1p8&#10;zsx7R0KnpZmNMBv72Tj6oA9d3qrUHf2bY6SR8qSpwwhLDJNDT5i5TuuWduRPP1c9/G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uKxBGzwEAAKoDAAAOAAAAAAAAAAEAIAAAAB4BAABkcnMv&#10;ZTJvRG9jLnhtbFBLBQYAAAAABgAGAFkBAABfBQAAAAA=&#10;">
              <v:fill on="f" focussize="0,0"/>
              <v:stroke on="f"/>
              <v:imagedata o:title=""/>
              <o:lock v:ext="edit" aspectratio="f"/>
              <v:textbox inset="0mm,0mm,0mm,0mm" style="mso-fit-shape-to-text:t;">
                <w:txbxContent>
                  <w:p w14:paraId="25EFCE78">
                    <w:pPr>
                      <w:pStyle w:val="20"/>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30F71F6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4CCC">
    <w:pPr>
      <w:pStyle w:val="21"/>
      <w:tabs>
        <w:tab w:val="center" w:pos="0"/>
        <w:tab w:val="clear" w:pos="4153"/>
      </w:tabs>
    </w:pPr>
    <w:r>
      <w:rPr>
        <w:rFonts w:hint="eastAsia"/>
      </w:rPr>
      <w:t>南宁市政府采购竞争性谈判采购文件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2026A">
    <w:pPr>
      <w:pStyle w:val="2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BC9"/>
    <w:rsid w:val="00012854"/>
    <w:rsid w:val="00012B5F"/>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2CD2"/>
    <w:rsid w:val="00024463"/>
    <w:rsid w:val="00025461"/>
    <w:rsid w:val="00025636"/>
    <w:rsid w:val="00025E36"/>
    <w:rsid w:val="00026855"/>
    <w:rsid w:val="00026886"/>
    <w:rsid w:val="00026CF4"/>
    <w:rsid w:val="0002785D"/>
    <w:rsid w:val="000329E0"/>
    <w:rsid w:val="00032DB3"/>
    <w:rsid w:val="00034B5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3E23"/>
    <w:rsid w:val="00055365"/>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5F83"/>
    <w:rsid w:val="00077ACA"/>
    <w:rsid w:val="00077C70"/>
    <w:rsid w:val="000813B5"/>
    <w:rsid w:val="00081BA3"/>
    <w:rsid w:val="00081D2E"/>
    <w:rsid w:val="00081F89"/>
    <w:rsid w:val="00082619"/>
    <w:rsid w:val="00082D02"/>
    <w:rsid w:val="00082D4B"/>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977BD"/>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387"/>
    <w:rsid w:val="000B2585"/>
    <w:rsid w:val="000B2BC6"/>
    <w:rsid w:val="000B2D03"/>
    <w:rsid w:val="000B3815"/>
    <w:rsid w:val="000B3C7B"/>
    <w:rsid w:val="000B4321"/>
    <w:rsid w:val="000B6A6B"/>
    <w:rsid w:val="000B6C95"/>
    <w:rsid w:val="000B79FC"/>
    <w:rsid w:val="000C02B1"/>
    <w:rsid w:val="000C1679"/>
    <w:rsid w:val="000C1EE3"/>
    <w:rsid w:val="000C3AE7"/>
    <w:rsid w:val="000C3CC9"/>
    <w:rsid w:val="000C6DE4"/>
    <w:rsid w:val="000C7202"/>
    <w:rsid w:val="000D0A89"/>
    <w:rsid w:val="000D1181"/>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2F16"/>
    <w:rsid w:val="00113678"/>
    <w:rsid w:val="00113C3E"/>
    <w:rsid w:val="00115E11"/>
    <w:rsid w:val="00115EEE"/>
    <w:rsid w:val="00115F56"/>
    <w:rsid w:val="00116CA9"/>
    <w:rsid w:val="00116F38"/>
    <w:rsid w:val="001170A4"/>
    <w:rsid w:val="00117AE7"/>
    <w:rsid w:val="00117CBD"/>
    <w:rsid w:val="0012006A"/>
    <w:rsid w:val="00121979"/>
    <w:rsid w:val="00122064"/>
    <w:rsid w:val="00122C12"/>
    <w:rsid w:val="00123A31"/>
    <w:rsid w:val="00124341"/>
    <w:rsid w:val="00124492"/>
    <w:rsid w:val="00124B12"/>
    <w:rsid w:val="001250A0"/>
    <w:rsid w:val="001263B8"/>
    <w:rsid w:val="0012763E"/>
    <w:rsid w:val="00130217"/>
    <w:rsid w:val="00130783"/>
    <w:rsid w:val="00130A47"/>
    <w:rsid w:val="00130D7C"/>
    <w:rsid w:val="001313DA"/>
    <w:rsid w:val="00131A6A"/>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2862"/>
    <w:rsid w:val="00184F57"/>
    <w:rsid w:val="00185544"/>
    <w:rsid w:val="00185617"/>
    <w:rsid w:val="00186FE1"/>
    <w:rsid w:val="00187A14"/>
    <w:rsid w:val="0019171E"/>
    <w:rsid w:val="00192368"/>
    <w:rsid w:val="001923A0"/>
    <w:rsid w:val="001928B1"/>
    <w:rsid w:val="00193537"/>
    <w:rsid w:val="00193846"/>
    <w:rsid w:val="00195424"/>
    <w:rsid w:val="001955FF"/>
    <w:rsid w:val="001975B5"/>
    <w:rsid w:val="00197EDD"/>
    <w:rsid w:val="001A02B3"/>
    <w:rsid w:val="001A04BB"/>
    <w:rsid w:val="001A08D0"/>
    <w:rsid w:val="001A1B39"/>
    <w:rsid w:val="001A2120"/>
    <w:rsid w:val="001A28C6"/>
    <w:rsid w:val="001A2E69"/>
    <w:rsid w:val="001A3440"/>
    <w:rsid w:val="001A3C34"/>
    <w:rsid w:val="001A3EDE"/>
    <w:rsid w:val="001A4222"/>
    <w:rsid w:val="001A50EA"/>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5E60"/>
    <w:rsid w:val="001B6512"/>
    <w:rsid w:val="001B65D7"/>
    <w:rsid w:val="001B6752"/>
    <w:rsid w:val="001B6768"/>
    <w:rsid w:val="001B6F1F"/>
    <w:rsid w:val="001B7ECC"/>
    <w:rsid w:val="001C025B"/>
    <w:rsid w:val="001C115F"/>
    <w:rsid w:val="001C1EAB"/>
    <w:rsid w:val="001C25A7"/>
    <w:rsid w:val="001C2E56"/>
    <w:rsid w:val="001C318C"/>
    <w:rsid w:val="001C35C4"/>
    <w:rsid w:val="001C35E1"/>
    <w:rsid w:val="001C4287"/>
    <w:rsid w:val="001C433C"/>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9BE"/>
    <w:rsid w:val="001E3B63"/>
    <w:rsid w:val="001E5A94"/>
    <w:rsid w:val="001E5F6F"/>
    <w:rsid w:val="001E68B8"/>
    <w:rsid w:val="001F2001"/>
    <w:rsid w:val="001F2A2E"/>
    <w:rsid w:val="001F3356"/>
    <w:rsid w:val="001F3C63"/>
    <w:rsid w:val="001F4460"/>
    <w:rsid w:val="001F5262"/>
    <w:rsid w:val="001F711A"/>
    <w:rsid w:val="001F75B0"/>
    <w:rsid w:val="00200CE5"/>
    <w:rsid w:val="00200F7C"/>
    <w:rsid w:val="002014DB"/>
    <w:rsid w:val="0020150B"/>
    <w:rsid w:val="00201E12"/>
    <w:rsid w:val="00202B13"/>
    <w:rsid w:val="002032DA"/>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3805"/>
    <w:rsid w:val="00254EAB"/>
    <w:rsid w:val="002557AF"/>
    <w:rsid w:val="0025589C"/>
    <w:rsid w:val="00255B62"/>
    <w:rsid w:val="002566B1"/>
    <w:rsid w:val="002575E3"/>
    <w:rsid w:val="00257A74"/>
    <w:rsid w:val="002603C1"/>
    <w:rsid w:val="002609A1"/>
    <w:rsid w:val="002612B1"/>
    <w:rsid w:val="00266165"/>
    <w:rsid w:val="002662FE"/>
    <w:rsid w:val="00266F2C"/>
    <w:rsid w:val="00270D48"/>
    <w:rsid w:val="0027125E"/>
    <w:rsid w:val="00271767"/>
    <w:rsid w:val="00272293"/>
    <w:rsid w:val="002723C8"/>
    <w:rsid w:val="002725C1"/>
    <w:rsid w:val="00273C2A"/>
    <w:rsid w:val="00273CBE"/>
    <w:rsid w:val="002746B1"/>
    <w:rsid w:val="00274BAD"/>
    <w:rsid w:val="00282D56"/>
    <w:rsid w:val="002835B0"/>
    <w:rsid w:val="002836F1"/>
    <w:rsid w:val="00283C74"/>
    <w:rsid w:val="0028407E"/>
    <w:rsid w:val="0028410F"/>
    <w:rsid w:val="00284572"/>
    <w:rsid w:val="00285221"/>
    <w:rsid w:val="00286FB5"/>
    <w:rsid w:val="00287763"/>
    <w:rsid w:val="00290606"/>
    <w:rsid w:val="002909B2"/>
    <w:rsid w:val="00291D6D"/>
    <w:rsid w:val="00291FF1"/>
    <w:rsid w:val="00292AA2"/>
    <w:rsid w:val="00292BF7"/>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17B"/>
    <w:rsid w:val="002B058D"/>
    <w:rsid w:val="002B0C16"/>
    <w:rsid w:val="002B2AC5"/>
    <w:rsid w:val="002B3528"/>
    <w:rsid w:val="002B3539"/>
    <w:rsid w:val="002B4532"/>
    <w:rsid w:val="002B5042"/>
    <w:rsid w:val="002B69CC"/>
    <w:rsid w:val="002B6D71"/>
    <w:rsid w:val="002C0C1C"/>
    <w:rsid w:val="002C54C2"/>
    <w:rsid w:val="002C5D34"/>
    <w:rsid w:val="002C60BB"/>
    <w:rsid w:val="002C661A"/>
    <w:rsid w:val="002D0D6F"/>
    <w:rsid w:val="002D25FC"/>
    <w:rsid w:val="002D4AC6"/>
    <w:rsid w:val="002D5BF5"/>
    <w:rsid w:val="002D5E95"/>
    <w:rsid w:val="002D5EE8"/>
    <w:rsid w:val="002D7150"/>
    <w:rsid w:val="002D7360"/>
    <w:rsid w:val="002D7648"/>
    <w:rsid w:val="002E109C"/>
    <w:rsid w:val="002E193E"/>
    <w:rsid w:val="002E1A94"/>
    <w:rsid w:val="002E1D55"/>
    <w:rsid w:val="002E1F3E"/>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1EC6"/>
    <w:rsid w:val="00302EFC"/>
    <w:rsid w:val="00303243"/>
    <w:rsid w:val="00303BCC"/>
    <w:rsid w:val="00303D4A"/>
    <w:rsid w:val="00303F2B"/>
    <w:rsid w:val="00303F8D"/>
    <w:rsid w:val="0030572D"/>
    <w:rsid w:val="0030586A"/>
    <w:rsid w:val="0030622D"/>
    <w:rsid w:val="00306811"/>
    <w:rsid w:val="00306F32"/>
    <w:rsid w:val="003074C5"/>
    <w:rsid w:val="00307A3C"/>
    <w:rsid w:val="00307FA4"/>
    <w:rsid w:val="00310290"/>
    <w:rsid w:val="0031083D"/>
    <w:rsid w:val="00310CC1"/>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4EC2"/>
    <w:rsid w:val="003255AF"/>
    <w:rsid w:val="003256EB"/>
    <w:rsid w:val="003259DB"/>
    <w:rsid w:val="003314D9"/>
    <w:rsid w:val="00331653"/>
    <w:rsid w:val="0033194F"/>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46E7F"/>
    <w:rsid w:val="00350458"/>
    <w:rsid w:val="00350E6C"/>
    <w:rsid w:val="003518A6"/>
    <w:rsid w:val="00351E7F"/>
    <w:rsid w:val="003525A7"/>
    <w:rsid w:val="00352953"/>
    <w:rsid w:val="00354062"/>
    <w:rsid w:val="0035459E"/>
    <w:rsid w:val="00354A03"/>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2DA"/>
    <w:rsid w:val="003A5728"/>
    <w:rsid w:val="003A60E7"/>
    <w:rsid w:val="003A7092"/>
    <w:rsid w:val="003A72A1"/>
    <w:rsid w:val="003A7611"/>
    <w:rsid w:val="003A7D1F"/>
    <w:rsid w:val="003B0B6A"/>
    <w:rsid w:val="003B22F7"/>
    <w:rsid w:val="003B29CF"/>
    <w:rsid w:val="003B3A90"/>
    <w:rsid w:val="003B53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2BE6"/>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001"/>
    <w:rsid w:val="0040763D"/>
    <w:rsid w:val="00410D17"/>
    <w:rsid w:val="00413442"/>
    <w:rsid w:val="00413821"/>
    <w:rsid w:val="00413BA5"/>
    <w:rsid w:val="004141A3"/>
    <w:rsid w:val="00414909"/>
    <w:rsid w:val="0041582F"/>
    <w:rsid w:val="00416112"/>
    <w:rsid w:val="00417AE0"/>
    <w:rsid w:val="00417BAA"/>
    <w:rsid w:val="0042042B"/>
    <w:rsid w:val="00420B45"/>
    <w:rsid w:val="00420D7A"/>
    <w:rsid w:val="00421257"/>
    <w:rsid w:val="00422193"/>
    <w:rsid w:val="004223DE"/>
    <w:rsid w:val="00422A10"/>
    <w:rsid w:val="004249C0"/>
    <w:rsid w:val="00424D17"/>
    <w:rsid w:val="00425DFD"/>
    <w:rsid w:val="004263A3"/>
    <w:rsid w:val="00427713"/>
    <w:rsid w:val="00427CCC"/>
    <w:rsid w:val="0043013A"/>
    <w:rsid w:val="00430421"/>
    <w:rsid w:val="0043049B"/>
    <w:rsid w:val="00430A36"/>
    <w:rsid w:val="00430B4F"/>
    <w:rsid w:val="00431084"/>
    <w:rsid w:val="004310D7"/>
    <w:rsid w:val="004313D9"/>
    <w:rsid w:val="004322D6"/>
    <w:rsid w:val="00432589"/>
    <w:rsid w:val="00432A94"/>
    <w:rsid w:val="00432C95"/>
    <w:rsid w:val="00433827"/>
    <w:rsid w:val="00433A40"/>
    <w:rsid w:val="00434B70"/>
    <w:rsid w:val="004360C8"/>
    <w:rsid w:val="00436FA4"/>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A9F"/>
    <w:rsid w:val="00450DC6"/>
    <w:rsid w:val="004516A5"/>
    <w:rsid w:val="00451E9C"/>
    <w:rsid w:val="0045280F"/>
    <w:rsid w:val="00452C81"/>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1FC4"/>
    <w:rsid w:val="00472429"/>
    <w:rsid w:val="004725E5"/>
    <w:rsid w:val="00472751"/>
    <w:rsid w:val="00473128"/>
    <w:rsid w:val="00475078"/>
    <w:rsid w:val="00475767"/>
    <w:rsid w:val="004765FB"/>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97B25"/>
    <w:rsid w:val="004A0404"/>
    <w:rsid w:val="004A0943"/>
    <w:rsid w:val="004A1405"/>
    <w:rsid w:val="004A1FC6"/>
    <w:rsid w:val="004A2E5F"/>
    <w:rsid w:val="004A38C2"/>
    <w:rsid w:val="004A3C03"/>
    <w:rsid w:val="004A3DB7"/>
    <w:rsid w:val="004A5088"/>
    <w:rsid w:val="004A5255"/>
    <w:rsid w:val="004A6CB0"/>
    <w:rsid w:val="004A70FF"/>
    <w:rsid w:val="004A76D5"/>
    <w:rsid w:val="004A7EDE"/>
    <w:rsid w:val="004B0D93"/>
    <w:rsid w:val="004B1FA4"/>
    <w:rsid w:val="004B29AC"/>
    <w:rsid w:val="004B35DF"/>
    <w:rsid w:val="004B3627"/>
    <w:rsid w:val="004B4922"/>
    <w:rsid w:val="004B57DF"/>
    <w:rsid w:val="004B5976"/>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EA4"/>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63EF"/>
    <w:rsid w:val="004F7160"/>
    <w:rsid w:val="00500258"/>
    <w:rsid w:val="00500B2D"/>
    <w:rsid w:val="00501A99"/>
    <w:rsid w:val="00503180"/>
    <w:rsid w:val="005038A4"/>
    <w:rsid w:val="00505450"/>
    <w:rsid w:val="005055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171C6"/>
    <w:rsid w:val="00520EF8"/>
    <w:rsid w:val="005210F7"/>
    <w:rsid w:val="00521753"/>
    <w:rsid w:val="0052239D"/>
    <w:rsid w:val="005224EE"/>
    <w:rsid w:val="00522879"/>
    <w:rsid w:val="00523BB1"/>
    <w:rsid w:val="00524839"/>
    <w:rsid w:val="0052570E"/>
    <w:rsid w:val="005260CD"/>
    <w:rsid w:val="00526265"/>
    <w:rsid w:val="0052655D"/>
    <w:rsid w:val="005265E0"/>
    <w:rsid w:val="00526BC3"/>
    <w:rsid w:val="00531761"/>
    <w:rsid w:val="00531820"/>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8D5"/>
    <w:rsid w:val="00567B5D"/>
    <w:rsid w:val="00570757"/>
    <w:rsid w:val="00573733"/>
    <w:rsid w:val="00573E3F"/>
    <w:rsid w:val="00573F8B"/>
    <w:rsid w:val="00574554"/>
    <w:rsid w:val="00574E06"/>
    <w:rsid w:val="005751BB"/>
    <w:rsid w:val="00576089"/>
    <w:rsid w:val="005764B1"/>
    <w:rsid w:val="00576852"/>
    <w:rsid w:val="00576D06"/>
    <w:rsid w:val="005779E4"/>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203C"/>
    <w:rsid w:val="005C30C7"/>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C8F"/>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69D"/>
    <w:rsid w:val="0062181E"/>
    <w:rsid w:val="0062211B"/>
    <w:rsid w:val="00622BB7"/>
    <w:rsid w:val="00622C1E"/>
    <w:rsid w:val="00623389"/>
    <w:rsid w:val="00623DAA"/>
    <w:rsid w:val="00623FAF"/>
    <w:rsid w:val="006265C4"/>
    <w:rsid w:val="0062678A"/>
    <w:rsid w:val="006270AF"/>
    <w:rsid w:val="00632D04"/>
    <w:rsid w:val="00634367"/>
    <w:rsid w:val="00640082"/>
    <w:rsid w:val="00640291"/>
    <w:rsid w:val="006408B6"/>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5EA"/>
    <w:rsid w:val="00673711"/>
    <w:rsid w:val="00673F82"/>
    <w:rsid w:val="00674F74"/>
    <w:rsid w:val="0067508F"/>
    <w:rsid w:val="00677576"/>
    <w:rsid w:val="0068051E"/>
    <w:rsid w:val="00680B9D"/>
    <w:rsid w:val="00681F13"/>
    <w:rsid w:val="0068231C"/>
    <w:rsid w:val="00682344"/>
    <w:rsid w:val="00682B23"/>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61D8"/>
    <w:rsid w:val="006F62B7"/>
    <w:rsid w:val="006F70BC"/>
    <w:rsid w:val="006F7E7C"/>
    <w:rsid w:val="0070174E"/>
    <w:rsid w:val="007018DB"/>
    <w:rsid w:val="00701DE6"/>
    <w:rsid w:val="00702740"/>
    <w:rsid w:val="0070381B"/>
    <w:rsid w:val="0070796C"/>
    <w:rsid w:val="007109BB"/>
    <w:rsid w:val="00710EBF"/>
    <w:rsid w:val="007110B8"/>
    <w:rsid w:val="0071209F"/>
    <w:rsid w:val="007125A2"/>
    <w:rsid w:val="00712BAE"/>
    <w:rsid w:val="00713DD9"/>
    <w:rsid w:val="00713F79"/>
    <w:rsid w:val="007148A8"/>
    <w:rsid w:val="0071569F"/>
    <w:rsid w:val="00716AC8"/>
    <w:rsid w:val="00716E54"/>
    <w:rsid w:val="00717421"/>
    <w:rsid w:val="0072033C"/>
    <w:rsid w:val="00720B1B"/>
    <w:rsid w:val="00720B9C"/>
    <w:rsid w:val="00721062"/>
    <w:rsid w:val="00721E5D"/>
    <w:rsid w:val="007229D4"/>
    <w:rsid w:val="007230F8"/>
    <w:rsid w:val="007233F4"/>
    <w:rsid w:val="00724044"/>
    <w:rsid w:val="007248D3"/>
    <w:rsid w:val="00724DF8"/>
    <w:rsid w:val="00725137"/>
    <w:rsid w:val="00725378"/>
    <w:rsid w:val="00727A43"/>
    <w:rsid w:val="00727F2A"/>
    <w:rsid w:val="00727FF2"/>
    <w:rsid w:val="00730550"/>
    <w:rsid w:val="00730C2A"/>
    <w:rsid w:val="00731434"/>
    <w:rsid w:val="00731E59"/>
    <w:rsid w:val="007323E0"/>
    <w:rsid w:val="00732911"/>
    <w:rsid w:val="00733721"/>
    <w:rsid w:val="00733DE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57E5C"/>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98A"/>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4CD7"/>
    <w:rsid w:val="007B7490"/>
    <w:rsid w:val="007C0525"/>
    <w:rsid w:val="007C13F7"/>
    <w:rsid w:val="007C218D"/>
    <w:rsid w:val="007C2D28"/>
    <w:rsid w:val="007C3E22"/>
    <w:rsid w:val="007C49EE"/>
    <w:rsid w:val="007C5B90"/>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19A7"/>
    <w:rsid w:val="007F2C13"/>
    <w:rsid w:val="007F2CEC"/>
    <w:rsid w:val="007F3435"/>
    <w:rsid w:val="007F55DE"/>
    <w:rsid w:val="007F564B"/>
    <w:rsid w:val="007F762D"/>
    <w:rsid w:val="007F78F0"/>
    <w:rsid w:val="007F78FF"/>
    <w:rsid w:val="008001C5"/>
    <w:rsid w:val="00800F6C"/>
    <w:rsid w:val="00801065"/>
    <w:rsid w:val="00802C0B"/>
    <w:rsid w:val="008051FC"/>
    <w:rsid w:val="008055A9"/>
    <w:rsid w:val="008056C4"/>
    <w:rsid w:val="008057FD"/>
    <w:rsid w:val="00805D8B"/>
    <w:rsid w:val="0080773A"/>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A1A"/>
    <w:rsid w:val="00833B7F"/>
    <w:rsid w:val="00833E8E"/>
    <w:rsid w:val="00834906"/>
    <w:rsid w:val="00836075"/>
    <w:rsid w:val="00836417"/>
    <w:rsid w:val="00836A3E"/>
    <w:rsid w:val="00837526"/>
    <w:rsid w:val="00837CE8"/>
    <w:rsid w:val="008407A7"/>
    <w:rsid w:val="0084117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104"/>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836"/>
    <w:rsid w:val="008A0FC9"/>
    <w:rsid w:val="008A17D6"/>
    <w:rsid w:val="008A1956"/>
    <w:rsid w:val="008A1A7C"/>
    <w:rsid w:val="008A2CE2"/>
    <w:rsid w:val="008A40D3"/>
    <w:rsid w:val="008A469C"/>
    <w:rsid w:val="008A51D1"/>
    <w:rsid w:val="008A5DCE"/>
    <w:rsid w:val="008A75D3"/>
    <w:rsid w:val="008B05DD"/>
    <w:rsid w:val="008B07B8"/>
    <w:rsid w:val="008B17E8"/>
    <w:rsid w:val="008B2E7C"/>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3B2D"/>
    <w:rsid w:val="008D58D9"/>
    <w:rsid w:val="008D5AD4"/>
    <w:rsid w:val="008D695E"/>
    <w:rsid w:val="008D6DD5"/>
    <w:rsid w:val="008D6E59"/>
    <w:rsid w:val="008D7155"/>
    <w:rsid w:val="008D76E0"/>
    <w:rsid w:val="008E0B29"/>
    <w:rsid w:val="008E141A"/>
    <w:rsid w:val="008E1A44"/>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5DFC"/>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0EC8"/>
    <w:rsid w:val="009321B1"/>
    <w:rsid w:val="00932ED7"/>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63E5"/>
    <w:rsid w:val="00947797"/>
    <w:rsid w:val="009478A2"/>
    <w:rsid w:val="00953808"/>
    <w:rsid w:val="009539A6"/>
    <w:rsid w:val="00954032"/>
    <w:rsid w:val="00954537"/>
    <w:rsid w:val="0095472D"/>
    <w:rsid w:val="00955098"/>
    <w:rsid w:val="00955FBB"/>
    <w:rsid w:val="0095694B"/>
    <w:rsid w:val="00956BD5"/>
    <w:rsid w:val="00956D84"/>
    <w:rsid w:val="009577B5"/>
    <w:rsid w:val="009608E6"/>
    <w:rsid w:val="00960F57"/>
    <w:rsid w:val="00961C90"/>
    <w:rsid w:val="00962AD6"/>
    <w:rsid w:val="00962E03"/>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6E1C"/>
    <w:rsid w:val="0097789E"/>
    <w:rsid w:val="00977CD6"/>
    <w:rsid w:val="0098048B"/>
    <w:rsid w:val="00980DF9"/>
    <w:rsid w:val="0098243D"/>
    <w:rsid w:val="00982D26"/>
    <w:rsid w:val="00983B6E"/>
    <w:rsid w:val="00983FE5"/>
    <w:rsid w:val="009849E9"/>
    <w:rsid w:val="009859E4"/>
    <w:rsid w:val="00987812"/>
    <w:rsid w:val="00990225"/>
    <w:rsid w:val="00992A13"/>
    <w:rsid w:val="00992B2E"/>
    <w:rsid w:val="00992C78"/>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5B14"/>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9F7CBA"/>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330"/>
    <w:rsid w:val="00A2244D"/>
    <w:rsid w:val="00A2253D"/>
    <w:rsid w:val="00A2267F"/>
    <w:rsid w:val="00A22CDB"/>
    <w:rsid w:val="00A247B8"/>
    <w:rsid w:val="00A2495A"/>
    <w:rsid w:val="00A24C7A"/>
    <w:rsid w:val="00A24D8F"/>
    <w:rsid w:val="00A25B8B"/>
    <w:rsid w:val="00A25C5D"/>
    <w:rsid w:val="00A2689F"/>
    <w:rsid w:val="00A26C1A"/>
    <w:rsid w:val="00A26ECA"/>
    <w:rsid w:val="00A27461"/>
    <w:rsid w:val="00A27D67"/>
    <w:rsid w:val="00A30ABC"/>
    <w:rsid w:val="00A32415"/>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2B3C"/>
    <w:rsid w:val="00A637EC"/>
    <w:rsid w:val="00A6410C"/>
    <w:rsid w:val="00A647B1"/>
    <w:rsid w:val="00A64DEF"/>
    <w:rsid w:val="00A654D2"/>
    <w:rsid w:val="00A665DF"/>
    <w:rsid w:val="00A671E0"/>
    <w:rsid w:val="00A67FCC"/>
    <w:rsid w:val="00A7064F"/>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7A7"/>
    <w:rsid w:val="00A85930"/>
    <w:rsid w:val="00A863F7"/>
    <w:rsid w:val="00A86604"/>
    <w:rsid w:val="00A87519"/>
    <w:rsid w:val="00A92040"/>
    <w:rsid w:val="00A9246D"/>
    <w:rsid w:val="00A92CCA"/>
    <w:rsid w:val="00A93BD0"/>
    <w:rsid w:val="00A93CC2"/>
    <w:rsid w:val="00A974CC"/>
    <w:rsid w:val="00AA2001"/>
    <w:rsid w:val="00AA2B5C"/>
    <w:rsid w:val="00AA32D2"/>
    <w:rsid w:val="00AA4016"/>
    <w:rsid w:val="00AA4C1F"/>
    <w:rsid w:val="00AA5328"/>
    <w:rsid w:val="00AA5393"/>
    <w:rsid w:val="00AA63D4"/>
    <w:rsid w:val="00AA796E"/>
    <w:rsid w:val="00AB03FD"/>
    <w:rsid w:val="00AB2000"/>
    <w:rsid w:val="00AB38CB"/>
    <w:rsid w:val="00AB3BEC"/>
    <w:rsid w:val="00AB44E4"/>
    <w:rsid w:val="00AB4AEB"/>
    <w:rsid w:val="00AB4E5F"/>
    <w:rsid w:val="00AB5352"/>
    <w:rsid w:val="00AB56AE"/>
    <w:rsid w:val="00AB5B8F"/>
    <w:rsid w:val="00AB62D5"/>
    <w:rsid w:val="00AB65B5"/>
    <w:rsid w:val="00AB6DCD"/>
    <w:rsid w:val="00AB6EE0"/>
    <w:rsid w:val="00AB775A"/>
    <w:rsid w:val="00AB7871"/>
    <w:rsid w:val="00AC17A2"/>
    <w:rsid w:val="00AC40B7"/>
    <w:rsid w:val="00AC531F"/>
    <w:rsid w:val="00AC5B36"/>
    <w:rsid w:val="00AC6377"/>
    <w:rsid w:val="00AC66A4"/>
    <w:rsid w:val="00AC6A4E"/>
    <w:rsid w:val="00AC6CB1"/>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7280"/>
    <w:rsid w:val="00AF033A"/>
    <w:rsid w:val="00AF0696"/>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1D"/>
    <w:rsid w:val="00B158E1"/>
    <w:rsid w:val="00B16715"/>
    <w:rsid w:val="00B1768E"/>
    <w:rsid w:val="00B17910"/>
    <w:rsid w:val="00B20F18"/>
    <w:rsid w:val="00B21516"/>
    <w:rsid w:val="00B21669"/>
    <w:rsid w:val="00B21A37"/>
    <w:rsid w:val="00B21D23"/>
    <w:rsid w:val="00B21F62"/>
    <w:rsid w:val="00B22CE0"/>
    <w:rsid w:val="00B23738"/>
    <w:rsid w:val="00B23BEF"/>
    <w:rsid w:val="00B247BB"/>
    <w:rsid w:val="00B2504A"/>
    <w:rsid w:val="00B25EE6"/>
    <w:rsid w:val="00B266DF"/>
    <w:rsid w:val="00B3115A"/>
    <w:rsid w:val="00B31825"/>
    <w:rsid w:val="00B31A5C"/>
    <w:rsid w:val="00B33B06"/>
    <w:rsid w:val="00B33C19"/>
    <w:rsid w:val="00B35A15"/>
    <w:rsid w:val="00B35B45"/>
    <w:rsid w:val="00B36A99"/>
    <w:rsid w:val="00B42264"/>
    <w:rsid w:val="00B434B2"/>
    <w:rsid w:val="00B43D45"/>
    <w:rsid w:val="00B45B3F"/>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81"/>
    <w:rsid w:val="00B662FF"/>
    <w:rsid w:val="00B66679"/>
    <w:rsid w:val="00B67136"/>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67D"/>
    <w:rsid w:val="00B86C2A"/>
    <w:rsid w:val="00B878BE"/>
    <w:rsid w:val="00B902A5"/>
    <w:rsid w:val="00B90420"/>
    <w:rsid w:val="00B90848"/>
    <w:rsid w:val="00B91146"/>
    <w:rsid w:val="00B913E4"/>
    <w:rsid w:val="00B91DB9"/>
    <w:rsid w:val="00B91FF3"/>
    <w:rsid w:val="00B93B29"/>
    <w:rsid w:val="00B93EFE"/>
    <w:rsid w:val="00B944B9"/>
    <w:rsid w:val="00B94956"/>
    <w:rsid w:val="00B94C7F"/>
    <w:rsid w:val="00B94E93"/>
    <w:rsid w:val="00B956B5"/>
    <w:rsid w:val="00B96DF2"/>
    <w:rsid w:val="00B96E18"/>
    <w:rsid w:val="00B96F5A"/>
    <w:rsid w:val="00BA0B39"/>
    <w:rsid w:val="00BA0CB2"/>
    <w:rsid w:val="00BA0E26"/>
    <w:rsid w:val="00BA138B"/>
    <w:rsid w:val="00BA13F3"/>
    <w:rsid w:val="00BA305B"/>
    <w:rsid w:val="00BA31BF"/>
    <w:rsid w:val="00BA3FC7"/>
    <w:rsid w:val="00BA478B"/>
    <w:rsid w:val="00BA5224"/>
    <w:rsid w:val="00BA575E"/>
    <w:rsid w:val="00BA76B7"/>
    <w:rsid w:val="00BA7BAB"/>
    <w:rsid w:val="00BA7E3B"/>
    <w:rsid w:val="00BB078D"/>
    <w:rsid w:val="00BB079C"/>
    <w:rsid w:val="00BB0D7A"/>
    <w:rsid w:val="00BB10E1"/>
    <w:rsid w:val="00BB2471"/>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E73"/>
    <w:rsid w:val="00BC74D3"/>
    <w:rsid w:val="00BC7A0F"/>
    <w:rsid w:val="00BD0014"/>
    <w:rsid w:val="00BD01D8"/>
    <w:rsid w:val="00BD191B"/>
    <w:rsid w:val="00BD255F"/>
    <w:rsid w:val="00BD2895"/>
    <w:rsid w:val="00BD4236"/>
    <w:rsid w:val="00BD483B"/>
    <w:rsid w:val="00BD5CD4"/>
    <w:rsid w:val="00BD65D9"/>
    <w:rsid w:val="00BD6DF3"/>
    <w:rsid w:val="00BD6E09"/>
    <w:rsid w:val="00BD6EF9"/>
    <w:rsid w:val="00BD7616"/>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245A"/>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21F"/>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653"/>
    <w:rsid w:val="00C37B19"/>
    <w:rsid w:val="00C413CB"/>
    <w:rsid w:val="00C42752"/>
    <w:rsid w:val="00C42973"/>
    <w:rsid w:val="00C445E8"/>
    <w:rsid w:val="00C44C69"/>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6DEC"/>
    <w:rsid w:val="00C67223"/>
    <w:rsid w:val="00C707B8"/>
    <w:rsid w:val="00C712AC"/>
    <w:rsid w:val="00C71C15"/>
    <w:rsid w:val="00C71F3D"/>
    <w:rsid w:val="00C72F53"/>
    <w:rsid w:val="00C7313D"/>
    <w:rsid w:val="00C74035"/>
    <w:rsid w:val="00C748EA"/>
    <w:rsid w:val="00C77818"/>
    <w:rsid w:val="00C8063F"/>
    <w:rsid w:val="00C81282"/>
    <w:rsid w:val="00C827B4"/>
    <w:rsid w:val="00C83214"/>
    <w:rsid w:val="00C8329F"/>
    <w:rsid w:val="00C84F8A"/>
    <w:rsid w:val="00C85603"/>
    <w:rsid w:val="00C85BA4"/>
    <w:rsid w:val="00C8618F"/>
    <w:rsid w:val="00C8625D"/>
    <w:rsid w:val="00C8753A"/>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0901"/>
    <w:rsid w:val="00CB19D7"/>
    <w:rsid w:val="00CB19FE"/>
    <w:rsid w:val="00CB1C3F"/>
    <w:rsid w:val="00CB21F6"/>
    <w:rsid w:val="00CB2364"/>
    <w:rsid w:val="00CB304C"/>
    <w:rsid w:val="00CB3933"/>
    <w:rsid w:val="00CB53E8"/>
    <w:rsid w:val="00CB594A"/>
    <w:rsid w:val="00CB5CB2"/>
    <w:rsid w:val="00CB6979"/>
    <w:rsid w:val="00CB6E7D"/>
    <w:rsid w:val="00CB7DDE"/>
    <w:rsid w:val="00CC0A3D"/>
    <w:rsid w:val="00CC0E22"/>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D74"/>
    <w:rsid w:val="00CF2646"/>
    <w:rsid w:val="00CF2BE2"/>
    <w:rsid w:val="00CF3DEB"/>
    <w:rsid w:val="00CF55F9"/>
    <w:rsid w:val="00CF7074"/>
    <w:rsid w:val="00CF7495"/>
    <w:rsid w:val="00D0033D"/>
    <w:rsid w:val="00D01CF9"/>
    <w:rsid w:val="00D0334D"/>
    <w:rsid w:val="00D0374D"/>
    <w:rsid w:val="00D03A2D"/>
    <w:rsid w:val="00D06D7B"/>
    <w:rsid w:val="00D06DA5"/>
    <w:rsid w:val="00D07191"/>
    <w:rsid w:val="00D07F1D"/>
    <w:rsid w:val="00D10558"/>
    <w:rsid w:val="00D106EB"/>
    <w:rsid w:val="00D114EB"/>
    <w:rsid w:val="00D11D4D"/>
    <w:rsid w:val="00D126DC"/>
    <w:rsid w:val="00D129E1"/>
    <w:rsid w:val="00D12B03"/>
    <w:rsid w:val="00D13CEB"/>
    <w:rsid w:val="00D13E70"/>
    <w:rsid w:val="00D15FCD"/>
    <w:rsid w:val="00D16C58"/>
    <w:rsid w:val="00D17019"/>
    <w:rsid w:val="00D17FC8"/>
    <w:rsid w:val="00D20B44"/>
    <w:rsid w:val="00D21168"/>
    <w:rsid w:val="00D2438C"/>
    <w:rsid w:val="00D2585A"/>
    <w:rsid w:val="00D259B0"/>
    <w:rsid w:val="00D26C3F"/>
    <w:rsid w:val="00D27185"/>
    <w:rsid w:val="00D30EF8"/>
    <w:rsid w:val="00D32518"/>
    <w:rsid w:val="00D33488"/>
    <w:rsid w:val="00D33AB3"/>
    <w:rsid w:val="00D33F24"/>
    <w:rsid w:val="00D34160"/>
    <w:rsid w:val="00D346B8"/>
    <w:rsid w:val="00D34DCA"/>
    <w:rsid w:val="00D35AC8"/>
    <w:rsid w:val="00D36F87"/>
    <w:rsid w:val="00D37E4E"/>
    <w:rsid w:val="00D40DEF"/>
    <w:rsid w:val="00D417D8"/>
    <w:rsid w:val="00D41F78"/>
    <w:rsid w:val="00D42E6C"/>
    <w:rsid w:val="00D4351C"/>
    <w:rsid w:val="00D43B80"/>
    <w:rsid w:val="00D44988"/>
    <w:rsid w:val="00D45B4C"/>
    <w:rsid w:val="00D45BA4"/>
    <w:rsid w:val="00D465D0"/>
    <w:rsid w:val="00D471AF"/>
    <w:rsid w:val="00D4724F"/>
    <w:rsid w:val="00D50519"/>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78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B145E"/>
    <w:rsid w:val="00DB1A94"/>
    <w:rsid w:val="00DB1D52"/>
    <w:rsid w:val="00DB1E2B"/>
    <w:rsid w:val="00DB1F62"/>
    <w:rsid w:val="00DB21E7"/>
    <w:rsid w:val="00DB2E03"/>
    <w:rsid w:val="00DB3742"/>
    <w:rsid w:val="00DB3E9B"/>
    <w:rsid w:val="00DB3F4B"/>
    <w:rsid w:val="00DB5375"/>
    <w:rsid w:val="00DB64C9"/>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85A"/>
    <w:rsid w:val="00DE0A1D"/>
    <w:rsid w:val="00DE15B2"/>
    <w:rsid w:val="00DE1A9A"/>
    <w:rsid w:val="00DE3D2C"/>
    <w:rsid w:val="00DE5E82"/>
    <w:rsid w:val="00DE5F9B"/>
    <w:rsid w:val="00DE5FA6"/>
    <w:rsid w:val="00DE660A"/>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0E9A"/>
    <w:rsid w:val="00E01C9C"/>
    <w:rsid w:val="00E0219D"/>
    <w:rsid w:val="00E04C0F"/>
    <w:rsid w:val="00E0570B"/>
    <w:rsid w:val="00E10913"/>
    <w:rsid w:val="00E10B87"/>
    <w:rsid w:val="00E121CE"/>
    <w:rsid w:val="00E1478B"/>
    <w:rsid w:val="00E14FAC"/>
    <w:rsid w:val="00E15007"/>
    <w:rsid w:val="00E16277"/>
    <w:rsid w:val="00E16BDE"/>
    <w:rsid w:val="00E16EC7"/>
    <w:rsid w:val="00E219CE"/>
    <w:rsid w:val="00E24071"/>
    <w:rsid w:val="00E24EBC"/>
    <w:rsid w:val="00E2522C"/>
    <w:rsid w:val="00E2552F"/>
    <w:rsid w:val="00E2599B"/>
    <w:rsid w:val="00E2710C"/>
    <w:rsid w:val="00E27428"/>
    <w:rsid w:val="00E305B4"/>
    <w:rsid w:val="00E31AFA"/>
    <w:rsid w:val="00E31CB7"/>
    <w:rsid w:val="00E324EE"/>
    <w:rsid w:val="00E34DB1"/>
    <w:rsid w:val="00E35931"/>
    <w:rsid w:val="00E359FF"/>
    <w:rsid w:val="00E402C5"/>
    <w:rsid w:val="00E402F4"/>
    <w:rsid w:val="00E405F1"/>
    <w:rsid w:val="00E417DB"/>
    <w:rsid w:val="00E43054"/>
    <w:rsid w:val="00E43655"/>
    <w:rsid w:val="00E44440"/>
    <w:rsid w:val="00E46013"/>
    <w:rsid w:val="00E47099"/>
    <w:rsid w:val="00E47284"/>
    <w:rsid w:val="00E4730A"/>
    <w:rsid w:val="00E477C3"/>
    <w:rsid w:val="00E51E16"/>
    <w:rsid w:val="00E530D0"/>
    <w:rsid w:val="00E53730"/>
    <w:rsid w:val="00E5438D"/>
    <w:rsid w:val="00E54511"/>
    <w:rsid w:val="00E54E50"/>
    <w:rsid w:val="00E55288"/>
    <w:rsid w:val="00E55332"/>
    <w:rsid w:val="00E57577"/>
    <w:rsid w:val="00E62043"/>
    <w:rsid w:val="00E626B9"/>
    <w:rsid w:val="00E627C9"/>
    <w:rsid w:val="00E630F3"/>
    <w:rsid w:val="00E6332F"/>
    <w:rsid w:val="00E637C9"/>
    <w:rsid w:val="00E6402D"/>
    <w:rsid w:val="00E658BE"/>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E1F"/>
    <w:rsid w:val="00E95FDF"/>
    <w:rsid w:val="00EA14C8"/>
    <w:rsid w:val="00EA2110"/>
    <w:rsid w:val="00EA283A"/>
    <w:rsid w:val="00EA2C90"/>
    <w:rsid w:val="00EA2E07"/>
    <w:rsid w:val="00EA383B"/>
    <w:rsid w:val="00EA48F3"/>
    <w:rsid w:val="00EA511B"/>
    <w:rsid w:val="00EA60BF"/>
    <w:rsid w:val="00EA7365"/>
    <w:rsid w:val="00EA763F"/>
    <w:rsid w:val="00EA77E9"/>
    <w:rsid w:val="00EB05D0"/>
    <w:rsid w:val="00EB1151"/>
    <w:rsid w:val="00EB1D49"/>
    <w:rsid w:val="00EB234C"/>
    <w:rsid w:val="00EB23D9"/>
    <w:rsid w:val="00EB39A0"/>
    <w:rsid w:val="00EB4507"/>
    <w:rsid w:val="00EB559F"/>
    <w:rsid w:val="00EB566C"/>
    <w:rsid w:val="00EB5F3D"/>
    <w:rsid w:val="00EB6D01"/>
    <w:rsid w:val="00EC1CEB"/>
    <w:rsid w:val="00EC1DC0"/>
    <w:rsid w:val="00EC1DC2"/>
    <w:rsid w:val="00EC21EC"/>
    <w:rsid w:val="00EC24B8"/>
    <w:rsid w:val="00EC268C"/>
    <w:rsid w:val="00EC3753"/>
    <w:rsid w:val="00EC4E71"/>
    <w:rsid w:val="00EC5F1C"/>
    <w:rsid w:val="00ED0365"/>
    <w:rsid w:val="00ED0865"/>
    <w:rsid w:val="00ED1C60"/>
    <w:rsid w:val="00ED2084"/>
    <w:rsid w:val="00ED2EB9"/>
    <w:rsid w:val="00ED3722"/>
    <w:rsid w:val="00ED3A31"/>
    <w:rsid w:val="00ED4469"/>
    <w:rsid w:val="00ED5424"/>
    <w:rsid w:val="00ED5F23"/>
    <w:rsid w:val="00ED6DC0"/>
    <w:rsid w:val="00ED7A7A"/>
    <w:rsid w:val="00EE0327"/>
    <w:rsid w:val="00EE038C"/>
    <w:rsid w:val="00EE2243"/>
    <w:rsid w:val="00EE28C5"/>
    <w:rsid w:val="00EE2F09"/>
    <w:rsid w:val="00EE2F13"/>
    <w:rsid w:val="00EE3654"/>
    <w:rsid w:val="00EE46C0"/>
    <w:rsid w:val="00EE47C5"/>
    <w:rsid w:val="00EE490C"/>
    <w:rsid w:val="00EE4E57"/>
    <w:rsid w:val="00EE5738"/>
    <w:rsid w:val="00EE58BD"/>
    <w:rsid w:val="00EE5E59"/>
    <w:rsid w:val="00EE6549"/>
    <w:rsid w:val="00EE73D0"/>
    <w:rsid w:val="00EE7CB0"/>
    <w:rsid w:val="00EF08A8"/>
    <w:rsid w:val="00EF167B"/>
    <w:rsid w:val="00EF41A8"/>
    <w:rsid w:val="00EF44FB"/>
    <w:rsid w:val="00EF4895"/>
    <w:rsid w:val="00EF5122"/>
    <w:rsid w:val="00EF5554"/>
    <w:rsid w:val="00EF5AD8"/>
    <w:rsid w:val="00EF6B90"/>
    <w:rsid w:val="00EF7807"/>
    <w:rsid w:val="00EF79F7"/>
    <w:rsid w:val="00F006C0"/>
    <w:rsid w:val="00F0125F"/>
    <w:rsid w:val="00F019AA"/>
    <w:rsid w:val="00F0267E"/>
    <w:rsid w:val="00F02686"/>
    <w:rsid w:val="00F028B7"/>
    <w:rsid w:val="00F030C0"/>
    <w:rsid w:val="00F03291"/>
    <w:rsid w:val="00F0459B"/>
    <w:rsid w:val="00F04E15"/>
    <w:rsid w:val="00F05DF3"/>
    <w:rsid w:val="00F069EA"/>
    <w:rsid w:val="00F070E5"/>
    <w:rsid w:val="00F07DDE"/>
    <w:rsid w:val="00F11675"/>
    <w:rsid w:val="00F12557"/>
    <w:rsid w:val="00F13599"/>
    <w:rsid w:val="00F13B28"/>
    <w:rsid w:val="00F13DB6"/>
    <w:rsid w:val="00F14E01"/>
    <w:rsid w:val="00F156A0"/>
    <w:rsid w:val="00F15730"/>
    <w:rsid w:val="00F164B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17"/>
    <w:rsid w:val="00F35DA7"/>
    <w:rsid w:val="00F36A6A"/>
    <w:rsid w:val="00F40101"/>
    <w:rsid w:val="00F404F7"/>
    <w:rsid w:val="00F40CCA"/>
    <w:rsid w:val="00F41069"/>
    <w:rsid w:val="00F42D97"/>
    <w:rsid w:val="00F436B2"/>
    <w:rsid w:val="00F43813"/>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9EA"/>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1C67"/>
    <w:rsid w:val="00F9203B"/>
    <w:rsid w:val="00F93251"/>
    <w:rsid w:val="00F93ABB"/>
    <w:rsid w:val="00F94D79"/>
    <w:rsid w:val="00F9658C"/>
    <w:rsid w:val="00F97A7F"/>
    <w:rsid w:val="00FA0889"/>
    <w:rsid w:val="00FA16E7"/>
    <w:rsid w:val="00FA31C7"/>
    <w:rsid w:val="00FA472D"/>
    <w:rsid w:val="00FB0CBF"/>
    <w:rsid w:val="00FB18F6"/>
    <w:rsid w:val="00FB23E5"/>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22A"/>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0AE8"/>
    <w:rsid w:val="00FF1C9B"/>
    <w:rsid w:val="00FF1D49"/>
    <w:rsid w:val="00FF203B"/>
    <w:rsid w:val="00FF2562"/>
    <w:rsid w:val="00FF3A41"/>
    <w:rsid w:val="00FF3E5B"/>
    <w:rsid w:val="00FF57E4"/>
    <w:rsid w:val="00FF72B5"/>
    <w:rsid w:val="00FF78E5"/>
    <w:rsid w:val="01722330"/>
    <w:rsid w:val="01AF3D99"/>
    <w:rsid w:val="022C3913"/>
    <w:rsid w:val="02511F9D"/>
    <w:rsid w:val="029F53A6"/>
    <w:rsid w:val="02A90972"/>
    <w:rsid w:val="039F0B06"/>
    <w:rsid w:val="03A314B8"/>
    <w:rsid w:val="03D82B98"/>
    <w:rsid w:val="03EC039A"/>
    <w:rsid w:val="03F83E8B"/>
    <w:rsid w:val="041465AE"/>
    <w:rsid w:val="05573B97"/>
    <w:rsid w:val="05C56868"/>
    <w:rsid w:val="05E41C7C"/>
    <w:rsid w:val="07B72767"/>
    <w:rsid w:val="08077E72"/>
    <w:rsid w:val="08882DD0"/>
    <w:rsid w:val="09CC2AAC"/>
    <w:rsid w:val="09D26E76"/>
    <w:rsid w:val="0A0575F5"/>
    <w:rsid w:val="0A652D3E"/>
    <w:rsid w:val="0AA62962"/>
    <w:rsid w:val="0B03274C"/>
    <w:rsid w:val="0B326F2A"/>
    <w:rsid w:val="0C1E2888"/>
    <w:rsid w:val="0C3E7BF8"/>
    <w:rsid w:val="0C92213C"/>
    <w:rsid w:val="0CA84E57"/>
    <w:rsid w:val="0CEB0F40"/>
    <w:rsid w:val="0D4252AC"/>
    <w:rsid w:val="0D84032B"/>
    <w:rsid w:val="0F2A74C4"/>
    <w:rsid w:val="10A27F31"/>
    <w:rsid w:val="11927058"/>
    <w:rsid w:val="130F3E82"/>
    <w:rsid w:val="13AF4F03"/>
    <w:rsid w:val="14736E66"/>
    <w:rsid w:val="147F458F"/>
    <w:rsid w:val="14D958EC"/>
    <w:rsid w:val="153277C1"/>
    <w:rsid w:val="1534169A"/>
    <w:rsid w:val="15C03E03"/>
    <w:rsid w:val="15C27409"/>
    <w:rsid w:val="15F802A9"/>
    <w:rsid w:val="162A25EB"/>
    <w:rsid w:val="16FD2A55"/>
    <w:rsid w:val="17067C1A"/>
    <w:rsid w:val="17366761"/>
    <w:rsid w:val="174F61A7"/>
    <w:rsid w:val="177C01F0"/>
    <w:rsid w:val="17CE6630"/>
    <w:rsid w:val="17F97816"/>
    <w:rsid w:val="183A374F"/>
    <w:rsid w:val="19BB5292"/>
    <w:rsid w:val="19F163F6"/>
    <w:rsid w:val="1AFF0AFE"/>
    <w:rsid w:val="1B4F19F8"/>
    <w:rsid w:val="1C226F03"/>
    <w:rsid w:val="1C654D74"/>
    <w:rsid w:val="1D8F0099"/>
    <w:rsid w:val="1D917BA1"/>
    <w:rsid w:val="1DA83E65"/>
    <w:rsid w:val="1DBC2DA7"/>
    <w:rsid w:val="1DCB19F7"/>
    <w:rsid w:val="1E2626DC"/>
    <w:rsid w:val="1E366995"/>
    <w:rsid w:val="1E736EE3"/>
    <w:rsid w:val="1ECC44FA"/>
    <w:rsid w:val="1F063325"/>
    <w:rsid w:val="1FA712FF"/>
    <w:rsid w:val="1FBC5DF5"/>
    <w:rsid w:val="1FF90588"/>
    <w:rsid w:val="202F4416"/>
    <w:rsid w:val="20C3623F"/>
    <w:rsid w:val="21781212"/>
    <w:rsid w:val="21AF7422"/>
    <w:rsid w:val="21B83F86"/>
    <w:rsid w:val="221178A8"/>
    <w:rsid w:val="221213CF"/>
    <w:rsid w:val="22327A92"/>
    <w:rsid w:val="231D53A2"/>
    <w:rsid w:val="236D5383"/>
    <w:rsid w:val="23AA0C77"/>
    <w:rsid w:val="23B7504C"/>
    <w:rsid w:val="23C4226F"/>
    <w:rsid w:val="24571307"/>
    <w:rsid w:val="25110A2A"/>
    <w:rsid w:val="254D45A6"/>
    <w:rsid w:val="256C0944"/>
    <w:rsid w:val="26446DE3"/>
    <w:rsid w:val="269669E7"/>
    <w:rsid w:val="26D7699F"/>
    <w:rsid w:val="27F9436F"/>
    <w:rsid w:val="27FA7E2E"/>
    <w:rsid w:val="285F4B0C"/>
    <w:rsid w:val="297B57DE"/>
    <w:rsid w:val="2AFB1DA3"/>
    <w:rsid w:val="2B774624"/>
    <w:rsid w:val="2C7A72BE"/>
    <w:rsid w:val="2C9A7D75"/>
    <w:rsid w:val="2CC17412"/>
    <w:rsid w:val="2CD56C72"/>
    <w:rsid w:val="2CD62E42"/>
    <w:rsid w:val="2D261EE1"/>
    <w:rsid w:val="2D3B3FF4"/>
    <w:rsid w:val="2DE41D3C"/>
    <w:rsid w:val="2E9976CE"/>
    <w:rsid w:val="2F401D3C"/>
    <w:rsid w:val="2F5B24E1"/>
    <w:rsid w:val="2FA95C88"/>
    <w:rsid w:val="2FB17C42"/>
    <w:rsid w:val="3041370F"/>
    <w:rsid w:val="30D845E0"/>
    <w:rsid w:val="312102B0"/>
    <w:rsid w:val="312B50A3"/>
    <w:rsid w:val="323B0A48"/>
    <w:rsid w:val="324234D5"/>
    <w:rsid w:val="32453A27"/>
    <w:rsid w:val="3263064A"/>
    <w:rsid w:val="32A43132"/>
    <w:rsid w:val="32AC0C06"/>
    <w:rsid w:val="33344EF5"/>
    <w:rsid w:val="34CC1329"/>
    <w:rsid w:val="3537750C"/>
    <w:rsid w:val="3537798C"/>
    <w:rsid w:val="35C13FC9"/>
    <w:rsid w:val="364257B6"/>
    <w:rsid w:val="37060F75"/>
    <w:rsid w:val="376C4B50"/>
    <w:rsid w:val="37EA5922"/>
    <w:rsid w:val="38276B93"/>
    <w:rsid w:val="388009FF"/>
    <w:rsid w:val="38AC3431"/>
    <w:rsid w:val="392F2E16"/>
    <w:rsid w:val="39CB4D8C"/>
    <w:rsid w:val="39E00529"/>
    <w:rsid w:val="3A0B64A7"/>
    <w:rsid w:val="3A574DDA"/>
    <w:rsid w:val="3A997AD9"/>
    <w:rsid w:val="3AD3075A"/>
    <w:rsid w:val="3AF74C02"/>
    <w:rsid w:val="3B2A027C"/>
    <w:rsid w:val="3C0059A5"/>
    <w:rsid w:val="3C134E78"/>
    <w:rsid w:val="3DD11BB1"/>
    <w:rsid w:val="3DEC7285"/>
    <w:rsid w:val="3DF6345D"/>
    <w:rsid w:val="3E2B5515"/>
    <w:rsid w:val="3E4D4F28"/>
    <w:rsid w:val="3EE13701"/>
    <w:rsid w:val="3F1A4BB3"/>
    <w:rsid w:val="3FB952B7"/>
    <w:rsid w:val="40192BA6"/>
    <w:rsid w:val="401C2080"/>
    <w:rsid w:val="410A1661"/>
    <w:rsid w:val="41766EA9"/>
    <w:rsid w:val="42550A18"/>
    <w:rsid w:val="429D496A"/>
    <w:rsid w:val="42F473A1"/>
    <w:rsid w:val="43784FA8"/>
    <w:rsid w:val="441E62C0"/>
    <w:rsid w:val="447F0F57"/>
    <w:rsid w:val="45325D14"/>
    <w:rsid w:val="457178AF"/>
    <w:rsid w:val="45811C7C"/>
    <w:rsid w:val="45906116"/>
    <w:rsid w:val="468B3EFB"/>
    <w:rsid w:val="470A6193"/>
    <w:rsid w:val="47385210"/>
    <w:rsid w:val="47BB1DAF"/>
    <w:rsid w:val="47CE452F"/>
    <w:rsid w:val="47DC4F5C"/>
    <w:rsid w:val="47E80223"/>
    <w:rsid w:val="488C3D8B"/>
    <w:rsid w:val="489E6122"/>
    <w:rsid w:val="48B40671"/>
    <w:rsid w:val="49292CBC"/>
    <w:rsid w:val="493C0826"/>
    <w:rsid w:val="499B5738"/>
    <w:rsid w:val="499F244D"/>
    <w:rsid w:val="4A973F3F"/>
    <w:rsid w:val="4AF96BC7"/>
    <w:rsid w:val="4B0329D1"/>
    <w:rsid w:val="4B5A416B"/>
    <w:rsid w:val="4B862A85"/>
    <w:rsid w:val="4CEF36E2"/>
    <w:rsid w:val="4CEF4DC5"/>
    <w:rsid w:val="4DCD53A9"/>
    <w:rsid w:val="4E257655"/>
    <w:rsid w:val="4E8E7871"/>
    <w:rsid w:val="4F372380"/>
    <w:rsid w:val="4F372FFB"/>
    <w:rsid w:val="501224BE"/>
    <w:rsid w:val="5025116D"/>
    <w:rsid w:val="507B2BDD"/>
    <w:rsid w:val="50947199"/>
    <w:rsid w:val="516E79EA"/>
    <w:rsid w:val="52395ECD"/>
    <w:rsid w:val="52C10D75"/>
    <w:rsid w:val="52CA5AE0"/>
    <w:rsid w:val="53C27FF8"/>
    <w:rsid w:val="549E1A80"/>
    <w:rsid w:val="54C658F4"/>
    <w:rsid w:val="550C4BD7"/>
    <w:rsid w:val="554C1D56"/>
    <w:rsid w:val="55572986"/>
    <w:rsid w:val="55C062DD"/>
    <w:rsid w:val="55E8649E"/>
    <w:rsid w:val="55FA7A9F"/>
    <w:rsid w:val="565340FA"/>
    <w:rsid w:val="5723343E"/>
    <w:rsid w:val="573D7EAB"/>
    <w:rsid w:val="574B1383"/>
    <w:rsid w:val="576B22D6"/>
    <w:rsid w:val="582D5282"/>
    <w:rsid w:val="587578B0"/>
    <w:rsid w:val="58B24661"/>
    <w:rsid w:val="59777603"/>
    <w:rsid w:val="5A2F2CC8"/>
    <w:rsid w:val="5BA26962"/>
    <w:rsid w:val="5BC22E0D"/>
    <w:rsid w:val="5C10702D"/>
    <w:rsid w:val="5C152601"/>
    <w:rsid w:val="5C591F03"/>
    <w:rsid w:val="5C8A1B2F"/>
    <w:rsid w:val="5C920C16"/>
    <w:rsid w:val="5CB06720"/>
    <w:rsid w:val="5D211DB5"/>
    <w:rsid w:val="5D651957"/>
    <w:rsid w:val="5D914004"/>
    <w:rsid w:val="5DD010E5"/>
    <w:rsid w:val="5E800D5D"/>
    <w:rsid w:val="5EE412EC"/>
    <w:rsid w:val="5F0C439F"/>
    <w:rsid w:val="5F561B72"/>
    <w:rsid w:val="5F77099A"/>
    <w:rsid w:val="60234096"/>
    <w:rsid w:val="606007BB"/>
    <w:rsid w:val="60AC7F66"/>
    <w:rsid w:val="613A3BD7"/>
    <w:rsid w:val="61BF10D9"/>
    <w:rsid w:val="61DA3D4C"/>
    <w:rsid w:val="61DF4668"/>
    <w:rsid w:val="628F5EDF"/>
    <w:rsid w:val="62AC22DC"/>
    <w:rsid w:val="637833E8"/>
    <w:rsid w:val="64E45EF7"/>
    <w:rsid w:val="64EE1C5B"/>
    <w:rsid w:val="65F64798"/>
    <w:rsid w:val="669041E1"/>
    <w:rsid w:val="6691014E"/>
    <w:rsid w:val="66C87CCE"/>
    <w:rsid w:val="675E59B4"/>
    <w:rsid w:val="677435B2"/>
    <w:rsid w:val="67AE693B"/>
    <w:rsid w:val="67EF75F1"/>
    <w:rsid w:val="68B406B1"/>
    <w:rsid w:val="69124F16"/>
    <w:rsid w:val="694A5205"/>
    <w:rsid w:val="6958090C"/>
    <w:rsid w:val="69CD5C14"/>
    <w:rsid w:val="69CF0D33"/>
    <w:rsid w:val="69E14EA3"/>
    <w:rsid w:val="6A1567FD"/>
    <w:rsid w:val="6B2E586A"/>
    <w:rsid w:val="6B9946B3"/>
    <w:rsid w:val="6C2C29A8"/>
    <w:rsid w:val="6C662189"/>
    <w:rsid w:val="6C7007C7"/>
    <w:rsid w:val="6DE76850"/>
    <w:rsid w:val="6EE91D09"/>
    <w:rsid w:val="6F881820"/>
    <w:rsid w:val="6F954173"/>
    <w:rsid w:val="6F985057"/>
    <w:rsid w:val="6FB20BD4"/>
    <w:rsid w:val="6FB650F7"/>
    <w:rsid w:val="6FBA59BE"/>
    <w:rsid w:val="70151DEA"/>
    <w:rsid w:val="70240E8D"/>
    <w:rsid w:val="70296B3E"/>
    <w:rsid w:val="70324462"/>
    <w:rsid w:val="70611204"/>
    <w:rsid w:val="715F110D"/>
    <w:rsid w:val="71B1321B"/>
    <w:rsid w:val="71D44CE7"/>
    <w:rsid w:val="71D76E19"/>
    <w:rsid w:val="72202805"/>
    <w:rsid w:val="732F6F35"/>
    <w:rsid w:val="73445350"/>
    <w:rsid w:val="74270503"/>
    <w:rsid w:val="74FA2C30"/>
    <w:rsid w:val="754D5C4B"/>
    <w:rsid w:val="76821661"/>
    <w:rsid w:val="76C240A7"/>
    <w:rsid w:val="775246B7"/>
    <w:rsid w:val="77C03CFB"/>
    <w:rsid w:val="781E69D1"/>
    <w:rsid w:val="795355FB"/>
    <w:rsid w:val="79BF0534"/>
    <w:rsid w:val="7A263B6B"/>
    <w:rsid w:val="7A301431"/>
    <w:rsid w:val="7AF46346"/>
    <w:rsid w:val="7B0F5EBF"/>
    <w:rsid w:val="7B130FB9"/>
    <w:rsid w:val="7BF64EDE"/>
    <w:rsid w:val="7C400C1E"/>
    <w:rsid w:val="7C4B253E"/>
    <w:rsid w:val="7D513693"/>
    <w:rsid w:val="7DCA3873"/>
    <w:rsid w:val="7DD11708"/>
    <w:rsid w:val="7E955D07"/>
    <w:rsid w:val="7EBD579E"/>
    <w:rsid w:val="7EC167BD"/>
    <w:rsid w:val="7F272D9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0"/>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spacing w:before="120" w:beforeLines="0" w:after="120" w:afterLines="0" w:line="360" w:lineRule="auto"/>
      <w:outlineLvl w:val="3"/>
    </w:pPr>
    <w:rPr>
      <w:rFonts w:ascii="Arial" w:hAnsi="Arial" w:eastAsia="黑体"/>
      <w:b/>
      <w:bCs/>
      <w:kern w:val="0"/>
      <w:sz w:val="24"/>
      <w:szCs w:val="20"/>
    </w:rPr>
  </w:style>
  <w:style w:type="paragraph" w:styleId="6">
    <w:name w:val="heading 5"/>
    <w:basedOn w:val="1"/>
    <w:next w:val="7"/>
    <w:link w:val="41"/>
    <w:qFormat/>
    <w:uiPriority w:val="9"/>
    <w:pPr>
      <w:keepNext/>
      <w:keepLines/>
      <w:spacing w:before="280" w:after="290" w:line="376" w:lineRule="auto"/>
      <w:outlineLvl w:val="4"/>
    </w:pPr>
    <w:rPr>
      <w:b/>
      <w:bCs/>
      <w:sz w:val="28"/>
      <w:szCs w:val="28"/>
    </w:rPr>
  </w:style>
  <w:style w:type="paragraph" w:styleId="8">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paragraph" w:styleId="9">
    <w:name w:val="heading 9"/>
    <w:basedOn w:val="1"/>
    <w:next w:val="1"/>
    <w:link w:val="43"/>
    <w:qFormat/>
    <w:uiPriority w:val="9"/>
    <w:pPr>
      <w:keepNext/>
      <w:keepLines/>
      <w:spacing w:before="240" w:after="64" w:line="320" w:lineRule="auto"/>
      <w:outlineLvl w:val="8"/>
    </w:pPr>
    <w:rPr>
      <w:rFonts w:ascii="Cambria" w:hAnsi="Cambria" w:eastAsia="宋体" w:cs="Times New Roman"/>
      <w:szCs w:val="21"/>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annotation text"/>
    <w:basedOn w:val="1"/>
    <w:link w:val="44"/>
    <w:qFormat/>
    <w:uiPriority w:val="0"/>
    <w:pPr>
      <w:jc w:val="left"/>
    </w:pPr>
  </w:style>
  <w:style w:type="paragraph" w:styleId="12">
    <w:name w:val="Body Text 3"/>
    <w:basedOn w:val="1"/>
    <w:link w:val="45"/>
    <w:unhideWhenUsed/>
    <w:qFormat/>
    <w:uiPriority w:val="99"/>
    <w:pPr>
      <w:spacing w:after="120"/>
    </w:pPr>
    <w:rPr>
      <w:sz w:val="16"/>
      <w:szCs w:val="16"/>
    </w:rPr>
  </w:style>
  <w:style w:type="paragraph" w:styleId="13">
    <w:name w:val="Body Text"/>
    <w:basedOn w:val="1"/>
    <w:next w:val="1"/>
    <w:link w:val="37"/>
    <w:unhideWhenUsed/>
    <w:qFormat/>
    <w:uiPriority w:val="0"/>
    <w:pPr>
      <w:spacing w:after="120"/>
    </w:pPr>
  </w:style>
  <w:style w:type="paragraph" w:styleId="14">
    <w:name w:val="Body Text Indent"/>
    <w:basedOn w:val="1"/>
    <w:link w:val="46"/>
    <w:qFormat/>
    <w:uiPriority w:val="0"/>
    <w:pPr>
      <w:ind w:firstLine="830" w:firstLineChars="352"/>
    </w:pPr>
    <w:rPr>
      <w:rFonts w:ascii="仿宋_GB2312" w:eastAsia="仿宋_GB2312"/>
      <w:kern w:val="0"/>
      <w:sz w:val="32"/>
      <w:szCs w:val="20"/>
    </w:rPr>
  </w:style>
  <w:style w:type="paragraph" w:styleId="15">
    <w:name w:val="List 2"/>
    <w:basedOn w:val="1"/>
    <w:unhideWhenUsed/>
    <w:qFormat/>
    <w:uiPriority w:val="99"/>
    <w:pPr>
      <w:ind w:left="100" w:leftChars="200" w:hanging="200" w:hangingChars="200"/>
      <w:contextualSpacing/>
    </w:pPr>
  </w:style>
  <w:style w:type="paragraph" w:styleId="16">
    <w:name w:val="toc 3"/>
    <w:basedOn w:val="1"/>
    <w:next w:val="1"/>
    <w:unhideWhenUsed/>
    <w:qFormat/>
    <w:uiPriority w:val="39"/>
    <w:pPr>
      <w:ind w:left="840" w:leftChars="400"/>
    </w:pPr>
  </w:style>
  <w:style w:type="paragraph" w:styleId="17">
    <w:name w:val="Plain Text"/>
    <w:basedOn w:val="1"/>
    <w:next w:val="1"/>
    <w:link w:val="47"/>
    <w:qFormat/>
    <w:uiPriority w:val="0"/>
    <w:rPr>
      <w:rFonts w:ascii="宋体" w:hAnsi="Courier New"/>
      <w:kern w:val="0"/>
      <w:sz w:val="20"/>
      <w:szCs w:val="21"/>
    </w:rPr>
  </w:style>
  <w:style w:type="paragraph" w:styleId="18">
    <w:name w:val="Date"/>
    <w:basedOn w:val="1"/>
    <w:next w:val="1"/>
    <w:link w:val="48"/>
    <w:unhideWhenUsed/>
    <w:qFormat/>
    <w:uiPriority w:val="99"/>
    <w:pPr>
      <w:ind w:left="100" w:leftChars="2500"/>
    </w:pPr>
  </w:style>
  <w:style w:type="paragraph" w:styleId="19">
    <w:name w:val="Balloon Text"/>
    <w:basedOn w:val="1"/>
    <w:semiHidden/>
    <w:qFormat/>
    <w:uiPriority w:val="0"/>
    <w:rPr>
      <w:sz w:val="18"/>
      <w:szCs w:val="18"/>
    </w:rPr>
  </w:style>
  <w:style w:type="paragraph" w:styleId="20">
    <w:name w:val="footer"/>
    <w:basedOn w:val="1"/>
    <w:link w:val="49"/>
    <w:unhideWhenUsed/>
    <w:qFormat/>
    <w:uiPriority w:val="0"/>
    <w:pPr>
      <w:tabs>
        <w:tab w:val="center" w:pos="4153"/>
        <w:tab w:val="right" w:pos="8306"/>
      </w:tabs>
      <w:snapToGrid w:val="0"/>
      <w:jc w:val="left"/>
    </w:pPr>
    <w:rPr>
      <w:kern w:val="0"/>
      <w:sz w:val="18"/>
      <w:szCs w:val="18"/>
    </w:rPr>
  </w:style>
  <w:style w:type="paragraph" w:styleId="21">
    <w:name w:val="header"/>
    <w:basedOn w:val="1"/>
    <w:link w:val="5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List"/>
    <w:basedOn w:val="1"/>
    <w:unhideWhenUsed/>
    <w:qFormat/>
    <w:uiPriority w:val="99"/>
    <w:pPr>
      <w:ind w:left="200" w:hanging="200" w:hangingChars="200"/>
      <w:contextualSpacing/>
    </w:pPr>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link w:val="54"/>
    <w:qFormat/>
    <w:uiPriority w:val="0"/>
    <w:pPr>
      <w:widowControl/>
      <w:overflowPunct w:val="0"/>
      <w:autoSpaceDE w:val="0"/>
      <w:autoSpaceDN w:val="0"/>
      <w:adjustRightInd w:val="0"/>
      <w:jc w:val="center"/>
      <w:textAlignment w:val="baseline"/>
    </w:pPr>
    <w:rPr>
      <w:rFonts w:ascii="Calibri" w:hAnsi="Calibri"/>
      <w:b/>
      <w:kern w:val="0"/>
      <w:sz w:val="24"/>
      <w:szCs w:val="20"/>
      <w:lang w:val="en-GB"/>
    </w:rPr>
  </w:style>
  <w:style w:type="paragraph" w:styleId="27">
    <w:name w:val="annotation subject"/>
    <w:basedOn w:val="11"/>
    <w:next w:val="11"/>
    <w:link w:val="52"/>
    <w:qFormat/>
    <w:uiPriority w:val="99"/>
    <w:rPr>
      <w:b/>
      <w:bCs/>
    </w:rPr>
  </w:style>
  <w:style w:type="paragraph" w:styleId="28">
    <w:name w:val="Body Text First Indent 2"/>
    <w:basedOn w:val="14"/>
    <w:link w:val="53"/>
    <w:unhideWhenUsed/>
    <w:qFormat/>
    <w:uiPriority w:val="99"/>
    <w:pPr>
      <w:spacing w:after="120"/>
      <w:ind w:left="420" w:leftChars="200" w:firstLine="420" w:firstLineChars="200"/>
    </w:pPr>
    <w:rPr>
      <w:rFonts w:ascii="Times New Roman" w:eastAsia="宋体"/>
      <w:kern w:val="2"/>
      <w:sz w:val="21"/>
      <w:szCs w:val="24"/>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endnote reference"/>
    <w:unhideWhenUsed/>
    <w:qFormat/>
    <w:uiPriority w:val="99"/>
    <w:rPr>
      <w:vertAlign w:val="superscript"/>
    </w:rPr>
  </w:style>
  <w:style w:type="character" w:styleId="33">
    <w:name w:val="page number"/>
    <w:basedOn w:val="31"/>
    <w:qFormat/>
    <w:uiPriority w:val="0"/>
    <w:rPr>
      <w:rFonts w:ascii="Arial" w:hAnsi="Arial" w:eastAsia="黑体" w:cs="Arial"/>
      <w:snapToGrid w:val="0"/>
      <w:kern w:val="0"/>
      <w:szCs w:val="21"/>
    </w:rPr>
  </w:style>
  <w:style w:type="character" w:styleId="34">
    <w:name w:val="FollowedHyperlink"/>
    <w:basedOn w:val="31"/>
    <w:unhideWhenUsed/>
    <w:qFormat/>
    <w:uiPriority w:val="99"/>
    <w:rPr>
      <w:color w:val="800080"/>
      <w:u w:val="single"/>
    </w:rPr>
  </w:style>
  <w:style w:type="character" w:styleId="35">
    <w:name w:val="Hyperlink"/>
    <w:unhideWhenUsed/>
    <w:qFormat/>
    <w:uiPriority w:val="99"/>
    <w:rPr>
      <w:color w:val="0000FF"/>
      <w:u w:val="single"/>
    </w:rPr>
  </w:style>
  <w:style w:type="character" w:styleId="36">
    <w:name w:val="annotation reference"/>
    <w:qFormat/>
    <w:uiPriority w:val="99"/>
    <w:rPr>
      <w:sz w:val="21"/>
      <w:szCs w:val="21"/>
    </w:rPr>
  </w:style>
  <w:style w:type="character" w:customStyle="1" w:styleId="37">
    <w:name w:val="正文文本 Char1"/>
    <w:link w:val="13"/>
    <w:qFormat/>
    <w:uiPriority w:val="0"/>
    <w:rPr>
      <w:rFonts w:ascii="Times New Roman" w:hAnsi="Times New Roman"/>
      <w:kern w:val="2"/>
      <w:sz w:val="21"/>
      <w:szCs w:val="24"/>
    </w:rPr>
  </w:style>
  <w:style w:type="character" w:customStyle="1" w:styleId="38">
    <w:name w:val="标题 1 Char"/>
    <w:link w:val="2"/>
    <w:qFormat/>
    <w:uiPriority w:val="9"/>
    <w:rPr>
      <w:b/>
      <w:bCs/>
      <w:kern w:val="44"/>
      <w:sz w:val="44"/>
      <w:szCs w:val="44"/>
    </w:rPr>
  </w:style>
  <w:style w:type="character" w:customStyle="1" w:styleId="39">
    <w:name w:val="标题 2 Char1"/>
    <w:link w:val="3"/>
    <w:qFormat/>
    <w:uiPriority w:val="9"/>
    <w:rPr>
      <w:rFonts w:ascii="Cambria" w:hAnsi="Cambria" w:eastAsia="宋体" w:cs="Times New Roman"/>
      <w:b/>
      <w:bCs/>
      <w:kern w:val="2"/>
      <w:sz w:val="32"/>
      <w:szCs w:val="32"/>
    </w:rPr>
  </w:style>
  <w:style w:type="character" w:customStyle="1" w:styleId="40">
    <w:name w:val="标题 3 Char"/>
    <w:link w:val="4"/>
    <w:semiHidden/>
    <w:qFormat/>
    <w:uiPriority w:val="9"/>
    <w:rPr>
      <w:b/>
      <w:bCs/>
      <w:kern w:val="2"/>
      <w:sz w:val="32"/>
      <w:szCs w:val="32"/>
    </w:rPr>
  </w:style>
  <w:style w:type="character" w:customStyle="1" w:styleId="41">
    <w:name w:val="标题 5 Char"/>
    <w:link w:val="6"/>
    <w:qFormat/>
    <w:uiPriority w:val="9"/>
    <w:rPr>
      <w:rFonts w:ascii="Times New Roman" w:hAnsi="Times New Roman"/>
      <w:b/>
      <w:bCs/>
      <w:kern w:val="2"/>
      <w:sz w:val="28"/>
      <w:szCs w:val="28"/>
    </w:rPr>
  </w:style>
  <w:style w:type="character" w:customStyle="1" w:styleId="42">
    <w:name w:val="标题 8 Char1"/>
    <w:link w:val="8"/>
    <w:semiHidden/>
    <w:qFormat/>
    <w:uiPriority w:val="9"/>
    <w:rPr>
      <w:rFonts w:ascii="等线 Light" w:hAnsi="等线 Light" w:eastAsia="等线 Light" w:cs="Times New Roman"/>
      <w:kern w:val="2"/>
      <w:sz w:val="24"/>
      <w:szCs w:val="24"/>
    </w:rPr>
  </w:style>
  <w:style w:type="character" w:customStyle="1" w:styleId="43">
    <w:name w:val="标题 9 Char"/>
    <w:basedOn w:val="31"/>
    <w:link w:val="9"/>
    <w:semiHidden/>
    <w:qFormat/>
    <w:uiPriority w:val="9"/>
    <w:rPr>
      <w:rFonts w:ascii="Cambria" w:hAnsi="Cambria" w:eastAsia="宋体" w:cs="Times New Roman"/>
      <w:kern w:val="2"/>
      <w:sz w:val="21"/>
      <w:szCs w:val="21"/>
    </w:rPr>
  </w:style>
  <w:style w:type="character" w:customStyle="1" w:styleId="44">
    <w:name w:val="批注文字 Char1"/>
    <w:link w:val="11"/>
    <w:qFormat/>
    <w:uiPriority w:val="0"/>
    <w:rPr>
      <w:rFonts w:ascii="Times New Roman" w:hAnsi="Times New Roman"/>
      <w:kern w:val="2"/>
      <w:sz w:val="21"/>
      <w:szCs w:val="24"/>
    </w:rPr>
  </w:style>
  <w:style w:type="character" w:customStyle="1" w:styleId="45">
    <w:name w:val="正文文本 3 Char"/>
    <w:link w:val="12"/>
    <w:semiHidden/>
    <w:qFormat/>
    <w:uiPriority w:val="99"/>
    <w:rPr>
      <w:kern w:val="2"/>
      <w:sz w:val="16"/>
      <w:szCs w:val="16"/>
    </w:rPr>
  </w:style>
  <w:style w:type="character" w:customStyle="1" w:styleId="46">
    <w:name w:val="正文文本缩进 Char"/>
    <w:link w:val="14"/>
    <w:qFormat/>
    <w:uiPriority w:val="0"/>
    <w:rPr>
      <w:rFonts w:ascii="仿宋_GB2312" w:hAnsi="Times New Roman" w:eastAsia="仿宋_GB2312" w:cs="Times New Roman"/>
      <w:sz w:val="32"/>
      <w:szCs w:val="20"/>
    </w:rPr>
  </w:style>
  <w:style w:type="character" w:customStyle="1" w:styleId="47">
    <w:name w:val="纯文本 Char1"/>
    <w:link w:val="17"/>
    <w:qFormat/>
    <w:uiPriority w:val="0"/>
    <w:rPr>
      <w:rFonts w:ascii="宋体" w:hAnsi="Courier New" w:eastAsia="宋体" w:cs="Courier New"/>
      <w:szCs w:val="21"/>
    </w:rPr>
  </w:style>
  <w:style w:type="character" w:customStyle="1" w:styleId="48">
    <w:name w:val="日期 Char"/>
    <w:link w:val="18"/>
    <w:semiHidden/>
    <w:qFormat/>
    <w:uiPriority w:val="99"/>
    <w:rPr>
      <w:rFonts w:ascii="Times New Roman" w:hAnsi="Times New Roman"/>
      <w:kern w:val="2"/>
      <w:sz w:val="21"/>
      <w:szCs w:val="24"/>
    </w:rPr>
  </w:style>
  <w:style w:type="character" w:customStyle="1" w:styleId="49">
    <w:name w:val="页脚 Char"/>
    <w:link w:val="20"/>
    <w:qFormat/>
    <w:uiPriority w:val="0"/>
    <w:rPr>
      <w:sz w:val="18"/>
      <w:szCs w:val="18"/>
    </w:rPr>
  </w:style>
  <w:style w:type="character" w:customStyle="1" w:styleId="50">
    <w:name w:val="页眉 Char"/>
    <w:link w:val="21"/>
    <w:qFormat/>
    <w:uiPriority w:val="0"/>
    <w:rPr>
      <w:sz w:val="18"/>
      <w:szCs w:val="18"/>
    </w:rPr>
  </w:style>
  <w:style w:type="character" w:customStyle="1" w:styleId="51">
    <w:name w:val="标题 Char1"/>
    <w:basedOn w:val="31"/>
    <w:link w:val="26"/>
    <w:qFormat/>
    <w:uiPriority w:val="0"/>
    <w:rPr>
      <w:rFonts w:ascii="Calibri" w:hAnsi="Calibri"/>
      <w:b/>
      <w:sz w:val="24"/>
      <w:lang w:val="en-GB"/>
    </w:rPr>
  </w:style>
  <w:style w:type="character" w:customStyle="1" w:styleId="52">
    <w:name w:val="批注主题 Char"/>
    <w:link w:val="27"/>
    <w:qFormat/>
    <w:uiPriority w:val="99"/>
    <w:rPr>
      <w:rFonts w:ascii="Times New Roman" w:hAnsi="Times New Roman"/>
      <w:b/>
      <w:bCs/>
      <w:kern w:val="2"/>
      <w:sz w:val="21"/>
      <w:szCs w:val="24"/>
    </w:rPr>
  </w:style>
  <w:style w:type="character" w:customStyle="1" w:styleId="53">
    <w:name w:val="正文首行缩进 2 Char"/>
    <w:basedOn w:val="46"/>
    <w:link w:val="28"/>
    <w:semiHidden/>
    <w:qFormat/>
    <w:uiPriority w:val="99"/>
    <w:rPr>
      <w:kern w:val="2"/>
      <w:sz w:val="21"/>
      <w:szCs w:val="24"/>
    </w:rPr>
  </w:style>
  <w:style w:type="character" w:customStyle="1" w:styleId="54">
    <w:name w:val="标题 Char"/>
    <w:basedOn w:val="31"/>
    <w:link w:val="26"/>
    <w:qFormat/>
    <w:uiPriority w:val="10"/>
    <w:rPr>
      <w:rFonts w:ascii="Cambria" w:hAnsi="Cambria" w:cs="Times New Roman"/>
      <w:b/>
      <w:bCs/>
      <w:kern w:val="2"/>
      <w:sz w:val="32"/>
      <w:szCs w:val="32"/>
    </w:rPr>
  </w:style>
  <w:style w:type="character" w:customStyle="1" w:styleId="55">
    <w:name w:val="标题 8 Char"/>
    <w:qFormat/>
    <w:uiPriority w:val="0"/>
    <w:rPr>
      <w:rFonts w:ascii="Arial" w:hAnsi="Arial" w:eastAsia="黑体"/>
      <w:kern w:val="2"/>
      <w:sz w:val="24"/>
      <w:szCs w:val="24"/>
    </w:rPr>
  </w:style>
  <w:style w:type="character" w:customStyle="1" w:styleId="5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7">
    <w:name w:val="正文文本 字符"/>
    <w:qFormat/>
    <w:uiPriority w:val="0"/>
    <w:rPr>
      <w:rFonts w:ascii="Times New Roman" w:hAnsi="Times New Roman"/>
      <w:kern w:val="2"/>
      <w:sz w:val="21"/>
      <w:szCs w:val="24"/>
    </w:rPr>
  </w:style>
  <w:style w:type="character" w:customStyle="1" w:styleId="58">
    <w:name w:val="纯文本 Char"/>
    <w:qFormat/>
    <w:uiPriority w:val="0"/>
    <w:rPr>
      <w:rFonts w:ascii="宋体" w:hAnsi="Courier New" w:eastAsia="宋体" w:cs="Courier New"/>
      <w:szCs w:val="21"/>
    </w:rPr>
  </w:style>
  <w:style w:type="character" w:customStyle="1" w:styleId="59">
    <w:name w:val="正文文本 Char"/>
    <w:qFormat/>
    <w:uiPriority w:val="0"/>
    <w:rPr>
      <w:rFonts w:ascii="Times New Roman" w:hAnsi="Times New Roman"/>
      <w:kern w:val="2"/>
      <w:sz w:val="21"/>
      <w:szCs w:val="24"/>
    </w:rPr>
  </w:style>
  <w:style w:type="character" w:customStyle="1" w:styleId="60">
    <w:name w:val="批注文字 字符1"/>
    <w:qFormat/>
    <w:uiPriority w:val="0"/>
    <w:rPr>
      <w:rFonts w:ascii="Times New Roman" w:hAnsi="Times New Roman"/>
      <w:kern w:val="2"/>
      <w:sz w:val="21"/>
      <w:szCs w:val="24"/>
    </w:rPr>
  </w:style>
  <w:style w:type="character" w:customStyle="1" w:styleId="61">
    <w:name w:val="标题 2 Char"/>
    <w:qFormat/>
    <w:uiPriority w:val="9"/>
    <w:rPr>
      <w:rFonts w:ascii="Cambria" w:hAnsi="Cambria" w:eastAsia="宋体" w:cs="Times New Roman"/>
      <w:b/>
      <w:bCs/>
      <w:kern w:val="2"/>
      <w:sz w:val="32"/>
      <w:szCs w:val="32"/>
    </w:rPr>
  </w:style>
  <w:style w:type="character" w:customStyle="1" w:styleId="62">
    <w:name w:val="批注文字 字符"/>
    <w:qFormat/>
    <w:uiPriority w:val="0"/>
    <w:rPr>
      <w:rFonts w:ascii="Times New Roman" w:hAnsi="Times New Roman"/>
      <w:kern w:val="2"/>
      <w:sz w:val="21"/>
      <w:szCs w:val="24"/>
    </w:rPr>
  </w:style>
  <w:style w:type="character" w:customStyle="1" w:styleId="63">
    <w:name w:val="未处理的提及"/>
    <w:unhideWhenUsed/>
    <w:qFormat/>
    <w:uiPriority w:val="99"/>
    <w:rPr>
      <w:color w:val="605E5C"/>
      <w:shd w:val="clear" w:color="auto" w:fill="E1DFDD"/>
    </w:rPr>
  </w:style>
  <w:style w:type="character" w:customStyle="1" w:styleId="64">
    <w:name w:val="apple-style-span"/>
    <w:basedOn w:val="31"/>
    <w:qFormat/>
    <w:uiPriority w:val="0"/>
  </w:style>
  <w:style w:type="character" w:customStyle="1" w:styleId="65">
    <w:name w:val="纯文本 字符2"/>
    <w:qFormat/>
    <w:uiPriority w:val="0"/>
    <w:rPr>
      <w:rFonts w:ascii="宋体" w:hAnsi="Courier New" w:eastAsia="宋体" w:cs="Courier New"/>
      <w:szCs w:val="21"/>
    </w:rPr>
  </w:style>
  <w:style w:type="character" w:customStyle="1" w:styleId="66">
    <w:name w:val="textcontents"/>
    <w:basedOn w:val="31"/>
    <w:qFormat/>
    <w:uiPriority w:val="0"/>
  </w:style>
  <w:style w:type="character" w:customStyle="1" w:styleId="67">
    <w:name w:val="纯文本 字符1"/>
    <w:qFormat/>
    <w:uiPriority w:val="0"/>
    <w:rPr>
      <w:rFonts w:ascii="宋体" w:hAnsi="Courier New"/>
    </w:rPr>
  </w:style>
  <w:style w:type="character" w:customStyle="1" w:styleId="68">
    <w:name w:val="批注文字 Char"/>
    <w:qFormat/>
    <w:uiPriority w:val="0"/>
    <w:rPr>
      <w:rFonts w:ascii="Times New Roman" w:hAnsi="Times New Roman"/>
      <w:kern w:val="2"/>
      <w:sz w:val="21"/>
      <w:szCs w:val="24"/>
    </w:rPr>
  </w:style>
  <w:style w:type="character" w:customStyle="1" w:styleId="69">
    <w:name w:val="标题 1 字符1"/>
    <w:qFormat/>
    <w:uiPriority w:val="0"/>
    <w:rPr>
      <w:b/>
      <w:bCs/>
      <w:kern w:val="44"/>
      <w:sz w:val="44"/>
      <w:szCs w:val="44"/>
    </w:rPr>
  </w:style>
  <w:style w:type="character" w:customStyle="1" w:styleId="70">
    <w:name w:val="纯文本 字符"/>
    <w:qFormat/>
    <w:uiPriority w:val="0"/>
    <w:rPr>
      <w:rFonts w:ascii="宋体" w:hAnsi="Courier New" w:eastAsia="宋体" w:cs="Courier New"/>
      <w:szCs w:val="21"/>
    </w:rPr>
  </w:style>
  <w:style w:type="paragraph" w:customStyle="1" w:styleId="71">
    <w:name w:val="Char Char Char Char"/>
    <w:basedOn w:val="1"/>
    <w:qFormat/>
    <w:uiPriority w:val="0"/>
    <w:pPr>
      <w:widowControl/>
      <w:spacing w:after="160" w:line="240" w:lineRule="exact"/>
      <w:jc w:val="left"/>
    </w:pPr>
  </w:style>
  <w:style w:type="paragraph" w:customStyle="1" w:styleId="72">
    <w:name w:val="默认段落字体 Para Char Char Char Char Char Char Char Char Char1 Char Char Char Char"/>
    <w:basedOn w:val="1"/>
    <w:qFormat/>
    <w:uiPriority w:val="0"/>
    <w:rPr>
      <w:rFonts w:ascii="Tahoma" w:hAnsi="Tahoma"/>
      <w:sz w:val="24"/>
      <w:szCs w:val="20"/>
    </w:rPr>
  </w:style>
  <w:style w:type="paragraph" w:styleId="73">
    <w:name w:val="List Paragraph"/>
    <w:basedOn w:val="1"/>
    <w:qFormat/>
    <w:uiPriority w:val="34"/>
    <w:pPr>
      <w:ind w:firstLine="420" w:firstLineChars="200"/>
    </w:pPr>
  </w:style>
  <w:style w:type="paragraph" w:customStyle="1" w:styleId="74">
    <w:name w:val="_Style 73"/>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7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76">
    <w:name w:val="Table Paragraph"/>
    <w:basedOn w:val="1"/>
    <w:qFormat/>
    <w:uiPriority w:val="1"/>
    <w:pPr>
      <w:jc w:val="left"/>
    </w:pPr>
    <w:rPr>
      <w:rFonts w:ascii="Calibri" w:hAnsi="Calibri"/>
      <w:kern w:val="0"/>
      <w:sz w:val="22"/>
      <w:szCs w:val="22"/>
      <w:lang w:eastAsia="en-US"/>
    </w:rPr>
  </w:style>
  <w:style w:type="character" w:customStyle="1" w:styleId="77">
    <w:name w:val="正文文本缩进 字符"/>
    <w:qFormat/>
    <w:uiPriority w:val="0"/>
    <w:rPr>
      <w:rFonts w:ascii="仿宋_GB2312" w:hAnsi="Times New Roman" w:eastAsia="仿宋_GB2312" w:cs="Times New Roman"/>
      <w:sz w:val="32"/>
      <w:szCs w:val="20"/>
    </w:rPr>
  </w:style>
  <w:style w:type="character" w:customStyle="1" w:styleId="78">
    <w:name w:val="正文2 Char Char"/>
    <w:link w:val="79"/>
    <w:qFormat/>
    <w:uiPriority w:val="0"/>
    <w:rPr>
      <w:sz w:val="24"/>
    </w:rPr>
  </w:style>
  <w:style w:type="paragraph" w:customStyle="1" w:styleId="79">
    <w:name w:val="正文2"/>
    <w:basedOn w:val="1"/>
    <w:link w:val="78"/>
    <w:qFormat/>
    <w:uiPriority w:val="0"/>
    <w:pPr>
      <w:adjustRightInd w:val="0"/>
      <w:spacing w:before="156" w:line="360" w:lineRule="auto"/>
      <w:ind w:firstLine="510" w:firstLineChars="200"/>
    </w:pPr>
    <w:rPr>
      <w:kern w:val="0"/>
      <w:sz w:val="24"/>
      <w:szCs w:val="20"/>
    </w:rPr>
  </w:style>
  <w:style w:type="character" w:customStyle="1" w:styleId="80">
    <w:name w:val="纯文本 Char2"/>
    <w:qFormat/>
    <w:uiPriority w:val="0"/>
    <w:rPr>
      <w:rFonts w:ascii="宋体" w:hAnsi="Courier New" w:cs="Arial"/>
      <w:snapToGrid w:val="0"/>
      <w:szCs w:val="21"/>
    </w:rPr>
  </w:style>
  <w:style w:type="paragraph" w:customStyle="1" w:styleId="81">
    <w:name w:val="表格文字"/>
    <w:basedOn w:val="1"/>
    <w:next w:val="13"/>
    <w:qFormat/>
    <w:uiPriority w:val="0"/>
    <w:pPr>
      <w:adjustRightInd w:val="0"/>
      <w:spacing w:line="420" w:lineRule="atLeast"/>
      <w:jc w:val="left"/>
      <w:textAlignment w:val="baseline"/>
    </w:pPr>
    <w:rPr>
      <w:kern w:val="0"/>
    </w:rPr>
  </w:style>
  <w:style w:type="paragraph" w:customStyle="1" w:styleId="8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3">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8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91</Pages>
  <Words>3597</Words>
  <Characters>4266</Characters>
  <Lines>2083</Lines>
  <Paragraphs>2043</Paragraphs>
  <TotalTime>41</TotalTime>
  <ScaleCrop>false</ScaleCrop>
  <LinksUpToDate>false</LinksUpToDate>
  <CharactersWithSpaces>4411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2021-08-24T07:49:00Z</dcterms:created>
  <dc:creator>唐冰</dc:creator>
  <cp:lastModifiedBy>从凌开始</cp:lastModifiedBy>
  <cp:lastPrinted>2021-08-24T08:51:00Z</cp:lastPrinted>
  <dcterms:modified xsi:type="dcterms:W3CDTF">2026-05-28T06:32:36Z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33F49FA76E054E6884C36C41F61330DC_13</vt:lpwstr>
  </property>
  <property fmtid="{D5CDD505-2E9C-101B-9397-08002B2CF9AE}" pid="4" name="KSOTemplateDocerSaveRecord">
    <vt:lpwstr>eyJoZGlkIjoiYzdlZDVjNDA0OTYwZTZlNzZlOGU1OTg2ZGIzNWFiMmYiLCJ1c2VySWQiOiIxMTM0NzQxNDg1In0=</vt:lpwstr>
  </property>
</Properties>
</file>