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3E00">
      <w:pPr>
        <w:spacing w:before="165" w:beforeLines="50" w:line="360" w:lineRule="auto"/>
        <w:jc w:val="center"/>
        <w:rPr>
          <w:rFonts w:hint="eastAsia" w:ascii="仿宋" w:hAnsi="仿宋" w:eastAsia="仿宋" w:cs="仿宋"/>
          <w:color w:val="auto"/>
          <w:sz w:val="44"/>
          <w:szCs w:val="44"/>
          <w:highlight w:val="none"/>
        </w:rPr>
      </w:pPr>
      <w:bookmarkStart w:id="142" w:name="_GoBack"/>
      <w:bookmarkEnd w:id="142"/>
    </w:p>
    <w:p w14:paraId="5075956D">
      <w:pPr>
        <w:spacing w:before="165" w:beforeLines="5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南宁市政府采购</w:t>
      </w:r>
    </w:p>
    <w:p w14:paraId="40E2D394">
      <w:pPr>
        <w:spacing w:before="165" w:beforeLines="5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公开招标文件（服务类）</w:t>
      </w:r>
    </w:p>
    <w:p w14:paraId="736075A8">
      <w:pPr>
        <w:spacing w:before="165" w:beforeLines="50" w:line="360" w:lineRule="auto"/>
        <w:jc w:val="both"/>
        <w:rPr>
          <w:rFonts w:hint="eastAsia" w:ascii="仿宋" w:hAnsi="仿宋" w:eastAsia="仿宋" w:cs="仿宋"/>
          <w:b/>
          <w:color w:val="auto"/>
          <w:sz w:val="48"/>
          <w:szCs w:val="48"/>
          <w:highlight w:val="none"/>
        </w:rPr>
      </w:pPr>
    </w:p>
    <w:p w14:paraId="6A3AA10E">
      <w:pPr>
        <w:snapToGrid w:val="0"/>
        <w:spacing w:before="165" w:beforeLines="50"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招 标 文 件</w:t>
      </w:r>
    </w:p>
    <w:p w14:paraId="019D63F7">
      <w:pPr>
        <w:snapToGrid w:val="0"/>
        <w:spacing w:before="165" w:beforeLines="50" w:line="360" w:lineRule="auto"/>
        <w:jc w:val="center"/>
        <w:rPr>
          <w:rFonts w:hint="eastAsia" w:ascii="仿宋" w:hAnsi="仿宋" w:eastAsia="仿宋" w:cs="仿宋"/>
          <w:color w:val="auto"/>
          <w:sz w:val="30"/>
          <w:szCs w:val="72"/>
          <w:highlight w:val="none"/>
        </w:rPr>
      </w:pPr>
      <w:r>
        <w:rPr>
          <w:rFonts w:hint="eastAsia" w:ascii="仿宋" w:hAnsi="仿宋" w:eastAsia="仿宋" w:cs="仿宋"/>
          <w:color w:val="auto"/>
          <w:sz w:val="30"/>
          <w:szCs w:val="72"/>
          <w:highlight w:val="none"/>
        </w:rPr>
        <w:t>（全流程电子化评标）</w:t>
      </w:r>
    </w:p>
    <w:p w14:paraId="0711ABF9">
      <w:pPr>
        <w:snapToGrid w:val="0"/>
        <w:spacing w:before="165" w:beforeLines="50" w:line="360" w:lineRule="auto"/>
        <w:rPr>
          <w:rFonts w:hint="eastAsia" w:ascii="仿宋" w:hAnsi="仿宋" w:eastAsia="仿宋" w:cs="仿宋"/>
          <w:color w:val="auto"/>
          <w:sz w:val="30"/>
          <w:szCs w:val="72"/>
          <w:highlight w:val="none"/>
        </w:rPr>
      </w:pPr>
    </w:p>
    <w:p w14:paraId="7516283D">
      <w:pPr>
        <w:pStyle w:val="13"/>
        <w:snapToGrid w:val="0"/>
        <w:spacing w:before="50" w:after="120" w:line="360" w:lineRule="auto"/>
        <w:rPr>
          <w:rFonts w:hint="eastAsia" w:ascii="仿宋" w:hAnsi="仿宋" w:eastAsia="仿宋" w:cs="仿宋"/>
          <w:b/>
          <w:bCs/>
          <w:color w:val="auto"/>
          <w:sz w:val="30"/>
          <w:szCs w:val="30"/>
          <w:highlight w:val="none"/>
        </w:rPr>
      </w:pPr>
    </w:p>
    <w:p w14:paraId="503B77E7">
      <w:pPr>
        <w:pStyle w:val="13"/>
        <w:snapToGrid w:val="0"/>
        <w:spacing w:before="50" w:after="120" w:line="360" w:lineRule="auto"/>
        <w:ind w:firstLine="572" w:firstLineChars="2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项目名称：2026年军休干部体检项目</w:t>
      </w:r>
    </w:p>
    <w:p w14:paraId="7696FEB3">
      <w:pPr>
        <w:pStyle w:val="13"/>
        <w:snapToGrid w:val="0"/>
        <w:spacing w:before="50" w:after="120" w:line="360" w:lineRule="auto"/>
        <w:ind w:firstLine="572" w:firstLineChars="2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项目编号：NNZC2026-G3-990397-GXJT</w:t>
      </w:r>
    </w:p>
    <w:p w14:paraId="6404ED55">
      <w:pPr>
        <w:pStyle w:val="13"/>
        <w:snapToGrid w:val="0"/>
        <w:spacing w:before="50" w:after="120" w:line="360" w:lineRule="auto"/>
        <w:ind w:firstLine="572" w:firstLineChars="2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val="en-US" w:eastAsia="zh-CN"/>
        </w:rPr>
        <w:t>项目所属区划：南宁市本级</w:t>
      </w:r>
    </w:p>
    <w:p w14:paraId="7542571A">
      <w:pPr>
        <w:pStyle w:val="13"/>
        <w:snapToGrid w:val="0"/>
        <w:spacing w:before="50" w:after="120" w:line="360" w:lineRule="auto"/>
        <w:ind w:firstLine="572" w:firstLineChars="2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采 购 人：南宁市军队离退休干部服务管理中心</w:t>
      </w:r>
    </w:p>
    <w:p w14:paraId="53547625">
      <w:pPr>
        <w:pStyle w:val="13"/>
        <w:snapToGrid w:val="0"/>
        <w:spacing w:before="50" w:after="120" w:line="360" w:lineRule="auto"/>
        <w:ind w:firstLine="572" w:firstLineChars="2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采购代理机构：广西建通工程咨询有限责任公司</w:t>
      </w:r>
    </w:p>
    <w:p w14:paraId="6A7A8154">
      <w:pPr>
        <w:pStyle w:val="13"/>
        <w:snapToGrid w:val="0"/>
        <w:spacing w:before="50" w:after="120" w:line="360" w:lineRule="auto"/>
        <w:ind w:firstLine="841" w:firstLineChars="294"/>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                     </w:t>
      </w:r>
    </w:p>
    <w:p w14:paraId="53620F0A">
      <w:pPr>
        <w:pStyle w:val="13"/>
        <w:snapToGrid w:val="0"/>
        <w:spacing w:before="50" w:after="120" w:line="360" w:lineRule="auto"/>
        <w:ind w:firstLine="841" w:firstLineChars="294"/>
        <w:rPr>
          <w:rFonts w:hint="eastAsia" w:ascii="仿宋" w:hAnsi="仿宋" w:eastAsia="仿宋" w:cs="仿宋"/>
          <w:b/>
          <w:bCs/>
          <w:color w:val="auto"/>
          <w:w w:val="95"/>
          <w:sz w:val="30"/>
          <w:szCs w:val="30"/>
          <w:highlight w:val="none"/>
        </w:rPr>
      </w:pPr>
    </w:p>
    <w:p w14:paraId="38F5F1F0">
      <w:pPr>
        <w:pStyle w:val="13"/>
        <w:snapToGrid w:val="0"/>
        <w:spacing w:before="50" w:after="120" w:line="360" w:lineRule="auto"/>
        <w:jc w:val="center"/>
        <w:rPr>
          <w:rFonts w:hint="eastAsia" w:ascii="仿宋" w:hAnsi="仿宋" w:eastAsia="仿宋" w:cs="仿宋"/>
          <w:b/>
          <w:bCs/>
          <w:color w:val="auto"/>
          <w:w w:val="95"/>
          <w:sz w:val="30"/>
          <w:szCs w:val="30"/>
          <w:highlight w:val="none"/>
          <w:lang w:eastAsia="zh-CN"/>
        </w:rPr>
        <w:sectPr>
          <w:footerReference r:id="rId4" w:type="first"/>
          <w:headerReference r:id="rId3" w:type="default"/>
          <w:pgSz w:w="11906" w:h="16838"/>
          <w:pgMar w:top="1440" w:right="1080" w:bottom="1440" w:left="1080" w:header="720" w:footer="567" w:gutter="0"/>
          <w:pgNumType w:start="1"/>
          <w:cols w:space="720" w:num="1"/>
          <w:docGrid w:type="lines" w:linePitch="331" w:charSpace="0"/>
        </w:sectPr>
      </w:pPr>
      <w:r>
        <w:rPr>
          <w:rFonts w:hint="eastAsia" w:ascii="仿宋" w:hAnsi="仿宋" w:eastAsia="仿宋" w:cs="仿宋"/>
          <w:b/>
          <w:bCs/>
          <w:color w:val="auto"/>
          <w:w w:val="95"/>
          <w:sz w:val="30"/>
          <w:szCs w:val="30"/>
          <w:highlight w:val="none"/>
          <w:lang w:eastAsia="zh-CN"/>
        </w:rPr>
        <w:t>2026年06月</w:t>
      </w:r>
      <w:r>
        <w:rPr>
          <w:rFonts w:hint="eastAsia" w:ascii="仿宋" w:hAnsi="仿宋" w:eastAsia="仿宋" w:cs="仿宋"/>
          <w:b/>
          <w:bCs/>
          <w:color w:val="auto"/>
          <w:w w:val="95"/>
          <w:sz w:val="30"/>
          <w:szCs w:val="30"/>
          <w:highlight w:val="none"/>
          <w:lang w:val="en-US" w:eastAsia="zh-CN"/>
        </w:rPr>
        <w:t>05</w:t>
      </w:r>
      <w:r>
        <w:rPr>
          <w:rFonts w:hint="eastAsia" w:ascii="仿宋" w:hAnsi="仿宋" w:eastAsia="仿宋" w:cs="仿宋"/>
          <w:b/>
          <w:bCs/>
          <w:color w:val="auto"/>
          <w:w w:val="95"/>
          <w:sz w:val="30"/>
          <w:szCs w:val="30"/>
          <w:highlight w:val="none"/>
          <w:lang w:eastAsia="zh-CN"/>
        </w:rPr>
        <w:t>日</w:t>
      </w:r>
    </w:p>
    <w:sdt>
      <w:sdtPr>
        <w:rPr>
          <w:rFonts w:hint="eastAsia" w:ascii="仿宋" w:hAnsi="仿宋" w:eastAsia="仿宋" w:cs="仿宋"/>
          <w:color w:val="auto"/>
          <w:kern w:val="2"/>
          <w:sz w:val="21"/>
          <w:szCs w:val="24"/>
          <w:highlight w:val="none"/>
        </w:rPr>
        <w:id w:val="147474901"/>
        <w15:color w:val="DBDBDB"/>
        <w:docPartObj>
          <w:docPartGallery w:val="Table of Contents"/>
          <w:docPartUnique/>
        </w:docPartObj>
      </w:sdtPr>
      <w:sdtEndPr>
        <w:rPr>
          <w:rFonts w:hint="eastAsia" w:ascii="仿宋" w:hAnsi="仿宋" w:eastAsia="仿宋" w:cs="仿宋"/>
          <w:color w:val="auto"/>
          <w:kern w:val="2"/>
          <w:sz w:val="21"/>
          <w:szCs w:val="24"/>
          <w:highlight w:val="none"/>
        </w:rPr>
      </w:sdtEndPr>
      <w:sdtContent>
        <w:p w14:paraId="5D1F0BA9">
          <w:pPr>
            <w:pStyle w:val="13"/>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28"/>
              <w:highlight w:val="none"/>
            </w:rPr>
            <w:t>目录</w:t>
          </w:r>
        </w:p>
        <w:p w14:paraId="317503F5">
          <w:pPr>
            <w:pStyle w:val="16"/>
            <w:tabs>
              <w:tab w:val="right" w:leader="dot" w:pos="9746"/>
            </w:tabs>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"_Toc6276"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第一章 招标公告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_Toc6276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14193FC">
          <w:pPr>
            <w:pStyle w:val="16"/>
            <w:tabs>
              <w:tab w:val="right" w:leader="dot" w:pos="9746"/>
            </w:tabs>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"_Toc17123"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第二章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F617655">
          <w:pPr>
            <w:pStyle w:val="16"/>
            <w:tabs>
              <w:tab w:val="right" w:leader="dot" w:pos="9746"/>
            </w:tabs>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"_Toc8124"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第三章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_Toc8124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70D13D0">
          <w:pPr>
            <w:pStyle w:val="10"/>
            <w:tabs>
              <w:tab w:val="right" w:leader="dot" w:pos="9746"/>
            </w:tabs>
            <w:spacing w:line="360" w:lineRule="auto"/>
            <w:ind w:firstLine="442"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"_Toc25795"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第一节 投标人须知前附表</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_Toc25795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17</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19D9EB4E">
          <w:pPr>
            <w:pStyle w:val="10"/>
            <w:tabs>
              <w:tab w:val="right" w:leader="dot" w:pos="9746"/>
            </w:tabs>
            <w:spacing w:line="360" w:lineRule="auto"/>
            <w:ind w:firstLine="442"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"_Toc29867"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第二节 投标人须知正文</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_Toc29867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1413EAE0">
          <w:pPr>
            <w:pStyle w:val="16"/>
            <w:tabs>
              <w:tab w:val="right" w:leader="dot" w:pos="9746"/>
            </w:tabs>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"_Toc2755"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第四章 评标方法及评分标准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A8E3986">
          <w:pPr>
            <w:pStyle w:val="10"/>
            <w:tabs>
              <w:tab w:val="right" w:leader="dot" w:pos="9746"/>
            </w:tabs>
            <w:spacing w:line="360" w:lineRule="auto"/>
            <w:ind w:firstLine="442"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"_Toc30881"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第一节 评标方法</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_Toc30881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5CCDA075">
          <w:pPr>
            <w:pStyle w:val="10"/>
            <w:tabs>
              <w:tab w:val="right" w:leader="dot" w:pos="9746"/>
            </w:tabs>
            <w:spacing w:line="360" w:lineRule="auto"/>
            <w:ind w:firstLine="442"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"_Toc22005"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第二节 评标程序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_Toc22005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2C8FBE3C">
          <w:pPr>
            <w:pStyle w:val="10"/>
            <w:tabs>
              <w:tab w:val="right" w:leader="dot" w:pos="9746"/>
            </w:tabs>
            <w:spacing w:line="360" w:lineRule="auto"/>
            <w:ind w:firstLine="44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highlight w:val="none"/>
            </w:rPr>
            <w:fldChar w:fldCharType="begin"/>
          </w:r>
          <w:r>
            <w:rPr>
              <w:rFonts w:hint="eastAsia" w:ascii="仿宋" w:hAnsi="仿宋" w:eastAsia="仿宋" w:cs="仿宋"/>
              <w:b w:val="0"/>
              <w:bCs/>
              <w:color w:val="auto"/>
              <w:highlight w:val="none"/>
            </w:rPr>
            <w:instrText xml:space="preserve"> HYPERLINK \l "_Toc17694" </w:instrText>
          </w:r>
          <w:r>
            <w:rPr>
              <w:rFonts w:hint="eastAsia" w:ascii="仿宋" w:hAnsi="仿宋" w:eastAsia="仿宋" w:cs="仿宋"/>
              <w:b w:val="0"/>
              <w:bCs/>
              <w:color w:val="auto"/>
              <w:highlight w:val="none"/>
            </w:rPr>
            <w:fldChar w:fldCharType="separate"/>
          </w:r>
          <w:r>
            <w:rPr>
              <w:rFonts w:hint="eastAsia" w:ascii="仿宋" w:hAnsi="仿宋" w:eastAsia="仿宋" w:cs="仿宋"/>
              <w:b w:val="0"/>
              <w:bCs/>
              <w:color w:val="auto"/>
              <w:sz w:val="24"/>
              <w:szCs w:val="24"/>
              <w:highlight w:val="none"/>
            </w:rPr>
            <w:t>第三节 评分标准（综合评分法）</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PAGEREF _Toc17694 \h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44</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fldChar w:fldCharType="end"/>
          </w:r>
        </w:p>
        <w:p w14:paraId="500E4AC8">
          <w:pPr>
            <w:pStyle w:val="10"/>
            <w:tabs>
              <w:tab w:val="right" w:leader="dot" w:pos="9746"/>
            </w:tabs>
            <w:spacing w:line="360" w:lineRule="auto"/>
            <w:ind w:firstLine="442" w:firstLineChars="200"/>
            <w:rPr>
              <w:rFonts w:hint="eastAsia" w:ascii="仿宋" w:hAnsi="仿宋" w:eastAsia="仿宋" w:cs="仿宋"/>
              <w:b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"_Toc11875" </w:instrText>
          </w:r>
          <w:r>
            <w:rPr>
              <w:rFonts w:hint="eastAsia" w:ascii="仿宋" w:hAnsi="仿宋" w:eastAsia="仿宋" w:cs="仿宋"/>
              <w:color w:val="auto"/>
              <w:highlight w:val="none"/>
            </w:rPr>
            <w:fldChar w:fldCharType="separate"/>
          </w:r>
          <w:r>
            <w:rPr>
              <w:rFonts w:hint="eastAsia" w:ascii="仿宋" w:hAnsi="仿宋" w:eastAsia="仿宋" w:cs="仿宋"/>
              <w:b w:val="0"/>
              <w:color w:val="auto"/>
              <w:sz w:val="24"/>
              <w:szCs w:val="24"/>
              <w:highlight w:val="none"/>
            </w:rPr>
            <w:t>第四节 中标候选人推荐原则</w:t>
          </w:r>
          <w:r>
            <w:rPr>
              <w:rFonts w:hint="eastAsia" w:ascii="仿宋" w:hAnsi="仿宋" w:eastAsia="仿宋" w:cs="仿宋"/>
              <w:b w:val="0"/>
              <w:color w:val="auto"/>
              <w:sz w:val="24"/>
              <w:szCs w:val="24"/>
              <w:highlight w:val="none"/>
            </w:rPr>
            <w:tab/>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PAGEREF _Toc11875 \h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b w:val="0"/>
              <w:color w:val="auto"/>
              <w:sz w:val="24"/>
              <w:szCs w:val="24"/>
              <w:highlight w:val="none"/>
            </w:rPr>
            <w:t>47</w:t>
          </w:r>
          <w:r>
            <w:rPr>
              <w:rFonts w:hint="eastAsia" w:ascii="仿宋" w:hAnsi="仿宋" w:eastAsia="仿宋" w:cs="仿宋"/>
              <w:b w:val="0"/>
              <w:color w:val="auto"/>
              <w:sz w:val="24"/>
              <w:szCs w:val="24"/>
              <w:highlight w:val="none"/>
            </w:rPr>
            <w:fldChar w:fldCharType="end"/>
          </w:r>
          <w:r>
            <w:rPr>
              <w:rFonts w:hint="eastAsia" w:ascii="仿宋" w:hAnsi="仿宋" w:eastAsia="仿宋" w:cs="仿宋"/>
              <w:b w:val="0"/>
              <w:color w:val="auto"/>
              <w:sz w:val="24"/>
              <w:szCs w:val="24"/>
              <w:highlight w:val="none"/>
            </w:rPr>
            <w:fldChar w:fldCharType="end"/>
          </w:r>
        </w:p>
        <w:p w14:paraId="1012729F">
          <w:pPr>
            <w:pStyle w:val="10"/>
            <w:tabs>
              <w:tab w:val="right" w:leader="dot" w:pos="9746"/>
            </w:tabs>
            <w:spacing w:line="360" w:lineRule="auto"/>
            <w:ind w:firstLine="442"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"_Toc10692" </w:instrText>
          </w:r>
          <w:r>
            <w:rPr>
              <w:rFonts w:hint="eastAsia" w:ascii="仿宋" w:hAnsi="仿宋" w:eastAsia="仿宋" w:cs="仿宋"/>
              <w:color w:val="auto"/>
              <w:highlight w:val="none"/>
            </w:rPr>
            <w:fldChar w:fldCharType="separate"/>
          </w:r>
          <w:r>
            <w:rPr>
              <w:rFonts w:hint="eastAsia" w:ascii="仿宋" w:hAnsi="仿宋" w:eastAsia="仿宋" w:cs="仿宋"/>
              <w:b w:val="0"/>
              <w:color w:val="auto"/>
              <w:sz w:val="24"/>
              <w:szCs w:val="24"/>
              <w:highlight w:val="none"/>
            </w:rPr>
            <w:t>第五节 评标报告</w:t>
          </w:r>
          <w:r>
            <w:rPr>
              <w:rFonts w:hint="eastAsia" w:ascii="仿宋" w:hAnsi="仿宋" w:eastAsia="仿宋" w:cs="仿宋"/>
              <w:b w:val="0"/>
              <w:color w:val="auto"/>
              <w:sz w:val="24"/>
              <w:szCs w:val="24"/>
              <w:highlight w:val="none"/>
            </w:rPr>
            <w:tab/>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PAGEREF _Toc10692 \h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b w:val="0"/>
              <w:color w:val="auto"/>
              <w:sz w:val="24"/>
              <w:szCs w:val="24"/>
              <w:highlight w:val="none"/>
            </w:rPr>
            <w:t>48</w:t>
          </w:r>
          <w:r>
            <w:rPr>
              <w:rFonts w:hint="eastAsia" w:ascii="仿宋" w:hAnsi="仿宋" w:eastAsia="仿宋" w:cs="仿宋"/>
              <w:b w:val="0"/>
              <w:color w:val="auto"/>
              <w:sz w:val="24"/>
              <w:szCs w:val="24"/>
              <w:highlight w:val="none"/>
            </w:rPr>
            <w:fldChar w:fldCharType="end"/>
          </w:r>
          <w:r>
            <w:rPr>
              <w:rFonts w:hint="eastAsia" w:ascii="仿宋" w:hAnsi="仿宋" w:eastAsia="仿宋" w:cs="仿宋"/>
              <w:b w:val="0"/>
              <w:color w:val="auto"/>
              <w:sz w:val="24"/>
              <w:szCs w:val="24"/>
              <w:highlight w:val="none"/>
            </w:rPr>
            <w:fldChar w:fldCharType="end"/>
          </w:r>
        </w:p>
        <w:p w14:paraId="27A875FD">
          <w:pPr>
            <w:pStyle w:val="16"/>
            <w:tabs>
              <w:tab w:val="right" w:leader="dot" w:pos="9746"/>
            </w:tabs>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"_Toc16322"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第五章 拟签订的合同文本</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_Toc16322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9BA4CB9">
          <w:pPr>
            <w:pStyle w:val="16"/>
            <w:tabs>
              <w:tab w:val="right" w:leader="dot" w:pos="9746"/>
            </w:tabs>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"_Toc7255"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第六章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_Toc7255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ECD223D">
          <w:pPr>
            <w:pStyle w:val="10"/>
            <w:tabs>
              <w:tab w:val="right" w:leader="dot" w:pos="9746"/>
            </w:tabs>
            <w:spacing w:line="360" w:lineRule="auto"/>
            <w:ind w:firstLine="442"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"_Toc17952"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第一节 资格证明文件格式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_Toc17952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6013A37A">
          <w:pPr>
            <w:pStyle w:val="10"/>
            <w:tabs>
              <w:tab w:val="right" w:leader="dot" w:pos="9746"/>
            </w:tabs>
            <w:spacing w:line="360" w:lineRule="auto"/>
            <w:ind w:firstLine="442"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"_Toc30874"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第二节 商务</w:t>
          </w:r>
          <w:r>
            <w:rPr>
              <w:rFonts w:hint="eastAsia" w:ascii="仿宋" w:hAnsi="仿宋" w:eastAsia="仿宋" w:cs="仿宋"/>
              <w:b w:val="0"/>
              <w:bCs w:val="0"/>
              <w:color w:val="auto"/>
              <w:sz w:val="24"/>
              <w:szCs w:val="24"/>
              <w:highlight w:val="none"/>
              <w:lang w:val="en-US" w:eastAsia="zh-CN"/>
            </w:rPr>
            <w:t>技术</w:t>
          </w:r>
          <w:r>
            <w:rPr>
              <w:rFonts w:hint="eastAsia" w:ascii="仿宋" w:hAnsi="仿宋" w:eastAsia="仿宋" w:cs="仿宋"/>
              <w:b w:val="0"/>
              <w:bCs w:val="0"/>
              <w:color w:val="auto"/>
              <w:sz w:val="24"/>
              <w:szCs w:val="24"/>
              <w:highlight w:val="none"/>
            </w:rPr>
            <w:t>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_Toc30874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62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7288A024">
          <w:pPr>
            <w:pStyle w:val="10"/>
            <w:tabs>
              <w:tab w:val="right" w:leader="dot" w:pos="9746"/>
            </w:tabs>
            <w:spacing w:line="360" w:lineRule="auto"/>
            <w:ind w:firstLine="442"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"_Toc3957"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w:t>
          </w: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节 报价文件格式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_Toc3957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72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3CFAFAFB">
          <w:pPr>
            <w:pStyle w:val="10"/>
            <w:tabs>
              <w:tab w:val="right" w:leader="dot" w:pos="9746"/>
            </w:tabs>
            <w:spacing w:line="360" w:lineRule="auto"/>
            <w:ind w:firstLine="442"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"_Toc14136" </w:instrText>
          </w:r>
          <w:r>
            <w:rPr>
              <w:rFonts w:hint="eastAsia" w:ascii="仿宋" w:hAnsi="仿宋" w:eastAsia="仿宋" w:cs="仿宋"/>
              <w:color w:val="auto"/>
              <w:highlight w:val="none"/>
            </w:rPr>
            <w:fldChar w:fldCharType="separate"/>
          </w:r>
          <w:r>
            <w:rPr>
              <w:rFonts w:hint="eastAsia" w:ascii="仿宋" w:hAnsi="仿宋" w:eastAsia="仿宋" w:cs="仿宋"/>
              <w:b w:val="0"/>
              <w:bCs w:val="0"/>
              <w:color w:val="auto"/>
              <w:sz w:val="24"/>
              <w:szCs w:val="24"/>
              <w:highlight w:val="none"/>
            </w:rPr>
            <w:t>第</w:t>
          </w: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rPr>
            <w:t>节 其他文书、文件格式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_Toc14136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79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506ADE47">
          <w:pPr>
            <w:pStyle w:val="16"/>
            <w:tabs>
              <w:tab w:val="right" w:leader="dot" w:pos="9746"/>
            </w:tabs>
            <w:spacing w:before="0" w:after="0" w:line="360" w:lineRule="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"_Toc10294"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第七章 质疑、投诉证明材料格式</w:t>
          </w:r>
          <w:r>
            <w:rPr>
              <w:rFonts w:hint="eastAsia" w:ascii="仿宋" w:hAnsi="仿宋" w:eastAsia="仿宋" w:cs="仿宋"/>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_Toc10294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83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13AA4A9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sdtContent>
    </w:sdt>
    <w:p w14:paraId="09E4C2DE">
      <w:pPr>
        <w:rPr>
          <w:rFonts w:hint="eastAsia" w:ascii="仿宋" w:hAnsi="仿宋" w:eastAsia="仿宋" w:cs="仿宋"/>
          <w:color w:val="auto"/>
          <w:highlight w:val="none"/>
        </w:rPr>
      </w:pPr>
    </w:p>
    <w:p w14:paraId="3A25EE97">
      <w:pPr>
        <w:pStyle w:val="13"/>
        <w:jc w:val="center"/>
        <w:rPr>
          <w:rFonts w:hint="eastAsia" w:ascii="仿宋" w:hAnsi="仿宋" w:eastAsia="仿宋" w:cs="仿宋"/>
          <w:color w:val="auto"/>
          <w:highlight w:val="none"/>
        </w:rPr>
        <w:sectPr>
          <w:pgSz w:w="11906" w:h="16838"/>
          <w:pgMar w:top="1440" w:right="1080" w:bottom="1440" w:left="1080" w:header="720" w:footer="720" w:gutter="0"/>
          <w:pgNumType w:start="1"/>
          <w:cols w:space="720" w:num="1"/>
          <w:docGrid w:type="lines" w:linePitch="331" w:charSpace="0"/>
        </w:sectPr>
      </w:pPr>
      <w:r>
        <w:rPr>
          <w:rFonts w:hint="eastAsia" w:ascii="仿宋" w:hAnsi="仿宋" w:eastAsia="仿宋" w:cs="仿宋"/>
          <w:color w:val="auto"/>
          <w:highlight w:val="none"/>
        </w:rPr>
        <w:tab/>
      </w:r>
      <w:bookmarkStart w:id="0" w:name="_Toc532545041"/>
    </w:p>
    <w:p w14:paraId="405218ED">
      <w:pPr>
        <w:pStyle w:val="13"/>
        <w:jc w:val="center"/>
        <w:outlineLvl w:val="0"/>
        <w:rPr>
          <w:rFonts w:hint="eastAsia" w:ascii="仿宋" w:hAnsi="仿宋" w:eastAsia="仿宋" w:cs="仿宋"/>
          <w:color w:val="auto"/>
          <w:sz w:val="24"/>
          <w:highlight w:val="none"/>
          <w:lang w:val="zh-CN"/>
        </w:rPr>
      </w:pPr>
      <w:bookmarkStart w:id="1" w:name="_Toc6276"/>
      <w:r>
        <w:rPr>
          <w:rFonts w:hint="eastAsia" w:ascii="仿宋" w:hAnsi="仿宋" w:eastAsia="仿宋" w:cs="仿宋"/>
          <w:b/>
          <w:color w:val="auto"/>
          <w:sz w:val="36"/>
          <w:highlight w:val="none"/>
        </w:rPr>
        <w:t>第一章 招标公告</w:t>
      </w:r>
      <w:bookmarkEnd w:id="0"/>
      <w:bookmarkEnd w:id="1"/>
    </w:p>
    <w:p w14:paraId="47047251">
      <w:pPr>
        <w:spacing w:line="26" w:lineRule="atLeast"/>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8"/>
          <w:szCs w:val="28"/>
          <w:highlight w:val="none"/>
          <w:lang w:eastAsia="zh-CN"/>
        </w:rPr>
        <w:t>广西建通工程咨询有限责任公司</w:t>
      </w:r>
      <w:r>
        <w:rPr>
          <w:rFonts w:hint="eastAsia" w:ascii="仿宋" w:hAnsi="仿宋" w:eastAsia="仿宋" w:cs="仿宋"/>
          <w:b/>
          <w:bCs/>
          <w:color w:val="auto"/>
          <w:kern w:val="0"/>
          <w:sz w:val="28"/>
          <w:szCs w:val="28"/>
          <w:highlight w:val="none"/>
        </w:rPr>
        <w:t>关于</w:t>
      </w:r>
      <w:r>
        <w:rPr>
          <w:rFonts w:hint="eastAsia" w:ascii="仿宋" w:hAnsi="仿宋" w:eastAsia="仿宋" w:cs="仿宋"/>
          <w:b/>
          <w:bCs/>
          <w:color w:val="auto"/>
          <w:kern w:val="0"/>
          <w:sz w:val="28"/>
          <w:szCs w:val="28"/>
          <w:highlight w:val="none"/>
          <w:lang w:eastAsia="zh-CN"/>
        </w:rPr>
        <w:t>2026年军休干部体检项目</w:t>
      </w:r>
      <w:r>
        <w:rPr>
          <w:rFonts w:hint="eastAsia" w:ascii="仿宋" w:hAnsi="仿宋" w:eastAsia="仿宋" w:cs="仿宋"/>
          <w:b/>
          <w:bCs/>
          <w:color w:val="auto"/>
          <w:kern w:val="0"/>
          <w:sz w:val="28"/>
          <w:szCs w:val="28"/>
          <w:highlight w:val="none"/>
        </w:rPr>
        <w:t>的公开招标公告</w:t>
      </w:r>
    </w:p>
    <w:p w14:paraId="1E2DF7B5">
      <w:pPr>
        <w:pBdr>
          <w:top w:val="single" w:color="auto" w:sz="4" w:space="1"/>
          <w:left w:val="single" w:color="auto" w:sz="4" w:space="4"/>
          <w:bottom w:val="single" w:color="auto" w:sz="4" w:space="1"/>
          <w:right w:val="single" w:color="auto" w:sz="4" w:space="4"/>
        </w:pBdr>
        <w:adjustRightInd w:val="0"/>
        <w:snapToGrid w:val="0"/>
        <w:spacing w:line="324"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项目概况</w:t>
      </w:r>
    </w:p>
    <w:p w14:paraId="1A5CEE5C">
      <w:pPr>
        <w:pBdr>
          <w:top w:val="single" w:color="auto" w:sz="4" w:space="1"/>
          <w:left w:val="single" w:color="auto" w:sz="4" w:space="4"/>
          <w:bottom w:val="single" w:color="auto" w:sz="4" w:space="1"/>
          <w:right w:val="single" w:color="auto" w:sz="4" w:space="4"/>
        </w:pBdr>
        <w:adjustRightInd w:val="0"/>
        <w:snapToGrid w:val="0"/>
        <w:spacing w:line="324"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2026年军休干部体检项目</w:t>
      </w:r>
      <w:r>
        <w:rPr>
          <w:rFonts w:hint="eastAsia" w:ascii="仿宋" w:hAnsi="仿宋" w:eastAsia="仿宋" w:cs="仿宋"/>
          <w:color w:val="auto"/>
          <w:kern w:val="0"/>
          <w:sz w:val="24"/>
          <w:highlight w:val="none"/>
        </w:rPr>
        <w:t>招标项目的潜在投标人应在广西政府采购云平台（网址：http://www.gcy.zfcg.gxzf.gov.cn）获取招标文件，并于</w:t>
      </w:r>
      <w:r>
        <w:rPr>
          <w:rFonts w:hint="eastAsia" w:ascii="仿宋" w:hAnsi="仿宋" w:eastAsia="仿宋" w:cs="仿宋"/>
          <w:color w:val="auto"/>
          <w:kern w:val="0"/>
          <w:sz w:val="24"/>
          <w:highlight w:val="none"/>
          <w:lang w:val="en-US" w:eastAsia="zh-CN"/>
        </w:rPr>
        <w:t>2026年06月26日 9:30</w:t>
      </w:r>
      <w:r>
        <w:rPr>
          <w:rFonts w:hint="eastAsia" w:ascii="仿宋" w:hAnsi="仿宋" w:eastAsia="仿宋" w:cs="仿宋"/>
          <w:color w:val="auto"/>
          <w:kern w:val="0"/>
          <w:sz w:val="24"/>
          <w:highlight w:val="none"/>
        </w:rPr>
        <w:t>（北京时间）前递交投标文件。</w:t>
      </w:r>
    </w:p>
    <w:p w14:paraId="70DF3F91">
      <w:pPr>
        <w:pStyle w:val="18"/>
        <w:spacing w:before="0" w:beforeAutospacing="0" w:after="0" w:afterAutospacing="0" w:line="324" w:lineRule="auto"/>
        <w:jc w:val="both"/>
        <w:rPr>
          <w:rFonts w:hint="eastAsia" w:ascii="仿宋" w:hAnsi="仿宋" w:eastAsia="仿宋" w:cs="仿宋"/>
          <w:color w:val="auto"/>
          <w:highlight w:val="none"/>
        </w:rPr>
      </w:pPr>
      <w:r>
        <w:rPr>
          <w:rStyle w:val="23"/>
          <w:rFonts w:hint="eastAsia" w:ascii="仿宋" w:hAnsi="仿宋" w:eastAsia="仿宋" w:cs="仿宋"/>
          <w:color w:val="auto"/>
          <w:sz w:val="24"/>
          <w:highlight w:val="none"/>
        </w:rPr>
        <w:t>一、项目基本情况    </w:t>
      </w:r>
      <w:r>
        <w:rPr>
          <w:rFonts w:hint="eastAsia" w:ascii="仿宋" w:hAnsi="仿宋" w:eastAsia="仿宋" w:cs="仿宋"/>
          <w:color w:val="auto"/>
          <w:highlight w:val="none"/>
        </w:rPr>
        <w:t xml:space="preserve">                                        </w:t>
      </w:r>
    </w:p>
    <w:p w14:paraId="2F87746C">
      <w:pPr>
        <w:pStyle w:val="18"/>
        <w:spacing w:before="75" w:beforeAutospacing="0" w:after="75" w:afterAutospacing="0" w:line="324"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NNZC2026-G3-990397-GXJT</w:t>
      </w:r>
    </w:p>
    <w:p w14:paraId="51426172">
      <w:pPr>
        <w:pStyle w:val="18"/>
        <w:spacing w:before="75" w:beforeAutospacing="0" w:after="75" w:afterAutospacing="0" w:line="324"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Style w:val="35"/>
          <w:rFonts w:hint="eastAsia" w:ascii="仿宋" w:hAnsi="仿宋" w:eastAsia="仿宋" w:cs="仿宋"/>
          <w:color w:val="auto"/>
          <w:highlight w:val="none"/>
          <w:lang w:eastAsia="zh-CN"/>
        </w:rPr>
        <w:t>2026年军休干部体检项目</w:t>
      </w:r>
    </w:p>
    <w:p w14:paraId="3455286F">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预算总金额（元）：</w:t>
      </w:r>
      <w:r>
        <w:rPr>
          <w:rStyle w:val="36"/>
          <w:rFonts w:hint="eastAsia" w:ascii="仿宋" w:hAnsi="仿宋" w:eastAsia="仿宋" w:cs="仿宋"/>
          <w:color w:val="auto"/>
          <w:highlight w:val="none"/>
          <w:lang w:val="en-US" w:eastAsia="zh-CN"/>
        </w:rPr>
        <w:t>534000.00</w:t>
      </w:r>
      <w:r>
        <w:rPr>
          <w:rFonts w:hint="eastAsia" w:ascii="仿宋" w:hAnsi="仿宋" w:eastAsia="仿宋" w:cs="仿宋"/>
          <w:color w:val="auto"/>
          <w:highlight w:val="none"/>
        </w:rPr>
        <w:t>  </w:t>
      </w:r>
    </w:p>
    <w:p w14:paraId="27E45CA4">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7DF43477">
      <w:pPr>
        <w:widowControl/>
        <w:spacing w:line="336" w:lineRule="auto"/>
        <w:ind w:left="478" w:leftChars="228"/>
        <w:jc w:val="both"/>
        <w:rPr>
          <w:rFonts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标项一</w:t>
      </w:r>
    </w:p>
    <w:p w14:paraId="35C54BFD">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标项名称:2026年军休干部体检项目分标1</w:t>
      </w:r>
    </w:p>
    <w:p w14:paraId="2A95A897">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数量:1</w:t>
      </w:r>
    </w:p>
    <w:p w14:paraId="1C432368">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预算金额（元）:178000.00</w:t>
      </w:r>
    </w:p>
    <w:p w14:paraId="5213ADBF">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简要规格描述或项目基本概况介绍、用途：为全面落实军休干部政治待遇和生活待遇，保障其身体健康，做到疾病早诊断、早预防、早治疗，现对2026年军休干部体检服务进行采购。本项目共分为3个标段，每个标段确定1家健康体检服务机构，每个标段服务人数暂定为119人（服务人数为预估数量，最终以实际体检人数为准）。具体详见采购文件。</w:t>
      </w:r>
    </w:p>
    <w:p w14:paraId="24572D57">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最高限价（如有）：178000.00</w:t>
      </w:r>
      <w:r>
        <w:rPr>
          <w:rFonts w:hint="eastAsia" w:ascii="仿宋" w:hAnsi="仿宋" w:eastAsia="仿宋" w:cs="仿宋"/>
          <w:kern w:val="0"/>
          <w:sz w:val="24"/>
          <w:szCs w:val="24"/>
          <w:highlight w:val="none"/>
          <w:lang w:val="en-US" w:eastAsia="zh-CN" w:bidi="ar-SA"/>
        </w:rPr>
        <w:t>元</w:t>
      </w:r>
    </w:p>
    <w:p w14:paraId="182E1155">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合同履约期限：自合同签订之日起至2026年12月31日。</w:t>
      </w:r>
    </w:p>
    <w:p w14:paraId="58492FA0">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本标项（否）接受联合体投标</w:t>
      </w:r>
    </w:p>
    <w:p w14:paraId="6D620CA1">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w:t>
      </w:r>
    </w:p>
    <w:p w14:paraId="68E82D1C">
      <w:pPr>
        <w:widowControl/>
        <w:spacing w:line="336" w:lineRule="auto"/>
        <w:ind w:left="478" w:leftChars="228"/>
        <w:jc w:val="both"/>
        <w:rPr>
          <w:rFonts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标项二</w:t>
      </w:r>
    </w:p>
    <w:p w14:paraId="64CEBFE7">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标项名称:2026年军休干部体检项目分标2</w:t>
      </w:r>
    </w:p>
    <w:p w14:paraId="5CC280DA">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数量:1</w:t>
      </w:r>
    </w:p>
    <w:p w14:paraId="34687B84">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预算金额（元）:178000.00</w:t>
      </w:r>
    </w:p>
    <w:p w14:paraId="1AF45F3E">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简要规格描述或项目基本概况介绍、用途：为全面落实军休干部政治待遇和生活待遇，保障其身体健康，做到疾病早诊断、早预防、早治疗，现对2026年军休干部体检服务进行采购。本项目共分为3个标段，每个标段确定1家健康体检服务机构，每个标段服务人数暂定为119人（服务人数为预估数量，最终以实际体检人数为准）。具体详见采购文件。</w:t>
      </w:r>
    </w:p>
    <w:p w14:paraId="523DF06C">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最高限价（如有）：178000.00</w:t>
      </w:r>
      <w:r>
        <w:rPr>
          <w:rFonts w:hint="eastAsia" w:ascii="仿宋" w:hAnsi="仿宋" w:eastAsia="仿宋" w:cs="仿宋"/>
          <w:kern w:val="0"/>
          <w:sz w:val="24"/>
          <w:szCs w:val="24"/>
          <w:highlight w:val="none"/>
          <w:lang w:val="en-US" w:eastAsia="zh-CN" w:bidi="ar-SA"/>
        </w:rPr>
        <w:t>元</w:t>
      </w:r>
    </w:p>
    <w:p w14:paraId="7796480D">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合同履约期限：自合同签订之日起至2026年12月31日。</w:t>
      </w:r>
    </w:p>
    <w:p w14:paraId="4BBC3C63">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本标项（否）接受联合体投标</w:t>
      </w:r>
    </w:p>
    <w:p w14:paraId="0DFA941C">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w:t>
      </w:r>
    </w:p>
    <w:p w14:paraId="7680D2D9">
      <w:pPr>
        <w:widowControl/>
        <w:spacing w:line="336" w:lineRule="auto"/>
        <w:ind w:left="478" w:leftChars="228"/>
        <w:jc w:val="both"/>
        <w:rPr>
          <w:rFonts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标项三</w:t>
      </w:r>
    </w:p>
    <w:p w14:paraId="05750441">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标项名称:2026年军休干部体检项目分标3</w:t>
      </w:r>
    </w:p>
    <w:p w14:paraId="7E4495D3">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数量:1</w:t>
      </w:r>
    </w:p>
    <w:p w14:paraId="59A952F0">
      <w:pPr>
        <w:widowControl/>
        <w:spacing w:line="336" w:lineRule="auto"/>
        <w:ind w:left="478" w:leftChars="228"/>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预算金额（元）:178000.00</w:t>
      </w:r>
    </w:p>
    <w:p w14:paraId="27C57AD3">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简要规格描述或项目基本概况介绍、用途：为全面落实军休干部政治待遇和生活待遇，保障其身体健康，做到疾病早诊断、早预防、早治疗，现对2026年军休干部体检服务进行采购。本项目共分为3个标段，每个标段确定1家健康体检服务机构，每个标段服务人数暂定为119人（服务人数为预估数量，最终以实际体检人数为准）。具体详见采购文件。</w:t>
      </w:r>
    </w:p>
    <w:p w14:paraId="25028CD1">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最高限价（如有）：178000.00</w:t>
      </w:r>
      <w:r>
        <w:rPr>
          <w:rFonts w:hint="eastAsia" w:ascii="仿宋" w:hAnsi="仿宋" w:eastAsia="仿宋" w:cs="仿宋"/>
          <w:kern w:val="0"/>
          <w:sz w:val="24"/>
          <w:szCs w:val="24"/>
          <w:highlight w:val="none"/>
          <w:lang w:val="en-US" w:eastAsia="zh-CN" w:bidi="ar-SA"/>
        </w:rPr>
        <w:t>元</w:t>
      </w:r>
    </w:p>
    <w:p w14:paraId="2DEC80AB">
      <w:pPr>
        <w:widowControl/>
        <w:spacing w:line="336" w:lineRule="auto"/>
        <w:ind w:firstLine="480" w:firstLineChars="200"/>
        <w:jc w:val="both"/>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合同履约期限：自合同签订之日起至2026年12月31日。</w:t>
      </w:r>
    </w:p>
    <w:p w14:paraId="7A5A8A55">
      <w:pPr>
        <w:widowControl/>
        <w:spacing w:line="336" w:lineRule="auto"/>
        <w:ind w:left="478" w:leftChars="228"/>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本标项（否）接受联合体投标</w:t>
      </w:r>
    </w:p>
    <w:p w14:paraId="740EECE3">
      <w:pPr>
        <w:widowControl/>
        <w:spacing w:line="336" w:lineRule="auto"/>
        <w:ind w:left="478" w:leftChars="228"/>
        <w:jc w:val="both"/>
        <w:rPr>
          <w:rStyle w:val="23"/>
          <w:rFonts w:hint="eastAsia" w:ascii="仿宋" w:hAnsi="仿宋" w:eastAsia="仿宋" w:cs="仿宋"/>
          <w:color w:val="auto"/>
          <w:sz w:val="24"/>
          <w:highlight w:val="none"/>
        </w:rPr>
      </w:pPr>
      <w:r>
        <w:rPr>
          <w:rFonts w:hint="eastAsia" w:ascii="仿宋" w:hAnsi="仿宋" w:eastAsia="仿宋" w:cs="仿宋"/>
          <w:kern w:val="2"/>
          <w:sz w:val="24"/>
          <w:szCs w:val="24"/>
          <w:lang w:val="en-US" w:eastAsia="zh-CN" w:bidi="ar-SA"/>
        </w:rPr>
        <w:t>备注：/</w:t>
      </w:r>
    </w:p>
    <w:p w14:paraId="1660C9F8">
      <w:pPr>
        <w:pStyle w:val="18"/>
        <w:spacing w:before="0" w:beforeAutospacing="0" w:after="0" w:afterAutospacing="0" w:line="324" w:lineRule="auto"/>
        <w:rPr>
          <w:rFonts w:hint="eastAsia" w:ascii="仿宋" w:hAnsi="仿宋" w:eastAsia="仿宋" w:cs="仿宋"/>
          <w:color w:val="auto"/>
          <w:highlight w:val="none"/>
        </w:rPr>
      </w:pPr>
      <w:r>
        <w:rPr>
          <w:rStyle w:val="23"/>
          <w:rFonts w:hint="eastAsia" w:ascii="仿宋" w:hAnsi="仿宋" w:eastAsia="仿宋" w:cs="仿宋"/>
          <w:color w:val="auto"/>
          <w:sz w:val="24"/>
          <w:highlight w:val="none"/>
        </w:rPr>
        <w:t>二、申请人的资格要求：</w:t>
      </w:r>
    </w:p>
    <w:p w14:paraId="6140369A">
      <w:pPr>
        <w:spacing w:line="336"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2E58285D">
      <w:pPr>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2.落实政府采购政策需满足的资格要求：分标1、2、3：本项目非专门面向中小企业采购的项目。</w:t>
      </w:r>
    </w:p>
    <w:p w14:paraId="72A3086A">
      <w:pPr>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3.本项目的特定资格要求：</w:t>
      </w:r>
    </w:p>
    <w:p w14:paraId="4C0CF278">
      <w:pPr>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分标1须具有卫生行政主管部门颁发的有效的《医疗机构执业许可证》；分标2须具有卫生行政主管部门颁发的有效的《医疗机构执业许可证》；分标3须具有卫生行政主管部门颁发的有效的《医疗机构执业许可证》。 </w:t>
      </w:r>
    </w:p>
    <w:p w14:paraId="592DFF63">
      <w:pPr>
        <w:pStyle w:val="18"/>
        <w:spacing w:before="0" w:beforeAutospacing="0" w:after="0" w:afterAutospacing="0" w:line="324" w:lineRule="auto"/>
        <w:jc w:val="both"/>
        <w:rPr>
          <w:rFonts w:hint="eastAsia" w:ascii="仿宋" w:hAnsi="仿宋" w:eastAsia="仿宋" w:cs="仿宋"/>
          <w:color w:val="auto"/>
          <w:highlight w:val="none"/>
        </w:rPr>
      </w:pPr>
      <w:r>
        <w:rPr>
          <w:rStyle w:val="23"/>
          <w:rFonts w:hint="eastAsia" w:ascii="仿宋" w:hAnsi="仿宋" w:eastAsia="仿宋" w:cs="仿宋"/>
          <w:color w:val="auto"/>
          <w:sz w:val="24"/>
          <w:highlight w:val="none"/>
        </w:rPr>
        <w:t>三、获取招标文件</w:t>
      </w:r>
      <w:r>
        <w:rPr>
          <w:rFonts w:hint="eastAsia" w:ascii="仿宋" w:hAnsi="仿宋" w:eastAsia="仿宋" w:cs="仿宋"/>
          <w:color w:val="auto"/>
          <w:highlight w:val="none"/>
        </w:rPr>
        <w:t> </w:t>
      </w:r>
    </w:p>
    <w:p w14:paraId="5FA508EE">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时间：</w:t>
      </w:r>
      <w:r>
        <w:rPr>
          <w:rStyle w:val="37"/>
          <w:rFonts w:hint="eastAsia" w:ascii="仿宋" w:hAnsi="仿宋" w:eastAsia="仿宋" w:cs="仿宋"/>
          <w:color w:val="auto"/>
          <w:highlight w:val="none"/>
          <w:lang w:eastAsia="zh-CN"/>
        </w:rPr>
        <w:t>2026年06月</w:t>
      </w:r>
      <w:r>
        <w:rPr>
          <w:rStyle w:val="37"/>
          <w:rFonts w:hint="eastAsia" w:ascii="仿宋" w:hAnsi="仿宋" w:eastAsia="仿宋" w:cs="仿宋"/>
          <w:color w:val="auto"/>
          <w:highlight w:val="none"/>
          <w:lang w:val="en-US" w:eastAsia="zh-CN"/>
        </w:rPr>
        <w:t>05</w:t>
      </w:r>
      <w:r>
        <w:rPr>
          <w:rStyle w:val="37"/>
          <w:rFonts w:hint="eastAsia" w:ascii="仿宋" w:hAnsi="仿宋" w:eastAsia="仿宋" w:cs="仿宋"/>
          <w:color w:val="auto"/>
          <w:highlight w:val="none"/>
          <w:lang w:eastAsia="zh-CN"/>
        </w:rPr>
        <w:t>日</w:t>
      </w:r>
      <w:r>
        <w:rPr>
          <w:rFonts w:hint="eastAsia" w:ascii="仿宋" w:hAnsi="仿宋" w:eastAsia="仿宋" w:cs="仿宋"/>
          <w:color w:val="auto"/>
          <w:highlight w:val="none"/>
        </w:rPr>
        <w:t>至</w:t>
      </w:r>
      <w:r>
        <w:rPr>
          <w:rStyle w:val="38"/>
          <w:rFonts w:hint="eastAsia" w:ascii="仿宋" w:hAnsi="仿宋" w:eastAsia="仿宋" w:cs="仿宋"/>
          <w:color w:val="auto"/>
          <w:highlight w:val="none"/>
          <w:lang w:val="en-US" w:eastAsia="zh-CN"/>
        </w:rPr>
        <w:t xml:space="preserve"> 2026年06月26日</w:t>
      </w:r>
      <w:r>
        <w:rPr>
          <w:rFonts w:hint="eastAsia" w:ascii="仿宋" w:hAnsi="仿宋" w:eastAsia="仿宋" w:cs="仿宋"/>
          <w:color w:val="auto"/>
          <w:highlight w:val="none"/>
        </w:rPr>
        <w:t> ，每天上午</w:t>
      </w:r>
      <w:r>
        <w:rPr>
          <w:rStyle w:val="39"/>
          <w:rFonts w:hint="eastAsia" w:ascii="仿宋" w:hAnsi="仿宋" w:eastAsia="仿宋" w:cs="仿宋"/>
          <w:color w:val="auto"/>
          <w:highlight w:val="none"/>
        </w:rPr>
        <w:t>00:00至</w:t>
      </w:r>
      <w:r>
        <w:rPr>
          <w:rStyle w:val="39"/>
          <w:rFonts w:hint="eastAsia" w:ascii="仿宋" w:hAnsi="仿宋" w:eastAsia="仿宋" w:cs="仿宋"/>
          <w:color w:val="auto"/>
          <w:highlight w:val="none"/>
          <w:lang w:val="en-US" w:eastAsia="zh-CN"/>
        </w:rPr>
        <w:t>12</w:t>
      </w:r>
      <w:r>
        <w:rPr>
          <w:rStyle w:val="39"/>
          <w:rFonts w:hint="eastAsia" w:ascii="仿宋" w:hAnsi="仿宋" w:eastAsia="仿宋" w:cs="仿宋"/>
          <w:color w:val="auto"/>
          <w:highlight w:val="none"/>
        </w:rPr>
        <w:t>:</w:t>
      </w:r>
      <w:r>
        <w:rPr>
          <w:rStyle w:val="39"/>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 ，下午</w:t>
      </w:r>
      <w:r>
        <w:rPr>
          <w:rStyle w:val="40"/>
          <w:rFonts w:hint="eastAsia" w:ascii="仿宋" w:hAnsi="仿宋" w:eastAsia="仿宋" w:cs="仿宋"/>
          <w:color w:val="auto"/>
          <w:highlight w:val="none"/>
        </w:rPr>
        <w:t>12:00至23:59</w:t>
      </w:r>
      <w:r>
        <w:rPr>
          <w:rFonts w:hint="eastAsia" w:ascii="仿宋" w:hAnsi="仿宋" w:eastAsia="仿宋" w:cs="仿宋"/>
          <w:color w:val="auto"/>
          <w:highlight w:val="none"/>
        </w:rPr>
        <w:t>（北京时间，法定节假日除外）</w:t>
      </w:r>
    </w:p>
    <w:p w14:paraId="4F4E5582">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地点（网址）：</w:t>
      </w:r>
      <w:r>
        <w:rPr>
          <w:rStyle w:val="41"/>
          <w:rFonts w:hint="eastAsia" w:ascii="仿宋" w:hAnsi="仿宋" w:eastAsia="仿宋" w:cs="仿宋"/>
          <w:color w:val="auto"/>
          <w:highlight w:val="none"/>
          <w:lang w:eastAsia="en-US"/>
        </w:rPr>
        <w:t>广西政府采购云平台（网址：http://www.gcy.zfcg.gxzf.gov.cn）</w:t>
      </w:r>
      <w:r>
        <w:rPr>
          <w:rFonts w:hint="eastAsia" w:ascii="仿宋" w:hAnsi="仿宋" w:eastAsia="仿宋" w:cs="仿宋"/>
          <w:color w:val="auto"/>
          <w:highlight w:val="none"/>
        </w:rPr>
        <w:t> </w:t>
      </w:r>
    </w:p>
    <w:p w14:paraId="72B4A0B8">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方式：</w:t>
      </w:r>
      <w:r>
        <w:rPr>
          <w:rStyle w:val="42"/>
          <w:rFonts w:hint="eastAsia" w:ascii="仿宋" w:hAnsi="仿宋" w:eastAsia="仿宋" w:cs="仿宋"/>
          <w:color w:val="auto"/>
          <w:highlight w:val="none"/>
          <w:lang w:eastAsia="en-US"/>
        </w:rPr>
        <w:t>网上下载。本项目不发放纸质采购文件，</w:t>
      </w:r>
      <w:r>
        <w:rPr>
          <w:rStyle w:val="42"/>
          <w:rFonts w:hint="eastAsia" w:ascii="仿宋" w:hAnsi="仿宋" w:eastAsia="仿宋" w:cs="仿宋"/>
          <w:color w:val="auto"/>
          <w:highlight w:val="none"/>
          <w:lang w:eastAsia="zh-CN"/>
        </w:rPr>
        <w:t>投标人</w:t>
      </w:r>
      <w:r>
        <w:rPr>
          <w:rStyle w:val="42"/>
          <w:rFonts w:hint="eastAsia" w:ascii="仿宋" w:hAnsi="仿宋" w:eastAsia="仿宋" w:cs="仿宋"/>
          <w:color w:val="auto"/>
          <w:highlight w:val="none"/>
          <w:lang w:eastAsia="en-US"/>
        </w:rPr>
        <w:t>可自行在广西政府采购云平台（https://www.gcy.zfcg.gxzf.gov.cn/）下载采购文件（操作路径：登录广西政府采购云平台-项目采购-获取采购文件-找到本项目-点击“申请获取采购文件”），电子</w:t>
      </w:r>
      <w:r>
        <w:rPr>
          <w:rStyle w:val="42"/>
          <w:rFonts w:hint="eastAsia" w:ascii="仿宋" w:hAnsi="仿宋" w:eastAsia="仿宋" w:cs="仿宋"/>
          <w:color w:val="auto"/>
          <w:highlight w:val="none"/>
          <w:lang w:eastAsia="zh-CN"/>
        </w:rPr>
        <w:t>投标文件</w:t>
      </w:r>
      <w:r>
        <w:rPr>
          <w:rStyle w:val="42"/>
          <w:rFonts w:hint="eastAsia" w:ascii="仿宋" w:hAnsi="仿宋" w:eastAsia="仿宋" w:cs="仿宋"/>
          <w:color w:val="auto"/>
          <w:highlight w:val="none"/>
          <w:lang w:eastAsia="en-US"/>
        </w:rPr>
        <w:t>制作需要基于广西政府采购云平台（https://www.gcy.zfcg.gxzf.gov.cn/）获取的采购文件编制。  </w:t>
      </w:r>
      <w:r>
        <w:rPr>
          <w:rFonts w:hint="eastAsia" w:ascii="仿宋" w:hAnsi="仿宋" w:eastAsia="仿宋" w:cs="仿宋"/>
          <w:color w:val="auto"/>
          <w:highlight w:val="none"/>
        </w:rPr>
        <w:t> </w:t>
      </w:r>
    </w:p>
    <w:p w14:paraId="42393FDA">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售价（元）：</w:t>
      </w:r>
      <w:r>
        <w:rPr>
          <w:rStyle w:val="43"/>
          <w:rFonts w:hint="eastAsia" w:ascii="仿宋" w:hAnsi="仿宋" w:eastAsia="仿宋" w:cs="仿宋"/>
          <w:color w:val="auto"/>
          <w:highlight w:val="none"/>
        </w:rPr>
        <w:t>0</w:t>
      </w:r>
      <w:r>
        <w:rPr>
          <w:rFonts w:hint="eastAsia" w:ascii="仿宋" w:hAnsi="仿宋" w:eastAsia="仿宋" w:cs="仿宋"/>
          <w:color w:val="auto"/>
          <w:highlight w:val="none"/>
        </w:rPr>
        <w:t> </w:t>
      </w:r>
    </w:p>
    <w:p w14:paraId="556ADBCE">
      <w:pPr>
        <w:pStyle w:val="18"/>
        <w:spacing w:before="0" w:beforeAutospacing="0" w:after="0" w:afterAutospacing="0" w:line="324" w:lineRule="auto"/>
        <w:jc w:val="both"/>
        <w:rPr>
          <w:rFonts w:hint="eastAsia" w:ascii="仿宋" w:hAnsi="仿宋" w:eastAsia="仿宋" w:cs="仿宋"/>
          <w:color w:val="auto"/>
          <w:highlight w:val="none"/>
        </w:rPr>
      </w:pPr>
      <w:r>
        <w:rPr>
          <w:rStyle w:val="23"/>
          <w:rFonts w:hint="eastAsia" w:ascii="仿宋" w:hAnsi="仿宋" w:eastAsia="仿宋" w:cs="仿宋"/>
          <w:color w:val="auto"/>
          <w:sz w:val="24"/>
          <w:highlight w:val="none"/>
        </w:rPr>
        <w:t>四、提交投标文件截止时间、开标时间和地点</w:t>
      </w:r>
    </w:p>
    <w:p w14:paraId="550B123E">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提交投标文件截止时间：</w:t>
      </w:r>
      <w:r>
        <w:rPr>
          <w:rFonts w:hint="eastAsia" w:ascii="仿宋" w:hAnsi="仿宋" w:eastAsia="仿宋" w:cs="仿宋"/>
          <w:color w:val="auto"/>
          <w:kern w:val="0"/>
          <w:sz w:val="24"/>
          <w:highlight w:val="none"/>
          <w:lang w:val="en-US" w:eastAsia="zh-CN"/>
        </w:rPr>
        <w:t>2026年06月26日 9:30</w:t>
      </w:r>
      <w:r>
        <w:rPr>
          <w:rFonts w:hint="eastAsia" w:ascii="仿宋" w:hAnsi="仿宋" w:eastAsia="仿宋" w:cs="仿宋"/>
          <w:color w:val="auto"/>
          <w:highlight w:val="none"/>
        </w:rPr>
        <w:t>（北京时间）</w:t>
      </w:r>
    </w:p>
    <w:p w14:paraId="305345B1">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投标地点（网址）：</w:t>
      </w:r>
      <w:r>
        <w:rPr>
          <w:rStyle w:val="45"/>
          <w:rFonts w:hint="eastAsia" w:ascii="仿宋" w:hAnsi="仿宋" w:eastAsia="仿宋" w:cs="仿宋"/>
          <w:color w:val="auto"/>
          <w:highlight w:val="none"/>
        </w:rPr>
        <w:t>请登录广西政府采购云平台投标客户端投标 </w:t>
      </w:r>
    </w:p>
    <w:p w14:paraId="7FE6EB3C">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kern w:val="0"/>
          <w:sz w:val="24"/>
          <w:highlight w:val="none"/>
          <w:lang w:val="en-US" w:eastAsia="zh-CN"/>
        </w:rPr>
        <w:t>2026年06月26日 9:30</w:t>
      </w:r>
    </w:p>
    <w:p w14:paraId="38B41CCE">
      <w:pPr>
        <w:pStyle w:val="18"/>
        <w:spacing w:before="75" w:beforeAutospacing="0" w:after="75"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开标地点：</w:t>
      </w:r>
      <w:r>
        <w:rPr>
          <w:rStyle w:val="46"/>
          <w:rFonts w:hint="eastAsia" w:ascii="仿宋" w:hAnsi="仿宋" w:eastAsia="仿宋" w:cs="仿宋"/>
          <w:color w:val="auto"/>
          <w:highlight w:val="none"/>
        </w:rPr>
        <w:t>广西政府采购云平台（网址：http://www.gcy.zfcg.gxzf.gov.cn）</w:t>
      </w:r>
    </w:p>
    <w:p w14:paraId="021EAC76">
      <w:pPr>
        <w:pStyle w:val="18"/>
        <w:spacing w:before="0" w:beforeAutospacing="0" w:after="0" w:afterAutospacing="0" w:line="324" w:lineRule="auto"/>
        <w:jc w:val="both"/>
        <w:rPr>
          <w:rFonts w:hint="eastAsia" w:ascii="仿宋" w:hAnsi="仿宋" w:eastAsia="仿宋" w:cs="仿宋"/>
          <w:color w:val="auto"/>
          <w:highlight w:val="none"/>
        </w:rPr>
      </w:pPr>
      <w:r>
        <w:rPr>
          <w:rStyle w:val="23"/>
          <w:rFonts w:hint="eastAsia" w:ascii="仿宋" w:hAnsi="仿宋" w:eastAsia="仿宋" w:cs="仿宋"/>
          <w:color w:val="auto"/>
          <w:sz w:val="24"/>
          <w:highlight w:val="none"/>
        </w:rPr>
        <w:t>五、公告期限</w:t>
      </w:r>
      <w:r>
        <w:rPr>
          <w:rFonts w:hint="eastAsia" w:ascii="仿宋" w:hAnsi="仿宋" w:eastAsia="仿宋" w:cs="仿宋"/>
          <w:color w:val="auto"/>
          <w:highlight w:val="none"/>
        </w:rPr>
        <w:t> </w:t>
      </w:r>
    </w:p>
    <w:p w14:paraId="6F8DF3CF">
      <w:pPr>
        <w:pStyle w:val="18"/>
        <w:spacing w:before="0" w:beforeAutospacing="0" w:after="0" w:afterAutospacing="0" w:line="324" w:lineRule="auto"/>
        <w:rPr>
          <w:rFonts w:hint="eastAsia" w:ascii="仿宋" w:hAnsi="仿宋" w:eastAsia="仿宋" w:cs="仿宋"/>
          <w:color w:val="auto"/>
          <w:highlight w:val="none"/>
        </w:rPr>
      </w:pPr>
      <w:r>
        <w:rPr>
          <w:rFonts w:hint="eastAsia" w:ascii="仿宋" w:hAnsi="仿宋" w:eastAsia="仿宋" w:cs="仿宋"/>
          <w:color w:val="auto"/>
          <w:highlight w:val="none"/>
        </w:rPr>
        <w:t>    自本公告发布之日起5个工作日。</w:t>
      </w:r>
    </w:p>
    <w:p w14:paraId="71C1D508">
      <w:pPr>
        <w:pStyle w:val="18"/>
        <w:spacing w:before="0" w:beforeAutospacing="0" w:after="0" w:afterAutospacing="0" w:line="324" w:lineRule="auto"/>
        <w:jc w:val="both"/>
        <w:rPr>
          <w:rFonts w:hint="eastAsia" w:ascii="仿宋" w:hAnsi="仿宋" w:eastAsia="仿宋" w:cs="仿宋"/>
          <w:color w:val="auto"/>
          <w:highlight w:val="none"/>
        </w:rPr>
      </w:pPr>
      <w:r>
        <w:rPr>
          <w:rStyle w:val="23"/>
          <w:rFonts w:hint="eastAsia" w:ascii="仿宋" w:hAnsi="仿宋" w:eastAsia="仿宋" w:cs="仿宋"/>
          <w:color w:val="auto"/>
          <w:sz w:val="24"/>
          <w:highlight w:val="none"/>
        </w:rPr>
        <w:t>六、其他补充事宜</w:t>
      </w:r>
    </w:p>
    <w:p w14:paraId="74705360">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1.投标保证金：本项目不收取投标保证金。</w:t>
      </w:r>
    </w:p>
    <w:p w14:paraId="7B27D8A7">
      <w:pPr>
        <w:suppressAutoHyphens/>
        <w:spacing w:line="324" w:lineRule="auto"/>
        <w:ind w:firstLine="480" w:firstLineChars="200"/>
        <w:rPr>
          <w:rFonts w:hint="eastAsia" w:ascii="仿宋" w:hAnsi="仿宋" w:eastAsia="仿宋" w:cs="仿宋"/>
          <w:color w:val="auto"/>
          <w:kern w:val="0"/>
          <w:sz w:val="24"/>
          <w:szCs w:val="20"/>
          <w:highlight w:val="none"/>
          <w:lang w:eastAsia="en-US"/>
        </w:rPr>
      </w:pPr>
      <w:r>
        <w:rPr>
          <w:rFonts w:hint="eastAsia" w:ascii="仿宋" w:hAnsi="仿宋" w:eastAsia="仿宋" w:cs="仿宋"/>
          <w:color w:val="auto"/>
          <w:kern w:val="0"/>
          <w:sz w:val="24"/>
          <w:szCs w:val="20"/>
          <w:highlight w:val="none"/>
          <w:lang w:eastAsia="en-US"/>
        </w:rPr>
        <w:t>2.采购意向公开链接：</w:t>
      </w:r>
    </w:p>
    <w:p w14:paraId="122456CC">
      <w:pPr>
        <w:suppressAutoHyphens/>
        <w:spacing w:line="324" w:lineRule="auto"/>
        <w:ind w:firstLine="480" w:firstLineChars="200"/>
        <w:rPr>
          <w:rFonts w:hint="eastAsia" w:ascii="仿宋" w:hAnsi="仿宋" w:eastAsia="仿宋" w:cs="仿宋"/>
          <w:color w:val="auto"/>
          <w:kern w:val="0"/>
          <w:sz w:val="24"/>
          <w:szCs w:val="20"/>
          <w:highlight w:val="none"/>
          <w:lang w:eastAsia="en-US"/>
        </w:rPr>
      </w:pPr>
      <w:bookmarkStart w:id="2" w:name="_Hlk37429585"/>
      <w:r>
        <w:rPr>
          <w:rFonts w:hint="eastAsia" w:ascii="仿宋" w:hAnsi="仿宋" w:eastAsia="仿宋" w:cs="仿宋"/>
          <w:sz w:val="24"/>
        </w:rPr>
        <w:t>https://zfcg.gxzf.gov.cn/luban/detail?parentId=66485&amp;articleId=ann_OVUeQhps3y6ptNfQI5noStD5ndTMr3NGt5TILBJnhQo=</w:t>
      </w:r>
    </w:p>
    <w:p w14:paraId="70BB1DC8">
      <w:pPr>
        <w:suppressAutoHyphens/>
        <w:spacing w:line="324" w:lineRule="auto"/>
        <w:ind w:left="420" w:leftChars="200"/>
        <w:rPr>
          <w:rFonts w:hint="eastAsia" w:ascii="仿宋" w:hAnsi="仿宋" w:eastAsia="仿宋" w:cs="仿宋"/>
          <w:color w:val="auto"/>
          <w:kern w:val="0"/>
          <w:sz w:val="24"/>
          <w:szCs w:val="20"/>
          <w:highlight w:val="none"/>
          <w:lang w:eastAsia="en-US"/>
        </w:rPr>
      </w:pPr>
      <w:r>
        <w:rPr>
          <w:rFonts w:hint="eastAsia" w:ascii="仿宋" w:hAnsi="仿宋" w:eastAsia="仿宋" w:cs="仿宋"/>
          <w:color w:val="auto"/>
          <w:kern w:val="0"/>
          <w:sz w:val="24"/>
          <w:szCs w:val="20"/>
          <w:highlight w:val="none"/>
          <w:lang w:eastAsia="en-US"/>
        </w:rPr>
        <w:t>3.</w:t>
      </w:r>
      <w:bookmarkStart w:id="3" w:name="_Hlk37429595"/>
      <w:r>
        <w:rPr>
          <w:rFonts w:hint="eastAsia" w:ascii="仿宋" w:hAnsi="仿宋" w:eastAsia="仿宋" w:cs="仿宋"/>
          <w:color w:val="auto"/>
          <w:kern w:val="0"/>
          <w:sz w:val="24"/>
          <w:szCs w:val="20"/>
          <w:highlight w:val="none"/>
          <w:lang w:eastAsia="en-US"/>
        </w:rPr>
        <w:t>网上查询地址</w:t>
      </w:r>
    </w:p>
    <w:bookmarkEnd w:id="2"/>
    <w:bookmarkEnd w:id="3"/>
    <w:p w14:paraId="49A60DFA">
      <w:pPr>
        <w:spacing w:line="324" w:lineRule="auto"/>
        <w:ind w:firstLine="480" w:firstLineChars="200"/>
        <w:rPr>
          <w:rFonts w:hint="eastAsia" w:ascii="仿宋" w:hAnsi="仿宋" w:eastAsia="仿宋" w:cs="仿宋"/>
          <w:color w:val="auto"/>
          <w:kern w:val="0"/>
          <w:sz w:val="24"/>
          <w:szCs w:val="20"/>
          <w:highlight w:val="none"/>
          <w:lang w:eastAsia="en-US"/>
        </w:rPr>
      </w:pPr>
      <w:bookmarkStart w:id="4" w:name="_Hlk37429674"/>
      <w:r>
        <w:rPr>
          <w:rFonts w:hint="eastAsia" w:ascii="仿宋" w:hAnsi="仿宋" w:eastAsia="仿宋" w:cs="仿宋"/>
          <w:color w:val="auto"/>
          <w:kern w:val="0"/>
          <w:sz w:val="24"/>
          <w:szCs w:val="20"/>
          <w:highlight w:val="none"/>
          <w:lang w:eastAsia="en-US"/>
        </w:rPr>
        <w:t>中国政府采购网（http://www.ccgp.gov.cn）、广西壮族自治区政府采购网（http://www.ccgp-guangxi.gov.cn/）、全国公共资源交易平台（广西·南宁）（http://ggzy.jgswj.gxzf.gov.cn/nnggzy/）</w:t>
      </w:r>
    </w:p>
    <w:p w14:paraId="77435A7F">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4.本项目需要落实的政府采购政策</w:t>
      </w:r>
    </w:p>
    <w:p w14:paraId="5C8B8B27">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（1）政府采购促进中小企业发展。</w:t>
      </w:r>
    </w:p>
    <w:p w14:paraId="394B9D9C">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（2）政府采购支持采用本国产品的政策。</w:t>
      </w:r>
    </w:p>
    <w:p w14:paraId="4AC3F068">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（3）强制采购节能产品；优先采购节能产品、环境标志产品。</w:t>
      </w:r>
    </w:p>
    <w:p w14:paraId="15B0F732">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（4）政府采购促进残疾人就业政策。</w:t>
      </w:r>
    </w:p>
    <w:p w14:paraId="6489D513">
      <w:pPr>
        <w:suppressAutoHyphens/>
        <w:spacing w:line="324"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（5）政府采购支持监狱企业发展。</w:t>
      </w:r>
      <w:bookmarkEnd w:id="4"/>
    </w:p>
    <w:p w14:paraId="64F64346">
      <w:pPr>
        <w:pStyle w:val="18"/>
        <w:spacing w:before="0" w:beforeAutospacing="0" w:after="0" w:afterAutospacing="0" w:line="324" w:lineRule="auto"/>
        <w:ind w:left="478" w:leftChars="228"/>
        <w:rPr>
          <w:rFonts w:hint="eastAsia" w:ascii="仿宋" w:hAnsi="仿宋" w:eastAsia="仿宋" w:cs="仿宋"/>
          <w:color w:val="auto"/>
          <w:highlight w:val="none"/>
        </w:rPr>
      </w:pPr>
      <w:r>
        <w:rPr>
          <w:rFonts w:hint="eastAsia" w:ascii="仿宋" w:hAnsi="仿宋" w:eastAsia="仿宋" w:cs="仿宋"/>
          <w:color w:val="auto"/>
          <w:highlight w:val="none"/>
        </w:rPr>
        <w:t>5.其他注意事项：</w:t>
      </w:r>
    </w:p>
    <w:p w14:paraId="5C044683">
      <w:pPr>
        <w:pStyle w:val="18"/>
        <w:spacing w:before="0" w:beforeAutospacing="0" w:after="0"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项目实行电子投标，投标人应按照本项目招标文件和广西政府采购云平台的要求编制、加密并提交投标文件。投标人在使用系统参与投标过程中遇到涉及平台使用的任何问题，可致电广西政府采购云平台技术支持热线咨询，联系方式：95763。</w:t>
      </w:r>
    </w:p>
    <w:p w14:paraId="7DC109DB">
      <w:pPr>
        <w:pStyle w:val="18"/>
        <w:spacing w:before="0" w:beforeAutospacing="0" w:after="0" w:afterAutospacing="0" w:line="324"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（2）投标人应及时熟悉掌握电子标系统操作指南（见广西政府采购云平台首页右上角—服务中心—帮助文档—项目采购）：</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"https://helpcenter.zcygov.cn/document/#/document/dashboard?siteCode=gx。"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https://helpcenter.zcygov.cn/document/#/document/dashboard?siteCode=gx。</w:t>
      </w:r>
      <w:r>
        <w:rPr>
          <w:rFonts w:hint="eastAsia" w:ascii="仿宋" w:hAnsi="仿宋" w:eastAsia="仿宋" w:cs="仿宋"/>
          <w:color w:val="auto"/>
          <w:highlight w:val="none"/>
        </w:rPr>
        <w:fldChar w:fldCharType="end"/>
      </w:r>
    </w:p>
    <w:p w14:paraId="2B1FFD5D">
      <w:pPr>
        <w:pStyle w:val="18"/>
        <w:spacing w:before="0" w:beforeAutospacing="0" w:after="0"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（3）投标人应及时完成CA证书申领和绑定（见广西壮族自治区政府采购网—办事服务—下载专区—广西政府采购云平台CA证书办理操作指南）</w:t>
      </w:r>
    </w:p>
    <w:p w14:paraId="2D6C1057">
      <w:pPr>
        <w:pStyle w:val="18"/>
        <w:spacing w:before="0" w:beforeAutospacing="0" w:after="0"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（4）投标人通过广西政府采购云平台新版客户端软件制作投标文件，广西政府采购云平台新版客户端软件请</w:t>
      </w:r>
      <w:r>
        <w:rPr>
          <w:rStyle w:val="42"/>
          <w:rFonts w:hint="eastAsia" w:ascii="仿宋" w:hAnsi="仿宋" w:eastAsia="仿宋" w:cs="仿宋"/>
          <w:color w:val="auto"/>
          <w:highlight w:val="none"/>
          <w:lang w:eastAsia="zh-CN"/>
        </w:rPr>
        <w:t>投标人</w:t>
      </w:r>
      <w:r>
        <w:rPr>
          <w:rFonts w:hint="eastAsia" w:ascii="仿宋" w:hAnsi="仿宋" w:eastAsia="仿宋" w:cs="仿宋"/>
          <w:color w:val="auto"/>
          <w:highlight w:val="none"/>
        </w:rPr>
        <w:t>自行前往下载并安装（见广西壮族自治区政府采购网—办事服务—下载专区）。</w:t>
      </w:r>
    </w:p>
    <w:p w14:paraId="00FA8D80">
      <w:pPr>
        <w:pStyle w:val="18"/>
        <w:spacing w:before="0" w:beforeAutospacing="0" w:after="0" w:afterAutospacing="0" w:line="324"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（5）因未注册入库、未办理CA证书、CA证书故障、操作不当、CA证书逾期等原因造成无法投标或投标失败等后果由投标人自行承担。</w:t>
      </w:r>
    </w:p>
    <w:p w14:paraId="3EB4FA01">
      <w:pPr>
        <w:pStyle w:val="18"/>
        <w:spacing w:before="0" w:beforeAutospacing="0" w:after="0" w:afterAutospacing="0" w:line="324"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投标文件网上提交截止后，广西政府采购云平台（电子标系统）自动提取所有投标文件，各投标人须在开标开始后30分钟内对上传广西政府采购云平台的投标文件进行解密，所有投标人在规定的解密时限内解密完成或解密时限结束后，开启投标文件；投标人超过解密时限的，系统默认自动放弃。  </w:t>
      </w:r>
    </w:p>
    <w:p w14:paraId="1101D5E6">
      <w:pPr>
        <w:spacing w:line="336" w:lineRule="auto"/>
        <w:ind w:firstLine="480" w:firstLineChars="200"/>
        <w:rPr>
          <w:rFonts w:ascii="仿宋" w:hAnsi="仿宋" w:eastAsia="仿宋" w:cs="仿宋"/>
          <w:sz w:val="24"/>
        </w:rPr>
      </w:pPr>
      <w:r>
        <w:rPr>
          <w:rStyle w:val="23"/>
          <w:rFonts w:hint="eastAsia" w:ascii="仿宋" w:hAnsi="仿宋" w:eastAsia="仿宋" w:cs="仿宋"/>
          <w:b w:val="0"/>
          <w:bCs w:val="0"/>
          <w:color w:val="auto"/>
          <w:sz w:val="24"/>
          <w:highlight w:val="none"/>
        </w:rPr>
        <w:t>6.</w:t>
      </w:r>
      <w:r>
        <w:rPr>
          <w:rFonts w:hint="eastAsia" w:ascii="仿宋" w:hAnsi="仿宋" w:eastAsia="仿宋" w:cs="仿宋"/>
          <w:sz w:val="24"/>
        </w:rPr>
        <w:t>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43B0654E">
      <w:pPr>
        <w:spacing w:line="336" w:lineRule="auto"/>
        <w:ind w:firstLine="480" w:firstLineChars="200"/>
        <w:rPr>
          <w:rStyle w:val="23"/>
          <w:rFonts w:hint="eastAsia" w:ascii="仿宋" w:hAnsi="仿宋" w:eastAsia="仿宋" w:cs="仿宋"/>
          <w:b w:val="0"/>
          <w:bCs w:val="0"/>
          <w:color w:val="auto"/>
          <w:sz w:val="24"/>
          <w:highlight w:val="none"/>
        </w:rPr>
      </w:pPr>
      <w:r>
        <w:rPr>
          <w:rFonts w:hint="eastAsia" w:ascii="仿宋" w:hAnsi="仿宋" w:eastAsia="仿宋" w:cs="仿宋"/>
          <w:sz w:val="24"/>
          <w:lang w:val="en-US" w:eastAsia="zh-CN"/>
        </w:rPr>
        <w:t>7</w:t>
      </w:r>
      <w:r>
        <w:rPr>
          <w:rFonts w:hint="eastAsia" w:ascii="仿宋" w:hAnsi="仿宋" w:eastAsia="仿宋" w:cs="仿宋"/>
          <w:sz w:val="24"/>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7B1CB965">
      <w:pPr>
        <w:pStyle w:val="18"/>
        <w:spacing w:before="0" w:beforeAutospacing="0" w:after="0" w:afterAutospacing="0" w:line="324" w:lineRule="auto"/>
        <w:jc w:val="both"/>
        <w:rPr>
          <w:rFonts w:hint="eastAsia" w:ascii="仿宋" w:hAnsi="仿宋" w:eastAsia="仿宋" w:cs="仿宋"/>
          <w:color w:val="auto"/>
          <w:highlight w:val="none"/>
        </w:rPr>
      </w:pPr>
      <w:r>
        <w:rPr>
          <w:rStyle w:val="23"/>
          <w:rFonts w:hint="eastAsia" w:ascii="仿宋" w:hAnsi="仿宋" w:eastAsia="仿宋" w:cs="仿宋"/>
          <w:color w:val="auto"/>
          <w:sz w:val="24"/>
          <w:highlight w:val="none"/>
        </w:rPr>
        <w:t>七、对本次采购提出询问，请按以下方式联系</w:t>
      </w:r>
    </w:p>
    <w:p w14:paraId="7E8C2301">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1.采购人信息</w:t>
      </w:r>
    </w:p>
    <w:p w14:paraId="2B45F5F1">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名    称：南宁市军队离退休干部服务管理中心 </w:t>
      </w:r>
    </w:p>
    <w:p w14:paraId="088F4245">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    址：南宁市青秀区金浦路16号</w:t>
      </w:r>
    </w:p>
    <w:p w14:paraId="6609D186">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项目联系人：邱彩云</w:t>
      </w:r>
    </w:p>
    <w:p w14:paraId="7AA0BC38">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项目联系方式：0771-5554969</w:t>
      </w:r>
    </w:p>
    <w:p w14:paraId="077EAACD">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2.采购代理机构信息</w:t>
      </w:r>
    </w:p>
    <w:p w14:paraId="583F336E">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名    称：广西建通工程咨询有限责任公司 </w:t>
      </w:r>
    </w:p>
    <w:p w14:paraId="0515197C">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    址：南宁市江南区金凯路26号广西建通中心  </w:t>
      </w:r>
    </w:p>
    <w:p w14:paraId="4E856754">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项目联系人：王懿</w:t>
      </w:r>
    </w:p>
    <w:p w14:paraId="1E6485DB">
      <w:pPr>
        <w:spacing w:line="324" w:lineRule="auto"/>
        <w:ind w:firstLine="480" w:firstLineChars="200"/>
        <w:jc w:val="both"/>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项目联系方式：0771-3948200</w:t>
      </w:r>
    </w:p>
    <w:p w14:paraId="7991342B">
      <w:pPr>
        <w:spacing w:line="324" w:lineRule="auto"/>
        <w:jc w:val="both"/>
        <w:rPr>
          <w:rFonts w:hint="eastAsia" w:ascii="仿宋" w:hAnsi="仿宋" w:eastAsia="仿宋" w:cs="仿宋"/>
          <w:color w:val="auto"/>
          <w:kern w:val="0"/>
          <w:sz w:val="24"/>
          <w:highlight w:val="none"/>
        </w:rPr>
      </w:pPr>
    </w:p>
    <w:p w14:paraId="2E32E450">
      <w:pPr>
        <w:spacing w:line="324" w:lineRule="auto"/>
        <w:jc w:val="righ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广西建通工程咨询有限责任公司</w:t>
      </w:r>
    </w:p>
    <w:p w14:paraId="67785EAA">
      <w:pPr>
        <w:wordWrap w:val="0"/>
        <w:spacing w:line="324" w:lineRule="auto"/>
        <w:jc w:val="center"/>
        <w:rPr>
          <w:rFonts w:hint="eastAsia" w:ascii="仿宋" w:hAnsi="仿宋" w:eastAsia="仿宋" w:cs="仿宋"/>
          <w:color w:val="auto"/>
          <w:kern w:val="0"/>
          <w:sz w:val="24"/>
          <w:highlight w:val="none"/>
          <w:lang w:val="en" w:eastAsia="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 w:eastAsia="zh-CN"/>
        </w:rPr>
        <w:t>2026年06月</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lang w:val="en" w:eastAsia="zh-CN"/>
        </w:rPr>
        <w:t>日</w:t>
      </w:r>
    </w:p>
    <w:p w14:paraId="36DAADCC">
      <w:pPr>
        <w:pStyle w:val="2"/>
        <w:spacing w:line="336" w:lineRule="auto"/>
        <w:jc w:val="center"/>
        <w:rPr>
          <w:rFonts w:hint="eastAsia" w:ascii="仿宋" w:hAnsi="仿宋" w:eastAsia="仿宋" w:cs="仿宋"/>
          <w:color w:val="auto"/>
          <w:sz w:val="32"/>
          <w:szCs w:val="32"/>
          <w:highlight w:val="none"/>
        </w:rPr>
        <w:sectPr>
          <w:footerReference r:id="rId6" w:type="first"/>
          <w:footerReference r:id="rId5" w:type="default"/>
          <w:pgSz w:w="11906" w:h="16838"/>
          <w:pgMar w:top="1440" w:right="1080" w:bottom="1440" w:left="1080" w:header="851" w:footer="992" w:gutter="0"/>
          <w:pgNumType w:start="1"/>
          <w:cols w:space="720" w:num="1"/>
          <w:docGrid w:type="linesAndChars" w:linePitch="312" w:charSpace="0"/>
        </w:sectPr>
      </w:pPr>
    </w:p>
    <w:p w14:paraId="62A08E68">
      <w:pPr>
        <w:pStyle w:val="13"/>
        <w:jc w:val="center"/>
        <w:outlineLvl w:val="0"/>
        <w:rPr>
          <w:rFonts w:hint="eastAsia" w:ascii="仿宋" w:hAnsi="仿宋" w:eastAsia="仿宋" w:cs="仿宋"/>
          <w:b/>
          <w:color w:val="auto"/>
          <w:sz w:val="36"/>
          <w:highlight w:val="none"/>
        </w:rPr>
      </w:pPr>
      <w:bookmarkStart w:id="5" w:name="_Toc532545042"/>
      <w:bookmarkStart w:id="6" w:name="_Toc28689"/>
      <w:bookmarkStart w:id="7" w:name="_Toc17123"/>
      <w:r>
        <w:rPr>
          <w:rFonts w:hint="eastAsia" w:ascii="仿宋" w:hAnsi="仿宋" w:eastAsia="仿宋" w:cs="仿宋"/>
          <w:b/>
          <w:color w:val="auto"/>
          <w:sz w:val="36"/>
          <w:highlight w:val="none"/>
        </w:rPr>
        <w:t xml:space="preserve">第二章 </w:t>
      </w:r>
      <w:bookmarkEnd w:id="5"/>
      <w:r>
        <w:rPr>
          <w:rFonts w:hint="eastAsia" w:ascii="仿宋" w:hAnsi="仿宋" w:eastAsia="仿宋" w:cs="仿宋"/>
          <w:b/>
          <w:color w:val="auto"/>
          <w:sz w:val="36"/>
          <w:highlight w:val="none"/>
        </w:rPr>
        <w:t>采购需求</w:t>
      </w:r>
      <w:bookmarkEnd w:id="6"/>
      <w:bookmarkEnd w:id="7"/>
    </w:p>
    <w:p w14:paraId="25D28D57">
      <w:pPr>
        <w:adjustRightInd w:val="0"/>
        <w:spacing w:line="340" w:lineRule="exact"/>
        <w:rPr>
          <w:rFonts w:hint="eastAsia" w:ascii="仿宋" w:hAnsi="仿宋" w:eastAsia="仿宋" w:cs="仿宋"/>
          <w:b/>
          <w:color w:val="auto"/>
          <w:szCs w:val="21"/>
          <w:highlight w:val="none"/>
        </w:rPr>
      </w:pPr>
      <w:bookmarkStart w:id="8" w:name="PO_TDCUS_ITEM_PB_REQ_FILE_1_1_1"/>
    </w:p>
    <w:p w14:paraId="4C657BF4">
      <w:pPr>
        <w:adjustRightInd w:val="0"/>
        <w:spacing w:line="24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1F0CE205">
      <w:pPr>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1.为落实政府采购政策需满足的要求（根据项目实际情况填写内容）</w:t>
      </w:r>
    </w:p>
    <w:p w14:paraId="3F24A5BB">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（1）本招标文件所称中小企业必须符合《政府采购促进中小企业发展管理办法》（财库〔2020〕46号）的规定。</w:t>
      </w:r>
    </w:p>
    <w:p w14:paraId="7374B53C">
      <w:pPr>
        <w:spacing w:line="360" w:lineRule="auto"/>
        <w:ind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w:t>
      </w:r>
      <w:r>
        <w:rPr>
          <w:rFonts w:hint="eastAsia" w:ascii="仿宋" w:hAnsi="仿宋" w:eastAsia="仿宋" w:cs="仿宋"/>
          <w:color w:val="auto"/>
          <w:szCs w:val="21"/>
          <w:highlight w:val="none"/>
          <w:lang w:eastAsia="zh-CN"/>
        </w:rPr>
        <w:t>评标方法及评分标准</w:t>
      </w:r>
      <w:r>
        <w:rPr>
          <w:rFonts w:hint="eastAsia" w:ascii="仿宋" w:hAnsi="仿宋" w:eastAsia="仿宋" w:cs="仿宋"/>
          <w:color w:val="auto"/>
          <w:szCs w:val="21"/>
          <w:highlight w:val="none"/>
        </w:rPr>
        <w:t>”。</w:t>
      </w:r>
    </w:p>
    <w:p w14:paraId="77721B03">
      <w:pPr>
        <w:spacing w:line="360" w:lineRule="auto"/>
        <w:ind w:firstLine="424" w:firstLineChars="202"/>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
          <w:color w:val="auto"/>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430658F9">
      <w:pPr>
        <w:spacing w:line="360" w:lineRule="auto"/>
        <w:ind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2.“实质性要求”是指招标文件中已经指明不满足则投标无效的条款，或者不能负偏离的条款，或者采购需求中带“▲”的条款。</w:t>
      </w:r>
    </w:p>
    <w:p w14:paraId="7BD58325">
      <w:pPr>
        <w:spacing w:line="360" w:lineRule="auto"/>
        <w:ind w:firstLine="424" w:firstLineChars="202"/>
        <w:jc w:val="left"/>
        <w:rPr>
          <w:rFonts w:hint="eastAsia" w:ascii="仿宋" w:hAnsi="仿宋" w:eastAsia="仿宋" w:cs="仿宋"/>
          <w:color w:val="auto"/>
          <w:highlight w:val="none"/>
        </w:rPr>
      </w:pPr>
      <w:r>
        <w:rPr>
          <w:rFonts w:hint="eastAsia" w:ascii="仿宋" w:hAnsi="仿宋" w:eastAsia="仿宋" w:cs="仿宋"/>
          <w:color w:val="auto"/>
          <w:highlight w:val="none"/>
        </w:rPr>
        <w:t>3.如投标人投标产品存在侵犯他人的知识产权或者专利成果行为的，应承担相应法律责任。</w:t>
      </w:r>
    </w:p>
    <w:tbl>
      <w:tblPr>
        <w:tblStyle w:val="20"/>
        <w:tblW w:w="98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3"/>
        <w:gridCol w:w="5807"/>
        <w:gridCol w:w="1314"/>
        <w:gridCol w:w="1397"/>
      </w:tblGrid>
      <w:tr w14:paraId="24636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1" w:type="dxa"/>
            <w:gridSpan w:val="4"/>
            <w:tcBorders>
              <w:top w:val="single" w:color="auto" w:sz="4" w:space="0"/>
              <w:left w:val="single" w:color="auto" w:sz="4" w:space="0"/>
              <w:right w:val="single" w:color="auto" w:sz="4" w:space="0"/>
            </w:tcBorders>
            <w:noWrap/>
            <w:vAlign w:val="center"/>
          </w:tcPr>
          <w:p w14:paraId="3B7221B5">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lang w:eastAsia="zh-CN"/>
              </w:rPr>
              <w:t>服务需求</w:t>
            </w:r>
            <w:r>
              <w:rPr>
                <w:rFonts w:hint="eastAsia" w:ascii="仿宋" w:hAnsi="仿宋" w:eastAsia="仿宋" w:cs="仿宋"/>
                <w:bCs/>
                <w:szCs w:val="21"/>
                <w:highlight w:val="none"/>
              </w:rPr>
              <w:t>一览表</w:t>
            </w:r>
          </w:p>
        </w:tc>
      </w:tr>
      <w:tr w14:paraId="7046C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10" w:type="dxa"/>
            <w:gridSpan w:val="2"/>
            <w:tcBorders>
              <w:top w:val="single" w:color="auto" w:sz="4" w:space="0"/>
              <w:left w:val="single" w:color="auto" w:sz="4" w:space="0"/>
              <w:right w:val="single" w:color="auto" w:sz="4" w:space="0"/>
            </w:tcBorders>
            <w:noWrap/>
            <w:vAlign w:val="center"/>
          </w:tcPr>
          <w:p w14:paraId="0714BDB9">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分标</w:t>
            </w:r>
          </w:p>
        </w:tc>
        <w:tc>
          <w:tcPr>
            <w:tcW w:w="2711" w:type="dxa"/>
            <w:gridSpan w:val="2"/>
            <w:tcBorders>
              <w:top w:val="single" w:color="auto" w:sz="4" w:space="0"/>
              <w:left w:val="single" w:color="auto" w:sz="4" w:space="0"/>
              <w:right w:val="single" w:color="auto" w:sz="4" w:space="0"/>
            </w:tcBorders>
            <w:noWrap/>
            <w:vAlign w:val="center"/>
          </w:tcPr>
          <w:p w14:paraId="10589BD9">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分标1、分标2、分标3</w:t>
            </w:r>
          </w:p>
        </w:tc>
      </w:tr>
      <w:tr w14:paraId="6F878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10" w:type="dxa"/>
            <w:gridSpan w:val="2"/>
            <w:tcBorders>
              <w:top w:val="single" w:color="auto" w:sz="4" w:space="0"/>
              <w:left w:val="single" w:color="auto" w:sz="4" w:space="0"/>
              <w:bottom w:val="single" w:color="auto" w:sz="4" w:space="0"/>
              <w:right w:val="single" w:color="auto" w:sz="4" w:space="0"/>
            </w:tcBorders>
            <w:noWrap/>
            <w:vAlign w:val="center"/>
          </w:tcPr>
          <w:p w14:paraId="4D7A4C9A">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技术要求</w:t>
            </w:r>
          </w:p>
        </w:tc>
        <w:tc>
          <w:tcPr>
            <w:tcW w:w="1314" w:type="dxa"/>
            <w:tcBorders>
              <w:top w:val="single" w:color="auto" w:sz="4" w:space="0"/>
              <w:left w:val="single" w:color="auto" w:sz="4" w:space="0"/>
              <w:bottom w:val="single" w:color="auto" w:sz="4" w:space="0"/>
              <w:right w:val="single" w:color="auto" w:sz="4" w:space="0"/>
            </w:tcBorders>
            <w:noWrap/>
            <w:vAlign w:val="center"/>
          </w:tcPr>
          <w:p w14:paraId="24754E75">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各分标最高限价（元）</w:t>
            </w:r>
          </w:p>
        </w:tc>
        <w:tc>
          <w:tcPr>
            <w:tcW w:w="1397" w:type="dxa"/>
            <w:tcBorders>
              <w:top w:val="single" w:color="auto" w:sz="4" w:space="0"/>
              <w:left w:val="single" w:color="auto" w:sz="4" w:space="0"/>
              <w:bottom w:val="single" w:color="auto" w:sz="4" w:space="0"/>
              <w:right w:val="single" w:color="auto" w:sz="4" w:space="0"/>
            </w:tcBorders>
            <w:noWrap/>
            <w:vAlign w:val="center"/>
          </w:tcPr>
          <w:p w14:paraId="037D755E">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中小企业划分标准所属行业名称</w:t>
            </w:r>
          </w:p>
        </w:tc>
      </w:tr>
      <w:tr w14:paraId="31ABC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10" w:type="dxa"/>
            <w:gridSpan w:val="2"/>
            <w:tcBorders>
              <w:top w:val="single" w:color="auto" w:sz="4" w:space="0"/>
              <w:left w:val="single" w:color="auto" w:sz="4" w:space="0"/>
              <w:right w:val="single" w:color="auto" w:sz="4" w:space="0"/>
            </w:tcBorders>
            <w:noWrap/>
          </w:tcPr>
          <w:p w14:paraId="0B193BB4">
            <w:pPr>
              <w:spacing w:line="360" w:lineRule="auto"/>
              <w:rPr>
                <w:rFonts w:ascii="仿宋" w:hAnsi="仿宋" w:eastAsia="仿宋" w:cs="仿宋"/>
                <w:b/>
                <w:szCs w:val="21"/>
                <w:highlight w:val="none"/>
              </w:rPr>
            </w:pPr>
            <w:r>
              <w:rPr>
                <w:rFonts w:hint="eastAsia" w:ascii="仿宋" w:hAnsi="仿宋" w:eastAsia="仿宋" w:cs="仿宋"/>
                <w:b/>
                <w:szCs w:val="21"/>
                <w:highlight w:val="none"/>
              </w:rPr>
              <w:t>一、项目概述</w:t>
            </w:r>
          </w:p>
          <w:p w14:paraId="0F9B6171">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为全面落实军休干部政治待遇和生活待遇，保障其身体健康，做到疾病早诊断、早预防、早治疗，现对2026年军休干部体检服务进行采购。本项目共分为3个标段，每个标段确定1家健康体检服务机构，每个标段服务人数暂定为119人（服务人数为预估数量，最终以实际体检人数为准）。</w:t>
            </w:r>
          </w:p>
          <w:p w14:paraId="0DD85411">
            <w:pPr>
              <w:spacing w:line="360" w:lineRule="auto"/>
              <w:rPr>
                <w:rFonts w:ascii="仿宋" w:hAnsi="仿宋" w:eastAsia="仿宋" w:cs="仿宋"/>
                <w:b/>
                <w:szCs w:val="21"/>
                <w:highlight w:val="none"/>
              </w:rPr>
            </w:pPr>
            <w:r>
              <w:rPr>
                <w:rFonts w:hint="eastAsia" w:ascii="仿宋" w:hAnsi="仿宋" w:eastAsia="仿宋" w:cs="仿宋"/>
                <w:b/>
                <w:szCs w:val="21"/>
                <w:highlight w:val="none"/>
              </w:rPr>
              <w:t>▲二、服务内容</w:t>
            </w:r>
          </w:p>
          <w:p w14:paraId="09CD63CC">
            <w:pPr>
              <w:spacing w:line="360" w:lineRule="auto"/>
              <w:ind w:firstLine="420" w:firstLineChars="200"/>
              <w:rPr>
                <w:rFonts w:ascii="仿宋" w:hAnsi="仿宋" w:eastAsia="仿宋" w:cs="仿宋"/>
                <w:b/>
                <w:szCs w:val="21"/>
                <w:highlight w:val="none"/>
              </w:rPr>
            </w:pPr>
            <w:r>
              <w:rPr>
                <w:rFonts w:hint="eastAsia" w:ascii="仿宋" w:hAnsi="仿宋" w:eastAsia="仿宋" w:cs="仿宋"/>
                <w:bCs/>
                <w:szCs w:val="21"/>
                <w:highlight w:val="none"/>
              </w:rPr>
              <w:t>为军休干部提供健康体检服务，服务内容包括但不限于：体检组织、现场检查、结果分析、健康建议及异常情况提醒等工作。</w:t>
            </w:r>
            <w:r>
              <w:rPr>
                <w:rFonts w:hint="eastAsia" w:ascii="仿宋" w:hAnsi="仿宋" w:eastAsia="仿宋" w:cs="仿宋"/>
                <w:bCs/>
                <w:szCs w:val="21"/>
                <w:highlight w:val="none"/>
                <w:lang w:eastAsia="zh-CN"/>
              </w:rPr>
              <w:t>投标人</w:t>
            </w:r>
            <w:r>
              <w:rPr>
                <w:rFonts w:hint="eastAsia" w:ascii="仿宋" w:hAnsi="仿宋" w:eastAsia="仿宋" w:cs="仿宋"/>
                <w:bCs/>
                <w:szCs w:val="21"/>
                <w:highlight w:val="none"/>
              </w:rPr>
              <w:t>需合理安排体检批次，确保流程规范、服务优质，并对体检信息保密。体检内容详见附件</w:t>
            </w:r>
            <w:r>
              <w:rPr>
                <w:rFonts w:hint="eastAsia" w:ascii="仿宋" w:hAnsi="仿宋" w:eastAsia="仿宋" w:cs="仿宋"/>
                <w:bCs/>
                <w:szCs w:val="21"/>
                <w:highlight w:val="none"/>
                <w:lang w:val="en-US" w:eastAsia="zh-CN"/>
              </w:rPr>
              <w:t>三</w:t>
            </w:r>
            <w:r>
              <w:rPr>
                <w:rFonts w:hint="eastAsia" w:ascii="仿宋" w:hAnsi="仿宋" w:eastAsia="仿宋" w:cs="仿宋"/>
                <w:bCs/>
                <w:szCs w:val="21"/>
                <w:highlight w:val="none"/>
              </w:rPr>
              <w:t>。</w:t>
            </w:r>
          </w:p>
          <w:p w14:paraId="11F7C3AD">
            <w:pPr>
              <w:spacing w:line="360" w:lineRule="auto"/>
              <w:rPr>
                <w:rFonts w:ascii="仿宋" w:hAnsi="仿宋" w:eastAsia="仿宋" w:cs="仿宋"/>
                <w:b/>
                <w:szCs w:val="21"/>
                <w:highlight w:val="none"/>
              </w:rPr>
            </w:pPr>
            <w:r>
              <w:rPr>
                <w:rFonts w:hint="eastAsia" w:ascii="仿宋" w:hAnsi="仿宋" w:eastAsia="仿宋" w:cs="仿宋"/>
                <w:b/>
                <w:szCs w:val="21"/>
                <w:highlight w:val="none"/>
              </w:rPr>
              <w:t>▲三、工作准则</w:t>
            </w:r>
          </w:p>
          <w:p w14:paraId="119E6292">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1.必须符合国家医疗行业规定，</w:t>
            </w:r>
            <w:r>
              <w:rPr>
                <w:rFonts w:hint="eastAsia" w:ascii="仿宋" w:hAnsi="仿宋" w:eastAsia="仿宋" w:cs="仿宋"/>
                <w:bCs/>
                <w:szCs w:val="21"/>
                <w:highlight w:val="none"/>
                <w:lang w:eastAsia="zh-CN"/>
              </w:rPr>
              <w:t>投标人</w:t>
            </w:r>
            <w:r>
              <w:rPr>
                <w:rFonts w:hint="eastAsia" w:ascii="仿宋" w:hAnsi="仿宋" w:eastAsia="仿宋" w:cs="仿宋"/>
                <w:bCs/>
                <w:szCs w:val="21"/>
                <w:highlight w:val="none"/>
              </w:rPr>
              <w:t>必须在《医疗机构管理办法》《中华人民共和国执业医师法》《健康体检管理暂行规定》等法规下进行体检服务工作。</w:t>
            </w:r>
          </w:p>
          <w:p w14:paraId="59574720">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w:t>
            </w:r>
            <w:r>
              <w:rPr>
                <w:rFonts w:hint="eastAsia" w:ascii="仿宋" w:hAnsi="仿宋" w:eastAsia="仿宋" w:cs="仿宋"/>
                <w:bCs/>
                <w:szCs w:val="21"/>
                <w:highlight w:val="none"/>
                <w:lang w:eastAsia="zh-CN"/>
              </w:rPr>
              <w:t>投标人</w:t>
            </w:r>
            <w:r>
              <w:rPr>
                <w:rFonts w:hint="eastAsia" w:ascii="仿宋" w:hAnsi="仿宋" w:eastAsia="仿宋" w:cs="仿宋"/>
                <w:bCs/>
                <w:szCs w:val="21"/>
                <w:highlight w:val="none"/>
              </w:rPr>
              <w:t>须具备履行本合同所必需的设备和专业技术能力，具体如下：</w:t>
            </w:r>
          </w:p>
          <w:p w14:paraId="77B6FBED">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（1）服务场所：在南宁市区内拥有固定的独立体检场所，且场所环境符合国家医疗管理规范；</w:t>
            </w:r>
          </w:p>
          <w:p w14:paraId="2B59B8FC">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（2）人员配置：配备与本次体检套餐各项目相对应的、具有合法执业资格的医师、技师及护士团队；</w:t>
            </w:r>
          </w:p>
          <w:p w14:paraId="68CEFB22">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（3）设施设备：配置能够完全满足本套餐内所有体检项目检查需求的专用医疗设备。</w:t>
            </w:r>
          </w:p>
          <w:p w14:paraId="500C1B14">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3.承诺严格按照体检技术指标和操作规范开展服务，确保体检质量符合行业标准；检查结果准确、可追溯；不漏检、不误检、不擅自调整项目；尊重个人隐私权，体检资料严格保密，未经体检人本人同意不得向第三方透露。</w:t>
            </w:r>
          </w:p>
          <w:p w14:paraId="66DD491B">
            <w:pPr>
              <w:spacing w:line="360" w:lineRule="auto"/>
              <w:rPr>
                <w:rFonts w:ascii="仿宋" w:hAnsi="仿宋" w:eastAsia="仿宋" w:cs="仿宋"/>
                <w:b/>
                <w:szCs w:val="21"/>
                <w:highlight w:val="none"/>
              </w:rPr>
            </w:pPr>
            <w:r>
              <w:rPr>
                <w:rFonts w:hint="eastAsia" w:ascii="仿宋" w:hAnsi="仿宋" w:eastAsia="仿宋" w:cs="仿宋"/>
                <w:b/>
                <w:szCs w:val="21"/>
                <w:highlight w:val="none"/>
              </w:rPr>
              <w:t>四、设备要求</w:t>
            </w:r>
          </w:p>
          <w:p w14:paraId="1F5AA08F">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具备专业的体检设施设备且符合相关行业技术要求；严格按照体检操作规程，保证仪器设备的正常使用。体检设备配置基本合理，满足常规体检项目的开展，设备性能优良（仪器校准合格证均在有效期内）。</w:t>
            </w:r>
          </w:p>
          <w:p w14:paraId="578224DF">
            <w:pPr>
              <w:spacing w:line="360" w:lineRule="auto"/>
              <w:rPr>
                <w:rFonts w:ascii="仿宋" w:hAnsi="仿宋" w:eastAsia="仿宋" w:cs="仿宋"/>
                <w:b/>
                <w:szCs w:val="21"/>
                <w:highlight w:val="none"/>
              </w:rPr>
            </w:pPr>
            <w:r>
              <w:rPr>
                <w:rFonts w:hint="eastAsia" w:ascii="仿宋" w:hAnsi="仿宋" w:eastAsia="仿宋" w:cs="仿宋"/>
                <w:b/>
                <w:szCs w:val="21"/>
                <w:highlight w:val="none"/>
              </w:rPr>
              <w:t>五、工作要求</w:t>
            </w:r>
          </w:p>
          <w:p w14:paraId="74EC16BC">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按行业技术标准，按既定体检套餐内容，规范开展体检服务。具体要求如下：</w:t>
            </w:r>
          </w:p>
          <w:p w14:paraId="3010E5EC">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1.项目执行</w:t>
            </w:r>
          </w:p>
          <w:p w14:paraId="60B14462">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严格按照套餐所列项目及检查内容执行，不得擅自增减或替换项目；各项目检查须由相应资质的医师或技师操作；检查过程应符合医疗操作规程，确保受检者安全。</w:t>
            </w:r>
          </w:p>
          <w:p w14:paraId="4F243B9F">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2.质量控制</w:t>
            </w:r>
          </w:p>
          <w:p w14:paraId="23C12E40">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建立内部质量控制制度，对检验、影像等结果进行复核；确保检验结果的准确性和可重复性；影像资料应清晰、完整，符合诊断要求。</w:t>
            </w:r>
          </w:p>
          <w:p w14:paraId="42B9129F">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3.异常结果管理</w:t>
            </w:r>
          </w:p>
          <w:p w14:paraId="1F415B24">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对体检过程中发现的疑似重大疾病（如肿瘤标志物显著升高、影像学占位性病变、严重心电异常等）必须做好登记；对体检过程中发现的危急值（可能立即威胁生命）须在24小时内通知体检人或其家属；对异常值及可疑癌等暂无立即生命危险的情形，须在总检结论出具后72小时内通知到位，并均做好登记、建立跟踪机制，必要时协助联系后续诊疗。</w:t>
            </w:r>
          </w:p>
          <w:p w14:paraId="3260A93E">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4.报告管理</w:t>
            </w:r>
          </w:p>
          <w:p w14:paraId="60CCCE11">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体检结束后，应在约定时间内出具规范、完整、可读的体检报告。报告应包括：各项检查结果、参考范围、异常提示、总检结论及建议；提供报告解读服务（可现场或电话咨询）。</w:t>
            </w:r>
          </w:p>
          <w:p w14:paraId="500305EB">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5.隐私保护</w:t>
            </w:r>
          </w:p>
          <w:p w14:paraId="27168514">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所有体检资料（包括电子和纸质）须专人保管，防止泄露；未经本人书面授权，不得向任何单位或个人提供体检信息；涉及传染病、职业病等法定报告项目，按规定程序上报，同时做好隐私保护。</w:t>
            </w:r>
          </w:p>
          <w:p w14:paraId="1B487B7F">
            <w:pPr>
              <w:spacing w:line="360" w:lineRule="auto"/>
              <w:rPr>
                <w:rFonts w:ascii="仿宋" w:hAnsi="仿宋" w:eastAsia="仿宋" w:cs="仿宋"/>
                <w:b/>
                <w:szCs w:val="21"/>
                <w:highlight w:val="none"/>
              </w:rPr>
            </w:pPr>
            <w:r>
              <w:rPr>
                <w:rFonts w:hint="eastAsia" w:ascii="仿宋" w:hAnsi="仿宋" w:eastAsia="仿宋" w:cs="仿宋"/>
                <w:szCs w:val="21"/>
                <w:highlight w:val="none"/>
              </w:rPr>
              <w:t>▲</w:t>
            </w:r>
            <w:r>
              <w:rPr>
                <w:rFonts w:hint="eastAsia" w:ascii="仿宋" w:hAnsi="仿宋" w:eastAsia="仿宋" w:cs="仿宋"/>
                <w:b/>
                <w:szCs w:val="21"/>
                <w:highlight w:val="none"/>
              </w:rPr>
              <w:t>六、体检选择方式</w:t>
            </w:r>
          </w:p>
          <w:p w14:paraId="608A7C37">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1.由军休干部在各分标</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中自主选择一家进行体检。具体流程如下：</w:t>
            </w:r>
          </w:p>
          <w:p w14:paraId="6C616923">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（1）采购人向军休干部公布各分标</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的名单、体检套餐内容、</w:t>
            </w:r>
            <w:r>
              <w:rPr>
                <w:rFonts w:hint="eastAsia" w:ascii="仿宋" w:hAnsi="仿宋" w:eastAsia="仿宋" w:cs="仿宋"/>
                <w:bCs/>
                <w:szCs w:val="21"/>
                <w:highlight w:val="none"/>
                <w:lang w:eastAsia="zh-CN"/>
              </w:rPr>
              <w:t>中标单价</w:t>
            </w:r>
            <w:r>
              <w:rPr>
                <w:rFonts w:hint="eastAsia" w:ascii="仿宋" w:hAnsi="仿宋" w:eastAsia="仿宋" w:cs="仿宋"/>
                <w:bCs/>
                <w:szCs w:val="21"/>
                <w:highlight w:val="none"/>
              </w:rPr>
              <w:t>、服务承诺、体检场所位置等信息；</w:t>
            </w:r>
          </w:p>
          <w:p w14:paraId="60BC000B">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（2）军休干部根据个人意愿和实际情况，自主选择其中一家</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前往体检；</w:t>
            </w:r>
          </w:p>
          <w:p w14:paraId="246A9D17">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（3）各</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应自行接待前往体检的军休干部，并记录参检人数。</w:t>
            </w:r>
          </w:p>
          <w:p w14:paraId="5B4B38AF">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2.采购人不承诺、不保证各</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的最低服务工作量，亦不负责汇总统计各</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的实际参检人数。各</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最终承接的体检人数，以军休干部实际前往该机构体检的人数为准。结算金额按“</w:t>
            </w:r>
            <w:r>
              <w:rPr>
                <w:rFonts w:hint="eastAsia" w:ascii="仿宋" w:hAnsi="仿宋" w:eastAsia="仿宋" w:cs="仿宋"/>
                <w:bCs/>
                <w:szCs w:val="21"/>
                <w:highlight w:val="none"/>
                <w:lang w:eastAsia="zh-CN"/>
              </w:rPr>
              <w:t>中标单价</w:t>
            </w:r>
            <w:r>
              <w:rPr>
                <w:rFonts w:hint="eastAsia" w:ascii="仿宋" w:hAnsi="仿宋" w:eastAsia="仿宋" w:cs="仿宋"/>
                <w:bCs/>
                <w:szCs w:val="21"/>
                <w:highlight w:val="none"/>
              </w:rPr>
              <w:t>×实际参检人数”计算。</w:t>
            </w:r>
          </w:p>
          <w:p w14:paraId="16BB1676">
            <w:pPr>
              <w:spacing w:line="360" w:lineRule="auto"/>
              <w:rPr>
                <w:rFonts w:ascii="仿宋" w:hAnsi="仿宋" w:eastAsia="仿宋" w:cs="仿宋"/>
                <w:b/>
                <w:szCs w:val="21"/>
                <w:highlight w:val="none"/>
              </w:rPr>
            </w:pPr>
            <w:r>
              <w:rPr>
                <w:rFonts w:hint="eastAsia" w:ascii="仿宋" w:hAnsi="仿宋" w:eastAsia="仿宋" w:cs="仿宋"/>
                <w:b/>
                <w:szCs w:val="21"/>
                <w:highlight w:val="none"/>
              </w:rPr>
              <w:t>七、禁止转包</w:t>
            </w:r>
          </w:p>
          <w:p w14:paraId="03711397">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不得将服务转包或分包给第三方机构。所有体检项目须在</w:t>
            </w:r>
            <w:r>
              <w:rPr>
                <w:rFonts w:hint="eastAsia" w:ascii="仿宋" w:hAnsi="仿宋" w:eastAsia="仿宋" w:cs="仿宋"/>
                <w:bCs/>
                <w:szCs w:val="21"/>
                <w:highlight w:val="none"/>
                <w:lang w:eastAsia="zh-CN"/>
              </w:rPr>
              <w:t>中标供应商</w:t>
            </w:r>
            <w:r>
              <w:rPr>
                <w:rFonts w:hint="eastAsia" w:ascii="仿宋" w:hAnsi="仿宋" w:eastAsia="仿宋" w:cs="仿宋"/>
                <w:bCs/>
                <w:szCs w:val="21"/>
                <w:highlight w:val="none"/>
              </w:rPr>
              <w:t>提供的体检场所（南宁市区内）开展，确保服务的一致性、可控性和医疗质量安全。</w:t>
            </w:r>
          </w:p>
          <w:p w14:paraId="25330C84">
            <w:pPr>
              <w:spacing w:line="360" w:lineRule="auto"/>
              <w:ind w:firstLine="420" w:firstLineChars="200"/>
              <w:rPr>
                <w:rFonts w:ascii="仿宋" w:hAnsi="仿宋" w:eastAsia="仿宋" w:cs="仿宋"/>
                <w:bCs/>
                <w:szCs w:val="21"/>
                <w:highlight w:val="none"/>
              </w:rPr>
            </w:pPr>
            <w:r>
              <w:rPr>
                <w:rFonts w:hint="eastAsia" w:ascii="仿宋" w:hAnsi="仿宋" w:eastAsia="仿宋" w:cs="仿宋"/>
                <w:bCs/>
                <w:szCs w:val="21"/>
                <w:highlight w:val="none"/>
              </w:rPr>
              <w:t>如因特殊原因确需外送检测项目（如部分特殊检验），须在</w:t>
            </w:r>
            <w:r>
              <w:rPr>
                <w:rFonts w:hint="eastAsia" w:ascii="仿宋" w:hAnsi="仿宋" w:eastAsia="仿宋" w:cs="仿宋"/>
                <w:bCs/>
                <w:szCs w:val="21"/>
                <w:highlight w:val="none"/>
                <w:lang w:eastAsia="zh-CN"/>
              </w:rPr>
              <w:t>投标文件</w:t>
            </w:r>
            <w:r>
              <w:rPr>
                <w:rFonts w:hint="eastAsia" w:ascii="仿宋" w:hAnsi="仿宋" w:eastAsia="仿宋" w:cs="仿宋"/>
                <w:bCs/>
                <w:szCs w:val="21"/>
                <w:highlight w:val="none"/>
              </w:rPr>
              <w:t>中明确说明，并经采购人书面同意后方可实施，且外送机构须具备相应资质，检测结果仍由投标人负责审核和解释。</w:t>
            </w:r>
          </w:p>
        </w:tc>
        <w:tc>
          <w:tcPr>
            <w:tcW w:w="1314" w:type="dxa"/>
            <w:tcBorders>
              <w:top w:val="single" w:color="auto" w:sz="4" w:space="0"/>
              <w:left w:val="single" w:color="auto" w:sz="4" w:space="0"/>
              <w:bottom w:val="single" w:color="auto" w:sz="4" w:space="0"/>
              <w:right w:val="single" w:color="auto" w:sz="4" w:space="0"/>
            </w:tcBorders>
            <w:noWrap/>
            <w:vAlign w:val="center"/>
          </w:tcPr>
          <w:p w14:paraId="769B6A65">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178000.00</w:t>
            </w:r>
          </w:p>
        </w:tc>
        <w:tc>
          <w:tcPr>
            <w:tcW w:w="1397" w:type="dxa"/>
            <w:tcBorders>
              <w:top w:val="single" w:color="auto" w:sz="4" w:space="0"/>
              <w:left w:val="single" w:color="auto" w:sz="4" w:space="0"/>
              <w:right w:val="single" w:color="auto" w:sz="4" w:space="0"/>
            </w:tcBorders>
            <w:noWrap/>
            <w:vAlign w:val="center"/>
          </w:tcPr>
          <w:p w14:paraId="289799D5">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其他未列明行业</w:t>
            </w:r>
          </w:p>
        </w:tc>
      </w:tr>
      <w:tr w14:paraId="70089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2D59576D">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商务条款（分标1、2、3通用）</w:t>
            </w:r>
          </w:p>
        </w:tc>
        <w:tc>
          <w:tcPr>
            <w:tcW w:w="8518" w:type="dxa"/>
            <w:gridSpan w:val="3"/>
            <w:tcBorders>
              <w:top w:val="single" w:color="auto" w:sz="4" w:space="0"/>
              <w:left w:val="single" w:color="auto" w:sz="4" w:space="0"/>
              <w:bottom w:val="single" w:color="auto" w:sz="4" w:space="0"/>
              <w:right w:val="single" w:color="auto" w:sz="4" w:space="0"/>
            </w:tcBorders>
            <w:noWrap/>
          </w:tcPr>
          <w:p w14:paraId="2A3BA223">
            <w:pPr>
              <w:widowControl/>
              <w:spacing w:line="400" w:lineRule="atLeast"/>
              <w:contextualSpacing/>
              <w:rPr>
                <w:rFonts w:ascii="仿宋" w:hAnsi="仿宋" w:eastAsia="仿宋" w:cs="仿宋"/>
                <w:szCs w:val="21"/>
                <w:highlight w:val="none"/>
              </w:rPr>
            </w:pPr>
            <w:bookmarkStart w:id="9" w:name="_top"/>
            <w:bookmarkEnd w:id="9"/>
            <w:r>
              <w:rPr>
                <w:rFonts w:hint="eastAsia" w:ascii="仿宋" w:hAnsi="仿宋" w:eastAsia="仿宋" w:cs="仿宋"/>
                <w:b/>
                <w:bCs/>
                <w:szCs w:val="21"/>
                <w:highlight w:val="none"/>
              </w:rPr>
              <w:t>一、合同签订时间：</w:t>
            </w:r>
            <w:r>
              <w:rPr>
                <w:rFonts w:hint="eastAsia" w:ascii="仿宋" w:hAnsi="仿宋" w:eastAsia="仿宋" w:cs="仿宋"/>
                <w:szCs w:val="21"/>
                <w:highlight w:val="none"/>
              </w:rPr>
              <w:t>自成交通知书发出之日起25日内。</w:t>
            </w:r>
          </w:p>
          <w:p w14:paraId="4E7FC0A3">
            <w:pPr>
              <w:widowControl/>
              <w:spacing w:line="400" w:lineRule="atLeast"/>
              <w:contextualSpacing/>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b/>
                <w:bCs/>
                <w:szCs w:val="21"/>
                <w:highlight w:val="none"/>
              </w:rPr>
              <w:t>二、服务期限（合同履行期限）：</w:t>
            </w:r>
            <w:r>
              <w:rPr>
                <w:rFonts w:hint="eastAsia" w:ascii="仿宋" w:hAnsi="仿宋" w:eastAsia="仿宋" w:cs="仿宋"/>
                <w:szCs w:val="21"/>
                <w:highlight w:val="none"/>
              </w:rPr>
              <w:t>自合同签订之日起至2026年12月31日。</w:t>
            </w:r>
          </w:p>
          <w:p w14:paraId="20BE631C">
            <w:pPr>
              <w:widowControl/>
              <w:spacing w:line="400" w:lineRule="atLeast"/>
              <w:contextualSpacing/>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b/>
                <w:bCs/>
                <w:szCs w:val="21"/>
                <w:highlight w:val="none"/>
              </w:rPr>
              <w:t>三、服务地点：</w:t>
            </w:r>
            <w:r>
              <w:rPr>
                <w:rFonts w:hint="eastAsia" w:ascii="仿宋" w:hAnsi="仿宋" w:eastAsia="仿宋" w:cs="仿宋"/>
                <w:szCs w:val="21"/>
                <w:highlight w:val="none"/>
              </w:rPr>
              <w:t>广西壮族自治区南宁市市区内。</w:t>
            </w:r>
          </w:p>
          <w:p w14:paraId="0D71F54A">
            <w:pPr>
              <w:widowControl/>
              <w:spacing w:line="400" w:lineRule="atLeast"/>
              <w:contextualSpacing/>
              <w:rPr>
                <w:rFonts w:ascii="仿宋" w:hAnsi="仿宋" w:eastAsia="仿宋" w:cs="仿宋"/>
                <w:b/>
                <w:bCs/>
                <w:szCs w:val="21"/>
                <w:highlight w:val="none"/>
              </w:rPr>
            </w:pPr>
            <w:r>
              <w:rPr>
                <w:rFonts w:hint="eastAsia" w:ascii="仿宋" w:hAnsi="仿宋" w:eastAsia="仿宋" w:cs="仿宋"/>
                <w:b/>
                <w:bCs/>
                <w:szCs w:val="21"/>
                <w:highlight w:val="none"/>
              </w:rPr>
              <w:t>▲四、报价要求：</w:t>
            </w:r>
          </w:p>
          <w:p w14:paraId="73A5A401">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1.报价方式</w:t>
            </w:r>
          </w:p>
          <w:p w14:paraId="23C620A2">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（1）本项目采用固定单价方式确定结算依据，同时要求</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填报各套餐的固定单价及按预估人数计算的暂定总价。</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应根据《采购需求》及其附件中明确的体检套餐内容，结合自身经营成本、市场行情及合理利润等因素，自主填报各套餐的固定单价及按预估人数计算的总价。</w:t>
            </w:r>
          </w:p>
          <w:p w14:paraId="0667CC25">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（2）最终结算金额计算公式为：结算金额=</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×实际参加体检总人数。</w:t>
            </w:r>
          </w:p>
          <w:p w14:paraId="31FFCE12">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2.报价原则</w:t>
            </w:r>
          </w:p>
          <w:p w14:paraId="570601EC">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（1）本项目设置最高限价（控制价）为：各分标</w:t>
            </w: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总价≤178000.00元。</w:t>
            </w:r>
          </w:p>
          <w:p w14:paraId="1339C858">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超过最高限价的，视为未实质响应</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文件要求，按无效响应处理。</w:t>
            </w:r>
          </w:p>
          <w:p w14:paraId="270A69D2">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为包干价，应包含完成本项目体检服务所需的一切费用。合同服务期内，</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不予调整。</w:t>
            </w:r>
          </w:p>
          <w:p w14:paraId="201D0133">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3.费用构成</w:t>
            </w:r>
          </w:p>
          <w:p w14:paraId="21B17C2C">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应包含但不限于以下所有费用：</w:t>
            </w:r>
          </w:p>
          <w:p w14:paraId="1A763E37">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（1）体检服务费：包括检查、化验、医师诊断、报告编制及解读等费用；</w:t>
            </w:r>
          </w:p>
          <w:p w14:paraId="7FC3742F">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（2）材料费：包括一次性消耗材料、试剂、设备折旧、表格及报告纸张等费用；</w:t>
            </w:r>
          </w:p>
          <w:p w14:paraId="646B50A4">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（3）管理费：包括医疗垃圾处置、现场组织管理、早餐供应（如有）等费用；</w:t>
            </w:r>
          </w:p>
          <w:p w14:paraId="4E9472E3">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（4）其他费用：与本项目服务相关的全部费用，以及政策性文件规定及合同约定的所有风险、责任等费用。</w:t>
            </w:r>
          </w:p>
          <w:p w14:paraId="4DDF5C54">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（5）除合同另有约定外，采购人不再支付任何额外费用。</w:t>
            </w:r>
          </w:p>
          <w:p w14:paraId="774AA647">
            <w:pPr>
              <w:widowControl/>
              <w:spacing w:line="400" w:lineRule="atLeast"/>
              <w:contextualSpacing/>
              <w:rPr>
                <w:rFonts w:ascii="仿宋" w:hAnsi="仿宋" w:eastAsia="仿宋" w:cs="仿宋"/>
                <w:szCs w:val="21"/>
                <w:highlight w:val="none"/>
              </w:rPr>
            </w:pPr>
            <w:r>
              <w:rPr>
                <w:rFonts w:hint="eastAsia" w:ascii="仿宋" w:hAnsi="仿宋" w:eastAsia="仿宋" w:cs="仿宋"/>
                <w:b/>
                <w:bCs/>
                <w:szCs w:val="21"/>
                <w:highlight w:val="none"/>
              </w:rPr>
              <w:t>▲五、服务质量：</w:t>
            </w:r>
            <w:r>
              <w:rPr>
                <w:rFonts w:hint="eastAsia" w:ascii="仿宋" w:hAnsi="仿宋" w:eastAsia="仿宋" w:cs="仿宋"/>
                <w:szCs w:val="21"/>
                <w:highlight w:val="none"/>
              </w:rPr>
              <w:t>符合现行国家相关标准、行业标准、地方标准或者其他标准、规范。</w:t>
            </w:r>
          </w:p>
          <w:p w14:paraId="19E2C589">
            <w:pPr>
              <w:widowControl/>
              <w:spacing w:line="400" w:lineRule="atLeast"/>
              <w:contextualSpacing/>
              <w:rPr>
                <w:rFonts w:ascii="仿宋" w:hAnsi="仿宋" w:eastAsia="仿宋" w:cs="仿宋"/>
                <w:b/>
                <w:bCs/>
                <w:szCs w:val="21"/>
                <w:highlight w:val="none"/>
              </w:rPr>
            </w:pPr>
            <w:r>
              <w:rPr>
                <w:rFonts w:hint="eastAsia" w:ascii="仿宋" w:hAnsi="仿宋" w:eastAsia="仿宋" w:cs="仿宋"/>
                <w:b/>
                <w:bCs/>
                <w:szCs w:val="21"/>
                <w:highlight w:val="none"/>
              </w:rPr>
              <w:t>▲六、付款方式</w:t>
            </w:r>
          </w:p>
          <w:p w14:paraId="66D5529E">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1.本项目无预付款。采购人在收到完整版体检资料后，按双方确认的实际体检人数和</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的最终</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结算体检费用，并在结算完成后20个工作日内通过转账方式一次性支付体检费用款项给</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收到款项后须按国家要求开具正式发票。</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如未按合同履约的，视为违约，采购人有权暂缓支付体检费用直至履约完成之日止，并不承担逾期付款的违约责任。如造成法律规定的损害的，采购人有权追究</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法律责任。</w:t>
            </w:r>
          </w:p>
          <w:p w14:paraId="633EC3AD">
            <w:pPr>
              <w:adjustRightInd w:val="0"/>
              <w:snapToGrid w:val="0"/>
              <w:spacing w:line="360" w:lineRule="atLeast"/>
              <w:ind w:firstLine="420" w:firstLineChars="200"/>
              <w:textAlignment w:val="baseline"/>
              <w:rPr>
                <w:rFonts w:ascii="仿宋" w:hAnsi="仿宋" w:eastAsia="仿宋" w:cs="仿宋"/>
                <w:szCs w:val="21"/>
                <w:highlight w:val="none"/>
              </w:rPr>
            </w:pPr>
            <w:r>
              <w:rPr>
                <w:rFonts w:hint="eastAsia" w:ascii="仿宋" w:hAnsi="仿宋" w:eastAsia="仿宋" w:cs="仿宋"/>
                <w:szCs w:val="21"/>
                <w:highlight w:val="none"/>
              </w:rPr>
              <w:t>2.结算金额按以下公式计算：结算金额=各分标</w:t>
            </w:r>
            <w:r>
              <w:rPr>
                <w:rFonts w:hint="eastAsia" w:ascii="仿宋" w:hAnsi="仿宋" w:eastAsia="仿宋" w:cs="仿宋"/>
                <w:szCs w:val="21"/>
                <w:highlight w:val="none"/>
                <w:lang w:eastAsia="zh-CN"/>
              </w:rPr>
              <w:t>中标供应商中标单价</w:t>
            </w:r>
            <w:r>
              <w:rPr>
                <w:rFonts w:hint="eastAsia" w:ascii="仿宋" w:hAnsi="仿宋" w:eastAsia="仿宋" w:cs="仿宋"/>
                <w:szCs w:val="21"/>
                <w:highlight w:val="none"/>
              </w:rPr>
              <w:t>×实际前往该机构体检的人数。实际体检人数以各</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实际接待并完成体检的军休干部人数为准，由采购人与各</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共同核对确认。</w:t>
            </w:r>
          </w:p>
          <w:p w14:paraId="5C501D26">
            <w:pPr>
              <w:widowControl/>
              <w:spacing w:line="400" w:lineRule="atLeast"/>
              <w:contextualSpacing/>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b/>
                <w:bCs/>
                <w:szCs w:val="21"/>
                <w:highlight w:val="none"/>
              </w:rPr>
              <w:t>七、采购标的验收要求：</w:t>
            </w:r>
          </w:p>
          <w:p w14:paraId="03D76F7F">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1.验收过程所产生的一切费用均由</w:t>
            </w:r>
            <w:r>
              <w:rPr>
                <w:rFonts w:hint="eastAsia" w:ascii="仿宋" w:hAnsi="仿宋" w:eastAsia="仿宋" w:cs="仿宋"/>
                <w:szCs w:val="21"/>
                <w:highlight w:val="none"/>
                <w:lang w:eastAsia="zh-CN"/>
              </w:rPr>
              <w:t>中标供应商</w:t>
            </w:r>
            <w:r>
              <w:rPr>
                <w:rFonts w:hint="eastAsia" w:ascii="仿宋" w:hAnsi="仿宋" w:eastAsia="仿宋" w:cs="仿宋"/>
                <w:szCs w:val="21"/>
                <w:highlight w:val="none"/>
              </w:rPr>
              <w:t>承担。报价时应考虑相关费用。</w:t>
            </w:r>
          </w:p>
          <w:p w14:paraId="2CDF81DE">
            <w:pPr>
              <w:widowControl/>
              <w:spacing w:line="400" w:lineRule="atLeast"/>
              <w:ind w:firstLine="420" w:firstLineChars="200"/>
              <w:contextualSpacing/>
              <w:rPr>
                <w:rFonts w:ascii="仿宋" w:hAnsi="仿宋" w:eastAsia="仿宋" w:cs="仿宋"/>
                <w:bCs/>
                <w:szCs w:val="21"/>
                <w:highlight w:val="none"/>
              </w:rPr>
            </w:pPr>
            <w:r>
              <w:rPr>
                <w:rFonts w:hint="eastAsia" w:ascii="仿宋" w:hAnsi="仿宋" w:eastAsia="仿宋" w:cs="仿宋"/>
                <w:szCs w:val="21"/>
                <w:highlight w:val="none"/>
              </w:rPr>
              <w:t>2.验收标准：符合现行国家相关标准、行业标准、地方标准或者其他标准、规范。</w:t>
            </w:r>
          </w:p>
        </w:tc>
      </w:tr>
      <w:tr w14:paraId="4A292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44844446">
            <w:pPr>
              <w:spacing w:line="360" w:lineRule="auto"/>
              <w:jc w:val="center"/>
              <w:rPr>
                <w:rFonts w:ascii="仿宋" w:hAnsi="仿宋" w:eastAsia="仿宋" w:cs="仿宋"/>
                <w:bCs/>
                <w:szCs w:val="21"/>
                <w:highlight w:val="none"/>
              </w:rPr>
            </w:pPr>
            <w:r>
              <w:rPr>
                <w:rFonts w:hint="eastAsia" w:ascii="仿宋" w:hAnsi="仿宋" w:eastAsia="仿宋" w:cs="仿宋"/>
                <w:bCs/>
                <w:szCs w:val="21"/>
                <w:highlight w:val="none"/>
              </w:rPr>
              <w:t>其他说明</w:t>
            </w:r>
          </w:p>
        </w:tc>
        <w:tc>
          <w:tcPr>
            <w:tcW w:w="8518" w:type="dxa"/>
            <w:gridSpan w:val="3"/>
            <w:tcBorders>
              <w:top w:val="single" w:color="auto" w:sz="4" w:space="0"/>
              <w:left w:val="single" w:color="auto" w:sz="4" w:space="0"/>
              <w:bottom w:val="single" w:color="auto" w:sz="4" w:space="0"/>
              <w:right w:val="single" w:color="auto" w:sz="4" w:space="0"/>
            </w:tcBorders>
            <w:noWrap/>
          </w:tcPr>
          <w:p w14:paraId="7D8BAF6A">
            <w:pPr>
              <w:widowControl/>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一、进口产品说明</w:t>
            </w:r>
          </w:p>
          <w:p w14:paraId="12D933E2">
            <w:pPr>
              <w:tabs>
                <w:tab w:val="left" w:pos="180"/>
                <w:tab w:val="left" w:pos="1620"/>
              </w:tabs>
              <w:spacing w:line="400" w:lineRule="atLeast"/>
              <w:ind w:firstLine="420" w:firstLineChars="200"/>
              <w:contextualSpacing/>
              <w:rPr>
                <w:rFonts w:ascii="仿宋" w:hAnsi="仿宋" w:eastAsia="仿宋" w:cs="仿宋"/>
                <w:szCs w:val="21"/>
                <w:highlight w:val="none"/>
              </w:rPr>
            </w:pPr>
            <w:r>
              <w:rPr>
                <w:rFonts w:hint="eastAsia" w:ascii="仿宋" w:hAnsi="仿宋" w:eastAsia="仿宋" w:cs="仿宋"/>
                <w:szCs w:val="21"/>
                <w:highlight w:val="none"/>
              </w:rPr>
              <w:t>本项目服务所涉及的货物不接受进口产品（即通过中国海关报关验放进入中国境内且产自关境外的产品）参与竞标，</w:t>
            </w:r>
            <w:r>
              <w:rPr>
                <w:rFonts w:hint="eastAsia" w:ascii="仿宋" w:hAnsi="仿宋" w:eastAsia="仿宋" w:cs="仿宋"/>
                <w:b/>
                <w:szCs w:val="21"/>
                <w:highlight w:val="none"/>
              </w:rPr>
              <w:t>如有进口产品参与竞标的作无效标处理</w:t>
            </w:r>
            <w:r>
              <w:rPr>
                <w:rFonts w:hint="eastAsia" w:ascii="仿宋" w:hAnsi="仿宋" w:eastAsia="仿宋" w:cs="仿宋"/>
                <w:szCs w:val="21"/>
                <w:highlight w:val="none"/>
              </w:rPr>
              <w:t>。</w:t>
            </w:r>
          </w:p>
          <w:p w14:paraId="5E870BDD">
            <w:pPr>
              <w:widowControl/>
              <w:spacing w:line="400" w:lineRule="atLeast"/>
              <w:ind w:firstLine="420" w:firstLineChars="200"/>
              <w:contextualSpacing/>
              <w:rPr>
                <w:rFonts w:ascii="仿宋" w:hAnsi="仿宋" w:eastAsia="仿宋" w:cs="仿宋"/>
                <w:bCs/>
                <w:szCs w:val="21"/>
                <w:highlight w:val="none"/>
              </w:rPr>
            </w:pPr>
            <w:r>
              <w:rPr>
                <w:rFonts w:hint="eastAsia" w:ascii="仿宋" w:hAnsi="仿宋" w:eastAsia="仿宋" w:cs="仿宋"/>
                <w:szCs w:val="21"/>
                <w:highlight w:val="none"/>
              </w:rPr>
              <w:t>▲二、其他说明：</w:t>
            </w:r>
            <w:r>
              <w:rPr>
                <w:rFonts w:hint="eastAsia" w:ascii="仿宋" w:hAnsi="仿宋" w:eastAsia="仿宋" w:cs="仿宋"/>
                <w:b/>
                <w:bCs/>
                <w:szCs w:val="21"/>
                <w:highlight w:val="none"/>
              </w:rPr>
              <w:t>各投标人可就本项目的所有标段进行</w:t>
            </w:r>
            <w:r>
              <w:rPr>
                <w:rFonts w:hint="eastAsia" w:ascii="仿宋" w:hAnsi="仿宋" w:eastAsia="仿宋" w:cs="仿宋"/>
                <w:b/>
                <w:bCs/>
                <w:szCs w:val="21"/>
                <w:highlight w:val="none"/>
                <w:lang w:eastAsia="zh-CN"/>
              </w:rPr>
              <w:t>投</w:t>
            </w:r>
            <w:r>
              <w:rPr>
                <w:rFonts w:hint="eastAsia" w:ascii="仿宋" w:hAnsi="仿宋" w:eastAsia="仿宋" w:cs="仿宋"/>
                <w:b/>
                <w:bCs/>
                <w:szCs w:val="21"/>
                <w:highlight w:val="none"/>
              </w:rPr>
              <w:t>标，但只允许</w:t>
            </w:r>
            <w:r>
              <w:rPr>
                <w:rFonts w:hint="eastAsia" w:ascii="仿宋" w:hAnsi="仿宋" w:eastAsia="仿宋" w:cs="仿宋"/>
                <w:b/>
                <w:bCs/>
                <w:szCs w:val="21"/>
                <w:highlight w:val="none"/>
                <w:lang w:eastAsia="zh-CN"/>
              </w:rPr>
              <w:t>中标</w:t>
            </w:r>
            <w:r>
              <w:rPr>
                <w:rFonts w:hint="eastAsia" w:ascii="仿宋" w:hAnsi="仿宋" w:eastAsia="仿宋" w:cs="仿宋"/>
                <w:b/>
                <w:bCs/>
                <w:szCs w:val="21"/>
                <w:highlight w:val="none"/>
              </w:rPr>
              <w:t>其中一个标段。评审顺序按1→2→3标段顺序进行评审；已在其他分标被推荐为第一</w:t>
            </w:r>
            <w:r>
              <w:rPr>
                <w:rFonts w:hint="eastAsia" w:ascii="仿宋" w:hAnsi="仿宋" w:eastAsia="仿宋" w:cs="仿宋"/>
                <w:b/>
                <w:bCs/>
                <w:szCs w:val="21"/>
                <w:highlight w:val="none"/>
                <w:lang w:eastAsia="zh-CN"/>
              </w:rPr>
              <w:t>中标</w:t>
            </w:r>
            <w:r>
              <w:rPr>
                <w:rFonts w:hint="eastAsia" w:ascii="仿宋" w:hAnsi="仿宋" w:eastAsia="仿宋" w:cs="仿宋"/>
                <w:b/>
                <w:bCs/>
                <w:szCs w:val="21"/>
                <w:highlight w:val="none"/>
              </w:rPr>
              <w:t>候选人的</w:t>
            </w:r>
            <w:r>
              <w:rPr>
                <w:rFonts w:hint="eastAsia" w:ascii="仿宋" w:hAnsi="仿宋" w:eastAsia="仿宋" w:cs="仿宋"/>
                <w:b/>
                <w:bCs/>
                <w:szCs w:val="21"/>
                <w:highlight w:val="none"/>
                <w:lang w:eastAsia="zh-CN"/>
              </w:rPr>
              <w:t>投标</w:t>
            </w:r>
            <w:r>
              <w:rPr>
                <w:rFonts w:hint="eastAsia" w:ascii="仿宋" w:hAnsi="仿宋" w:eastAsia="仿宋" w:cs="仿宋"/>
                <w:b/>
                <w:bCs/>
                <w:szCs w:val="21"/>
                <w:highlight w:val="none"/>
              </w:rPr>
              <w:t>人，在其他标段中将不再推荐为第一</w:t>
            </w:r>
            <w:r>
              <w:rPr>
                <w:rFonts w:hint="eastAsia" w:ascii="仿宋" w:hAnsi="仿宋" w:eastAsia="仿宋" w:cs="仿宋"/>
                <w:b/>
                <w:bCs/>
                <w:szCs w:val="21"/>
                <w:highlight w:val="none"/>
                <w:lang w:eastAsia="zh-CN"/>
              </w:rPr>
              <w:t>中标</w:t>
            </w:r>
            <w:r>
              <w:rPr>
                <w:rFonts w:hint="eastAsia" w:ascii="仿宋" w:hAnsi="仿宋" w:eastAsia="仿宋" w:cs="仿宋"/>
                <w:b/>
                <w:bCs/>
                <w:szCs w:val="21"/>
                <w:highlight w:val="none"/>
              </w:rPr>
              <w:t>候选人。</w:t>
            </w:r>
          </w:p>
        </w:tc>
      </w:tr>
    </w:tbl>
    <w:p w14:paraId="3FE1A4CE">
      <w:pPr>
        <w:jc w:val="left"/>
        <w:rPr>
          <w:rFonts w:hint="eastAsia" w:ascii="仿宋" w:hAnsi="仿宋" w:eastAsia="仿宋" w:cs="仿宋"/>
          <w:color w:val="auto"/>
          <w:highlight w:val="none"/>
        </w:rPr>
      </w:pPr>
    </w:p>
    <w:p w14:paraId="1262CEDF">
      <w:pPr>
        <w:rPr>
          <w:rFonts w:hint="eastAsia" w:ascii="仿宋" w:hAnsi="仿宋" w:eastAsia="仿宋" w:cs="仿宋"/>
          <w:color w:val="auto"/>
          <w:highlight w:val="none"/>
        </w:rPr>
      </w:pPr>
    </w:p>
    <w:p w14:paraId="74867BB1">
      <w:pPr>
        <w:jc w:val="left"/>
        <w:rPr>
          <w:rFonts w:hint="eastAsia" w:ascii="仿宋" w:hAnsi="仿宋" w:eastAsia="仿宋" w:cs="仿宋"/>
          <w:color w:val="auto"/>
          <w:highlight w:val="none"/>
        </w:rPr>
      </w:pPr>
    </w:p>
    <w:p w14:paraId="61B48A4D">
      <w:pPr>
        <w:jc w:val="left"/>
        <w:rPr>
          <w:rFonts w:hint="eastAsia" w:ascii="仿宋" w:hAnsi="仿宋" w:eastAsia="仿宋" w:cs="仿宋"/>
          <w:color w:val="auto"/>
          <w:highlight w:val="none"/>
        </w:rPr>
      </w:pPr>
    </w:p>
    <w:p w14:paraId="5D6E7763">
      <w:pPr>
        <w:jc w:val="left"/>
        <w:rPr>
          <w:rFonts w:hint="eastAsia" w:ascii="仿宋" w:hAnsi="仿宋" w:eastAsia="仿宋" w:cs="仿宋"/>
          <w:color w:val="auto"/>
          <w:highlight w:val="none"/>
        </w:rPr>
      </w:pPr>
    </w:p>
    <w:p w14:paraId="38262B9B">
      <w:pPr>
        <w:jc w:val="left"/>
        <w:rPr>
          <w:rFonts w:hint="eastAsia" w:ascii="仿宋" w:hAnsi="仿宋" w:eastAsia="仿宋" w:cs="仿宋"/>
          <w:color w:val="auto"/>
          <w:highlight w:val="none"/>
        </w:rPr>
      </w:pPr>
    </w:p>
    <w:p w14:paraId="0B47CB5E">
      <w:pPr>
        <w:jc w:val="left"/>
        <w:rPr>
          <w:rFonts w:hint="eastAsia" w:ascii="仿宋" w:hAnsi="仿宋" w:eastAsia="仿宋" w:cs="仿宋"/>
          <w:color w:val="auto"/>
          <w:highlight w:val="none"/>
        </w:rPr>
      </w:pPr>
    </w:p>
    <w:p w14:paraId="0B35D528">
      <w:pPr>
        <w:jc w:val="left"/>
        <w:rPr>
          <w:rFonts w:hint="eastAsia" w:ascii="仿宋" w:hAnsi="仿宋" w:eastAsia="仿宋" w:cs="仿宋"/>
          <w:color w:val="auto"/>
          <w:highlight w:val="none"/>
        </w:rPr>
      </w:pPr>
    </w:p>
    <w:bookmarkEnd w:id="8"/>
    <w:p w14:paraId="7164EACF">
      <w:pPr>
        <w:spacing w:line="428" w:lineRule="exact"/>
        <w:ind w:left="119"/>
        <w:rPr>
          <w:rFonts w:hint="eastAsia" w:ascii="仿宋" w:hAnsi="仿宋" w:eastAsia="仿宋" w:cs="仿宋"/>
          <w:color w:val="auto"/>
          <w:sz w:val="32"/>
          <w:szCs w:val="32"/>
          <w:highlight w:val="none"/>
        </w:rPr>
        <w:sectPr>
          <w:footerReference r:id="rId7" w:type="default"/>
          <w:pgSz w:w="11906" w:h="16838"/>
          <w:pgMar w:top="1440" w:right="1080" w:bottom="1440" w:left="1080" w:header="720" w:footer="720" w:gutter="0"/>
          <w:cols w:space="720" w:num="1"/>
          <w:docGrid w:type="lines" w:linePitch="331" w:charSpace="0"/>
        </w:sectPr>
      </w:pPr>
    </w:p>
    <w:p w14:paraId="2A1420F9">
      <w:pPr>
        <w:spacing w:line="428" w:lineRule="exact"/>
        <w:ind w:left="119"/>
        <w:rPr>
          <w:rFonts w:ascii="仿宋" w:hAnsi="仿宋" w:eastAsia="仿宋" w:cs="仿宋"/>
          <w:sz w:val="32"/>
          <w:szCs w:val="32"/>
        </w:rPr>
      </w:pPr>
      <w:bookmarkStart w:id="10" w:name="_Toc532545044"/>
      <w:bookmarkStart w:id="11" w:name="_Toc8124"/>
      <w:bookmarkStart w:id="12" w:name="_Toc9063"/>
      <w:r>
        <w:rPr>
          <w:rFonts w:hint="eastAsia" w:ascii="仿宋" w:hAnsi="仿宋" w:eastAsia="仿宋" w:cs="仿宋"/>
          <w:sz w:val="32"/>
          <w:szCs w:val="32"/>
        </w:rPr>
        <w:t>附件1：</w:t>
      </w:r>
    </w:p>
    <w:p w14:paraId="4A1F5C02">
      <w:pPr>
        <w:spacing w:before="7"/>
        <w:rPr>
          <w:rFonts w:ascii="仿宋" w:hAnsi="仿宋" w:eastAsia="仿宋" w:cs="仿宋"/>
          <w:sz w:val="17"/>
          <w:szCs w:val="17"/>
        </w:rPr>
      </w:pPr>
    </w:p>
    <w:p w14:paraId="7D20A431">
      <w:pPr>
        <w:spacing w:line="528" w:lineRule="exact"/>
        <w:ind w:left="1868" w:hanging="1868" w:hangingChars="467"/>
        <w:jc w:val="center"/>
        <w:rPr>
          <w:rFonts w:ascii="仿宋" w:hAnsi="仿宋" w:eastAsia="仿宋" w:cs="仿宋"/>
          <w:sz w:val="40"/>
          <w:szCs w:val="40"/>
        </w:rPr>
      </w:pPr>
      <w:r>
        <w:rPr>
          <w:rFonts w:hint="eastAsia" w:ascii="仿宋" w:hAnsi="仿宋" w:eastAsia="仿宋" w:cs="仿宋"/>
          <w:sz w:val="40"/>
          <w:szCs w:val="40"/>
        </w:rPr>
        <w:t>节能产品政府采购品目清单</w:t>
      </w:r>
    </w:p>
    <w:tbl>
      <w:tblPr>
        <w:tblStyle w:val="20"/>
        <w:tblW w:w="0" w:type="auto"/>
        <w:tblInd w:w="93" w:type="dxa"/>
        <w:tblLayout w:type="fixed"/>
        <w:tblCellMar>
          <w:top w:w="0" w:type="dxa"/>
          <w:left w:w="108" w:type="dxa"/>
          <w:bottom w:w="0" w:type="dxa"/>
          <w:right w:w="108" w:type="dxa"/>
        </w:tblCellMar>
      </w:tblPr>
      <w:tblGrid>
        <w:gridCol w:w="641"/>
        <w:gridCol w:w="1116"/>
        <w:gridCol w:w="1516"/>
        <w:gridCol w:w="1612"/>
        <w:gridCol w:w="4930"/>
      </w:tblGrid>
      <w:tr w14:paraId="038A3970">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tcPr>
          <w:p w14:paraId="646EC6D4">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noWrap/>
            <w:vAlign w:val="center"/>
          </w:tcPr>
          <w:p w14:paraId="4677D704">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名称</w:t>
            </w:r>
          </w:p>
        </w:tc>
        <w:tc>
          <w:tcPr>
            <w:tcW w:w="4930" w:type="dxa"/>
            <w:tcBorders>
              <w:top w:val="single" w:color="000000" w:sz="8" w:space="0"/>
              <w:left w:val="nil"/>
              <w:bottom w:val="single" w:color="000000" w:sz="8" w:space="0"/>
              <w:right w:val="single" w:color="000000" w:sz="8" w:space="0"/>
            </w:tcBorders>
            <w:noWrap/>
            <w:vAlign w:val="center"/>
          </w:tcPr>
          <w:p w14:paraId="53CB0BB6">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依据的标准</w:t>
            </w:r>
          </w:p>
        </w:tc>
      </w:tr>
      <w:tr w14:paraId="703371D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ign w:val="center"/>
          </w:tcPr>
          <w:p w14:paraId="07A76FF5">
            <w:pPr>
              <w:widowControl/>
              <w:jc w:val="center"/>
              <w:rPr>
                <w:rFonts w:ascii="仿宋" w:hAnsi="仿宋" w:eastAsia="仿宋" w:cs="仿宋"/>
                <w:kern w:val="0"/>
                <w:sz w:val="20"/>
                <w:szCs w:val="20"/>
              </w:rPr>
            </w:pPr>
            <w:r>
              <w:rPr>
                <w:rFonts w:hint="eastAsia" w:ascii="仿宋" w:hAnsi="仿宋" w:eastAsia="仿宋" w:cs="仿宋"/>
                <w:kern w:val="0"/>
                <w:sz w:val="20"/>
                <w:szCs w:val="20"/>
              </w:rPr>
              <w:t>1</w:t>
            </w:r>
          </w:p>
        </w:tc>
        <w:tc>
          <w:tcPr>
            <w:tcW w:w="1116" w:type="dxa"/>
            <w:vMerge w:val="restart"/>
            <w:tcBorders>
              <w:top w:val="nil"/>
              <w:left w:val="single" w:color="000000" w:sz="8" w:space="0"/>
              <w:bottom w:val="single" w:color="000000" w:sz="8" w:space="0"/>
              <w:right w:val="single" w:color="000000" w:sz="8" w:space="0"/>
            </w:tcBorders>
            <w:noWrap/>
            <w:vAlign w:val="center"/>
          </w:tcPr>
          <w:p w14:paraId="62357E9C">
            <w:pPr>
              <w:widowControl/>
              <w:jc w:val="center"/>
              <w:rPr>
                <w:rFonts w:ascii="仿宋" w:hAnsi="仿宋" w:eastAsia="仿宋" w:cs="仿宋"/>
                <w:kern w:val="0"/>
                <w:sz w:val="20"/>
                <w:szCs w:val="20"/>
              </w:rPr>
            </w:pPr>
            <w:r>
              <w:rPr>
                <w:rFonts w:hint="eastAsia" w:ascii="仿宋" w:hAnsi="仿宋" w:eastAsia="仿宋" w:cs="仿宋"/>
                <w:kern w:val="0"/>
                <w:sz w:val="20"/>
                <w:szCs w:val="20"/>
              </w:rPr>
              <w:t>A020101计算机设备</w:t>
            </w:r>
          </w:p>
        </w:tc>
        <w:tc>
          <w:tcPr>
            <w:tcW w:w="1516" w:type="dxa"/>
            <w:tcBorders>
              <w:top w:val="nil"/>
              <w:left w:val="nil"/>
              <w:bottom w:val="single" w:color="000000" w:sz="8" w:space="0"/>
              <w:right w:val="single" w:color="000000" w:sz="8" w:space="0"/>
            </w:tcBorders>
            <w:noWrap/>
            <w:vAlign w:val="center"/>
          </w:tcPr>
          <w:p w14:paraId="446A1DB9">
            <w:pPr>
              <w:widowControl/>
              <w:jc w:val="center"/>
              <w:rPr>
                <w:rFonts w:ascii="仿宋" w:hAnsi="仿宋" w:eastAsia="仿宋" w:cs="仿宋"/>
                <w:kern w:val="0"/>
                <w:sz w:val="20"/>
                <w:szCs w:val="20"/>
              </w:rPr>
            </w:pPr>
            <w:r>
              <w:rPr>
                <w:rFonts w:hint="eastAsia" w:ascii="仿宋" w:hAnsi="仿宋" w:eastAsia="仿宋" w:cs="仿宋"/>
                <w:kern w:val="0"/>
                <w:sz w:val="20"/>
                <w:szCs w:val="20"/>
              </w:rPr>
              <w:t>★A02010104台式计算机</w:t>
            </w:r>
          </w:p>
        </w:tc>
        <w:tc>
          <w:tcPr>
            <w:tcW w:w="1612" w:type="dxa"/>
            <w:tcBorders>
              <w:top w:val="nil"/>
              <w:left w:val="nil"/>
              <w:bottom w:val="single" w:color="000000" w:sz="8" w:space="0"/>
              <w:right w:val="single" w:color="000000" w:sz="8" w:space="0"/>
            </w:tcBorders>
            <w:noWrap/>
            <w:vAlign w:val="center"/>
          </w:tcPr>
          <w:p w14:paraId="27E3693B">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00847126">
            <w:pPr>
              <w:widowControl/>
              <w:jc w:val="left"/>
              <w:rPr>
                <w:rFonts w:ascii="仿宋" w:hAnsi="仿宋" w:eastAsia="仿宋" w:cs="仿宋"/>
                <w:kern w:val="0"/>
                <w:sz w:val="20"/>
                <w:szCs w:val="20"/>
              </w:rPr>
            </w:pPr>
            <w:r>
              <w:rPr>
                <w:rFonts w:hint="eastAsia" w:ascii="仿宋" w:hAnsi="仿宋" w:eastAsia="仿宋" w:cs="仿宋"/>
                <w:kern w:val="0"/>
                <w:sz w:val="20"/>
                <w:szCs w:val="20"/>
              </w:rPr>
              <w:t>《微型计算机能效限定值及能效等级》（GB28380）</w:t>
            </w:r>
          </w:p>
        </w:tc>
      </w:tr>
      <w:tr w14:paraId="5DD1EF6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51F2CB2F">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5EB64D5">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6FA6211D">
            <w:pPr>
              <w:widowControl/>
              <w:jc w:val="center"/>
              <w:rPr>
                <w:rFonts w:ascii="仿宋" w:hAnsi="仿宋" w:eastAsia="仿宋" w:cs="仿宋"/>
                <w:kern w:val="0"/>
                <w:sz w:val="20"/>
                <w:szCs w:val="20"/>
              </w:rPr>
            </w:pPr>
            <w:r>
              <w:rPr>
                <w:rFonts w:hint="eastAsia" w:ascii="仿宋" w:hAnsi="仿宋" w:eastAsia="仿宋" w:cs="仿宋"/>
                <w:kern w:val="0"/>
                <w:sz w:val="20"/>
                <w:szCs w:val="20"/>
              </w:rPr>
              <w:t>★A02010105便携式计算机</w:t>
            </w:r>
          </w:p>
        </w:tc>
        <w:tc>
          <w:tcPr>
            <w:tcW w:w="1612" w:type="dxa"/>
            <w:tcBorders>
              <w:top w:val="nil"/>
              <w:left w:val="nil"/>
              <w:bottom w:val="single" w:color="000000" w:sz="8" w:space="0"/>
              <w:right w:val="single" w:color="000000" w:sz="8" w:space="0"/>
            </w:tcBorders>
            <w:noWrap/>
            <w:vAlign w:val="center"/>
          </w:tcPr>
          <w:p w14:paraId="07898402">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1BE277BA">
            <w:pPr>
              <w:widowControl/>
              <w:jc w:val="left"/>
              <w:rPr>
                <w:rFonts w:ascii="仿宋" w:hAnsi="仿宋" w:eastAsia="仿宋" w:cs="仿宋"/>
                <w:kern w:val="0"/>
                <w:sz w:val="20"/>
                <w:szCs w:val="20"/>
              </w:rPr>
            </w:pPr>
            <w:r>
              <w:rPr>
                <w:rFonts w:hint="eastAsia" w:ascii="仿宋" w:hAnsi="仿宋" w:eastAsia="仿宋" w:cs="仿宋"/>
                <w:kern w:val="0"/>
                <w:sz w:val="20"/>
                <w:szCs w:val="20"/>
              </w:rPr>
              <w:t>《微型计算机能效限定值及能效等级》（GB28380）</w:t>
            </w:r>
          </w:p>
        </w:tc>
      </w:tr>
      <w:tr w14:paraId="62F8A07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10B6FBC5">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19085EE8">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62951D44">
            <w:pPr>
              <w:widowControl/>
              <w:jc w:val="center"/>
              <w:rPr>
                <w:rFonts w:ascii="仿宋" w:hAnsi="仿宋" w:eastAsia="仿宋" w:cs="仿宋"/>
                <w:kern w:val="0"/>
                <w:sz w:val="20"/>
                <w:szCs w:val="20"/>
              </w:rPr>
            </w:pPr>
            <w:r>
              <w:rPr>
                <w:rFonts w:hint="eastAsia" w:ascii="仿宋" w:hAnsi="仿宋" w:eastAsia="仿宋" w:cs="仿宋"/>
                <w:kern w:val="0"/>
                <w:sz w:val="20"/>
                <w:szCs w:val="20"/>
              </w:rPr>
              <w:t>★A02010107平板式微型计算机</w:t>
            </w:r>
          </w:p>
        </w:tc>
        <w:tc>
          <w:tcPr>
            <w:tcW w:w="1612" w:type="dxa"/>
            <w:tcBorders>
              <w:top w:val="nil"/>
              <w:left w:val="nil"/>
              <w:bottom w:val="single" w:color="000000" w:sz="8" w:space="0"/>
              <w:right w:val="single" w:color="000000" w:sz="8" w:space="0"/>
            </w:tcBorders>
            <w:noWrap/>
            <w:vAlign w:val="center"/>
          </w:tcPr>
          <w:p w14:paraId="69DE9CAE">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75F71835">
            <w:pPr>
              <w:widowControl/>
              <w:jc w:val="left"/>
              <w:rPr>
                <w:rFonts w:ascii="仿宋" w:hAnsi="仿宋" w:eastAsia="仿宋" w:cs="仿宋"/>
                <w:kern w:val="0"/>
                <w:sz w:val="20"/>
                <w:szCs w:val="20"/>
              </w:rPr>
            </w:pPr>
            <w:r>
              <w:rPr>
                <w:rFonts w:hint="eastAsia" w:ascii="仿宋" w:hAnsi="仿宋" w:eastAsia="仿宋" w:cs="仿宋"/>
                <w:kern w:val="0"/>
                <w:sz w:val="20"/>
                <w:szCs w:val="20"/>
              </w:rPr>
              <w:t>《微型计算机能效限定值及能效等级》（GB28380）</w:t>
            </w:r>
          </w:p>
        </w:tc>
      </w:tr>
      <w:tr w14:paraId="0E5D537D">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ign w:val="center"/>
          </w:tcPr>
          <w:p w14:paraId="35513A53">
            <w:pPr>
              <w:widowControl/>
              <w:jc w:val="center"/>
              <w:rPr>
                <w:rFonts w:ascii="仿宋" w:hAnsi="仿宋" w:eastAsia="仿宋" w:cs="仿宋"/>
                <w:kern w:val="0"/>
                <w:sz w:val="20"/>
                <w:szCs w:val="20"/>
              </w:rPr>
            </w:pPr>
            <w:r>
              <w:rPr>
                <w:rFonts w:hint="eastAsia" w:ascii="仿宋" w:hAnsi="仿宋" w:eastAsia="仿宋" w:cs="仿宋"/>
                <w:kern w:val="0"/>
                <w:sz w:val="20"/>
                <w:szCs w:val="20"/>
              </w:rPr>
              <w:t>2</w:t>
            </w:r>
          </w:p>
        </w:tc>
        <w:tc>
          <w:tcPr>
            <w:tcW w:w="1116" w:type="dxa"/>
            <w:vMerge w:val="restart"/>
            <w:tcBorders>
              <w:top w:val="nil"/>
              <w:left w:val="single" w:color="000000" w:sz="8" w:space="0"/>
              <w:bottom w:val="single" w:color="000000" w:sz="8" w:space="0"/>
              <w:right w:val="single" w:color="000000" w:sz="8" w:space="0"/>
            </w:tcBorders>
            <w:noWrap/>
            <w:vAlign w:val="center"/>
          </w:tcPr>
          <w:p w14:paraId="1F7C0DAA">
            <w:pPr>
              <w:widowControl/>
              <w:jc w:val="center"/>
              <w:rPr>
                <w:rFonts w:ascii="仿宋" w:hAnsi="仿宋" w:eastAsia="仿宋" w:cs="仿宋"/>
                <w:kern w:val="0"/>
                <w:sz w:val="20"/>
                <w:szCs w:val="20"/>
              </w:rPr>
            </w:pPr>
            <w:r>
              <w:rPr>
                <w:rFonts w:hint="eastAsia" w:ascii="仿宋" w:hAnsi="仿宋" w:eastAsia="仿宋" w:cs="仿宋"/>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ign w:val="center"/>
          </w:tcPr>
          <w:p w14:paraId="5461F120">
            <w:pPr>
              <w:widowControl/>
              <w:jc w:val="center"/>
              <w:rPr>
                <w:rFonts w:ascii="仿宋" w:hAnsi="仿宋" w:eastAsia="仿宋" w:cs="仿宋"/>
                <w:kern w:val="0"/>
                <w:sz w:val="20"/>
                <w:szCs w:val="20"/>
              </w:rPr>
            </w:pPr>
            <w:r>
              <w:rPr>
                <w:rFonts w:hint="eastAsia" w:ascii="仿宋" w:hAnsi="仿宋" w:eastAsia="仿宋" w:cs="仿宋"/>
                <w:kern w:val="0"/>
                <w:sz w:val="20"/>
                <w:szCs w:val="20"/>
              </w:rPr>
              <w:t>A02010601打印设备</w:t>
            </w:r>
          </w:p>
        </w:tc>
        <w:tc>
          <w:tcPr>
            <w:tcW w:w="1612" w:type="dxa"/>
            <w:tcBorders>
              <w:top w:val="nil"/>
              <w:left w:val="nil"/>
              <w:bottom w:val="single" w:color="000000" w:sz="8" w:space="0"/>
              <w:right w:val="single" w:color="000000" w:sz="8" w:space="0"/>
            </w:tcBorders>
            <w:noWrap/>
            <w:vAlign w:val="center"/>
          </w:tcPr>
          <w:p w14:paraId="7ACA0F33">
            <w:pPr>
              <w:widowControl/>
              <w:jc w:val="center"/>
              <w:rPr>
                <w:rFonts w:ascii="仿宋" w:hAnsi="仿宋" w:eastAsia="仿宋" w:cs="仿宋"/>
                <w:kern w:val="0"/>
                <w:sz w:val="20"/>
                <w:szCs w:val="20"/>
              </w:rPr>
            </w:pPr>
            <w:r>
              <w:rPr>
                <w:rFonts w:hint="eastAsia" w:ascii="仿宋" w:hAnsi="仿宋" w:eastAsia="仿宋" w:cs="仿宋"/>
                <w:kern w:val="0"/>
                <w:sz w:val="20"/>
                <w:szCs w:val="20"/>
              </w:rPr>
              <w:t>A0201060101喷墨打印机</w:t>
            </w:r>
          </w:p>
        </w:tc>
        <w:tc>
          <w:tcPr>
            <w:tcW w:w="4930" w:type="dxa"/>
            <w:tcBorders>
              <w:top w:val="nil"/>
              <w:left w:val="nil"/>
              <w:bottom w:val="single" w:color="000000" w:sz="8" w:space="0"/>
              <w:right w:val="single" w:color="000000" w:sz="8" w:space="0"/>
            </w:tcBorders>
            <w:noWrap/>
            <w:vAlign w:val="center"/>
          </w:tcPr>
          <w:p w14:paraId="47F63527">
            <w:pPr>
              <w:widowControl/>
              <w:jc w:val="left"/>
              <w:rPr>
                <w:rFonts w:ascii="仿宋" w:hAnsi="仿宋" w:eastAsia="仿宋" w:cs="仿宋"/>
                <w:kern w:val="0"/>
                <w:sz w:val="20"/>
                <w:szCs w:val="20"/>
              </w:rPr>
            </w:pPr>
            <w:r>
              <w:rPr>
                <w:rFonts w:hint="eastAsia" w:ascii="仿宋" w:hAnsi="仿宋" w:eastAsia="仿宋" w:cs="仿宋"/>
                <w:kern w:val="0"/>
                <w:sz w:val="20"/>
                <w:szCs w:val="20"/>
              </w:rPr>
              <w:t>《复印机、打印机和传真机能效限定值及能效等级》（GB21521）</w:t>
            </w:r>
          </w:p>
        </w:tc>
      </w:tr>
      <w:tr w14:paraId="168CB8C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5CD0730D">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621722B1">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7F97E0D6">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7ABFD132">
            <w:pPr>
              <w:widowControl/>
              <w:jc w:val="center"/>
              <w:rPr>
                <w:rFonts w:ascii="仿宋" w:hAnsi="仿宋" w:eastAsia="仿宋" w:cs="仿宋"/>
                <w:kern w:val="0"/>
                <w:sz w:val="20"/>
                <w:szCs w:val="20"/>
              </w:rPr>
            </w:pPr>
            <w:r>
              <w:rPr>
                <w:rFonts w:hint="eastAsia" w:ascii="仿宋" w:hAnsi="仿宋" w:eastAsia="仿宋" w:cs="仿宋"/>
                <w:kern w:val="0"/>
                <w:sz w:val="20"/>
                <w:szCs w:val="20"/>
              </w:rPr>
              <w:t>★A0201060102激光打印机</w:t>
            </w:r>
          </w:p>
        </w:tc>
        <w:tc>
          <w:tcPr>
            <w:tcW w:w="4930" w:type="dxa"/>
            <w:tcBorders>
              <w:top w:val="nil"/>
              <w:left w:val="nil"/>
              <w:bottom w:val="single" w:color="000000" w:sz="8" w:space="0"/>
              <w:right w:val="single" w:color="000000" w:sz="8" w:space="0"/>
            </w:tcBorders>
            <w:noWrap/>
            <w:vAlign w:val="center"/>
          </w:tcPr>
          <w:p w14:paraId="45EE4796">
            <w:pPr>
              <w:widowControl/>
              <w:jc w:val="left"/>
              <w:rPr>
                <w:rFonts w:ascii="仿宋" w:hAnsi="仿宋" w:eastAsia="仿宋" w:cs="仿宋"/>
                <w:kern w:val="0"/>
                <w:sz w:val="20"/>
                <w:szCs w:val="20"/>
              </w:rPr>
            </w:pPr>
            <w:r>
              <w:rPr>
                <w:rFonts w:hint="eastAsia" w:ascii="仿宋" w:hAnsi="仿宋" w:eastAsia="仿宋" w:cs="仿宋"/>
                <w:kern w:val="0"/>
                <w:sz w:val="20"/>
                <w:szCs w:val="20"/>
              </w:rPr>
              <w:t>《复印机、打印机和传真机能效限定值及能效等级》（GB21521）</w:t>
            </w:r>
          </w:p>
        </w:tc>
      </w:tr>
      <w:tr w14:paraId="4BE9831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6C7EA8E8">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3DA78986">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7BDC6A84">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6524C13C">
            <w:pPr>
              <w:widowControl/>
              <w:jc w:val="center"/>
              <w:rPr>
                <w:rFonts w:ascii="仿宋" w:hAnsi="仿宋" w:eastAsia="仿宋" w:cs="仿宋"/>
                <w:kern w:val="0"/>
                <w:sz w:val="20"/>
                <w:szCs w:val="20"/>
              </w:rPr>
            </w:pPr>
            <w:r>
              <w:rPr>
                <w:rFonts w:hint="eastAsia" w:ascii="仿宋" w:hAnsi="仿宋" w:eastAsia="仿宋" w:cs="仿宋"/>
                <w:kern w:val="0"/>
                <w:sz w:val="20"/>
                <w:szCs w:val="20"/>
              </w:rPr>
              <w:t>★A0201060104针式打印机</w:t>
            </w:r>
          </w:p>
        </w:tc>
        <w:tc>
          <w:tcPr>
            <w:tcW w:w="4930" w:type="dxa"/>
            <w:tcBorders>
              <w:top w:val="nil"/>
              <w:left w:val="nil"/>
              <w:bottom w:val="single" w:color="000000" w:sz="8" w:space="0"/>
              <w:right w:val="single" w:color="000000" w:sz="8" w:space="0"/>
            </w:tcBorders>
            <w:noWrap/>
            <w:vAlign w:val="center"/>
          </w:tcPr>
          <w:p w14:paraId="6314C90E">
            <w:pPr>
              <w:widowControl/>
              <w:jc w:val="left"/>
              <w:rPr>
                <w:rFonts w:ascii="仿宋" w:hAnsi="仿宋" w:eastAsia="仿宋" w:cs="仿宋"/>
                <w:kern w:val="0"/>
                <w:sz w:val="20"/>
                <w:szCs w:val="20"/>
              </w:rPr>
            </w:pPr>
            <w:r>
              <w:rPr>
                <w:rFonts w:hint="eastAsia" w:ascii="仿宋" w:hAnsi="仿宋" w:eastAsia="仿宋" w:cs="仿宋"/>
                <w:kern w:val="0"/>
                <w:sz w:val="20"/>
                <w:szCs w:val="20"/>
              </w:rPr>
              <w:t>《复印机、打印机和传真机能效限定值及能效等级》（GB21521）</w:t>
            </w:r>
          </w:p>
        </w:tc>
      </w:tr>
      <w:tr w14:paraId="1447836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15DB4BCA">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196E75CD">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2D016BAB">
            <w:pPr>
              <w:widowControl/>
              <w:jc w:val="center"/>
              <w:rPr>
                <w:rFonts w:ascii="仿宋" w:hAnsi="仿宋" w:eastAsia="仿宋" w:cs="仿宋"/>
                <w:kern w:val="0"/>
                <w:sz w:val="20"/>
                <w:szCs w:val="20"/>
              </w:rPr>
            </w:pPr>
            <w:r>
              <w:rPr>
                <w:rFonts w:hint="eastAsia" w:ascii="仿宋" w:hAnsi="仿宋" w:eastAsia="仿宋" w:cs="仿宋"/>
                <w:kern w:val="0"/>
                <w:sz w:val="20"/>
                <w:szCs w:val="20"/>
              </w:rPr>
              <w:t>A02010604显示设备</w:t>
            </w:r>
          </w:p>
        </w:tc>
        <w:tc>
          <w:tcPr>
            <w:tcW w:w="1612" w:type="dxa"/>
            <w:tcBorders>
              <w:top w:val="nil"/>
              <w:left w:val="nil"/>
              <w:bottom w:val="single" w:color="000000" w:sz="8" w:space="0"/>
              <w:right w:val="single" w:color="000000" w:sz="8" w:space="0"/>
            </w:tcBorders>
            <w:noWrap/>
            <w:vAlign w:val="center"/>
          </w:tcPr>
          <w:p w14:paraId="5B616D58">
            <w:pPr>
              <w:widowControl/>
              <w:jc w:val="center"/>
              <w:rPr>
                <w:rFonts w:ascii="仿宋" w:hAnsi="仿宋" w:eastAsia="仿宋" w:cs="仿宋"/>
                <w:kern w:val="0"/>
                <w:sz w:val="20"/>
                <w:szCs w:val="20"/>
              </w:rPr>
            </w:pPr>
            <w:r>
              <w:rPr>
                <w:rFonts w:hint="eastAsia" w:ascii="仿宋" w:hAnsi="仿宋" w:eastAsia="仿宋" w:cs="仿宋"/>
                <w:kern w:val="0"/>
                <w:sz w:val="20"/>
                <w:szCs w:val="20"/>
              </w:rPr>
              <w:t>★A0201060401液晶显示器</w:t>
            </w:r>
          </w:p>
        </w:tc>
        <w:tc>
          <w:tcPr>
            <w:tcW w:w="4930" w:type="dxa"/>
            <w:tcBorders>
              <w:top w:val="nil"/>
              <w:left w:val="nil"/>
              <w:bottom w:val="single" w:color="000000" w:sz="8" w:space="0"/>
              <w:right w:val="single" w:color="000000" w:sz="8" w:space="0"/>
            </w:tcBorders>
            <w:noWrap/>
            <w:vAlign w:val="center"/>
          </w:tcPr>
          <w:p w14:paraId="721327C0">
            <w:pPr>
              <w:widowControl/>
              <w:jc w:val="left"/>
              <w:rPr>
                <w:rFonts w:ascii="仿宋" w:hAnsi="仿宋" w:eastAsia="仿宋" w:cs="仿宋"/>
                <w:kern w:val="0"/>
                <w:sz w:val="20"/>
                <w:szCs w:val="20"/>
              </w:rPr>
            </w:pPr>
            <w:r>
              <w:rPr>
                <w:rFonts w:hint="eastAsia" w:ascii="仿宋" w:hAnsi="仿宋" w:eastAsia="仿宋" w:cs="仿宋"/>
                <w:kern w:val="0"/>
                <w:sz w:val="20"/>
                <w:szCs w:val="20"/>
              </w:rPr>
              <w:t>《计算机显示器能效限定值及能效等级》（GB21520）</w:t>
            </w:r>
          </w:p>
        </w:tc>
      </w:tr>
      <w:tr w14:paraId="30F49440">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21066832">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2AC40BF1">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0A4080E0">
            <w:pPr>
              <w:widowControl/>
              <w:jc w:val="center"/>
              <w:rPr>
                <w:rFonts w:ascii="仿宋" w:hAnsi="仿宋" w:eastAsia="仿宋" w:cs="仿宋"/>
                <w:kern w:val="0"/>
                <w:sz w:val="20"/>
                <w:szCs w:val="20"/>
              </w:rPr>
            </w:pPr>
            <w:r>
              <w:rPr>
                <w:rFonts w:hint="eastAsia" w:ascii="仿宋" w:hAnsi="仿宋" w:eastAsia="仿宋" w:cs="仿宋"/>
                <w:kern w:val="0"/>
                <w:sz w:val="20"/>
                <w:szCs w:val="20"/>
              </w:rPr>
              <w:t>A02010609图形图像输入设备</w:t>
            </w:r>
          </w:p>
        </w:tc>
        <w:tc>
          <w:tcPr>
            <w:tcW w:w="1612" w:type="dxa"/>
            <w:tcBorders>
              <w:top w:val="nil"/>
              <w:left w:val="nil"/>
              <w:bottom w:val="single" w:color="000000" w:sz="8" w:space="0"/>
              <w:right w:val="single" w:color="000000" w:sz="8" w:space="0"/>
            </w:tcBorders>
            <w:noWrap/>
            <w:vAlign w:val="center"/>
          </w:tcPr>
          <w:p w14:paraId="6FC494E7">
            <w:pPr>
              <w:widowControl/>
              <w:jc w:val="center"/>
              <w:rPr>
                <w:rFonts w:ascii="仿宋" w:hAnsi="仿宋" w:eastAsia="仿宋" w:cs="仿宋"/>
                <w:kern w:val="0"/>
                <w:sz w:val="20"/>
                <w:szCs w:val="20"/>
              </w:rPr>
            </w:pPr>
            <w:r>
              <w:rPr>
                <w:rFonts w:hint="eastAsia" w:ascii="仿宋" w:hAnsi="仿宋" w:eastAsia="仿宋" w:cs="仿宋"/>
                <w:kern w:val="0"/>
                <w:sz w:val="20"/>
                <w:szCs w:val="20"/>
              </w:rPr>
              <w:t>A0201060901扫描仪</w:t>
            </w:r>
          </w:p>
        </w:tc>
        <w:tc>
          <w:tcPr>
            <w:tcW w:w="4930" w:type="dxa"/>
            <w:tcBorders>
              <w:top w:val="nil"/>
              <w:left w:val="nil"/>
              <w:bottom w:val="single" w:color="000000" w:sz="8" w:space="0"/>
              <w:right w:val="single" w:color="000000" w:sz="8" w:space="0"/>
            </w:tcBorders>
            <w:noWrap/>
            <w:vAlign w:val="center"/>
          </w:tcPr>
          <w:p w14:paraId="20FB647B">
            <w:pPr>
              <w:widowControl/>
              <w:jc w:val="left"/>
              <w:rPr>
                <w:rFonts w:ascii="仿宋" w:hAnsi="仿宋" w:eastAsia="仿宋" w:cs="仿宋"/>
                <w:kern w:val="0"/>
                <w:sz w:val="20"/>
                <w:szCs w:val="20"/>
              </w:rPr>
            </w:pPr>
            <w:r>
              <w:rPr>
                <w:rFonts w:hint="eastAsia" w:ascii="仿宋" w:hAnsi="仿宋" w:eastAsia="仿宋" w:cs="仿宋"/>
                <w:kern w:val="0"/>
                <w:sz w:val="20"/>
                <w:szCs w:val="20"/>
              </w:rPr>
              <w:t>参照《复印机、打印机和传真机能效限定值及能效等级》（GB21521中打印速度为15页/分的针式打印机相关要求中打印速度为15页/分的针式打印机相关要求</w:t>
            </w:r>
          </w:p>
        </w:tc>
      </w:tr>
      <w:tr w14:paraId="0A6156A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4CCF61EB">
            <w:pPr>
              <w:widowControl/>
              <w:jc w:val="center"/>
              <w:rPr>
                <w:rFonts w:ascii="仿宋" w:hAnsi="仿宋" w:eastAsia="仿宋" w:cs="仿宋"/>
                <w:kern w:val="0"/>
                <w:sz w:val="20"/>
                <w:szCs w:val="20"/>
              </w:rPr>
            </w:pPr>
            <w:r>
              <w:rPr>
                <w:rFonts w:hint="eastAsia" w:ascii="仿宋" w:hAnsi="仿宋" w:eastAsia="仿宋" w:cs="仿宋"/>
                <w:kern w:val="0"/>
                <w:sz w:val="20"/>
                <w:szCs w:val="20"/>
              </w:rPr>
              <w:t>3</w:t>
            </w:r>
          </w:p>
        </w:tc>
        <w:tc>
          <w:tcPr>
            <w:tcW w:w="1116" w:type="dxa"/>
            <w:tcBorders>
              <w:top w:val="nil"/>
              <w:left w:val="nil"/>
              <w:bottom w:val="single" w:color="000000" w:sz="8" w:space="0"/>
              <w:right w:val="single" w:color="000000" w:sz="8" w:space="0"/>
            </w:tcBorders>
            <w:noWrap/>
            <w:vAlign w:val="center"/>
          </w:tcPr>
          <w:p w14:paraId="0B40BA16">
            <w:pPr>
              <w:widowControl/>
              <w:jc w:val="center"/>
              <w:rPr>
                <w:rFonts w:ascii="仿宋" w:hAnsi="仿宋" w:eastAsia="仿宋" w:cs="仿宋"/>
                <w:kern w:val="0"/>
                <w:sz w:val="20"/>
                <w:szCs w:val="20"/>
              </w:rPr>
            </w:pPr>
            <w:r>
              <w:rPr>
                <w:rFonts w:hint="eastAsia" w:ascii="仿宋" w:hAnsi="仿宋" w:eastAsia="仿宋" w:cs="仿宋"/>
                <w:kern w:val="0"/>
                <w:sz w:val="20"/>
                <w:szCs w:val="20"/>
              </w:rPr>
              <w:t>A020202投影仪</w:t>
            </w:r>
          </w:p>
        </w:tc>
        <w:tc>
          <w:tcPr>
            <w:tcW w:w="1516" w:type="dxa"/>
            <w:tcBorders>
              <w:top w:val="nil"/>
              <w:left w:val="nil"/>
              <w:bottom w:val="single" w:color="000000" w:sz="8" w:space="0"/>
              <w:right w:val="single" w:color="000000" w:sz="8" w:space="0"/>
            </w:tcBorders>
            <w:noWrap/>
            <w:vAlign w:val="center"/>
          </w:tcPr>
          <w:p w14:paraId="48ABA3DA">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612" w:type="dxa"/>
            <w:tcBorders>
              <w:top w:val="nil"/>
              <w:left w:val="nil"/>
              <w:bottom w:val="single" w:color="000000" w:sz="8" w:space="0"/>
              <w:right w:val="single" w:color="000000" w:sz="8" w:space="0"/>
            </w:tcBorders>
            <w:noWrap/>
            <w:vAlign w:val="center"/>
          </w:tcPr>
          <w:p w14:paraId="698C6F35">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4290CCF2">
            <w:pPr>
              <w:widowControl/>
              <w:jc w:val="left"/>
              <w:rPr>
                <w:rFonts w:ascii="仿宋" w:hAnsi="仿宋" w:eastAsia="仿宋" w:cs="仿宋"/>
                <w:kern w:val="0"/>
                <w:sz w:val="20"/>
                <w:szCs w:val="20"/>
              </w:rPr>
            </w:pPr>
            <w:r>
              <w:rPr>
                <w:rFonts w:hint="eastAsia" w:ascii="仿宋" w:hAnsi="仿宋" w:eastAsia="仿宋" w:cs="仿宋"/>
                <w:kern w:val="0"/>
                <w:sz w:val="20"/>
                <w:szCs w:val="20"/>
              </w:rPr>
              <w:t>《投影机能效限定值及能效等级》（GB32028）</w:t>
            </w:r>
          </w:p>
        </w:tc>
      </w:tr>
      <w:tr w14:paraId="6A74916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11A5CE9C">
            <w:pPr>
              <w:widowControl/>
              <w:jc w:val="center"/>
              <w:rPr>
                <w:rFonts w:ascii="仿宋" w:hAnsi="仿宋" w:eastAsia="仿宋" w:cs="仿宋"/>
                <w:kern w:val="0"/>
                <w:sz w:val="20"/>
                <w:szCs w:val="20"/>
              </w:rPr>
            </w:pPr>
            <w:r>
              <w:rPr>
                <w:rFonts w:hint="eastAsia" w:ascii="仿宋" w:hAnsi="仿宋" w:eastAsia="仿宋" w:cs="仿宋"/>
                <w:kern w:val="0"/>
                <w:sz w:val="20"/>
                <w:szCs w:val="20"/>
              </w:rPr>
              <w:t>4</w:t>
            </w:r>
          </w:p>
        </w:tc>
        <w:tc>
          <w:tcPr>
            <w:tcW w:w="1116" w:type="dxa"/>
            <w:tcBorders>
              <w:top w:val="nil"/>
              <w:left w:val="nil"/>
              <w:bottom w:val="single" w:color="000000" w:sz="8" w:space="0"/>
              <w:right w:val="single" w:color="000000" w:sz="8" w:space="0"/>
            </w:tcBorders>
            <w:noWrap/>
            <w:vAlign w:val="center"/>
          </w:tcPr>
          <w:p w14:paraId="4D424716">
            <w:pPr>
              <w:widowControl/>
              <w:jc w:val="center"/>
              <w:rPr>
                <w:rFonts w:ascii="仿宋" w:hAnsi="仿宋" w:eastAsia="仿宋" w:cs="仿宋"/>
                <w:kern w:val="0"/>
                <w:sz w:val="20"/>
                <w:szCs w:val="20"/>
              </w:rPr>
            </w:pPr>
            <w:r>
              <w:rPr>
                <w:rFonts w:hint="eastAsia" w:ascii="仿宋" w:hAnsi="仿宋" w:eastAsia="仿宋" w:cs="仿宋"/>
                <w:kern w:val="0"/>
                <w:sz w:val="20"/>
                <w:szCs w:val="20"/>
              </w:rPr>
              <w:t>A020204多功能一体机</w:t>
            </w:r>
          </w:p>
        </w:tc>
        <w:tc>
          <w:tcPr>
            <w:tcW w:w="1516" w:type="dxa"/>
            <w:tcBorders>
              <w:top w:val="nil"/>
              <w:left w:val="nil"/>
              <w:bottom w:val="single" w:color="000000" w:sz="8" w:space="0"/>
              <w:right w:val="single" w:color="000000" w:sz="8" w:space="0"/>
            </w:tcBorders>
            <w:noWrap/>
            <w:vAlign w:val="center"/>
          </w:tcPr>
          <w:p w14:paraId="6EA3B834">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612" w:type="dxa"/>
            <w:tcBorders>
              <w:top w:val="nil"/>
              <w:left w:val="nil"/>
              <w:bottom w:val="single" w:color="000000" w:sz="8" w:space="0"/>
              <w:right w:val="single" w:color="000000" w:sz="8" w:space="0"/>
            </w:tcBorders>
            <w:noWrap/>
            <w:vAlign w:val="center"/>
          </w:tcPr>
          <w:p w14:paraId="305E4CED">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7754BC77">
            <w:pPr>
              <w:widowControl/>
              <w:jc w:val="left"/>
              <w:rPr>
                <w:rFonts w:ascii="仿宋" w:hAnsi="仿宋" w:eastAsia="仿宋" w:cs="仿宋"/>
                <w:kern w:val="0"/>
                <w:sz w:val="20"/>
                <w:szCs w:val="20"/>
              </w:rPr>
            </w:pPr>
            <w:r>
              <w:rPr>
                <w:rFonts w:hint="eastAsia" w:ascii="仿宋" w:hAnsi="仿宋" w:eastAsia="仿宋" w:cs="仿宋"/>
                <w:kern w:val="0"/>
                <w:sz w:val="20"/>
                <w:szCs w:val="20"/>
              </w:rPr>
              <w:t>《复印机、打印机和传真机能效限定值及能效等级》（GB21521）</w:t>
            </w:r>
          </w:p>
        </w:tc>
      </w:tr>
      <w:tr w14:paraId="1F258D7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75D0041A">
            <w:pPr>
              <w:widowControl/>
              <w:jc w:val="center"/>
              <w:rPr>
                <w:rFonts w:ascii="仿宋" w:hAnsi="仿宋" w:eastAsia="仿宋" w:cs="仿宋"/>
                <w:kern w:val="0"/>
                <w:sz w:val="20"/>
                <w:szCs w:val="20"/>
              </w:rPr>
            </w:pPr>
            <w:r>
              <w:rPr>
                <w:rFonts w:hint="eastAsia" w:ascii="仿宋" w:hAnsi="仿宋" w:eastAsia="仿宋" w:cs="仿宋"/>
                <w:kern w:val="0"/>
                <w:sz w:val="20"/>
                <w:szCs w:val="20"/>
              </w:rPr>
              <w:t>5</w:t>
            </w:r>
          </w:p>
        </w:tc>
        <w:tc>
          <w:tcPr>
            <w:tcW w:w="1116" w:type="dxa"/>
            <w:tcBorders>
              <w:top w:val="nil"/>
              <w:left w:val="nil"/>
              <w:bottom w:val="single" w:color="000000" w:sz="8" w:space="0"/>
              <w:right w:val="single" w:color="000000" w:sz="8" w:space="0"/>
            </w:tcBorders>
            <w:noWrap/>
            <w:vAlign w:val="center"/>
          </w:tcPr>
          <w:p w14:paraId="3F0EC558">
            <w:pPr>
              <w:widowControl/>
              <w:jc w:val="center"/>
              <w:rPr>
                <w:rFonts w:ascii="仿宋" w:hAnsi="仿宋" w:eastAsia="仿宋" w:cs="仿宋"/>
                <w:kern w:val="0"/>
                <w:sz w:val="20"/>
                <w:szCs w:val="20"/>
              </w:rPr>
            </w:pPr>
            <w:r>
              <w:rPr>
                <w:rFonts w:hint="eastAsia" w:ascii="仿宋" w:hAnsi="仿宋" w:eastAsia="仿宋" w:cs="仿宋"/>
                <w:kern w:val="0"/>
                <w:sz w:val="20"/>
                <w:szCs w:val="20"/>
              </w:rPr>
              <w:t>A020519泵</w:t>
            </w:r>
          </w:p>
        </w:tc>
        <w:tc>
          <w:tcPr>
            <w:tcW w:w="1516" w:type="dxa"/>
            <w:tcBorders>
              <w:top w:val="nil"/>
              <w:left w:val="nil"/>
              <w:bottom w:val="single" w:color="000000" w:sz="8" w:space="0"/>
              <w:right w:val="single" w:color="000000" w:sz="8" w:space="0"/>
            </w:tcBorders>
            <w:noWrap/>
            <w:vAlign w:val="center"/>
          </w:tcPr>
          <w:p w14:paraId="30E2B03C">
            <w:pPr>
              <w:widowControl/>
              <w:jc w:val="center"/>
              <w:rPr>
                <w:rFonts w:ascii="仿宋" w:hAnsi="仿宋" w:eastAsia="仿宋" w:cs="仿宋"/>
                <w:kern w:val="0"/>
                <w:sz w:val="20"/>
                <w:szCs w:val="20"/>
              </w:rPr>
            </w:pPr>
            <w:r>
              <w:rPr>
                <w:rFonts w:hint="eastAsia" w:ascii="仿宋" w:hAnsi="仿宋" w:eastAsia="仿宋" w:cs="仿宋"/>
                <w:kern w:val="0"/>
                <w:sz w:val="20"/>
                <w:szCs w:val="20"/>
              </w:rPr>
              <w:t>A02051901离心泵</w:t>
            </w:r>
          </w:p>
        </w:tc>
        <w:tc>
          <w:tcPr>
            <w:tcW w:w="1612" w:type="dxa"/>
            <w:tcBorders>
              <w:top w:val="nil"/>
              <w:left w:val="nil"/>
              <w:bottom w:val="single" w:color="000000" w:sz="8" w:space="0"/>
              <w:right w:val="single" w:color="000000" w:sz="8" w:space="0"/>
            </w:tcBorders>
            <w:noWrap/>
            <w:vAlign w:val="center"/>
          </w:tcPr>
          <w:p w14:paraId="1FC53CC0">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1FDB1964">
            <w:pPr>
              <w:widowControl/>
              <w:jc w:val="left"/>
              <w:rPr>
                <w:rFonts w:ascii="仿宋" w:hAnsi="仿宋" w:eastAsia="仿宋" w:cs="仿宋"/>
                <w:kern w:val="0"/>
                <w:sz w:val="20"/>
                <w:szCs w:val="20"/>
              </w:rPr>
            </w:pPr>
            <w:r>
              <w:rPr>
                <w:rFonts w:hint="eastAsia" w:ascii="仿宋" w:hAnsi="仿宋" w:eastAsia="仿宋" w:cs="仿宋"/>
                <w:kern w:val="0"/>
                <w:sz w:val="20"/>
                <w:szCs w:val="20"/>
              </w:rPr>
              <w:t>《清水离心泵能效限定值及节能评价值》（GB19762）</w:t>
            </w:r>
          </w:p>
        </w:tc>
      </w:tr>
      <w:tr w14:paraId="2629D10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ign w:val="center"/>
          </w:tcPr>
          <w:p w14:paraId="44B60D3A">
            <w:pPr>
              <w:widowControl/>
              <w:jc w:val="center"/>
              <w:rPr>
                <w:rFonts w:ascii="仿宋" w:hAnsi="仿宋" w:eastAsia="仿宋" w:cs="仿宋"/>
                <w:kern w:val="0"/>
                <w:sz w:val="20"/>
                <w:szCs w:val="20"/>
              </w:rPr>
            </w:pPr>
            <w:r>
              <w:rPr>
                <w:rFonts w:hint="eastAsia" w:ascii="仿宋" w:hAnsi="仿宋" w:eastAsia="仿宋" w:cs="仿宋"/>
                <w:kern w:val="0"/>
                <w:sz w:val="20"/>
                <w:szCs w:val="20"/>
              </w:rPr>
              <w:t>6</w:t>
            </w:r>
          </w:p>
        </w:tc>
        <w:tc>
          <w:tcPr>
            <w:tcW w:w="1116" w:type="dxa"/>
            <w:vMerge w:val="restart"/>
            <w:tcBorders>
              <w:top w:val="nil"/>
              <w:left w:val="single" w:color="000000" w:sz="8" w:space="0"/>
              <w:bottom w:val="single" w:color="000000" w:sz="8" w:space="0"/>
              <w:right w:val="single" w:color="000000" w:sz="8" w:space="0"/>
            </w:tcBorders>
            <w:noWrap/>
            <w:vAlign w:val="center"/>
          </w:tcPr>
          <w:p w14:paraId="192AFDF2">
            <w:pPr>
              <w:widowControl/>
              <w:jc w:val="center"/>
              <w:rPr>
                <w:rFonts w:ascii="仿宋" w:hAnsi="仿宋" w:eastAsia="仿宋" w:cs="仿宋"/>
                <w:kern w:val="0"/>
                <w:sz w:val="20"/>
                <w:szCs w:val="20"/>
              </w:rPr>
            </w:pPr>
            <w:r>
              <w:rPr>
                <w:rFonts w:hint="eastAsia" w:ascii="仿宋" w:hAnsi="仿宋" w:eastAsia="仿宋" w:cs="仿宋"/>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ign w:val="center"/>
          </w:tcPr>
          <w:p w14:paraId="46CE1BD8">
            <w:pPr>
              <w:widowControl/>
              <w:jc w:val="center"/>
              <w:rPr>
                <w:rFonts w:ascii="仿宋" w:hAnsi="仿宋" w:eastAsia="仿宋" w:cs="仿宋"/>
                <w:kern w:val="0"/>
                <w:sz w:val="20"/>
                <w:szCs w:val="20"/>
              </w:rPr>
            </w:pPr>
            <w:r>
              <w:rPr>
                <w:rFonts w:hint="eastAsia" w:ascii="仿宋" w:hAnsi="仿宋" w:eastAsia="仿宋" w:cs="仿宋"/>
                <w:kern w:val="0"/>
                <w:sz w:val="20"/>
                <w:szCs w:val="20"/>
              </w:rPr>
              <w:t>★A02052301制冷压缩机</w:t>
            </w:r>
          </w:p>
        </w:tc>
        <w:tc>
          <w:tcPr>
            <w:tcW w:w="1612" w:type="dxa"/>
            <w:tcBorders>
              <w:top w:val="nil"/>
              <w:left w:val="nil"/>
              <w:bottom w:val="single" w:color="000000" w:sz="8" w:space="0"/>
              <w:right w:val="single" w:color="000000" w:sz="8" w:space="0"/>
            </w:tcBorders>
            <w:noWrap/>
            <w:vAlign w:val="center"/>
          </w:tcPr>
          <w:p w14:paraId="33165B35">
            <w:pPr>
              <w:widowControl/>
              <w:jc w:val="center"/>
              <w:rPr>
                <w:rFonts w:ascii="仿宋" w:hAnsi="仿宋" w:eastAsia="仿宋" w:cs="仿宋"/>
                <w:kern w:val="0"/>
                <w:sz w:val="20"/>
                <w:szCs w:val="20"/>
              </w:rPr>
            </w:pPr>
            <w:r>
              <w:rPr>
                <w:rFonts w:hint="eastAsia" w:ascii="仿宋" w:hAnsi="仿宋" w:eastAsia="仿宋" w:cs="仿宋"/>
                <w:kern w:val="0"/>
                <w:sz w:val="20"/>
                <w:szCs w:val="20"/>
              </w:rPr>
              <w:t>冷水机组</w:t>
            </w:r>
          </w:p>
        </w:tc>
        <w:tc>
          <w:tcPr>
            <w:tcW w:w="4930" w:type="dxa"/>
            <w:tcBorders>
              <w:top w:val="nil"/>
              <w:left w:val="nil"/>
              <w:bottom w:val="single" w:color="000000" w:sz="8" w:space="0"/>
              <w:right w:val="single" w:color="000000" w:sz="8" w:space="0"/>
            </w:tcBorders>
            <w:noWrap/>
            <w:vAlign w:val="center"/>
          </w:tcPr>
          <w:p w14:paraId="0381B113">
            <w:pPr>
              <w:widowControl/>
              <w:jc w:val="left"/>
              <w:rPr>
                <w:rFonts w:ascii="仿宋" w:hAnsi="仿宋" w:eastAsia="仿宋" w:cs="仿宋"/>
                <w:kern w:val="0"/>
                <w:sz w:val="20"/>
                <w:szCs w:val="20"/>
              </w:rPr>
            </w:pPr>
            <w:r>
              <w:rPr>
                <w:rFonts w:hint="eastAsia" w:ascii="仿宋" w:hAnsi="仿宋" w:eastAsia="仿宋" w:cs="仿宋"/>
                <w:kern w:val="0"/>
                <w:sz w:val="20"/>
                <w:szCs w:val="20"/>
              </w:rPr>
              <w:t>《冷水机组能效限定值及能效等级》（GB19577），《低环境温度空气源热泵（冷水）机组能效限定值及能效等级》（GB37480）</w:t>
            </w:r>
          </w:p>
        </w:tc>
      </w:tr>
      <w:tr w14:paraId="7703A4B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2D47B37A">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1F47CD88">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172F3025">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271031AC">
            <w:pPr>
              <w:widowControl/>
              <w:jc w:val="center"/>
              <w:rPr>
                <w:rFonts w:ascii="仿宋" w:hAnsi="仿宋" w:eastAsia="仿宋" w:cs="仿宋"/>
                <w:kern w:val="0"/>
                <w:sz w:val="20"/>
                <w:szCs w:val="20"/>
              </w:rPr>
            </w:pPr>
            <w:r>
              <w:rPr>
                <w:rFonts w:hint="eastAsia" w:ascii="仿宋" w:hAnsi="仿宋" w:eastAsia="仿宋" w:cs="仿宋"/>
                <w:kern w:val="0"/>
                <w:sz w:val="20"/>
                <w:szCs w:val="20"/>
              </w:rPr>
              <w:t>水源热泵机组</w:t>
            </w:r>
          </w:p>
        </w:tc>
        <w:tc>
          <w:tcPr>
            <w:tcW w:w="4930" w:type="dxa"/>
            <w:tcBorders>
              <w:top w:val="nil"/>
              <w:left w:val="nil"/>
              <w:bottom w:val="single" w:color="000000" w:sz="8" w:space="0"/>
              <w:right w:val="single" w:color="000000" w:sz="8" w:space="0"/>
            </w:tcBorders>
            <w:noWrap/>
            <w:vAlign w:val="center"/>
          </w:tcPr>
          <w:p w14:paraId="732328A7">
            <w:pPr>
              <w:widowControl/>
              <w:jc w:val="left"/>
              <w:rPr>
                <w:rFonts w:ascii="仿宋" w:hAnsi="仿宋" w:eastAsia="仿宋" w:cs="仿宋"/>
                <w:kern w:val="0"/>
                <w:sz w:val="20"/>
                <w:szCs w:val="20"/>
              </w:rPr>
            </w:pPr>
            <w:r>
              <w:rPr>
                <w:rFonts w:hint="eastAsia" w:ascii="仿宋" w:hAnsi="仿宋" w:eastAsia="仿宋" w:cs="仿宋"/>
                <w:kern w:val="0"/>
                <w:sz w:val="20"/>
                <w:szCs w:val="20"/>
              </w:rPr>
              <w:t>《水（地）源热泵机组能效限定值及能效等级》（GB30721）</w:t>
            </w:r>
          </w:p>
        </w:tc>
      </w:tr>
      <w:tr w14:paraId="1BC21B4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292CFCA0">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207D3A54">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695F4390">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43FDFA63">
            <w:pPr>
              <w:widowControl/>
              <w:jc w:val="center"/>
              <w:rPr>
                <w:rFonts w:ascii="仿宋" w:hAnsi="仿宋" w:eastAsia="仿宋" w:cs="仿宋"/>
                <w:kern w:val="0"/>
                <w:sz w:val="20"/>
                <w:szCs w:val="20"/>
              </w:rPr>
            </w:pPr>
            <w:r>
              <w:rPr>
                <w:rFonts w:hint="eastAsia" w:ascii="仿宋" w:hAnsi="仿宋" w:eastAsia="仿宋" w:cs="仿宋"/>
                <w:kern w:val="0"/>
                <w:sz w:val="20"/>
                <w:szCs w:val="20"/>
              </w:rPr>
              <w:t>溴化锂吸收式冷水机组</w:t>
            </w:r>
          </w:p>
        </w:tc>
        <w:tc>
          <w:tcPr>
            <w:tcW w:w="4930" w:type="dxa"/>
            <w:tcBorders>
              <w:top w:val="nil"/>
              <w:left w:val="nil"/>
              <w:bottom w:val="single" w:color="000000" w:sz="8" w:space="0"/>
              <w:right w:val="single" w:color="000000" w:sz="8" w:space="0"/>
            </w:tcBorders>
            <w:noWrap/>
            <w:vAlign w:val="center"/>
          </w:tcPr>
          <w:p w14:paraId="0CE9B846">
            <w:pPr>
              <w:widowControl/>
              <w:jc w:val="left"/>
              <w:rPr>
                <w:rFonts w:ascii="仿宋" w:hAnsi="仿宋" w:eastAsia="仿宋" w:cs="仿宋"/>
                <w:kern w:val="0"/>
                <w:sz w:val="20"/>
                <w:szCs w:val="20"/>
              </w:rPr>
            </w:pPr>
            <w:r>
              <w:rPr>
                <w:rFonts w:hint="eastAsia" w:ascii="仿宋" w:hAnsi="仿宋" w:eastAsia="仿宋" w:cs="仿宋"/>
                <w:kern w:val="0"/>
                <w:sz w:val="20"/>
                <w:szCs w:val="20"/>
              </w:rPr>
              <w:t>《溴化锂吸收式冷水机组能效限定值及能效等级》（GB29540）</w:t>
            </w:r>
          </w:p>
        </w:tc>
      </w:tr>
      <w:tr w14:paraId="49300BD9">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16586AE5">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ADBFF1E">
            <w:pPr>
              <w:widowControl/>
              <w:jc w:val="left"/>
              <w:rPr>
                <w:rFonts w:ascii="仿宋" w:hAnsi="仿宋" w:eastAsia="仿宋" w:cs="仿宋"/>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ign w:val="center"/>
          </w:tcPr>
          <w:p w14:paraId="3292BCC7">
            <w:pPr>
              <w:widowControl/>
              <w:jc w:val="center"/>
              <w:rPr>
                <w:rFonts w:ascii="仿宋" w:hAnsi="仿宋" w:eastAsia="仿宋" w:cs="仿宋"/>
                <w:kern w:val="0"/>
                <w:sz w:val="20"/>
                <w:szCs w:val="20"/>
              </w:rPr>
            </w:pPr>
            <w:r>
              <w:rPr>
                <w:rFonts w:hint="eastAsia" w:ascii="仿宋" w:hAnsi="仿宋" w:eastAsia="仿宋" w:cs="仿宋"/>
                <w:kern w:val="0"/>
                <w:sz w:val="20"/>
                <w:szCs w:val="20"/>
              </w:rPr>
              <w:t>★A02052305空调机组</w:t>
            </w:r>
          </w:p>
        </w:tc>
        <w:tc>
          <w:tcPr>
            <w:tcW w:w="1612" w:type="dxa"/>
            <w:tcBorders>
              <w:top w:val="nil"/>
              <w:left w:val="nil"/>
              <w:bottom w:val="single" w:color="000000" w:sz="8" w:space="0"/>
              <w:right w:val="single" w:color="000000" w:sz="8" w:space="0"/>
            </w:tcBorders>
            <w:noWrap/>
            <w:vAlign w:val="center"/>
          </w:tcPr>
          <w:p w14:paraId="4A9CD862">
            <w:pPr>
              <w:widowControl/>
              <w:jc w:val="center"/>
              <w:rPr>
                <w:rFonts w:ascii="仿宋" w:hAnsi="仿宋" w:eastAsia="仿宋" w:cs="仿宋"/>
                <w:kern w:val="0"/>
                <w:sz w:val="20"/>
                <w:szCs w:val="20"/>
              </w:rPr>
            </w:pPr>
            <w:r>
              <w:rPr>
                <w:rFonts w:hint="eastAsia" w:ascii="仿宋" w:hAnsi="仿宋" w:eastAsia="仿宋" w:cs="仿宋"/>
                <w:kern w:val="0"/>
                <w:sz w:val="20"/>
                <w:szCs w:val="20"/>
              </w:rPr>
              <w:t>多联式空调（热泵）机组(制冷量&gt;14000W)</w:t>
            </w:r>
          </w:p>
        </w:tc>
        <w:tc>
          <w:tcPr>
            <w:tcW w:w="4930" w:type="dxa"/>
            <w:tcBorders>
              <w:top w:val="nil"/>
              <w:left w:val="nil"/>
              <w:bottom w:val="single" w:color="000000" w:sz="8" w:space="0"/>
              <w:right w:val="single" w:color="000000" w:sz="8" w:space="0"/>
            </w:tcBorders>
            <w:noWrap/>
            <w:vAlign w:val="center"/>
          </w:tcPr>
          <w:p w14:paraId="2350747E">
            <w:pPr>
              <w:widowControl/>
              <w:jc w:val="left"/>
              <w:rPr>
                <w:rFonts w:ascii="仿宋" w:hAnsi="仿宋" w:eastAsia="仿宋" w:cs="仿宋"/>
                <w:kern w:val="0"/>
                <w:sz w:val="20"/>
                <w:szCs w:val="20"/>
              </w:rPr>
            </w:pPr>
            <w:r>
              <w:rPr>
                <w:rFonts w:hint="eastAsia" w:ascii="仿宋" w:hAnsi="仿宋" w:eastAsia="仿宋" w:cs="仿宋"/>
                <w:kern w:val="0"/>
                <w:sz w:val="20"/>
                <w:szCs w:val="20"/>
              </w:rPr>
              <w:t>《多联式空调（热泵）机组能效限定值及能源效率等级》（GB21454）</w:t>
            </w:r>
          </w:p>
        </w:tc>
      </w:tr>
      <w:tr w14:paraId="7F04E2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16CEC06F">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F705A03">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55D21A62">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11B85CF0">
            <w:pPr>
              <w:widowControl/>
              <w:jc w:val="center"/>
              <w:rPr>
                <w:rFonts w:ascii="仿宋" w:hAnsi="仿宋" w:eastAsia="仿宋" w:cs="仿宋"/>
                <w:kern w:val="0"/>
                <w:sz w:val="20"/>
                <w:szCs w:val="20"/>
              </w:rPr>
            </w:pPr>
            <w:r>
              <w:rPr>
                <w:rFonts w:hint="eastAsia" w:ascii="仿宋" w:hAnsi="仿宋" w:eastAsia="仿宋" w:cs="仿宋"/>
                <w:kern w:val="0"/>
                <w:sz w:val="20"/>
                <w:szCs w:val="20"/>
              </w:rPr>
              <w:t>单元式空气调节机(制冷量&gt;14000W</w:t>
            </w:r>
          </w:p>
        </w:tc>
        <w:tc>
          <w:tcPr>
            <w:tcW w:w="4930" w:type="dxa"/>
            <w:tcBorders>
              <w:top w:val="nil"/>
              <w:left w:val="nil"/>
              <w:bottom w:val="single" w:color="000000" w:sz="8" w:space="0"/>
              <w:right w:val="single" w:color="000000" w:sz="8" w:space="0"/>
            </w:tcBorders>
            <w:noWrap/>
            <w:vAlign w:val="center"/>
          </w:tcPr>
          <w:p w14:paraId="1BEA641B">
            <w:pPr>
              <w:widowControl/>
              <w:jc w:val="left"/>
              <w:rPr>
                <w:rFonts w:ascii="仿宋" w:hAnsi="仿宋" w:eastAsia="仿宋" w:cs="仿宋"/>
                <w:kern w:val="0"/>
                <w:sz w:val="20"/>
                <w:szCs w:val="20"/>
              </w:rPr>
            </w:pPr>
            <w:r>
              <w:rPr>
                <w:rFonts w:hint="eastAsia" w:ascii="仿宋" w:hAnsi="仿宋" w:eastAsia="仿宋" w:cs="仿宋"/>
                <w:kern w:val="0"/>
                <w:sz w:val="20"/>
                <w:szCs w:val="20"/>
              </w:rPr>
              <w:t>《单元式空气调节机能效限定值及能效等级》（GB19576）《风管送风式空调机组能效限定值及能效等级》（GB37479）</w:t>
            </w:r>
          </w:p>
        </w:tc>
      </w:tr>
      <w:tr w14:paraId="4F00795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445AD0F0">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352F8EF">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114AA48E">
            <w:pPr>
              <w:widowControl/>
              <w:jc w:val="center"/>
              <w:rPr>
                <w:rFonts w:ascii="仿宋" w:hAnsi="仿宋" w:eastAsia="仿宋" w:cs="仿宋"/>
                <w:kern w:val="0"/>
                <w:sz w:val="20"/>
                <w:szCs w:val="20"/>
              </w:rPr>
            </w:pPr>
            <w:r>
              <w:rPr>
                <w:rFonts w:hint="eastAsia" w:ascii="仿宋" w:hAnsi="仿宋" w:eastAsia="仿宋" w:cs="仿宋"/>
                <w:kern w:val="0"/>
                <w:sz w:val="20"/>
                <w:szCs w:val="20"/>
              </w:rPr>
              <w:t>★A02052309专用制冷、空调设备</w:t>
            </w:r>
          </w:p>
        </w:tc>
        <w:tc>
          <w:tcPr>
            <w:tcW w:w="1612" w:type="dxa"/>
            <w:tcBorders>
              <w:top w:val="nil"/>
              <w:left w:val="nil"/>
              <w:bottom w:val="single" w:color="000000" w:sz="8" w:space="0"/>
              <w:right w:val="single" w:color="000000" w:sz="8" w:space="0"/>
            </w:tcBorders>
            <w:noWrap/>
            <w:vAlign w:val="center"/>
          </w:tcPr>
          <w:p w14:paraId="34E0DA1F">
            <w:pPr>
              <w:widowControl/>
              <w:jc w:val="center"/>
              <w:rPr>
                <w:rFonts w:ascii="仿宋" w:hAnsi="仿宋" w:eastAsia="仿宋" w:cs="仿宋"/>
                <w:kern w:val="0"/>
                <w:sz w:val="20"/>
                <w:szCs w:val="20"/>
              </w:rPr>
            </w:pPr>
            <w:r>
              <w:rPr>
                <w:rFonts w:hint="eastAsia" w:ascii="仿宋" w:hAnsi="仿宋" w:eastAsia="仿宋" w:cs="仿宋"/>
                <w:kern w:val="0"/>
                <w:sz w:val="20"/>
                <w:szCs w:val="20"/>
              </w:rPr>
              <w:t>机房空调</w:t>
            </w:r>
          </w:p>
        </w:tc>
        <w:tc>
          <w:tcPr>
            <w:tcW w:w="4930" w:type="dxa"/>
            <w:tcBorders>
              <w:top w:val="nil"/>
              <w:left w:val="nil"/>
              <w:bottom w:val="single" w:color="000000" w:sz="8" w:space="0"/>
              <w:right w:val="single" w:color="000000" w:sz="8" w:space="0"/>
            </w:tcBorders>
            <w:noWrap/>
            <w:vAlign w:val="center"/>
          </w:tcPr>
          <w:p w14:paraId="74E90A00">
            <w:pPr>
              <w:widowControl/>
              <w:jc w:val="left"/>
              <w:rPr>
                <w:rFonts w:ascii="仿宋" w:hAnsi="仿宋" w:eastAsia="仿宋" w:cs="仿宋"/>
                <w:kern w:val="0"/>
                <w:sz w:val="20"/>
                <w:szCs w:val="20"/>
              </w:rPr>
            </w:pPr>
            <w:r>
              <w:rPr>
                <w:rFonts w:hint="eastAsia" w:ascii="仿宋" w:hAnsi="仿宋" w:eastAsia="仿宋" w:cs="仿宋"/>
                <w:kern w:val="0"/>
                <w:sz w:val="20"/>
                <w:szCs w:val="20"/>
              </w:rPr>
              <w:t>《单元式空气调节机能效限定值及能效等级》（GB19576）</w:t>
            </w:r>
          </w:p>
        </w:tc>
      </w:tr>
      <w:tr w14:paraId="7D111423">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2A8193AD">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62467C9E">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06C5D455">
            <w:pPr>
              <w:widowControl/>
              <w:jc w:val="center"/>
              <w:rPr>
                <w:rFonts w:ascii="仿宋" w:hAnsi="仿宋" w:eastAsia="仿宋" w:cs="仿宋"/>
                <w:kern w:val="0"/>
                <w:sz w:val="20"/>
                <w:szCs w:val="20"/>
              </w:rPr>
            </w:pPr>
            <w:r>
              <w:rPr>
                <w:rFonts w:hint="eastAsia" w:ascii="仿宋" w:hAnsi="仿宋" w:eastAsia="仿宋" w:cs="仿宋"/>
                <w:kern w:val="0"/>
                <w:sz w:val="20"/>
                <w:szCs w:val="20"/>
              </w:rPr>
              <w:t>A02052399其他制冷空调设备</w:t>
            </w:r>
          </w:p>
        </w:tc>
        <w:tc>
          <w:tcPr>
            <w:tcW w:w="1612" w:type="dxa"/>
            <w:tcBorders>
              <w:top w:val="nil"/>
              <w:left w:val="nil"/>
              <w:bottom w:val="single" w:color="000000" w:sz="8" w:space="0"/>
              <w:right w:val="single" w:color="000000" w:sz="8" w:space="0"/>
            </w:tcBorders>
            <w:noWrap/>
            <w:vAlign w:val="center"/>
          </w:tcPr>
          <w:p w14:paraId="57039A5E">
            <w:pPr>
              <w:widowControl/>
              <w:jc w:val="center"/>
              <w:rPr>
                <w:rFonts w:ascii="仿宋" w:hAnsi="仿宋" w:eastAsia="仿宋" w:cs="仿宋"/>
                <w:kern w:val="0"/>
                <w:sz w:val="20"/>
                <w:szCs w:val="20"/>
              </w:rPr>
            </w:pPr>
            <w:r>
              <w:rPr>
                <w:rFonts w:hint="eastAsia" w:ascii="仿宋" w:hAnsi="仿宋" w:eastAsia="仿宋" w:cs="仿宋"/>
                <w:kern w:val="0"/>
                <w:sz w:val="20"/>
                <w:szCs w:val="20"/>
              </w:rPr>
              <w:t>冷却塔</w:t>
            </w:r>
          </w:p>
        </w:tc>
        <w:tc>
          <w:tcPr>
            <w:tcW w:w="4930" w:type="dxa"/>
            <w:tcBorders>
              <w:top w:val="nil"/>
              <w:left w:val="nil"/>
              <w:bottom w:val="single" w:color="000000" w:sz="8" w:space="0"/>
              <w:right w:val="single" w:color="000000" w:sz="8" w:space="0"/>
            </w:tcBorders>
            <w:noWrap/>
            <w:vAlign w:val="center"/>
          </w:tcPr>
          <w:p w14:paraId="02663917">
            <w:pPr>
              <w:widowControl/>
              <w:jc w:val="left"/>
              <w:rPr>
                <w:rFonts w:ascii="仿宋" w:hAnsi="仿宋" w:eastAsia="仿宋" w:cs="仿宋"/>
                <w:kern w:val="0"/>
                <w:sz w:val="20"/>
                <w:szCs w:val="20"/>
              </w:rPr>
            </w:pPr>
            <w:r>
              <w:rPr>
                <w:rFonts w:hint="eastAsia" w:ascii="仿宋" w:hAnsi="仿宋" w:eastAsia="仿宋" w:cs="仿宋"/>
                <w:kern w:val="0"/>
                <w:sz w:val="20"/>
                <w:szCs w:val="20"/>
              </w:rPr>
              <w:t>《机械通风冷却塔第1部分：中小型开式冷却塔》（GB/T7190.1）；《机械通风冷却塔第2部分：大型开式冷却塔》（GB/T7190.2）</w:t>
            </w:r>
          </w:p>
        </w:tc>
      </w:tr>
      <w:tr w14:paraId="2530C3F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22CE932E">
            <w:pPr>
              <w:widowControl/>
              <w:jc w:val="center"/>
              <w:rPr>
                <w:rFonts w:ascii="仿宋" w:hAnsi="仿宋" w:eastAsia="仿宋" w:cs="仿宋"/>
                <w:kern w:val="0"/>
                <w:sz w:val="20"/>
                <w:szCs w:val="20"/>
              </w:rPr>
            </w:pPr>
            <w:r>
              <w:rPr>
                <w:rFonts w:hint="eastAsia" w:ascii="仿宋" w:hAnsi="仿宋" w:eastAsia="仿宋" w:cs="仿宋"/>
                <w:kern w:val="0"/>
                <w:sz w:val="20"/>
                <w:szCs w:val="20"/>
              </w:rPr>
              <w:t>7</w:t>
            </w:r>
          </w:p>
        </w:tc>
        <w:tc>
          <w:tcPr>
            <w:tcW w:w="1116" w:type="dxa"/>
            <w:tcBorders>
              <w:top w:val="nil"/>
              <w:left w:val="nil"/>
              <w:bottom w:val="single" w:color="000000" w:sz="8" w:space="0"/>
              <w:right w:val="single" w:color="000000" w:sz="8" w:space="0"/>
            </w:tcBorders>
            <w:noWrap/>
            <w:vAlign w:val="center"/>
          </w:tcPr>
          <w:p w14:paraId="4F484ADB">
            <w:pPr>
              <w:widowControl/>
              <w:jc w:val="center"/>
              <w:rPr>
                <w:rFonts w:ascii="仿宋" w:hAnsi="仿宋" w:eastAsia="仿宋" w:cs="仿宋"/>
                <w:kern w:val="0"/>
                <w:sz w:val="20"/>
                <w:szCs w:val="20"/>
              </w:rPr>
            </w:pPr>
            <w:r>
              <w:rPr>
                <w:rFonts w:hint="eastAsia" w:ascii="仿宋" w:hAnsi="仿宋" w:eastAsia="仿宋" w:cs="仿宋"/>
                <w:kern w:val="0"/>
                <w:sz w:val="20"/>
                <w:szCs w:val="20"/>
              </w:rPr>
              <w:t>A020601电机</w:t>
            </w:r>
          </w:p>
        </w:tc>
        <w:tc>
          <w:tcPr>
            <w:tcW w:w="1516" w:type="dxa"/>
            <w:tcBorders>
              <w:top w:val="nil"/>
              <w:left w:val="nil"/>
              <w:bottom w:val="single" w:color="000000" w:sz="8" w:space="0"/>
              <w:right w:val="single" w:color="000000" w:sz="8" w:space="0"/>
            </w:tcBorders>
            <w:noWrap/>
            <w:vAlign w:val="center"/>
          </w:tcPr>
          <w:p w14:paraId="6964CF64">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612" w:type="dxa"/>
            <w:tcBorders>
              <w:top w:val="nil"/>
              <w:left w:val="nil"/>
              <w:bottom w:val="single" w:color="000000" w:sz="8" w:space="0"/>
              <w:right w:val="single" w:color="000000" w:sz="8" w:space="0"/>
            </w:tcBorders>
            <w:noWrap/>
            <w:vAlign w:val="center"/>
          </w:tcPr>
          <w:p w14:paraId="15B8D9F0">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3A38180D">
            <w:pPr>
              <w:widowControl/>
              <w:jc w:val="left"/>
              <w:rPr>
                <w:rFonts w:ascii="仿宋" w:hAnsi="仿宋" w:eastAsia="仿宋" w:cs="仿宋"/>
                <w:kern w:val="0"/>
                <w:sz w:val="20"/>
                <w:szCs w:val="20"/>
              </w:rPr>
            </w:pPr>
            <w:r>
              <w:rPr>
                <w:rFonts w:hint="eastAsia" w:ascii="仿宋" w:hAnsi="仿宋" w:eastAsia="仿宋" w:cs="仿宋"/>
                <w:kern w:val="0"/>
                <w:sz w:val="20"/>
                <w:szCs w:val="20"/>
              </w:rPr>
              <w:t>《中小型三相异步电动机能效限定值及能效等级》（GB18613）</w:t>
            </w:r>
          </w:p>
        </w:tc>
      </w:tr>
      <w:tr w14:paraId="711DF1E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4E7DCB4C">
            <w:pPr>
              <w:widowControl/>
              <w:jc w:val="center"/>
              <w:rPr>
                <w:rFonts w:ascii="仿宋" w:hAnsi="仿宋" w:eastAsia="仿宋" w:cs="仿宋"/>
                <w:kern w:val="0"/>
                <w:sz w:val="20"/>
                <w:szCs w:val="20"/>
              </w:rPr>
            </w:pPr>
            <w:r>
              <w:rPr>
                <w:rFonts w:hint="eastAsia" w:ascii="仿宋" w:hAnsi="仿宋" w:eastAsia="仿宋" w:cs="仿宋"/>
                <w:kern w:val="0"/>
                <w:sz w:val="20"/>
                <w:szCs w:val="20"/>
              </w:rPr>
              <w:t>8</w:t>
            </w:r>
          </w:p>
        </w:tc>
        <w:tc>
          <w:tcPr>
            <w:tcW w:w="1116" w:type="dxa"/>
            <w:tcBorders>
              <w:top w:val="nil"/>
              <w:left w:val="nil"/>
              <w:bottom w:val="single" w:color="000000" w:sz="8" w:space="0"/>
              <w:right w:val="single" w:color="000000" w:sz="8" w:space="0"/>
            </w:tcBorders>
            <w:noWrap/>
            <w:vAlign w:val="center"/>
          </w:tcPr>
          <w:p w14:paraId="78A374E5">
            <w:pPr>
              <w:widowControl/>
              <w:jc w:val="center"/>
              <w:rPr>
                <w:rFonts w:ascii="仿宋" w:hAnsi="仿宋" w:eastAsia="仿宋" w:cs="仿宋"/>
                <w:kern w:val="0"/>
                <w:sz w:val="20"/>
                <w:szCs w:val="20"/>
              </w:rPr>
            </w:pPr>
            <w:r>
              <w:rPr>
                <w:rFonts w:hint="eastAsia" w:ascii="仿宋" w:hAnsi="仿宋" w:eastAsia="仿宋" w:cs="仿宋"/>
                <w:kern w:val="0"/>
                <w:sz w:val="20"/>
                <w:szCs w:val="20"/>
              </w:rPr>
              <w:t>A020602变压器</w:t>
            </w:r>
          </w:p>
        </w:tc>
        <w:tc>
          <w:tcPr>
            <w:tcW w:w="1516" w:type="dxa"/>
            <w:tcBorders>
              <w:top w:val="nil"/>
              <w:left w:val="nil"/>
              <w:bottom w:val="single" w:color="000000" w:sz="8" w:space="0"/>
              <w:right w:val="single" w:color="000000" w:sz="8" w:space="0"/>
            </w:tcBorders>
            <w:noWrap/>
            <w:vAlign w:val="center"/>
          </w:tcPr>
          <w:p w14:paraId="083882C4">
            <w:pPr>
              <w:widowControl/>
              <w:jc w:val="center"/>
              <w:rPr>
                <w:rFonts w:ascii="仿宋" w:hAnsi="仿宋" w:eastAsia="仿宋" w:cs="仿宋"/>
                <w:kern w:val="0"/>
                <w:sz w:val="20"/>
                <w:szCs w:val="20"/>
              </w:rPr>
            </w:pPr>
            <w:r>
              <w:rPr>
                <w:rFonts w:hint="eastAsia" w:ascii="仿宋" w:hAnsi="仿宋" w:eastAsia="仿宋" w:cs="仿宋"/>
                <w:kern w:val="0"/>
                <w:sz w:val="20"/>
                <w:szCs w:val="20"/>
              </w:rPr>
              <w:t>配电变压器</w:t>
            </w:r>
          </w:p>
        </w:tc>
        <w:tc>
          <w:tcPr>
            <w:tcW w:w="1612" w:type="dxa"/>
            <w:tcBorders>
              <w:top w:val="nil"/>
              <w:left w:val="nil"/>
              <w:bottom w:val="single" w:color="000000" w:sz="8" w:space="0"/>
              <w:right w:val="single" w:color="000000" w:sz="8" w:space="0"/>
            </w:tcBorders>
            <w:noWrap/>
            <w:vAlign w:val="center"/>
          </w:tcPr>
          <w:p w14:paraId="5AABF409">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03A6DC4B">
            <w:pPr>
              <w:widowControl/>
              <w:jc w:val="left"/>
              <w:rPr>
                <w:rFonts w:ascii="仿宋" w:hAnsi="仿宋" w:eastAsia="仿宋" w:cs="仿宋"/>
                <w:kern w:val="0"/>
                <w:sz w:val="20"/>
                <w:szCs w:val="20"/>
              </w:rPr>
            </w:pPr>
            <w:r>
              <w:rPr>
                <w:rFonts w:hint="eastAsia" w:ascii="仿宋" w:hAnsi="仿宋" w:eastAsia="仿宋" w:cs="仿宋"/>
                <w:kern w:val="0"/>
                <w:sz w:val="20"/>
                <w:szCs w:val="20"/>
              </w:rPr>
              <w:t>《三相配电变压器能效限定值及能效等级》（GB20052）</w:t>
            </w:r>
          </w:p>
        </w:tc>
      </w:tr>
      <w:tr w14:paraId="43E120E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71579072">
            <w:pPr>
              <w:widowControl/>
              <w:jc w:val="center"/>
              <w:rPr>
                <w:rFonts w:ascii="仿宋" w:hAnsi="仿宋" w:eastAsia="仿宋" w:cs="仿宋"/>
                <w:kern w:val="0"/>
                <w:sz w:val="20"/>
                <w:szCs w:val="20"/>
              </w:rPr>
            </w:pPr>
            <w:r>
              <w:rPr>
                <w:rFonts w:hint="eastAsia" w:ascii="仿宋" w:hAnsi="仿宋" w:eastAsia="仿宋" w:cs="仿宋"/>
                <w:kern w:val="0"/>
                <w:sz w:val="20"/>
                <w:szCs w:val="20"/>
              </w:rPr>
              <w:t>9</w:t>
            </w:r>
          </w:p>
        </w:tc>
        <w:tc>
          <w:tcPr>
            <w:tcW w:w="1116" w:type="dxa"/>
            <w:tcBorders>
              <w:top w:val="nil"/>
              <w:left w:val="nil"/>
              <w:bottom w:val="single" w:color="000000" w:sz="8" w:space="0"/>
              <w:right w:val="single" w:color="000000" w:sz="8" w:space="0"/>
            </w:tcBorders>
            <w:noWrap/>
            <w:vAlign w:val="center"/>
          </w:tcPr>
          <w:p w14:paraId="08EBDD53">
            <w:pPr>
              <w:widowControl/>
              <w:jc w:val="center"/>
              <w:rPr>
                <w:rFonts w:ascii="仿宋" w:hAnsi="仿宋" w:eastAsia="仿宋" w:cs="仿宋"/>
                <w:kern w:val="0"/>
                <w:sz w:val="20"/>
                <w:szCs w:val="20"/>
              </w:rPr>
            </w:pPr>
            <w:r>
              <w:rPr>
                <w:rFonts w:hint="eastAsia" w:ascii="仿宋" w:hAnsi="仿宋" w:eastAsia="仿宋" w:cs="仿宋"/>
                <w:kern w:val="0"/>
                <w:sz w:val="20"/>
                <w:szCs w:val="20"/>
              </w:rPr>
              <w:t>★A020609镇流器</w:t>
            </w:r>
          </w:p>
        </w:tc>
        <w:tc>
          <w:tcPr>
            <w:tcW w:w="1516" w:type="dxa"/>
            <w:tcBorders>
              <w:top w:val="nil"/>
              <w:left w:val="nil"/>
              <w:bottom w:val="single" w:color="000000" w:sz="8" w:space="0"/>
              <w:right w:val="single" w:color="000000" w:sz="8" w:space="0"/>
            </w:tcBorders>
            <w:noWrap/>
            <w:vAlign w:val="center"/>
          </w:tcPr>
          <w:p w14:paraId="326654CD">
            <w:pPr>
              <w:widowControl/>
              <w:jc w:val="center"/>
              <w:rPr>
                <w:rFonts w:ascii="仿宋" w:hAnsi="仿宋" w:eastAsia="仿宋" w:cs="仿宋"/>
                <w:kern w:val="0"/>
                <w:sz w:val="20"/>
                <w:szCs w:val="20"/>
              </w:rPr>
            </w:pPr>
            <w:r>
              <w:rPr>
                <w:rFonts w:hint="eastAsia" w:ascii="仿宋" w:hAnsi="仿宋" w:eastAsia="仿宋" w:cs="仿宋"/>
                <w:kern w:val="0"/>
                <w:sz w:val="20"/>
                <w:szCs w:val="20"/>
              </w:rPr>
              <w:t>管型荧光灯镇流器</w:t>
            </w:r>
          </w:p>
        </w:tc>
        <w:tc>
          <w:tcPr>
            <w:tcW w:w="1612" w:type="dxa"/>
            <w:tcBorders>
              <w:top w:val="nil"/>
              <w:left w:val="nil"/>
              <w:bottom w:val="single" w:color="000000" w:sz="8" w:space="0"/>
              <w:right w:val="single" w:color="000000" w:sz="8" w:space="0"/>
            </w:tcBorders>
            <w:noWrap/>
            <w:vAlign w:val="center"/>
          </w:tcPr>
          <w:p w14:paraId="380ED499">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315F9E98">
            <w:pPr>
              <w:widowControl/>
              <w:jc w:val="left"/>
              <w:rPr>
                <w:rFonts w:ascii="仿宋" w:hAnsi="仿宋" w:eastAsia="仿宋" w:cs="仿宋"/>
                <w:kern w:val="0"/>
                <w:sz w:val="20"/>
                <w:szCs w:val="20"/>
              </w:rPr>
            </w:pPr>
            <w:r>
              <w:rPr>
                <w:rFonts w:hint="eastAsia" w:ascii="仿宋" w:hAnsi="仿宋" w:eastAsia="仿宋" w:cs="仿宋"/>
                <w:kern w:val="0"/>
                <w:sz w:val="20"/>
                <w:szCs w:val="20"/>
              </w:rPr>
              <w:t>《管形荧光灯镇流器能效限定值及能效等级》（GB17896）</w:t>
            </w:r>
          </w:p>
        </w:tc>
      </w:tr>
      <w:tr w14:paraId="2CF922C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ign w:val="center"/>
          </w:tcPr>
          <w:p w14:paraId="0FF39848">
            <w:pPr>
              <w:widowControl/>
              <w:jc w:val="center"/>
              <w:rPr>
                <w:rFonts w:ascii="仿宋" w:hAnsi="仿宋" w:eastAsia="仿宋" w:cs="仿宋"/>
                <w:kern w:val="0"/>
                <w:sz w:val="20"/>
                <w:szCs w:val="20"/>
              </w:rPr>
            </w:pPr>
            <w:r>
              <w:rPr>
                <w:rFonts w:hint="eastAsia" w:ascii="仿宋" w:hAnsi="仿宋" w:eastAsia="仿宋" w:cs="仿宋"/>
                <w:kern w:val="0"/>
                <w:sz w:val="20"/>
                <w:szCs w:val="20"/>
              </w:rPr>
              <w:t>10</w:t>
            </w:r>
          </w:p>
        </w:tc>
        <w:tc>
          <w:tcPr>
            <w:tcW w:w="1116" w:type="dxa"/>
            <w:vMerge w:val="restart"/>
            <w:tcBorders>
              <w:top w:val="nil"/>
              <w:left w:val="single" w:color="000000" w:sz="8" w:space="0"/>
              <w:bottom w:val="single" w:color="000000" w:sz="8" w:space="0"/>
              <w:right w:val="single" w:color="000000" w:sz="8" w:space="0"/>
            </w:tcBorders>
            <w:noWrap/>
            <w:vAlign w:val="center"/>
          </w:tcPr>
          <w:p w14:paraId="1EDA8FD9">
            <w:pPr>
              <w:widowControl/>
              <w:jc w:val="center"/>
              <w:rPr>
                <w:rFonts w:ascii="仿宋" w:hAnsi="仿宋" w:eastAsia="仿宋" w:cs="仿宋"/>
                <w:kern w:val="0"/>
                <w:sz w:val="20"/>
                <w:szCs w:val="20"/>
              </w:rPr>
            </w:pPr>
            <w:r>
              <w:rPr>
                <w:rFonts w:hint="eastAsia" w:ascii="仿宋" w:hAnsi="仿宋" w:eastAsia="仿宋" w:cs="仿宋"/>
                <w:kern w:val="0"/>
                <w:sz w:val="20"/>
                <w:szCs w:val="20"/>
              </w:rPr>
              <w:t>A020618生活用电器</w:t>
            </w:r>
          </w:p>
        </w:tc>
        <w:tc>
          <w:tcPr>
            <w:tcW w:w="1516" w:type="dxa"/>
            <w:tcBorders>
              <w:top w:val="nil"/>
              <w:left w:val="nil"/>
              <w:bottom w:val="single" w:color="000000" w:sz="8" w:space="0"/>
              <w:right w:val="single" w:color="000000" w:sz="8" w:space="0"/>
            </w:tcBorders>
            <w:noWrap/>
            <w:vAlign w:val="center"/>
          </w:tcPr>
          <w:p w14:paraId="7903E62B">
            <w:pPr>
              <w:widowControl/>
              <w:jc w:val="center"/>
              <w:rPr>
                <w:rFonts w:ascii="仿宋" w:hAnsi="仿宋" w:eastAsia="仿宋" w:cs="仿宋"/>
                <w:kern w:val="0"/>
                <w:sz w:val="20"/>
                <w:szCs w:val="20"/>
              </w:rPr>
            </w:pPr>
            <w:r>
              <w:rPr>
                <w:rFonts w:hint="eastAsia" w:ascii="仿宋" w:hAnsi="仿宋" w:eastAsia="仿宋" w:cs="仿宋"/>
                <w:kern w:val="0"/>
                <w:sz w:val="20"/>
                <w:szCs w:val="20"/>
              </w:rPr>
              <w:t>A0206180101电冰箱</w:t>
            </w:r>
          </w:p>
        </w:tc>
        <w:tc>
          <w:tcPr>
            <w:tcW w:w="1612" w:type="dxa"/>
            <w:tcBorders>
              <w:top w:val="nil"/>
              <w:left w:val="nil"/>
              <w:bottom w:val="single" w:color="000000" w:sz="8" w:space="0"/>
              <w:right w:val="single" w:color="000000" w:sz="8" w:space="0"/>
            </w:tcBorders>
            <w:noWrap/>
            <w:vAlign w:val="center"/>
          </w:tcPr>
          <w:p w14:paraId="384C8586">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52646930">
            <w:pPr>
              <w:widowControl/>
              <w:jc w:val="left"/>
              <w:rPr>
                <w:rFonts w:ascii="仿宋" w:hAnsi="仿宋" w:eastAsia="仿宋" w:cs="仿宋"/>
                <w:kern w:val="0"/>
                <w:sz w:val="20"/>
                <w:szCs w:val="20"/>
              </w:rPr>
            </w:pPr>
            <w:r>
              <w:rPr>
                <w:rFonts w:hint="eastAsia" w:ascii="仿宋" w:hAnsi="仿宋" w:eastAsia="仿宋" w:cs="仿宋"/>
                <w:kern w:val="0"/>
                <w:sz w:val="20"/>
                <w:szCs w:val="20"/>
              </w:rPr>
              <w:t>《家用电冰箱耗电量限定值及能效等级》（GB 12021.2）</w:t>
            </w:r>
          </w:p>
        </w:tc>
      </w:tr>
      <w:tr w14:paraId="5ECDC7C5">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357D6616">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CC7C99E">
            <w:pPr>
              <w:widowControl/>
              <w:jc w:val="left"/>
              <w:rPr>
                <w:rFonts w:ascii="仿宋" w:hAnsi="仿宋" w:eastAsia="仿宋" w:cs="仿宋"/>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ign w:val="center"/>
          </w:tcPr>
          <w:p w14:paraId="62B47B37">
            <w:pPr>
              <w:widowControl/>
              <w:jc w:val="center"/>
              <w:rPr>
                <w:rFonts w:ascii="仿宋" w:hAnsi="仿宋" w:eastAsia="仿宋" w:cs="仿宋"/>
                <w:kern w:val="0"/>
                <w:sz w:val="20"/>
                <w:szCs w:val="20"/>
              </w:rPr>
            </w:pPr>
            <w:r>
              <w:rPr>
                <w:rFonts w:hint="eastAsia" w:ascii="仿宋" w:hAnsi="仿宋" w:eastAsia="仿宋" w:cs="仿宋"/>
                <w:kern w:val="0"/>
                <w:sz w:val="20"/>
                <w:szCs w:val="20"/>
              </w:rPr>
              <w:t>★A0206180203空调机</w:t>
            </w:r>
          </w:p>
        </w:tc>
        <w:tc>
          <w:tcPr>
            <w:tcW w:w="1612" w:type="dxa"/>
            <w:tcBorders>
              <w:top w:val="nil"/>
              <w:left w:val="nil"/>
              <w:bottom w:val="single" w:color="000000" w:sz="8" w:space="0"/>
              <w:right w:val="single" w:color="000000" w:sz="8" w:space="0"/>
            </w:tcBorders>
            <w:noWrap/>
            <w:vAlign w:val="center"/>
          </w:tcPr>
          <w:p w14:paraId="0ED97F3B">
            <w:pPr>
              <w:widowControl/>
              <w:jc w:val="center"/>
              <w:rPr>
                <w:rFonts w:ascii="仿宋" w:hAnsi="仿宋" w:eastAsia="仿宋" w:cs="仿宋"/>
                <w:kern w:val="0"/>
                <w:sz w:val="20"/>
                <w:szCs w:val="20"/>
              </w:rPr>
            </w:pPr>
            <w:r>
              <w:rPr>
                <w:rFonts w:hint="eastAsia" w:ascii="仿宋" w:hAnsi="仿宋" w:eastAsia="仿宋" w:cs="仿宋"/>
                <w:kern w:val="0"/>
                <w:sz w:val="20"/>
                <w:szCs w:val="20"/>
              </w:rPr>
              <w:t>房间空气调节器</w:t>
            </w:r>
          </w:p>
        </w:tc>
        <w:tc>
          <w:tcPr>
            <w:tcW w:w="4930" w:type="dxa"/>
            <w:tcBorders>
              <w:top w:val="nil"/>
              <w:left w:val="nil"/>
              <w:bottom w:val="single" w:color="000000" w:sz="8" w:space="0"/>
              <w:right w:val="single" w:color="000000" w:sz="8" w:space="0"/>
            </w:tcBorders>
            <w:noWrap/>
            <w:vAlign w:val="center"/>
          </w:tcPr>
          <w:p w14:paraId="07D5CD82">
            <w:pPr>
              <w:widowControl/>
              <w:jc w:val="left"/>
              <w:rPr>
                <w:rFonts w:ascii="仿宋" w:hAnsi="仿宋" w:eastAsia="仿宋" w:cs="仿宋"/>
                <w:kern w:val="0"/>
                <w:sz w:val="20"/>
                <w:szCs w:val="20"/>
              </w:rPr>
            </w:pPr>
            <w:r>
              <w:rPr>
                <w:rFonts w:hint="eastAsia" w:ascii="仿宋" w:hAnsi="仿宋" w:eastAsia="仿宋" w:cs="仿宋"/>
                <w:kern w:val="0"/>
                <w:sz w:val="20"/>
                <w:szCs w:val="20"/>
              </w:rPr>
              <w:t>《转速可控型房间空气调节器能效限定值及能效等级》（GB21455-2013），待2019年修订发布后，按《房间空气调节器能效限定值及能效等级》（GB21455-2019实施。</w:t>
            </w:r>
          </w:p>
        </w:tc>
      </w:tr>
      <w:tr w14:paraId="6A1FB25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6F45997E">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6A951638">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3734A32A">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2E54157B">
            <w:pPr>
              <w:widowControl/>
              <w:jc w:val="center"/>
              <w:rPr>
                <w:rFonts w:ascii="仿宋" w:hAnsi="仿宋" w:eastAsia="仿宋" w:cs="仿宋"/>
                <w:kern w:val="0"/>
                <w:sz w:val="20"/>
                <w:szCs w:val="20"/>
              </w:rPr>
            </w:pPr>
            <w:r>
              <w:rPr>
                <w:rFonts w:hint="eastAsia" w:ascii="仿宋" w:hAnsi="仿宋" w:eastAsia="仿宋" w:cs="仿宋"/>
                <w:kern w:val="0"/>
                <w:sz w:val="20"/>
                <w:szCs w:val="20"/>
              </w:rPr>
              <w:t>多联式空调（热泵）机组（制冷量≤ 14000W）</w:t>
            </w:r>
          </w:p>
        </w:tc>
        <w:tc>
          <w:tcPr>
            <w:tcW w:w="4930" w:type="dxa"/>
            <w:tcBorders>
              <w:top w:val="nil"/>
              <w:left w:val="nil"/>
              <w:bottom w:val="single" w:color="000000" w:sz="8" w:space="0"/>
              <w:right w:val="single" w:color="000000" w:sz="8" w:space="0"/>
            </w:tcBorders>
            <w:noWrap/>
            <w:vAlign w:val="center"/>
          </w:tcPr>
          <w:p w14:paraId="357FD1FB">
            <w:pPr>
              <w:widowControl/>
              <w:jc w:val="left"/>
              <w:rPr>
                <w:rFonts w:ascii="仿宋" w:hAnsi="仿宋" w:eastAsia="仿宋" w:cs="仿宋"/>
                <w:kern w:val="0"/>
                <w:sz w:val="20"/>
                <w:szCs w:val="20"/>
              </w:rPr>
            </w:pPr>
            <w:r>
              <w:rPr>
                <w:rFonts w:hint="eastAsia" w:ascii="仿宋" w:hAnsi="仿宋" w:eastAsia="仿宋" w:cs="仿宋"/>
                <w:kern w:val="0"/>
                <w:sz w:val="20"/>
                <w:szCs w:val="20"/>
              </w:rPr>
              <w:t>《多联式空调（热泵）机组能效限定值及能源效率等级》（GB21454）</w:t>
            </w:r>
          </w:p>
        </w:tc>
      </w:tr>
      <w:tr w14:paraId="0E44D739">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40519D71">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4A0D26A">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385A5CD2">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0116727C">
            <w:pPr>
              <w:widowControl/>
              <w:jc w:val="center"/>
              <w:rPr>
                <w:rFonts w:ascii="仿宋" w:hAnsi="仿宋" w:eastAsia="仿宋" w:cs="仿宋"/>
                <w:kern w:val="0"/>
                <w:sz w:val="20"/>
                <w:szCs w:val="20"/>
              </w:rPr>
            </w:pPr>
            <w:r>
              <w:rPr>
                <w:rFonts w:hint="eastAsia" w:ascii="仿宋" w:hAnsi="仿宋" w:eastAsia="仿宋" w:cs="仿宋"/>
                <w:kern w:val="0"/>
                <w:sz w:val="20"/>
                <w:szCs w:val="20"/>
              </w:rPr>
              <w:t>单元式空气调节机(制冷量≤14000W)</w:t>
            </w:r>
          </w:p>
        </w:tc>
        <w:tc>
          <w:tcPr>
            <w:tcW w:w="4930" w:type="dxa"/>
            <w:tcBorders>
              <w:top w:val="nil"/>
              <w:left w:val="nil"/>
              <w:bottom w:val="single" w:color="000000" w:sz="8" w:space="0"/>
              <w:right w:val="single" w:color="000000" w:sz="8" w:space="0"/>
            </w:tcBorders>
            <w:noWrap/>
            <w:vAlign w:val="center"/>
          </w:tcPr>
          <w:p w14:paraId="6AA766D1">
            <w:pPr>
              <w:widowControl/>
              <w:jc w:val="left"/>
              <w:rPr>
                <w:rFonts w:ascii="仿宋" w:hAnsi="仿宋" w:eastAsia="仿宋" w:cs="仿宋"/>
                <w:kern w:val="0"/>
                <w:sz w:val="20"/>
                <w:szCs w:val="20"/>
              </w:rPr>
            </w:pPr>
            <w:r>
              <w:rPr>
                <w:rFonts w:hint="eastAsia" w:ascii="仿宋" w:hAnsi="仿宋" w:eastAsia="仿宋" w:cs="仿宋"/>
                <w:kern w:val="0"/>
                <w:sz w:val="20"/>
                <w:szCs w:val="20"/>
              </w:rPr>
              <w:t>《单元式空气调节机能效限定值及能源效率等级》（GB19576）《风管送风式空调机组能效限定值及能效等级》（GB37479）</w:t>
            </w:r>
          </w:p>
        </w:tc>
      </w:tr>
      <w:tr w14:paraId="4D477D3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636EB852">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4B8B0A5E">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5915D357">
            <w:pPr>
              <w:widowControl/>
              <w:jc w:val="center"/>
              <w:rPr>
                <w:rFonts w:ascii="仿宋" w:hAnsi="仿宋" w:eastAsia="仿宋" w:cs="仿宋"/>
                <w:kern w:val="0"/>
                <w:sz w:val="20"/>
                <w:szCs w:val="20"/>
              </w:rPr>
            </w:pPr>
            <w:r>
              <w:rPr>
                <w:rFonts w:hint="eastAsia" w:ascii="仿宋" w:hAnsi="仿宋" w:eastAsia="仿宋" w:cs="仿宋"/>
                <w:kern w:val="0"/>
                <w:sz w:val="20"/>
                <w:szCs w:val="20"/>
              </w:rPr>
              <w:t>A0206180301洗衣机</w:t>
            </w:r>
          </w:p>
        </w:tc>
        <w:tc>
          <w:tcPr>
            <w:tcW w:w="1612" w:type="dxa"/>
            <w:tcBorders>
              <w:top w:val="nil"/>
              <w:left w:val="nil"/>
              <w:bottom w:val="single" w:color="000000" w:sz="8" w:space="0"/>
              <w:right w:val="single" w:color="000000" w:sz="8" w:space="0"/>
            </w:tcBorders>
            <w:noWrap/>
            <w:vAlign w:val="center"/>
          </w:tcPr>
          <w:p w14:paraId="387D4EE0">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40CBEE3D">
            <w:pPr>
              <w:widowControl/>
              <w:jc w:val="left"/>
              <w:rPr>
                <w:rFonts w:ascii="仿宋" w:hAnsi="仿宋" w:eastAsia="仿宋" w:cs="仿宋"/>
                <w:kern w:val="0"/>
                <w:sz w:val="20"/>
                <w:szCs w:val="20"/>
              </w:rPr>
            </w:pPr>
            <w:r>
              <w:rPr>
                <w:rFonts w:hint="eastAsia" w:ascii="仿宋" w:hAnsi="仿宋" w:eastAsia="仿宋" w:cs="仿宋"/>
                <w:kern w:val="0"/>
                <w:sz w:val="20"/>
                <w:szCs w:val="20"/>
              </w:rPr>
              <w:t>《电动洗衣机能效水效限定值及等级》（GB12021.4）</w:t>
            </w:r>
          </w:p>
        </w:tc>
      </w:tr>
      <w:tr w14:paraId="759EA2E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0B34DE19">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50B89253">
            <w:pPr>
              <w:widowControl/>
              <w:jc w:val="left"/>
              <w:rPr>
                <w:rFonts w:ascii="仿宋" w:hAnsi="仿宋" w:eastAsia="仿宋" w:cs="仿宋"/>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ign w:val="center"/>
          </w:tcPr>
          <w:p w14:paraId="53A18411">
            <w:pPr>
              <w:widowControl/>
              <w:jc w:val="center"/>
              <w:rPr>
                <w:rFonts w:ascii="仿宋" w:hAnsi="仿宋" w:eastAsia="仿宋" w:cs="仿宋"/>
                <w:kern w:val="0"/>
                <w:sz w:val="20"/>
                <w:szCs w:val="20"/>
              </w:rPr>
            </w:pPr>
            <w:r>
              <w:rPr>
                <w:rFonts w:hint="eastAsia" w:ascii="仿宋" w:hAnsi="仿宋" w:eastAsia="仿宋" w:cs="仿宋"/>
                <w:kern w:val="0"/>
                <w:sz w:val="20"/>
                <w:szCs w:val="20"/>
              </w:rPr>
              <w:t>A02061808热水器</w:t>
            </w:r>
          </w:p>
        </w:tc>
        <w:tc>
          <w:tcPr>
            <w:tcW w:w="1612" w:type="dxa"/>
            <w:tcBorders>
              <w:top w:val="nil"/>
              <w:left w:val="nil"/>
              <w:bottom w:val="single" w:color="000000" w:sz="8" w:space="0"/>
              <w:right w:val="single" w:color="000000" w:sz="8" w:space="0"/>
            </w:tcBorders>
            <w:noWrap/>
            <w:vAlign w:val="center"/>
          </w:tcPr>
          <w:p w14:paraId="6CE63E29">
            <w:pPr>
              <w:widowControl/>
              <w:jc w:val="center"/>
              <w:rPr>
                <w:rFonts w:ascii="仿宋" w:hAnsi="仿宋" w:eastAsia="仿宋" w:cs="仿宋"/>
                <w:kern w:val="0"/>
                <w:sz w:val="20"/>
                <w:szCs w:val="20"/>
              </w:rPr>
            </w:pPr>
            <w:r>
              <w:rPr>
                <w:rFonts w:hint="eastAsia" w:ascii="仿宋" w:hAnsi="仿宋" w:eastAsia="仿宋" w:cs="仿宋"/>
                <w:kern w:val="0"/>
                <w:sz w:val="20"/>
                <w:szCs w:val="20"/>
              </w:rPr>
              <w:t>★电热水器</w:t>
            </w:r>
          </w:p>
        </w:tc>
        <w:tc>
          <w:tcPr>
            <w:tcW w:w="4930" w:type="dxa"/>
            <w:tcBorders>
              <w:top w:val="nil"/>
              <w:left w:val="nil"/>
              <w:bottom w:val="single" w:color="000000" w:sz="8" w:space="0"/>
              <w:right w:val="single" w:color="000000" w:sz="8" w:space="0"/>
            </w:tcBorders>
            <w:noWrap/>
            <w:vAlign w:val="center"/>
          </w:tcPr>
          <w:p w14:paraId="1A7A4F7E">
            <w:pPr>
              <w:widowControl/>
              <w:jc w:val="left"/>
              <w:rPr>
                <w:rFonts w:ascii="仿宋" w:hAnsi="仿宋" w:eastAsia="仿宋" w:cs="仿宋"/>
                <w:kern w:val="0"/>
                <w:sz w:val="20"/>
                <w:szCs w:val="20"/>
              </w:rPr>
            </w:pPr>
            <w:r>
              <w:rPr>
                <w:rFonts w:hint="eastAsia" w:ascii="仿宋" w:hAnsi="仿宋" w:eastAsia="仿宋" w:cs="仿宋"/>
                <w:kern w:val="0"/>
                <w:sz w:val="20"/>
                <w:szCs w:val="20"/>
              </w:rPr>
              <w:t>《储水式电热水器能效限定值及能效等级》（GB21519）</w:t>
            </w:r>
          </w:p>
        </w:tc>
      </w:tr>
      <w:tr w14:paraId="6B63D0F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26B3DC5F">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583FDC40">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4E354750">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4B2B2C7E">
            <w:pPr>
              <w:widowControl/>
              <w:jc w:val="center"/>
              <w:rPr>
                <w:rFonts w:ascii="仿宋" w:hAnsi="仿宋" w:eastAsia="仿宋" w:cs="仿宋"/>
                <w:kern w:val="0"/>
                <w:sz w:val="20"/>
                <w:szCs w:val="20"/>
              </w:rPr>
            </w:pPr>
            <w:r>
              <w:rPr>
                <w:rFonts w:hint="eastAsia" w:ascii="仿宋" w:hAnsi="仿宋" w:eastAsia="仿宋" w:cs="仿宋"/>
                <w:kern w:val="0"/>
                <w:sz w:val="20"/>
                <w:szCs w:val="20"/>
              </w:rPr>
              <w:t>燃气热水器</w:t>
            </w:r>
          </w:p>
        </w:tc>
        <w:tc>
          <w:tcPr>
            <w:tcW w:w="4930" w:type="dxa"/>
            <w:tcBorders>
              <w:top w:val="nil"/>
              <w:left w:val="nil"/>
              <w:bottom w:val="single" w:color="000000" w:sz="8" w:space="0"/>
              <w:right w:val="single" w:color="000000" w:sz="8" w:space="0"/>
            </w:tcBorders>
            <w:noWrap/>
            <w:vAlign w:val="center"/>
          </w:tcPr>
          <w:p w14:paraId="55E907A5">
            <w:pPr>
              <w:widowControl/>
              <w:jc w:val="left"/>
              <w:rPr>
                <w:rFonts w:ascii="仿宋" w:hAnsi="仿宋" w:eastAsia="仿宋" w:cs="仿宋"/>
                <w:kern w:val="0"/>
                <w:sz w:val="20"/>
                <w:szCs w:val="20"/>
              </w:rPr>
            </w:pPr>
            <w:r>
              <w:rPr>
                <w:rFonts w:hint="eastAsia" w:ascii="仿宋" w:hAnsi="仿宋" w:eastAsia="仿宋" w:cs="仿宋"/>
                <w:kern w:val="0"/>
                <w:sz w:val="20"/>
                <w:szCs w:val="20"/>
              </w:rPr>
              <w:t>《家用燃气快速热水器和燃气采暖热水炉能效限定值及能效等级》（GB20665）</w:t>
            </w:r>
          </w:p>
        </w:tc>
      </w:tr>
      <w:tr w14:paraId="08B2347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76BDB5F7">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3DC65EF">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30DD3ED1">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2DDAA061">
            <w:pPr>
              <w:widowControl/>
              <w:jc w:val="center"/>
              <w:rPr>
                <w:rFonts w:ascii="仿宋" w:hAnsi="仿宋" w:eastAsia="仿宋" w:cs="仿宋"/>
                <w:kern w:val="0"/>
                <w:sz w:val="20"/>
                <w:szCs w:val="20"/>
              </w:rPr>
            </w:pPr>
            <w:r>
              <w:rPr>
                <w:rFonts w:hint="eastAsia" w:ascii="仿宋" w:hAnsi="仿宋" w:eastAsia="仿宋" w:cs="仿宋"/>
                <w:kern w:val="0"/>
                <w:sz w:val="20"/>
                <w:szCs w:val="20"/>
              </w:rPr>
              <w:t>热泵热水器</w:t>
            </w:r>
          </w:p>
        </w:tc>
        <w:tc>
          <w:tcPr>
            <w:tcW w:w="4930" w:type="dxa"/>
            <w:tcBorders>
              <w:top w:val="nil"/>
              <w:left w:val="nil"/>
              <w:bottom w:val="single" w:color="000000" w:sz="8" w:space="0"/>
              <w:right w:val="single" w:color="000000" w:sz="8" w:space="0"/>
            </w:tcBorders>
            <w:noWrap/>
            <w:vAlign w:val="center"/>
          </w:tcPr>
          <w:p w14:paraId="3366C0CB">
            <w:pPr>
              <w:widowControl/>
              <w:jc w:val="left"/>
              <w:rPr>
                <w:rFonts w:ascii="仿宋" w:hAnsi="仿宋" w:eastAsia="仿宋" w:cs="仿宋"/>
                <w:kern w:val="0"/>
                <w:sz w:val="20"/>
                <w:szCs w:val="20"/>
              </w:rPr>
            </w:pPr>
            <w:r>
              <w:rPr>
                <w:rFonts w:hint="eastAsia" w:ascii="仿宋" w:hAnsi="仿宋" w:eastAsia="仿宋" w:cs="仿宋"/>
                <w:kern w:val="0"/>
                <w:sz w:val="20"/>
                <w:szCs w:val="20"/>
              </w:rPr>
              <w:t>《热泵热水机（器）能效限定值及能效等级》（GB29541）</w:t>
            </w:r>
          </w:p>
        </w:tc>
      </w:tr>
      <w:tr w14:paraId="41FC0E7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48689B1F">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69EB46CC">
            <w:pPr>
              <w:widowControl/>
              <w:jc w:val="left"/>
              <w:rPr>
                <w:rFonts w:ascii="仿宋" w:hAnsi="仿宋" w:eastAsia="仿宋" w:cs="仿宋"/>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ign w:val="center"/>
          </w:tcPr>
          <w:p w14:paraId="40F40FED">
            <w:pPr>
              <w:widowControl/>
              <w:jc w:val="left"/>
              <w:rPr>
                <w:rFonts w:ascii="仿宋" w:hAnsi="仿宋" w:eastAsia="仿宋" w:cs="仿宋"/>
                <w:kern w:val="0"/>
                <w:sz w:val="20"/>
                <w:szCs w:val="20"/>
              </w:rPr>
            </w:pPr>
          </w:p>
        </w:tc>
        <w:tc>
          <w:tcPr>
            <w:tcW w:w="1612" w:type="dxa"/>
            <w:tcBorders>
              <w:top w:val="nil"/>
              <w:left w:val="nil"/>
              <w:bottom w:val="single" w:color="000000" w:sz="8" w:space="0"/>
              <w:right w:val="single" w:color="000000" w:sz="8" w:space="0"/>
            </w:tcBorders>
            <w:noWrap/>
            <w:vAlign w:val="center"/>
          </w:tcPr>
          <w:p w14:paraId="7953EC94">
            <w:pPr>
              <w:widowControl/>
              <w:jc w:val="center"/>
              <w:rPr>
                <w:rFonts w:ascii="仿宋" w:hAnsi="仿宋" w:eastAsia="仿宋" w:cs="仿宋"/>
                <w:kern w:val="0"/>
                <w:sz w:val="20"/>
                <w:szCs w:val="20"/>
              </w:rPr>
            </w:pPr>
            <w:r>
              <w:rPr>
                <w:rFonts w:hint="eastAsia" w:ascii="仿宋" w:hAnsi="仿宋" w:eastAsia="仿宋" w:cs="仿宋"/>
                <w:kern w:val="0"/>
                <w:sz w:val="20"/>
                <w:szCs w:val="20"/>
              </w:rPr>
              <w:t>太阳能热水系统</w:t>
            </w:r>
          </w:p>
        </w:tc>
        <w:tc>
          <w:tcPr>
            <w:tcW w:w="4930" w:type="dxa"/>
            <w:tcBorders>
              <w:top w:val="nil"/>
              <w:left w:val="nil"/>
              <w:bottom w:val="single" w:color="000000" w:sz="8" w:space="0"/>
              <w:right w:val="single" w:color="000000" w:sz="8" w:space="0"/>
            </w:tcBorders>
            <w:noWrap/>
            <w:vAlign w:val="center"/>
          </w:tcPr>
          <w:p w14:paraId="7912BC4E">
            <w:pPr>
              <w:widowControl/>
              <w:jc w:val="left"/>
              <w:rPr>
                <w:rFonts w:ascii="仿宋" w:hAnsi="仿宋" w:eastAsia="仿宋" w:cs="仿宋"/>
                <w:kern w:val="0"/>
                <w:sz w:val="20"/>
                <w:szCs w:val="20"/>
              </w:rPr>
            </w:pPr>
            <w:r>
              <w:rPr>
                <w:rFonts w:hint="eastAsia" w:ascii="仿宋" w:hAnsi="仿宋" w:eastAsia="仿宋" w:cs="仿宋"/>
                <w:kern w:val="0"/>
                <w:sz w:val="20"/>
                <w:szCs w:val="20"/>
              </w:rPr>
              <w:t>《家用太阳能热水系统能效限定值及能效等级》（GB26969）</w:t>
            </w:r>
          </w:p>
        </w:tc>
      </w:tr>
      <w:tr w14:paraId="3823EC5D">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ign w:val="center"/>
          </w:tcPr>
          <w:p w14:paraId="1B439084">
            <w:pPr>
              <w:widowControl/>
              <w:jc w:val="center"/>
              <w:rPr>
                <w:rFonts w:ascii="仿宋" w:hAnsi="仿宋" w:eastAsia="仿宋" w:cs="仿宋"/>
                <w:kern w:val="0"/>
                <w:sz w:val="20"/>
                <w:szCs w:val="20"/>
              </w:rPr>
            </w:pPr>
            <w:r>
              <w:rPr>
                <w:rFonts w:hint="eastAsia" w:ascii="仿宋" w:hAnsi="仿宋" w:eastAsia="仿宋" w:cs="仿宋"/>
                <w:kern w:val="0"/>
                <w:sz w:val="20"/>
                <w:szCs w:val="20"/>
              </w:rPr>
              <w:t>11</w:t>
            </w:r>
          </w:p>
        </w:tc>
        <w:tc>
          <w:tcPr>
            <w:tcW w:w="1116" w:type="dxa"/>
            <w:vMerge w:val="restart"/>
            <w:tcBorders>
              <w:top w:val="nil"/>
              <w:left w:val="single" w:color="000000" w:sz="8" w:space="0"/>
              <w:bottom w:val="single" w:color="000000" w:sz="8" w:space="0"/>
              <w:right w:val="single" w:color="000000" w:sz="8" w:space="0"/>
            </w:tcBorders>
            <w:noWrap/>
            <w:vAlign w:val="center"/>
          </w:tcPr>
          <w:p w14:paraId="0BB078A0">
            <w:pPr>
              <w:widowControl/>
              <w:jc w:val="center"/>
              <w:rPr>
                <w:rFonts w:ascii="仿宋" w:hAnsi="仿宋" w:eastAsia="仿宋" w:cs="仿宋"/>
                <w:kern w:val="0"/>
                <w:sz w:val="20"/>
                <w:szCs w:val="20"/>
              </w:rPr>
            </w:pPr>
            <w:r>
              <w:rPr>
                <w:rFonts w:hint="eastAsia" w:ascii="仿宋" w:hAnsi="仿宋" w:eastAsia="仿宋" w:cs="仿宋"/>
                <w:kern w:val="0"/>
                <w:sz w:val="20"/>
                <w:szCs w:val="20"/>
              </w:rPr>
              <w:t>A020619照明设备</w:t>
            </w:r>
          </w:p>
        </w:tc>
        <w:tc>
          <w:tcPr>
            <w:tcW w:w="1516" w:type="dxa"/>
            <w:tcBorders>
              <w:top w:val="nil"/>
              <w:left w:val="nil"/>
              <w:bottom w:val="single" w:color="000000" w:sz="8" w:space="0"/>
              <w:right w:val="single" w:color="000000" w:sz="8" w:space="0"/>
            </w:tcBorders>
            <w:noWrap/>
            <w:vAlign w:val="center"/>
          </w:tcPr>
          <w:p w14:paraId="10D4BD30">
            <w:pPr>
              <w:widowControl/>
              <w:jc w:val="center"/>
              <w:rPr>
                <w:rFonts w:ascii="仿宋" w:hAnsi="仿宋" w:eastAsia="仿宋" w:cs="仿宋"/>
                <w:kern w:val="0"/>
                <w:sz w:val="20"/>
                <w:szCs w:val="20"/>
              </w:rPr>
            </w:pPr>
            <w:r>
              <w:rPr>
                <w:rFonts w:hint="eastAsia" w:ascii="仿宋" w:hAnsi="仿宋" w:eastAsia="仿宋" w:cs="仿宋"/>
                <w:kern w:val="0"/>
                <w:sz w:val="20"/>
                <w:szCs w:val="20"/>
              </w:rPr>
              <w:t>★普通照明用双端荧光灯</w:t>
            </w:r>
          </w:p>
        </w:tc>
        <w:tc>
          <w:tcPr>
            <w:tcW w:w="1612" w:type="dxa"/>
            <w:tcBorders>
              <w:top w:val="nil"/>
              <w:left w:val="nil"/>
              <w:bottom w:val="single" w:color="000000" w:sz="8" w:space="0"/>
              <w:right w:val="single" w:color="000000" w:sz="8" w:space="0"/>
            </w:tcBorders>
            <w:noWrap/>
            <w:vAlign w:val="center"/>
          </w:tcPr>
          <w:p w14:paraId="1CBE48D5">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4F9F2415">
            <w:pPr>
              <w:widowControl/>
              <w:jc w:val="left"/>
              <w:rPr>
                <w:rFonts w:ascii="仿宋" w:hAnsi="仿宋" w:eastAsia="仿宋" w:cs="仿宋"/>
                <w:kern w:val="0"/>
                <w:sz w:val="20"/>
                <w:szCs w:val="20"/>
              </w:rPr>
            </w:pPr>
            <w:r>
              <w:rPr>
                <w:rFonts w:hint="eastAsia" w:ascii="仿宋" w:hAnsi="仿宋" w:eastAsia="仿宋" w:cs="仿宋"/>
                <w:kern w:val="0"/>
                <w:sz w:val="20"/>
                <w:szCs w:val="20"/>
              </w:rPr>
              <w:t>《普通照明用双端荧光灯能效限定值及能效等级》（GB19043）</w:t>
            </w:r>
          </w:p>
        </w:tc>
      </w:tr>
      <w:tr w14:paraId="4B2F861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7AE20DD8">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57C4A2DD">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618E8B50">
            <w:pPr>
              <w:widowControl/>
              <w:jc w:val="center"/>
              <w:rPr>
                <w:rFonts w:ascii="仿宋" w:hAnsi="仿宋" w:eastAsia="仿宋" w:cs="仿宋"/>
                <w:kern w:val="0"/>
                <w:sz w:val="20"/>
                <w:szCs w:val="20"/>
              </w:rPr>
            </w:pPr>
            <w:r>
              <w:rPr>
                <w:rFonts w:hint="eastAsia" w:ascii="仿宋" w:hAnsi="仿宋" w:eastAsia="仿宋" w:cs="仿宋"/>
                <w:kern w:val="0"/>
                <w:sz w:val="20"/>
                <w:szCs w:val="20"/>
              </w:rPr>
              <w:t>LED道路/隧道照明产品</w:t>
            </w:r>
          </w:p>
        </w:tc>
        <w:tc>
          <w:tcPr>
            <w:tcW w:w="1612" w:type="dxa"/>
            <w:tcBorders>
              <w:top w:val="nil"/>
              <w:left w:val="nil"/>
              <w:bottom w:val="single" w:color="000000" w:sz="8" w:space="0"/>
              <w:right w:val="single" w:color="000000" w:sz="8" w:space="0"/>
            </w:tcBorders>
            <w:noWrap/>
            <w:vAlign w:val="center"/>
          </w:tcPr>
          <w:p w14:paraId="25CF662D">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780B7996">
            <w:pPr>
              <w:widowControl/>
              <w:jc w:val="left"/>
              <w:rPr>
                <w:rFonts w:ascii="仿宋" w:hAnsi="仿宋" w:eastAsia="仿宋" w:cs="仿宋"/>
                <w:kern w:val="0"/>
                <w:sz w:val="20"/>
                <w:szCs w:val="20"/>
              </w:rPr>
            </w:pPr>
            <w:r>
              <w:rPr>
                <w:rFonts w:hint="eastAsia" w:ascii="仿宋" w:hAnsi="仿宋" w:eastAsia="仿宋" w:cs="仿宋"/>
                <w:kern w:val="0"/>
                <w:sz w:val="20"/>
                <w:szCs w:val="20"/>
              </w:rPr>
              <w:t>《道路和隧道照明用LED灯具能效限定值及能效等级》（GB37478）</w:t>
            </w:r>
          </w:p>
        </w:tc>
      </w:tr>
      <w:tr w14:paraId="06040DD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43143D2C">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6D644D38">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0D42E1A7">
            <w:pPr>
              <w:widowControl/>
              <w:jc w:val="center"/>
              <w:rPr>
                <w:rFonts w:ascii="仿宋" w:hAnsi="仿宋" w:eastAsia="仿宋" w:cs="仿宋"/>
                <w:kern w:val="0"/>
                <w:sz w:val="20"/>
                <w:szCs w:val="20"/>
              </w:rPr>
            </w:pPr>
            <w:r>
              <w:rPr>
                <w:rFonts w:hint="eastAsia" w:ascii="仿宋" w:hAnsi="仿宋" w:eastAsia="仿宋" w:cs="仿宋"/>
                <w:kern w:val="0"/>
                <w:sz w:val="20"/>
                <w:szCs w:val="20"/>
              </w:rPr>
              <w:t>LED筒灯</w:t>
            </w:r>
          </w:p>
        </w:tc>
        <w:tc>
          <w:tcPr>
            <w:tcW w:w="1612" w:type="dxa"/>
            <w:tcBorders>
              <w:top w:val="nil"/>
              <w:left w:val="nil"/>
              <w:bottom w:val="single" w:color="000000" w:sz="8" w:space="0"/>
              <w:right w:val="single" w:color="000000" w:sz="8" w:space="0"/>
            </w:tcBorders>
            <w:noWrap/>
            <w:vAlign w:val="center"/>
          </w:tcPr>
          <w:p w14:paraId="38AC49AF">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11BC2108">
            <w:pPr>
              <w:widowControl/>
              <w:jc w:val="left"/>
              <w:rPr>
                <w:rFonts w:ascii="仿宋" w:hAnsi="仿宋" w:eastAsia="仿宋" w:cs="仿宋"/>
                <w:kern w:val="0"/>
                <w:sz w:val="20"/>
                <w:szCs w:val="20"/>
              </w:rPr>
            </w:pPr>
            <w:r>
              <w:rPr>
                <w:rFonts w:hint="eastAsia" w:ascii="仿宋" w:hAnsi="仿宋" w:eastAsia="仿宋" w:cs="仿宋"/>
                <w:kern w:val="0"/>
                <w:sz w:val="20"/>
                <w:szCs w:val="20"/>
              </w:rPr>
              <w:t>《室内照明用LED产品能效限定值及能效等级》（GB30255）</w:t>
            </w:r>
          </w:p>
        </w:tc>
      </w:tr>
      <w:tr w14:paraId="5B5A931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1DCB22DD">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21450884">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12099DDF">
            <w:pPr>
              <w:widowControl/>
              <w:jc w:val="center"/>
              <w:rPr>
                <w:rFonts w:ascii="仿宋" w:hAnsi="仿宋" w:eastAsia="仿宋" w:cs="仿宋"/>
                <w:kern w:val="0"/>
                <w:sz w:val="20"/>
                <w:szCs w:val="20"/>
              </w:rPr>
            </w:pPr>
            <w:r>
              <w:rPr>
                <w:rFonts w:hint="eastAsia" w:ascii="仿宋" w:hAnsi="仿宋" w:eastAsia="仿宋" w:cs="仿宋"/>
                <w:kern w:val="0"/>
                <w:sz w:val="20"/>
                <w:szCs w:val="20"/>
              </w:rPr>
              <w:t>普通照明用非定向自镇流LED灯</w:t>
            </w:r>
          </w:p>
        </w:tc>
        <w:tc>
          <w:tcPr>
            <w:tcW w:w="1612" w:type="dxa"/>
            <w:tcBorders>
              <w:top w:val="nil"/>
              <w:left w:val="nil"/>
              <w:bottom w:val="single" w:color="000000" w:sz="8" w:space="0"/>
              <w:right w:val="single" w:color="000000" w:sz="8" w:space="0"/>
            </w:tcBorders>
            <w:noWrap/>
            <w:vAlign w:val="center"/>
          </w:tcPr>
          <w:p w14:paraId="56BD58D7">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5386BB41">
            <w:pPr>
              <w:widowControl/>
              <w:jc w:val="left"/>
              <w:rPr>
                <w:rFonts w:ascii="仿宋" w:hAnsi="仿宋" w:eastAsia="仿宋" w:cs="仿宋"/>
                <w:kern w:val="0"/>
                <w:sz w:val="20"/>
                <w:szCs w:val="20"/>
              </w:rPr>
            </w:pPr>
            <w:r>
              <w:rPr>
                <w:rFonts w:hint="eastAsia" w:ascii="仿宋" w:hAnsi="仿宋" w:eastAsia="仿宋" w:cs="仿宋"/>
                <w:kern w:val="0"/>
                <w:sz w:val="20"/>
                <w:szCs w:val="20"/>
              </w:rPr>
              <w:t>《室内照明用LED产品能效限定值及能效等级》（GB30255）</w:t>
            </w:r>
          </w:p>
        </w:tc>
      </w:tr>
      <w:tr w14:paraId="14FF848D">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ign w:val="center"/>
          </w:tcPr>
          <w:p w14:paraId="26B329C5">
            <w:pPr>
              <w:widowControl/>
              <w:jc w:val="center"/>
              <w:rPr>
                <w:rFonts w:ascii="仿宋" w:hAnsi="仿宋" w:eastAsia="仿宋" w:cs="仿宋"/>
                <w:kern w:val="0"/>
                <w:sz w:val="20"/>
                <w:szCs w:val="20"/>
              </w:rPr>
            </w:pPr>
            <w:r>
              <w:rPr>
                <w:rFonts w:hint="eastAsia" w:ascii="仿宋" w:hAnsi="仿宋" w:eastAsia="仿宋" w:cs="仿宋"/>
                <w:kern w:val="0"/>
                <w:sz w:val="20"/>
                <w:szCs w:val="20"/>
              </w:rPr>
              <w:t>12</w:t>
            </w:r>
          </w:p>
        </w:tc>
        <w:tc>
          <w:tcPr>
            <w:tcW w:w="1116" w:type="dxa"/>
            <w:tcBorders>
              <w:top w:val="nil"/>
              <w:left w:val="nil"/>
              <w:bottom w:val="single" w:color="000000" w:sz="8" w:space="0"/>
              <w:right w:val="single" w:color="000000" w:sz="8" w:space="0"/>
            </w:tcBorders>
            <w:noWrap/>
            <w:vAlign w:val="center"/>
          </w:tcPr>
          <w:p w14:paraId="78B3BF55">
            <w:pPr>
              <w:widowControl/>
              <w:jc w:val="center"/>
              <w:rPr>
                <w:rFonts w:ascii="仿宋" w:hAnsi="仿宋" w:eastAsia="仿宋" w:cs="仿宋"/>
                <w:kern w:val="0"/>
                <w:sz w:val="20"/>
                <w:szCs w:val="20"/>
              </w:rPr>
            </w:pPr>
            <w:r>
              <w:rPr>
                <w:rFonts w:hint="eastAsia" w:ascii="仿宋" w:hAnsi="仿宋" w:eastAsia="仿宋" w:cs="仿宋"/>
                <w:kern w:val="0"/>
                <w:sz w:val="20"/>
                <w:szCs w:val="20"/>
              </w:rPr>
              <w:t>★A020910电视设备</w:t>
            </w:r>
          </w:p>
        </w:tc>
        <w:tc>
          <w:tcPr>
            <w:tcW w:w="1516" w:type="dxa"/>
            <w:tcBorders>
              <w:top w:val="nil"/>
              <w:left w:val="nil"/>
              <w:bottom w:val="single" w:color="000000" w:sz="8" w:space="0"/>
              <w:right w:val="single" w:color="000000" w:sz="8" w:space="0"/>
            </w:tcBorders>
            <w:noWrap/>
            <w:vAlign w:val="center"/>
          </w:tcPr>
          <w:p w14:paraId="7EDEF99E">
            <w:pPr>
              <w:widowControl/>
              <w:jc w:val="center"/>
              <w:rPr>
                <w:rFonts w:ascii="仿宋" w:hAnsi="仿宋" w:eastAsia="仿宋" w:cs="仿宋"/>
                <w:kern w:val="0"/>
                <w:sz w:val="20"/>
                <w:szCs w:val="20"/>
              </w:rPr>
            </w:pPr>
            <w:r>
              <w:rPr>
                <w:rFonts w:hint="eastAsia" w:ascii="仿宋" w:hAnsi="仿宋" w:eastAsia="仿宋" w:cs="仿宋"/>
                <w:kern w:val="0"/>
                <w:sz w:val="20"/>
                <w:szCs w:val="20"/>
              </w:rPr>
              <w:t>A02091001普通电视设备（电视机）</w:t>
            </w:r>
          </w:p>
        </w:tc>
        <w:tc>
          <w:tcPr>
            <w:tcW w:w="1612" w:type="dxa"/>
            <w:tcBorders>
              <w:top w:val="nil"/>
              <w:left w:val="nil"/>
              <w:bottom w:val="single" w:color="000000" w:sz="8" w:space="0"/>
              <w:right w:val="single" w:color="000000" w:sz="8" w:space="0"/>
            </w:tcBorders>
            <w:noWrap/>
            <w:vAlign w:val="center"/>
          </w:tcPr>
          <w:p w14:paraId="0805EB7F">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01223D2E">
            <w:pPr>
              <w:widowControl/>
              <w:jc w:val="left"/>
              <w:rPr>
                <w:rFonts w:ascii="仿宋" w:hAnsi="仿宋" w:eastAsia="仿宋" w:cs="仿宋"/>
                <w:kern w:val="0"/>
                <w:sz w:val="20"/>
                <w:szCs w:val="20"/>
              </w:rPr>
            </w:pPr>
            <w:r>
              <w:rPr>
                <w:rFonts w:hint="eastAsia" w:ascii="仿宋" w:hAnsi="仿宋" w:eastAsia="仿宋" w:cs="仿宋"/>
                <w:kern w:val="0"/>
                <w:sz w:val="20"/>
                <w:szCs w:val="20"/>
              </w:rPr>
              <w:t>《平板电视能效限定值及能效等级》（GB24850）</w:t>
            </w:r>
          </w:p>
        </w:tc>
      </w:tr>
      <w:tr w14:paraId="23225021">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ign w:val="center"/>
          </w:tcPr>
          <w:p w14:paraId="49EEEB4B">
            <w:pPr>
              <w:widowControl/>
              <w:jc w:val="center"/>
              <w:rPr>
                <w:rFonts w:ascii="仿宋" w:hAnsi="仿宋" w:eastAsia="仿宋" w:cs="仿宋"/>
                <w:kern w:val="0"/>
                <w:sz w:val="20"/>
                <w:szCs w:val="20"/>
              </w:rPr>
            </w:pPr>
            <w:r>
              <w:rPr>
                <w:rFonts w:hint="eastAsia" w:ascii="仿宋" w:hAnsi="仿宋" w:eastAsia="仿宋" w:cs="仿宋"/>
                <w:kern w:val="0"/>
                <w:sz w:val="20"/>
                <w:szCs w:val="20"/>
              </w:rPr>
              <w:t>13</w:t>
            </w:r>
          </w:p>
        </w:tc>
        <w:tc>
          <w:tcPr>
            <w:tcW w:w="1116" w:type="dxa"/>
            <w:tcBorders>
              <w:top w:val="nil"/>
              <w:left w:val="nil"/>
              <w:bottom w:val="single" w:color="000000" w:sz="8" w:space="0"/>
              <w:right w:val="single" w:color="000000" w:sz="8" w:space="0"/>
            </w:tcBorders>
            <w:noWrap/>
            <w:vAlign w:val="center"/>
          </w:tcPr>
          <w:p w14:paraId="1C4DC122">
            <w:pPr>
              <w:widowControl/>
              <w:jc w:val="center"/>
              <w:rPr>
                <w:rFonts w:ascii="仿宋" w:hAnsi="仿宋" w:eastAsia="仿宋" w:cs="仿宋"/>
                <w:kern w:val="0"/>
                <w:sz w:val="20"/>
                <w:szCs w:val="20"/>
              </w:rPr>
            </w:pPr>
            <w:r>
              <w:rPr>
                <w:rFonts w:hint="eastAsia" w:ascii="仿宋" w:hAnsi="仿宋" w:eastAsia="仿宋" w:cs="仿宋"/>
                <w:kern w:val="0"/>
                <w:sz w:val="20"/>
                <w:szCs w:val="20"/>
              </w:rPr>
              <w:t>★A020911视频设备</w:t>
            </w:r>
          </w:p>
        </w:tc>
        <w:tc>
          <w:tcPr>
            <w:tcW w:w="1516" w:type="dxa"/>
            <w:tcBorders>
              <w:top w:val="nil"/>
              <w:left w:val="nil"/>
              <w:bottom w:val="single" w:color="000000" w:sz="8" w:space="0"/>
              <w:right w:val="single" w:color="000000" w:sz="8" w:space="0"/>
            </w:tcBorders>
            <w:noWrap/>
            <w:vAlign w:val="center"/>
          </w:tcPr>
          <w:p w14:paraId="096BF376">
            <w:pPr>
              <w:widowControl/>
              <w:jc w:val="center"/>
              <w:rPr>
                <w:rFonts w:ascii="仿宋" w:hAnsi="仿宋" w:eastAsia="仿宋" w:cs="仿宋"/>
                <w:kern w:val="0"/>
                <w:sz w:val="20"/>
                <w:szCs w:val="20"/>
              </w:rPr>
            </w:pPr>
            <w:r>
              <w:rPr>
                <w:rFonts w:hint="eastAsia" w:ascii="仿宋" w:hAnsi="仿宋" w:eastAsia="仿宋" w:cs="仿宋"/>
                <w:kern w:val="0"/>
                <w:sz w:val="20"/>
                <w:szCs w:val="20"/>
              </w:rPr>
              <w:t>A02091107视频监控设备</w:t>
            </w:r>
          </w:p>
        </w:tc>
        <w:tc>
          <w:tcPr>
            <w:tcW w:w="1612" w:type="dxa"/>
            <w:tcBorders>
              <w:top w:val="nil"/>
              <w:left w:val="nil"/>
              <w:bottom w:val="single" w:color="000000" w:sz="8" w:space="0"/>
              <w:right w:val="single" w:color="000000" w:sz="8" w:space="0"/>
            </w:tcBorders>
            <w:noWrap/>
            <w:vAlign w:val="center"/>
          </w:tcPr>
          <w:p w14:paraId="6B8A03BE">
            <w:pPr>
              <w:widowControl/>
              <w:jc w:val="center"/>
              <w:rPr>
                <w:rFonts w:ascii="仿宋" w:hAnsi="仿宋" w:eastAsia="仿宋" w:cs="仿宋"/>
                <w:kern w:val="0"/>
                <w:sz w:val="20"/>
                <w:szCs w:val="20"/>
              </w:rPr>
            </w:pPr>
            <w:r>
              <w:rPr>
                <w:rFonts w:hint="eastAsia" w:ascii="仿宋" w:hAnsi="仿宋" w:eastAsia="仿宋" w:cs="仿宋"/>
                <w:kern w:val="0"/>
                <w:sz w:val="20"/>
                <w:szCs w:val="20"/>
              </w:rPr>
              <w:t>监视器</w:t>
            </w:r>
          </w:p>
        </w:tc>
        <w:tc>
          <w:tcPr>
            <w:tcW w:w="4930" w:type="dxa"/>
            <w:tcBorders>
              <w:top w:val="nil"/>
              <w:left w:val="nil"/>
              <w:bottom w:val="single" w:color="000000" w:sz="8" w:space="0"/>
              <w:right w:val="single" w:color="000000" w:sz="8" w:space="0"/>
            </w:tcBorders>
            <w:noWrap/>
            <w:vAlign w:val="center"/>
          </w:tcPr>
          <w:p w14:paraId="41C2761D">
            <w:pPr>
              <w:widowControl/>
              <w:jc w:val="left"/>
              <w:rPr>
                <w:rFonts w:ascii="仿宋" w:hAnsi="仿宋" w:eastAsia="仿宋" w:cs="仿宋"/>
                <w:kern w:val="0"/>
                <w:sz w:val="20"/>
                <w:szCs w:val="20"/>
              </w:rPr>
            </w:pPr>
            <w:r>
              <w:rPr>
                <w:rFonts w:hint="eastAsia" w:ascii="仿宋" w:hAnsi="仿宋" w:eastAsia="仿宋" w:cs="仿宋"/>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9A99D5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7A528C3F">
            <w:pPr>
              <w:widowControl/>
              <w:jc w:val="center"/>
              <w:rPr>
                <w:rFonts w:ascii="仿宋" w:hAnsi="仿宋" w:eastAsia="仿宋" w:cs="仿宋"/>
                <w:kern w:val="0"/>
                <w:sz w:val="20"/>
                <w:szCs w:val="20"/>
              </w:rPr>
            </w:pPr>
            <w:r>
              <w:rPr>
                <w:rFonts w:hint="eastAsia" w:ascii="仿宋" w:hAnsi="仿宋" w:eastAsia="仿宋" w:cs="仿宋"/>
                <w:kern w:val="0"/>
                <w:sz w:val="20"/>
                <w:szCs w:val="20"/>
              </w:rPr>
              <w:t>14</w:t>
            </w:r>
          </w:p>
        </w:tc>
        <w:tc>
          <w:tcPr>
            <w:tcW w:w="1116" w:type="dxa"/>
            <w:tcBorders>
              <w:top w:val="nil"/>
              <w:left w:val="nil"/>
              <w:bottom w:val="single" w:color="000000" w:sz="8" w:space="0"/>
              <w:right w:val="single" w:color="000000" w:sz="8" w:space="0"/>
            </w:tcBorders>
            <w:noWrap/>
            <w:vAlign w:val="center"/>
          </w:tcPr>
          <w:p w14:paraId="3CA304F5">
            <w:pPr>
              <w:widowControl/>
              <w:jc w:val="center"/>
              <w:rPr>
                <w:rFonts w:ascii="仿宋" w:hAnsi="仿宋" w:eastAsia="仿宋" w:cs="仿宋"/>
                <w:kern w:val="0"/>
                <w:sz w:val="20"/>
                <w:szCs w:val="20"/>
              </w:rPr>
            </w:pPr>
            <w:r>
              <w:rPr>
                <w:rFonts w:hint="eastAsia" w:ascii="仿宋" w:hAnsi="仿宋" w:eastAsia="仿宋" w:cs="仿宋"/>
                <w:kern w:val="0"/>
                <w:sz w:val="20"/>
                <w:szCs w:val="20"/>
              </w:rPr>
              <w:t>A031210饮食炊事机械</w:t>
            </w:r>
          </w:p>
        </w:tc>
        <w:tc>
          <w:tcPr>
            <w:tcW w:w="1516" w:type="dxa"/>
            <w:tcBorders>
              <w:top w:val="nil"/>
              <w:left w:val="nil"/>
              <w:bottom w:val="single" w:color="000000" w:sz="8" w:space="0"/>
              <w:right w:val="single" w:color="000000" w:sz="8" w:space="0"/>
            </w:tcBorders>
            <w:noWrap/>
            <w:vAlign w:val="center"/>
          </w:tcPr>
          <w:p w14:paraId="3B6FD400">
            <w:pPr>
              <w:widowControl/>
              <w:jc w:val="center"/>
              <w:rPr>
                <w:rFonts w:ascii="仿宋" w:hAnsi="仿宋" w:eastAsia="仿宋" w:cs="仿宋"/>
                <w:kern w:val="0"/>
                <w:sz w:val="20"/>
                <w:szCs w:val="20"/>
              </w:rPr>
            </w:pPr>
            <w:r>
              <w:rPr>
                <w:rFonts w:hint="eastAsia" w:ascii="仿宋" w:hAnsi="仿宋" w:eastAsia="仿宋" w:cs="仿宋"/>
                <w:kern w:val="0"/>
                <w:sz w:val="20"/>
                <w:szCs w:val="20"/>
              </w:rPr>
              <w:t>商用燃气灶具</w:t>
            </w:r>
          </w:p>
        </w:tc>
        <w:tc>
          <w:tcPr>
            <w:tcW w:w="1612" w:type="dxa"/>
            <w:tcBorders>
              <w:top w:val="nil"/>
              <w:left w:val="nil"/>
              <w:bottom w:val="single" w:color="000000" w:sz="8" w:space="0"/>
              <w:right w:val="single" w:color="000000" w:sz="8" w:space="0"/>
            </w:tcBorders>
            <w:noWrap/>
            <w:vAlign w:val="center"/>
          </w:tcPr>
          <w:p w14:paraId="672ED363">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00608721">
            <w:pPr>
              <w:widowControl/>
              <w:jc w:val="left"/>
              <w:rPr>
                <w:rFonts w:ascii="仿宋" w:hAnsi="仿宋" w:eastAsia="仿宋" w:cs="仿宋"/>
                <w:kern w:val="0"/>
                <w:sz w:val="20"/>
                <w:szCs w:val="20"/>
              </w:rPr>
            </w:pPr>
            <w:r>
              <w:rPr>
                <w:rFonts w:hint="eastAsia" w:ascii="仿宋" w:hAnsi="仿宋" w:eastAsia="仿宋" w:cs="仿宋"/>
                <w:kern w:val="0"/>
                <w:sz w:val="20"/>
                <w:szCs w:val="20"/>
              </w:rPr>
              <w:t>《商用燃气灶具能效限定值及能效等级》（GB30531）</w:t>
            </w:r>
          </w:p>
        </w:tc>
      </w:tr>
      <w:tr w14:paraId="52509276">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ign w:val="center"/>
          </w:tcPr>
          <w:p w14:paraId="12A3EA2E">
            <w:pPr>
              <w:widowControl/>
              <w:jc w:val="center"/>
              <w:rPr>
                <w:rFonts w:ascii="仿宋" w:hAnsi="仿宋" w:eastAsia="仿宋" w:cs="仿宋"/>
                <w:kern w:val="0"/>
                <w:sz w:val="20"/>
                <w:szCs w:val="20"/>
              </w:rPr>
            </w:pPr>
            <w:r>
              <w:rPr>
                <w:rFonts w:hint="eastAsia" w:ascii="仿宋" w:hAnsi="仿宋" w:eastAsia="仿宋" w:cs="仿宋"/>
                <w:kern w:val="0"/>
                <w:sz w:val="20"/>
                <w:szCs w:val="20"/>
              </w:rPr>
              <w:t>15</w:t>
            </w:r>
          </w:p>
        </w:tc>
        <w:tc>
          <w:tcPr>
            <w:tcW w:w="1116" w:type="dxa"/>
            <w:vMerge w:val="restart"/>
            <w:tcBorders>
              <w:top w:val="nil"/>
              <w:left w:val="single" w:color="000000" w:sz="8" w:space="0"/>
              <w:bottom w:val="single" w:color="000000" w:sz="8" w:space="0"/>
              <w:right w:val="single" w:color="000000" w:sz="8" w:space="0"/>
            </w:tcBorders>
            <w:noWrap/>
            <w:vAlign w:val="center"/>
          </w:tcPr>
          <w:p w14:paraId="41BD35F2">
            <w:pPr>
              <w:widowControl/>
              <w:jc w:val="center"/>
              <w:rPr>
                <w:rFonts w:ascii="仿宋" w:hAnsi="仿宋" w:eastAsia="仿宋" w:cs="仿宋"/>
                <w:kern w:val="0"/>
                <w:sz w:val="20"/>
                <w:szCs w:val="20"/>
              </w:rPr>
            </w:pPr>
            <w:r>
              <w:rPr>
                <w:rFonts w:hint="eastAsia" w:ascii="仿宋" w:hAnsi="仿宋" w:eastAsia="仿宋" w:cs="仿宋"/>
                <w:kern w:val="0"/>
                <w:sz w:val="20"/>
                <w:szCs w:val="20"/>
              </w:rPr>
              <w:t>★A060805便器</w:t>
            </w:r>
          </w:p>
        </w:tc>
        <w:tc>
          <w:tcPr>
            <w:tcW w:w="1516" w:type="dxa"/>
            <w:tcBorders>
              <w:top w:val="nil"/>
              <w:left w:val="nil"/>
              <w:bottom w:val="single" w:color="000000" w:sz="8" w:space="0"/>
              <w:right w:val="single" w:color="000000" w:sz="8" w:space="0"/>
            </w:tcBorders>
            <w:noWrap/>
            <w:vAlign w:val="center"/>
          </w:tcPr>
          <w:p w14:paraId="0ADDD3B9">
            <w:pPr>
              <w:widowControl/>
              <w:jc w:val="center"/>
              <w:rPr>
                <w:rFonts w:ascii="仿宋" w:hAnsi="仿宋" w:eastAsia="仿宋" w:cs="仿宋"/>
                <w:kern w:val="0"/>
                <w:sz w:val="20"/>
                <w:szCs w:val="20"/>
              </w:rPr>
            </w:pPr>
            <w:r>
              <w:rPr>
                <w:rFonts w:hint="eastAsia" w:ascii="仿宋" w:hAnsi="仿宋" w:eastAsia="仿宋" w:cs="仿宋"/>
                <w:kern w:val="0"/>
                <w:sz w:val="20"/>
                <w:szCs w:val="20"/>
              </w:rPr>
              <w:t>坐便器</w:t>
            </w:r>
          </w:p>
        </w:tc>
        <w:tc>
          <w:tcPr>
            <w:tcW w:w="1612" w:type="dxa"/>
            <w:tcBorders>
              <w:top w:val="nil"/>
              <w:left w:val="nil"/>
              <w:bottom w:val="single" w:color="000000" w:sz="8" w:space="0"/>
              <w:right w:val="single" w:color="000000" w:sz="8" w:space="0"/>
            </w:tcBorders>
            <w:noWrap/>
            <w:vAlign w:val="center"/>
          </w:tcPr>
          <w:p w14:paraId="5DB28AFB">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3046BD4D">
            <w:pPr>
              <w:widowControl/>
              <w:jc w:val="left"/>
              <w:rPr>
                <w:rFonts w:ascii="仿宋" w:hAnsi="仿宋" w:eastAsia="仿宋" w:cs="仿宋"/>
                <w:kern w:val="0"/>
                <w:sz w:val="20"/>
                <w:szCs w:val="20"/>
              </w:rPr>
            </w:pPr>
            <w:r>
              <w:rPr>
                <w:rFonts w:hint="eastAsia" w:ascii="仿宋" w:hAnsi="仿宋" w:eastAsia="仿宋" w:cs="仿宋"/>
                <w:kern w:val="0"/>
                <w:sz w:val="20"/>
                <w:szCs w:val="20"/>
              </w:rPr>
              <w:t>《坐便器水效限定值及水效等级》（GB25502）</w:t>
            </w:r>
          </w:p>
        </w:tc>
      </w:tr>
      <w:tr w14:paraId="3DBD05D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04E21D0C">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0AF416F">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2DED1E8D">
            <w:pPr>
              <w:widowControl/>
              <w:jc w:val="center"/>
              <w:rPr>
                <w:rFonts w:ascii="仿宋" w:hAnsi="仿宋" w:eastAsia="仿宋" w:cs="仿宋"/>
                <w:kern w:val="0"/>
                <w:sz w:val="20"/>
                <w:szCs w:val="20"/>
              </w:rPr>
            </w:pPr>
            <w:r>
              <w:rPr>
                <w:rFonts w:hint="eastAsia" w:ascii="仿宋" w:hAnsi="仿宋" w:eastAsia="仿宋" w:cs="仿宋"/>
                <w:kern w:val="0"/>
                <w:sz w:val="20"/>
                <w:szCs w:val="20"/>
              </w:rPr>
              <w:t>蹲便器</w:t>
            </w:r>
          </w:p>
        </w:tc>
        <w:tc>
          <w:tcPr>
            <w:tcW w:w="1612" w:type="dxa"/>
            <w:tcBorders>
              <w:top w:val="nil"/>
              <w:left w:val="nil"/>
              <w:bottom w:val="single" w:color="000000" w:sz="8" w:space="0"/>
              <w:right w:val="single" w:color="000000" w:sz="8" w:space="0"/>
            </w:tcBorders>
            <w:noWrap/>
            <w:vAlign w:val="center"/>
          </w:tcPr>
          <w:p w14:paraId="21C1BE77">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1735403F">
            <w:pPr>
              <w:widowControl/>
              <w:jc w:val="left"/>
              <w:rPr>
                <w:rFonts w:ascii="仿宋" w:hAnsi="仿宋" w:eastAsia="仿宋" w:cs="仿宋"/>
                <w:kern w:val="0"/>
                <w:sz w:val="20"/>
                <w:szCs w:val="20"/>
              </w:rPr>
            </w:pPr>
            <w:r>
              <w:rPr>
                <w:rFonts w:hint="eastAsia" w:ascii="仿宋" w:hAnsi="仿宋" w:eastAsia="仿宋" w:cs="仿宋"/>
                <w:kern w:val="0"/>
                <w:sz w:val="20"/>
                <w:szCs w:val="20"/>
              </w:rPr>
              <w:t>《蹲便器用水效率限定值及用水效率等级》（GB30717）</w:t>
            </w:r>
          </w:p>
        </w:tc>
      </w:tr>
      <w:tr w14:paraId="7FC701A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ign w:val="center"/>
          </w:tcPr>
          <w:p w14:paraId="1A9FA888">
            <w:pPr>
              <w:widowControl/>
              <w:jc w:val="left"/>
              <w:rPr>
                <w:rFonts w:ascii="仿宋" w:hAnsi="仿宋" w:eastAsia="仿宋" w:cs="仿宋"/>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ign w:val="center"/>
          </w:tcPr>
          <w:p w14:paraId="0EFD093E">
            <w:pPr>
              <w:widowControl/>
              <w:jc w:val="left"/>
              <w:rPr>
                <w:rFonts w:ascii="仿宋" w:hAnsi="仿宋" w:eastAsia="仿宋" w:cs="仿宋"/>
                <w:kern w:val="0"/>
                <w:sz w:val="20"/>
                <w:szCs w:val="20"/>
              </w:rPr>
            </w:pPr>
          </w:p>
        </w:tc>
        <w:tc>
          <w:tcPr>
            <w:tcW w:w="1516" w:type="dxa"/>
            <w:tcBorders>
              <w:top w:val="nil"/>
              <w:left w:val="nil"/>
              <w:bottom w:val="single" w:color="000000" w:sz="8" w:space="0"/>
              <w:right w:val="single" w:color="000000" w:sz="8" w:space="0"/>
            </w:tcBorders>
            <w:noWrap/>
            <w:vAlign w:val="center"/>
          </w:tcPr>
          <w:p w14:paraId="7399DA2E">
            <w:pPr>
              <w:widowControl/>
              <w:jc w:val="center"/>
              <w:rPr>
                <w:rFonts w:ascii="仿宋" w:hAnsi="仿宋" w:eastAsia="仿宋" w:cs="仿宋"/>
                <w:kern w:val="0"/>
                <w:sz w:val="20"/>
                <w:szCs w:val="20"/>
              </w:rPr>
            </w:pPr>
            <w:r>
              <w:rPr>
                <w:rFonts w:hint="eastAsia" w:ascii="仿宋" w:hAnsi="仿宋" w:eastAsia="仿宋" w:cs="仿宋"/>
                <w:kern w:val="0"/>
                <w:sz w:val="20"/>
                <w:szCs w:val="20"/>
              </w:rPr>
              <w:t>小便器</w:t>
            </w:r>
          </w:p>
        </w:tc>
        <w:tc>
          <w:tcPr>
            <w:tcW w:w="1612" w:type="dxa"/>
            <w:tcBorders>
              <w:top w:val="nil"/>
              <w:left w:val="nil"/>
              <w:bottom w:val="single" w:color="000000" w:sz="8" w:space="0"/>
              <w:right w:val="single" w:color="000000" w:sz="8" w:space="0"/>
            </w:tcBorders>
            <w:noWrap/>
            <w:vAlign w:val="center"/>
          </w:tcPr>
          <w:p w14:paraId="314FD4A6">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39E3DC3A">
            <w:pPr>
              <w:widowControl/>
              <w:jc w:val="left"/>
              <w:rPr>
                <w:rFonts w:ascii="仿宋" w:hAnsi="仿宋" w:eastAsia="仿宋" w:cs="仿宋"/>
                <w:kern w:val="0"/>
                <w:sz w:val="20"/>
                <w:szCs w:val="20"/>
              </w:rPr>
            </w:pPr>
            <w:r>
              <w:rPr>
                <w:rFonts w:hint="eastAsia" w:ascii="仿宋" w:hAnsi="仿宋" w:eastAsia="仿宋" w:cs="仿宋"/>
                <w:kern w:val="0"/>
                <w:sz w:val="20"/>
                <w:szCs w:val="20"/>
              </w:rPr>
              <w:t>《小便器用水效率限定值及用水效率等级》（GB28377）</w:t>
            </w:r>
          </w:p>
        </w:tc>
      </w:tr>
      <w:tr w14:paraId="5C6C1FA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76475C81">
            <w:pPr>
              <w:widowControl/>
              <w:jc w:val="center"/>
              <w:rPr>
                <w:rFonts w:ascii="仿宋" w:hAnsi="仿宋" w:eastAsia="仿宋" w:cs="仿宋"/>
                <w:kern w:val="0"/>
                <w:sz w:val="20"/>
                <w:szCs w:val="20"/>
              </w:rPr>
            </w:pPr>
            <w:r>
              <w:rPr>
                <w:rFonts w:hint="eastAsia" w:ascii="仿宋" w:hAnsi="仿宋" w:eastAsia="仿宋" w:cs="仿宋"/>
                <w:kern w:val="0"/>
                <w:sz w:val="20"/>
                <w:szCs w:val="20"/>
              </w:rPr>
              <w:t>16</w:t>
            </w:r>
          </w:p>
        </w:tc>
        <w:tc>
          <w:tcPr>
            <w:tcW w:w="1116" w:type="dxa"/>
            <w:tcBorders>
              <w:top w:val="nil"/>
              <w:left w:val="nil"/>
              <w:bottom w:val="single" w:color="000000" w:sz="8" w:space="0"/>
              <w:right w:val="single" w:color="000000" w:sz="8" w:space="0"/>
            </w:tcBorders>
            <w:noWrap/>
            <w:vAlign w:val="center"/>
          </w:tcPr>
          <w:p w14:paraId="2EBD0AF1">
            <w:pPr>
              <w:widowControl/>
              <w:jc w:val="center"/>
              <w:rPr>
                <w:rFonts w:ascii="仿宋" w:hAnsi="仿宋" w:eastAsia="仿宋" w:cs="仿宋"/>
                <w:kern w:val="0"/>
                <w:sz w:val="20"/>
                <w:szCs w:val="20"/>
              </w:rPr>
            </w:pPr>
            <w:r>
              <w:rPr>
                <w:rFonts w:hint="eastAsia" w:ascii="仿宋" w:hAnsi="仿宋" w:eastAsia="仿宋" w:cs="仿宋"/>
                <w:kern w:val="0"/>
                <w:sz w:val="20"/>
                <w:szCs w:val="20"/>
              </w:rPr>
              <w:t>★A060806水嘴</w:t>
            </w:r>
          </w:p>
        </w:tc>
        <w:tc>
          <w:tcPr>
            <w:tcW w:w="1516" w:type="dxa"/>
            <w:tcBorders>
              <w:top w:val="nil"/>
              <w:left w:val="nil"/>
              <w:bottom w:val="single" w:color="000000" w:sz="8" w:space="0"/>
              <w:right w:val="single" w:color="000000" w:sz="8" w:space="0"/>
            </w:tcBorders>
            <w:noWrap/>
            <w:vAlign w:val="center"/>
          </w:tcPr>
          <w:p w14:paraId="6B348B1E">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612" w:type="dxa"/>
            <w:tcBorders>
              <w:top w:val="nil"/>
              <w:left w:val="nil"/>
              <w:bottom w:val="single" w:color="000000" w:sz="8" w:space="0"/>
              <w:right w:val="single" w:color="000000" w:sz="8" w:space="0"/>
            </w:tcBorders>
            <w:noWrap/>
            <w:vAlign w:val="center"/>
          </w:tcPr>
          <w:p w14:paraId="365FBA15">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6CCD3399">
            <w:pPr>
              <w:widowControl/>
              <w:jc w:val="left"/>
              <w:rPr>
                <w:rFonts w:ascii="仿宋" w:hAnsi="仿宋" w:eastAsia="仿宋" w:cs="仿宋"/>
                <w:kern w:val="0"/>
                <w:sz w:val="20"/>
                <w:szCs w:val="20"/>
              </w:rPr>
            </w:pPr>
            <w:r>
              <w:rPr>
                <w:rFonts w:hint="eastAsia" w:ascii="仿宋" w:hAnsi="仿宋" w:eastAsia="仿宋" w:cs="仿宋"/>
                <w:kern w:val="0"/>
                <w:sz w:val="20"/>
                <w:szCs w:val="20"/>
              </w:rPr>
              <w:t>《水嘴用水效率限定值及用水效率等级》（GB 25501）</w:t>
            </w:r>
          </w:p>
        </w:tc>
      </w:tr>
      <w:tr w14:paraId="2E8B8D5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12832C38">
            <w:pPr>
              <w:widowControl/>
              <w:jc w:val="center"/>
              <w:rPr>
                <w:rFonts w:ascii="仿宋" w:hAnsi="仿宋" w:eastAsia="仿宋" w:cs="仿宋"/>
                <w:kern w:val="0"/>
                <w:sz w:val="20"/>
                <w:szCs w:val="20"/>
              </w:rPr>
            </w:pPr>
            <w:r>
              <w:rPr>
                <w:rFonts w:hint="eastAsia" w:ascii="仿宋" w:hAnsi="仿宋" w:eastAsia="仿宋" w:cs="仿宋"/>
                <w:kern w:val="0"/>
                <w:sz w:val="20"/>
                <w:szCs w:val="20"/>
              </w:rPr>
              <w:t>17</w:t>
            </w:r>
          </w:p>
        </w:tc>
        <w:tc>
          <w:tcPr>
            <w:tcW w:w="1116" w:type="dxa"/>
            <w:tcBorders>
              <w:top w:val="nil"/>
              <w:left w:val="nil"/>
              <w:bottom w:val="single" w:color="000000" w:sz="8" w:space="0"/>
              <w:right w:val="single" w:color="000000" w:sz="8" w:space="0"/>
            </w:tcBorders>
            <w:noWrap/>
            <w:vAlign w:val="center"/>
          </w:tcPr>
          <w:p w14:paraId="4C7036F3">
            <w:pPr>
              <w:widowControl/>
              <w:jc w:val="center"/>
              <w:rPr>
                <w:rFonts w:ascii="仿宋" w:hAnsi="仿宋" w:eastAsia="仿宋" w:cs="仿宋"/>
                <w:kern w:val="0"/>
                <w:sz w:val="20"/>
                <w:szCs w:val="20"/>
              </w:rPr>
            </w:pPr>
            <w:r>
              <w:rPr>
                <w:rFonts w:hint="eastAsia" w:ascii="仿宋" w:hAnsi="仿宋" w:eastAsia="仿宋" w:cs="仿宋"/>
                <w:kern w:val="0"/>
                <w:sz w:val="20"/>
                <w:szCs w:val="20"/>
              </w:rPr>
              <w:t>A060807便器冲洗阀</w:t>
            </w:r>
          </w:p>
        </w:tc>
        <w:tc>
          <w:tcPr>
            <w:tcW w:w="1516" w:type="dxa"/>
            <w:tcBorders>
              <w:top w:val="nil"/>
              <w:left w:val="nil"/>
              <w:bottom w:val="single" w:color="000000" w:sz="8" w:space="0"/>
              <w:right w:val="single" w:color="000000" w:sz="8" w:space="0"/>
            </w:tcBorders>
            <w:noWrap/>
            <w:vAlign w:val="center"/>
          </w:tcPr>
          <w:p w14:paraId="494B523C">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612" w:type="dxa"/>
            <w:tcBorders>
              <w:top w:val="nil"/>
              <w:left w:val="nil"/>
              <w:bottom w:val="single" w:color="000000" w:sz="8" w:space="0"/>
              <w:right w:val="single" w:color="000000" w:sz="8" w:space="0"/>
            </w:tcBorders>
            <w:noWrap/>
            <w:vAlign w:val="center"/>
          </w:tcPr>
          <w:p w14:paraId="6857A565">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49DDCD2B">
            <w:pPr>
              <w:widowControl/>
              <w:jc w:val="left"/>
              <w:rPr>
                <w:rFonts w:ascii="仿宋" w:hAnsi="仿宋" w:eastAsia="仿宋" w:cs="仿宋"/>
                <w:kern w:val="0"/>
                <w:sz w:val="20"/>
                <w:szCs w:val="20"/>
              </w:rPr>
            </w:pPr>
            <w:r>
              <w:rPr>
                <w:rFonts w:hint="eastAsia" w:ascii="仿宋" w:hAnsi="仿宋" w:eastAsia="仿宋" w:cs="仿宋"/>
                <w:kern w:val="0"/>
                <w:sz w:val="20"/>
                <w:szCs w:val="20"/>
              </w:rPr>
              <w:t>《便器冲洗阀用水效率限定值及用水效率等级》（GB28379）</w:t>
            </w:r>
          </w:p>
        </w:tc>
      </w:tr>
      <w:tr w14:paraId="445E302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ign w:val="center"/>
          </w:tcPr>
          <w:p w14:paraId="4C4BD6AD">
            <w:pPr>
              <w:widowControl/>
              <w:jc w:val="center"/>
              <w:rPr>
                <w:rFonts w:ascii="仿宋" w:hAnsi="仿宋" w:eastAsia="仿宋" w:cs="仿宋"/>
                <w:kern w:val="0"/>
                <w:sz w:val="20"/>
                <w:szCs w:val="20"/>
              </w:rPr>
            </w:pPr>
            <w:r>
              <w:rPr>
                <w:rFonts w:hint="eastAsia" w:ascii="仿宋" w:hAnsi="仿宋" w:eastAsia="仿宋" w:cs="仿宋"/>
                <w:kern w:val="0"/>
                <w:sz w:val="20"/>
                <w:szCs w:val="20"/>
              </w:rPr>
              <w:t>18</w:t>
            </w:r>
          </w:p>
        </w:tc>
        <w:tc>
          <w:tcPr>
            <w:tcW w:w="1116" w:type="dxa"/>
            <w:tcBorders>
              <w:top w:val="nil"/>
              <w:left w:val="nil"/>
              <w:bottom w:val="single" w:color="000000" w:sz="8" w:space="0"/>
              <w:right w:val="single" w:color="000000" w:sz="8" w:space="0"/>
            </w:tcBorders>
            <w:noWrap/>
            <w:vAlign w:val="center"/>
          </w:tcPr>
          <w:p w14:paraId="7F2F28C1">
            <w:pPr>
              <w:widowControl/>
              <w:jc w:val="center"/>
              <w:rPr>
                <w:rFonts w:ascii="仿宋" w:hAnsi="仿宋" w:eastAsia="仿宋" w:cs="仿宋"/>
                <w:kern w:val="0"/>
                <w:sz w:val="20"/>
                <w:szCs w:val="20"/>
              </w:rPr>
            </w:pPr>
            <w:r>
              <w:rPr>
                <w:rFonts w:hint="eastAsia" w:ascii="仿宋" w:hAnsi="仿宋" w:eastAsia="仿宋" w:cs="仿宋"/>
                <w:kern w:val="0"/>
                <w:sz w:val="20"/>
                <w:szCs w:val="20"/>
              </w:rPr>
              <w:t>A060810淋浴器</w:t>
            </w:r>
          </w:p>
        </w:tc>
        <w:tc>
          <w:tcPr>
            <w:tcW w:w="1516" w:type="dxa"/>
            <w:tcBorders>
              <w:top w:val="nil"/>
              <w:left w:val="nil"/>
              <w:bottom w:val="single" w:color="000000" w:sz="8" w:space="0"/>
              <w:right w:val="single" w:color="000000" w:sz="8" w:space="0"/>
            </w:tcBorders>
            <w:noWrap/>
            <w:vAlign w:val="center"/>
          </w:tcPr>
          <w:p w14:paraId="237F041B">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612" w:type="dxa"/>
            <w:tcBorders>
              <w:top w:val="nil"/>
              <w:left w:val="nil"/>
              <w:bottom w:val="single" w:color="000000" w:sz="8" w:space="0"/>
              <w:right w:val="single" w:color="000000" w:sz="8" w:space="0"/>
            </w:tcBorders>
            <w:noWrap/>
            <w:vAlign w:val="center"/>
          </w:tcPr>
          <w:p w14:paraId="3666E057">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4930" w:type="dxa"/>
            <w:tcBorders>
              <w:top w:val="nil"/>
              <w:left w:val="nil"/>
              <w:bottom w:val="single" w:color="000000" w:sz="8" w:space="0"/>
              <w:right w:val="single" w:color="000000" w:sz="8" w:space="0"/>
            </w:tcBorders>
            <w:noWrap/>
            <w:vAlign w:val="center"/>
          </w:tcPr>
          <w:p w14:paraId="400DA8AA">
            <w:pPr>
              <w:widowControl/>
              <w:jc w:val="left"/>
              <w:rPr>
                <w:rFonts w:ascii="仿宋" w:hAnsi="仿宋" w:eastAsia="仿宋" w:cs="仿宋"/>
                <w:kern w:val="0"/>
                <w:sz w:val="20"/>
                <w:szCs w:val="20"/>
              </w:rPr>
            </w:pPr>
            <w:r>
              <w:rPr>
                <w:rFonts w:hint="eastAsia" w:ascii="仿宋" w:hAnsi="仿宋" w:eastAsia="仿宋" w:cs="仿宋"/>
                <w:kern w:val="0"/>
                <w:sz w:val="20"/>
                <w:szCs w:val="20"/>
              </w:rPr>
              <w:t>《淋浴器用水效率限定值及用水效率等级》（GB28378）</w:t>
            </w:r>
          </w:p>
        </w:tc>
      </w:tr>
    </w:tbl>
    <w:p w14:paraId="5E801D39">
      <w:pPr>
        <w:pStyle w:val="9"/>
        <w:spacing w:line="360" w:lineRule="auto"/>
        <w:rPr>
          <w:rFonts w:ascii="仿宋" w:hAnsi="仿宋" w:eastAsia="仿宋" w:cs="仿宋"/>
          <w:szCs w:val="21"/>
        </w:rPr>
      </w:pPr>
      <w:r>
        <w:rPr>
          <w:rFonts w:hint="eastAsia" w:ascii="仿宋" w:hAnsi="仿宋" w:eastAsia="仿宋" w:cs="仿宋"/>
          <w:spacing w:val="-3"/>
          <w:szCs w:val="21"/>
        </w:rPr>
        <w:t>注：</w:t>
      </w:r>
      <w:r>
        <w:rPr>
          <w:rFonts w:hint="eastAsia" w:ascii="仿宋" w:hAnsi="仿宋" w:eastAsia="仿宋" w:cs="仿宋"/>
          <w:szCs w:val="21"/>
        </w:rPr>
        <w:t>1.节能产品认证应依据相关国家标准的最新版本，依据国家标准中二级能效（水效）指标。</w:t>
      </w:r>
    </w:p>
    <w:p w14:paraId="2A0CB791">
      <w:pPr>
        <w:pStyle w:val="18"/>
        <w:jc w:val="left"/>
        <w:rPr>
          <w:rFonts w:ascii="仿宋" w:hAnsi="仿宋" w:eastAsia="仿宋" w:cs="仿宋"/>
          <w:sz w:val="32"/>
          <w:szCs w:val="32"/>
        </w:rPr>
      </w:pPr>
      <w:r>
        <w:rPr>
          <w:rFonts w:hint="eastAsia" w:ascii="仿宋" w:hAnsi="仿宋" w:eastAsia="仿宋" w:cs="仿宋"/>
          <w:sz w:val="21"/>
          <w:szCs w:val="21"/>
        </w:rPr>
        <w:t xml:space="preserve">    2.以“★”标注的为政府强制采购产品。</w:t>
      </w:r>
      <w:r>
        <w:rPr>
          <w:rFonts w:hint="eastAsia" w:ascii="仿宋" w:hAnsi="仿宋" w:eastAsia="仿宋" w:cs="仿宋"/>
        </w:rPr>
        <w:br w:type="page"/>
      </w:r>
      <w:r>
        <w:rPr>
          <w:rFonts w:hint="eastAsia" w:ascii="仿宋" w:hAnsi="仿宋" w:eastAsia="仿宋" w:cs="仿宋"/>
          <w:sz w:val="32"/>
          <w:szCs w:val="32"/>
        </w:rPr>
        <w:t>附件2：</w:t>
      </w:r>
    </w:p>
    <w:p w14:paraId="44C463F0">
      <w:pPr>
        <w:spacing w:line="528" w:lineRule="exact"/>
        <w:ind w:left="1868" w:hanging="1868" w:hangingChars="467"/>
        <w:jc w:val="center"/>
        <w:rPr>
          <w:rFonts w:ascii="仿宋" w:hAnsi="仿宋" w:eastAsia="仿宋" w:cs="仿宋"/>
          <w:sz w:val="40"/>
          <w:szCs w:val="40"/>
        </w:rPr>
      </w:pPr>
      <w:r>
        <w:rPr>
          <w:rFonts w:hint="eastAsia" w:ascii="仿宋" w:hAnsi="仿宋" w:eastAsia="仿宋" w:cs="仿宋"/>
          <w:sz w:val="40"/>
          <w:szCs w:val="40"/>
        </w:rPr>
        <w:t>中小微企业划型标准</w:t>
      </w:r>
    </w:p>
    <w:tbl>
      <w:tblPr>
        <w:tblStyle w:val="20"/>
        <w:tblW w:w="0" w:type="auto"/>
        <w:jc w:val="center"/>
        <w:tblLayout w:type="fixed"/>
        <w:tblCellMar>
          <w:top w:w="0" w:type="dxa"/>
          <w:left w:w="108" w:type="dxa"/>
          <w:bottom w:w="0" w:type="dxa"/>
          <w:right w:w="108" w:type="dxa"/>
        </w:tblCellMar>
      </w:tblPr>
      <w:tblGrid>
        <w:gridCol w:w="2822"/>
        <w:gridCol w:w="1499"/>
        <w:gridCol w:w="988"/>
        <w:gridCol w:w="1755"/>
        <w:gridCol w:w="1560"/>
        <w:gridCol w:w="1333"/>
      </w:tblGrid>
      <w:tr w14:paraId="1EB211F9">
        <w:tblPrEx>
          <w:tblCellMar>
            <w:top w:w="0" w:type="dxa"/>
            <w:left w:w="108" w:type="dxa"/>
            <w:bottom w:w="0" w:type="dxa"/>
            <w:right w:w="108" w:type="dxa"/>
          </w:tblCellMar>
        </w:tblPrEx>
        <w:trPr>
          <w:trHeight w:val="1273" w:hRule="atLeast"/>
          <w:jc w:val="center"/>
        </w:trPr>
        <w:tc>
          <w:tcPr>
            <w:tcW w:w="2822" w:type="dxa"/>
            <w:tcBorders>
              <w:top w:val="single" w:color="auto" w:sz="4" w:space="0"/>
              <w:left w:val="single" w:color="auto" w:sz="4" w:space="0"/>
              <w:bottom w:val="single" w:color="auto" w:sz="4" w:space="0"/>
              <w:right w:val="single" w:color="auto" w:sz="4" w:space="0"/>
            </w:tcBorders>
            <w:noWrap/>
            <w:vAlign w:val="center"/>
          </w:tcPr>
          <w:p w14:paraId="7963902E">
            <w:pPr>
              <w:widowControl/>
              <w:jc w:val="center"/>
              <w:rPr>
                <w:rFonts w:ascii="仿宋" w:hAnsi="仿宋" w:eastAsia="仿宋" w:cs="仿宋"/>
                <w:b/>
                <w:kern w:val="0"/>
                <w:sz w:val="24"/>
              </w:rPr>
            </w:pPr>
            <w:r>
              <w:rPr>
                <w:rFonts w:hint="eastAsia" w:ascii="仿宋" w:hAnsi="仿宋" w:eastAsia="仿宋" w:cs="仿宋"/>
                <w:b/>
                <w:kern w:val="0"/>
                <w:sz w:val="24"/>
              </w:rPr>
              <w:t>行业名称</w:t>
            </w:r>
          </w:p>
        </w:tc>
        <w:tc>
          <w:tcPr>
            <w:tcW w:w="1499" w:type="dxa"/>
            <w:tcBorders>
              <w:top w:val="single" w:color="auto" w:sz="4" w:space="0"/>
              <w:left w:val="nil"/>
              <w:bottom w:val="single" w:color="auto" w:sz="4" w:space="0"/>
              <w:right w:val="single" w:color="auto" w:sz="4" w:space="0"/>
            </w:tcBorders>
            <w:noWrap/>
            <w:vAlign w:val="center"/>
          </w:tcPr>
          <w:p w14:paraId="33DBD7E9">
            <w:pPr>
              <w:widowControl/>
              <w:jc w:val="center"/>
              <w:rPr>
                <w:rFonts w:ascii="仿宋" w:hAnsi="仿宋" w:eastAsia="仿宋" w:cs="仿宋"/>
                <w:b/>
                <w:kern w:val="0"/>
                <w:sz w:val="24"/>
              </w:rPr>
            </w:pPr>
            <w:r>
              <w:rPr>
                <w:rFonts w:hint="eastAsia" w:ascii="仿宋" w:hAnsi="仿宋" w:eastAsia="仿宋" w:cs="仿宋"/>
                <w:b/>
                <w:kern w:val="0"/>
                <w:sz w:val="24"/>
              </w:rPr>
              <w:t>指标名称</w:t>
            </w:r>
          </w:p>
        </w:tc>
        <w:tc>
          <w:tcPr>
            <w:tcW w:w="988" w:type="dxa"/>
            <w:tcBorders>
              <w:top w:val="single" w:color="auto" w:sz="4" w:space="0"/>
              <w:left w:val="nil"/>
              <w:bottom w:val="single" w:color="auto" w:sz="4" w:space="0"/>
              <w:right w:val="single" w:color="auto" w:sz="4" w:space="0"/>
            </w:tcBorders>
            <w:noWrap/>
            <w:vAlign w:val="center"/>
          </w:tcPr>
          <w:p w14:paraId="184A7889">
            <w:pPr>
              <w:widowControl/>
              <w:jc w:val="center"/>
              <w:rPr>
                <w:rFonts w:ascii="仿宋" w:hAnsi="仿宋" w:eastAsia="仿宋" w:cs="仿宋"/>
                <w:b/>
                <w:kern w:val="0"/>
                <w:sz w:val="24"/>
              </w:rPr>
            </w:pPr>
            <w:r>
              <w:rPr>
                <w:rFonts w:hint="eastAsia" w:ascii="仿宋" w:hAnsi="仿宋" w:eastAsia="仿宋" w:cs="仿宋"/>
                <w:b/>
                <w:kern w:val="0"/>
                <w:sz w:val="24"/>
              </w:rPr>
              <w:t>计量单位</w:t>
            </w:r>
          </w:p>
        </w:tc>
        <w:tc>
          <w:tcPr>
            <w:tcW w:w="1755" w:type="dxa"/>
            <w:tcBorders>
              <w:top w:val="single" w:color="auto" w:sz="4" w:space="0"/>
              <w:left w:val="nil"/>
              <w:bottom w:val="single" w:color="auto" w:sz="4" w:space="0"/>
              <w:right w:val="single" w:color="auto" w:sz="4" w:space="0"/>
            </w:tcBorders>
            <w:noWrap/>
            <w:vAlign w:val="center"/>
          </w:tcPr>
          <w:p w14:paraId="3487EF6B">
            <w:pPr>
              <w:widowControl/>
              <w:jc w:val="center"/>
              <w:rPr>
                <w:rFonts w:ascii="仿宋" w:hAnsi="仿宋" w:eastAsia="仿宋" w:cs="仿宋"/>
                <w:b/>
                <w:kern w:val="0"/>
                <w:sz w:val="24"/>
              </w:rPr>
            </w:pPr>
            <w:r>
              <w:rPr>
                <w:rFonts w:hint="eastAsia" w:ascii="仿宋" w:hAnsi="仿宋" w:eastAsia="仿宋" w:cs="仿宋"/>
                <w:b/>
                <w:kern w:val="0"/>
                <w:sz w:val="24"/>
              </w:rPr>
              <w:t>中型</w:t>
            </w:r>
          </w:p>
        </w:tc>
        <w:tc>
          <w:tcPr>
            <w:tcW w:w="1560" w:type="dxa"/>
            <w:tcBorders>
              <w:top w:val="single" w:color="auto" w:sz="4" w:space="0"/>
              <w:left w:val="nil"/>
              <w:bottom w:val="single" w:color="auto" w:sz="4" w:space="0"/>
              <w:right w:val="single" w:color="auto" w:sz="4" w:space="0"/>
            </w:tcBorders>
            <w:noWrap/>
            <w:vAlign w:val="center"/>
          </w:tcPr>
          <w:p w14:paraId="22B95630">
            <w:pPr>
              <w:widowControl/>
              <w:jc w:val="center"/>
              <w:rPr>
                <w:rFonts w:ascii="仿宋" w:hAnsi="仿宋" w:eastAsia="仿宋" w:cs="仿宋"/>
                <w:b/>
                <w:kern w:val="0"/>
                <w:sz w:val="24"/>
              </w:rPr>
            </w:pPr>
            <w:r>
              <w:rPr>
                <w:rFonts w:hint="eastAsia" w:ascii="仿宋" w:hAnsi="仿宋" w:eastAsia="仿宋" w:cs="仿宋"/>
                <w:b/>
                <w:kern w:val="0"/>
                <w:sz w:val="24"/>
              </w:rPr>
              <w:t>小型</w:t>
            </w:r>
          </w:p>
        </w:tc>
        <w:tc>
          <w:tcPr>
            <w:tcW w:w="1333" w:type="dxa"/>
            <w:tcBorders>
              <w:top w:val="single" w:color="auto" w:sz="4" w:space="0"/>
              <w:left w:val="nil"/>
              <w:bottom w:val="single" w:color="auto" w:sz="4" w:space="0"/>
              <w:right w:val="single" w:color="auto" w:sz="4" w:space="0"/>
            </w:tcBorders>
            <w:noWrap/>
            <w:vAlign w:val="center"/>
          </w:tcPr>
          <w:p w14:paraId="314C0E29">
            <w:pPr>
              <w:widowControl/>
              <w:jc w:val="center"/>
              <w:rPr>
                <w:rFonts w:ascii="仿宋" w:hAnsi="仿宋" w:eastAsia="仿宋" w:cs="仿宋"/>
                <w:b/>
                <w:kern w:val="0"/>
                <w:sz w:val="24"/>
              </w:rPr>
            </w:pPr>
            <w:r>
              <w:rPr>
                <w:rFonts w:hint="eastAsia" w:ascii="仿宋" w:hAnsi="仿宋" w:eastAsia="仿宋" w:cs="仿宋"/>
                <w:b/>
                <w:kern w:val="0"/>
                <w:sz w:val="24"/>
              </w:rPr>
              <w:t>微型</w:t>
            </w:r>
          </w:p>
        </w:tc>
      </w:tr>
      <w:tr w14:paraId="149CB3E4">
        <w:tblPrEx>
          <w:tblCellMar>
            <w:top w:w="0" w:type="dxa"/>
            <w:left w:w="108" w:type="dxa"/>
            <w:bottom w:w="0" w:type="dxa"/>
            <w:right w:w="108" w:type="dxa"/>
          </w:tblCellMar>
        </w:tblPrEx>
        <w:trPr>
          <w:trHeight w:val="326" w:hRule="atLeast"/>
          <w:jc w:val="center"/>
        </w:trPr>
        <w:tc>
          <w:tcPr>
            <w:tcW w:w="2822" w:type="dxa"/>
            <w:tcBorders>
              <w:top w:val="nil"/>
              <w:left w:val="single" w:color="auto" w:sz="4" w:space="0"/>
              <w:bottom w:val="single" w:color="auto" w:sz="4" w:space="0"/>
              <w:right w:val="single" w:color="auto" w:sz="4" w:space="0"/>
            </w:tcBorders>
            <w:noWrap/>
            <w:vAlign w:val="bottom"/>
          </w:tcPr>
          <w:p w14:paraId="3662437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499" w:type="dxa"/>
            <w:tcBorders>
              <w:top w:val="nil"/>
              <w:left w:val="nil"/>
              <w:bottom w:val="single" w:color="auto" w:sz="4" w:space="0"/>
              <w:right w:val="single" w:color="auto" w:sz="4" w:space="0"/>
            </w:tcBorders>
            <w:noWrap/>
            <w:vAlign w:val="center"/>
          </w:tcPr>
          <w:p w14:paraId="6BAAC178">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64C46A4A">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1E0C33AC">
            <w:pPr>
              <w:widowControl/>
              <w:jc w:val="center"/>
              <w:rPr>
                <w:rFonts w:ascii="仿宋" w:hAnsi="仿宋" w:eastAsia="仿宋" w:cs="仿宋"/>
                <w:kern w:val="0"/>
                <w:sz w:val="18"/>
                <w:szCs w:val="18"/>
              </w:rPr>
            </w:pPr>
            <w:r>
              <w:rPr>
                <w:rFonts w:hint="eastAsia" w:ascii="仿宋" w:hAnsi="仿宋" w:eastAsia="仿宋" w:cs="仿宋"/>
                <w:kern w:val="0"/>
                <w:sz w:val="18"/>
                <w:szCs w:val="18"/>
              </w:rPr>
              <w:t>500≤Y＜20000</w:t>
            </w:r>
          </w:p>
        </w:tc>
        <w:tc>
          <w:tcPr>
            <w:tcW w:w="1560" w:type="dxa"/>
            <w:tcBorders>
              <w:top w:val="nil"/>
              <w:left w:val="nil"/>
              <w:bottom w:val="single" w:color="auto" w:sz="4" w:space="0"/>
              <w:right w:val="single" w:color="auto" w:sz="4" w:space="0"/>
            </w:tcBorders>
            <w:noWrap/>
            <w:vAlign w:val="center"/>
          </w:tcPr>
          <w:p w14:paraId="70991B2F">
            <w:pPr>
              <w:widowControl/>
              <w:jc w:val="center"/>
              <w:rPr>
                <w:rFonts w:ascii="仿宋" w:hAnsi="仿宋" w:eastAsia="仿宋" w:cs="仿宋"/>
                <w:kern w:val="0"/>
                <w:sz w:val="18"/>
                <w:szCs w:val="18"/>
              </w:rPr>
            </w:pPr>
            <w:r>
              <w:rPr>
                <w:rFonts w:hint="eastAsia" w:ascii="仿宋" w:hAnsi="仿宋" w:eastAsia="仿宋" w:cs="仿宋"/>
                <w:kern w:val="0"/>
                <w:sz w:val="18"/>
                <w:szCs w:val="18"/>
              </w:rPr>
              <w:t>50≤Y＜500</w:t>
            </w:r>
          </w:p>
        </w:tc>
        <w:tc>
          <w:tcPr>
            <w:tcW w:w="1333" w:type="dxa"/>
            <w:tcBorders>
              <w:top w:val="nil"/>
              <w:left w:val="nil"/>
              <w:bottom w:val="single" w:color="auto" w:sz="4" w:space="0"/>
              <w:right w:val="single" w:color="auto" w:sz="4" w:space="0"/>
            </w:tcBorders>
            <w:noWrap/>
            <w:vAlign w:val="center"/>
          </w:tcPr>
          <w:p w14:paraId="0DAE19C7">
            <w:pPr>
              <w:widowControl/>
              <w:jc w:val="center"/>
              <w:rPr>
                <w:rFonts w:ascii="仿宋" w:hAnsi="仿宋" w:eastAsia="仿宋" w:cs="仿宋"/>
                <w:kern w:val="0"/>
                <w:sz w:val="18"/>
                <w:szCs w:val="18"/>
              </w:rPr>
            </w:pPr>
            <w:r>
              <w:rPr>
                <w:rFonts w:hint="eastAsia" w:ascii="仿宋" w:hAnsi="仿宋" w:eastAsia="仿宋" w:cs="仿宋"/>
                <w:kern w:val="0"/>
                <w:sz w:val="18"/>
                <w:szCs w:val="18"/>
              </w:rPr>
              <w:t>Y＜50</w:t>
            </w:r>
          </w:p>
        </w:tc>
      </w:tr>
      <w:tr w14:paraId="47C2D35F">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3D306BED">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工业</w:t>
            </w:r>
          </w:p>
        </w:tc>
        <w:tc>
          <w:tcPr>
            <w:tcW w:w="1499" w:type="dxa"/>
            <w:tcBorders>
              <w:top w:val="nil"/>
              <w:left w:val="nil"/>
              <w:bottom w:val="single" w:color="auto" w:sz="4" w:space="0"/>
              <w:right w:val="single" w:color="auto" w:sz="4" w:space="0"/>
            </w:tcBorders>
            <w:noWrap/>
            <w:vAlign w:val="center"/>
          </w:tcPr>
          <w:p w14:paraId="638846AF">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70961768">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50A98E96">
            <w:pPr>
              <w:widowControl/>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560" w:type="dxa"/>
            <w:tcBorders>
              <w:top w:val="nil"/>
              <w:left w:val="nil"/>
              <w:bottom w:val="single" w:color="auto" w:sz="4" w:space="0"/>
              <w:right w:val="single" w:color="auto" w:sz="4" w:space="0"/>
            </w:tcBorders>
            <w:noWrap/>
            <w:vAlign w:val="center"/>
          </w:tcPr>
          <w:p w14:paraId="24297109">
            <w:pPr>
              <w:widowControl/>
              <w:jc w:val="center"/>
              <w:rPr>
                <w:rFonts w:ascii="仿宋" w:hAnsi="仿宋" w:eastAsia="仿宋" w:cs="仿宋"/>
                <w:kern w:val="0"/>
                <w:sz w:val="18"/>
                <w:szCs w:val="18"/>
              </w:rPr>
            </w:pPr>
            <w:r>
              <w:rPr>
                <w:rFonts w:hint="eastAsia" w:ascii="仿宋" w:hAnsi="仿宋" w:eastAsia="仿宋" w:cs="仿宋"/>
                <w:kern w:val="0"/>
                <w:sz w:val="18"/>
                <w:szCs w:val="18"/>
              </w:rPr>
              <w:t>20≤X＜300</w:t>
            </w:r>
          </w:p>
        </w:tc>
        <w:tc>
          <w:tcPr>
            <w:tcW w:w="1333" w:type="dxa"/>
            <w:tcBorders>
              <w:top w:val="nil"/>
              <w:left w:val="nil"/>
              <w:bottom w:val="single" w:color="auto" w:sz="4" w:space="0"/>
              <w:right w:val="single" w:color="auto" w:sz="4" w:space="0"/>
            </w:tcBorders>
            <w:noWrap/>
            <w:vAlign w:val="center"/>
          </w:tcPr>
          <w:p w14:paraId="085E1474">
            <w:pPr>
              <w:widowControl/>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186827C9">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737861A3">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3109A907">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6BEDC9BB">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005F6CAA">
            <w:pPr>
              <w:widowControl/>
              <w:jc w:val="center"/>
              <w:rPr>
                <w:rFonts w:ascii="仿宋" w:hAnsi="仿宋" w:eastAsia="仿宋" w:cs="仿宋"/>
                <w:kern w:val="0"/>
                <w:sz w:val="18"/>
                <w:szCs w:val="18"/>
              </w:rPr>
            </w:pPr>
            <w:r>
              <w:rPr>
                <w:rFonts w:hint="eastAsia" w:ascii="仿宋" w:hAnsi="仿宋" w:eastAsia="仿宋" w:cs="仿宋"/>
                <w:kern w:val="0"/>
                <w:sz w:val="18"/>
                <w:szCs w:val="18"/>
              </w:rPr>
              <w:t>2000≤Y＜40000</w:t>
            </w:r>
          </w:p>
        </w:tc>
        <w:tc>
          <w:tcPr>
            <w:tcW w:w="1560" w:type="dxa"/>
            <w:tcBorders>
              <w:top w:val="nil"/>
              <w:left w:val="nil"/>
              <w:bottom w:val="single" w:color="auto" w:sz="4" w:space="0"/>
              <w:right w:val="single" w:color="auto" w:sz="4" w:space="0"/>
            </w:tcBorders>
            <w:noWrap/>
            <w:vAlign w:val="center"/>
          </w:tcPr>
          <w:p w14:paraId="2ECF4FA4">
            <w:pPr>
              <w:widowControl/>
              <w:jc w:val="center"/>
              <w:rPr>
                <w:rFonts w:ascii="仿宋" w:hAnsi="仿宋" w:eastAsia="仿宋" w:cs="仿宋"/>
                <w:kern w:val="0"/>
                <w:sz w:val="18"/>
                <w:szCs w:val="18"/>
              </w:rPr>
            </w:pPr>
            <w:r>
              <w:rPr>
                <w:rFonts w:hint="eastAsia" w:ascii="仿宋" w:hAnsi="仿宋" w:eastAsia="仿宋" w:cs="仿宋"/>
                <w:kern w:val="0"/>
                <w:sz w:val="18"/>
                <w:szCs w:val="18"/>
              </w:rPr>
              <w:t>300≤Y＜2000</w:t>
            </w:r>
          </w:p>
        </w:tc>
        <w:tc>
          <w:tcPr>
            <w:tcW w:w="1333" w:type="dxa"/>
            <w:tcBorders>
              <w:top w:val="nil"/>
              <w:left w:val="nil"/>
              <w:bottom w:val="single" w:color="auto" w:sz="4" w:space="0"/>
              <w:right w:val="single" w:color="auto" w:sz="4" w:space="0"/>
            </w:tcBorders>
            <w:noWrap/>
            <w:vAlign w:val="center"/>
          </w:tcPr>
          <w:p w14:paraId="1D5429DB">
            <w:pPr>
              <w:widowControl/>
              <w:jc w:val="center"/>
              <w:rPr>
                <w:rFonts w:ascii="仿宋" w:hAnsi="仿宋" w:eastAsia="仿宋" w:cs="仿宋"/>
                <w:kern w:val="0"/>
                <w:sz w:val="18"/>
                <w:szCs w:val="18"/>
              </w:rPr>
            </w:pPr>
            <w:r>
              <w:rPr>
                <w:rFonts w:hint="eastAsia" w:ascii="仿宋" w:hAnsi="仿宋" w:eastAsia="仿宋" w:cs="仿宋"/>
                <w:kern w:val="0"/>
                <w:sz w:val="18"/>
                <w:szCs w:val="18"/>
              </w:rPr>
              <w:t>Y＜300</w:t>
            </w:r>
          </w:p>
        </w:tc>
      </w:tr>
      <w:tr w14:paraId="726150EA">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173D8C6C">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499" w:type="dxa"/>
            <w:tcBorders>
              <w:top w:val="nil"/>
              <w:left w:val="nil"/>
              <w:bottom w:val="single" w:color="auto" w:sz="4" w:space="0"/>
              <w:right w:val="single" w:color="auto" w:sz="4" w:space="0"/>
            </w:tcBorders>
            <w:noWrap/>
            <w:vAlign w:val="center"/>
          </w:tcPr>
          <w:p w14:paraId="5A941A7D">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450D2671">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7F18168C">
            <w:pPr>
              <w:widowControl/>
              <w:jc w:val="center"/>
              <w:rPr>
                <w:rFonts w:ascii="仿宋" w:hAnsi="仿宋" w:eastAsia="仿宋" w:cs="仿宋"/>
                <w:kern w:val="0"/>
                <w:sz w:val="18"/>
                <w:szCs w:val="18"/>
              </w:rPr>
            </w:pPr>
            <w:r>
              <w:rPr>
                <w:rFonts w:hint="eastAsia" w:ascii="仿宋" w:hAnsi="仿宋" w:eastAsia="仿宋" w:cs="仿宋"/>
                <w:kern w:val="0"/>
                <w:sz w:val="18"/>
                <w:szCs w:val="18"/>
              </w:rPr>
              <w:t>6000≤Y＜80000</w:t>
            </w:r>
          </w:p>
        </w:tc>
        <w:tc>
          <w:tcPr>
            <w:tcW w:w="1560" w:type="dxa"/>
            <w:tcBorders>
              <w:top w:val="nil"/>
              <w:left w:val="nil"/>
              <w:bottom w:val="single" w:color="auto" w:sz="4" w:space="0"/>
              <w:right w:val="single" w:color="auto" w:sz="4" w:space="0"/>
            </w:tcBorders>
            <w:noWrap/>
            <w:vAlign w:val="center"/>
          </w:tcPr>
          <w:p w14:paraId="5F26886D">
            <w:pPr>
              <w:widowControl/>
              <w:jc w:val="center"/>
              <w:rPr>
                <w:rFonts w:ascii="仿宋" w:hAnsi="仿宋" w:eastAsia="仿宋" w:cs="仿宋"/>
                <w:kern w:val="0"/>
                <w:sz w:val="18"/>
                <w:szCs w:val="18"/>
              </w:rPr>
            </w:pPr>
            <w:r>
              <w:rPr>
                <w:rFonts w:hint="eastAsia" w:ascii="仿宋" w:hAnsi="仿宋" w:eastAsia="仿宋" w:cs="仿宋"/>
                <w:kern w:val="0"/>
                <w:sz w:val="18"/>
                <w:szCs w:val="18"/>
              </w:rPr>
              <w:t>300≤Y＜6000</w:t>
            </w:r>
          </w:p>
        </w:tc>
        <w:tc>
          <w:tcPr>
            <w:tcW w:w="1333" w:type="dxa"/>
            <w:tcBorders>
              <w:top w:val="nil"/>
              <w:left w:val="nil"/>
              <w:bottom w:val="single" w:color="auto" w:sz="4" w:space="0"/>
              <w:right w:val="single" w:color="auto" w:sz="4" w:space="0"/>
            </w:tcBorders>
            <w:noWrap/>
            <w:vAlign w:val="center"/>
          </w:tcPr>
          <w:p w14:paraId="394E8C3B">
            <w:pPr>
              <w:widowControl/>
              <w:jc w:val="center"/>
              <w:rPr>
                <w:rFonts w:ascii="仿宋" w:hAnsi="仿宋" w:eastAsia="仿宋" w:cs="仿宋"/>
                <w:kern w:val="0"/>
                <w:sz w:val="18"/>
                <w:szCs w:val="18"/>
              </w:rPr>
            </w:pPr>
            <w:r>
              <w:rPr>
                <w:rFonts w:hint="eastAsia" w:ascii="仿宋" w:hAnsi="仿宋" w:eastAsia="仿宋" w:cs="仿宋"/>
                <w:kern w:val="0"/>
                <w:sz w:val="18"/>
                <w:szCs w:val="18"/>
              </w:rPr>
              <w:t>Y＜300</w:t>
            </w:r>
          </w:p>
        </w:tc>
      </w:tr>
      <w:tr w14:paraId="6A322DAC">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2BC2F729">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3F823D0E">
            <w:pPr>
              <w:widowControl/>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988" w:type="dxa"/>
            <w:tcBorders>
              <w:top w:val="nil"/>
              <w:left w:val="nil"/>
              <w:bottom w:val="single" w:color="auto" w:sz="4" w:space="0"/>
              <w:right w:val="single" w:color="auto" w:sz="4" w:space="0"/>
            </w:tcBorders>
            <w:noWrap/>
            <w:vAlign w:val="center"/>
          </w:tcPr>
          <w:p w14:paraId="761216F8">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18894324">
            <w:pPr>
              <w:widowControl/>
              <w:jc w:val="center"/>
              <w:rPr>
                <w:rFonts w:ascii="仿宋" w:hAnsi="仿宋" w:eastAsia="仿宋" w:cs="仿宋"/>
                <w:kern w:val="0"/>
                <w:sz w:val="18"/>
                <w:szCs w:val="18"/>
              </w:rPr>
            </w:pPr>
            <w:r>
              <w:rPr>
                <w:rFonts w:hint="eastAsia" w:ascii="仿宋" w:hAnsi="仿宋" w:eastAsia="仿宋" w:cs="仿宋"/>
                <w:kern w:val="0"/>
                <w:sz w:val="18"/>
                <w:szCs w:val="18"/>
              </w:rPr>
              <w:t>5000≤Z＜80000</w:t>
            </w:r>
          </w:p>
        </w:tc>
        <w:tc>
          <w:tcPr>
            <w:tcW w:w="1560" w:type="dxa"/>
            <w:tcBorders>
              <w:top w:val="nil"/>
              <w:left w:val="nil"/>
              <w:bottom w:val="single" w:color="auto" w:sz="4" w:space="0"/>
              <w:right w:val="single" w:color="auto" w:sz="4" w:space="0"/>
            </w:tcBorders>
            <w:noWrap/>
            <w:vAlign w:val="center"/>
          </w:tcPr>
          <w:p w14:paraId="772F6937">
            <w:pPr>
              <w:widowControl/>
              <w:jc w:val="center"/>
              <w:rPr>
                <w:rFonts w:ascii="仿宋" w:hAnsi="仿宋" w:eastAsia="仿宋" w:cs="仿宋"/>
                <w:kern w:val="0"/>
                <w:sz w:val="18"/>
                <w:szCs w:val="18"/>
              </w:rPr>
            </w:pPr>
            <w:r>
              <w:rPr>
                <w:rFonts w:hint="eastAsia" w:ascii="仿宋" w:hAnsi="仿宋" w:eastAsia="仿宋" w:cs="仿宋"/>
                <w:kern w:val="0"/>
                <w:sz w:val="18"/>
                <w:szCs w:val="18"/>
              </w:rPr>
              <w:t>300≤Z＜5000</w:t>
            </w:r>
          </w:p>
        </w:tc>
        <w:tc>
          <w:tcPr>
            <w:tcW w:w="1333" w:type="dxa"/>
            <w:tcBorders>
              <w:top w:val="nil"/>
              <w:left w:val="nil"/>
              <w:bottom w:val="single" w:color="auto" w:sz="4" w:space="0"/>
              <w:right w:val="single" w:color="auto" w:sz="4" w:space="0"/>
            </w:tcBorders>
            <w:noWrap/>
            <w:vAlign w:val="center"/>
          </w:tcPr>
          <w:p w14:paraId="6A86ACD1">
            <w:pPr>
              <w:widowControl/>
              <w:jc w:val="center"/>
              <w:rPr>
                <w:rFonts w:ascii="仿宋" w:hAnsi="仿宋" w:eastAsia="仿宋" w:cs="仿宋"/>
                <w:kern w:val="0"/>
                <w:sz w:val="18"/>
                <w:szCs w:val="18"/>
              </w:rPr>
            </w:pPr>
            <w:r>
              <w:rPr>
                <w:rFonts w:hint="eastAsia" w:ascii="仿宋" w:hAnsi="仿宋" w:eastAsia="仿宋" w:cs="仿宋"/>
                <w:kern w:val="0"/>
                <w:sz w:val="18"/>
                <w:szCs w:val="18"/>
              </w:rPr>
              <w:t>Z＜300</w:t>
            </w:r>
          </w:p>
        </w:tc>
      </w:tr>
      <w:tr w14:paraId="03C53935">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2767E848">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499" w:type="dxa"/>
            <w:tcBorders>
              <w:top w:val="nil"/>
              <w:left w:val="nil"/>
              <w:bottom w:val="single" w:color="auto" w:sz="4" w:space="0"/>
              <w:right w:val="single" w:color="auto" w:sz="4" w:space="0"/>
            </w:tcBorders>
            <w:noWrap/>
            <w:vAlign w:val="center"/>
          </w:tcPr>
          <w:p w14:paraId="3A3B0054">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0E592352">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6E4A9A67">
            <w:pPr>
              <w:widowControl/>
              <w:jc w:val="center"/>
              <w:rPr>
                <w:rFonts w:ascii="仿宋" w:hAnsi="仿宋" w:eastAsia="仿宋" w:cs="仿宋"/>
                <w:kern w:val="0"/>
                <w:sz w:val="18"/>
                <w:szCs w:val="18"/>
              </w:rPr>
            </w:pPr>
            <w:r>
              <w:rPr>
                <w:rFonts w:hint="eastAsia" w:ascii="仿宋" w:hAnsi="仿宋" w:eastAsia="仿宋" w:cs="仿宋"/>
                <w:kern w:val="0"/>
                <w:sz w:val="18"/>
                <w:szCs w:val="18"/>
              </w:rPr>
              <w:t>20≤X＜200</w:t>
            </w:r>
          </w:p>
        </w:tc>
        <w:tc>
          <w:tcPr>
            <w:tcW w:w="1560" w:type="dxa"/>
            <w:tcBorders>
              <w:top w:val="nil"/>
              <w:left w:val="nil"/>
              <w:bottom w:val="single" w:color="auto" w:sz="4" w:space="0"/>
              <w:right w:val="single" w:color="auto" w:sz="4" w:space="0"/>
            </w:tcBorders>
            <w:noWrap/>
            <w:vAlign w:val="center"/>
          </w:tcPr>
          <w:p w14:paraId="096E1CEF">
            <w:pPr>
              <w:widowControl/>
              <w:jc w:val="center"/>
              <w:rPr>
                <w:rFonts w:ascii="仿宋" w:hAnsi="仿宋" w:eastAsia="仿宋" w:cs="仿宋"/>
                <w:kern w:val="0"/>
                <w:sz w:val="18"/>
                <w:szCs w:val="18"/>
              </w:rPr>
            </w:pPr>
            <w:r>
              <w:rPr>
                <w:rFonts w:hint="eastAsia" w:ascii="仿宋" w:hAnsi="仿宋" w:eastAsia="仿宋" w:cs="仿宋"/>
                <w:kern w:val="0"/>
                <w:sz w:val="18"/>
                <w:szCs w:val="18"/>
              </w:rPr>
              <w:t>5≤X＜20</w:t>
            </w:r>
          </w:p>
        </w:tc>
        <w:tc>
          <w:tcPr>
            <w:tcW w:w="1333" w:type="dxa"/>
            <w:tcBorders>
              <w:top w:val="nil"/>
              <w:left w:val="nil"/>
              <w:bottom w:val="single" w:color="auto" w:sz="4" w:space="0"/>
              <w:right w:val="single" w:color="auto" w:sz="4" w:space="0"/>
            </w:tcBorders>
            <w:noWrap/>
            <w:vAlign w:val="center"/>
          </w:tcPr>
          <w:p w14:paraId="1413E183">
            <w:pPr>
              <w:widowControl/>
              <w:jc w:val="center"/>
              <w:rPr>
                <w:rFonts w:ascii="仿宋" w:hAnsi="仿宋" w:eastAsia="仿宋" w:cs="仿宋"/>
                <w:kern w:val="0"/>
                <w:sz w:val="18"/>
                <w:szCs w:val="18"/>
              </w:rPr>
            </w:pPr>
            <w:r>
              <w:rPr>
                <w:rFonts w:hint="eastAsia" w:ascii="仿宋" w:hAnsi="仿宋" w:eastAsia="仿宋" w:cs="仿宋"/>
                <w:kern w:val="0"/>
                <w:sz w:val="18"/>
                <w:szCs w:val="18"/>
              </w:rPr>
              <w:t>X＜5</w:t>
            </w:r>
          </w:p>
        </w:tc>
      </w:tr>
      <w:tr w14:paraId="6D172764">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467E571E">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7F03239E">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635BE5B9">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72C4EEB1">
            <w:pPr>
              <w:widowControl/>
              <w:jc w:val="center"/>
              <w:rPr>
                <w:rFonts w:ascii="仿宋" w:hAnsi="仿宋" w:eastAsia="仿宋" w:cs="仿宋"/>
                <w:kern w:val="0"/>
                <w:sz w:val="18"/>
                <w:szCs w:val="18"/>
              </w:rPr>
            </w:pPr>
            <w:r>
              <w:rPr>
                <w:rFonts w:hint="eastAsia" w:ascii="仿宋" w:hAnsi="仿宋" w:eastAsia="仿宋" w:cs="仿宋"/>
                <w:kern w:val="0"/>
                <w:sz w:val="18"/>
                <w:szCs w:val="18"/>
              </w:rPr>
              <w:t>5000≤Y＜40000</w:t>
            </w:r>
          </w:p>
        </w:tc>
        <w:tc>
          <w:tcPr>
            <w:tcW w:w="1560" w:type="dxa"/>
            <w:tcBorders>
              <w:top w:val="nil"/>
              <w:left w:val="nil"/>
              <w:bottom w:val="single" w:color="auto" w:sz="4" w:space="0"/>
              <w:right w:val="single" w:color="auto" w:sz="4" w:space="0"/>
            </w:tcBorders>
            <w:noWrap/>
            <w:vAlign w:val="center"/>
          </w:tcPr>
          <w:p w14:paraId="6702155D">
            <w:pPr>
              <w:widowControl/>
              <w:jc w:val="center"/>
              <w:rPr>
                <w:rFonts w:ascii="仿宋" w:hAnsi="仿宋" w:eastAsia="仿宋" w:cs="仿宋"/>
                <w:kern w:val="0"/>
                <w:sz w:val="18"/>
                <w:szCs w:val="18"/>
              </w:rPr>
            </w:pPr>
            <w:r>
              <w:rPr>
                <w:rFonts w:hint="eastAsia" w:ascii="仿宋" w:hAnsi="仿宋" w:eastAsia="仿宋" w:cs="仿宋"/>
                <w:kern w:val="0"/>
                <w:sz w:val="18"/>
                <w:szCs w:val="18"/>
              </w:rPr>
              <w:t>1000≤Y＜5000</w:t>
            </w:r>
          </w:p>
        </w:tc>
        <w:tc>
          <w:tcPr>
            <w:tcW w:w="1333" w:type="dxa"/>
            <w:tcBorders>
              <w:top w:val="nil"/>
              <w:left w:val="nil"/>
              <w:bottom w:val="single" w:color="auto" w:sz="4" w:space="0"/>
              <w:right w:val="single" w:color="auto" w:sz="4" w:space="0"/>
            </w:tcBorders>
            <w:noWrap/>
            <w:vAlign w:val="center"/>
          </w:tcPr>
          <w:p w14:paraId="66E2387F">
            <w:pPr>
              <w:widowControl/>
              <w:jc w:val="center"/>
              <w:rPr>
                <w:rFonts w:ascii="仿宋" w:hAnsi="仿宋" w:eastAsia="仿宋" w:cs="仿宋"/>
                <w:kern w:val="0"/>
                <w:sz w:val="18"/>
                <w:szCs w:val="18"/>
              </w:rPr>
            </w:pPr>
            <w:r>
              <w:rPr>
                <w:rFonts w:hint="eastAsia" w:ascii="仿宋" w:hAnsi="仿宋" w:eastAsia="仿宋" w:cs="仿宋"/>
                <w:kern w:val="0"/>
                <w:sz w:val="18"/>
                <w:szCs w:val="18"/>
              </w:rPr>
              <w:t>Y＜1000</w:t>
            </w:r>
          </w:p>
        </w:tc>
      </w:tr>
      <w:tr w14:paraId="61B8A14B">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1110B76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499" w:type="dxa"/>
            <w:tcBorders>
              <w:top w:val="nil"/>
              <w:left w:val="nil"/>
              <w:bottom w:val="single" w:color="auto" w:sz="4" w:space="0"/>
              <w:right w:val="single" w:color="auto" w:sz="4" w:space="0"/>
            </w:tcBorders>
            <w:noWrap/>
            <w:vAlign w:val="center"/>
          </w:tcPr>
          <w:p w14:paraId="54BB1388">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3385FCC1">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4910FF0C">
            <w:pPr>
              <w:widowControl/>
              <w:jc w:val="center"/>
              <w:rPr>
                <w:rFonts w:ascii="仿宋" w:hAnsi="仿宋" w:eastAsia="仿宋" w:cs="仿宋"/>
                <w:kern w:val="0"/>
                <w:sz w:val="18"/>
                <w:szCs w:val="18"/>
              </w:rPr>
            </w:pPr>
            <w:r>
              <w:rPr>
                <w:rFonts w:hint="eastAsia" w:ascii="仿宋" w:hAnsi="仿宋" w:eastAsia="仿宋" w:cs="仿宋"/>
                <w:kern w:val="0"/>
                <w:sz w:val="18"/>
                <w:szCs w:val="18"/>
              </w:rPr>
              <w:t>50≤X＜300</w:t>
            </w:r>
          </w:p>
        </w:tc>
        <w:tc>
          <w:tcPr>
            <w:tcW w:w="1560" w:type="dxa"/>
            <w:tcBorders>
              <w:top w:val="nil"/>
              <w:left w:val="nil"/>
              <w:bottom w:val="single" w:color="auto" w:sz="4" w:space="0"/>
              <w:right w:val="single" w:color="auto" w:sz="4" w:space="0"/>
            </w:tcBorders>
            <w:noWrap/>
            <w:vAlign w:val="center"/>
          </w:tcPr>
          <w:p w14:paraId="1D9871AA">
            <w:pPr>
              <w:widowControl/>
              <w:jc w:val="center"/>
              <w:rPr>
                <w:rFonts w:ascii="仿宋" w:hAnsi="仿宋" w:eastAsia="仿宋" w:cs="仿宋"/>
                <w:kern w:val="0"/>
                <w:sz w:val="18"/>
                <w:szCs w:val="18"/>
              </w:rPr>
            </w:pPr>
            <w:r>
              <w:rPr>
                <w:rFonts w:hint="eastAsia" w:ascii="仿宋" w:hAnsi="仿宋" w:eastAsia="仿宋" w:cs="仿宋"/>
                <w:kern w:val="0"/>
                <w:sz w:val="18"/>
                <w:szCs w:val="18"/>
              </w:rPr>
              <w:t>10≤X＜50</w:t>
            </w:r>
          </w:p>
        </w:tc>
        <w:tc>
          <w:tcPr>
            <w:tcW w:w="1333" w:type="dxa"/>
            <w:tcBorders>
              <w:top w:val="nil"/>
              <w:left w:val="nil"/>
              <w:bottom w:val="single" w:color="auto" w:sz="4" w:space="0"/>
              <w:right w:val="single" w:color="auto" w:sz="4" w:space="0"/>
            </w:tcBorders>
            <w:noWrap/>
            <w:vAlign w:val="center"/>
          </w:tcPr>
          <w:p w14:paraId="4F93D33F">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3045CA09">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730C89FF">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262814B9">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3DF0E2E1">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3BC22696">
            <w:pPr>
              <w:widowControl/>
              <w:jc w:val="center"/>
              <w:rPr>
                <w:rFonts w:ascii="仿宋" w:hAnsi="仿宋" w:eastAsia="仿宋" w:cs="仿宋"/>
                <w:kern w:val="0"/>
                <w:sz w:val="18"/>
                <w:szCs w:val="18"/>
              </w:rPr>
            </w:pPr>
            <w:r>
              <w:rPr>
                <w:rFonts w:hint="eastAsia" w:ascii="仿宋" w:hAnsi="仿宋" w:eastAsia="仿宋" w:cs="仿宋"/>
                <w:kern w:val="0"/>
                <w:sz w:val="18"/>
                <w:szCs w:val="18"/>
              </w:rPr>
              <w:t>500≤Y＜20000</w:t>
            </w:r>
          </w:p>
        </w:tc>
        <w:tc>
          <w:tcPr>
            <w:tcW w:w="1560" w:type="dxa"/>
            <w:tcBorders>
              <w:top w:val="nil"/>
              <w:left w:val="nil"/>
              <w:bottom w:val="single" w:color="auto" w:sz="4" w:space="0"/>
              <w:right w:val="single" w:color="auto" w:sz="4" w:space="0"/>
            </w:tcBorders>
            <w:noWrap/>
            <w:vAlign w:val="center"/>
          </w:tcPr>
          <w:p w14:paraId="373A6F39">
            <w:pPr>
              <w:widowControl/>
              <w:jc w:val="center"/>
              <w:rPr>
                <w:rFonts w:ascii="仿宋" w:hAnsi="仿宋" w:eastAsia="仿宋" w:cs="仿宋"/>
                <w:kern w:val="0"/>
                <w:sz w:val="18"/>
                <w:szCs w:val="18"/>
              </w:rPr>
            </w:pPr>
            <w:r>
              <w:rPr>
                <w:rFonts w:hint="eastAsia" w:ascii="仿宋" w:hAnsi="仿宋" w:eastAsia="仿宋" w:cs="仿宋"/>
                <w:kern w:val="0"/>
                <w:sz w:val="18"/>
                <w:szCs w:val="18"/>
              </w:rPr>
              <w:t>100≤Y＜500</w:t>
            </w:r>
          </w:p>
        </w:tc>
        <w:tc>
          <w:tcPr>
            <w:tcW w:w="1333" w:type="dxa"/>
            <w:tcBorders>
              <w:top w:val="nil"/>
              <w:left w:val="nil"/>
              <w:bottom w:val="single" w:color="auto" w:sz="4" w:space="0"/>
              <w:right w:val="single" w:color="auto" w:sz="4" w:space="0"/>
            </w:tcBorders>
            <w:noWrap/>
            <w:vAlign w:val="center"/>
          </w:tcPr>
          <w:p w14:paraId="7DD85742">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29A83F28">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20828DAA">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499" w:type="dxa"/>
            <w:tcBorders>
              <w:top w:val="nil"/>
              <w:left w:val="nil"/>
              <w:bottom w:val="single" w:color="auto" w:sz="4" w:space="0"/>
              <w:right w:val="single" w:color="auto" w:sz="4" w:space="0"/>
            </w:tcBorders>
            <w:noWrap/>
            <w:vAlign w:val="center"/>
          </w:tcPr>
          <w:p w14:paraId="1EC7F106">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25CCDF4C">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749A6DF0">
            <w:pPr>
              <w:widowControl/>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560" w:type="dxa"/>
            <w:tcBorders>
              <w:top w:val="nil"/>
              <w:left w:val="nil"/>
              <w:bottom w:val="single" w:color="auto" w:sz="4" w:space="0"/>
              <w:right w:val="single" w:color="auto" w:sz="4" w:space="0"/>
            </w:tcBorders>
            <w:noWrap/>
            <w:vAlign w:val="center"/>
          </w:tcPr>
          <w:p w14:paraId="2B10BD53">
            <w:pPr>
              <w:widowControl/>
              <w:jc w:val="center"/>
              <w:rPr>
                <w:rFonts w:ascii="仿宋" w:hAnsi="仿宋" w:eastAsia="仿宋" w:cs="仿宋"/>
                <w:kern w:val="0"/>
                <w:sz w:val="18"/>
                <w:szCs w:val="18"/>
              </w:rPr>
            </w:pPr>
            <w:r>
              <w:rPr>
                <w:rFonts w:hint="eastAsia" w:ascii="仿宋" w:hAnsi="仿宋" w:eastAsia="仿宋" w:cs="仿宋"/>
                <w:kern w:val="0"/>
                <w:sz w:val="18"/>
                <w:szCs w:val="18"/>
              </w:rPr>
              <w:t>20≤X＜300</w:t>
            </w:r>
          </w:p>
        </w:tc>
        <w:tc>
          <w:tcPr>
            <w:tcW w:w="1333" w:type="dxa"/>
            <w:tcBorders>
              <w:top w:val="nil"/>
              <w:left w:val="nil"/>
              <w:bottom w:val="single" w:color="auto" w:sz="4" w:space="0"/>
              <w:right w:val="single" w:color="auto" w:sz="4" w:space="0"/>
            </w:tcBorders>
            <w:noWrap/>
            <w:vAlign w:val="center"/>
          </w:tcPr>
          <w:p w14:paraId="281918C6">
            <w:pPr>
              <w:widowControl/>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5410FD68">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252AA01B">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55CA514C">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7C706EF7">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00FF5923">
            <w:pPr>
              <w:widowControl/>
              <w:jc w:val="center"/>
              <w:rPr>
                <w:rFonts w:ascii="仿宋" w:hAnsi="仿宋" w:eastAsia="仿宋" w:cs="仿宋"/>
                <w:kern w:val="0"/>
                <w:sz w:val="18"/>
                <w:szCs w:val="18"/>
              </w:rPr>
            </w:pPr>
            <w:r>
              <w:rPr>
                <w:rFonts w:hint="eastAsia" w:ascii="仿宋" w:hAnsi="仿宋" w:eastAsia="仿宋" w:cs="仿宋"/>
                <w:kern w:val="0"/>
                <w:sz w:val="18"/>
                <w:szCs w:val="18"/>
              </w:rPr>
              <w:t>3000≤Y＜30000</w:t>
            </w:r>
          </w:p>
        </w:tc>
        <w:tc>
          <w:tcPr>
            <w:tcW w:w="1560" w:type="dxa"/>
            <w:tcBorders>
              <w:top w:val="nil"/>
              <w:left w:val="nil"/>
              <w:bottom w:val="single" w:color="auto" w:sz="4" w:space="0"/>
              <w:right w:val="single" w:color="auto" w:sz="4" w:space="0"/>
            </w:tcBorders>
            <w:noWrap/>
            <w:vAlign w:val="center"/>
          </w:tcPr>
          <w:p w14:paraId="260202A5">
            <w:pPr>
              <w:widowControl/>
              <w:jc w:val="center"/>
              <w:rPr>
                <w:rFonts w:ascii="仿宋" w:hAnsi="仿宋" w:eastAsia="仿宋" w:cs="仿宋"/>
                <w:kern w:val="0"/>
                <w:sz w:val="18"/>
                <w:szCs w:val="18"/>
              </w:rPr>
            </w:pPr>
            <w:r>
              <w:rPr>
                <w:rFonts w:hint="eastAsia" w:ascii="仿宋" w:hAnsi="仿宋" w:eastAsia="仿宋" w:cs="仿宋"/>
                <w:kern w:val="0"/>
                <w:sz w:val="18"/>
                <w:szCs w:val="18"/>
              </w:rPr>
              <w:t>200≤Y＜3000</w:t>
            </w:r>
          </w:p>
        </w:tc>
        <w:tc>
          <w:tcPr>
            <w:tcW w:w="1333" w:type="dxa"/>
            <w:tcBorders>
              <w:top w:val="nil"/>
              <w:left w:val="nil"/>
              <w:bottom w:val="single" w:color="auto" w:sz="4" w:space="0"/>
              <w:right w:val="single" w:color="auto" w:sz="4" w:space="0"/>
            </w:tcBorders>
            <w:noWrap/>
            <w:vAlign w:val="center"/>
          </w:tcPr>
          <w:p w14:paraId="5E08B63B">
            <w:pPr>
              <w:widowControl/>
              <w:jc w:val="center"/>
              <w:rPr>
                <w:rFonts w:ascii="仿宋" w:hAnsi="仿宋" w:eastAsia="仿宋" w:cs="仿宋"/>
                <w:kern w:val="0"/>
                <w:sz w:val="18"/>
                <w:szCs w:val="18"/>
              </w:rPr>
            </w:pPr>
            <w:r>
              <w:rPr>
                <w:rFonts w:hint="eastAsia" w:ascii="仿宋" w:hAnsi="仿宋" w:eastAsia="仿宋" w:cs="仿宋"/>
                <w:kern w:val="0"/>
                <w:sz w:val="18"/>
                <w:szCs w:val="18"/>
              </w:rPr>
              <w:t>Y＜200</w:t>
            </w:r>
          </w:p>
        </w:tc>
      </w:tr>
      <w:tr w14:paraId="1D21C92D">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59047C6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499" w:type="dxa"/>
            <w:tcBorders>
              <w:top w:val="nil"/>
              <w:left w:val="nil"/>
              <w:bottom w:val="single" w:color="auto" w:sz="4" w:space="0"/>
              <w:right w:val="single" w:color="auto" w:sz="4" w:space="0"/>
            </w:tcBorders>
            <w:noWrap/>
            <w:vAlign w:val="center"/>
          </w:tcPr>
          <w:p w14:paraId="662C2CED">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6FE00A80">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2EED3087">
            <w:pPr>
              <w:widowControl/>
              <w:jc w:val="center"/>
              <w:rPr>
                <w:rFonts w:ascii="仿宋" w:hAnsi="仿宋" w:eastAsia="仿宋" w:cs="仿宋"/>
                <w:kern w:val="0"/>
                <w:sz w:val="18"/>
                <w:szCs w:val="18"/>
              </w:rPr>
            </w:pPr>
            <w:r>
              <w:rPr>
                <w:rFonts w:hint="eastAsia" w:ascii="仿宋" w:hAnsi="仿宋" w:eastAsia="仿宋" w:cs="仿宋"/>
                <w:kern w:val="0"/>
                <w:sz w:val="18"/>
                <w:szCs w:val="18"/>
              </w:rPr>
              <w:t>100≤X＜200</w:t>
            </w:r>
          </w:p>
        </w:tc>
        <w:tc>
          <w:tcPr>
            <w:tcW w:w="1560" w:type="dxa"/>
            <w:tcBorders>
              <w:top w:val="nil"/>
              <w:left w:val="nil"/>
              <w:bottom w:val="single" w:color="auto" w:sz="4" w:space="0"/>
              <w:right w:val="single" w:color="auto" w:sz="4" w:space="0"/>
            </w:tcBorders>
            <w:noWrap/>
            <w:vAlign w:val="center"/>
          </w:tcPr>
          <w:p w14:paraId="1AC6D83D">
            <w:pPr>
              <w:widowControl/>
              <w:jc w:val="center"/>
              <w:rPr>
                <w:rFonts w:ascii="仿宋" w:hAnsi="仿宋" w:eastAsia="仿宋" w:cs="仿宋"/>
                <w:kern w:val="0"/>
                <w:sz w:val="18"/>
                <w:szCs w:val="18"/>
              </w:rPr>
            </w:pPr>
            <w:r>
              <w:rPr>
                <w:rFonts w:hint="eastAsia" w:ascii="仿宋" w:hAnsi="仿宋" w:eastAsia="仿宋" w:cs="仿宋"/>
                <w:kern w:val="0"/>
                <w:sz w:val="18"/>
                <w:szCs w:val="18"/>
              </w:rPr>
              <w:t>20≤X＜100</w:t>
            </w:r>
          </w:p>
        </w:tc>
        <w:tc>
          <w:tcPr>
            <w:tcW w:w="1333" w:type="dxa"/>
            <w:tcBorders>
              <w:top w:val="nil"/>
              <w:left w:val="nil"/>
              <w:bottom w:val="single" w:color="auto" w:sz="4" w:space="0"/>
              <w:right w:val="single" w:color="auto" w:sz="4" w:space="0"/>
            </w:tcBorders>
            <w:noWrap/>
            <w:vAlign w:val="center"/>
          </w:tcPr>
          <w:p w14:paraId="3FEFA657">
            <w:pPr>
              <w:widowControl/>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782142D5">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32E2C15C">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29179AE2">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695ADF31">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504E1165">
            <w:pPr>
              <w:widowControl/>
              <w:jc w:val="center"/>
              <w:rPr>
                <w:rFonts w:ascii="仿宋" w:hAnsi="仿宋" w:eastAsia="仿宋" w:cs="仿宋"/>
                <w:kern w:val="0"/>
                <w:sz w:val="18"/>
                <w:szCs w:val="18"/>
              </w:rPr>
            </w:pPr>
            <w:r>
              <w:rPr>
                <w:rFonts w:hint="eastAsia" w:ascii="仿宋" w:hAnsi="仿宋" w:eastAsia="仿宋" w:cs="仿宋"/>
                <w:kern w:val="0"/>
                <w:sz w:val="18"/>
                <w:szCs w:val="18"/>
              </w:rPr>
              <w:t>1000≤Y＜30000</w:t>
            </w:r>
          </w:p>
        </w:tc>
        <w:tc>
          <w:tcPr>
            <w:tcW w:w="1560" w:type="dxa"/>
            <w:tcBorders>
              <w:top w:val="nil"/>
              <w:left w:val="nil"/>
              <w:bottom w:val="single" w:color="auto" w:sz="4" w:space="0"/>
              <w:right w:val="single" w:color="auto" w:sz="4" w:space="0"/>
            </w:tcBorders>
            <w:noWrap/>
            <w:vAlign w:val="center"/>
          </w:tcPr>
          <w:p w14:paraId="0A400CD6">
            <w:pPr>
              <w:widowControl/>
              <w:jc w:val="center"/>
              <w:rPr>
                <w:rFonts w:ascii="仿宋" w:hAnsi="仿宋" w:eastAsia="仿宋" w:cs="仿宋"/>
                <w:kern w:val="0"/>
                <w:sz w:val="18"/>
                <w:szCs w:val="18"/>
              </w:rPr>
            </w:pPr>
            <w:r>
              <w:rPr>
                <w:rFonts w:hint="eastAsia" w:ascii="仿宋" w:hAnsi="仿宋" w:eastAsia="仿宋" w:cs="仿宋"/>
                <w:kern w:val="0"/>
                <w:sz w:val="18"/>
                <w:szCs w:val="18"/>
              </w:rPr>
              <w:t>100≤Y＜1000</w:t>
            </w:r>
          </w:p>
        </w:tc>
        <w:tc>
          <w:tcPr>
            <w:tcW w:w="1333" w:type="dxa"/>
            <w:tcBorders>
              <w:top w:val="nil"/>
              <w:left w:val="nil"/>
              <w:bottom w:val="single" w:color="auto" w:sz="4" w:space="0"/>
              <w:right w:val="single" w:color="auto" w:sz="4" w:space="0"/>
            </w:tcBorders>
            <w:noWrap/>
            <w:vAlign w:val="center"/>
          </w:tcPr>
          <w:p w14:paraId="4A155C52">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31A19F6E">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5E1FCBEC">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499" w:type="dxa"/>
            <w:tcBorders>
              <w:top w:val="nil"/>
              <w:left w:val="nil"/>
              <w:bottom w:val="single" w:color="auto" w:sz="4" w:space="0"/>
              <w:right w:val="single" w:color="auto" w:sz="4" w:space="0"/>
            </w:tcBorders>
            <w:noWrap/>
            <w:vAlign w:val="center"/>
          </w:tcPr>
          <w:p w14:paraId="18DA4DA8">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69DB10DB">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050E31A3">
            <w:pPr>
              <w:widowControl/>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560" w:type="dxa"/>
            <w:tcBorders>
              <w:top w:val="nil"/>
              <w:left w:val="nil"/>
              <w:bottom w:val="single" w:color="auto" w:sz="4" w:space="0"/>
              <w:right w:val="single" w:color="auto" w:sz="4" w:space="0"/>
            </w:tcBorders>
            <w:noWrap/>
            <w:vAlign w:val="center"/>
          </w:tcPr>
          <w:p w14:paraId="22ABEE3E">
            <w:pPr>
              <w:widowControl/>
              <w:jc w:val="center"/>
              <w:rPr>
                <w:rFonts w:ascii="仿宋" w:hAnsi="仿宋" w:eastAsia="仿宋" w:cs="仿宋"/>
                <w:kern w:val="0"/>
                <w:sz w:val="18"/>
                <w:szCs w:val="18"/>
              </w:rPr>
            </w:pPr>
            <w:r>
              <w:rPr>
                <w:rFonts w:hint="eastAsia" w:ascii="仿宋" w:hAnsi="仿宋" w:eastAsia="仿宋" w:cs="仿宋"/>
                <w:kern w:val="0"/>
                <w:sz w:val="18"/>
                <w:szCs w:val="18"/>
              </w:rPr>
              <w:t>20≤X＜300</w:t>
            </w:r>
          </w:p>
        </w:tc>
        <w:tc>
          <w:tcPr>
            <w:tcW w:w="1333" w:type="dxa"/>
            <w:tcBorders>
              <w:top w:val="nil"/>
              <w:left w:val="nil"/>
              <w:bottom w:val="single" w:color="auto" w:sz="4" w:space="0"/>
              <w:right w:val="single" w:color="auto" w:sz="4" w:space="0"/>
            </w:tcBorders>
            <w:noWrap/>
            <w:vAlign w:val="center"/>
          </w:tcPr>
          <w:p w14:paraId="6F4AA570">
            <w:pPr>
              <w:widowControl/>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205B4F7A">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7F814A2D">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01946C8F">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1C71389B">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2C9B5830">
            <w:pPr>
              <w:widowControl/>
              <w:jc w:val="center"/>
              <w:rPr>
                <w:rFonts w:ascii="仿宋" w:hAnsi="仿宋" w:eastAsia="仿宋" w:cs="仿宋"/>
                <w:kern w:val="0"/>
                <w:sz w:val="18"/>
                <w:szCs w:val="18"/>
              </w:rPr>
            </w:pPr>
            <w:r>
              <w:rPr>
                <w:rFonts w:hint="eastAsia" w:ascii="仿宋" w:hAnsi="仿宋" w:eastAsia="仿宋" w:cs="仿宋"/>
                <w:kern w:val="0"/>
                <w:sz w:val="18"/>
                <w:szCs w:val="18"/>
              </w:rPr>
              <w:t>2000≤Y＜30000</w:t>
            </w:r>
          </w:p>
        </w:tc>
        <w:tc>
          <w:tcPr>
            <w:tcW w:w="1560" w:type="dxa"/>
            <w:tcBorders>
              <w:top w:val="nil"/>
              <w:left w:val="nil"/>
              <w:bottom w:val="single" w:color="auto" w:sz="4" w:space="0"/>
              <w:right w:val="single" w:color="auto" w:sz="4" w:space="0"/>
            </w:tcBorders>
            <w:noWrap/>
            <w:vAlign w:val="center"/>
          </w:tcPr>
          <w:p w14:paraId="5B9FA761">
            <w:pPr>
              <w:widowControl/>
              <w:jc w:val="center"/>
              <w:rPr>
                <w:rFonts w:ascii="仿宋" w:hAnsi="仿宋" w:eastAsia="仿宋" w:cs="仿宋"/>
                <w:kern w:val="0"/>
                <w:sz w:val="18"/>
                <w:szCs w:val="18"/>
              </w:rPr>
            </w:pPr>
            <w:r>
              <w:rPr>
                <w:rFonts w:hint="eastAsia" w:ascii="仿宋" w:hAnsi="仿宋" w:eastAsia="仿宋" w:cs="仿宋"/>
                <w:kern w:val="0"/>
                <w:sz w:val="18"/>
                <w:szCs w:val="18"/>
              </w:rPr>
              <w:t>100≤Y＜2000</w:t>
            </w:r>
          </w:p>
        </w:tc>
        <w:tc>
          <w:tcPr>
            <w:tcW w:w="1333" w:type="dxa"/>
            <w:tcBorders>
              <w:top w:val="nil"/>
              <w:left w:val="nil"/>
              <w:bottom w:val="single" w:color="auto" w:sz="4" w:space="0"/>
              <w:right w:val="single" w:color="auto" w:sz="4" w:space="0"/>
            </w:tcBorders>
            <w:noWrap/>
            <w:vAlign w:val="center"/>
          </w:tcPr>
          <w:p w14:paraId="37AB95F0">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3AFA2B0E">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6C1858EA">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499" w:type="dxa"/>
            <w:tcBorders>
              <w:top w:val="nil"/>
              <w:left w:val="nil"/>
              <w:bottom w:val="single" w:color="auto" w:sz="4" w:space="0"/>
              <w:right w:val="single" w:color="auto" w:sz="4" w:space="0"/>
            </w:tcBorders>
            <w:noWrap/>
            <w:vAlign w:val="center"/>
          </w:tcPr>
          <w:p w14:paraId="3B0F030D">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0B589BC1">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1EEE20F4">
            <w:pPr>
              <w:widowControl/>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560" w:type="dxa"/>
            <w:tcBorders>
              <w:top w:val="nil"/>
              <w:left w:val="nil"/>
              <w:bottom w:val="single" w:color="auto" w:sz="4" w:space="0"/>
              <w:right w:val="single" w:color="auto" w:sz="4" w:space="0"/>
            </w:tcBorders>
            <w:noWrap/>
            <w:vAlign w:val="center"/>
          </w:tcPr>
          <w:p w14:paraId="3799F36C">
            <w:pPr>
              <w:widowControl/>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1333" w:type="dxa"/>
            <w:tcBorders>
              <w:top w:val="nil"/>
              <w:left w:val="nil"/>
              <w:bottom w:val="single" w:color="auto" w:sz="4" w:space="0"/>
              <w:right w:val="single" w:color="auto" w:sz="4" w:space="0"/>
            </w:tcBorders>
            <w:noWrap/>
            <w:vAlign w:val="center"/>
          </w:tcPr>
          <w:p w14:paraId="31847CCA">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3BE28FA6">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320B5A19">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5AAA77FF">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01F537BE">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4EB4B1F4">
            <w:pPr>
              <w:widowControl/>
              <w:jc w:val="center"/>
              <w:rPr>
                <w:rFonts w:ascii="仿宋" w:hAnsi="仿宋" w:eastAsia="仿宋" w:cs="仿宋"/>
                <w:kern w:val="0"/>
                <w:sz w:val="18"/>
                <w:szCs w:val="18"/>
              </w:rPr>
            </w:pPr>
            <w:r>
              <w:rPr>
                <w:rFonts w:hint="eastAsia" w:ascii="仿宋" w:hAnsi="仿宋" w:eastAsia="仿宋" w:cs="仿宋"/>
                <w:kern w:val="0"/>
                <w:sz w:val="18"/>
                <w:szCs w:val="18"/>
              </w:rPr>
              <w:t>2000≤Y＜10000</w:t>
            </w:r>
          </w:p>
        </w:tc>
        <w:tc>
          <w:tcPr>
            <w:tcW w:w="1560" w:type="dxa"/>
            <w:tcBorders>
              <w:top w:val="nil"/>
              <w:left w:val="nil"/>
              <w:bottom w:val="single" w:color="auto" w:sz="4" w:space="0"/>
              <w:right w:val="single" w:color="auto" w:sz="4" w:space="0"/>
            </w:tcBorders>
            <w:noWrap/>
            <w:vAlign w:val="center"/>
          </w:tcPr>
          <w:p w14:paraId="7912FE8F">
            <w:pPr>
              <w:widowControl/>
              <w:jc w:val="center"/>
              <w:rPr>
                <w:rFonts w:ascii="仿宋" w:hAnsi="仿宋" w:eastAsia="仿宋" w:cs="仿宋"/>
                <w:kern w:val="0"/>
                <w:sz w:val="18"/>
                <w:szCs w:val="18"/>
              </w:rPr>
            </w:pPr>
            <w:r>
              <w:rPr>
                <w:rFonts w:hint="eastAsia" w:ascii="仿宋" w:hAnsi="仿宋" w:eastAsia="仿宋" w:cs="仿宋"/>
                <w:kern w:val="0"/>
                <w:sz w:val="18"/>
                <w:szCs w:val="18"/>
              </w:rPr>
              <w:t>100≤Y＜2000</w:t>
            </w:r>
          </w:p>
        </w:tc>
        <w:tc>
          <w:tcPr>
            <w:tcW w:w="1333" w:type="dxa"/>
            <w:tcBorders>
              <w:top w:val="nil"/>
              <w:left w:val="nil"/>
              <w:bottom w:val="single" w:color="auto" w:sz="4" w:space="0"/>
              <w:right w:val="single" w:color="auto" w:sz="4" w:space="0"/>
            </w:tcBorders>
            <w:noWrap/>
            <w:vAlign w:val="center"/>
          </w:tcPr>
          <w:p w14:paraId="6BFF2AF0">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4E976D61">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4B245B33">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499" w:type="dxa"/>
            <w:tcBorders>
              <w:top w:val="nil"/>
              <w:left w:val="nil"/>
              <w:bottom w:val="single" w:color="auto" w:sz="4" w:space="0"/>
              <w:right w:val="single" w:color="auto" w:sz="4" w:space="0"/>
            </w:tcBorders>
            <w:noWrap/>
            <w:vAlign w:val="center"/>
          </w:tcPr>
          <w:p w14:paraId="285796C5">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5D4F920D">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305A1618">
            <w:pPr>
              <w:widowControl/>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560" w:type="dxa"/>
            <w:tcBorders>
              <w:top w:val="nil"/>
              <w:left w:val="nil"/>
              <w:bottom w:val="single" w:color="auto" w:sz="4" w:space="0"/>
              <w:right w:val="single" w:color="auto" w:sz="4" w:space="0"/>
            </w:tcBorders>
            <w:noWrap/>
            <w:vAlign w:val="center"/>
          </w:tcPr>
          <w:p w14:paraId="20ECD309">
            <w:pPr>
              <w:widowControl/>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1333" w:type="dxa"/>
            <w:tcBorders>
              <w:top w:val="nil"/>
              <w:left w:val="nil"/>
              <w:bottom w:val="single" w:color="auto" w:sz="4" w:space="0"/>
              <w:right w:val="single" w:color="auto" w:sz="4" w:space="0"/>
            </w:tcBorders>
            <w:noWrap/>
            <w:vAlign w:val="center"/>
          </w:tcPr>
          <w:p w14:paraId="7FCF9BF0">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0F9B3D00">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619EA10E">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420D3148">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0A62A9F9">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66621B54">
            <w:pPr>
              <w:widowControl/>
              <w:jc w:val="center"/>
              <w:rPr>
                <w:rFonts w:ascii="仿宋" w:hAnsi="仿宋" w:eastAsia="仿宋" w:cs="仿宋"/>
                <w:kern w:val="0"/>
                <w:sz w:val="18"/>
                <w:szCs w:val="18"/>
              </w:rPr>
            </w:pPr>
            <w:r>
              <w:rPr>
                <w:rFonts w:hint="eastAsia" w:ascii="仿宋" w:hAnsi="仿宋" w:eastAsia="仿宋" w:cs="仿宋"/>
                <w:kern w:val="0"/>
                <w:sz w:val="18"/>
                <w:szCs w:val="18"/>
              </w:rPr>
              <w:t>2000≤Y＜10000</w:t>
            </w:r>
          </w:p>
        </w:tc>
        <w:tc>
          <w:tcPr>
            <w:tcW w:w="1560" w:type="dxa"/>
            <w:tcBorders>
              <w:top w:val="nil"/>
              <w:left w:val="nil"/>
              <w:bottom w:val="single" w:color="auto" w:sz="4" w:space="0"/>
              <w:right w:val="single" w:color="auto" w:sz="4" w:space="0"/>
            </w:tcBorders>
            <w:noWrap/>
            <w:vAlign w:val="center"/>
          </w:tcPr>
          <w:p w14:paraId="7197F9F1">
            <w:pPr>
              <w:widowControl/>
              <w:jc w:val="center"/>
              <w:rPr>
                <w:rFonts w:ascii="仿宋" w:hAnsi="仿宋" w:eastAsia="仿宋" w:cs="仿宋"/>
                <w:kern w:val="0"/>
                <w:sz w:val="18"/>
                <w:szCs w:val="18"/>
              </w:rPr>
            </w:pPr>
            <w:r>
              <w:rPr>
                <w:rFonts w:hint="eastAsia" w:ascii="仿宋" w:hAnsi="仿宋" w:eastAsia="仿宋" w:cs="仿宋"/>
                <w:kern w:val="0"/>
                <w:sz w:val="18"/>
                <w:szCs w:val="18"/>
              </w:rPr>
              <w:t>100≤Y＜2000</w:t>
            </w:r>
          </w:p>
        </w:tc>
        <w:tc>
          <w:tcPr>
            <w:tcW w:w="1333" w:type="dxa"/>
            <w:tcBorders>
              <w:top w:val="nil"/>
              <w:left w:val="nil"/>
              <w:bottom w:val="single" w:color="auto" w:sz="4" w:space="0"/>
              <w:right w:val="single" w:color="auto" w:sz="4" w:space="0"/>
            </w:tcBorders>
            <w:noWrap/>
            <w:vAlign w:val="center"/>
          </w:tcPr>
          <w:p w14:paraId="29C5EFAF">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0246AD81">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00E470F5">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499" w:type="dxa"/>
            <w:tcBorders>
              <w:top w:val="nil"/>
              <w:left w:val="nil"/>
              <w:bottom w:val="single" w:color="auto" w:sz="4" w:space="0"/>
              <w:right w:val="single" w:color="auto" w:sz="4" w:space="0"/>
            </w:tcBorders>
            <w:noWrap/>
            <w:vAlign w:val="center"/>
          </w:tcPr>
          <w:p w14:paraId="77C163CD">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137B275A">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2F3E0BC5">
            <w:pPr>
              <w:widowControl/>
              <w:jc w:val="center"/>
              <w:rPr>
                <w:rFonts w:ascii="仿宋" w:hAnsi="仿宋" w:eastAsia="仿宋" w:cs="仿宋"/>
                <w:kern w:val="0"/>
                <w:sz w:val="18"/>
                <w:szCs w:val="18"/>
              </w:rPr>
            </w:pPr>
            <w:r>
              <w:rPr>
                <w:rFonts w:hint="eastAsia" w:ascii="仿宋" w:hAnsi="仿宋" w:eastAsia="仿宋" w:cs="仿宋"/>
                <w:kern w:val="0"/>
                <w:sz w:val="18"/>
                <w:szCs w:val="18"/>
              </w:rPr>
              <w:t>100≤X＜2000</w:t>
            </w:r>
          </w:p>
        </w:tc>
        <w:tc>
          <w:tcPr>
            <w:tcW w:w="1560" w:type="dxa"/>
            <w:tcBorders>
              <w:top w:val="nil"/>
              <w:left w:val="nil"/>
              <w:bottom w:val="single" w:color="auto" w:sz="4" w:space="0"/>
              <w:right w:val="single" w:color="auto" w:sz="4" w:space="0"/>
            </w:tcBorders>
            <w:noWrap/>
            <w:vAlign w:val="center"/>
          </w:tcPr>
          <w:p w14:paraId="05EB5F45">
            <w:pPr>
              <w:widowControl/>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1333" w:type="dxa"/>
            <w:tcBorders>
              <w:top w:val="nil"/>
              <w:left w:val="nil"/>
              <w:bottom w:val="single" w:color="auto" w:sz="4" w:space="0"/>
              <w:right w:val="single" w:color="auto" w:sz="4" w:space="0"/>
            </w:tcBorders>
            <w:noWrap/>
            <w:vAlign w:val="center"/>
          </w:tcPr>
          <w:p w14:paraId="0EFBBDA7">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6C80CDCD">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7765BFAC">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43584159">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3F62A36A">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6682866D">
            <w:pPr>
              <w:widowControl/>
              <w:jc w:val="center"/>
              <w:rPr>
                <w:rFonts w:ascii="仿宋" w:hAnsi="仿宋" w:eastAsia="仿宋" w:cs="仿宋"/>
                <w:kern w:val="0"/>
                <w:sz w:val="18"/>
                <w:szCs w:val="18"/>
              </w:rPr>
            </w:pPr>
            <w:r>
              <w:rPr>
                <w:rFonts w:hint="eastAsia" w:ascii="仿宋" w:hAnsi="仿宋" w:eastAsia="仿宋" w:cs="仿宋"/>
                <w:kern w:val="0"/>
                <w:sz w:val="18"/>
                <w:szCs w:val="18"/>
              </w:rPr>
              <w:t>1000≤Y＜100000</w:t>
            </w:r>
          </w:p>
        </w:tc>
        <w:tc>
          <w:tcPr>
            <w:tcW w:w="1560" w:type="dxa"/>
            <w:tcBorders>
              <w:top w:val="nil"/>
              <w:left w:val="nil"/>
              <w:bottom w:val="single" w:color="auto" w:sz="4" w:space="0"/>
              <w:right w:val="single" w:color="auto" w:sz="4" w:space="0"/>
            </w:tcBorders>
            <w:noWrap/>
            <w:vAlign w:val="center"/>
          </w:tcPr>
          <w:p w14:paraId="7F662239">
            <w:pPr>
              <w:widowControl/>
              <w:jc w:val="center"/>
              <w:rPr>
                <w:rFonts w:ascii="仿宋" w:hAnsi="仿宋" w:eastAsia="仿宋" w:cs="仿宋"/>
                <w:kern w:val="0"/>
                <w:sz w:val="18"/>
                <w:szCs w:val="18"/>
              </w:rPr>
            </w:pPr>
            <w:r>
              <w:rPr>
                <w:rFonts w:hint="eastAsia" w:ascii="仿宋" w:hAnsi="仿宋" w:eastAsia="仿宋" w:cs="仿宋"/>
                <w:kern w:val="0"/>
                <w:sz w:val="18"/>
                <w:szCs w:val="18"/>
              </w:rPr>
              <w:t>100≤Y＜1000</w:t>
            </w:r>
          </w:p>
        </w:tc>
        <w:tc>
          <w:tcPr>
            <w:tcW w:w="1333" w:type="dxa"/>
            <w:tcBorders>
              <w:top w:val="nil"/>
              <w:left w:val="nil"/>
              <w:bottom w:val="single" w:color="auto" w:sz="4" w:space="0"/>
              <w:right w:val="single" w:color="auto" w:sz="4" w:space="0"/>
            </w:tcBorders>
            <w:noWrap/>
            <w:vAlign w:val="center"/>
          </w:tcPr>
          <w:p w14:paraId="0C995786">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4CEB25BF">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69AA5A4D">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499" w:type="dxa"/>
            <w:tcBorders>
              <w:top w:val="nil"/>
              <w:left w:val="nil"/>
              <w:bottom w:val="single" w:color="auto" w:sz="4" w:space="0"/>
              <w:right w:val="single" w:color="auto" w:sz="4" w:space="0"/>
            </w:tcBorders>
            <w:noWrap/>
            <w:vAlign w:val="center"/>
          </w:tcPr>
          <w:p w14:paraId="51D03F1E">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07F52547">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26A8FBF1">
            <w:pPr>
              <w:widowControl/>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560" w:type="dxa"/>
            <w:tcBorders>
              <w:top w:val="nil"/>
              <w:left w:val="nil"/>
              <w:bottom w:val="single" w:color="auto" w:sz="4" w:space="0"/>
              <w:right w:val="single" w:color="auto" w:sz="4" w:space="0"/>
            </w:tcBorders>
            <w:noWrap/>
            <w:vAlign w:val="center"/>
          </w:tcPr>
          <w:p w14:paraId="11B78664">
            <w:pPr>
              <w:widowControl/>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1333" w:type="dxa"/>
            <w:tcBorders>
              <w:top w:val="nil"/>
              <w:left w:val="nil"/>
              <w:bottom w:val="single" w:color="auto" w:sz="4" w:space="0"/>
              <w:right w:val="single" w:color="auto" w:sz="4" w:space="0"/>
            </w:tcBorders>
            <w:noWrap/>
            <w:vAlign w:val="center"/>
          </w:tcPr>
          <w:p w14:paraId="1C6E2FAF">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28E03B46">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4D9250AB">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33713B8F">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201A3EFC">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6EDDF825">
            <w:pPr>
              <w:widowControl/>
              <w:jc w:val="center"/>
              <w:rPr>
                <w:rFonts w:ascii="仿宋" w:hAnsi="仿宋" w:eastAsia="仿宋" w:cs="仿宋"/>
                <w:kern w:val="0"/>
                <w:sz w:val="18"/>
                <w:szCs w:val="18"/>
              </w:rPr>
            </w:pPr>
            <w:r>
              <w:rPr>
                <w:rFonts w:hint="eastAsia" w:ascii="仿宋" w:hAnsi="仿宋" w:eastAsia="仿宋" w:cs="仿宋"/>
                <w:kern w:val="0"/>
                <w:sz w:val="18"/>
                <w:szCs w:val="18"/>
              </w:rPr>
              <w:t>1000≤Y＜10000</w:t>
            </w:r>
          </w:p>
        </w:tc>
        <w:tc>
          <w:tcPr>
            <w:tcW w:w="1560" w:type="dxa"/>
            <w:tcBorders>
              <w:top w:val="nil"/>
              <w:left w:val="nil"/>
              <w:bottom w:val="single" w:color="auto" w:sz="4" w:space="0"/>
              <w:right w:val="single" w:color="auto" w:sz="4" w:space="0"/>
            </w:tcBorders>
            <w:noWrap/>
            <w:vAlign w:val="center"/>
          </w:tcPr>
          <w:p w14:paraId="58584F61">
            <w:pPr>
              <w:widowControl/>
              <w:jc w:val="center"/>
              <w:rPr>
                <w:rFonts w:ascii="仿宋" w:hAnsi="仿宋" w:eastAsia="仿宋" w:cs="仿宋"/>
                <w:kern w:val="0"/>
                <w:sz w:val="18"/>
                <w:szCs w:val="18"/>
              </w:rPr>
            </w:pPr>
            <w:r>
              <w:rPr>
                <w:rFonts w:hint="eastAsia" w:ascii="仿宋" w:hAnsi="仿宋" w:eastAsia="仿宋" w:cs="仿宋"/>
                <w:kern w:val="0"/>
                <w:sz w:val="18"/>
                <w:szCs w:val="18"/>
              </w:rPr>
              <w:t>50≤Y＜1000</w:t>
            </w:r>
          </w:p>
        </w:tc>
        <w:tc>
          <w:tcPr>
            <w:tcW w:w="1333" w:type="dxa"/>
            <w:tcBorders>
              <w:top w:val="nil"/>
              <w:left w:val="nil"/>
              <w:bottom w:val="single" w:color="auto" w:sz="4" w:space="0"/>
              <w:right w:val="single" w:color="auto" w:sz="4" w:space="0"/>
            </w:tcBorders>
            <w:noWrap/>
            <w:vAlign w:val="center"/>
          </w:tcPr>
          <w:p w14:paraId="2BE6ED75">
            <w:pPr>
              <w:widowControl/>
              <w:jc w:val="center"/>
              <w:rPr>
                <w:rFonts w:ascii="仿宋" w:hAnsi="仿宋" w:eastAsia="仿宋" w:cs="仿宋"/>
                <w:kern w:val="0"/>
                <w:sz w:val="18"/>
                <w:szCs w:val="18"/>
              </w:rPr>
            </w:pPr>
            <w:r>
              <w:rPr>
                <w:rFonts w:hint="eastAsia" w:ascii="仿宋" w:hAnsi="仿宋" w:eastAsia="仿宋" w:cs="仿宋"/>
                <w:kern w:val="0"/>
                <w:sz w:val="18"/>
                <w:szCs w:val="18"/>
              </w:rPr>
              <w:t>Y＜50</w:t>
            </w:r>
          </w:p>
        </w:tc>
      </w:tr>
      <w:tr w14:paraId="42795C78">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2B82D5BD">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499" w:type="dxa"/>
            <w:tcBorders>
              <w:top w:val="nil"/>
              <w:left w:val="nil"/>
              <w:bottom w:val="single" w:color="auto" w:sz="4" w:space="0"/>
              <w:right w:val="single" w:color="auto" w:sz="4" w:space="0"/>
            </w:tcBorders>
            <w:noWrap/>
            <w:vAlign w:val="center"/>
          </w:tcPr>
          <w:p w14:paraId="59477338">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4BF58A09">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295E7F5A">
            <w:pPr>
              <w:widowControl/>
              <w:jc w:val="center"/>
              <w:rPr>
                <w:rFonts w:ascii="仿宋" w:hAnsi="仿宋" w:eastAsia="仿宋" w:cs="仿宋"/>
                <w:kern w:val="0"/>
                <w:sz w:val="18"/>
                <w:szCs w:val="18"/>
              </w:rPr>
            </w:pPr>
            <w:r>
              <w:rPr>
                <w:rFonts w:hint="eastAsia" w:ascii="仿宋" w:hAnsi="仿宋" w:eastAsia="仿宋" w:cs="仿宋"/>
                <w:kern w:val="0"/>
                <w:sz w:val="18"/>
                <w:szCs w:val="18"/>
              </w:rPr>
              <w:t>1000≤Y＜200000</w:t>
            </w:r>
          </w:p>
        </w:tc>
        <w:tc>
          <w:tcPr>
            <w:tcW w:w="1560" w:type="dxa"/>
            <w:tcBorders>
              <w:top w:val="nil"/>
              <w:left w:val="nil"/>
              <w:bottom w:val="single" w:color="auto" w:sz="4" w:space="0"/>
              <w:right w:val="single" w:color="auto" w:sz="4" w:space="0"/>
            </w:tcBorders>
            <w:noWrap/>
            <w:vAlign w:val="center"/>
          </w:tcPr>
          <w:p w14:paraId="57756AE2">
            <w:pPr>
              <w:widowControl/>
              <w:jc w:val="center"/>
              <w:rPr>
                <w:rFonts w:ascii="仿宋" w:hAnsi="仿宋" w:eastAsia="仿宋" w:cs="仿宋"/>
                <w:kern w:val="0"/>
                <w:sz w:val="18"/>
                <w:szCs w:val="18"/>
              </w:rPr>
            </w:pPr>
            <w:r>
              <w:rPr>
                <w:rFonts w:hint="eastAsia" w:ascii="仿宋" w:hAnsi="仿宋" w:eastAsia="仿宋" w:cs="仿宋"/>
                <w:kern w:val="0"/>
                <w:sz w:val="18"/>
                <w:szCs w:val="18"/>
              </w:rPr>
              <w:t>100≤X＜1000</w:t>
            </w:r>
          </w:p>
        </w:tc>
        <w:tc>
          <w:tcPr>
            <w:tcW w:w="1333" w:type="dxa"/>
            <w:tcBorders>
              <w:top w:val="nil"/>
              <w:left w:val="nil"/>
              <w:bottom w:val="single" w:color="auto" w:sz="4" w:space="0"/>
              <w:right w:val="single" w:color="auto" w:sz="4" w:space="0"/>
            </w:tcBorders>
            <w:noWrap/>
            <w:vAlign w:val="center"/>
          </w:tcPr>
          <w:p w14:paraId="53C32978">
            <w:pPr>
              <w:widowControl/>
              <w:jc w:val="center"/>
              <w:rPr>
                <w:rFonts w:ascii="仿宋" w:hAnsi="仿宋" w:eastAsia="仿宋" w:cs="仿宋"/>
                <w:kern w:val="0"/>
                <w:sz w:val="18"/>
                <w:szCs w:val="18"/>
              </w:rPr>
            </w:pPr>
            <w:r>
              <w:rPr>
                <w:rFonts w:hint="eastAsia" w:ascii="仿宋" w:hAnsi="仿宋" w:eastAsia="仿宋" w:cs="仿宋"/>
                <w:kern w:val="0"/>
                <w:sz w:val="18"/>
                <w:szCs w:val="18"/>
              </w:rPr>
              <w:t>X＜100</w:t>
            </w:r>
          </w:p>
        </w:tc>
      </w:tr>
      <w:tr w14:paraId="2B7252F0">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2A98835F">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2D520E7E">
            <w:pPr>
              <w:widowControl/>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988" w:type="dxa"/>
            <w:tcBorders>
              <w:top w:val="nil"/>
              <w:left w:val="nil"/>
              <w:bottom w:val="single" w:color="auto" w:sz="4" w:space="0"/>
              <w:right w:val="single" w:color="auto" w:sz="4" w:space="0"/>
            </w:tcBorders>
            <w:noWrap/>
            <w:vAlign w:val="center"/>
          </w:tcPr>
          <w:p w14:paraId="39AF264F">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2FBDDBF5">
            <w:pPr>
              <w:widowControl/>
              <w:jc w:val="center"/>
              <w:rPr>
                <w:rFonts w:ascii="仿宋" w:hAnsi="仿宋" w:eastAsia="仿宋" w:cs="仿宋"/>
                <w:kern w:val="0"/>
                <w:sz w:val="18"/>
                <w:szCs w:val="18"/>
              </w:rPr>
            </w:pPr>
            <w:r>
              <w:rPr>
                <w:rFonts w:hint="eastAsia" w:ascii="仿宋" w:hAnsi="仿宋" w:eastAsia="仿宋" w:cs="仿宋"/>
                <w:kern w:val="0"/>
                <w:sz w:val="18"/>
                <w:szCs w:val="18"/>
              </w:rPr>
              <w:t>5000≤Z＜10000</w:t>
            </w:r>
          </w:p>
        </w:tc>
        <w:tc>
          <w:tcPr>
            <w:tcW w:w="1560" w:type="dxa"/>
            <w:tcBorders>
              <w:top w:val="nil"/>
              <w:left w:val="nil"/>
              <w:bottom w:val="single" w:color="auto" w:sz="4" w:space="0"/>
              <w:right w:val="single" w:color="auto" w:sz="4" w:space="0"/>
            </w:tcBorders>
            <w:noWrap/>
            <w:vAlign w:val="center"/>
          </w:tcPr>
          <w:p w14:paraId="6BCA2417">
            <w:pPr>
              <w:widowControl/>
              <w:jc w:val="center"/>
              <w:rPr>
                <w:rFonts w:ascii="仿宋" w:hAnsi="仿宋" w:eastAsia="仿宋" w:cs="仿宋"/>
                <w:kern w:val="0"/>
                <w:sz w:val="18"/>
                <w:szCs w:val="18"/>
              </w:rPr>
            </w:pPr>
            <w:r>
              <w:rPr>
                <w:rFonts w:hint="eastAsia" w:ascii="仿宋" w:hAnsi="仿宋" w:eastAsia="仿宋" w:cs="仿宋"/>
                <w:kern w:val="0"/>
                <w:sz w:val="18"/>
                <w:szCs w:val="18"/>
              </w:rPr>
              <w:t>2000≤Y＜5000</w:t>
            </w:r>
          </w:p>
        </w:tc>
        <w:tc>
          <w:tcPr>
            <w:tcW w:w="1333" w:type="dxa"/>
            <w:tcBorders>
              <w:top w:val="nil"/>
              <w:left w:val="nil"/>
              <w:bottom w:val="single" w:color="auto" w:sz="4" w:space="0"/>
              <w:right w:val="single" w:color="auto" w:sz="4" w:space="0"/>
            </w:tcBorders>
            <w:noWrap/>
            <w:vAlign w:val="center"/>
          </w:tcPr>
          <w:p w14:paraId="513EE690">
            <w:pPr>
              <w:widowControl/>
              <w:jc w:val="center"/>
              <w:rPr>
                <w:rFonts w:ascii="仿宋" w:hAnsi="仿宋" w:eastAsia="仿宋" w:cs="仿宋"/>
                <w:kern w:val="0"/>
                <w:sz w:val="18"/>
                <w:szCs w:val="18"/>
              </w:rPr>
            </w:pPr>
            <w:r>
              <w:rPr>
                <w:rFonts w:hint="eastAsia" w:ascii="仿宋" w:hAnsi="仿宋" w:eastAsia="仿宋" w:cs="仿宋"/>
                <w:kern w:val="0"/>
                <w:sz w:val="18"/>
                <w:szCs w:val="18"/>
              </w:rPr>
              <w:t>Y＜2000</w:t>
            </w:r>
          </w:p>
        </w:tc>
      </w:tr>
      <w:tr w14:paraId="749FB4FD">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252E584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499" w:type="dxa"/>
            <w:tcBorders>
              <w:top w:val="nil"/>
              <w:left w:val="nil"/>
              <w:bottom w:val="single" w:color="auto" w:sz="4" w:space="0"/>
              <w:right w:val="single" w:color="auto" w:sz="4" w:space="0"/>
            </w:tcBorders>
            <w:noWrap/>
            <w:vAlign w:val="center"/>
          </w:tcPr>
          <w:p w14:paraId="734A63A3">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56A9C7F8">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57330B4D">
            <w:pPr>
              <w:widowControl/>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560" w:type="dxa"/>
            <w:tcBorders>
              <w:top w:val="nil"/>
              <w:left w:val="nil"/>
              <w:bottom w:val="single" w:color="auto" w:sz="4" w:space="0"/>
              <w:right w:val="single" w:color="auto" w:sz="4" w:space="0"/>
            </w:tcBorders>
            <w:noWrap/>
            <w:vAlign w:val="center"/>
          </w:tcPr>
          <w:p w14:paraId="417C3B67">
            <w:pPr>
              <w:widowControl/>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333" w:type="dxa"/>
            <w:tcBorders>
              <w:top w:val="nil"/>
              <w:left w:val="nil"/>
              <w:bottom w:val="single" w:color="auto" w:sz="4" w:space="0"/>
              <w:right w:val="single" w:color="auto" w:sz="4" w:space="0"/>
            </w:tcBorders>
            <w:noWrap/>
            <w:vAlign w:val="center"/>
          </w:tcPr>
          <w:p w14:paraId="6FF00F06">
            <w:pPr>
              <w:widowControl/>
              <w:jc w:val="center"/>
              <w:rPr>
                <w:rFonts w:ascii="仿宋" w:hAnsi="仿宋" w:eastAsia="仿宋" w:cs="仿宋"/>
                <w:kern w:val="0"/>
                <w:sz w:val="18"/>
                <w:szCs w:val="18"/>
              </w:rPr>
            </w:pPr>
            <w:r>
              <w:rPr>
                <w:rFonts w:hint="eastAsia" w:ascii="仿宋" w:hAnsi="仿宋" w:eastAsia="仿宋" w:cs="仿宋"/>
                <w:kern w:val="0"/>
                <w:sz w:val="18"/>
                <w:szCs w:val="18"/>
              </w:rPr>
              <w:t>X＜100</w:t>
            </w:r>
          </w:p>
        </w:tc>
      </w:tr>
      <w:tr w14:paraId="529FDEB4">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4D6EED85">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10D90BC0">
            <w:pPr>
              <w:widowControl/>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88" w:type="dxa"/>
            <w:tcBorders>
              <w:top w:val="nil"/>
              <w:left w:val="nil"/>
              <w:bottom w:val="single" w:color="auto" w:sz="4" w:space="0"/>
              <w:right w:val="single" w:color="auto" w:sz="4" w:space="0"/>
            </w:tcBorders>
            <w:noWrap/>
            <w:vAlign w:val="center"/>
          </w:tcPr>
          <w:p w14:paraId="005121E8">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07657F7F">
            <w:pPr>
              <w:widowControl/>
              <w:jc w:val="center"/>
              <w:rPr>
                <w:rFonts w:ascii="仿宋" w:hAnsi="仿宋" w:eastAsia="仿宋" w:cs="仿宋"/>
                <w:kern w:val="0"/>
                <w:sz w:val="18"/>
                <w:szCs w:val="18"/>
              </w:rPr>
            </w:pPr>
            <w:r>
              <w:rPr>
                <w:rFonts w:hint="eastAsia" w:ascii="仿宋" w:hAnsi="仿宋" w:eastAsia="仿宋" w:cs="仿宋"/>
                <w:kern w:val="0"/>
                <w:sz w:val="18"/>
                <w:szCs w:val="18"/>
              </w:rPr>
              <w:t>1000≤Y＜5000</w:t>
            </w:r>
          </w:p>
        </w:tc>
        <w:tc>
          <w:tcPr>
            <w:tcW w:w="1560" w:type="dxa"/>
            <w:tcBorders>
              <w:top w:val="nil"/>
              <w:left w:val="nil"/>
              <w:bottom w:val="single" w:color="auto" w:sz="4" w:space="0"/>
              <w:right w:val="single" w:color="auto" w:sz="4" w:space="0"/>
            </w:tcBorders>
            <w:noWrap/>
            <w:vAlign w:val="center"/>
          </w:tcPr>
          <w:p w14:paraId="20B9FDEE">
            <w:pPr>
              <w:widowControl/>
              <w:jc w:val="center"/>
              <w:rPr>
                <w:rFonts w:ascii="仿宋" w:hAnsi="仿宋" w:eastAsia="仿宋" w:cs="仿宋"/>
                <w:kern w:val="0"/>
                <w:sz w:val="18"/>
                <w:szCs w:val="18"/>
              </w:rPr>
            </w:pPr>
            <w:r>
              <w:rPr>
                <w:rFonts w:hint="eastAsia" w:ascii="仿宋" w:hAnsi="仿宋" w:eastAsia="仿宋" w:cs="仿宋"/>
                <w:kern w:val="0"/>
                <w:sz w:val="18"/>
                <w:szCs w:val="18"/>
              </w:rPr>
              <w:t>500≤Y＜1000</w:t>
            </w:r>
          </w:p>
        </w:tc>
        <w:tc>
          <w:tcPr>
            <w:tcW w:w="1333" w:type="dxa"/>
            <w:tcBorders>
              <w:top w:val="nil"/>
              <w:left w:val="nil"/>
              <w:bottom w:val="single" w:color="auto" w:sz="4" w:space="0"/>
              <w:right w:val="single" w:color="auto" w:sz="4" w:space="0"/>
            </w:tcBorders>
            <w:noWrap/>
            <w:vAlign w:val="center"/>
          </w:tcPr>
          <w:p w14:paraId="21DAFA39">
            <w:pPr>
              <w:widowControl/>
              <w:jc w:val="center"/>
              <w:rPr>
                <w:rFonts w:ascii="仿宋" w:hAnsi="仿宋" w:eastAsia="仿宋" w:cs="仿宋"/>
                <w:kern w:val="0"/>
                <w:sz w:val="18"/>
                <w:szCs w:val="18"/>
              </w:rPr>
            </w:pPr>
            <w:r>
              <w:rPr>
                <w:rFonts w:hint="eastAsia" w:ascii="仿宋" w:hAnsi="仿宋" w:eastAsia="仿宋" w:cs="仿宋"/>
                <w:kern w:val="0"/>
                <w:sz w:val="18"/>
                <w:szCs w:val="18"/>
              </w:rPr>
              <w:t>Y＜500</w:t>
            </w:r>
          </w:p>
        </w:tc>
      </w:tr>
      <w:tr w14:paraId="4EB531BC">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ign w:val="center"/>
          </w:tcPr>
          <w:p w14:paraId="5898DB19">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499" w:type="dxa"/>
            <w:tcBorders>
              <w:top w:val="nil"/>
              <w:left w:val="nil"/>
              <w:bottom w:val="single" w:color="auto" w:sz="4" w:space="0"/>
              <w:right w:val="single" w:color="auto" w:sz="4" w:space="0"/>
            </w:tcBorders>
            <w:noWrap/>
            <w:vAlign w:val="center"/>
          </w:tcPr>
          <w:p w14:paraId="48DECF43">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6BE5ABB0">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6490B8FF">
            <w:pPr>
              <w:widowControl/>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560" w:type="dxa"/>
            <w:tcBorders>
              <w:top w:val="nil"/>
              <w:left w:val="nil"/>
              <w:bottom w:val="single" w:color="auto" w:sz="4" w:space="0"/>
              <w:right w:val="single" w:color="auto" w:sz="4" w:space="0"/>
            </w:tcBorders>
            <w:noWrap/>
            <w:vAlign w:val="center"/>
          </w:tcPr>
          <w:p w14:paraId="756A15B6">
            <w:pPr>
              <w:widowControl/>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1333" w:type="dxa"/>
            <w:tcBorders>
              <w:top w:val="nil"/>
              <w:left w:val="nil"/>
              <w:bottom w:val="single" w:color="auto" w:sz="4" w:space="0"/>
              <w:right w:val="single" w:color="auto" w:sz="4" w:space="0"/>
            </w:tcBorders>
            <w:noWrap/>
            <w:vAlign w:val="center"/>
          </w:tcPr>
          <w:p w14:paraId="180B27BC">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6E3B8CBF">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ign w:val="center"/>
          </w:tcPr>
          <w:p w14:paraId="0B751E8F">
            <w:pPr>
              <w:jc w:val="center"/>
              <w:rPr>
                <w:rFonts w:ascii="仿宋" w:hAnsi="仿宋" w:eastAsia="仿宋" w:cs="仿宋"/>
                <w:sz w:val="20"/>
                <w:szCs w:val="20"/>
              </w:rPr>
            </w:pPr>
          </w:p>
        </w:tc>
        <w:tc>
          <w:tcPr>
            <w:tcW w:w="1499" w:type="dxa"/>
            <w:tcBorders>
              <w:top w:val="nil"/>
              <w:left w:val="nil"/>
              <w:bottom w:val="single" w:color="auto" w:sz="4" w:space="0"/>
              <w:right w:val="single" w:color="auto" w:sz="4" w:space="0"/>
            </w:tcBorders>
            <w:noWrap/>
            <w:vAlign w:val="center"/>
          </w:tcPr>
          <w:p w14:paraId="0724D80E">
            <w:pPr>
              <w:widowControl/>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988" w:type="dxa"/>
            <w:tcBorders>
              <w:top w:val="nil"/>
              <w:left w:val="nil"/>
              <w:bottom w:val="single" w:color="auto" w:sz="4" w:space="0"/>
              <w:right w:val="single" w:color="auto" w:sz="4" w:space="0"/>
            </w:tcBorders>
            <w:noWrap/>
            <w:vAlign w:val="center"/>
          </w:tcPr>
          <w:p w14:paraId="74A7379E">
            <w:pPr>
              <w:widowControl/>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755" w:type="dxa"/>
            <w:tcBorders>
              <w:top w:val="nil"/>
              <w:left w:val="nil"/>
              <w:bottom w:val="single" w:color="auto" w:sz="4" w:space="0"/>
              <w:right w:val="single" w:color="auto" w:sz="4" w:space="0"/>
            </w:tcBorders>
            <w:noWrap/>
            <w:vAlign w:val="center"/>
          </w:tcPr>
          <w:p w14:paraId="6C075D04">
            <w:pPr>
              <w:widowControl/>
              <w:jc w:val="center"/>
              <w:rPr>
                <w:rFonts w:ascii="仿宋" w:hAnsi="仿宋" w:eastAsia="仿宋" w:cs="仿宋"/>
                <w:kern w:val="0"/>
                <w:sz w:val="18"/>
                <w:szCs w:val="18"/>
              </w:rPr>
            </w:pPr>
            <w:r>
              <w:rPr>
                <w:rFonts w:hint="eastAsia" w:ascii="仿宋" w:hAnsi="仿宋" w:eastAsia="仿宋" w:cs="仿宋"/>
                <w:kern w:val="0"/>
                <w:sz w:val="18"/>
                <w:szCs w:val="18"/>
              </w:rPr>
              <w:t>8000≤Z＜120000</w:t>
            </w:r>
          </w:p>
        </w:tc>
        <w:tc>
          <w:tcPr>
            <w:tcW w:w="1560" w:type="dxa"/>
            <w:tcBorders>
              <w:top w:val="nil"/>
              <w:left w:val="nil"/>
              <w:bottom w:val="single" w:color="auto" w:sz="4" w:space="0"/>
              <w:right w:val="single" w:color="auto" w:sz="4" w:space="0"/>
            </w:tcBorders>
            <w:noWrap/>
            <w:vAlign w:val="center"/>
          </w:tcPr>
          <w:p w14:paraId="665316BB">
            <w:pPr>
              <w:widowControl/>
              <w:jc w:val="center"/>
              <w:rPr>
                <w:rFonts w:ascii="仿宋" w:hAnsi="仿宋" w:eastAsia="仿宋" w:cs="仿宋"/>
                <w:kern w:val="0"/>
                <w:sz w:val="18"/>
                <w:szCs w:val="18"/>
              </w:rPr>
            </w:pPr>
            <w:r>
              <w:rPr>
                <w:rFonts w:hint="eastAsia" w:ascii="仿宋" w:hAnsi="仿宋" w:eastAsia="仿宋" w:cs="仿宋"/>
                <w:kern w:val="0"/>
                <w:sz w:val="18"/>
                <w:szCs w:val="18"/>
              </w:rPr>
              <w:t>100≤Z＜8000</w:t>
            </w:r>
          </w:p>
        </w:tc>
        <w:tc>
          <w:tcPr>
            <w:tcW w:w="1333" w:type="dxa"/>
            <w:tcBorders>
              <w:top w:val="nil"/>
              <w:left w:val="nil"/>
              <w:bottom w:val="single" w:color="auto" w:sz="4" w:space="0"/>
              <w:right w:val="single" w:color="auto" w:sz="4" w:space="0"/>
            </w:tcBorders>
            <w:noWrap/>
            <w:vAlign w:val="center"/>
          </w:tcPr>
          <w:p w14:paraId="68D0DD22">
            <w:pPr>
              <w:widowControl/>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1C1A0600">
        <w:tblPrEx>
          <w:tblCellMar>
            <w:top w:w="0" w:type="dxa"/>
            <w:left w:w="108" w:type="dxa"/>
            <w:bottom w:w="0" w:type="dxa"/>
            <w:right w:w="108" w:type="dxa"/>
          </w:tblCellMar>
        </w:tblPrEx>
        <w:trPr>
          <w:trHeight w:val="335" w:hRule="atLeast"/>
          <w:jc w:val="center"/>
        </w:trPr>
        <w:tc>
          <w:tcPr>
            <w:tcW w:w="2822" w:type="dxa"/>
            <w:tcBorders>
              <w:top w:val="nil"/>
              <w:left w:val="single" w:color="auto" w:sz="4" w:space="0"/>
              <w:bottom w:val="single" w:color="auto" w:sz="4" w:space="0"/>
              <w:right w:val="single" w:color="auto" w:sz="4" w:space="0"/>
            </w:tcBorders>
            <w:noWrap/>
            <w:vAlign w:val="center"/>
          </w:tcPr>
          <w:p w14:paraId="18B69128">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499" w:type="dxa"/>
            <w:tcBorders>
              <w:top w:val="nil"/>
              <w:left w:val="nil"/>
              <w:bottom w:val="single" w:color="auto" w:sz="4" w:space="0"/>
              <w:right w:val="single" w:color="auto" w:sz="4" w:space="0"/>
            </w:tcBorders>
            <w:noWrap/>
            <w:vAlign w:val="center"/>
          </w:tcPr>
          <w:p w14:paraId="26C47478">
            <w:pPr>
              <w:widowControl/>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88" w:type="dxa"/>
            <w:tcBorders>
              <w:top w:val="nil"/>
              <w:left w:val="nil"/>
              <w:bottom w:val="single" w:color="auto" w:sz="4" w:space="0"/>
              <w:right w:val="single" w:color="auto" w:sz="4" w:space="0"/>
            </w:tcBorders>
            <w:noWrap/>
            <w:vAlign w:val="center"/>
          </w:tcPr>
          <w:p w14:paraId="5932AAB6">
            <w:pPr>
              <w:widowControl/>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755" w:type="dxa"/>
            <w:tcBorders>
              <w:top w:val="nil"/>
              <w:left w:val="nil"/>
              <w:bottom w:val="single" w:color="auto" w:sz="4" w:space="0"/>
              <w:right w:val="single" w:color="auto" w:sz="4" w:space="0"/>
            </w:tcBorders>
            <w:noWrap/>
            <w:vAlign w:val="center"/>
          </w:tcPr>
          <w:p w14:paraId="27F56C4F">
            <w:pPr>
              <w:widowControl/>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560" w:type="dxa"/>
            <w:tcBorders>
              <w:top w:val="nil"/>
              <w:left w:val="nil"/>
              <w:bottom w:val="single" w:color="auto" w:sz="4" w:space="0"/>
              <w:right w:val="single" w:color="auto" w:sz="4" w:space="0"/>
            </w:tcBorders>
            <w:noWrap/>
            <w:vAlign w:val="center"/>
          </w:tcPr>
          <w:p w14:paraId="192292D3">
            <w:pPr>
              <w:widowControl/>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1333" w:type="dxa"/>
            <w:tcBorders>
              <w:top w:val="nil"/>
              <w:left w:val="nil"/>
              <w:bottom w:val="single" w:color="auto" w:sz="4" w:space="0"/>
              <w:right w:val="single" w:color="auto" w:sz="4" w:space="0"/>
            </w:tcBorders>
            <w:noWrap/>
            <w:vAlign w:val="center"/>
          </w:tcPr>
          <w:p w14:paraId="1F4EDF01">
            <w:pPr>
              <w:widowControl/>
              <w:jc w:val="center"/>
              <w:rPr>
                <w:rFonts w:ascii="仿宋" w:hAnsi="仿宋" w:eastAsia="仿宋" w:cs="仿宋"/>
                <w:kern w:val="0"/>
                <w:sz w:val="18"/>
                <w:szCs w:val="18"/>
              </w:rPr>
            </w:pPr>
            <w:r>
              <w:rPr>
                <w:rFonts w:hint="eastAsia" w:ascii="仿宋" w:hAnsi="仿宋" w:eastAsia="仿宋" w:cs="仿宋"/>
                <w:kern w:val="0"/>
                <w:sz w:val="18"/>
                <w:szCs w:val="18"/>
              </w:rPr>
              <w:t>X＜10</w:t>
            </w:r>
          </w:p>
        </w:tc>
      </w:tr>
    </w:tbl>
    <w:p w14:paraId="63D9D89E">
      <w:pPr>
        <w:spacing w:line="360" w:lineRule="auto"/>
        <w:ind w:firstLine="500" w:firstLineChars="250"/>
        <w:rPr>
          <w:rFonts w:ascii="仿宋" w:hAnsi="仿宋" w:eastAsia="仿宋" w:cs="仿宋"/>
          <w:sz w:val="20"/>
          <w:szCs w:val="22"/>
        </w:rPr>
      </w:pPr>
      <w:r>
        <w:rPr>
          <w:rFonts w:hint="eastAsia" w:ascii="仿宋" w:hAnsi="仿宋" w:eastAsia="仿宋" w:cs="仿宋"/>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DB6AD26">
      <w:pPr>
        <w:pStyle w:val="2"/>
        <w:spacing w:before="0" w:after="0" w:line="360" w:lineRule="auto"/>
        <w:jc w:val="center"/>
        <w:rPr>
          <w:rFonts w:ascii="仿宋" w:hAnsi="仿宋" w:eastAsia="仿宋" w:cs="仿宋"/>
          <w:bCs w:val="0"/>
        </w:rPr>
        <w:sectPr>
          <w:pgSz w:w="11905" w:h="16838"/>
          <w:pgMar w:top="1440" w:right="1080" w:bottom="1440" w:left="1080" w:header="720" w:footer="720" w:gutter="0"/>
          <w:cols w:space="720" w:num="1"/>
          <w:docGrid w:type="lines" w:linePitch="331" w:charSpace="0"/>
        </w:sectPr>
      </w:pPr>
    </w:p>
    <w:p w14:paraId="52F9FEA6">
      <w:pPr>
        <w:spacing w:line="360" w:lineRule="auto"/>
        <w:rPr>
          <w:rFonts w:ascii="仿宋" w:hAnsi="仿宋" w:eastAsia="仿宋" w:cs="仿宋"/>
          <w:kern w:val="0"/>
          <w:sz w:val="32"/>
          <w:szCs w:val="32"/>
          <w:highlight w:val="none"/>
        </w:rPr>
      </w:pPr>
      <w:r>
        <w:rPr>
          <w:rFonts w:hint="eastAsia" w:ascii="仿宋" w:hAnsi="仿宋" w:eastAsia="仿宋" w:cs="仿宋"/>
          <w:kern w:val="0"/>
          <w:sz w:val="32"/>
          <w:szCs w:val="32"/>
          <w:highlight w:val="none"/>
        </w:rPr>
        <w:t>附件3：</w:t>
      </w:r>
    </w:p>
    <w:p w14:paraId="6AE5DD23">
      <w:pPr>
        <w:jc w:val="center"/>
        <w:rPr>
          <w:rFonts w:ascii="仿宋" w:hAnsi="仿宋" w:eastAsia="仿宋" w:cs="仿宋"/>
          <w:kern w:val="0"/>
          <w:sz w:val="32"/>
          <w:szCs w:val="32"/>
          <w:highlight w:val="none"/>
        </w:rPr>
      </w:pPr>
      <w:r>
        <w:rPr>
          <w:rFonts w:hint="eastAsia" w:ascii="仿宋" w:hAnsi="仿宋" w:eastAsia="仿宋" w:cs="仿宋"/>
          <w:b/>
          <w:bCs/>
          <w:sz w:val="36"/>
          <w:szCs w:val="36"/>
          <w:highlight w:val="none"/>
        </w:rPr>
        <w:t>2026年军休干部体检清单</w:t>
      </w:r>
    </w:p>
    <w:tbl>
      <w:tblPr>
        <w:tblStyle w:val="20"/>
        <w:tblW w:w="10245" w:type="dxa"/>
        <w:tblInd w:w="93" w:type="dxa"/>
        <w:tblLayout w:type="autofit"/>
        <w:tblCellMar>
          <w:top w:w="0" w:type="dxa"/>
          <w:left w:w="108" w:type="dxa"/>
          <w:bottom w:w="0" w:type="dxa"/>
          <w:right w:w="108" w:type="dxa"/>
        </w:tblCellMar>
      </w:tblPr>
      <w:tblGrid>
        <w:gridCol w:w="530"/>
        <w:gridCol w:w="1866"/>
        <w:gridCol w:w="5233"/>
        <w:gridCol w:w="1308"/>
        <w:gridCol w:w="1308"/>
      </w:tblGrid>
      <w:tr w14:paraId="38E6AD54">
        <w:tblPrEx>
          <w:tblCellMar>
            <w:top w:w="0" w:type="dxa"/>
            <w:left w:w="108" w:type="dxa"/>
            <w:bottom w:w="0" w:type="dxa"/>
            <w:right w:w="108" w:type="dxa"/>
          </w:tblCellMar>
        </w:tblPrEx>
        <w:trPr>
          <w:trHeight w:val="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BCB08">
            <w:pPr>
              <w:widowControl/>
              <w:jc w:val="center"/>
              <w:textAlignment w:val="center"/>
              <w:rPr>
                <w:rFonts w:ascii="仿宋" w:hAnsi="仿宋" w:eastAsia="仿宋" w:cs="仿宋"/>
                <w:b/>
                <w:bCs/>
                <w:color w:val="0F1115"/>
                <w:sz w:val="24"/>
                <w:highlight w:val="none"/>
              </w:rPr>
            </w:pPr>
            <w:r>
              <w:rPr>
                <w:rFonts w:hint="eastAsia" w:ascii="仿宋" w:hAnsi="仿宋" w:eastAsia="仿宋" w:cs="仿宋"/>
                <w:b/>
                <w:bCs/>
                <w:color w:val="0F1115"/>
                <w:kern w:val="0"/>
                <w:sz w:val="24"/>
                <w:highlight w:val="none"/>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51536">
            <w:pPr>
              <w:widowControl/>
              <w:jc w:val="center"/>
              <w:textAlignment w:val="center"/>
              <w:rPr>
                <w:rFonts w:ascii="仿宋" w:hAnsi="仿宋" w:eastAsia="仿宋" w:cs="仿宋"/>
                <w:b/>
                <w:bCs/>
                <w:color w:val="0F1115"/>
                <w:sz w:val="24"/>
                <w:highlight w:val="none"/>
              </w:rPr>
            </w:pPr>
            <w:r>
              <w:rPr>
                <w:rFonts w:hint="eastAsia" w:ascii="仿宋" w:hAnsi="仿宋" w:eastAsia="仿宋" w:cs="仿宋"/>
                <w:b/>
                <w:bCs/>
                <w:color w:val="0F1115"/>
                <w:kern w:val="0"/>
                <w:sz w:val="24"/>
                <w:highlight w:val="none"/>
              </w:rPr>
              <w:t>体检项目</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E4CF">
            <w:pPr>
              <w:widowControl/>
              <w:jc w:val="center"/>
              <w:textAlignment w:val="center"/>
              <w:rPr>
                <w:rFonts w:ascii="仿宋" w:hAnsi="仿宋" w:eastAsia="仿宋" w:cs="仿宋"/>
                <w:b/>
                <w:bCs/>
                <w:color w:val="0F1115"/>
                <w:sz w:val="24"/>
                <w:highlight w:val="none"/>
              </w:rPr>
            </w:pPr>
            <w:r>
              <w:rPr>
                <w:rFonts w:hint="eastAsia" w:ascii="仿宋" w:hAnsi="仿宋" w:eastAsia="仿宋" w:cs="仿宋"/>
                <w:b/>
                <w:bCs/>
                <w:color w:val="0F1115"/>
                <w:kern w:val="0"/>
                <w:sz w:val="24"/>
                <w:highlight w:val="none"/>
              </w:rPr>
              <w:t>检查意义</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1FEC6">
            <w:pPr>
              <w:widowControl/>
              <w:jc w:val="center"/>
              <w:textAlignment w:val="center"/>
              <w:rPr>
                <w:rFonts w:ascii="仿宋" w:hAnsi="仿宋" w:eastAsia="仿宋" w:cs="仿宋"/>
                <w:b/>
                <w:bCs/>
                <w:color w:val="0F1115"/>
                <w:sz w:val="24"/>
                <w:highlight w:val="none"/>
              </w:rPr>
            </w:pPr>
            <w:r>
              <w:rPr>
                <w:rFonts w:hint="eastAsia" w:ascii="仿宋" w:hAnsi="仿宋" w:eastAsia="仿宋" w:cs="仿宋"/>
                <w:b/>
                <w:bCs/>
                <w:color w:val="0F1115"/>
                <w:kern w:val="0"/>
                <w:sz w:val="24"/>
                <w:highlight w:val="none"/>
              </w:rPr>
              <w:t>男性</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D7E74">
            <w:pPr>
              <w:widowControl/>
              <w:jc w:val="center"/>
              <w:textAlignment w:val="center"/>
              <w:rPr>
                <w:rFonts w:ascii="仿宋" w:hAnsi="仿宋" w:eastAsia="仿宋" w:cs="仿宋"/>
                <w:b/>
                <w:bCs/>
                <w:color w:val="0F1115"/>
                <w:sz w:val="24"/>
                <w:highlight w:val="none"/>
              </w:rPr>
            </w:pPr>
            <w:r>
              <w:rPr>
                <w:rFonts w:hint="eastAsia" w:ascii="仿宋" w:hAnsi="仿宋" w:eastAsia="仿宋" w:cs="仿宋"/>
                <w:b/>
                <w:bCs/>
                <w:color w:val="0F1115"/>
                <w:kern w:val="0"/>
                <w:sz w:val="24"/>
                <w:highlight w:val="none"/>
              </w:rPr>
              <w:t>女性</w:t>
            </w:r>
          </w:p>
        </w:tc>
      </w:tr>
      <w:tr w14:paraId="0FFC175B">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7200">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F462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一般检查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A3D4">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了解血压、体重、腰围等基础健康指标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873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1E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4B04F26B">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B5EF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3F78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内科、外科体格检查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0A53A">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检查心肺、浅表淋巴结、甲状腺、乳腺、四肢关节有无异常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132A">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2533">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38197EA4">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38F5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2B01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耳鼻喉科检查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B181">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检查外耳道、鼻腔、咽喉等有无炎症或肿物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0BA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1EF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5EFB2175">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5522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F058">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口腔科检查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93485">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检查口腔黏膜、牙齿、牙周有无病变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A22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CF67">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30A36144">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AEF3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1968B">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眼科基础检查（视力/色觉）</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916EB">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了解视力状况及色觉功能是否正常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8895">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C3A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23F7BD90">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0768D">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6449">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眼科裂隙灯检查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FD68">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检查角膜、晶状体，筛查白内障等病变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226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B22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7819D007">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401C">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E7080">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眼底检查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70BCF">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筛查糖尿病视网膜病变、高血压眼底改变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D57A">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2ED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37E46E88">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E4B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7246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抽血及材料费</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F81AC">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采血耗材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482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5E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5A9E87E6">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267FD">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1FFF">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肝功能检查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2E5F0">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了解肝脏功能，筛查肝炎、脂肪肝等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83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416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0CB5BF4E">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2C2B">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40EF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空腹血糖</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5CEB">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了解血糖水平，筛查糖尿病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CAE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6C2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6FFE3597">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E298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0AD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肾功能三项</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CF9D">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了解肾脏功能，筛查肾炎、痛风等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938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ECB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3837E897">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0F03">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A2D8">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血脂四项</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37DEE">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了解血脂情况，评估心脑血管病风险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52E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B53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1CC5FEC4">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9D2F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B8B5E">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心肌酶谱</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82866">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了解心肌有无损伤，辅助诊断心肌炎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4C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47B5">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4C0811A5">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F592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097A">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糖化血红蛋白</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80DF">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反映近2-3个月平均血糖水平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2F4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16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50DEC352">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B4F5D">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7F7B9">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甲胎蛋白（AFP）</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D0A63">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早期筛查肝癌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92E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07F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4A612467">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FEB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EB53">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癌胚抗原（CEA）</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EB84">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早期筛查消化道肿瘤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3F2C">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473C">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158D64A9">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85363">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B1C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EB病毒抗体</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B19C0">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早期筛查鼻咽癌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F0F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921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72FA7E51">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912B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920C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总前列腺特异性抗原（TPSA）</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1B471">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早期筛查前列腺癌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6783">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C4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7E079BB9">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76D9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19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3FD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游离前列腺特异性抗原（FPSA）</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40929">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提高前列腺癌诊断准确性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F06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77D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1D7B27BB">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4CD0">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099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CA19-9</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18C2A">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早期筛查胰腺癌、胆管癌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4DC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D3D6">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1B081960">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59CA">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73F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餐后2小时血糖</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EDC3B">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了解糖负荷后血糖调节能力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2957">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28A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68DF78CF">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EC191">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801A">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血浆D-二聚体</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43A29">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辅助诊断血栓性疾病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C05D">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46A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7E5A9FE7">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3548F">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D44B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血凝四项</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2498">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了解凝血功能是否正常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B6D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70FE">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54CF35C4">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D119">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D3A3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甲功三项</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6455">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了解甲状腺功能，筛查甲亢、甲减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863D">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948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0F6B0134">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939F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7BD89">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血常规</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7FB4">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了解有无贫血、感染、血液系统疾病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5F3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113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03CE20A2">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0BCE">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5D48">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尿常规</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0174">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了解有无泌尿系统感染、肾炎、糖尿病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54F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1ACD">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638B1475">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C60E">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BF30D">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血同型半胱氨酸</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7843">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评估心脑血管疾病风险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54D3">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463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1D6F008E">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05EEB">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8329">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腹部彩超（肝胆胰脾肾）</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BBDC0">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了解肝、胆、胰、脾、双肾有无结石、囊肿、肿瘤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F66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27CA">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4CB322D5">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14FDA">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29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A5DBC">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男性泌尿系彩超</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D6C9">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了解前列腺、膀胱有无增生、结石、肿瘤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CAA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2ECA">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3DE37DFC">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FD56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F2C0C">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心电图</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90D27">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了解有无心律失常、心肌缺血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D0C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0FA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6D1CF541">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68EA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BCD2">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胸部CT平扫</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F698">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了解肺部有无炎症、结节、肿瘤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313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822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5E6F88DF">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035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86B2">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甲状腺及淋巴结彩超</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B559">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了解甲状腺有无结节、囊肿、肿瘤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2B7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1D2">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68A79C4F">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3BE24">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349E8">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碳14呼气试验</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D21D3">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了解有无幽门螺杆菌感染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850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B15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1BFBE14A">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AC817">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81188">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颈动脉彩超</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219AA">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了解颈动脉有无斑块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769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561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7C8BBFFC">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7183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9D6D1">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骨密度检测</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D9542">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了解骨量情况，筛查骨质疏松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B0E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8AB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3E28E023">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066B">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7906">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乳腺彩超</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160E0">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了解乳腺有无增生、结节、肿瘤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4B49">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41E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6AA7F398">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DE5A">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2A3C">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妇科彩超</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F8EB">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了解子宫、附件有无肌瘤、囊肿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5933">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22E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4D3F9B2C">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D4B9B">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239C5">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妇科检查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0F19">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检查外阴、阴道、宫颈有无炎症或肿物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0877">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7F8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03BC68DE">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A118">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39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1136E">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阴道分泌物检查</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A66CE">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了解有无滴虫、霉菌等阴道炎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7873">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759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r w14:paraId="217CA9AE">
        <w:tblPrEx>
          <w:tblCellMar>
            <w:top w:w="0" w:type="dxa"/>
            <w:left w:w="108" w:type="dxa"/>
            <w:bottom w:w="0" w:type="dxa"/>
            <w:right w:w="108" w:type="dxa"/>
          </w:tblCellMar>
        </w:tblPrEx>
        <w:trPr>
          <w:trHeight w:val="6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59A83">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40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5932">
            <w:pPr>
              <w:widowControl/>
              <w:jc w:val="center"/>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HPV检测</w:t>
            </w:r>
          </w:p>
        </w:tc>
        <w:tc>
          <w:tcPr>
            <w:tcW w:w="5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AA580">
            <w:pPr>
              <w:widowControl/>
              <w:jc w:val="left"/>
              <w:textAlignment w:val="center"/>
              <w:rPr>
                <w:rFonts w:ascii="仿宋" w:hAnsi="仿宋" w:eastAsia="仿宋" w:cs="仿宋"/>
                <w:color w:val="0F1115"/>
                <w:sz w:val="24"/>
                <w:highlight w:val="none"/>
              </w:rPr>
            </w:pPr>
            <w:r>
              <w:rPr>
                <w:rFonts w:hint="eastAsia" w:ascii="仿宋" w:hAnsi="仿宋" w:eastAsia="仿宋" w:cs="仿宋"/>
                <w:color w:val="0F1115"/>
                <w:kern w:val="0"/>
                <w:sz w:val="24"/>
                <w:highlight w:val="none"/>
              </w:rPr>
              <w:t>筛查高危型HPV感染，宫颈癌的主要病因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E071">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97A7">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w:t>
            </w:r>
          </w:p>
        </w:tc>
      </w:tr>
    </w:tbl>
    <w:p w14:paraId="1BD3DFFC">
      <w:pPr>
        <w:pStyle w:val="13"/>
        <w:jc w:val="center"/>
        <w:outlineLvl w:val="0"/>
        <w:rPr>
          <w:rFonts w:hint="eastAsia" w:ascii="仿宋" w:hAnsi="仿宋" w:eastAsia="仿宋" w:cs="仿宋"/>
          <w:b/>
          <w:color w:val="auto"/>
          <w:sz w:val="36"/>
          <w:highlight w:val="none"/>
        </w:rPr>
        <w:sectPr>
          <w:pgSz w:w="11906" w:h="16838"/>
          <w:pgMar w:top="1440" w:right="1080" w:bottom="1440" w:left="1080" w:header="720" w:footer="720" w:gutter="0"/>
          <w:cols w:space="720" w:num="1"/>
          <w:docGrid w:type="lines" w:linePitch="331" w:charSpace="0"/>
        </w:sectPr>
      </w:pPr>
    </w:p>
    <w:p w14:paraId="44A45C5D">
      <w:pPr>
        <w:pStyle w:val="13"/>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highlight w:val="none"/>
        </w:rPr>
        <w:t>第三章 投标人须知</w:t>
      </w:r>
      <w:bookmarkEnd w:id="10"/>
      <w:bookmarkEnd w:id="11"/>
      <w:bookmarkEnd w:id="12"/>
    </w:p>
    <w:p w14:paraId="3DC6277C">
      <w:pPr>
        <w:pStyle w:val="13"/>
        <w:spacing w:line="720" w:lineRule="auto"/>
        <w:jc w:val="center"/>
        <w:outlineLvl w:val="1"/>
        <w:rPr>
          <w:rFonts w:hint="eastAsia" w:ascii="仿宋" w:hAnsi="仿宋" w:eastAsia="仿宋" w:cs="仿宋"/>
          <w:b/>
          <w:color w:val="auto"/>
          <w:sz w:val="30"/>
          <w:szCs w:val="30"/>
          <w:highlight w:val="none"/>
        </w:rPr>
      </w:pPr>
      <w:bookmarkStart w:id="13" w:name="_Toc25795"/>
      <w:bookmarkStart w:id="14" w:name="_Toc32208"/>
      <w:r>
        <w:rPr>
          <w:rFonts w:hint="eastAsia" w:ascii="仿宋" w:hAnsi="仿宋" w:eastAsia="仿宋" w:cs="仿宋"/>
          <w:b/>
          <w:color w:val="auto"/>
          <w:sz w:val="30"/>
          <w:szCs w:val="30"/>
          <w:highlight w:val="none"/>
        </w:rPr>
        <w:t>第一节 投标人须知前附表</w:t>
      </w:r>
      <w:bookmarkEnd w:id="13"/>
      <w:bookmarkEnd w:id="14"/>
    </w:p>
    <w:tbl>
      <w:tblPr>
        <w:tblStyle w:val="20"/>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175"/>
        <w:gridCol w:w="6375"/>
      </w:tblGrid>
      <w:tr w14:paraId="2EFA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AD39794">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2175" w:type="dxa"/>
            <w:vAlign w:val="center"/>
          </w:tcPr>
          <w:p w14:paraId="0568F3C9">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项目内容</w:t>
            </w:r>
          </w:p>
        </w:tc>
        <w:tc>
          <w:tcPr>
            <w:tcW w:w="6375" w:type="dxa"/>
            <w:vAlign w:val="center"/>
          </w:tcPr>
          <w:p w14:paraId="3AA1F6E8">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704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4424F63">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6.1</w:t>
            </w:r>
          </w:p>
        </w:tc>
        <w:tc>
          <w:tcPr>
            <w:tcW w:w="2175" w:type="dxa"/>
            <w:vAlign w:val="center"/>
          </w:tcPr>
          <w:p w14:paraId="2375762A">
            <w:pPr>
              <w:spacing w:line="380" w:lineRule="exact"/>
              <w:jc w:val="center"/>
              <w:rPr>
                <w:rFonts w:hint="eastAsia" w:ascii="仿宋" w:hAnsi="仿宋" w:eastAsia="仿宋" w:cs="仿宋"/>
                <w:color w:val="auto"/>
                <w:szCs w:val="21"/>
                <w:highlight w:val="none"/>
              </w:rPr>
            </w:pPr>
            <w:bookmarkStart w:id="15" w:name="_9.2"/>
            <w:bookmarkEnd w:id="15"/>
            <w:bookmarkStart w:id="16" w:name="_5"/>
            <w:bookmarkEnd w:id="16"/>
            <w:bookmarkStart w:id="17" w:name="_8.1"/>
            <w:bookmarkEnd w:id="17"/>
            <w:r>
              <w:rPr>
                <w:rFonts w:hint="eastAsia" w:ascii="仿宋" w:hAnsi="仿宋" w:eastAsia="仿宋" w:cs="仿宋"/>
                <w:color w:val="auto"/>
                <w:szCs w:val="21"/>
                <w:highlight w:val="none"/>
              </w:rPr>
              <w:t>是否接受联合体投标</w:t>
            </w:r>
          </w:p>
        </w:tc>
        <w:tc>
          <w:tcPr>
            <w:tcW w:w="6375" w:type="dxa"/>
            <w:vAlign w:val="center"/>
          </w:tcPr>
          <w:p w14:paraId="6FF18233">
            <w:pPr>
              <w:spacing w:line="312"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本项目不接受联合体投标。</w:t>
            </w:r>
          </w:p>
        </w:tc>
      </w:tr>
      <w:tr w14:paraId="309F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6566BA5C">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2175" w:type="dxa"/>
            <w:vAlign w:val="center"/>
          </w:tcPr>
          <w:p w14:paraId="18C516A8">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联合体投标要求</w:t>
            </w:r>
          </w:p>
        </w:tc>
        <w:tc>
          <w:tcPr>
            <w:tcW w:w="6375" w:type="dxa"/>
            <w:vAlign w:val="center"/>
          </w:tcPr>
          <w:p w14:paraId="465197EB">
            <w:pPr>
              <w:spacing w:line="312"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本项目不接受联合体投标。</w:t>
            </w:r>
          </w:p>
        </w:tc>
      </w:tr>
      <w:tr w14:paraId="4618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F12C5DA">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7.2</w:t>
            </w:r>
          </w:p>
        </w:tc>
        <w:tc>
          <w:tcPr>
            <w:tcW w:w="2175" w:type="dxa"/>
            <w:vAlign w:val="center"/>
          </w:tcPr>
          <w:p w14:paraId="68F09140">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是否允许转包/分包</w:t>
            </w:r>
          </w:p>
        </w:tc>
        <w:tc>
          <w:tcPr>
            <w:tcW w:w="6375" w:type="dxa"/>
            <w:vAlign w:val="center"/>
          </w:tcPr>
          <w:p w14:paraId="1159D9CE">
            <w:pPr>
              <w:pStyle w:val="8"/>
              <w:spacing w:line="380" w:lineRule="exact"/>
              <w:rPr>
                <w:rFonts w:hint="eastAsia" w:ascii="仿宋" w:hAnsi="仿宋" w:eastAsia="仿宋" w:cs="仿宋"/>
                <w:color w:val="auto"/>
                <w:kern w:val="2"/>
                <w:sz w:val="21"/>
                <w:szCs w:val="21"/>
                <w:highlight w:val="none"/>
              </w:rPr>
            </w:pPr>
            <w:bookmarkStart w:id="18" w:name="PO_3000001866_PM044"/>
            <w:r>
              <w:rPr>
                <w:rFonts w:hint="eastAsia" w:ascii="仿宋" w:hAnsi="仿宋" w:eastAsia="仿宋" w:cs="仿宋"/>
                <w:color w:val="auto"/>
                <w:kern w:val="2"/>
                <w:sz w:val="21"/>
                <w:szCs w:val="21"/>
                <w:highlight w:val="none"/>
              </w:rPr>
              <w:t>☑不允许分包</w:t>
            </w:r>
            <w:bookmarkEnd w:id="18"/>
          </w:p>
          <w:p w14:paraId="32E9084C">
            <w:pPr>
              <w:pStyle w:val="8"/>
              <w:spacing w:line="380" w:lineRule="exac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转包/分包内容：</w:t>
            </w:r>
            <w:r>
              <w:rPr>
                <w:rFonts w:hint="eastAsia" w:ascii="仿宋" w:hAnsi="仿宋" w:eastAsia="仿宋" w:cs="仿宋"/>
                <w:color w:val="auto"/>
                <w:kern w:val="2"/>
                <w:sz w:val="21"/>
                <w:szCs w:val="21"/>
                <w:highlight w:val="none"/>
                <w:u w:val="single"/>
              </w:rPr>
              <w:t xml:space="preserve">        </w:t>
            </w:r>
            <w:r>
              <w:rPr>
                <w:rFonts w:hint="eastAsia" w:ascii="仿宋" w:hAnsi="仿宋" w:eastAsia="仿宋" w:cs="仿宋"/>
                <w:color w:val="auto"/>
                <w:kern w:val="2"/>
                <w:sz w:val="21"/>
                <w:szCs w:val="21"/>
                <w:highlight w:val="none"/>
                <w:u w:val="single"/>
                <w:lang w:val="en-US" w:eastAsia="zh-CN"/>
              </w:rPr>
              <w:t>/</w:t>
            </w:r>
            <w:r>
              <w:rPr>
                <w:rFonts w:hint="eastAsia" w:ascii="仿宋" w:hAnsi="仿宋" w:eastAsia="仿宋" w:cs="仿宋"/>
                <w:color w:val="auto"/>
                <w:kern w:val="2"/>
                <w:sz w:val="21"/>
                <w:szCs w:val="21"/>
                <w:highlight w:val="none"/>
                <w:u w:val="single"/>
              </w:rPr>
              <w:t xml:space="preserve">         。</w:t>
            </w:r>
          </w:p>
          <w:p w14:paraId="71B0A8D2">
            <w:pPr>
              <w:pStyle w:val="8"/>
              <w:spacing w:line="380" w:lineRule="exac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转包/分包金额或者比例：</w:t>
            </w:r>
            <w:r>
              <w:rPr>
                <w:rFonts w:hint="eastAsia" w:ascii="仿宋" w:hAnsi="仿宋" w:eastAsia="仿宋" w:cs="仿宋"/>
                <w:color w:val="auto"/>
                <w:kern w:val="2"/>
                <w:sz w:val="21"/>
                <w:szCs w:val="21"/>
                <w:highlight w:val="none"/>
                <w:u w:val="single"/>
              </w:rPr>
              <w:t xml:space="preserve">          </w:t>
            </w:r>
            <w:r>
              <w:rPr>
                <w:rFonts w:hint="eastAsia" w:ascii="仿宋" w:hAnsi="仿宋" w:eastAsia="仿宋" w:cs="仿宋"/>
                <w:color w:val="auto"/>
                <w:kern w:val="2"/>
                <w:sz w:val="21"/>
                <w:szCs w:val="21"/>
                <w:highlight w:val="none"/>
                <w:u w:val="single"/>
                <w:lang w:val="en-US" w:eastAsia="zh-CN"/>
              </w:rPr>
              <w:t>/</w:t>
            </w:r>
            <w:r>
              <w:rPr>
                <w:rFonts w:hint="eastAsia" w:ascii="仿宋" w:hAnsi="仿宋" w:eastAsia="仿宋" w:cs="仿宋"/>
                <w:color w:val="auto"/>
                <w:kern w:val="2"/>
                <w:sz w:val="21"/>
                <w:szCs w:val="21"/>
                <w:highlight w:val="none"/>
                <w:u w:val="single"/>
              </w:rPr>
              <w:t xml:space="preserve">          。</w:t>
            </w:r>
          </w:p>
        </w:tc>
      </w:tr>
      <w:tr w14:paraId="17DE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4441CC4">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w:t>
            </w:r>
          </w:p>
        </w:tc>
        <w:tc>
          <w:tcPr>
            <w:tcW w:w="2175" w:type="dxa"/>
            <w:vAlign w:val="center"/>
          </w:tcPr>
          <w:p w14:paraId="461B5E15">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媒体发布渠道</w:t>
            </w:r>
          </w:p>
        </w:tc>
        <w:tc>
          <w:tcPr>
            <w:tcW w:w="6375" w:type="dxa"/>
            <w:vAlign w:val="center"/>
          </w:tcPr>
          <w:p w14:paraId="089A2F0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与本项目相关的政府采购业务澄清、更正及与之相关的事项将在采购公告中“六、其他补充事宜”中网上查询地址上发布</w:t>
            </w:r>
            <w:r>
              <w:rPr>
                <w:rFonts w:hint="eastAsia" w:ascii="仿宋" w:hAnsi="仿宋" w:eastAsia="仿宋" w:cs="仿宋"/>
                <w:color w:val="auto"/>
                <w:kern w:val="0"/>
                <w:szCs w:val="21"/>
                <w:highlight w:val="none"/>
              </w:rPr>
              <w:t>。</w:t>
            </w:r>
          </w:p>
        </w:tc>
      </w:tr>
      <w:tr w14:paraId="4F10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16831E8">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11.6</w:t>
            </w:r>
          </w:p>
        </w:tc>
        <w:tc>
          <w:tcPr>
            <w:tcW w:w="2175" w:type="dxa"/>
            <w:vAlign w:val="center"/>
          </w:tcPr>
          <w:p w14:paraId="39CF0D50">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是否组织标前答疑会</w:t>
            </w:r>
          </w:p>
        </w:tc>
        <w:tc>
          <w:tcPr>
            <w:tcW w:w="6375" w:type="dxa"/>
            <w:vAlign w:val="center"/>
          </w:tcPr>
          <w:p w14:paraId="3C7F5C83">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☑不组织召开开标前答疑会</w:t>
            </w:r>
          </w:p>
          <w:p w14:paraId="417722BB">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□组织召开开标前答疑会</w:t>
            </w:r>
          </w:p>
          <w:p w14:paraId="5655223C">
            <w:pPr>
              <w:snapToGrid w:val="0"/>
              <w:spacing w:line="38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会议开始时间：</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 xml:space="preserve">日 </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/分</w:t>
            </w:r>
            <w:r>
              <w:rPr>
                <w:rFonts w:hint="eastAsia" w:ascii="仿宋" w:hAnsi="仿宋" w:eastAsia="仿宋" w:cs="仿宋"/>
                <w:color w:val="auto"/>
                <w:szCs w:val="21"/>
                <w:highlight w:val="none"/>
              </w:rPr>
              <w:t>，逾期后果自负。会议地点：</w:t>
            </w:r>
            <w:r>
              <w:rPr>
                <w:rFonts w:hint="eastAsia" w:ascii="仿宋" w:hAnsi="仿宋" w:eastAsia="仿宋" w:cs="仿宋"/>
                <w:color w:val="auto"/>
                <w:szCs w:val="21"/>
                <w:highlight w:val="none"/>
                <w:u w:val="single"/>
              </w:rPr>
              <w:t xml:space="preserve"> / 。</w:t>
            </w:r>
          </w:p>
        </w:tc>
      </w:tr>
      <w:tr w14:paraId="4278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440A6EA9">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w:t>
            </w:r>
          </w:p>
        </w:tc>
        <w:tc>
          <w:tcPr>
            <w:tcW w:w="2175" w:type="dxa"/>
            <w:vAlign w:val="center"/>
          </w:tcPr>
          <w:p w14:paraId="6D836250">
            <w:pPr>
              <w:snapToGrid w:val="0"/>
              <w:spacing w:line="380" w:lineRule="exact"/>
              <w:jc w:val="center"/>
              <w:rPr>
                <w:rFonts w:hint="eastAsia" w:ascii="仿宋" w:hAnsi="仿宋" w:eastAsia="仿宋" w:cs="仿宋"/>
                <w:color w:val="auto"/>
                <w:szCs w:val="21"/>
                <w:highlight w:val="none"/>
              </w:rPr>
            </w:pPr>
            <w:bookmarkStart w:id="19" w:name="_13.2"/>
            <w:bookmarkEnd w:id="19"/>
            <w:r>
              <w:rPr>
                <w:rFonts w:hint="eastAsia" w:ascii="仿宋" w:hAnsi="仿宋" w:eastAsia="仿宋" w:cs="仿宋"/>
                <w:color w:val="auto"/>
                <w:szCs w:val="21"/>
                <w:highlight w:val="none"/>
              </w:rPr>
              <w:t>资格证明文件组成</w:t>
            </w:r>
          </w:p>
        </w:tc>
        <w:tc>
          <w:tcPr>
            <w:tcW w:w="6375" w:type="dxa"/>
            <w:vAlign w:val="center"/>
          </w:tcPr>
          <w:p w14:paraId="0B5396B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1.投标人为法人或者其他组织的，提供营业执照等证明文件（如营业执照或者事业单位法人证书或者</w:t>
            </w:r>
            <w:r>
              <w:rPr>
                <w:rFonts w:hint="eastAsia" w:ascii="仿宋" w:hAnsi="仿宋" w:eastAsia="仿宋" w:cs="仿宋"/>
                <w:color w:val="auto"/>
                <w:szCs w:val="21"/>
                <w:highlight w:val="none"/>
                <w:lang w:val="zh-CN" w:bidi="zh-CN"/>
              </w:rPr>
              <w:t>执业许可证</w:t>
            </w:r>
            <w:r>
              <w:rPr>
                <w:rFonts w:hint="eastAsia" w:ascii="仿宋" w:hAnsi="仿宋" w:eastAsia="仿宋" w:cs="仿宋"/>
                <w:color w:val="auto"/>
                <w:szCs w:val="21"/>
                <w:highlight w:val="none"/>
              </w:rPr>
              <w:t>等），投标人为自然人的，提供身份证原件扫描件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0963F477">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2.投标人依法缴纳税收的相关材料：</w:t>
            </w:r>
            <w:r>
              <w:rPr>
                <w:rFonts w:hint="eastAsia" w:ascii="仿宋" w:hAnsi="仿宋" w:eastAsia="仿宋" w:cs="仿宋"/>
                <w:b/>
                <w:color w:val="auto"/>
                <w:szCs w:val="21"/>
                <w:highlight w:val="none"/>
                <w:u w:val="single"/>
                <w:lang w:val="en-US" w:eastAsia="zh-CN"/>
              </w:rPr>
              <w:t>投标截止之日前半年</w:t>
            </w:r>
            <w:r>
              <w:rPr>
                <w:rFonts w:hint="eastAsia" w:ascii="仿宋" w:hAnsi="仿宋" w:eastAsia="仿宋" w:cs="仿宋"/>
                <w:b w:val="0"/>
                <w:bCs/>
                <w:color w:val="auto"/>
                <w:szCs w:val="21"/>
                <w:highlight w:val="none"/>
                <w:u w:val="none"/>
                <w:lang w:eastAsia="zh-CN"/>
              </w:rPr>
              <w:t>内任</w:t>
            </w:r>
            <w:r>
              <w:rPr>
                <w:rFonts w:hint="eastAsia" w:ascii="仿宋" w:hAnsi="仿宋" w:eastAsia="仿宋" w:cs="仿宋"/>
                <w:b w:val="0"/>
                <w:bCs/>
                <w:color w:val="auto"/>
                <w:szCs w:val="21"/>
                <w:highlight w:val="none"/>
                <w:u w:val="none"/>
              </w:rPr>
              <w:t>意连续3个月</w:t>
            </w:r>
            <w:r>
              <w:rPr>
                <w:rFonts w:hint="eastAsia" w:ascii="仿宋" w:hAnsi="仿宋" w:eastAsia="仿宋" w:cs="仿宋"/>
                <w:color w:val="auto"/>
                <w:szCs w:val="21"/>
                <w:highlight w:val="none"/>
              </w:rPr>
              <w:t>的依法缴纳税收的凭据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14905F17">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3.投标人依法缴纳社会保障资金的相关材料</w:t>
            </w:r>
            <w:r>
              <w:rPr>
                <w:rFonts w:hint="eastAsia" w:ascii="仿宋" w:hAnsi="仿宋" w:eastAsia="仿宋" w:cs="仿宋"/>
                <w:color w:val="auto"/>
                <w:szCs w:val="21"/>
                <w:highlight w:val="none"/>
                <w:lang w:val="en-US" w:eastAsia="zh-CN"/>
              </w:rPr>
              <w:t>:</w:t>
            </w:r>
            <w:r>
              <w:rPr>
                <w:rFonts w:hint="eastAsia" w:ascii="仿宋" w:hAnsi="仿宋" w:eastAsia="仿宋" w:cs="仿宋"/>
                <w:b/>
                <w:bCs/>
                <w:color w:val="auto"/>
                <w:szCs w:val="21"/>
                <w:highlight w:val="none"/>
                <w:u w:val="single"/>
                <w:lang w:val="en-US" w:eastAsia="zh-CN"/>
              </w:rPr>
              <w:t>投标截止之日前半年</w:t>
            </w:r>
            <w:r>
              <w:rPr>
                <w:rFonts w:hint="eastAsia" w:ascii="仿宋" w:hAnsi="仿宋" w:eastAsia="仿宋" w:cs="仿宋"/>
                <w:b w:val="0"/>
                <w:bCs/>
                <w:color w:val="auto"/>
                <w:szCs w:val="21"/>
                <w:highlight w:val="none"/>
                <w:u w:val="none"/>
                <w:lang w:eastAsia="zh-CN"/>
              </w:rPr>
              <w:t>内任</w:t>
            </w:r>
            <w:r>
              <w:rPr>
                <w:rFonts w:hint="eastAsia" w:ascii="仿宋" w:hAnsi="仿宋" w:eastAsia="仿宋" w:cs="仿宋"/>
                <w:b w:val="0"/>
                <w:bCs/>
                <w:color w:val="auto"/>
                <w:szCs w:val="21"/>
                <w:highlight w:val="none"/>
                <w:u w:val="none"/>
              </w:rPr>
              <w:t>意连续3个月</w:t>
            </w:r>
            <w:r>
              <w:rPr>
                <w:rFonts w:hint="eastAsia" w:ascii="仿宋" w:hAnsi="仿宋" w:eastAsia="仿宋" w:cs="仿宋"/>
                <w:color w:val="auto"/>
                <w:szCs w:val="21"/>
                <w:highlight w:val="none"/>
              </w:rPr>
              <w:t>的依法缴纳社会保障资金的缴费凭证（专用收据或者社会保险缴纳清单）原件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5A6D2EF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4.投标人财务状况报告：</w:t>
            </w:r>
            <w:r>
              <w:rPr>
                <w:rFonts w:hint="eastAsia" w:ascii="仿宋" w:hAnsi="仿宋" w:eastAsia="仿宋" w:cs="仿宋"/>
                <w:b/>
                <w:bCs w:val="0"/>
                <w:color w:val="auto"/>
                <w:szCs w:val="21"/>
                <w:highlight w:val="none"/>
                <w:u w:val="single"/>
                <w:lang w:val="en-US" w:eastAsia="zh-CN"/>
              </w:rPr>
              <w:t>2024年度或2025年度</w:t>
            </w:r>
            <w:r>
              <w:rPr>
                <w:rFonts w:hint="eastAsia" w:ascii="仿宋" w:hAnsi="仿宋" w:eastAsia="仿宋" w:cs="仿宋"/>
                <w:color w:val="auto"/>
                <w:szCs w:val="21"/>
                <w:highlight w:val="none"/>
              </w:rPr>
              <w:t>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6773265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5.投标人直接控股、管理关系信息表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15E67D91">
            <w:pPr>
              <w:keepNext w:val="0"/>
              <w:keepLines w:val="0"/>
              <w:pageBreakBefore w:val="0"/>
              <w:widowControl w:val="0"/>
              <w:kinsoku/>
              <w:wordWrap/>
              <w:overflowPunct/>
              <w:topLinePunct w:val="0"/>
              <w:autoSpaceDE/>
              <w:autoSpaceDN/>
              <w:bidi w:val="0"/>
              <w:adjustRightInd/>
              <w:snapToGrid w:val="0"/>
              <w:spacing w:line="288" w:lineRule="auto"/>
              <w:ind w:left="360" w:hanging="36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6.投标资格声明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6900232A">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7.本项目的特定资格要求：</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45739652">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【分标1】须具有卫生行政主管部门颁发的有效的《医疗机构执业许可证》。</w:t>
            </w:r>
          </w:p>
          <w:p w14:paraId="022AD819">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【分标2】须具有卫生行政主管部门颁发的有效的《医疗机构执业许可证》。</w:t>
            </w:r>
          </w:p>
          <w:p w14:paraId="5020153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【分标3】须具有卫生行政主管部门颁发的有效的《医疗机构执业许可证》。</w:t>
            </w:r>
          </w:p>
          <w:p w14:paraId="4439C6CD">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（若投标人为部队医院、武警医院且无法提供前述许可证的，须提供《中央军委改革和编制办公室颁发的&lt;中华人民共和国统一社会信用代码证书&gt;》复印件，可视为满足本项资格要求。）</w:t>
            </w:r>
          </w:p>
          <w:p w14:paraId="706B54BB">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.除招标文件规定必须提供以外，投标人认为需要提供的其他证明材料。</w:t>
            </w:r>
          </w:p>
          <w:p w14:paraId="5F1E46C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注：以上标明“必须提供”的材料，必须加盖投标人电子公章，否则</w:t>
            </w:r>
            <w:r>
              <w:rPr>
                <w:rFonts w:hint="eastAsia" w:ascii="仿宋" w:hAnsi="仿宋" w:eastAsia="仿宋" w:cs="仿宋"/>
                <w:b/>
                <w:color w:val="auto"/>
                <w:szCs w:val="21"/>
                <w:highlight w:val="none"/>
              </w:rPr>
              <w:t>作无效投标处理。</w:t>
            </w:r>
          </w:p>
        </w:tc>
      </w:tr>
      <w:tr w14:paraId="19FD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6B67A9DB">
            <w:pPr>
              <w:spacing w:line="380" w:lineRule="exact"/>
              <w:jc w:val="center"/>
              <w:rPr>
                <w:rFonts w:hint="eastAsia" w:ascii="仿宋" w:hAnsi="仿宋" w:eastAsia="仿宋" w:cs="仿宋"/>
                <w:color w:val="auto"/>
                <w:szCs w:val="21"/>
                <w:highlight w:val="none"/>
              </w:rPr>
            </w:pPr>
          </w:p>
        </w:tc>
        <w:tc>
          <w:tcPr>
            <w:tcW w:w="2175" w:type="dxa"/>
            <w:vAlign w:val="center"/>
          </w:tcPr>
          <w:p w14:paraId="043CA297">
            <w:pPr>
              <w:snapToGrid w:val="0"/>
              <w:spacing w:line="380" w:lineRule="exact"/>
              <w:jc w:val="center"/>
              <w:rPr>
                <w:rFonts w:hint="eastAsia" w:ascii="仿宋" w:hAnsi="仿宋" w:eastAsia="仿宋" w:cs="仿宋"/>
                <w:color w:val="auto"/>
                <w:szCs w:val="21"/>
                <w:highlight w:val="none"/>
              </w:rPr>
            </w:pPr>
            <w:bookmarkStart w:id="20" w:name="_13.3"/>
            <w:bookmarkEnd w:id="20"/>
            <w:r>
              <w:rPr>
                <w:rFonts w:hint="eastAsia" w:ascii="仿宋" w:hAnsi="仿宋" w:eastAsia="仿宋" w:cs="仿宋"/>
                <w:color w:val="auto"/>
                <w:szCs w:val="21"/>
                <w:highlight w:val="none"/>
              </w:rPr>
              <w:t>商务技术文件组成</w:t>
            </w:r>
          </w:p>
        </w:tc>
        <w:tc>
          <w:tcPr>
            <w:tcW w:w="6375" w:type="dxa"/>
            <w:vAlign w:val="center"/>
          </w:tcPr>
          <w:p w14:paraId="210AF33F">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1.无串通投标行为的承诺函；（</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334AE9E8">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2.法定代表人身份证明及法定代表人有效身份证正反面复印件；（</w:t>
            </w:r>
            <w:r>
              <w:rPr>
                <w:rFonts w:hint="eastAsia" w:ascii="仿宋" w:hAnsi="仿宋" w:eastAsia="仿宋" w:cs="仿宋"/>
                <w:b/>
                <w:bCs/>
                <w:color w:val="auto"/>
                <w:szCs w:val="21"/>
                <w:highlight w:val="none"/>
              </w:rPr>
              <w:t>除自然人投标外</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68270863">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3.法定代表人授权委托书及委托代理人有效身份证正反面复印件；（</w:t>
            </w:r>
            <w:r>
              <w:rPr>
                <w:rFonts w:hint="eastAsia" w:ascii="仿宋" w:hAnsi="仿宋" w:eastAsia="仿宋" w:cs="仿宋"/>
                <w:b/>
                <w:color w:val="auto"/>
                <w:szCs w:val="21"/>
                <w:highlight w:val="none"/>
              </w:rPr>
              <w:t>委托时必须提供，否则作无效投标处理</w:t>
            </w:r>
            <w:r>
              <w:rPr>
                <w:rFonts w:hint="eastAsia" w:ascii="仿宋" w:hAnsi="仿宋" w:eastAsia="仿宋" w:cs="仿宋"/>
                <w:color w:val="auto"/>
                <w:szCs w:val="21"/>
                <w:highlight w:val="none"/>
              </w:rPr>
              <w:t>）</w:t>
            </w:r>
          </w:p>
          <w:p w14:paraId="73158736">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4.商务条款偏离表；（</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539D7D7F">
            <w:pPr>
              <w:bidi w:val="0"/>
              <w:rPr>
                <w:rFonts w:hint="eastAsia" w:ascii="仿宋" w:hAnsi="仿宋" w:eastAsia="仿宋" w:cs="仿宋"/>
              </w:rPr>
            </w:pPr>
            <w:r>
              <w:rPr>
                <w:rFonts w:hint="eastAsia" w:ascii="仿宋" w:hAnsi="仿宋" w:eastAsia="仿宋" w:cs="仿宋"/>
              </w:rPr>
              <w:t>5.投标人情况介绍；</w:t>
            </w:r>
            <w:r>
              <w:rPr>
                <w:rFonts w:hint="eastAsia" w:ascii="仿宋" w:hAnsi="仿宋" w:eastAsia="仿宋" w:cs="仿宋"/>
                <w:b/>
                <w:bCs/>
              </w:rPr>
              <w:t>（如有，请提供）</w:t>
            </w:r>
          </w:p>
          <w:p w14:paraId="77F8ADA4">
            <w:pPr>
              <w:spacing w:line="360" w:lineRule="auto"/>
              <w:rPr>
                <w:rFonts w:hint="eastAsia" w:ascii="仿宋" w:hAnsi="仿宋" w:eastAsia="仿宋" w:cs="仿宋"/>
                <w:color w:val="auto"/>
                <w:szCs w:val="21"/>
                <w:highlight w:val="none"/>
              </w:rPr>
            </w:pPr>
            <w:r>
              <w:rPr>
                <w:rFonts w:hint="eastAsia" w:ascii="仿宋" w:hAnsi="仿宋" w:eastAsia="仿宋" w:cs="仿宋"/>
                <w:szCs w:val="21"/>
                <w:lang w:val="en-US" w:eastAsia="zh-CN"/>
              </w:rPr>
              <w:t>6.</w:t>
            </w:r>
            <w:r>
              <w:rPr>
                <w:rFonts w:hint="eastAsia" w:ascii="仿宋" w:hAnsi="仿宋" w:eastAsia="仿宋" w:cs="仿宋"/>
                <w:szCs w:val="21"/>
                <w:lang w:val="zh-CN"/>
              </w:rPr>
              <w:t>投标人类似的业绩证明文件；</w:t>
            </w:r>
            <w:r>
              <w:rPr>
                <w:rFonts w:hint="eastAsia" w:ascii="仿宋" w:hAnsi="仿宋" w:eastAsia="仿宋" w:cs="仿宋"/>
                <w:b/>
                <w:bCs/>
              </w:rPr>
              <w:t>（如有，请提供）</w:t>
            </w:r>
          </w:p>
          <w:p w14:paraId="2DE90D29">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7.服务</w:t>
            </w:r>
            <w:r>
              <w:rPr>
                <w:rFonts w:hint="eastAsia" w:ascii="仿宋" w:hAnsi="仿宋" w:eastAsia="仿宋" w:cs="仿宋"/>
                <w:color w:val="auto"/>
                <w:szCs w:val="21"/>
                <w:highlight w:val="none"/>
              </w:rPr>
              <w:t>技术需求偏离表；</w:t>
            </w:r>
            <w:r>
              <w:rPr>
                <w:rFonts w:hint="eastAsia" w:ascii="仿宋" w:hAnsi="仿宋" w:eastAsia="仿宋" w:cs="仿宋"/>
                <w:b/>
                <w:bCs/>
                <w:color w:val="auto"/>
                <w:szCs w:val="21"/>
                <w:highlight w:val="none"/>
              </w:rPr>
              <w:t>（必须提供，否则作无效投标处理）</w:t>
            </w:r>
          </w:p>
          <w:p w14:paraId="7748E30B">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服务方案；（</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0CABFDED">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服务</w:t>
            </w:r>
            <w:r>
              <w:rPr>
                <w:rFonts w:hint="eastAsia" w:ascii="仿宋" w:hAnsi="仿宋" w:eastAsia="仿宋" w:cs="仿宋"/>
                <w:color w:val="auto"/>
                <w:szCs w:val="21"/>
                <w:highlight w:val="none"/>
                <w:lang w:val="en-US" w:eastAsia="zh-CN"/>
              </w:rPr>
              <w:t>承诺</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5B7D2854">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项目实施人员一览表；（</w:t>
            </w:r>
            <w:r>
              <w:rPr>
                <w:rFonts w:hint="eastAsia" w:ascii="仿宋" w:hAnsi="仿宋" w:eastAsia="仿宋" w:cs="仿宋"/>
                <w:b/>
                <w:color w:val="auto"/>
                <w:szCs w:val="21"/>
                <w:highlight w:val="none"/>
                <w:lang w:eastAsia="zh-CN"/>
              </w:rPr>
              <w:t>如有，请提供</w:t>
            </w:r>
            <w:r>
              <w:rPr>
                <w:rFonts w:hint="eastAsia" w:ascii="仿宋" w:hAnsi="仿宋" w:eastAsia="仿宋" w:cs="仿宋"/>
                <w:color w:val="auto"/>
                <w:szCs w:val="21"/>
                <w:highlight w:val="none"/>
              </w:rPr>
              <w:t>）</w:t>
            </w:r>
          </w:p>
          <w:p w14:paraId="2DBE0644">
            <w:pPr>
              <w:snapToGrid w:val="0"/>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 xml:space="preserve">.除招标文件规定必须提供以外，投标人认为需要提供的其他证明材料。（投标人根据“第二章 采购需求”及“第四章 </w:t>
            </w:r>
            <w:r>
              <w:rPr>
                <w:rFonts w:hint="eastAsia" w:ascii="仿宋" w:hAnsi="仿宋" w:eastAsia="仿宋" w:cs="仿宋"/>
                <w:color w:val="auto"/>
                <w:szCs w:val="21"/>
                <w:highlight w:val="none"/>
                <w:lang w:eastAsia="zh-CN"/>
              </w:rPr>
              <w:t>评标方法及评标标准</w:t>
            </w:r>
            <w:r>
              <w:rPr>
                <w:rFonts w:hint="eastAsia" w:ascii="仿宋" w:hAnsi="仿宋" w:eastAsia="仿宋" w:cs="仿宋"/>
                <w:color w:val="auto"/>
                <w:szCs w:val="21"/>
                <w:highlight w:val="none"/>
              </w:rPr>
              <w:t>”提供有关证明材料）。</w:t>
            </w:r>
          </w:p>
          <w:p w14:paraId="3CED0BEC">
            <w:pPr>
              <w:snapToGrid w:val="0"/>
              <w:spacing w:line="38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30D79D71">
            <w:pPr>
              <w:snapToGrid w:val="0"/>
              <w:spacing w:line="38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1.法定代表人授权委托书必须由法定代表人及委托代理人签字</w:t>
            </w:r>
            <w:r>
              <w:rPr>
                <w:rFonts w:hint="eastAsia" w:ascii="仿宋" w:hAnsi="仿宋" w:eastAsia="仿宋" w:cs="仿宋"/>
                <w:b/>
                <w:bCs/>
                <w:color w:val="auto"/>
                <w:szCs w:val="21"/>
                <w:highlight w:val="none"/>
                <w:lang w:eastAsia="zh-CN"/>
              </w:rPr>
              <w:t>或盖章</w:t>
            </w:r>
            <w:r>
              <w:rPr>
                <w:rFonts w:hint="eastAsia" w:ascii="仿宋" w:hAnsi="仿宋" w:eastAsia="仿宋" w:cs="仿宋"/>
                <w:b/>
                <w:bCs/>
                <w:color w:val="auto"/>
                <w:szCs w:val="21"/>
                <w:highlight w:val="none"/>
              </w:rPr>
              <w:t>，并加盖投标人公章，否则作无效投标处理。</w:t>
            </w:r>
          </w:p>
          <w:p w14:paraId="7DC4FE65">
            <w:pPr>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2.以上标明“必须提供”的材料</w:t>
            </w:r>
            <w:r>
              <w:rPr>
                <w:rFonts w:hint="eastAsia" w:ascii="仿宋" w:hAnsi="仿宋" w:eastAsia="仿宋" w:cs="仿宋"/>
                <w:b/>
                <w:color w:val="auto"/>
                <w:szCs w:val="21"/>
                <w:highlight w:val="none"/>
              </w:rPr>
              <w:t>属于复印件的扫描件的</w:t>
            </w:r>
            <w:r>
              <w:rPr>
                <w:rFonts w:hint="eastAsia" w:ascii="仿宋" w:hAnsi="仿宋" w:eastAsia="仿宋" w:cs="仿宋"/>
                <w:b/>
                <w:bCs/>
                <w:color w:val="auto"/>
                <w:szCs w:val="21"/>
                <w:highlight w:val="none"/>
              </w:rPr>
              <w:t>，必须加盖投标人电子公章，否则</w:t>
            </w:r>
            <w:r>
              <w:rPr>
                <w:rFonts w:hint="eastAsia" w:ascii="仿宋" w:hAnsi="仿宋" w:eastAsia="仿宋" w:cs="仿宋"/>
                <w:b/>
                <w:color w:val="auto"/>
                <w:szCs w:val="21"/>
                <w:highlight w:val="none"/>
              </w:rPr>
              <w:t>作无效投标处理</w:t>
            </w:r>
            <w:r>
              <w:rPr>
                <w:rFonts w:hint="eastAsia" w:ascii="仿宋" w:hAnsi="仿宋" w:eastAsia="仿宋" w:cs="仿宋"/>
                <w:b/>
                <w:bCs/>
                <w:color w:val="auto"/>
                <w:szCs w:val="21"/>
                <w:highlight w:val="none"/>
              </w:rPr>
              <w:t>。</w:t>
            </w:r>
          </w:p>
        </w:tc>
      </w:tr>
      <w:tr w14:paraId="5219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4A518437">
            <w:pPr>
              <w:widowControl/>
              <w:jc w:val="center"/>
              <w:rPr>
                <w:rFonts w:hint="eastAsia" w:ascii="仿宋" w:hAnsi="仿宋" w:eastAsia="仿宋" w:cs="仿宋"/>
                <w:color w:val="auto"/>
                <w:szCs w:val="21"/>
                <w:highlight w:val="none"/>
              </w:rPr>
            </w:pPr>
          </w:p>
        </w:tc>
        <w:tc>
          <w:tcPr>
            <w:tcW w:w="2175" w:type="dxa"/>
            <w:vAlign w:val="center"/>
          </w:tcPr>
          <w:p w14:paraId="12866244">
            <w:pPr>
              <w:snapToGrid w:val="0"/>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报价文件组成</w:t>
            </w:r>
          </w:p>
        </w:tc>
        <w:tc>
          <w:tcPr>
            <w:tcW w:w="6375" w:type="dxa"/>
            <w:vAlign w:val="center"/>
          </w:tcPr>
          <w:p w14:paraId="5F9CB60E">
            <w:pPr>
              <w:tabs>
                <w:tab w:val="left" w:pos="459"/>
              </w:tabs>
              <w:snapToGrid w:val="0"/>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1.投标函；</w:t>
            </w:r>
            <w:r>
              <w:rPr>
                <w:rFonts w:hint="eastAsia" w:ascii="仿宋" w:hAnsi="仿宋" w:eastAsia="仿宋" w:cs="仿宋"/>
                <w:b/>
                <w:color w:val="auto"/>
                <w:szCs w:val="21"/>
                <w:highlight w:val="none"/>
              </w:rPr>
              <w:t>（必须提供，否则作无效投标处理）</w:t>
            </w:r>
          </w:p>
          <w:p w14:paraId="7346CB89">
            <w:pPr>
              <w:tabs>
                <w:tab w:val="left" w:pos="459"/>
              </w:tabs>
              <w:snapToGrid w:val="0"/>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2.开标一览表；（</w:t>
            </w:r>
            <w:r>
              <w:rPr>
                <w:rFonts w:hint="eastAsia" w:ascii="仿宋" w:hAnsi="仿宋" w:eastAsia="仿宋" w:cs="仿宋"/>
                <w:b/>
                <w:color w:val="auto"/>
                <w:szCs w:val="21"/>
                <w:highlight w:val="none"/>
              </w:rPr>
              <w:t>必须提供，否则作无效投标处理</w:t>
            </w:r>
            <w:r>
              <w:rPr>
                <w:rFonts w:hint="eastAsia" w:ascii="仿宋" w:hAnsi="仿宋" w:eastAsia="仿宋" w:cs="仿宋"/>
                <w:color w:val="auto"/>
                <w:szCs w:val="21"/>
                <w:highlight w:val="none"/>
              </w:rPr>
              <w:t>）</w:t>
            </w:r>
          </w:p>
          <w:p w14:paraId="57E9EBC5">
            <w:pPr>
              <w:tabs>
                <w:tab w:val="left" w:pos="459"/>
              </w:tabs>
              <w:snapToGrid w:val="0"/>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投标人针对报价需要说明的其他文件和说明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如有，请提供</w:t>
            </w:r>
            <w:r>
              <w:rPr>
                <w:rFonts w:hint="eastAsia" w:ascii="仿宋" w:hAnsi="仿宋" w:eastAsia="仿宋" w:cs="仿宋"/>
                <w:color w:val="auto"/>
                <w:szCs w:val="21"/>
                <w:highlight w:val="none"/>
              </w:rPr>
              <w:t>）</w:t>
            </w:r>
          </w:p>
          <w:p w14:paraId="7B61641D">
            <w:pPr>
              <w:pStyle w:val="9"/>
              <w:rPr>
                <w:rFonts w:hint="eastAsia" w:ascii="仿宋" w:hAnsi="仿宋" w:eastAsia="仿宋" w:cs="仿宋"/>
                <w:color w:val="auto"/>
                <w:highlight w:val="none"/>
              </w:rPr>
            </w:pPr>
            <w:r>
              <w:rPr>
                <w:rFonts w:hint="eastAsia" w:ascii="仿宋" w:hAnsi="仿宋" w:eastAsia="仿宋" w:cs="仿宋"/>
                <w:b/>
                <w:bCs/>
                <w:color w:val="auto"/>
                <w:szCs w:val="21"/>
                <w:highlight w:val="none"/>
              </w:rPr>
              <w:t>注：以上标明“必须提供”的材料</w:t>
            </w:r>
            <w:r>
              <w:rPr>
                <w:rFonts w:hint="eastAsia" w:ascii="仿宋" w:hAnsi="仿宋" w:eastAsia="仿宋" w:cs="仿宋"/>
                <w:b/>
                <w:color w:val="auto"/>
                <w:szCs w:val="21"/>
                <w:highlight w:val="none"/>
              </w:rPr>
              <w:t>属于复印件的扫描件的</w:t>
            </w:r>
            <w:r>
              <w:rPr>
                <w:rFonts w:hint="eastAsia" w:ascii="仿宋" w:hAnsi="仿宋" w:eastAsia="仿宋" w:cs="仿宋"/>
                <w:b/>
                <w:bCs/>
                <w:color w:val="auto"/>
                <w:szCs w:val="21"/>
                <w:highlight w:val="none"/>
              </w:rPr>
              <w:t>，必须加盖投标人电子公章，否则</w:t>
            </w:r>
            <w:r>
              <w:rPr>
                <w:rFonts w:hint="eastAsia" w:ascii="仿宋" w:hAnsi="仿宋" w:eastAsia="仿宋" w:cs="仿宋"/>
                <w:b/>
                <w:color w:val="auto"/>
                <w:szCs w:val="21"/>
                <w:highlight w:val="none"/>
              </w:rPr>
              <w:t>作无效投标处理</w:t>
            </w:r>
            <w:r>
              <w:rPr>
                <w:rFonts w:hint="eastAsia" w:ascii="仿宋" w:hAnsi="仿宋" w:eastAsia="仿宋" w:cs="仿宋"/>
                <w:b/>
                <w:bCs/>
                <w:color w:val="auto"/>
                <w:szCs w:val="21"/>
                <w:highlight w:val="none"/>
              </w:rPr>
              <w:t>。</w:t>
            </w:r>
          </w:p>
        </w:tc>
      </w:tr>
      <w:tr w14:paraId="6C2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8DCDA51">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2175" w:type="dxa"/>
            <w:vAlign w:val="center"/>
          </w:tcPr>
          <w:p w14:paraId="6DACA139">
            <w:pPr>
              <w:spacing w:line="380" w:lineRule="exact"/>
              <w:jc w:val="center"/>
              <w:rPr>
                <w:rFonts w:hint="eastAsia" w:ascii="仿宋" w:hAnsi="仿宋" w:eastAsia="仿宋" w:cs="仿宋"/>
                <w:color w:val="auto"/>
                <w:szCs w:val="21"/>
                <w:highlight w:val="none"/>
              </w:rPr>
            </w:pPr>
            <w:bookmarkStart w:id="21" w:name="_16.2"/>
            <w:bookmarkEnd w:id="21"/>
            <w:r>
              <w:rPr>
                <w:rFonts w:hint="eastAsia" w:ascii="仿宋" w:hAnsi="仿宋" w:eastAsia="仿宋" w:cs="仿宋"/>
                <w:color w:val="auto"/>
                <w:szCs w:val="21"/>
                <w:highlight w:val="none"/>
              </w:rPr>
              <w:t>投标报价要求</w:t>
            </w:r>
          </w:p>
        </w:tc>
        <w:tc>
          <w:tcPr>
            <w:tcW w:w="6375" w:type="dxa"/>
            <w:vAlign w:val="center"/>
          </w:tcPr>
          <w:p w14:paraId="273AD737">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1.报价方式</w:t>
            </w:r>
          </w:p>
          <w:p w14:paraId="00B62891">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（1）本项目采用固定单价方式确定结算依据，同时要求</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填报各套餐的固定单价及按预估人数计算的暂定总价。</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应根据《采购需求》及其附件中明确的体检套餐内容，结合自身经营成本、市场行情及合理利润等因素，自主填报各套餐的固定单价及按预估人数计算的总价。</w:t>
            </w:r>
          </w:p>
          <w:p w14:paraId="582DFAC4">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（2）最终结算金额计算公式为：结算金额=</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×实际参加体检总人数。</w:t>
            </w:r>
          </w:p>
          <w:p w14:paraId="565F786B">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2.报价原则</w:t>
            </w:r>
          </w:p>
          <w:p w14:paraId="491BB2C7">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（1）本项目设置最高限价（控制价）为：各分标</w:t>
            </w: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总价≤178000.00元。</w:t>
            </w:r>
          </w:p>
          <w:p w14:paraId="1E40CFED">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超过最高限价的，视为未实质响应</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文件要求，按无效响应处理。</w:t>
            </w:r>
          </w:p>
          <w:p w14:paraId="4EC86970">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为包干价，应包含完成本项目体检服务所需的一切费用。合同服务期内，</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不予调整。</w:t>
            </w:r>
          </w:p>
          <w:p w14:paraId="22019DE1">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3.费用构成</w:t>
            </w:r>
          </w:p>
          <w:p w14:paraId="380FFD09">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lang w:eastAsia="zh-CN"/>
              </w:rPr>
              <w:t>投标报价</w:t>
            </w:r>
            <w:r>
              <w:rPr>
                <w:rFonts w:hint="eastAsia" w:ascii="仿宋" w:hAnsi="仿宋" w:eastAsia="仿宋" w:cs="仿宋"/>
                <w:szCs w:val="21"/>
                <w:highlight w:val="none"/>
              </w:rPr>
              <w:t>应包含但不限于以下所有费用：</w:t>
            </w:r>
          </w:p>
          <w:p w14:paraId="667F0444">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（1）体检服务费：包括检查、化验、医师诊断、报告编制及解读等费用；</w:t>
            </w:r>
          </w:p>
          <w:p w14:paraId="5E8CAC65">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（2）材料费：包括一次性消耗材料、试剂、设备折旧、表格及报告纸张等费用；</w:t>
            </w:r>
          </w:p>
          <w:p w14:paraId="3AAB1950">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（3）管理费：包括医疗垃圾处置、现场组织管理、早餐供应（如有）等费用；</w:t>
            </w:r>
          </w:p>
          <w:p w14:paraId="5C227334">
            <w:pPr>
              <w:widowControl/>
              <w:spacing w:line="240" w:lineRule="auto"/>
              <w:contextualSpacing/>
              <w:rPr>
                <w:rFonts w:ascii="仿宋" w:hAnsi="仿宋" w:eastAsia="仿宋" w:cs="仿宋"/>
                <w:szCs w:val="21"/>
                <w:highlight w:val="none"/>
              </w:rPr>
            </w:pPr>
            <w:r>
              <w:rPr>
                <w:rFonts w:hint="eastAsia" w:ascii="仿宋" w:hAnsi="仿宋" w:eastAsia="仿宋" w:cs="仿宋"/>
                <w:szCs w:val="21"/>
                <w:highlight w:val="none"/>
              </w:rPr>
              <w:t>（4）其他费用：与本项目服务相关的全部费用，以及政策性文件规定及合同约定的所有风险、责任等费用。</w:t>
            </w:r>
          </w:p>
          <w:p w14:paraId="3EFA792B">
            <w:pPr>
              <w:widowControl/>
              <w:spacing w:line="240" w:lineRule="auto"/>
              <w:contextualSpacing/>
              <w:rPr>
                <w:rFonts w:hint="eastAsia" w:ascii="仿宋" w:hAnsi="仿宋" w:eastAsia="仿宋" w:cs="仿宋"/>
                <w:b/>
                <w:color w:val="auto"/>
                <w:szCs w:val="21"/>
                <w:highlight w:val="none"/>
              </w:rPr>
            </w:pPr>
            <w:r>
              <w:rPr>
                <w:rFonts w:hint="eastAsia" w:ascii="仿宋" w:hAnsi="仿宋" w:eastAsia="仿宋" w:cs="仿宋"/>
                <w:szCs w:val="21"/>
                <w:highlight w:val="none"/>
              </w:rPr>
              <w:t>（5）除合同另有约定外，采购人不再支付任何额外费用。</w:t>
            </w:r>
          </w:p>
        </w:tc>
      </w:tr>
      <w:tr w14:paraId="6B68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254995E">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w:t>
            </w:r>
          </w:p>
        </w:tc>
        <w:tc>
          <w:tcPr>
            <w:tcW w:w="2175" w:type="dxa"/>
            <w:vAlign w:val="center"/>
          </w:tcPr>
          <w:p w14:paraId="3733B930">
            <w:pPr>
              <w:spacing w:line="380" w:lineRule="exact"/>
              <w:jc w:val="center"/>
              <w:rPr>
                <w:rFonts w:hint="eastAsia" w:ascii="仿宋" w:hAnsi="仿宋" w:eastAsia="仿宋" w:cs="仿宋"/>
                <w:color w:val="auto"/>
                <w:szCs w:val="21"/>
                <w:highlight w:val="none"/>
              </w:rPr>
            </w:pPr>
            <w:bookmarkStart w:id="22" w:name="_17.1"/>
            <w:bookmarkEnd w:id="22"/>
            <w:r>
              <w:rPr>
                <w:rFonts w:hint="eastAsia" w:ascii="仿宋" w:hAnsi="仿宋" w:eastAsia="仿宋" w:cs="仿宋"/>
                <w:color w:val="auto"/>
                <w:szCs w:val="21"/>
                <w:highlight w:val="none"/>
              </w:rPr>
              <w:t>投标有效期</w:t>
            </w:r>
          </w:p>
        </w:tc>
        <w:tc>
          <w:tcPr>
            <w:tcW w:w="6375" w:type="dxa"/>
            <w:vAlign w:val="center"/>
          </w:tcPr>
          <w:p w14:paraId="5E37F723">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自投标截止之日起</w:t>
            </w:r>
            <w:bookmarkStart w:id="23" w:name="PO_3000001866_PM046"/>
            <w:r>
              <w:rPr>
                <w:rFonts w:hint="eastAsia" w:ascii="仿宋" w:hAnsi="仿宋" w:eastAsia="仿宋" w:cs="仿宋"/>
                <w:color w:val="auto"/>
                <w:szCs w:val="21"/>
                <w:highlight w:val="none"/>
                <w:u w:val="single"/>
              </w:rPr>
              <w:t>90日历天</w:t>
            </w:r>
            <w:bookmarkEnd w:id="23"/>
            <w:r>
              <w:rPr>
                <w:rFonts w:hint="eastAsia" w:ascii="仿宋" w:hAnsi="仿宋" w:eastAsia="仿宋" w:cs="仿宋"/>
                <w:color w:val="auto"/>
                <w:szCs w:val="21"/>
                <w:highlight w:val="none"/>
              </w:rPr>
              <w:t>。</w:t>
            </w:r>
          </w:p>
        </w:tc>
      </w:tr>
      <w:tr w14:paraId="3632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6DDB039">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2175" w:type="dxa"/>
            <w:vAlign w:val="center"/>
          </w:tcPr>
          <w:p w14:paraId="689CBF61">
            <w:pPr>
              <w:spacing w:line="380" w:lineRule="exact"/>
              <w:jc w:val="center"/>
              <w:rPr>
                <w:rFonts w:hint="eastAsia" w:ascii="仿宋" w:hAnsi="仿宋" w:eastAsia="仿宋" w:cs="仿宋"/>
                <w:color w:val="auto"/>
                <w:szCs w:val="21"/>
                <w:highlight w:val="none"/>
              </w:rPr>
            </w:pPr>
            <w:bookmarkStart w:id="24" w:name="_18"/>
            <w:bookmarkEnd w:id="24"/>
            <w:r>
              <w:rPr>
                <w:rFonts w:hint="eastAsia" w:ascii="仿宋" w:hAnsi="仿宋" w:eastAsia="仿宋" w:cs="仿宋"/>
                <w:color w:val="auto"/>
                <w:szCs w:val="21"/>
                <w:highlight w:val="none"/>
              </w:rPr>
              <w:t>投标保证金金额</w:t>
            </w:r>
          </w:p>
        </w:tc>
        <w:tc>
          <w:tcPr>
            <w:tcW w:w="6375" w:type="dxa"/>
            <w:vAlign w:val="center"/>
          </w:tcPr>
          <w:p w14:paraId="4B728684">
            <w:pPr>
              <w:autoSpaceDE w:val="0"/>
              <w:autoSpaceDN w:val="0"/>
              <w:snapToGrid w:val="0"/>
              <w:spacing w:line="38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本项目不收取投标保证金。</w:t>
            </w:r>
          </w:p>
        </w:tc>
      </w:tr>
      <w:tr w14:paraId="39C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537B29F">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19.1</w:t>
            </w:r>
          </w:p>
        </w:tc>
        <w:tc>
          <w:tcPr>
            <w:tcW w:w="2175" w:type="dxa"/>
            <w:vAlign w:val="center"/>
          </w:tcPr>
          <w:p w14:paraId="2AEEEA5E">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投标文件编制要求</w:t>
            </w:r>
          </w:p>
        </w:tc>
        <w:tc>
          <w:tcPr>
            <w:tcW w:w="6375" w:type="dxa"/>
            <w:vAlign w:val="center"/>
          </w:tcPr>
          <w:p w14:paraId="14F8C98F">
            <w:pPr>
              <w:spacing w:line="360" w:lineRule="auto"/>
              <w:rPr>
                <w:rFonts w:hint="eastAsia" w:ascii="仿宋" w:hAnsi="仿宋" w:eastAsia="仿宋" w:cs="仿宋"/>
                <w:b/>
                <w:color w:val="auto"/>
                <w:szCs w:val="21"/>
                <w:highlight w:val="none"/>
                <w:u w:val="single"/>
                <w:lang w:eastAsia="zh-CN"/>
              </w:rPr>
            </w:pPr>
            <w:r>
              <w:rPr>
                <w:rFonts w:hint="eastAsia" w:ascii="仿宋" w:hAnsi="仿宋" w:eastAsia="仿宋" w:cs="仿宋"/>
                <w:color w:val="auto"/>
                <w:szCs w:val="21"/>
                <w:highlight w:val="none"/>
              </w:rPr>
              <w:t>投标文件</w:t>
            </w:r>
            <w:r>
              <w:rPr>
                <w:rFonts w:hint="eastAsia" w:ascii="仿宋" w:hAnsi="仿宋" w:eastAsia="仿宋" w:cs="仿宋"/>
                <w:color w:val="auto"/>
                <w:szCs w:val="21"/>
                <w:highlight w:val="none"/>
                <w:lang w:val="en-US" w:eastAsia="zh-CN"/>
              </w:rPr>
              <w:t>应按</w:t>
            </w:r>
            <w:r>
              <w:rPr>
                <w:rFonts w:hint="eastAsia" w:ascii="仿宋" w:hAnsi="仿宋" w:eastAsia="仿宋" w:cs="仿宋"/>
                <w:color w:val="auto"/>
                <w:szCs w:val="21"/>
                <w:highlight w:val="none"/>
              </w:rPr>
              <w:t>报价文件、资格证明文件、商务技术文件</w:t>
            </w:r>
            <w:r>
              <w:rPr>
                <w:rFonts w:hint="eastAsia" w:ascii="仿宋" w:hAnsi="仿宋" w:eastAsia="仿宋" w:cs="仿宋"/>
                <w:color w:val="auto"/>
                <w:szCs w:val="21"/>
                <w:highlight w:val="none"/>
                <w:lang w:val="en-US" w:eastAsia="zh-CN"/>
              </w:rPr>
              <w:t>分别</w:t>
            </w:r>
            <w:r>
              <w:rPr>
                <w:rFonts w:hint="eastAsia" w:ascii="仿宋" w:hAnsi="仿宋" w:eastAsia="仿宋" w:cs="仿宋"/>
                <w:color w:val="auto"/>
                <w:szCs w:val="21"/>
                <w:highlight w:val="none"/>
              </w:rPr>
              <w:t>编制</w:t>
            </w:r>
            <w:r>
              <w:rPr>
                <w:rFonts w:hint="eastAsia" w:ascii="仿宋" w:hAnsi="仿宋" w:eastAsia="仿宋" w:cs="仿宋"/>
                <w:color w:val="auto"/>
                <w:szCs w:val="21"/>
                <w:highlight w:val="none"/>
                <w:lang w:eastAsia="zh-CN"/>
              </w:rPr>
              <w:t>。</w:t>
            </w:r>
          </w:p>
        </w:tc>
      </w:tr>
      <w:tr w14:paraId="0986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5B4CB49">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2175" w:type="dxa"/>
            <w:vAlign w:val="center"/>
          </w:tcPr>
          <w:p w14:paraId="74CBC2F3">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备份投标文件</w:t>
            </w:r>
          </w:p>
        </w:tc>
        <w:tc>
          <w:tcPr>
            <w:tcW w:w="6375" w:type="dxa"/>
            <w:vAlign w:val="center"/>
          </w:tcPr>
          <w:p w14:paraId="20F5E654">
            <w:pPr>
              <w:autoSpaceDE w:val="0"/>
              <w:autoSpaceDN w:val="0"/>
              <w:snapToGrid w:val="0"/>
              <w:spacing w:line="38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本项目不接受备份投标文件。</w:t>
            </w:r>
          </w:p>
        </w:tc>
      </w:tr>
      <w:tr w14:paraId="7C91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43" w:type="dxa"/>
            <w:vMerge w:val="restart"/>
            <w:vAlign w:val="center"/>
          </w:tcPr>
          <w:p w14:paraId="56A144C7">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w:t>
            </w:r>
          </w:p>
        </w:tc>
        <w:tc>
          <w:tcPr>
            <w:tcW w:w="2175" w:type="dxa"/>
            <w:vAlign w:val="center"/>
          </w:tcPr>
          <w:p w14:paraId="01F24DD5">
            <w:pPr>
              <w:spacing w:line="380" w:lineRule="exact"/>
              <w:jc w:val="center"/>
              <w:rPr>
                <w:rFonts w:hint="eastAsia" w:ascii="仿宋" w:hAnsi="仿宋" w:eastAsia="仿宋" w:cs="仿宋"/>
                <w:color w:val="auto"/>
                <w:szCs w:val="21"/>
                <w:highlight w:val="none"/>
              </w:rPr>
            </w:pPr>
            <w:bookmarkStart w:id="25" w:name="_21.1"/>
            <w:bookmarkEnd w:id="25"/>
            <w:r>
              <w:rPr>
                <w:rFonts w:hint="eastAsia" w:ascii="仿宋" w:hAnsi="仿宋" w:eastAsia="仿宋" w:cs="仿宋"/>
                <w:color w:val="auto"/>
                <w:szCs w:val="21"/>
                <w:highlight w:val="none"/>
              </w:rPr>
              <w:t>投标截止时间</w:t>
            </w:r>
          </w:p>
        </w:tc>
        <w:tc>
          <w:tcPr>
            <w:tcW w:w="6375" w:type="dxa"/>
            <w:vAlign w:val="center"/>
          </w:tcPr>
          <w:p w14:paraId="08ECF399">
            <w:pPr>
              <w:snapToGrid w:val="0"/>
              <w:spacing w:line="38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详见招标公告。</w:t>
            </w:r>
          </w:p>
        </w:tc>
      </w:tr>
      <w:tr w14:paraId="69C0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3" w:type="dxa"/>
            <w:vMerge w:val="continue"/>
            <w:vAlign w:val="center"/>
          </w:tcPr>
          <w:p w14:paraId="735180A9">
            <w:pPr>
              <w:widowControl/>
              <w:jc w:val="center"/>
              <w:rPr>
                <w:rFonts w:hint="eastAsia" w:ascii="仿宋" w:hAnsi="仿宋" w:eastAsia="仿宋" w:cs="仿宋"/>
                <w:color w:val="auto"/>
                <w:szCs w:val="21"/>
                <w:highlight w:val="none"/>
              </w:rPr>
            </w:pPr>
          </w:p>
        </w:tc>
        <w:tc>
          <w:tcPr>
            <w:tcW w:w="2175" w:type="dxa"/>
            <w:vAlign w:val="center"/>
          </w:tcPr>
          <w:p w14:paraId="122BFE82">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投标文件提交起止时间</w:t>
            </w:r>
          </w:p>
        </w:tc>
        <w:tc>
          <w:tcPr>
            <w:tcW w:w="6375" w:type="dxa"/>
            <w:vAlign w:val="center"/>
          </w:tcPr>
          <w:p w14:paraId="231AEAEF">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详见招标公告。</w:t>
            </w:r>
          </w:p>
        </w:tc>
      </w:tr>
      <w:tr w14:paraId="497B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3" w:type="dxa"/>
            <w:vMerge w:val="continue"/>
            <w:vAlign w:val="center"/>
          </w:tcPr>
          <w:p w14:paraId="318EB396">
            <w:pPr>
              <w:widowControl/>
              <w:jc w:val="center"/>
              <w:rPr>
                <w:rFonts w:hint="eastAsia" w:ascii="仿宋" w:hAnsi="仿宋" w:eastAsia="仿宋" w:cs="仿宋"/>
                <w:color w:val="auto"/>
                <w:szCs w:val="21"/>
                <w:highlight w:val="none"/>
              </w:rPr>
            </w:pPr>
          </w:p>
        </w:tc>
        <w:tc>
          <w:tcPr>
            <w:tcW w:w="2175" w:type="dxa"/>
            <w:vAlign w:val="center"/>
          </w:tcPr>
          <w:p w14:paraId="2531EBE0">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投标地点</w:t>
            </w:r>
          </w:p>
        </w:tc>
        <w:tc>
          <w:tcPr>
            <w:tcW w:w="6375" w:type="dxa"/>
            <w:vAlign w:val="center"/>
          </w:tcPr>
          <w:p w14:paraId="634B07D6">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详见招标公告。</w:t>
            </w:r>
          </w:p>
        </w:tc>
      </w:tr>
      <w:tr w14:paraId="7A2A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3" w:type="dxa"/>
            <w:vMerge w:val="continue"/>
            <w:vAlign w:val="center"/>
          </w:tcPr>
          <w:p w14:paraId="3DD92A2B">
            <w:pPr>
              <w:widowControl/>
              <w:jc w:val="center"/>
              <w:rPr>
                <w:rFonts w:hint="eastAsia" w:ascii="仿宋" w:hAnsi="仿宋" w:eastAsia="仿宋" w:cs="仿宋"/>
                <w:color w:val="auto"/>
                <w:szCs w:val="21"/>
                <w:highlight w:val="none"/>
              </w:rPr>
            </w:pPr>
          </w:p>
        </w:tc>
        <w:tc>
          <w:tcPr>
            <w:tcW w:w="2175" w:type="dxa"/>
            <w:vAlign w:val="center"/>
          </w:tcPr>
          <w:p w14:paraId="779F27D0">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投标人递交投标样品截止时间及地点</w:t>
            </w:r>
          </w:p>
        </w:tc>
        <w:tc>
          <w:tcPr>
            <w:tcW w:w="6375" w:type="dxa"/>
            <w:vAlign w:val="center"/>
          </w:tcPr>
          <w:p w14:paraId="289072FB">
            <w:pPr>
              <w:snapToGrid w:val="0"/>
              <w:spacing w:line="380" w:lineRule="exac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无。</w:t>
            </w:r>
          </w:p>
        </w:tc>
      </w:tr>
      <w:tr w14:paraId="7E74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03D17DA">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2175" w:type="dxa"/>
            <w:vAlign w:val="center"/>
          </w:tcPr>
          <w:p w14:paraId="2706B5B7">
            <w:pPr>
              <w:spacing w:line="380" w:lineRule="exact"/>
              <w:jc w:val="center"/>
              <w:rPr>
                <w:rFonts w:hint="eastAsia" w:ascii="仿宋" w:hAnsi="仿宋" w:eastAsia="仿宋" w:cs="仿宋"/>
                <w:color w:val="auto"/>
                <w:szCs w:val="21"/>
                <w:highlight w:val="none"/>
              </w:rPr>
            </w:pPr>
            <w:bookmarkStart w:id="26" w:name="_23"/>
            <w:bookmarkEnd w:id="26"/>
            <w:r>
              <w:rPr>
                <w:rFonts w:hint="eastAsia" w:ascii="仿宋" w:hAnsi="仿宋" w:eastAsia="仿宋" w:cs="仿宋"/>
                <w:color w:val="auto"/>
                <w:szCs w:val="21"/>
                <w:highlight w:val="none"/>
              </w:rPr>
              <w:t>开标时间、地点</w:t>
            </w:r>
          </w:p>
        </w:tc>
        <w:tc>
          <w:tcPr>
            <w:tcW w:w="6375" w:type="dxa"/>
            <w:vAlign w:val="center"/>
          </w:tcPr>
          <w:p w14:paraId="078E2F2C">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详见招标公告 。</w:t>
            </w:r>
          </w:p>
        </w:tc>
      </w:tr>
      <w:tr w14:paraId="2637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43" w:type="dxa"/>
            <w:vMerge w:val="restart"/>
            <w:vAlign w:val="center"/>
          </w:tcPr>
          <w:p w14:paraId="5F7A2260">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25.3（2）</w:t>
            </w:r>
          </w:p>
        </w:tc>
        <w:tc>
          <w:tcPr>
            <w:tcW w:w="2175" w:type="dxa"/>
            <w:vAlign w:val="center"/>
          </w:tcPr>
          <w:p w14:paraId="0505DEB3">
            <w:pPr>
              <w:spacing w:line="380" w:lineRule="exact"/>
              <w:jc w:val="center"/>
              <w:rPr>
                <w:rFonts w:hint="eastAsia" w:ascii="仿宋" w:hAnsi="仿宋" w:eastAsia="仿宋" w:cs="仿宋"/>
                <w:color w:val="auto"/>
                <w:szCs w:val="21"/>
                <w:highlight w:val="none"/>
              </w:rPr>
            </w:pPr>
            <w:bookmarkStart w:id="27" w:name="_25.3"/>
            <w:bookmarkEnd w:id="27"/>
            <w:r>
              <w:rPr>
                <w:rFonts w:hint="eastAsia" w:ascii="仿宋" w:hAnsi="仿宋" w:eastAsia="仿宋" w:cs="仿宋"/>
                <w:color w:val="auto"/>
                <w:szCs w:val="21"/>
                <w:highlight w:val="none"/>
              </w:rPr>
              <w:t>投标人信用查询渠道</w:t>
            </w:r>
          </w:p>
        </w:tc>
        <w:tc>
          <w:tcPr>
            <w:tcW w:w="6375" w:type="dxa"/>
            <w:vAlign w:val="center"/>
          </w:tcPr>
          <w:p w14:paraId="51038EED">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采购人或者采购代理机构在资格审查结束前，对投标人进行信用查询。</w:t>
            </w:r>
          </w:p>
          <w:p w14:paraId="1E1D6CE0">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 、中国政府采购网(www.ccgp.gov.cn)。</w:t>
            </w:r>
          </w:p>
        </w:tc>
      </w:tr>
      <w:tr w14:paraId="39D5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43" w:type="dxa"/>
            <w:vMerge w:val="continue"/>
            <w:vAlign w:val="center"/>
          </w:tcPr>
          <w:p w14:paraId="49BBC193">
            <w:pPr>
              <w:widowControl/>
              <w:jc w:val="center"/>
              <w:rPr>
                <w:rFonts w:hint="eastAsia" w:ascii="仿宋" w:hAnsi="仿宋" w:eastAsia="仿宋" w:cs="仿宋"/>
                <w:color w:val="auto"/>
                <w:szCs w:val="21"/>
                <w:highlight w:val="none"/>
              </w:rPr>
            </w:pPr>
          </w:p>
        </w:tc>
        <w:tc>
          <w:tcPr>
            <w:tcW w:w="2175" w:type="dxa"/>
            <w:vAlign w:val="center"/>
          </w:tcPr>
          <w:p w14:paraId="4AA53D73">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信用查询截止时点</w:t>
            </w:r>
          </w:p>
        </w:tc>
        <w:tc>
          <w:tcPr>
            <w:tcW w:w="6375" w:type="dxa"/>
            <w:vAlign w:val="center"/>
          </w:tcPr>
          <w:p w14:paraId="342FCB2C">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资格审查结束前</w:t>
            </w:r>
          </w:p>
        </w:tc>
      </w:tr>
      <w:tr w14:paraId="1052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3" w:type="dxa"/>
            <w:vMerge w:val="continue"/>
            <w:vAlign w:val="center"/>
          </w:tcPr>
          <w:p w14:paraId="1D08E7F2">
            <w:pPr>
              <w:widowControl/>
              <w:jc w:val="center"/>
              <w:rPr>
                <w:rFonts w:hint="eastAsia" w:ascii="仿宋" w:hAnsi="仿宋" w:eastAsia="仿宋" w:cs="仿宋"/>
                <w:color w:val="auto"/>
                <w:szCs w:val="21"/>
                <w:highlight w:val="none"/>
              </w:rPr>
            </w:pPr>
          </w:p>
        </w:tc>
        <w:tc>
          <w:tcPr>
            <w:tcW w:w="2175" w:type="dxa"/>
            <w:vAlign w:val="center"/>
          </w:tcPr>
          <w:p w14:paraId="51864FDB">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w:t>
            </w:r>
          </w:p>
        </w:tc>
        <w:tc>
          <w:tcPr>
            <w:tcW w:w="6375" w:type="dxa"/>
            <w:vAlign w:val="center"/>
          </w:tcPr>
          <w:p w14:paraId="2B57821E">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在查询网站中直接截图查询记录，截图作为在“政采云”平台作为附件上传保存。</w:t>
            </w:r>
          </w:p>
        </w:tc>
      </w:tr>
      <w:tr w14:paraId="17B7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43" w:type="dxa"/>
            <w:vMerge w:val="continue"/>
            <w:vAlign w:val="center"/>
          </w:tcPr>
          <w:p w14:paraId="649C4EED">
            <w:pPr>
              <w:widowControl/>
              <w:jc w:val="center"/>
              <w:rPr>
                <w:rFonts w:hint="eastAsia" w:ascii="仿宋" w:hAnsi="仿宋" w:eastAsia="仿宋" w:cs="仿宋"/>
                <w:color w:val="auto"/>
                <w:szCs w:val="21"/>
                <w:highlight w:val="none"/>
              </w:rPr>
            </w:pPr>
          </w:p>
        </w:tc>
        <w:tc>
          <w:tcPr>
            <w:tcW w:w="2175" w:type="dxa"/>
            <w:vAlign w:val="center"/>
          </w:tcPr>
          <w:p w14:paraId="4B49AE1C">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信用信息使用规则</w:t>
            </w:r>
          </w:p>
        </w:tc>
        <w:tc>
          <w:tcPr>
            <w:tcW w:w="6375" w:type="dxa"/>
            <w:vAlign w:val="center"/>
          </w:tcPr>
          <w:p w14:paraId="433E0E61">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C5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DF6089E">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w:t>
            </w:r>
          </w:p>
        </w:tc>
        <w:tc>
          <w:tcPr>
            <w:tcW w:w="2175" w:type="dxa"/>
            <w:vAlign w:val="center"/>
          </w:tcPr>
          <w:p w14:paraId="34B5292F">
            <w:pPr>
              <w:spacing w:line="380" w:lineRule="exact"/>
              <w:jc w:val="center"/>
              <w:rPr>
                <w:rFonts w:hint="eastAsia" w:ascii="仿宋" w:hAnsi="仿宋" w:eastAsia="仿宋" w:cs="仿宋"/>
                <w:color w:val="auto"/>
                <w:szCs w:val="21"/>
                <w:highlight w:val="none"/>
              </w:rPr>
            </w:pPr>
            <w:bookmarkStart w:id="28" w:name="_28.3"/>
            <w:bookmarkEnd w:id="28"/>
            <w:bookmarkStart w:id="29" w:name="_26"/>
            <w:bookmarkEnd w:id="29"/>
            <w:r>
              <w:rPr>
                <w:rFonts w:hint="eastAsia" w:ascii="仿宋" w:hAnsi="仿宋" w:eastAsia="仿宋" w:cs="仿宋"/>
                <w:color w:val="auto"/>
                <w:szCs w:val="21"/>
                <w:highlight w:val="none"/>
              </w:rPr>
              <w:t>评标方法</w:t>
            </w:r>
          </w:p>
        </w:tc>
        <w:tc>
          <w:tcPr>
            <w:tcW w:w="6375" w:type="dxa"/>
            <w:vAlign w:val="center"/>
          </w:tcPr>
          <w:p w14:paraId="02FF7D73">
            <w:pPr>
              <w:autoSpaceDE w:val="0"/>
              <w:autoSpaceDN w:val="0"/>
              <w:snapToGrid w:val="0"/>
              <w:spacing w:line="38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w:t>
            </w:r>
          </w:p>
          <w:p w14:paraId="31BAC234">
            <w:pPr>
              <w:autoSpaceDE w:val="0"/>
              <w:autoSpaceDN w:val="0"/>
              <w:snapToGrid w:val="0"/>
              <w:spacing w:line="38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□最低评标价法</w:t>
            </w:r>
          </w:p>
        </w:tc>
      </w:tr>
      <w:tr w14:paraId="615F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9EE7634">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30.1</w:t>
            </w:r>
          </w:p>
        </w:tc>
        <w:tc>
          <w:tcPr>
            <w:tcW w:w="2175" w:type="dxa"/>
            <w:vAlign w:val="center"/>
          </w:tcPr>
          <w:p w14:paraId="625C3FF8">
            <w:pPr>
              <w:autoSpaceDE w:val="0"/>
              <w:autoSpaceDN w:val="0"/>
              <w:snapToGrid w:val="0"/>
              <w:spacing w:line="380" w:lineRule="exact"/>
              <w:jc w:val="center"/>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确定中标人时，出现中标候选人分数并列的情形，确定中标人方式</w:t>
            </w:r>
          </w:p>
        </w:tc>
        <w:tc>
          <w:tcPr>
            <w:tcW w:w="6375" w:type="dxa"/>
            <w:vAlign w:val="center"/>
          </w:tcPr>
          <w:p w14:paraId="6ADB84C8">
            <w:pPr>
              <w:autoSpaceDE w:val="0"/>
              <w:autoSpaceDN w:val="0"/>
              <w:snapToGrid w:val="0"/>
              <w:spacing w:line="38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□采用最低评标价法的，投标文件满足招标文件全部实质性要求且投标报价最低的投标人为排名第一的中标候选人； </w:t>
            </w:r>
          </w:p>
          <w:p w14:paraId="4DC7B904">
            <w:pPr>
              <w:autoSpaceDE w:val="0"/>
              <w:autoSpaceDN w:val="0"/>
              <w:snapToGrid w:val="0"/>
              <w:spacing w:line="38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065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43" w:type="dxa"/>
            <w:vAlign w:val="center"/>
          </w:tcPr>
          <w:p w14:paraId="7F53176E">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w:t>
            </w:r>
          </w:p>
        </w:tc>
        <w:tc>
          <w:tcPr>
            <w:tcW w:w="2175" w:type="dxa"/>
            <w:vAlign w:val="center"/>
          </w:tcPr>
          <w:p w14:paraId="4D9C6BBF">
            <w:pPr>
              <w:spacing w:line="380" w:lineRule="exact"/>
              <w:jc w:val="center"/>
              <w:rPr>
                <w:rFonts w:hint="eastAsia" w:ascii="仿宋" w:hAnsi="仿宋" w:eastAsia="仿宋" w:cs="仿宋"/>
                <w:color w:val="auto"/>
                <w:szCs w:val="21"/>
                <w:highlight w:val="none"/>
              </w:rPr>
            </w:pPr>
            <w:bookmarkStart w:id="30" w:name="_39.1"/>
            <w:bookmarkEnd w:id="30"/>
            <w:r>
              <w:rPr>
                <w:rFonts w:hint="eastAsia" w:ascii="仿宋" w:hAnsi="仿宋" w:eastAsia="仿宋" w:cs="仿宋"/>
                <w:color w:val="auto"/>
                <w:szCs w:val="21"/>
                <w:highlight w:val="none"/>
              </w:rPr>
              <w:t>履约保证金金额</w:t>
            </w:r>
          </w:p>
        </w:tc>
        <w:tc>
          <w:tcPr>
            <w:tcW w:w="6375" w:type="dxa"/>
            <w:vAlign w:val="bottom"/>
          </w:tcPr>
          <w:p w14:paraId="562BAF9E">
            <w:pPr>
              <w:autoSpaceDE w:val="0"/>
              <w:autoSpaceDN w:val="0"/>
              <w:snapToGrid w:val="0"/>
              <w:spacing w:line="380" w:lineRule="exact"/>
              <w:jc w:val="lef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tc>
      </w:tr>
      <w:tr w14:paraId="6941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0977733">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36.1</w:t>
            </w:r>
          </w:p>
        </w:tc>
        <w:tc>
          <w:tcPr>
            <w:tcW w:w="2175" w:type="dxa"/>
            <w:vAlign w:val="center"/>
          </w:tcPr>
          <w:p w14:paraId="4E6405AD">
            <w:pPr>
              <w:spacing w:line="380" w:lineRule="exact"/>
              <w:jc w:val="center"/>
              <w:rPr>
                <w:rFonts w:hint="eastAsia" w:ascii="仿宋" w:hAnsi="仿宋" w:eastAsia="仿宋" w:cs="仿宋"/>
                <w:color w:val="auto"/>
                <w:szCs w:val="21"/>
                <w:highlight w:val="none"/>
              </w:rPr>
            </w:pPr>
            <w:bookmarkStart w:id="31" w:name="_40.1"/>
            <w:bookmarkEnd w:id="31"/>
            <w:r>
              <w:rPr>
                <w:rFonts w:hint="eastAsia" w:ascii="仿宋" w:hAnsi="仿宋" w:eastAsia="仿宋" w:cs="仿宋"/>
                <w:color w:val="auto"/>
                <w:szCs w:val="21"/>
                <w:highlight w:val="none"/>
              </w:rPr>
              <w:t>签订电子合同携带的材料</w:t>
            </w:r>
          </w:p>
        </w:tc>
        <w:tc>
          <w:tcPr>
            <w:tcW w:w="6375" w:type="dxa"/>
            <w:vAlign w:val="center"/>
          </w:tcPr>
          <w:p w14:paraId="556244C6">
            <w:pPr>
              <w:autoSpaceDE w:val="0"/>
              <w:autoSpaceDN w:val="0"/>
              <w:snapToGrid w:val="0"/>
              <w:spacing w:line="380" w:lineRule="exact"/>
              <w:textAlignment w:val="bottom"/>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电子采购合同需要供应商通过有效CA证书进行电子签署</w:t>
            </w:r>
            <w:r>
              <w:rPr>
                <w:rFonts w:hint="eastAsia" w:ascii="仿宋" w:hAnsi="仿宋" w:eastAsia="仿宋" w:cs="仿宋"/>
                <w:color w:val="auto"/>
                <w:szCs w:val="21"/>
                <w:highlight w:val="none"/>
                <w:lang w:eastAsia="zh-CN"/>
              </w:rPr>
              <w:t>。</w:t>
            </w:r>
          </w:p>
        </w:tc>
      </w:tr>
      <w:tr w14:paraId="152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43" w:type="dxa"/>
            <w:vMerge w:val="restart"/>
            <w:vAlign w:val="center"/>
          </w:tcPr>
          <w:p w14:paraId="3F4A7E9B">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38.2.1</w:t>
            </w:r>
          </w:p>
        </w:tc>
        <w:tc>
          <w:tcPr>
            <w:tcW w:w="2175" w:type="dxa"/>
            <w:vAlign w:val="center"/>
          </w:tcPr>
          <w:p w14:paraId="59E9D755">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w:t>
            </w:r>
          </w:p>
        </w:tc>
        <w:tc>
          <w:tcPr>
            <w:tcW w:w="6375" w:type="dxa"/>
            <w:vAlign w:val="center"/>
          </w:tcPr>
          <w:p w14:paraId="40F659C1">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以书面形式</w:t>
            </w:r>
          </w:p>
        </w:tc>
      </w:tr>
      <w:tr w14:paraId="44B6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43" w:type="dxa"/>
            <w:vMerge w:val="continue"/>
            <w:vAlign w:val="center"/>
          </w:tcPr>
          <w:p w14:paraId="096DD553">
            <w:pPr>
              <w:widowControl/>
              <w:jc w:val="center"/>
              <w:rPr>
                <w:rFonts w:hint="eastAsia" w:ascii="仿宋" w:hAnsi="仿宋" w:eastAsia="仿宋" w:cs="仿宋"/>
                <w:color w:val="auto"/>
                <w:szCs w:val="21"/>
                <w:highlight w:val="none"/>
              </w:rPr>
            </w:pPr>
          </w:p>
        </w:tc>
        <w:tc>
          <w:tcPr>
            <w:tcW w:w="2175" w:type="dxa"/>
            <w:vAlign w:val="center"/>
          </w:tcPr>
          <w:p w14:paraId="046DB6F8">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w:t>
            </w:r>
          </w:p>
        </w:tc>
        <w:tc>
          <w:tcPr>
            <w:tcW w:w="6375" w:type="dxa"/>
            <w:vAlign w:val="center"/>
          </w:tcPr>
          <w:p w14:paraId="5396B2B4">
            <w:pPr>
              <w:snapToGrid w:val="0"/>
              <w:spacing w:line="360" w:lineRule="auto"/>
              <w:rPr>
                <w:rFonts w:ascii="仿宋" w:hAnsi="仿宋" w:eastAsia="仿宋" w:cs="仿宋"/>
                <w:szCs w:val="21"/>
                <w:highlight w:val="none"/>
              </w:rPr>
            </w:pPr>
            <w:r>
              <w:rPr>
                <w:rFonts w:hint="eastAsia" w:ascii="仿宋" w:hAnsi="仿宋" w:eastAsia="仿宋" w:cs="仿宋"/>
                <w:szCs w:val="21"/>
                <w:highlight w:val="none"/>
              </w:rPr>
              <w:t>（1）广西建通工程咨询有限责任公司</w:t>
            </w:r>
          </w:p>
          <w:p w14:paraId="45390B65">
            <w:pPr>
              <w:snapToGrid w:val="0"/>
              <w:spacing w:line="360" w:lineRule="auto"/>
              <w:rPr>
                <w:rFonts w:ascii="仿宋" w:hAnsi="仿宋" w:eastAsia="仿宋" w:cs="仿宋"/>
                <w:szCs w:val="21"/>
                <w:highlight w:val="none"/>
              </w:rPr>
            </w:pPr>
            <w:r>
              <w:rPr>
                <w:rFonts w:hint="eastAsia" w:ascii="仿宋" w:hAnsi="仿宋" w:eastAsia="仿宋" w:cs="仿宋"/>
                <w:szCs w:val="21"/>
                <w:highlight w:val="none"/>
              </w:rPr>
              <w:t>联系电话：0771-3948200</w:t>
            </w:r>
          </w:p>
          <w:p w14:paraId="3FB22A92">
            <w:pPr>
              <w:snapToGrid w:val="0"/>
              <w:spacing w:line="360" w:lineRule="auto"/>
              <w:rPr>
                <w:rFonts w:ascii="仿宋" w:hAnsi="仿宋" w:eastAsia="仿宋" w:cs="仿宋"/>
                <w:szCs w:val="21"/>
                <w:highlight w:val="none"/>
              </w:rPr>
            </w:pPr>
            <w:r>
              <w:rPr>
                <w:rFonts w:hint="eastAsia" w:ascii="仿宋" w:hAnsi="仿宋" w:eastAsia="仿宋" w:cs="仿宋"/>
                <w:szCs w:val="21"/>
                <w:highlight w:val="none"/>
              </w:rPr>
              <w:t>通讯地址：南宁市江南区金凯路26号广西建通中心7楼 </w:t>
            </w:r>
          </w:p>
          <w:p w14:paraId="520700E2">
            <w:pPr>
              <w:snapToGrid w:val="0"/>
              <w:spacing w:line="360" w:lineRule="auto"/>
              <w:rPr>
                <w:rFonts w:ascii="仿宋" w:hAnsi="仿宋" w:eastAsia="仿宋" w:cs="仿宋"/>
                <w:szCs w:val="21"/>
                <w:highlight w:val="none"/>
              </w:rPr>
            </w:pPr>
            <w:r>
              <w:rPr>
                <w:rFonts w:hint="eastAsia" w:ascii="仿宋" w:hAnsi="仿宋" w:eastAsia="仿宋" w:cs="仿宋"/>
                <w:szCs w:val="21"/>
                <w:highlight w:val="none"/>
              </w:rPr>
              <w:t>（2）南宁市军队离退休干部服务管理中心</w:t>
            </w:r>
          </w:p>
          <w:p w14:paraId="22400D9B">
            <w:pPr>
              <w:snapToGrid w:val="0"/>
              <w:spacing w:line="360" w:lineRule="auto"/>
              <w:rPr>
                <w:rFonts w:ascii="仿宋" w:hAnsi="仿宋" w:eastAsia="仿宋" w:cs="仿宋"/>
                <w:szCs w:val="21"/>
                <w:highlight w:val="none"/>
              </w:rPr>
            </w:pPr>
            <w:r>
              <w:rPr>
                <w:rFonts w:hint="eastAsia" w:ascii="仿宋" w:hAnsi="仿宋" w:eastAsia="仿宋" w:cs="仿宋"/>
                <w:szCs w:val="21"/>
                <w:highlight w:val="none"/>
              </w:rPr>
              <w:t>联系电话：0771-5554969</w:t>
            </w:r>
          </w:p>
          <w:p w14:paraId="7BA7EF8F">
            <w:pPr>
              <w:snapToGrid w:val="0"/>
              <w:spacing w:line="360" w:lineRule="auto"/>
              <w:rPr>
                <w:rFonts w:hint="eastAsia" w:ascii="仿宋" w:hAnsi="仿宋" w:eastAsia="仿宋" w:cs="仿宋"/>
                <w:color w:val="auto"/>
                <w:szCs w:val="21"/>
                <w:highlight w:val="none"/>
                <w:lang w:eastAsia="zh-CN"/>
              </w:rPr>
            </w:pPr>
            <w:r>
              <w:rPr>
                <w:rFonts w:hint="eastAsia" w:ascii="仿宋" w:hAnsi="仿宋" w:eastAsia="仿宋" w:cs="仿宋"/>
                <w:szCs w:val="21"/>
                <w:highlight w:val="none"/>
              </w:rPr>
              <w:t>通讯地址：南宁市青秀区金浦路16号</w:t>
            </w:r>
          </w:p>
        </w:tc>
      </w:tr>
      <w:tr w14:paraId="6481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43" w:type="dxa"/>
            <w:vMerge w:val="continue"/>
            <w:vAlign w:val="center"/>
          </w:tcPr>
          <w:p w14:paraId="6D112A58">
            <w:pPr>
              <w:widowControl/>
              <w:jc w:val="center"/>
              <w:rPr>
                <w:rFonts w:hint="eastAsia" w:ascii="仿宋" w:hAnsi="仿宋" w:eastAsia="仿宋" w:cs="仿宋"/>
                <w:color w:val="auto"/>
                <w:szCs w:val="21"/>
                <w:highlight w:val="none"/>
              </w:rPr>
            </w:pPr>
          </w:p>
        </w:tc>
        <w:tc>
          <w:tcPr>
            <w:tcW w:w="2175" w:type="dxa"/>
            <w:vAlign w:val="center"/>
          </w:tcPr>
          <w:p w14:paraId="1CECF803">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现场提交质疑办理业务时间</w:t>
            </w:r>
          </w:p>
        </w:tc>
        <w:tc>
          <w:tcPr>
            <w:tcW w:w="6375" w:type="dxa"/>
            <w:vAlign w:val="center"/>
          </w:tcPr>
          <w:p w14:paraId="7721186A">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质疑期内每个工作日上午9时00分到12时00分，下午15时00分到18时00分。</w:t>
            </w:r>
          </w:p>
        </w:tc>
      </w:tr>
      <w:tr w14:paraId="6500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43" w:type="dxa"/>
            <w:vAlign w:val="center"/>
          </w:tcPr>
          <w:p w14:paraId="76AE19B9">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38.3.1</w:t>
            </w:r>
          </w:p>
        </w:tc>
        <w:tc>
          <w:tcPr>
            <w:tcW w:w="2175" w:type="dxa"/>
            <w:vAlign w:val="center"/>
          </w:tcPr>
          <w:p w14:paraId="5F3F5BD1">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投诉受理方式</w:t>
            </w:r>
          </w:p>
        </w:tc>
        <w:tc>
          <w:tcPr>
            <w:tcW w:w="6375" w:type="dxa"/>
            <w:vAlign w:val="center"/>
          </w:tcPr>
          <w:p w14:paraId="03C9C64C">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1.受理方式：纸质方式受理，投诉书正、副本（经过质疑的事项才可投诉）。</w:t>
            </w:r>
          </w:p>
          <w:p w14:paraId="60ADE194">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2.监督部门：</w:t>
            </w:r>
          </w:p>
          <w:p w14:paraId="7B3E89BC">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名称：南宁市财政局政府采购监督管理科</w:t>
            </w:r>
          </w:p>
          <w:p w14:paraId="430621D3">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地址：南宁市东葛路129号汇东国际F座9楼905室</w:t>
            </w:r>
          </w:p>
          <w:p w14:paraId="560B2E4A">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联系电话：0771-2189091</w:t>
            </w:r>
          </w:p>
        </w:tc>
      </w:tr>
      <w:tr w14:paraId="3624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43" w:type="dxa"/>
            <w:vMerge w:val="restart"/>
            <w:vAlign w:val="center"/>
          </w:tcPr>
          <w:p w14:paraId="31A80B62">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w:t>
            </w:r>
          </w:p>
        </w:tc>
        <w:tc>
          <w:tcPr>
            <w:tcW w:w="2175" w:type="dxa"/>
            <w:vAlign w:val="center"/>
          </w:tcPr>
          <w:p w14:paraId="31973346">
            <w:pPr>
              <w:spacing w:line="380" w:lineRule="exact"/>
              <w:jc w:val="center"/>
              <w:rPr>
                <w:rFonts w:hint="eastAsia" w:ascii="仿宋" w:hAnsi="仿宋" w:eastAsia="仿宋" w:cs="仿宋"/>
                <w:color w:val="auto"/>
                <w:szCs w:val="21"/>
                <w:highlight w:val="none"/>
              </w:rPr>
            </w:pPr>
            <w:bookmarkStart w:id="32" w:name="_41"/>
            <w:bookmarkEnd w:id="32"/>
            <w:bookmarkStart w:id="33" w:name="_42"/>
            <w:bookmarkEnd w:id="33"/>
            <w:r>
              <w:rPr>
                <w:rFonts w:hint="eastAsia" w:ascii="仿宋" w:hAnsi="仿宋" w:eastAsia="仿宋" w:cs="仿宋"/>
                <w:color w:val="auto"/>
                <w:szCs w:val="21"/>
                <w:highlight w:val="none"/>
              </w:rPr>
              <w:t>采购代理费支付方式</w:t>
            </w:r>
          </w:p>
        </w:tc>
        <w:tc>
          <w:tcPr>
            <w:tcW w:w="6375" w:type="dxa"/>
            <w:vAlign w:val="center"/>
          </w:tcPr>
          <w:p w14:paraId="1725EEE1">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☑本项目代理服务费由</w:t>
            </w:r>
            <w:r>
              <w:rPr>
                <w:rFonts w:hint="eastAsia" w:ascii="仿宋" w:hAnsi="仿宋" w:eastAsia="仿宋" w:cs="仿宋"/>
                <w:color w:val="auto"/>
                <w:szCs w:val="21"/>
                <w:highlight w:val="none"/>
                <w:lang w:eastAsia="zh-CN"/>
              </w:rPr>
              <w:t>中标供应商</w:t>
            </w:r>
            <w:r>
              <w:rPr>
                <w:rFonts w:hint="eastAsia" w:ascii="仿宋" w:hAnsi="仿宋" w:eastAsia="仿宋" w:cs="仿宋"/>
                <w:color w:val="auto"/>
                <w:szCs w:val="21"/>
                <w:highlight w:val="none"/>
              </w:rPr>
              <w:t>领取成交通知书前，一次性向采购代理机构支付。</w:t>
            </w:r>
          </w:p>
          <w:p w14:paraId="003FE3DE">
            <w:pPr>
              <w:pStyle w:val="13"/>
              <w:snapToGrid w:val="0"/>
              <w:spacing w:line="380" w:lineRule="exac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□采购人支付。</w:t>
            </w:r>
          </w:p>
        </w:tc>
      </w:tr>
      <w:tr w14:paraId="7495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43" w:type="dxa"/>
            <w:vMerge w:val="continue"/>
            <w:vAlign w:val="center"/>
          </w:tcPr>
          <w:p w14:paraId="139360F0">
            <w:pPr>
              <w:widowControl/>
              <w:jc w:val="center"/>
              <w:rPr>
                <w:rFonts w:hint="eastAsia" w:ascii="仿宋" w:hAnsi="仿宋" w:eastAsia="仿宋" w:cs="仿宋"/>
                <w:color w:val="auto"/>
                <w:szCs w:val="21"/>
                <w:highlight w:val="none"/>
              </w:rPr>
            </w:pPr>
          </w:p>
        </w:tc>
        <w:tc>
          <w:tcPr>
            <w:tcW w:w="2175" w:type="dxa"/>
            <w:vAlign w:val="center"/>
          </w:tcPr>
          <w:p w14:paraId="631E7CCF">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采购代理费收取标准</w:t>
            </w:r>
          </w:p>
        </w:tc>
        <w:tc>
          <w:tcPr>
            <w:tcW w:w="6375" w:type="dxa"/>
            <w:vAlign w:val="center"/>
          </w:tcPr>
          <w:p w14:paraId="23325DB7">
            <w:pPr>
              <w:snapToGrid w:val="0"/>
              <w:spacing w:line="380" w:lineRule="exac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1.是否收取采购代理费：</w:t>
            </w:r>
          </w:p>
          <w:p w14:paraId="54DC18F8">
            <w:pPr>
              <w:snapToGrid w:val="0"/>
              <w:spacing w:line="380" w:lineRule="exac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☑是    □ 否</w:t>
            </w:r>
          </w:p>
          <w:p w14:paraId="0893B6B8">
            <w:pPr>
              <w:snapToGrid w:val="0"/>
              <w:spacing w:line="380" w:lineRule="exac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2.采购代理费支付方式：</w:t>
            </w:r>
          </w:p>
          <w:p w14:paraId="5310A4CE">
            <w:pPr>
              <w:snapToGrid w:val="0"/>
              <w:spacing w:line="380" w:lineRule="exac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☑本项目代理服务费由</w:t>
            </w:r>
            <w:r>
              <w:rPr>
                <w:rFonts w:hint="eastAsia" w:ascii="仿宋" w:hAnsi="仿宋" w:eastAsia="仿宋" w:cs="仿宋"/>
                <w:color w:val="auto"/>
                <w:szCs w:val="21"/>
                <w:highlight w:val="none"/>
                <w:u w:val="none"/>
                <w:lang w:val="en-US" w:eastAsia="zh-CN"/>
              </w:rPr>
              <w:t>中标</w:t>
            </w:r>
            <w:r>
              <w:rPr>
                <w:rFonts w:hint="eastAsia" w:ascii="仿宋" w:hAnsi="仿宋" w:eastAsia="仿宋" w:cs="仿宋"/>
                <w:color w:val="auto"/>
                <w:szCs w:val="21"/>
                <w:highlight w:val="none"/>
                <w:u w:val="none"/>
              </w:rPr>
              <w:t>供应商领取</w:t>
            </w:r>
            <w:r>
              <w:rPr>
                <w:rFonts w:hint="eastAsia" w:ascii="仿宋" w:hAnsi="仿宋" w:eastAsia="仿宋" w:cs="仿宋"/>
                <w:color w:val="auto"/>
                <w:szCs w:val="21"/>
                <w:highlight w:val="none"/>
                <w:u w:val="none"/>
                <w:lang w:val="en-US" w:eastAsia="zh-CN"/>
              </w:rPr>
              <w:t>中标</w:t>
            </w:r>
            <w:r>
              <w:rPr>
                <w:rFonts w:hint="eastAsia" w:ascii="仿宋" w:hAnsi="仿宋" w:eastAsia="仿宋" w:cs="仿宋"/>
                <w:color w:val="auto"/>
                <w:szCs w:val="21"/>
                <w:highlight w:val="none"/>
                <w:u w:val="none"/>
              </w:rPr>
              <w:t>通知书前，一次性向采购代理机构支付。</w:t>
            </w:r>
          </w:p>
          <w:p w14:paraId="7A56FF37">
            <w:pPr>
              <w:snapToGrid w:val="0"/>
              <w:spacing w:line="380" w:lineRule="exac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□采购人支付。</w:t>
            </w:r>
          </w:p>
          <w:p w14:paraId="56554FC3">
            <w:pPr>
              <w:snapToGrid w:val="0"/>
              <w:spacing w:line="38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rPr>
              <w:t>3.采购代理费收取标准：固定代理服务费2500元/标段。</w:t>
            </w:r>
          </w:p>
        </w:tc>
      </w:tr>
      <w:tr w14:paraId="66C8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43" w:type="dxa"/>
            <w:vMerge w:val="continue"/>
            <w:vAlign w:val="center"/>
          </w:tcPr>
          <w:p w14:paraId="60ECCB7D">
            <w:pPr>
              <w:widowControl/>
              <w:jc w:val="center"/>
              <w:rPr>
                <w:rFonts w:hint="eastAsia" w:ascii="仿宋" w:hAnsi="仿宋" w:eastAsia="仿宋" w:cs="仿宋"/>
                <w:color w:val="auto"/>
                <w:szCs w:val="21"/>
                <w:highlight w:val="none"/>
              </w:rPr>
            </w:pPr>
          </w:p>
        </w:tc>
        <w:tc>
          <w:tcPr>
            <w:tcW w:w="2175" w:type="dxa"/>
            <w:vAlign w:val="center"/>
          </w:tcPr>
          <w:p w14:paraId="43111A6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代理服务费收款账户信息</w:t>
            </w:r>
          </w:p>
        </w:tc>
        <w:tc>
          <w:tcPr>
            <w:tcW w:w="6375" w:type="dxa"/>
            <w:vAlign w:val="center"/>
          </w:tcPr>
          <w:p w14:paraId="1E557EF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账户名称：广西建通工程咨询有限责任公司南宁市青秀分公司   </w:t>
            </w:r>
          </w:p>
          <w:p w14:paraId="096000D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开户银行：桂林银行股份有限公司南宁中泰路支行</w:t>
            </w:r>
          </w:p>
          <w:p w14:paraId="4F64243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银行账号：660000025472800018</w:t>
            </w:r>
          </w:p>
        </w:tc>
      </w:tr>
      <w:tr w14:paraId="0C4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E2939F8">
            <w:pPr>
              <w:snapToGrid w:val="0"/>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41.1</w:t>
            </w:r>
          </w:p>
        </w:tc>
        <w:tc>
          <w:tcPr>
            <w:tcW w:w="2175" w:type="dxa"/>
            <w:vAlign w:val="center"/>
          </w:tcPr>
          <w:p w14:paraId="147E5FB5">
            <w:pPr>
              <w:snapToGrid w:val="0"/>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解释</w:t>
            </w:r>
          </w:p>
        </w:tc>
        <w:tc>
          <w:tcPr>
            <w:tcW w:w="6375" w:type="dxa"/>
            <w:vAlign w:val="center"/>
          </w:tcPr>
          <w:p w14:paraId="55360FBB">
            <w:pPr>
              <w:snapToGrid w:val="0"/>
              <w:spacing w:line="24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解释权：</w:t>
            </w:r>
            <w:r>
              <w:rPr>
                <w:rFonts w:hint="eastAsia" w:ascii="仿宋" w:hAnsi="仿宋" w:eastAsia="仿宋" w:cs="仿宋"/>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仿宋" w:hAnsi="仿宋" w:eastAsia="仿宋" w:cs="仿宋"/>
                <w:b/>
                <w:color w:val="auto"/>
                <w:szCs w:val="21"/>
                <w:highlight w:val="none"/>
              </w:rPr>
              <w:t>，由采购人或者采购代理机构负责解释。</w:t>
            </w:r>
          </w:p>
          <w:p w14:paraId="41838D41">
            <w:pPr>
              <w:snapToGrid w:val="0"/>
              <w:spacing w:line="24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法律责任：</w:t>
            </w:r>
          </w:p>
          <w:p w14:paraId="47F44B4E">
            <w:pPr>
              <w:snapToGrid w:val="0"/>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6A672419">
            <w:pPr>
              <w:snapToGrid w:val="0"/>
              <w:spacing w:line="240" w:lineRule="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69D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7130E8B">
            <w:pPr>
              <w:snapToGrid w:val="0"/>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41.2</w:t>
            </w:r>
          </w:p>
        </w:tc>
        <w:tc>
          <w:tcPr>
            <w:tcW w:w="2175" w:type="dxa"/>
            <w:vAlign w:val="center"/>
          </w:tcPr>
          <w:p w14:paraId="6CEE2F2C">
            <w:pPr>
              <w:snapToGrid w:val="0"/>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其他释义</w:t>
            </w:r>
          </w:p>
        </w:tc>
        <w:tc>
          <w:tcPr>
            <w:tcW w:w="6375" w:type="dxa"/>
            <w:vAlign w:val="center"/>
          </w:tcPr>
          <w:p w14:paraId="090BF1F2">
            <w:pPr>
              <w:snapToGrid w:val="0"/>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1.本招标文件中描述投标人的“公章”是指供应商通过指定电子化政府采购平台办理数字证书（CA认证）获得的以法定主体行为名称制作的电子印章。</w:t>
            </w:r>
          </w:p>
          <w:p w14:paraId="49DED5BB">
            <w:pPr>
              <w:snapToGrid w:val="0"/>
              <w:spacing w:line="240" w:lineRule="auto"/>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2.本招标文件中描述投标人的“签字”是指供应商通过指定电子化政府采购平台办理数字证书（CA认证）获得的以供应商法定代表人或者委托代理人姓名制作的电子印章或手写签字。</w:t>
            </w:r>
          </w:p>
          <w:p w14:paraId="09A1AEB9">
            <w:pPr>
              <w:snapToGrid w:val="0"/>
              <w:spacing w:line="24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B28BFF4">
            <w:pPr>
              <w:snapToGrid w:val="0"/>
              <w:spacing w:line="24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4.自然人投标的，招标文件规定盖公章处由自然人摁手指指印。</w:t>
            </w:r>
          </w:p>
          <w:p w14:paraId="6BDD46F0">
            <w:pPr>
              <w:spacing w:line="240" w:lineRule="auto"/>
              <w:jc w:val="lef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5.本招标文件所称的“以上”“以下”“以内”“届满”，包括本数；所称的“不满”“超过”“以外”，不包括本数。</w:t>
            </w:r>
          </w:p>
        </w:tc>
      </w:tr>
    </w:tbl>
    <w:p w14:paraId="0B706712">
      <w:pPr>
        <w:widowControl/>
        <w:spacing w:line="412" w:lineRule="auto"/>
        <w:jc w:val="left"/>
        <w:rPr>
          <w:rFonts w:hint="eastAsia" w:ascii="仿宋" w:hAnsi="仿宋" w:eastAsia="仿宋" w:cs="仿宋"/>
          <w:b/>
          <w:bCs/>
          <w:color w:val="auto"/>
          <w:sz w:val="32"/>
          <w:szCs w:val="32"/>
          <w:highlight w:val="none"/>
        </w:rPr>
        <w:sectPr>
          <w:pgSz w:w="11906" w:h="16838"/>
          <w:pgMar w:top="1440" w:right="1080" w:bottom="1440" w:left="1080" w:header="720" w:footer="720" w:gutter="0"/>
          <w:cols w:space="720" w:num="1"/>
          <w:docGrid w:type="lines" w:linePitch="331" w:charSpace="0"/>
        </w:sectPr>
      </w:pPr>
    </w:p>
    <w:p w14:paraId="38424C49">
      <w:pPr>
        <w:pStyle w:val="3"/>
        <w:jc w:val="center"/>
        <w:rPr>
          <w:rFonts w:hint="eastAsia" w:ascii="仿宋" w:hAnsi="仿宋" w:eastAsia="仿宋" w:cs="仿宋"/>
          <w:color w:val="auto"/>
          <w:highlight w:val="none"/>
        </w:rPr>
      </w:pPr>
      <w:bookmarkStart w:id="34" w:name="_Toc29867"/>
      <w:bookmarkStart w:id="35" w:name="_Toc11336"/>
      <w:r>
        <w:rPr>
          <w:rFonts w:hint="eastAsia" w:ascii="仿宋" w:hAnsi="仿宋" w:eastAsia="仿宋" w:cs="仿宋"/>
          <w:color w:val="auto"/>
          <w:highlight w:val="none"/>
        </w:rPr>
        <w:t>第二节 投标人须知正文</w:t>
      </w:r>
      <w:bookmarkEnd w:id="34"/>
      <w:bookmarkEnd w:id="35"/>
    </w:p>
    <w:p w14:paraId="7B2C591D">
      <w:pPr>
        <w:pStyle w:val="4"/>
        <w:keepNext w:val="0"/>
        <w:keepLines w:val="0"/>
        <w:spacing w:line="400" w:lineRule="exact"/>
        <w:jc w:val="center"/>
        <w:rPr>
          <w:rFonts w:hint="eastAsia" w:ascii="仿宋" w:hAnsi="仿宋" w:eastAsia="仿宋" w:cs="仿宋"/>
          <w:color w:val="auto"/>
          <w:highlight w:val="none"/>
        </w:rPr>
      </w:pPr>
      <w:bookmarkStart w:id="36" w:name="_Toc4841"/>
      <w:bookmarkStart w:id="37" w:name="_Toc22266"/>
      <w:r>
        <w:rPr>
          <w:rFonts w:hint="eastAsia" w:ascii="仿宋" w:hAnsi="仿宋" w:eastAsia="仿宋" w:cs="仿宋"/>
          <w:color w:val="auto"/>
          <w:highlight w:val="none"/>
        </w:rPr>
        <w:t>一、总  则</w:t>
      </w:r>
      <w:bookmarkEnd w:id="36"/>
      <w:bookmarkEnd w:id="37"/>
    </w:p>
    <w:p w14:paraId="3D1BCECC">
      <w:pPr>
        <w:spacing w:line="360" w:lineRule="auto"/>
        <w:ind w:firstLine="480" w:firstLineChars="200"/>
        <w:rPr>
          <w:rFonts w:hint="eastAsia" w:ascii="仿宋" w:hAnsi="仿宋" w:eastAsia="仿宋" w:cs="仿宋"/>
          <w:color w:val="auto"/>
          <w:sz w:val="24"/>
          <w:highlight w:val="none"/>
        </w:rPr>
      </w:pPr>
      <w:bookmarkStart w:id="38" w:name="_Toc254970668"/>
      <w:bookmarkStart w:id="39" w:name="_Toc254970527"/>
      <w:r>
        <w:rPr>
          <w:rFonts w:hint="eastAsia" w:ascii="仿宋" w:hAnsi="仿宋" w:eastAsia="仿宋" w:cs="仿宋"/>
          <w:color w:val="auto"/>
          <w:sz w:val="24"/>
          <w:highlight w:val="none"/>
        </w:rPr>
        <w:t>1.适用范围</w:t>
      </w:r>
      <w:bookmarkEnd w:id="38"/>
      <w:bookmarkEnd w:id="39"/>
    </w:p>
    <w:p w14:paraId="373FD8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24957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1.2本招标文件</w:t>
      </w:r>
      <w:r>
        <w:rPr>
          <w:rFonts w:hint="eastAsia" w:ascii="仿宋" w:hAnsi="仿宋" w:eastAsia="仿宋" w:cs="仿宋"/>
          <w:color w:val="auto"/>
          <w:spacing w:val="-6"/>
          <w:szCs w:val="21"/>
          <w:highlight w:val="none"/>
        </w:rPr>
        <w:t>适用于本项目的所有采购程序和环节（法律、法规另有规定的，从其规定）。</w:t>
      </w:r>
    </w:p>
    <w:p w14:paraId="21175262">
      <w:pPr>
        <w:spacing w:line="360" w:lineRule="auto"/>
        <w:ind w:firstLine="480" w:firstLineChars="200"/>
        <w:rPr>
          <w:rFonts w:hint="eastAsia" w:ascii="仿宋" w:hAnsi="仿宋" w:eastAsia="仿宋" w:cs="仿宋"/>
          <w:color w:val="auto"/>
          <w:sz w:val="24"/>
          <w:highlight w:val="none"/>
        </w:rPr>
      </w:pPr>
      <w:bookmarkStart w:id="40" w:name="_Toc254970669"/>
      <w:bookmarkStart w:id="41" w:name="_Toc254970528"/>
      <w:r>
        <w:rPr>
          <w:rFonts w:hint="eastAsia" w:ascii="仿宋" w:hAnsi="仿宋" w:eastAsia="仿宋" w:cs="仿宋"/>
          <w:color w:val="auto"/>
          <w:sz w:val="24"/>
          <w:highlight w:val="none"/>
        </w:rPr>
        <w:t>2.定义</w:t>
      </w:r>
      <w:bookmarkEnd w:id="40"/>
      <w:bookmarkEnd w:id="41"/>
    </w:p>
    <w:p w14:paraId="2A8F628F">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2.1“采购人”是指依法进行政府采购的国家机关、事业单位、团体组织。</w:t>
      </w:r>
    </w:p>
    <w:p w14:paraId="609AF160">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2.2“采购代理机构” 指政府采购集中采购机构和集中采购机构以外的采购代理机构。</w:t>
      </w:r>
    </w:p>
    <w:p w14:paraId="64AFF363">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2.3“供应商”是指向采购人提供货物、工程或者服务的法人、其他组织或者自然人。</w:t>
      </w:r>
    </w:p>
    <w:p w14:paraId="20E490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2.4“投标人”是指响应招标、参加投标竞争的法人、非法人组织或者自然人。</w:t>
      </w:r>
    </w:p>
    <w:p w14:paraId="57E5B8CE">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2.5“服务”是指除货物和工程以外的其他政府采购对象。</w:t>
      </w:r>
    </w:p>
    <w:p w14:paraId="07DA9469">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2.6“书面形式”是指合同书、信件和数据电文（包括电报、电传、传真、短信、电子数据交换和电子邮件）等可以有形地表现所载内容的形式。</w:t>
      </w:r>
    </w:p>
    <w:p w14:paraId="56BE40A9">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2.7“实质性要求”是指招标文件中已经指明不满足则投标无效的条款，或者不能负偏离的条款，或者采购需求中带“</w:t>
      </w:r>
      <w:r>
        <w:rPr>
          <w:rFonts w:hint="eastAsia" w:ascii="仿宋" w:hAnsi="仿宋" w:eastAsia="仿宋" w:cs="仿宋"/>
          <w:b/>
          <w:bCs/>
          <w:color w:val="auto"/>
          <w:szCs w:val="21"/>
          <w:highlight w:val="none"/>
        </w:rPr>
        <w:t>▲</w:t>
      </w:r>
      <w:r>
        <w:rPr>
          <w:rFonts w:hint="eastAsia" w:ascii="仿宋" w:hAnsi="仿宋" w:eastAsia="仿宋" w:cs="仿宋"/>
          <w:b/>
          <w:color w:val="auto"/>
          <w:szCs w:val="21"/>
          <w:highlight w:val="none"/>
        </w:rPr>
        <w:t>”的条款。</w:t>
      </w:r>
    </w:p>
    <w:p w14:paraId="7C9C7C2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2.8“正偏离”，是指投标文件对招标文件“采购需求”中有关条款作出的响应优于条款要求并有利于采购人的情形。</w:t>
      </w:r>
    </w:p>
    <w:p w14:paraId="10945A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2.9“负偏离”，是指投标文件对招标文件“采购需求”中有关条款作出的响应不满足条款要求，导致采购人要求不能得到满足的情形。</w:t>
      </w:r>
    </w:p>
    <w:p w14:paraId="2A1A210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2.10“允许负偏离的条款”是指采购需求中的不属于“实质性要求”的条款。</w:t>
      </w:r>
      <w:bookmarkStart w:id="42" w:name="_Toc254970670"/>
      <w:bookmarkStart w:id="43" w:name="_Toc254970529"/>
    </w:p>
    <w:p w14:paraId="69AB22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42"/>
      <w:bookmarkEnd w:id="43"/>
      <w:r>
        <w:rPr>
          <w:rFonts w:hint="eastAsia" w:ascii="仿宋" w:hAnsi="仿宋" w:eastAsia="仿宋" w:cs="仿宋"/>
          <w:color w:val="auto"/>
          <w:sz w:val="24"/>
          <w:highlight w:val="none"/>
        </w:rPr>
        <w:t>投标人的资格要求</w:t>
      </w:r>
    </w:p>
    <w:p w14:paraId="51324CB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投标人的资格要求详见“招标公告”。</w:t>
      </w:r>
    </w:p>
    <w:p w14:paraId="785D33A1">
      <w:pPr>
        <w:spacing w:line="360" w:lineRule="auto"/>
        <w:ind w:firstLine="480" w:firstLineChars="200"/>
        <w:rPr>
          <w:rFonts w:hint="eastAsia" w:ascii="仿宋" w:hAnsi="仿宋" w:eastAsia="仿宋" w:cs="仿宋"/>
          <w:color w:val="auto"/>
          <w:sz w:val="24"/>
          <w:highlight w:val="none"/>
        </w:rPr>
      </w:pPr>
      <w:bookmarkStart w:id="44" w:name="_Toc254970671"/>
      <w:bookmarkStart w:id="45" w:name="_Toc254970530"/>
      <w:r>
        <w:rPr>
          <w:rFonts w:hint="eastAsia" w:ascii="仿宋" w:hAnsi="仿宋" w:eastAsia="仿宋" w:cs="仿宋"/>
          <w:color w:val="auto"/>
          <w:sz w:val="24"/>
          <w:highlight w:val="none"/>
        </w:rPr>
        <w:t>4.投标委托</w:t>
      </w:r>
      <w:bookmarkEnd w:id="44"/>
      <w:bookmarkEnd w:id="45"/>
    </w:p>
    <w:p w14:paraId="2FFFC25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投标人代表参加投标活动过程中必须携带个人有效身份证件。如投标人代表不是法定代表人，须持有法定代表人授权委托书。</w:t>
      </w:r>
    </w:p>
    <w:p w14:paraId="74680A02">
      <w:pPr>
        <w:spacing w:line="360" w:lineRule="auto"/>
        <w:ind w:firstLine="480" w:firstLineChars="200"/>
        <w:rPr>
          <w:rFonts w:hint="eastAsia" w:ascii="仿宋" w:hAnsi="仿宋" w:eastAsia="仿宋" w:cs="仿宋"/>
          <w:color w:val="auto"/>
          <w:sz w:val="24"/>
          <w:highlight w:val="none"/>
        </w:rPr>
      </w:pPr>
      <w:bookmarkStart w:id="46" w:name="_5.投标费用"/>
      <w:bookmarkEnd w:id="46"/>
      <w:bookmarkStart w:id="47" w:name="_Toc254970672"/>
      <w:bookmarkStart w:id="48" w:name="_Toc254970531"/>
      <w:r>
        <w:rPr>
          <w:rFonts w:hint="eastAsia" w:ascii="仿宋" w:hAnsi="仿宋" w:eastAsia="仿宋" w:cs="仿宋"/>
          <w:color w:val="auto"/>
          <w:sz w:val="24"/>
          <w:highlight w:val="none"/>
        </w:rPr>
        <w:t>5.投标费用</w:t>
      </w:r>
      <w:bookmarkEnd w:id="47"/>
      <w:bookmarkEnd w:id="48"/>
    </w:p>
    <w:p w14:paraId="41FC01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投标费用：投标人应承担参与本次采购活动有关的所有费用，包括但不限于勘查现场、编制投标文件、参加澄清说明、签订合同等，不论投标结果如何，均应自行承担。</w:t>
      </w:r>
    </w:p>
    <w:p w14:paraId="6A3418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208DB8A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6.1本项目是否接受联合体投标，详见“投标人须知前附表”。</w:t>
      </w:r>
    </w:p>
    <w:p w14:paraId="622F4184">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6.2如接受联合体投标，联合体投标要求详见“投标人须知前附表”。</w:t>
      </w:r>
    </w:p>
    <w:p w14:paraId="1E1F6140">
      <w:pPr>
        <w:spacing w:line="360" w:lineRule="auto"/>
        <w:ind w:firstLine="420" w:firstLineChars="200"/>
        <w:rPr>
          <w:rFonts w:hint="eastAsia" w:ascii="仿宋" w:hAnsi="仿宋" w:eastAsia="仿宋" w:cs="仿宋"/>
          <w:bCs/>
          <w:color w:val="auto"/>
          <w:sz w:val="24"/>
          <w:szCs w:val="21"/>
          <w:highlight w:val="none"/>
          <w:shd w:val="clear" w:color="auto" w:fill="FFFFFF"/>
        </w:rPr>
      </w:pPr>
      <w:r>
        <w:rPr>
          <w:rFonts w:hint="eastAsia" w:ascii="仿宋" w:hAnsi="仿宋" w:eastAsia="仿宋" w:cs="仿宋"/>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仿宋" w:hAnsi="仿宋" w:eastAsia="仿宋" w:cs="仿宋"/>
          <w:color w:val="auto"/>
          <w:highlight w:val="none"/>
        </w:rPr>
        <w:t>《广西壮族自治区财政厅关于贯彻落实政府采购支持中小企业发展政策的通知》（桂财采〔2022〕31号）</w:t>
      </w:r>
      <w:r>
        <w:rPr>
          <w:rFonts w:hint="eastAsia" w:ascii="仿宋" w:hAnsi="仿宋" w:eastAsia="仿宋" w:cs="仿宋"/>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30%以上的，采购人、采购代理机构应当对联合体的报价给予6%（工程项目为 1%—2%）的扣除，用扣除后的价格参加评审。组成联合体的小微企业与联合体内其他企业、分包企业之间存在直接控股、管理关系的，不享受价格扣除优惠政策。</w:t>
      </w:r>
    </w:p>
    <w:p w14:paraId="089971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7.转包与分包             </w:t>
      </w:r>
    </w:p>
    <w:p w14:paraId="6203F818">
      <w:pPr>
        <w:spacing w:line="360" w:lineRule="auto"/>
        <w:ind w:firstLine="422" w:firstLineChars="200"/>
        <w:rPr>
          <w:rFonts w:hint="eastAsia" w:ascii="仿宋" w:hAnsi="仿宋" w:eastAsia="仿宋" w:cs="仿宋"/>
          <w:b w:val="0"/>
          <w:bCs/>
          <w:color w:val="auto"/>
          <w:szCs w:val="21"/>
          <w:highlight w:val="none"/>
        </w:rPr>
      </w:pPr>
      <w:r>
        <w:rPr>
          <w:rFonts w:hint="eastAsia" w:ascii="仿宋" w:hAnsi="仿宋" w:eastAsia="仿宋" w:cs="仿宋"/>
          <w:b/>
          <w:color w:val="auto"/>
          <w:szCs w:val="21"/>
          <w:highlight w:val="none"/>
        </w:rPr>
        <w:t>7.1本项目是否允许分包详见“投标人须知前附表”，本项目不允许分包。</w:t>
      </w:r>
      <w:r>
        <w:rPr>
          <w:rFonts w:hint="eastAsia" w:ascii="仿宋" w:hAnsi="仿宋" w:eastAsia="仿宋" w:cs="仿宋"/>
          <w:b w:val="0"/>
          <w:bCs/>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72CF9DA0">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仿宋" w:hAnsi="仿宋" w:eastAsia="仿宋" w:cs="仿宋"/>
          <w:color w:val="auto"/>
          <w:highlight w:val="none"/>
        </w:rPr>
        <w:t>《广西壮族自治区财政厅关于贯彻落实政府采购支持中小企业发展政策的通知》（桂财采〔2022〕31号）</w:t>
      </w:r>
      <w:r>
        <w:rPr>
          <w:rFonts w:hint="eastAsia" w:ascii="仿宋" w:hAnsi="仿宋" w:eastAsia="仿宋" w:cs="仿宋"/>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60F3D520">
      <w:pPr>
        <w:spacing w:line="360" w:lineRule="auto"/>
        <w:ind w:firstLine="480" w:firstLineChars="200"/>
        <w:rPr>
          <w:rFonts w:hint="eastAsia" w:ascii="仿宋" w:hAnsi="仿宋" w:eastAsia="仿宋" w:cs="仿宋"/>
          <w:color w:val="auto"/>
          <w:sz w:val="24"/>
          <w:highlight w:val="none"/>
        </w:rPr>
      </w:pPr>
      <w:bookmarkStart w:id="49" w:name="_Toc254970532"/>
      <w:bookmarkStart w:id="50" w:name="_Toc254970673"/>
      <w:r>
        <w:rPr>
          <w:rFonts w:hint="eastAsia" w:ascii="仿宋" w:hAnsi="仿宋" w:eastAsia="仿宋" w:cs="仿宋"/>
          <w:color w:val="auto"/>
          <w:sz w:val="24"/>
          <w:highlight w:val="none"/>
        </w:rPr>
        <w:t>8.特别说明：</w:t>
      </w:r>
      <w:bookmarkEnd w:id="49"/>
      <w:bookmarkEnd w:id="50"/>
      <w:bookmarkStart w:id="51" w:name="_8.1提供相同品牌产品且通过资格审查、符合性审查的不同投标人参加同一合"/>
      <w:bookmarkEnd w:id="51"/>
    </w:p>
    <w:p w14:paraId="6995B7B5">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8.1如果本招标文件要求投标人提供资格、信誉、荣誉、业绩与企业认证等材料的，则投标人所提供的以上材料必须为投标人所拥有。</w:t>
      </w:r>
    </w:p>
    <w:p w14:paraId="420DF4FD">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8.2投标人应仔细阅读招标文件的所有内容，按照招标文件的要求提交投标文件，并对所提供的全部资料的真实性承担法律责任。</w:t>
      </w:r>
    </w:p>
    <w:p w14:paraId="2693C171">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57415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2706ABC7">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9.1在政府采购活动中，采购人员及相关人员与供应商有下列利害关系之一的，应当回避：</w:t>
      </w:r>
    </w:p>
    <w:p w14:paraId="58BAE2D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（1）参加采购活动前3年内与供应商存在劳动关系；</w:t>
      </w:r>
    </w:p>
    <w:p w14:paraId="0A56AE8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（2）参加采购活动前3年内担任供应商的董事、监事；</w:t>
      </w:r>
    </w:p>
    <w:p w14:paraId="6658114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（3）参加采购活动前3年内是供应商的控股股东或者实际控制人；</w:t>
      </w:r>
    </w:p>
    <w:p w14:paraId="4B831E3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（4）与供应商的法定代表人或者负责人有夫妻、直系血亲、三代以内旁系血亲或者近姻亲关系；</w:t>
      </w:r>
    </w:p>
    <w:p w14:paraId="09D3291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（5）与供应商有其他可能影响政府采购活动公平、公正进行的关系。</w:t>
      </w:r>
    </w:p>
    <w:p w14:paraId="527DD47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C90A8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9.2有下列情形之一的视为投标人相互串通投标，投标文件将被视为无效：</w:t>
      </w:r>
    </w:p>
    <w:p w14:paraId="32638D7F">
      <w:pPr>
        <w:spacing w:line="360" w:lineRule="auto"/>
        <w:ind w:firstLine="42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（1）不同投标人的投标文件由同一单位或者个人编制；或者不同投标人报名的IP地址一致的；或者编制标书硬件设备CPU编号、硬盘编号、网卡地址一致的情况。</w:t>
      </w:r>
    </w:p>
    <w:p w14:paraId="48C94003">
      <w:pPr>
        <w:spacing w:line="360" w:lineRule="auto"/>
        <w:ind w:firstLine="42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（2）不同投标人委托同一单位或者个人办理投标事宜；</w:t>
      </w:r>
    </w:p>
    <w:p w14:paraId="088903D6">
      <w:pPr>
        <w:spacing w:line="360" w:lineRule="auto"/>
        <w:ind w:firstLine="42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（3）不同的投标人的投标文件载明的项目管理员为同一个人；</w:t>
      </w:r>
    </w:p>
    <w:p w14:paraId="1C24ED91">
      <w:pPr>
        <w:spacing w:line="360" w:lineRule="auto"/>
        <w:ind w:firstLine="42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（4）不同投标人的电子或纸质投标文件异常一致或者投标报价呈规律性差异；</w:t>
      </w:r>
    </w:p>
    <w:p w14:paraId="406827AD">
      <w:pPr>
        <w:spacing w:line="360" w:lineRule="auto"/>
        <w:ind w:firstLine="42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（5）不同投标人的纸质投标文件相互混装；</w:t>
      </w:r>
    </w:p>
    <w:p w14:paraId="2765FA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9.3供应商有下列情形之一的，属于恶意串通行为，将报同级监督管理部门：</w:t>
      </w:r>
    </w:p>
    <w:p w14:paraId="1606911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（1）供应商直接或者间接从采购人或者采购代理机构处获得其他供应商的相关信息并修改其投标文件或者投标文件；</w:t>
      </w:r>
    </w:p>
    <w:p w14:paraId="5D3DEA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（2）供应商按照采购人或者采购代理机构的授意撤换、修改投标文件或者投标文件；</w:t>
      </w:r>
    </w:p>
    <w:p w14:paraId="1756DE1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（3）供应商之间协商报价、技术方案等投标文件或者投标文件的实质性内容；</w:t>
      </w:r>
    </w:p>
    <w:p w14:paraId="4CF7649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（4）属于同一集团、协会、商会等组织成员的供应商按照该组织要求协同参加政府采购活动；</w:t>
      </w:r>
    </w:p>
    <w:p w14:paraId="616508B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（5）供应商之间事先约定一致抬高或者压低投标报价，或者在招标项目中事先约定轮流以高价位或者低价位中标，或者事先约定由某一特定供应商中标，然后再参加投标；</w:t>
      </w:r>
    </w:p>
    <w:p w14:paraId="499AE4E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（6）供应商之间商定部分供应商放弃参加政府采购活动或者放弃中标；</w:t>
      </w:r>
    </w:p>
    <w:p w14:paraId="2B757F2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（7）供应商与采购人或者采购代理机构之间、供应商相互之间，为谋求特定供应商中标或者排斥其他供应商的其他串通行为。</w:t>
      </w:r>
    </w:p>
    <w:p w14:paraId="4FD6BF03">
      <w:pPr>
        <w:pStyle w:val="13"/>
        <w:snapToGrid w:val="0"/>
        <w:spacing w:line="360" w:lineRule="auto"/>
        <w:ind w:left="2" w:leftChars="1" w:firstLine="402" w:firstLineChars="200"/>
        <w:rPr>
          <w:rFonts w:hint="eastAsia" w:ascii="仿宋" w:hAnsi="仿宋" w:eastAsia="仿宋" w:cs="仿宋"/>
          <w:b/>
          <w:color w:val="auto"/>
          <w:highlight w:val="none"/>
        </w:rPr>
      </w:pPr>
    </w:p>
    <w:p w14:paraId="44E7C193">
      <w:pPr>
        <w:pStyle w:val="4"/>
        <w:keepNext w:val="0"/>
        <w:keepLines w:val="0"/>
        <w:spacing w:line="400" w:lineRule="exact"/>
        <w:jc w:val="center"/>
        <w:rPr>
          <w:rFonts w:hint="eastAsia" w:ascii="仿宋" w:hAnsi="仿宋" w:eastAsia="仿宋" w:cs="仿宋"/>
          <w:color w:val="auto"/>
          <w:highlight w:val="none"/>
        </w:rPr>
      </w:pPr>
      <w:bookmarkStart w:id="52" w:name="_Toc254970675"/>
      <w:bookmarkStart w:id="53" w:name="_Toc9988"/>
      <w:bookmarkStart w:id="54" w:name="_Toc254970534"/>
      <w:bookmarkStart w:id="55" w:name="_Toc19837"/>
      <w:r>
        <w:rPr>
          <w:rFonts w:hint="eastAsia" w:ascii="仿宋" w:hAnsi="仿宋" w:eastAsia="仿宋" w:cs="仿宋"/>
          <w:color w:val="auto"/>
          <w:highlight w:val="none"/>
        </w:rPr>
        <w:t>二、招标文件</w:t>
      </w:r>
      <w:bookmarkEnd w:id="52"/>
      <w:bookmarkEnd w:id="53"/>
      <w:bookmarkEnd w:id="54"/>
      <w:bookmarkEnd w:id="55"/>
    </w:p>
    <w:p w14:paraId="0E1D0A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3F104AD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第一章 招标公告；</w:t>
      </w:r>
    </w:p>
    <w:p w14:paraId="5F7BC3B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第二章 采购需求； </w:t>
      </w:r>
    </w:p>
    <w:p w14:paraId="6A7A550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投标人须知；</w:t>
      </w:r>
    </w:p>
    <w:p w14:paraId="696BD60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第四章 </w:t>
      </w:r>
      <w:r>
        <w:rPr>
          <w:rFonts w:hint="eastAsia" w:ascii="仿宋" w:hAnsi="仿宋" w:eastAsia="仿宋" w:cs="仿宋"/>
          <w:color w:val="auto"/>
          <w:szCs w:val="21"/>
          <w:highlight w:val="none"/>
          <w:lang w:eastAsia="zh-CN"/>
        </w:rPr>
        <w:t>评标方法及评分标准</w:t>
      </w:r>
      <w:r>
        <w:rPr>
          <w:rFonts w:hint="eastAsia" w:ascii="仿宋" w:hAnsi="仿宋" w:eastAsia="仿宋" w:cs="仿宋"/>
          <w:color w:val="auto"/>
          <w:szCs w:val="21"/>
          <w:highlight w:val="none"/>
        </w:rPr>
        <w:t>；</w:t>
      </w:r>
    </w:p>
    <w:p w14:paraId="0823D2B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拟签订的合同文本；</w:t>
      </w:r>
    </w:p>
    <w:p w14:paraId="483DE4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w:t>
      </w:r>
    </w:p>
    <w:p w14:paraId="4471071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质疑、投诉证明材料格式</w:t>
      </w:r>
    </w:p>
    <w:p w14:paraId="0A4CBF0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431BF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11.招标文件的澄清、修改、现场考察和答疑会</w:t>
      </w:r>
    </w:p>
    <w:p w14:paraId="058AD4C4">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A818A2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11.2 投标人应认真审阅本公开招标文件，如有疑问，或发现其中有误或有要求不合理的，应在投标人须知前附表规定的</w:t>
      </w:r>
      <w:r>
        <w:rPr>
          <w:rFonts w:hint="eastAsia" w:ascii="仿宋" w:hAnsi="仿宋" w:eastAsia="仿宋" w:cs="仿宋"/>
          <w:color w:val="auto"/>
          <w:kern w:val="0"/>
          <w:szCs w:val="21"/>
          <w:highlight w:val="none"/>
        </w:rPr>
        <w:t>投标截止时间</w:t>
      </w:r>
      <w:r>
        <w:rPr>
          <w:rFonts w:hint="eastAsia" w:ascii="仿宋" w:hAnsi="仿宋" w:eastAsia="仿宋" w:cs="仿宋"/>
          <w:color w:val="auto"/>
          <w:highlight w:val="none"/>
        </w:rPr>
        <w:t>前以书面形式要求采购人或采购代理机构对招标文件予以澄清；否则，由此产生的后果由投标人自行负责。</w:t>
      </w:r>
    </w:p>
    <w:p w14:paraId="60B9063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仿宋" w:hAnsi="仿宋" w:eastAsia="仿宋" w:cs="仿宋"/>
          <w:color w:val="auto"/>
          <w:szCs w:val="21"/>
          <w:highlight w:val="none"/>
        </w:rPr>
        <w:t>投标人须知前附表”</w:t>
      </w:r>
      <w:r>
        <w:rPr>
          <w:rFonts w:hint="eastAsia" w:ascii="仿宋" w:hAnsi="仿宋" w:eastAsia="仿宋" w:cs="仿宋"/>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B5D870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11.4 采购人和采购代理机构可以视采购具体情况，变更投标截止时间和开标时间，将变更时间将在“</w:t>
      </w:r>
      <w:r>
        <w:rPr>
          <w:rFonts w:hint="eastAsia" w:ascii="仿宋" w:hAnsi="仿宋" w:eastAsia="仿宋" w:cs="仿宋"/>
          <w:color w:val="auto"/>
          <w:szCs w:val="21"/>
          <w:highlight w:val="none"/>
        </w:rPr>
        <w:t>投标人须知前附表”</w:t>
      </w:r>
      <w:r>
        <w:rPr>
          <w:rFonts w:hint="eastAsia" w:ascii="仿宋" w:hAnsi="仿宋" w:eastAsia="仿宋" w:cs="仿宋"/>
          <w:color w:val="auto"/>
          <w:kern w:val="0"/>
          <w:szCs w:val="21"/>
          <w:highlight w:val="none"/>
        </w:rPr>
        <w:t>规定的政府采购信息发布媒体上</w:t>
      </w:r>
      <w:r>
        <w:rPr>
          <w:rFonts w:hint="eastAsia" w:ascii="仿宋" w:hAnsi="仿宋" w:eastAsia="仿宋" w:cs="仿宋"/>
          <w:color w:val="auto"/>
          <w:highlight w:val="none"/>
        </w:rPr>
        <w:t>发布更正公告。</w:t>
      </w:r>
    </w:p>
    <w:p w14:paraId="2237859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w:t>
      </w:r>
      <w:bookmarkStart w:id="56" w:name="_Hlk53134511"/>
      <w:r>
        <w:rPr>
          <w:rFonts w:hint="eastAsia" w:ascii="仿宋" w:hAnsi="仿宋" w:eastAsia="仿宋" w:cs="仿宋"/>
          <w:color w:val="auto"/>
          <w:highlight w:val="none"/>
        </w:rPr>
        <w:t>5采购人或者采购代理机构可以在招标文件提供期限截止后，组织已获取招标文件的潜在投标人现场考察或者召开开标前答疑会，具体详见“投标人须知前附表”。</w:t>
      </w:r>
    </w:p>
    <w:bookmarkEnd w:id="56"/>
    <w:p w14:paraId="1544B514">
      <w:pPr>
        <w:spacing w:line="400" w:lineRule="exact"/>
        <w:jc w:val="center"/>
        <w:rPr>
          <w:rFonts w:hint="eastAsia" w:ascii="仿宋" w:hAnsi="仿宋" w:eastAsia="仿宋" w:cs="仿宋"/>
          <w:color w:val="auto"/>
          <w:highlight w:val="none"/>
        </w:rPr>
      </w:pPr>
      <w:bookmarkStart w:id="57" w:name="_Toc12080"/>
      <w:bookmarkStart w:id="58" w:name="_Toc254970676"/>
      <w:bookmarkStart w:id="59" w:name="_Toc254970535"/>
    </w:p>
    <w:p w14:paraId="03FECDA4">
      <w:pPr>
        <w:pStyle w:val="4"/>
        <w:keepNext w:val="0"/>
        <w:keepLines w:val="0"/>
        <w:spacing w:line="400" w:lineRule="exact"/>
        <w:jc w:val="center"/>
        <w:rPr>
          <w:rFonts w:hint="eastAsia" w:ascii="仿宋" w:hAnsi="仿宋" w:eastAsia="仿宋" w:cs="仿宋"/>
          <w:color w:val="auto"/>
          <w:highlight w:val="none"/>
        </w:rPr>
      </w:pPr>
      <w:bookmarkStart w:id="60" w:name="_Toc8263"/>
      <w:r>
        <w:rPr>
          <w:rFonts w:hint="eastAsia" w:ascii="仿宋" w:hAnsi="仿宋" w:eastAsia="仿宋" w:cs="仿宋"/>
          <w:color w:val="auto"/>
          <w:highlight w:val="none"/>
        </w:rPr>
        <w:t>三、投标文件的编制</w:t>
      </w:r>
      <w:bookmarkEnd w:id="57"/>
      <w:bookmarkEnd w:id="58"/>
      <w:bookmarkEnd w:id="59"/>
      <w:bookmarkEnd w:id="60"/>
    </w:p>
    <w:p w14:paraId="40C2AE85">
      <w:pPr>
        <w:spacing w:line="360" w:lineRule="auto"/>
        <w:ind w:firstLine="480" w:firstLineChars="200"/>
        <w:rPr>
          <w:rFonts w:hint="eastAsia" w:ascii="仿宋" w:hAnsi="仿宋" w:eastAsia="仿宋" w:cs="仿宋"/>
          <w:color w:val="auto"/>
          <w:sz w:val="24"/>
          <w:highlight w:val="none"/>
        </w:rPr>
      </w:pPr>
      <w:bookmarkStart w:id="61" w:name="_Toc254970677"/>
      <w:bookmarkStart w:id="62" w:name="_Toc254970536"/>
      <w:r>
        <w:rPr>
          <w:rFonts w:hint="eastAsia" w:ascii="仿宋" w:hAnsi="仿宋" w:eastAsia="仿宋" w:cs="仿宋"/>
          <w:color w:val="auto"/>
          <w:sz w:val="24"/>
          <w:highlight w:val="none"/>
        </w:rPr>
        <w:t>12.投标文件的编制原则</w:t>
      </w:r>
    </w:p>
    <w:p w14:paraId="26F04DE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12.1投标人必须按照招标文件的要求编制投标文件。投标文件必须对招标文件提出的要求和条件作出明确响应。</w:t>
      </w:r>
    </w:p>
    <w:p w14:paraId="757E87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026484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61"/>
      <w:bookmarkEnd w:id="62"/>
    </w:p>
    <w:p w14:paraId="287CF2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13.1投标文件由报价文件、资格证明文件、商务技术文件</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部分组成。</w:t>
      </w:r>
    </w:p>
    <w:p w14:paraId="48EBB5BD">
      <w:pPr>
        <w:spacing w:line="360" w:lineRule="auto"/>
        <w:ind w:firstLine="420" w:firstLineChars="200"/>
        <w:rPr>
          <w:rFonts w:hint="eastAsia" w:ascii="仿宋" w:hAnsi="仿宋" w:eastAsia="仿宋" w:cs="仿宋"/>
          <w:bCs/>
          <w:color w:val="auto"/>
          <w:szCs w:val="21"/>
          <w:highlight w:val="none"/>
        </w:rPr>
      </w:pPr>
      <w:bookmarkStart w:id="63" w:name="_13.1报价文件:_具体材料见“投标人须知前附表”。"/>
      <w:bookmarkEnd w:id="63"/>
      <w:bookmarkStart w:id="64" w:name="_13.2资格证明文件：具体材料见“投标人须知前附表”。"/>
      <w:bookmarkEnd w:id="64"/>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rPr>
        <w:t>）报价文件： 具体材料见“投标人须知前附表”。</w:t>
      </w:r>
    </w:p>
    <w:p w14:paraId="6208C322">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）资格证明文件：具体材料见“投标人须知前附表”。</w:t>
      </w:r>
    </w:p>
    <w:p w14:paraId="4FBE3B71">
      <w:pPr>
        <w:spacing w:line="360" w:lineRule="auto"/>
        <w:ind w:firstLine="420" w:firstLineChars="200"/>
        <w:rPr>
          <w:rFonts w:hint="eastAsia" w:ascii="仿宋" w:hAnsi="仿宋" w:eastAsia="仿宋" w:cs="仿宋"/>
          <w:bCs/>
          <w:color w:val="auto"/>
          <w:szCs w:val="21"/>
          <w:highlight w:val="none"/>
        </w:rPr>
      </w:pPr>
      <w:bookmarkStart w:id="65" w:name="_13.3商务文件:_具体材料见“投标人须知前附表”。"/>
      <w:bookmarkEnd w:id="65"/>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）商务</w:t>
      </w:r>
      <w:r>
        <w:rPr>
          <w:rFonts w:hint="eastAsia" w:ascii="仿宋" w:hAnsi="仿宋" w:eastAsia="仿宋" w:cs="仿宋"/>
          <w:bCs/>
          <w:color w:val="auto"/>
          <w:szCs w:val="21"/>
          <w:highlight w:val="none"/>
          <w:lang w:val="en-US" w:eastAsia="zh-CN"/>
        </w:rPr>
        <w:t>技术</w:t>
      </w:r>
      <w:r>
        <w:rPr>
          <w:rFonts w:hint="eastAsia" w:ascii="仿宋" w:hAnsi="仿宋" w:eastAsia="仿宋" w:cs="仿宋"/>
          <w:bCs/>
          <w:color w:val="auto"/>
          <w:szCs w:val="21"/>
          <w:highlight w:val="none"/>
        </w:rPr>
        <w:t>文件：具体材料见“投标人须知前附表”。</w:t>
      </w:r>
    </w:p>
    <w:p w14:paraId="6F46A042">
      <w:pPr>
        <w:spacing w:line="360" w:lineRule="auto"/>
        <w:ind w:firstLine="420" w:firstLineChars="200"/>
        <w:rPr>
          <w:rFonts w:hint="eastAsia" w:ascii="仿宋" w:hAnsi="仿宋" w:eastAsia="仿宋" w:cs="仿宋"/>
          <w:bCs/>
          <w:color w:val="auto"/>
          <w:szCs w:val="21"/>
          <w:highlight w:val="none"/>
        </w:rPr>
      </w:pPr>
      <w:bookmarkStart w:id="66" w:name="_13.4技术文件：具体材料见“投标人须知前附表”。"/>
      <w:bookmarkEnd w:id="66"/>
      <w:bookmarkStart w:id="67" w:name="_13.5投标文件电子版：具体材料见“投标人须知前附表”。"/>
      <w:bookmarkEnd w:id="67"/>
      <w:r>
        <w:rPr>
          <w:rFonts w:hint="eastAsia" w:ascii="仿宋" w:hAnsi="仿宋" w:eastAsia="仿宋" w:cs="仿宋"/>
          <w:bCs/>
          <w:color w:val="auto"/>
          <w:szCs w:val="21"/>
          <w:highlight w:val="none"/>
        </w:rPr>
        <w:t>13.2投标文件电子版：具体要求见本节19.投标文件编制。</w:t>
      </w:r>
    </w:p>
    <w:p w14:paraId="5C753831">
      <w:pPr>
        <w:spacing w:line="360" w:lineRule="auto"/>
        <w:ind w:firstLine="480" w:firstLineChars="200"/>
        <w:rPr>
          <w:rFonts w:hint="eastAsia" w:ascii="仿宋" w:hAnsi="仿宋" w:eastAsia="仿宋" w:cs="仿宋"/>
          <w:color w:val="auto"/>
          <w:sz w:val="24"/>
          <w:highlight w:val="none"/>
        </w:rPr>
      </w:pPr>
      <w:bookmarkStart w:id="68" w:name="_Toc254970537"/>
      <w:bookmarkStart w:id="69" w:name="_Toc254970678"/>
      <w:r>
        <w:rPr>
          <w:rFonts w:hint="eastAsia" w:ascii="仿宋" w:hAnsi="仿宋" w:eastAsia="仿宋" w:cs="仿宋"/>
          <w:color w:val="auto"/>
          <w:sz w:val="24"/>
          <w:highlight w:val="none"/>
        </w:rPr>
        <w:t>14.投标文件的语言及计量</w:t>
      </w:r>
      <w:bookmarkEnd w:id="68"/>
      <w:bookmarkEnd w:id="69"/>
    </w:p>
    <w:p w14:paraId="6A0FCBBE">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14.1语言文字</w:t>
      </w:r>
    </w:p>
    <w:p w14:paraId="3629B103">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C05EF0">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14.2投标计量单位</w:t>
      </w:r>
    </w:p>
    <w:p w14:paraId="4ABFB69E">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招标文件已有明确规定的，使用招标文件规定的计量单位；招标文件没有规定的，应采用中华人民共和国法定计量单位，货币种类为人民币，否则视同未响应。</w:t>
      </w:r>
    </w:p>
    <w:p w14:paraId="672184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15.投标文件提交的风险</w:t>
      </w:r>
    </w:p>
    <w:p w14:paraId="54AEC60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投标文件分为资格</w:t>
      </w:r>
      <w:r>
        <w:rPr>
          <w:rFonts w:hint="eastAsia" w:ascii="仿宋" w:hAnsi="仿宋" w:eastAsia="仿宋" w:cs="仿宋"/>
          <w:color w:val="auto"/>
          <w:highlight w:val="none"/>
          <w:lang w:eastAsia="zh-CN"/>
        </w:rPr>
        <w:t>证明</w:t>
      </w:r>
      <w:r>
        <w:rPr>
          <w:rFonts w:hint="eastAsia" w:ascii="仿宋" w:hAnsi="仿宋" w:eastAsia="仿宋" w:cs="仿宋"/>
          <w:color w:val="auto"/>
          <w:highlight w:val="none"/>
        </w:rPr>
        <w:t>文件、商务技术文件、报价文件</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部分。各投标人在编制投标文件时请按照招标文件规定的编排格式进行，不按要求提交齐全的文件、混乱的编排导致投标文件被误读或评标委员会查找不到有效文件是造成投标人投标文件无效的风险。</w:t>
      </w:r>
    </w:p>
    <w:p w14:paraId="712B60D0">
      <w:pPr>
        <w:spacing w:line="360" w:lineRule="auto"/>
        <w:ind w:firstLine="420" w:firstLineChars="200"/>
        <w:rPr>
          <w:rFonts w:hint="eastAsia" w:ascii="仿宋" w:hAnsi="仿宋" w:eastAsia="仿宋" w:cs="仿宋"/>
          <w:b/>
          <w:bCs/>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b/>
          <w:bCs/>
          <w:color w:val="auto"/>
          <w:highlight w:val="none"/>
        </w:rPr>
        <w:t>投标文件内容不齐全、未按规定的文件格式编制的、没有对招标文件作出实质性响应，投标无效</w:t>
      </w:r>
      <w:r>
        <w:rPr>
          <w:rFonts w:hint="eastAsia" w:ascii="仿宋" w:hAnsi="仿宋" w:eastAsia="仿宋" w:cs="仿宋"/>
          <w:b/>
          <w:bCs/>
          <w:color w:val="auto"/>
          <w:highlight w:val="none"/>
          <w:lang w:eastAsia="zh-CN"/>
        </w:rPr>
        <w:t>。</w:t>
      </w:r>
    </w:p>
    <w:p w14:paraId="5A398A22">
      <w:pPr>
        <w:spacing w:line="360" w:lineRule="auto"/>
        <w:ind w:firstLine="480" w:firstLineChars="200"/>
        <w:rPr>
          <w:rFonts w:hint="eastAsia" w:ascii="仿宋" w:hAnsi="仿宋" w:eastAsia="仿宋" w:cs="仿宋"/>
          <w:color w:val="auto"/>
          <w:sz w:val="24"/>
          <w:highlight w:val="none"/>
        </w:rPr>
      </w:pPr>
      <w:bookmarkStart w:id="70" w:name="_Toc254970538"/>
      <w:bookmarkStart w:id="71" w:name="_Toc254970679"/>
      <w:r>
        <w:rPr>
          <w:rFonts w:hint="eastAsia" w:ascii="仿宋" w:hAnsi="仿宋" w:eastAsia="仿宋" w:cs="仿宋"/>
          <w:color w:val="auto"/>
          <w:sz w:val="24"/>
          <w:highlight w:val="none"/>
        </w:rPr>
        <w:t>16.投标报价</w:t>
      </w:r>
      <w:bookmarkEnd w:id="70"/>
      <w:bookmarkEnd w:id="71"/>
    </w:p>
    <w:p w14:paraId="300A9680">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16.1投标报价应</w:t>
      </w:r>
      <w:r>
        <w:rPr>
          <w:rFonts w:hint="eastAsia" w:ascii="仿宋" w:hAnsi="仿宋" w:eastAsia="仿宋" w:cs="仿宋"/>
          <w:bCs/>
          <w:color w:val="auto"/>
          <w:szCs w:val="20"/>
          <w:highlight w:val="none"/>
        </w:rPr>
        <w:t>按“第六章　投标文件格式”中“开标一览表”格式填写。</w:t>
      </w:r>
    </w:p>
    <w:p w14:paraId="2F735315">
      <w:pPr>
        <w:spacing w:line="360" w:lineRule="auto"/>
        <w:ind w:firstLine="420" w:firstLineChars="200"/>
        <w:rPr>
          <w:rFonts w:hint="eastAsia" w:ascii="仿宋" w:hAnsi="仿宋" w:eastAsia="仿宋" w:cs="仿宋"/>
          <w:bCs/>
          <w:color w:val="auto"/>
          <w:szCs w:val="21"/>
          <w:highlight w:val="none"/>
        </w:rPr>
      </w:pPr>
      <w:bookmarkStart w:id="72" w:name="_16.2投标报价具体定义见投标人须知前附表。"/>
      <w:bookmarkEnd w:id="72"/>
      <w:r>
        <w:rPr>
          <w:rFonts w:hint="eastAsia" w:ascii="仿宋" w:hAnsi="仿宋" w:eastAsia="仿宋" w:cs="仿宋"/>
          <w:bCs/>
          <w:color w:val="auto"/>
          <w:szCs w:val="21"/>
          <w:highlight w:val="none"/>
        </w:rPr>
        <w:t>16.2投标报价具体包括内容详见“投标人须知前附表”。</w:t>
      </w:r>
    </w:p>
    <w:p w14:paraId="6C7C1FBB">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16.3投标人必须就所投每个分标的全部内容分别作完整唯一总价报价，不得存在漏项报价；投标人必须就所投分标的单项内容作唯一报价。</w:t>
      </w:r>
    </w:p>
    <w:p w14:paraId="463187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4F615844">
      <w:pPr>
        <w:spacing w:line="360" w:lineRule="auto"/>
        <w:ind w:firstLine="420" w:firstLineChars="200"/>
        <w:rPr>
          <w:rFonts w:hint="eastAsia" w:ascii="仿宋" w:hAnsi="仿宋" w:eastAsia="仿宋" w:cs="仿宋"/>
          <w:bCs/>
          <w:color w:val="auto"/>
          <w:szCs w:val="21"/>
          <w:highlight w:val="none"/>
        </w:rPr>
      </w:pPr>
      <w:bookmarkStart w:id="73" w:name="_17.1投标有效期应按“投标人须知中的前附表”规定的期限。"/>
      <w:bookmarkEnd w:id="73"/>
      <w:r>
        <w:rPr>
          <w:rFonts w:hint="eastAsia" w:ascii="仿宋" w:hAnsi="仿宋" w:eastAsia="仿宋" w:cs="仿宋"/>
          <w:bCs/>
          <w:color w:val="auto"/>
          <w:szCs w:val="21"/>
          <w:highlight w:val="none"/>
        </w:rPr>
        <w:t>17.1投标有效期是指为保证采购人有足够的时间在开标后完成评标、定标、合同签订等工作而要求投标人提交的投标文件在一定时间内保持有效的期限。</w:t>
      </w:r>
    </w:p>
    <w:p w14:paraId="6DAC31F2">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17.2</w:t>
      </w:r>
      <w:bookmarkStart w:id="74" w:name="_Toc254970681"/>
      <w:bookmarkStart w:id="75" w:name="_Toc254970540"/>
      <w:r>
        <w:rPr>
          <w:rFonts w:hint="eastAsia" w:ascii="仿宋" w:hAnsi="仿宋" w:eastAsia="仿宋" w:cs="仿宋"/>
          <w:bCs/>
          <w:color w:val="auto"/>
          <w:szCs w:val="21"/>
          <w:highlight w:val="none"/>
        </w:rPr>
        <w:t xml:space="preserve"> 投标有效期应按规定的期限作出承诺，具体详见“投标人须知前附表”。</w:t>
      </w:r>
    </w:p>
    <w:p w14:paraId="43BB6708">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17.3投标人的投标文件在投标有效期内均保持有效。</w:t>
      </w:r>
      <w:bookmarkEnd w:id="74"/>
      <w:bookmarkEnd w:id="75"/>
    </w:p>
    <w:p w14:paraId="5F3958FE">
      <w:pPr>
        <w:spacing w:line="360" w:lineRule="auto"/>
        <w:ind w:firstLine="480" w:firstLineChars="200"/>
        <w:rPr>
          <w:rFonts w:hint="eastAsia" w:ascii="仿宋" w:hAnsi="仿宋" w:eastAsia="仿宋" w:cs="仿宋"/>
          <w:color w:val="auto"/>
          <w:sz w:val="24"/>
          <w:highlight w:val="none"/>
        </w:rPr>
      </w:pPr>
      <w:bookmarkStart w:id="76" w:name="_18.投标保证金"/>
      <w:bookmarkEnd w:id="76"/>
      <w:bookmarkStart w:id="77" w:name="_Toc254970541"/>
      <w:bookmarkStart w:id="78" w:name="_Toc254970682"/>
      <w:r>
        <w:rPr>
          <w:rFonts w:hint="eastAsia" w:ascii="仿宋" w:hAnsi="仿宋" w:eastAsia="仿宋" w:cs="仿宋"/>
          <w:color w:val="auto"/>
          <w:sz w:val="24"/>
          <w:highlight w:val="none"/>
        </w:rPr>
        <w:t>18.投标保证金</w:t>
      </w:r>
      <w:bookmarkEnd w:id="77"/>
      <w:bookmarkEnd w:id="78"/>
    </w:p>
    <w:p w14:paraId="3BBFC780">
      <w:pPr>
        <w:spacing w:line="360" w:lineRule="auto"/>
        <w:ind w:firstLine="420" w:firstLineChars="200"/>
        <w:rPr>
          <w:rFonts w:hint="eastAsia" w:ascii="仿宋" w:hAnsi="仿宋" w:eastAsia="仿宋" w:cs="仿宋"/>
          <w:color w:val="auto"/>
          <w:szCs w:val="21"/>
          <w:highlight w:val="none"/>
        </w:rPr>
      </w:pPr>
      <w:bookmarkStart w:id="79" w:name="_Toc254970542"/>
      <w:bookmarkStart w:id="80" w:name="_Toc254970683"/>
      <w:r>
        <w:rPr>
          <w:rFonts w:hint="eastAsia" w:ascii="仿宋" w:hAnsi="仿宋" w:eastAsia="仿宋" w:cs="仿宋"/>
          <w:color w:val="auto"/>
          <w:szCs w:val="21"/>
          <w:highlight w:val="none"/>
        </w:rPr>
        <w:t>见“投标人须知前附表”。</w:t>
      </w:r>
    </w:p>
    <w:p w14:paraId="7C3E79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19.投标文件的</w:t>
      </w:r>
      <w:bookmarkEnd w:id="79"/>
      <w:bookmarkEnd w:id="80"/>
      <w:r>
        <w:rPr>
          <w:rFonts w:hint="eastAsia" w:ascii="仿宋" w:hAnsi="仿宋" w:eastAsia="仿宋" w:cs="仿宋"/>
          <w:color w:val="auto"/>
          <w:sz w:val="24"/>
          <w:highlight w:val="none"/>
        </w:rPr>
        <w:t>编制</w:t>
      </w:r>
    </w:p>
    <w:p w14:paraId="38459421">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1" w:name="_19.2投标文件应按报价文件、资格证明文件、商务文件、技术文件分别编制"/>
      <w:bookmarkEnd w:id="81"/>
      <w:r>
        <w:rPr>
          <w:rFonts w:hint="eastAsia" w:ascii="仿宋" w:hAnsi="仿宋" w:eastAsia="仿宋" w:cs="仿宋"/>
          <w:color w:val="auto"/>
          <w:szCs w:val="21"/>
          <w:highlight w:val="none"/>
        </w:rPr>
        <w:t xml:space="preserve"> </w:t>
      </w:r>
    </w:p>
    <w:p w14:paraId="26C82521">
      <w:pPr>
        <w:pStyle w:val="31"/>
        <w:snapToGrid w:val="0"/>
        <w:spacing w:before="0"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19.2投标文件按照招标文件第六章格式要求在规定位置进行签署、盖章。投标人的投标文件未按照招标文件要求签署、盖章的，</w:t>
      </w:r>
      <w:r>
        <w:rPr>
          <w:rFonts w:hint="eastAsia" w:ascii="仿宋" w:hAnsi="仿宋" w:eastAsia="仿宋" w:cs="仿宋"/>
          <w:b/>
          <w:color w:val="auto"/>
          <w:sz w:val="21"/>
          <w:szCs w:val="21"/>
          <w:highlight w:val="none"/>
        </w:rPr>
        <w:t>其投标无效。</w:t>
      </w:r>
      <w:r>
        <w:rPr>
          <w:rFonts w:hint="eastAsia" w:ascii="仿宋" w:hAnsi="仿宋" w:eastAsia="仿宋" w:cs="仿宋"/>
          <w:color w:val="auto"/>
          <w:sz w:val="21"/>
          <w:szCs w:val="21"/>
          <w:highlight w:val="none"/>
        </w:rPr>
        <w:t>骑缝盖公章不视为在规定位置盖章。</w:t>
      </w:r>
    </w:p>
    <w:p w14:paraId="449577E0">
      <w:pPr>
        <w:pStyle w:val="31"/>
        <w:snapToGrid w:val="0"/>
        <w:spacing w:before="0"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19.3为确保网上操作合法、有效和安全，投标人应当在投标截止时间前完成在“政采云”平台的身份认证，确保在电子投标过程中能够对相关数据电文进行加密和使用电子签名。</w:t>
      </w:r>
    </w:p>
    <w:p w14:paraId="2119C961">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19.4投标文件中标注的投标人名称应与主体资格证明（如营业执照、事业单位法人证书、执业许可证、自然人身份证等）及公章一致，</w:t>
      </w:r>
      <w:r>
        <w:rPr>
          <w:rFonts w:hint="eastAsia" w:ascii="仿宋" w:hAnsi="仿宋" w:eastAsia="仿宋" w:cs="仿宋"/>
          <w:color w:val="auto"/>
          <w:szCs w:val="21"/>
          <w:highlight w:val="none"/>
        </w:rPr>
        <w:t>否则作无效投标处理</w:t>
      </w:r>
      <w:r>
        <w:rPr>
          <w:rFonts w:hint="eastAsia" w:ascii="仿宋" w:hAnsi="仿宋" w:eastAsia="仿宋" w:cs="仿宋"/>
          <w:b/>
          <w:color w:val="auto"/>
          <w:szCs w:val="21"/>
          <w:highlight w:val="none"/>
        </w:rPr>
        <w:t>。</w:t>
      </w:r>
    </w:p>
    <w:p w14:paraId="44146E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19.5投标文件应避免涂改、行间插字或者删除，</w:t>
      </w:r>
      <w:r>
        <w:rPr>
          <w:rFonts w:hint="eastAsia" w:ascii="仿宋" w:hAnsi="仿宋" w:eastAsia="仿宋" w:cs="仿宋"/>
          <w:b/>
          <w:color w:val="auto"/>
          <w:szCs w:val="21"/>
          <w:highlight w:val="none"/>
        </w:rPr>
        <w:t>否则其投标无效。</w:t>
      </w:r>
    </w:p>
    <w:p w14:paraId="61CFA549">
      <w:pPr>
        <w:spacing w:line="360" w:lineRule="auto"/>
        <w:ind w:firstLine="525" w:firstLineChars="250"/>
        <w:rPr>
          <w:rFonts w:hint="eastAsia" w:ascii="仿宋" w:hAnsi="仿宋" w:eastAsia="仿宋" w:cs="仿宋"/>
          <w:color w:val="auto"/>
          <w:highlight w:val="none"/>
        </w:rPr>
      </w:pPr>
      <w:r>
        <w:rPr>
          <w:rFonts w:hint="eastAsia" w:ascii="仿宋" w:hAnsi="仿宋" w:eastAsia="仿宋" w:cs="仿宋"/>
          <w:color w:val="auto"/>
          <w:highlight w:val="none"/>
        </w:rPr>
        <w:t>19.6 对招标文件的实质性要求和条件作出响应是指投标人必须对招标文件中标注为实质性要求和条件的</w:t>
      </w:r>
      <w:r>
        <w:rPr>
          <w:rFonts w:hint="eastAsia" w:ascii="仿宋" w:hAnsi="仿宋" w:eastAsia="仿宋" w:cs="仿宋"/>
          <w:color w:val="auto"/>
          <w:szCs w:val="21"/>
          <w:highlight w:val="none"/>
        </w:rPr>
        <w:t>服务内容及要求</w:t>
      </w:r>
      <w:r>
        <w:rPr>
          <w:rFonts w:hint="eastAsia" w:ascii="仿宋" w:hAnsi="仿宋" w:eastAsia="仿宋" w:cs="仿宋"/>
          <w:color w:val="auto"/>
          <w:highlight w:val="none"/>
        </w:rPr>
        <w:t>、商务条款及其它内容</w:t>
      </w:r>
      <w:r>
        <w:rPr>
          <w:rFonts w:hint="eastAsia" w:ascii="仿宋" w:hAnsi="仿宋" w:eastAsia="仿宋" w:cs="仿宋"/>
          <w:b/>
          <w:color w:val="auto"/>
          <w:highlight w:val="none"/>
        </w:rPr>
        <w:t>作出满足或者优于原要求和条件的承诺</w:t>
      </w:r>
      <w:r>
        <w:rPr>
          <w:rFonts w:hint="eastAsia" w:ascii="仿宋" w:hAnsi="仿宋" w:eastAsia="仿宋" w:cs="仿宋"/>
          <w:color w:val="auto"/>
          <w:highlight w:val="none"/>
        </w:rPr>
        <w:t>。</w:t>
      </w:r>
    </w:p>
    <w:p w14:paraId="0E2EADFE">
      <w:pPr>
        <w:spacing w:line="360" w:lineRule="auto"/>
        <w:ind w:firstLine="422" w:firstLineChars="200"/>
        <w:rPr>
          <w:rFonts w:hint="eastAsia" w:ascii="仿宋" w:hAnsi="仿宋" w:eastAsia="仿宋" w:cs="仿宋"/>
          <w:b/>
          <w:color w:val="auto"/>
          <w:szCs w:val="21"/>
          <w:highlight w:val="none"/>
          <w:u w:val="none"/>
        </w:rPr>
      </w:pPr>
      <w:r>
        <w:rPr>
          <w:rFonts w:hint="eastAsia" w:ascii="仿宋" w:hAnsi="仿宋" w:eastAsia="仿宋" w:cs="仿宋"/>
          <w:b/>
          <w:color w:val="auto"/>
          <w:szCs w:val="21"/>
          <w:highlight w:val="none"/>
          <w:u w:val="none"/>
        </w:rPr>
        <w:t>19.7本项目为全流程电子化项目，异常情况见“第二节 投标人须知正文”中“四、24.2开标程序。</w:t>
      </w:r>
    </w:p>
    <w:p w14:paraId="35B0FB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20.备份投标文件</w:t>
      </w:r>
    </w:p>
    <w:p w14:paraId="5933DA5B">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bCs/>
          <w:color w:val="auto"/>
          <w:szCs w:val="21"/>
          <w:highlight w:val="none"/>
        </w:rPr>
        <w:t>详见在“投标人须知前附表”。</w:t>
      </w:r>
    </w:p>
    <w:p w14:paraId="1E40F4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21.投标文件的提交</w:t>
      </w:r>
    </w:p>
    <w:p w14:paraId="490406B0">
      <w:pPr>
        <w:spacing w:line="360" w:lineRule="auto"/>
        <w:ind w:firstLine="420" w:firstLineChars="200"/>
        <w:rPr>
          <w:rFonts w:hint="eastAsia" w:ascii="仿宋" w:hAnsi="仿宋" w:eastAsia="仿宋" w:cs="仿宋"/>
          <w:b/>
          <w:color w:val="auto"/>
          <w:highlight w:val="none"/>
        </w:rPr>
      </w:pPr>
      <w:bookmarkStart w:id="82" w:name="_21.1投标人必须在“投标人须知中的前附表”规定的投标文件接收时间和投"/>
      <w:bookmarkEnd w:id="82"/>
      <w:r>
        <w:rPr>
          <w:rFonts w:hint="eastAsia" w:ascii="仿宋" w:hAnsi="仿宋" w:eastAsia="仿宋" w:cs="仿宋"/>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采云平台”。 </w:t>
      </w:r>
      <w:r>
        <w:rPr>
          <w:rFonts w:hint="eastAsia" w:ascii="仿宋" w:hAnsi="仿宋" w:eastAsia="仿宋" w:cs="仿宋"/>
          <w:b/>
          <w:color w:val="auto"/>
          <w:highlight w:val="none"/>
        </w:rPr>
        <w:t xml:space="preserve"> </w:t>
      </w:r>
    </w:p>
    <w:p w14:paraId="18A69192">
      <w:pPr>
        <w:spacing w:line="360" w:lineRule="auto"/>
        <w:ind w:firstLine="422" w:firstLineChars="200"/>
        <w:rPr>
          <w:rFonts w:hint="eastAsia" w:ascii="仿宋" w:hAnsi="仿宋" w:eastAsia="仿宋" w:cs="仿宋"/>
          <w:b/>
          <w:color w:val="auto"/>
          <w:szCs w:val="20"/>
          <w:highlight w:val="none"/>
        </w:rPr>
      </w:pPr>
      <w:r>
        <w:rPr>
          <w:rFonts w:hint="eastAsia" w:ascii="仿宋" w:hAnsi="仿宋" w:eastAsia="仿宋" w:cs="仿宋"/>
          <w:b/>
          <w:color w:val="auto"/>
          <w:szCs w:val="21"/>
          <w:highlight w:val="none"/>
        </w:rPr>
        <w:t>21.2未在规定时间内提交或者未按照招标文件要求密封或者标记的电子投标文件，“政采云”平台将拒收。</w:t>
      </w:r>
    </w:p>
    <w:p w14:paraId="177E87C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21.3电子版投标文件提交方式见“招标公告”中“四、提交投标文件截止时间、开标时间和地点”</w:t>
      </w:r>
      <w:r>
        <w:rPr>
          <w:rFonts w:hint="eastAsia" w:ascii="仿宋" w:hAnsi="仿宋" w:eastAsia="仿宋" w:cs="仿宋"/>
          <w:b/>
          <w:color w:val="auto"/>
          <w:szCs w:val="21"/>
          <w:highlight w:val="none"/>
        </w:rPr>
        <w:t xml:space="preserve"> 。</w:t>
      </w:r>
    </w:p>
    <w:p w14:paraId="07973D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22.投标文件的补充、修改、撤回与退回</w:t>
      </w:r>
      <w:bookmarkStart w:id="83" w:name="_Toc254970543"/>
      <w:bookmarkStart w:id="84" w:name="_Toc254970684"/>
    </w:p>
    <w:p w14:paraId="26A2C8F2">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729AEC71">
      <w:pPr>
        <w:pStyle w:val="31"/>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22.2“政采云”平台收到投标文件，将妥善保存并即时向供应商发出确认回执通知。在投标截止时间前，除供应商补充、修改或者撤回投标文件外，任何单位和个人不得解密或提取投标文件。</w:t>
      </w:r>
    </w:p>
    <w:bookmarkEnd w:id="83"/>
    <w:bookmarkEnd w:id="84"/>
    <w:p w14:paraId="520B4E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22.3在投标截止时间止提交电子版投标文件的投标人不足3家时，电子版投标文件由代理机构在“政采云”平台操作退回，除此之外采购人和采购代理机构对已提交的投标文件概不退回。</w:t>
      </w:r>
    </w:p>
    <w:p w14:paraId="2E0681C2">
      <w:pPr>
        <w:pStyle w:val="11"/>
        <w:snapToGrid w:val="0"/>
        <w:spacing w:line="400" w:lineRule="exact"/>
        <w:ind w:firstLine="739"/>
        <w:rPr>
          <w:rFonts w:hint="eastAsia" w:ascii="仿宋" w:hAnsi="仿宋" w:eastAsia="仿宋" w:cs="仿宋"/>
          <w:snapToGrid w:val="0"/>
          <w:color w:val="auto"/>
          <w:sz w:val="21"/>
          <w:szCs w:val="21"/>
          <w:highlight w:val="none"/>
        </w:rPr>
      </w:pPr>
    </w:p>
    <w:p w14:paraId="1397B987">
      <w:pPr>
        <w:pStyle w:val="4"/>
        <w:keepNext w:val="0"/>
        <w:keepLines w:val="0"/>
        <w:spacing w:line="400" w:lineRule="exact"/>
        <w:jc w:val="center"/>
        <w:rPr>
          <w:rFonts w:hint="eastAsia" w:ascii="仿宋" w:hAnsi="仿宋" w:eastAsia="仿宋" w:cs="仿宋"/>
          <w:color w:val="auto"/>
          <w:highlight w:val="none"/>
        </w:rPr>
      </w:pPr>
      <w:bookmarkStart w:id="85" w:name="_Toc254970685"/>
      <w:bookmarkStart w:id="86" w:name="_Toc13250"/>
      <w:bookmarkStart w:id="87" w:name="_Toc6406"/>
      <w:bookmarkStart w:id="88" w:name="_Toc254970544"/>
      <w:r>
        <w:rPr>
          <w:rFonts w:hint="eastAsia" w:ascii="仿宋" w:hAnsi="仿宋" w:eastAsia="仿宋" w:cs="仿宋"/>
          <w:color w:val="auto"/>
          <w:highlight w:val="none"/>
        </w:rPr>
        <w:t>四、开    标</w:t>
      </w:r>
      <w:bookmarkEnd w:id="85"/>
      <w:bookmarkEnd w:id="86"/>
      <w:bookmarkEnd w:id="87"/>
      <w:bookmarkEnd w:id="88"/>
    </w:p>
    <w:p w14:paraId="23871E15">
      <w:pPr>
        <w:spacing w:line="360" w:lineRule="auto"/>
        <w:ind w:firstLine="480" w:firstLineChars="200"/>
        <w:rPr>
          <w:rFonts w:hint="eastAsia" w:ascii="仿宋" w:hAnsi="仿宋" w:eastAsia="仿宋" w:cs="仿宋"/>
          <w:color w:val="auto"/>
          <w:sz w:val="24"/>
          <w:highlight w:val="none"/>
        </w:rPr>
      </w:pPr>
      <w:bookmarkStart w:id="89" w:name="_23.开标时间和地点"/>
      <w:bookmarkEnd w:id="89"/>
      <w:r>
        <w:rPr>
          <w:rFonts w:hint="eastAsia" w:ascii="仿宋" w:hAnsi="仿宋" w:eastAsia="仿宋" w:cs="仿宋"/>
          <w:color w:val="auto"/>
          <w:sz w:val="24"/>
          <w:highlight w:val="none"/>
        </w:rPr>
        <w:t>23.开标时间和地点</w:t>
      </w:r>
    </w:p>
    <w:p w14:paraId="617D32D4">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23.1开标时间及地点详见“投标人须知前附表”</w:t>
      </w:r>
    </w:p>
    <w:p w14:paraId="6023AFD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23.2如</w:t>
      </w:r>
      <w:r>
        <w:rPr>
          <w:rFonts w:hint="eastAsia" w:ascii="仿宋" w:hAnsi="仿宋" w:eastAsia="仿宋" w:cs="仿宋"/>
          <w:bCs/>
          <w:color w:val="auto"/>
          <w:highlight w:val="none"/>
        </w:rPr>
        <w:t>投标人成功解密投标文件，但未在“政采云”电子开标大厅参加开标的，视同认可开标过程和结果，</w:t>
      </w:r>
      <w:r>
        <w:rPr>
          <w:rFonts w:hint="eastAsia" w:ascii="仿宋" w:hAnsi="仿宋" w:eastAsia="仿宋" w:cs="仿宋"/>
          <w:color w:val="auto"/>
          <w:highlight w:val="none"/>
        </w:rPr>
        <w:t>由此产生的后果由投标人自行负责。 投标人不足3家的，不得开标。</w:t>
      </w:r>
    </w:p>
    <w:p w14:paraId="23FC05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24.开标程序</w:t>
      </w:r>
    </w:p>
    <w:p w14:paraId="3DBDBD1A">
      <w:pPr>
        <w:autoSpaceDE w:val="0"/>
        <w:autoSpaceDN w:val="0"/>
        <w:adjustRightInd w:val="0"/>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24.1</w:t>
      </w:r>
      <w:r>
        <w:rPr>
          <w:rFonts w:hint="eastAsia" w:ascii="仿宋" w:hAnsi="仿宋" w:eastAsia="仿宋" w:cs="仿宋"/>
          <w:color w:val="auto"/>
          <w:kern w:val="0"/>
          <w:szCs w:val="21"/>
          <w:highlight w:val="none"/>
        </w:rPr>
        <w:t>开标形式：</w:t>
      </w:r>
    </w:p>
    <w:p w14:paraId="48C7A60D">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18D07FC5">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BECDCE">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24.2开标程序：</w:t>
      </w:r>
    </w:p>
    <w:p w14:paraId="4A3A8D22">
      <w:pPr>
        <w:pStyle w:val="13"/>
        <w:snapToGrid w:val="0"/>
        <w:spacing w:line="440" w:lineRule="exact"/>
        <w:ind w:firstLine="40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（1）解密电子投标文件。“</w:t>
      </w:r>
      <w:r>
        <w:rPr>
          <w:rFonts w:hint="eastAsia" w:ascii="仿宋" w:hAnsi="仿宋" w:eastAsia="仿宋" w:cs="仿宋"/>
          <w:color w:val="auto"/>
          <w:szCs w:val="21"/>
          <w:highlight w:val="none"/>
        </w:rPr>
        <w:t>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w:t>
      </w:r>
      <w:r>
        <w:rPr>
          <w:rFonts w:hint="eastAsia" w:ascii="仿宋" w:hAnsi="仿宋" w:eastAsia="仿宋" w:cs="仿宋"/>
          <w:b/>
          <w:color w:val="auto"/>
          <w:szCs w:val="21"/>
          <w:highlight w:val="none"/>
        </w:rPr>
        <w:t>须携带加密时所用的CA锁准时登录到“政采云”平台电子开标大厅签到并对电子投标文件解密</w:t>
      </w:r>
      <w:r>
        <w:rPr>
          <w:rFonts w:hint="eastAsia" w:ascii="仿宋" w:hAnsi="仿宋" w:eastAsia="仿宋" w:cs="仿宋"/>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仿宋" w:hAnsi="仿宋" w:eastAsia="仿宋" w:cs="仿宋"/>
          <w:b/>
          <w:color w:val="auto"/>
          <w:szCs w:val="21"/>
          <w:highlight w:val="none"/>
        </w:rPr>
        <w:t>均视为无效投标。</w:t>
      </w:r>
    </w:p>
    <w:p w14:paraId="048EB0A6">
      <w:pPr>
        <w:pStyle w:val="13"/>
        <w:snapToGrid w:val="0"/>
        <w:spacing w:line="440" w:lineRule="exact"/>
        <w:ind w:firstLine="40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（解密</w:t>
      </w:r>
      <w:r>
        <w:rPr>
          <w:rFonts w:hint="eastAsia" w:ascii="仿宋" w:hAnsi="仿宋" w:eastAsia="仿宋" w:cs="仿宋"/>
          <w:bCs/>
          <w:color w:val="auto"/>
          <w:szCs w:val="21"/>
          <w:highlight w:val="none"/>
        </w:rPr>
        <w:t>异常情况处理：详见本章</w:t>
      </w:r>
      <w:r>
        <w:rPr>
          <w:rFonts w:hint="eastAsia" w:ascii="仿宋" w:hAnsi="仿宋" w:eastAsia="仿宋" w:cs="仿宋"/>
          <w:color w:val="auto"/>
          <w:highlight w:val="none"/>
        </w:rPr>
        <w:t>29.3 电子交易活动的中止。</w:t>
      </w:r>
      <w:r>
        <w:rPr>
          <w:rFonts w:hint="eastAsia" w:ascii="仿宋" w:hAnsi="仿宋" w:eastAsia="仿宋" w:cs="仿宋"/>
          <w:color w:val="auto"/>
          <w:szCs w:val="21"/>
          <w:highlight w:val="none"/>
        </w:rPr>
        <w:t>）</w:t>
      </w:r>
    </w:p>
    <w:p w14:paraId="286B8BB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color w:val="auto"/>
          <w:szCs w:val="21"/>
          <w:highlight w:val="none"/>
        </w:rPr>
        <w:t>电子唱标。</w:t>
      </w:r>
      <w:r>
        <w:rPr>
          <w:rFonts w:hint="eastAsia" w:ascii="仿宋" w:hAnsi="仿宋" w:eastAsia="仿宋" w:cs="仿宋"/>
          <w:color w:val="auto"/>
          <w:szCs w:val="21"/>
          <w:highlight w:val="none"/>
        </w:rPr>
        <w:t>投标文件解密结束，各投标供应商报价均在“政采云”平台远程不见面开标大厅展示；</w:t>
      </w:r>
    </w:p>
    <w:p w14:paraId="5AA3493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
          <w:color w:val="auto"/>
          <w:szCs w:val="21"/>
          <w:highlight w:val="none"/>
        </w:rPr>
        <w:t>签署电子《政府采购活动现场确认声明书》。</w:t>
      </w:r>
      <w:r>
        <w:rPr>
          <w:rFonts w:hint="eastAsia" w:ascii="仿宋" w:hAnsi="仿宋" w:eastAsia="仿宋" w:cs="仿宋"/>
          <w:color w:val="auto"/>
          <w:szCs w:val="21"/>
          <w:highlight w:val="none"/>
        </w:rPr>
        <w:t>通过邮件形式在远程不见面开标大厅发送各投标人签署电子《政府采购活动现场确认声明书》。</w:t>
      </w:r>
    </w:p>
    <w:p w14:paraId="112FB769">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C2DD125">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2A188AB">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（6）开标结束。</w:t>
      </w:r>
    </w:p>
    <w:p w14:paraId="6D6AA00C">
      <w:pPr>
        <w:pStyle w:val="13"/>
        <w:snapToGrid w:val="0"/>
        <w:spacing w:line="440" w:lineRule="exact"/>
        <w:ind w:firstLine="40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特别说明：</w:t>
      </w:r>
      <w:r>
        <w:rPr>
          <w:rFonts w:hint="eastAsia" w:ascii="仿宋" w:hAnsi="仿宋" w:eastAsia="仿宋" w:cs="仿宋"/>
          <w:color w:val="auto"/>
          <w:szCs w:val="21"/>
          <w:highlight w:val="none"/>
        </w:rPr>
        <w:t>如遇“政采云”平台电子化开标或评审程序调整的，按调整后执行。</w:t>
      </w:r>
    </w:p>
    <w:p w14:paraId="4BE6A030">
      <w:pPr>
        <w:pStyle w:val="13"/>
        <w:snapToGrid w:val="0"/>
        <w:spacing w:line="400" w:lineRule="exact"/>
        <w:ind w:left="679" w:leftChars="228" w:hanging="200" w:hangingChars="100"/>
        <w:rPr>
          <w:rFonts w:hint="eastAsia" w:ascii="仿宋" w:hAnsi="仿宋" w:eastAsia="仿宋" w:cs="仿宋"/>
          <w:color w:val="auto"/>
          <w:highlight w:val="none"/>
        </w:rPr>
      </w:pPr>
    </w:p>
    <w:p w14:paraId="7471C527">
      <w:pPr>
        <w:pStyle w:val="4"/>
        <w:keepNext w:val="0"/>
        <w:keepLines w:val="0"/>
        <w:spacing w:line="400" w:lineRule="exact"/>
        <w:jc w:val="center"/>
        <w:rPr>
          <w:rFonts w:hint="eastAsia" w:ascii="仿宋" w:hAnsi="仿宋" w:eastAsia="仿宋" w:cs="仿宋"/>
          <w:color w:val="auto"/>
          <w:highlight w:val="none"/>
        </w:rPr>
      </w:pPr>
      <w:bookmarkStart w:id="90" w:name="_Toc12642"/>
      <w:bookmarkStart w:id="91" w:name="_Toc31994"/>
      <w:r>
        <w:rPr>
          <w:rFonts w:hint="eastAsia" w:ascii="仿宋" w:hAnsi="仿宋" w:eastAsia="仿宋" w:cs="仿宋"/>
          <w:color w:val="auto"/>
          <w:highlight w:val="none"/>
        </w:rPr>
        <w:t>五、资格审查</w:t>
      </w:r>
      <w:bookmarkEnd w:id="90"/>
      <w:bookmarkEnd w:id="91"/>
    </w:p>
    <w:p w14:paraId="76FE922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25.资格审查</w:t>
      </w:r>
    </w:p>
    <w:p w14:paraId="1F3CAF51">
      <w:pPr>
        <w:spacing w:line="360" w:lineRule="auto"/>
        <w:ind w:firstLine="422" w:firstLineChars="200"/>
        <w:rPr>
          <w:rFonts w:hint="eastAsia" w:ascii="仿宋" w:hAnsi="仿宋" w:eastAsia="仿宋" w:cs="仿宋"/>
          <w:b/>
          <w:bCs/>
          <w:color w:val="auto"/>
          <w:szCs w:val="20"/>
          <w:highlight w:val="none"/>
        </w:rPr>
      </w:pPr>
      <w:r>
        <w:rPr>
          <w:rFonts w:hint="eastAsia" w:ascii="仿宋" w:hAnsi="仿宋" w:eastAsia="仿宋" w:cs="仿宋"/>
          <w:b/>
          <w:bCs/>
          <w:color w:val="auto"/>
          <w:szCs w:val="20"/>
          <w:highlight w:val="none"/>
        </w:rPr>
        <w:t xml:space="preserve"> 25.1开标结束后，采购人或采购机构依法通过电子投标文件对投标人的资格进行线上审查。</w:t>
      </w:r>
    </w:p>
    <w:p w14:paraId="59F3D942">
      <w:pPr>
        <w:spacing w:line="360" w:lineRule="auto"/>
        <w:ind w:firstLine="422" w:firstLineChars="200"/>
        <w:rPr>
          <w:rFonts w:hint="eastAsia" w:ascii="仿宋" w:hAnsi="仿宋" w:eastAsia="仿宋" w:cs="仿宋"/>
          <w:b/>
          <w:bCs/>
          <w:color w:val="auto"/>
          <w:szCs w:val="20"/>
          <w:highlight w:val="none"/>
        </w:rPr>
      </w:pPr>
      <w:r>
        <w:rPr>
          <w:rFonts w:hint="eastAsia" w:ascii="仿宋" w:hAnsi="仿宋" w:eastAsia="仿宋" w:cs="仿宋"/>
          <w:b/>
          <w:bCs/>
          <w:color w:val="auto"/>
          <w:szCs w:val="20"/>
          <w:highlight w:val="none"/>
        </w:rPr>
        <w:t xml:space="preserve"> 25.2采购人或采购机构依据法律法规和招标文件的规定，对投标人的基本资格条件、特定资格条件进行审查。</w:t>
      </w:r>
    </w:p>
    <w:p w14:paraId="16EAB6A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34BFE43">
      <w:pPr>
        <w:spacing w:line="360" w:lineRule="auto"/>
        <w:ind w:firstLine="422" w:firstLineChars="200"/>
        <w:rPr>
          <w:rFonts w:hint="eastAsia" w:ascii="仿宋" w:hAnsi="仿宋" w:eastAsia="仿宋" w:cs="仿宋"/>
          <w:b/>
          <w:bCs/>
          <w:color w:val="auto"/>
          <w:szCs w:val="20"/>
          <w:highlight w:val="none"/>
        </w:rPr>
      </w:pPr>
      <w:bookmarkStart w:id="92" w:name="_25.3_投标人有下列情形之一的，资格审查不通过而导致其投标无效："/>
      <w:bookmarkEnd w:id="92"/>
      <w:r>
        <w:rPr>
          <w:rFonts w:hint="eastAsia" w:ascii="仿宋" w:hAnsi="仿宋" w:eastAsia="仿宋" w:cs="仿宋"/>
          <w:b/>
          <w:bCs/>
          <w:color w:val="auto"/>
          <w:szCs w:val="20"/>
          <w:highlight w:val="none"/>
        </w:rPr>
        <w:t>25.4投标人有下列情形之一的，资格审查不通过，作无效投标处理：</w:t>
      </w:r>
    </w:p>
    <w:p w14:paraId="6464476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（1）不具备招标文件中规定的资格要求的；（注：其中信用查询规则见“投标人须知前附表”，“政采云”平台已与“信用中国”平台做接口，审查专家可直接在线查询）</w:t>
      </w:r>
    </w:p>
    <w:p w14:paraId="6EE3997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（2）投标文件未提供任一项“投标人须知前附表”资格证明文件规定的“必须提供”的文件资料的；</w:t>
      </w:r>
    </w:p>
    <w:p w14:paraId="14C65A9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（3）投标文件提供的资格证明文件出现任一项不符合“投标人须知前附表”资格证明文件规定的“必须提供”的文件资料要求或者无效的。</w:t>
      </w:r>
    </w:p>
    <w:p w14:paraId="3484CDAF">
      <w:pPr>
        <w:spacing w:line="360" w:lineRule="auto"/>
        <w:ind w:firstLine="420" w:firstLineChars="200"/>
        <w:rPr>
          <w:rFonts w:hint="eastAsia" w:ascii="仿宋" w:hAnsi="仿宋" w:eastAsia="仿宋" w:cs="仿宋"/>
          <w:color w:val="auto"/>
          <w:szCs w:val="20"/>
          <w:highlight w:val="none"/>
        </w:rPr>
      </w:pPr>
      <w:r>
        <w:rPr>
          <w:rFonts w:hint="eastAsia" w:ascii="仿宋" w:hAnsi="仿宋" w:eastAsia="仿宋" w:cs="仿宋"/>
          <w:color w:val="auto"/>
          <w:szCs w:val="20"/>
          <w:highlight w:val="none"/>
        </w:rPr>
        <w:t>25.5资格审查的合格投标人不足3家的，不得评标。</w:t>
      </w:r>
    </w:p>
    <w:p w14:paraId="71635D8D">
      <w:pPr>
        <w:spacing w:line="360" w:lineRule="auto"/>
        <w:jc w:val="center"/>
        <w:rPr>
          <w:rFonts w:hint="eastAsia" w:ascii="仿宋" w:hAnsi="仿宋" w:eastAsia="仿宋" w:cs="仿宋"/>
          <w:color w:val="auto"/>
          <w:highlight w:val="none"/>
        </w:rPr>
      </w:pPr>
      <w:bookmarkStart w:id="93" w:name="_Toc20983"/>
    </w:p>
    <w:p w14:paraId="544981E0">
      <w:pPr>
        <w:pStyle w:val="4"/>
        <w:keepNext w:val="0"/>
        <w:keepLines w:val="0"/>
        <w:spacing w:line="360" w:lineRule="auto"/>
        <w:jc w:val="center"/>
        <w:rPr>
          <w:rFonts w:hint="eastAsia" w:ascii="仿宋" w:hAnsi="仿宋" w:eastAsia="仿宋" w:cs="仿宋"/>
          <w:color w:val="auto"/>
          <w:highlight w:val="none"/>
        </w:rPr>
      </w:pPr>
      <w:bookmarkStart w:id="94" w:name="_Toc7858"/>
      <w:r>
        <w:rPr>
          <w:rFonts w:hint="eastAsia" w:ascii="仿宋" w:hAnsi="仿宋" w:eastAsia="仿宋" w:cs="仿宋"/>
          <w:color w:val="auto"/>
          <w:highlight w:val="none"/>
        </w:rPr>
        <w:t>六、评   标</w:t>
      </w:r>
      <w:bookmarkEnd w:id="93"/>
      <w:bookmarkEnd w:id="94"/>
    </w:p>
    <w:p w14:paraId="32E6A56B">
      <w:pPr>
        <w:spacing w:line="360" w:lineRule="auto"/>
        <w:ind w:firstLine="480" w:firstLineChars="200"/>
        <w:rPr>
          <w:rFonts w:hint="eastAsia" w:ascii="仿宋" w:hAnsi="仿宋" w:eastAsia="仿宋" w:cs="仿宋"/>
          <w:color w:val="auto"/>
          <w:sz w:val="24"/>
          <w:highlight w:val="none"/>
        </w:rPr>
      </w:pPr>
      <w:bookmarkStart w:id="95" w:name="_26.组建评标委员会"/>
      <w:bookmarkEnd w:id="95"/>
      <w:r>
        <w:rPr>
          <w:rFonts w:hint="eastAsia" w:ascii="仿宋" w:hAnsi="仿宋" w:eastAsia="仿宋" w:cs="仿宋"/>
          <w:color w:val="auto"/>
          <w:sz w:val="24"/>
          <w:highlight w:val="none"/>
        </w:rPr>
        <w:t>26.组建评标委员会</w:t>
      </w:r>
    </w:p>
    <w:p w14:paraId="214120A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评标委员会由采购人代表和评审专家组成，人数为5人以上单数，其中评审专家不得少于成员总数的三分之二。</w:t>
      </w:r>
    </w:p>
    <w:p w14:paraId="46DF8C9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参加过采购项目前期咨询论证的专家，不得参加该采购项目的评审活动。</w:t>
      </w:r>
    </w:p>
    <w:p w14:paraId="362588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27.评标的依据</w:t>
      </w:r>
    </w:p>
    <w:p w14:paraId="26EA688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评标委员会以招标文件为依据对投标文件进行评审，“第四章 </w:t>
      </w:r>
      <w:r>
        <w:rPr>
          <w:rFonts w:hint="eastAsia" w:ascii="仿宋" w:hAnsi="仿宋" w:eastAsia="仿宋" w:cs="仿宋"/>
          <w:color w:val="auto"/>
          <w:highlight w:val="none"/>
          <w:lang w:eastAsia="zh-CN"/>
        </w:rPr>
        <w:t>评标方法及评标标准</w:t>
      </w:r>
      <w:r>
        <w:rPr>
          <w:rFonts w:hint="eastAsia" w:ascii="仿宋" w:hAnsi="仿宋" w:eastAsia="仿宋" w:cs="仿宋"/>
          <w:color w:val="auto"/>
          <w:highlight w:val="none"/>
        </w:rPr>
        <w:t>”没有规定的方法、评审因素和标准，不作为评标依据。</w:t>
      </w:r>
    </w:p>
    <w:p w14:paraId="07FE04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28.评标原则</w:t>
      </w:r>
    </w:p>
    <w:p w14:paraId="11DBB0D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AAC9CF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6" w:name="_28.3评标方法。本项目将按须知前附表规定的评标办法进行评标，具体评标"/>
      <w:bookmarkEnd w:id="96"/>
    </w:p>
    <w:p w14:paraId="45ADEB6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2F881F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28.4评标过程的监控。本项目电子评标过程实行网上留痕、全程录音、录像监控，投标人在评标过程中所进行的试图影响评标结果的不公正活动，可能导致其投标按无效处理。</w:t>
      </w:r>
    </w:p>
    <w:p w14:paraId="0B07230E">
      <w:pPr>
        <w:widowControl/>
        <w:spacing w:line="560" w:lineRule="exact"/>
        <w:ind w:firstLine="420" w:firstLineChars="200"/>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B6FCF0A">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29.</w:t>
      </w:r>
      <w:r>
        <w:rPr>
          <w:rFonts w:hint="eastAsia" w:ascii="仿宋" w:hAnsi="仿宋" w:eastAsia="仿宋" w:cs="仿宋"/>
          <w:color w:val="auto"/>
          <w:sz w:val="24"/>
          <w:highlight w:val="none"/>
          <w:lang w:eastAsia="zh-CN"/>
        </w:rPr>
        <w:t>评标方法及评标标准</w:t>
      </w:r>
    </w:p>
    <w:p w14:paraId="58657A9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29.1本项目的评标方法详见“投标人须知前附表”。</w:t>
      </w:r>
    </w:p>
    <w:p w14:paraId="4CCBA10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29.2 评标委员会按照</w:t>
      </w:r>
      <w:r>
        <w:rPr>
          <w:rFonts w:hint="eastAsia" w:ascii="仿宋" w:hAnsi="仿宋" w:eastAsia="仿宋" w:cs="仿宋"/>
          <w:b/>
          <w:color w:val="auto"/>
          <w:highlight w:val="none"/>
        </w:rPr>
        <w:t xml:space="preserve">“第四章 </w:t>
      </w:r>
      <w:r>
        <w:rPr>
          <w:rFonts w:hint="eastAsia" w:ascii="仿宋" w:hAnsi="仿宋" w:eastAsia="仿宋" w:cs="仿宋"/>
          <w:b/>
          <w:color w:val="auto"/>
          <w:highlight w:val="none"/>
          <w:lang w:eastAsia="zh-CN"/>
        </w:rPr>
        <w:t>评标方法及评标标准</w:t>
      </w:r>
      <w:r>
        <w:rPr>
          <w:rFonts w:hint="eastAsia" w:ascii="仿宋" w:hAnsi="仿宋" w:eastAsia="仿宋" w:cs="仿宋"/>
          <w:b/>
          <w:color w:val="auto"/>
          <w:highlight w:val="none"/>
        </w:rPr>
        <w:t>”</w:t>
      </w:r>
      <w:r>
        <w:rPr>
          <w:rFonts w:hint="eastAsia" w:ascii="仿宋" w:hAnsi="仿宋" w:eastAsia="仿宋" w:cs="仿宋"/>
          <w:color w:val="auto"/>
          <w:highlight w:val="none"/>
        </w:rPr>
        <w:t>规定的方法、评审因素、标准和程序对投标文件进行评审。</w:t>
      </w:r>
    </w:p>
    <w:p w14:paraId="45ED1E9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29.3 电子交易活动的中止。采购过程中出现以下情形，导致电子交易平台无法正常运行，或者无法保证电子交易的公平、公正和安全时，采购机构可中止电子交易活动：</w:t>
      </w:r>
    </w:p>
    <w:p w14:paraId="11BADD3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（1）电子交易平台发生故障而无法登录访问的； </w:t>
      </w:r>
    </w:p>
    <w:p w14:paraId="23E2095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（2）电子交易平台应用或数据库出现错误，不能进行正常操作的；</w:t>
      </w:r>
    </w:p>
    <w:p w14:paraId="38F8EE2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（3）电子交易平台发现严重安全漏洞，有潜在泄密危险的；</w:t>
      </w:r>
    </w:p>
    <w:p w14:paraId="6348F13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（4）病毒发作导致不能进行正常操作的； </w:t>
      </w:r>
    </w:p>
    <w:p w14:paraId="41850C2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（4）其他无法保证电子交易的公平、公正和安全的情况。</w:t>
      </w:r>
    </w:p>
    <w:p w14:paraId="746B24A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F4EE181">
      <w:pPr>
        <w:spacing w:line="360" w:lineRule="auto"/>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29.5</w:t>
      </w:r>
      <w:r>
        <w:rPr>
          <w:rFonts w:hint="eastAsia" w:ascii="仿宋" w:hAnsi="仿宋" w:eastAsia="仿宋" w:cs="仿宋"/>
          <w:b/>
          <w:bCs/>
          <w:color w:val="auto"/>
          <w:highlight w:val="none"/>
        </w:rPr>
        <w:t>政府采购异常低价审查程序</w:t>
      </w:r>
    </w:p>
    <w:p w14:paraId="4458E039">
      <w:pPr>
        <w:spacing w:line="360" w:lineRule="auto"/>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29.5</w:t>
      </w:r>
      <w:r>
        <w:rPr>
          <w:rFonts w:hint="eastAsia" w:ascii="仿宋" w:hAnsi="仿宋" w:eastAsia="仿宋" w:cs="仿宋"/>
          <w:b/>
          <w:bCs/>
          <w:color w:val="auto"/>
          <w:highlight w:val="none"/>
        </w:rPr>
        <w:t>.1评审中出现下列情形之一的，评审委员会应当启动异常低价响应审查程序：</w:t>
      </w:r>
    </w:p>
    <w:p w14:paraId="6B14849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低于全部通过符合性审查供应商</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平均值50%的，即</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&lt;全部通过符合性审查供应商</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平均值×50%；</w:t>
      </w:r>
    </w:p>
    <w:p w14:paraId="6141749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低于通过符合性审查的次低报价供应商</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50%的，即</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&lt;通过符合性审查的次低报价供应商</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×50%；</w:t>
      </w:r>
    </w:p>
    <w:p w14:paraId="4E224F0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低于采购项目最高限价45%的，即</w:t>
      </w:r>
      <w:r>
        <w:rPr>
          <w:rFonts w:hint="eastAsia" w:ascii="仿宋" w:hAnsi="仿宋" w:eastAsia="仿宋" w:cs="仿宋"/>
          <w:color w:val="auto"/>
          <w:highlight w:val="none"/>
          <w:lang w:eastAsia="zh-CN"/>
        </w:rPr>
        <w:t>投标报价</w:t>
      </w:r>
      <w:r>
        <w:rPr>
          <w:rFonts w:hint="eastAsia" w:ascii="仿宋" w:hAnsi="仿宋" w:eastAsia="仿宋" w:cs="仿宋"/>
          <w:color w:val="auto"/>
          <w:highlight w:val="none"/>
        </w:rPr>
        <w:t>&lt;采购项目最高限价×45%；</w:t>
      </w:r>
    </w:p>
    <w:p w14:paraId="4BDAB81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（4）评审委员会基于专业判断，认为供应商报价过低，有可能影响产品质量或者不能诚信履约的其他情形。</w:t>
      </w:r>
    </w:p>
    <w:p w14:paraId="6EF0585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采购人可以结合具体项目实际情况，提高上述第1项至第3项中启动异常低价响应审查的数值标准，但是最高不得超过65%。</w:t>
      </w:r>
    </w:p>
    <w:p w14:paraId="1F57A68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E1D43F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29.5.2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0A80047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29.5.3采购人、采购代理机构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A6CB93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29.5.4异常低价响应审查的启动原因、审查意见和审查结果应当在评审报告中记录，并随供应商提供的相关书面说明及证明材料，以及评审委员会有关互联网浏览、查询历史一并归档。</w:t>
      </w:r>
    </w:p>
    <w:p w14:paraId="748FB64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29.5.5采购人将落实履约验收责任，依法组织履约验收工作，验收内容要包括每一项技术和商务要求的履约情况。对报价触发异常低价响应审查程序后仍成交的供应商，重点关注其履约承诺、实际履约情况等。对可以分期实施的采购项目，实行分期考核、分期验收、分期支付，及时掌握供应商履约进展。如供应商成交后无正当理由拒不签订政府采购合同的，依法予以处理；如供应商不履行合同或者未按合同约定履行合同导致验收不合格的，采购人当依法追究其违约责任。</w:t>
      </w:r>
    </w:p>
    <w:p w14:paraId="692B2E22">
      <w:pPr>
        <w:pStyle w:val="13"/>
        <w:snapToGrid w:val="0"/>
        <w:spacing w:line="400" w:lineRule="exact"/>
        <w:ind w:firstLine="400" w:firstLineChars="200"/>
        <w:rPr>
          <w:rFonts w:hint="default" w:ascii="仿宋" w:hAnsi="仿宋" w:eastAsia="仿宋" w:cs="仿宋"/>
          <w:color w:val="auto"/>
          <w:highlight w:val="none"/>
          <w:lang w:val="en-US" w:eastAsia="zh-CN"/>
        </w:rPr>
      </w:pPr>
    </w:p>
    <w:p w14:paraId="71F93733">
      <w:pPr>
        <w:pStyle w:val="4"/>
        <w:keepNext w:val="0"/>
        <w:keepLines w:val="0"/>
        <w:spacing w:line="400" w:lineRule="exact"/>
        <w:jc w:val="center"/>
        <w:rPr>
          <w:rFonts w:hint="eastAsia" w:ascii="仿宋" w:hAnsi="仿宋" w:eastAsia="仿宋" w:cs="仿宋"/>
          <w:color w:val="auto"/>
          <w:highlight w:val="none"/>
        </w:rPr>
      </w:pPr>
      <w:bookmarkStart w:id="97" w:name="_Toc254970687"/>
      <w:bookmarkStart w:id="98" w:name="_Toc254970546"/>
      <w:bookmarkStart w:id="99" w:name="_Toc14603"/>
      <w:bookmarkStart w:id="100" w:name="_Toc24771"/>
      <w:r>
        <w:rPr>
          <w:rFonts w:hint="eastAsia" w:ascii="仿宋" w:hAnsi="仿宋" w:eastAsia="仿宋" w:cs="仿宋"/>
          <w:color w:val="auto"/>
          <w:highlight w:val="none"/>
        </w:rPr>
        <w:t>七、</w:t>
      </w:r>
      <w:bookmarkEnd w:id="97"/>
      <w:bookmarkEnd w:id="98"/>
      <w:r>
        <w:rPr>
          <w:rFonts w:hint="eastAsia" w:ascii="仿宋" w:hAnsi="仿宋" w:eastAsia="仿宋" w:cs="仿宋"/>
          <w:color w:val="auto"/>
          <w:highlight w:val="none"/>
        </w:rPr>
        <w:t>中标和合同</w:t>
      </w:r>
      <w:bookmarkEnd w:id="99"/>
      <w:bookmarkEnd w:id="100"/>
    </w:p>
    <w:p w14:paraId="444ACF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30.确定中标人</w:t>
      </w:r>
    </w:p>
    <w:p w14:paraId="1CC7BC8D">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30.1本项目授权评标委员会直接按第四章“评标方法及标准”的规定排列中标候选人顺序，并依照次序确定中标人。</w:t>
      </w:r>
    </w:p>
    <w:p w14:paraId="2CFA951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B0B6E9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30.3中标供应商无正当理由拒签合同的，根据《中华人民共和国政府采购法》第七十七条第一款规定处理。</w:t>
      </w:r>
    </w:p>
    <w:p w14:paraId="4C3B3D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30.4根据《中华人民共和国民法典》</w:t>
      </w:r>
      <w:r>
        <w:rPr>
          <w:rFonts w:hint="eastAsia" w:ascii="仿宋" w:hAnsi="仿宋" w:eastAsia="仿宋" w:cs="仿宋"/>
          <w:color w:val="auto"/>
          <w:sz w:val="19"/>
          <w:szCs w:val="19"/>
          <w:highlight w:val="none"/>
        </w:rPr>
        <w:t>第五百六十三条</w:t>
      </w:r>
      <w:r>
        <w:rPr>
          <w:rFonts w:hint="eastAsia" w:ascii="仿宋" w:hAnsi="仿宋" w:eastAsia="仿宋" w:cs="仿宋"/>
          <w:color w:val="auto"/>
          <w:szCs w:val="21"/>
          <w:highlight w:val="none"/>
        </w:rPr>
        <w:t>，因不可抗力致使不能实现合同目的的，当事人可以解除合同。</w:t>
      </w:r>
    </w:p>
    <w:p w14:paraId="06C5EC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31.结果公告</w:t>
      </w:r>
    </w:p>
    <w:p w14:paraId="02FA47B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31.1</w:t>
      </w:r>
      <w:r>
        <w:rPr>
          <w:rFonts w:hint="eastAsia" w:ascii="仿宋" w:hAnsi="仿宋" w:eastAsia="仿宋" w:cs="仿宋"/>
          <w:color w:val="auto"/>
          <w:highlight w:val="none"/>
        </w:rPr>
        <w:t>在中标供应商确定之日起2个工作日内，由采购代理机构</w:t>
      </w:r>
      <w:r>
        <w:rPr>
          <w:rFonts w:hint="eastAsia" w:ascii="仿宋" w:hAnsi="仿宋" w:eastAsia="仿宋" w:cs="仿宋"/>
          <w:b/>
          <w:color w:val="auto"/>
          <w:szCs w:val="21"/>
          <w:highlight w:val="none"/>
        </w:rPr>
        <w:t>在招标公告发布媒体上</w:t>
      </w:r>
      <w:r>
        <w:rPr>
          <w:rFonts w:hint="eastAsia" w:ascii="仿宋" w:hAnsi="仿宋" w:eastAsia="仿宋" w:cs="仿宋"/>
          <w:color w:val="auto"/>
          <w:highlight w:val="none"/>
        </w:rPr>
        <w:t>发布中标结果公告，中标结果公告期限为1个工作日，发布中标结果公告的同时向中标供应商发出中标通知书。</w:t>
      </w:r>
      <w:r>
        <w:rPr>
          <w:rFonts w:hint="eastAsia" w:ascii="仿宋" w:hAnsi="仿宋" w:eastAsia="仿宋" w:cs="仿宋"/>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cs="仿宋"/>
          <w:color w:val="auto"/>
          <w:szCs w:val="21"/>
          <w:highlight w:val="none"/>
        </w:rPr>
        <w:t>排名第二的中标候选人因前款规定的同样原因被取消中标资格的，授权的评标委员会可以确定排名第三的中标候选人为中标人，以此类推。</w:t>
      </w:r>
    </w:p>
    <w:p w14:paraId="249A5DC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以上信息查询记录及相关证据与采购文件一并保存。</w:t>
      </w:r>
    </w:p>
    <w:p w14:paraId="528F39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BBAD6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32.发出中标通知书</w:t>
      </w:r>
    </w:p>
    <w:p w14:paraId="77746019">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32.1在发布中标公告的同时，采购代理机构向中标人通过“政采云”平台发出电子中标通知书。</w:t>
      </w:r>
    </w:p>
    <w:p w14:paraId="44B882F2">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2A9B65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33.无义务解释未中标原因</w:t>
      </w:r>
    </w:p>
    <w:p w14:paraId="3860D8D4">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采购代理机构无义务向未中标的投标人解释未中标原因和退还投标文件。</w:t>
      </w:r>
    </w:p>
    <w:p w14:paraId="728FC5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34.合同授予标准</w:t>
      </w:r>
    </w:p>
    <w:p w14:paraId="4E71589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合同将授予被确定实质上响应招标文件要求，具备履行合同能力的中标人（招标文件另有约定多名中标人的除外）。</w:t>
      </w:r>
    </w:p>
    <w:p w14:paraId="0AB9F4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35.履约保证金</w:t>
      </w:r>
    </w:p>
    <w:p w14:paraId="146CF5F4">
      <w:pPr>
        <w:spacing w:line="360" w:lineRule="auto"/>
        <w:ind w:firstLine="420" w:firstLineChars="200"/>
        <w:rPr>
          <w:rFonts w:hint="eastAsia" w:ascii="仿宋" w:hAnsi="仿宋" w:eastAsia="仿宋" w:cs="仿宋"/>
          <w:color w:val="auto"/>
          <w:szCs w:val="21"/>
          <w:highlight w:val="none"/>
        </w:rPr>
      </w:pPr>
      <w:bookmarkStart w:id="101" w:name="_39.1中标人须于签订合同前按本须知前附表规定的金额转账或电汇到指定账"/>
      <w:bookmarkEnd w:id="101"/>
      <w:r>
        <w:rPr>
          <w:rFonts w:hint="eastAsia" w:ascii="仿宋" w:hAnsi="仿宋" w:eastAsia="仿宋" w:cs="仿宋"/>
          <w:color w:val="auto"/>
          <w:szCs w:val="21"/>
          <w:highlight w:val="none"/>
        </w:rPr>
        <w:t>见“投标人须知前附表”。</w:t>
      </w:r>
    </w:p>
    <w:p w14:paraId="6B10D8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36.签订合同</w:t>
      </w:r>
    </w:p>
    <w:p w14:paraId="16F43BC2">
      <w:pPr>
        <w:pStyle w:val="31"/>
        <w:snapToGrid w:val="0"/>
        <w:spacing w:before="0"/>
        <w:ind w:firstLine="422"/>
        <w:rPr>
          <w:rFonts w:hint="eastAsia" w:ascii="仿宋" w:hAnsi="仿宋" w:eastAsia="仿宋" w:cs="仿宋"/>
          <w:color w:val="auto"/>
          <w:sz w:val="21"/>
          <w:szCs w:val="21"/>
          <w:highlight w:val="none"/>
          <w:lang w:val="zh-CN"/>
        </w:rPr>
      </w:pPr>
      <w:bookmarkStart w:id="102" w:name="_40.1投标人接到中标通知书后，按须知前附表规定向采购人出示相关资格证"/>
      <w:bookmarkEnd w:id="102"/>
      <w:r>
        <w:rPr>
          <w:rFonts w:hint="eastAsia" w:ascii="仿宋" w:hAnsi="仿宋" w:eastAsia="仿宋" w:cs="仿宋"/>
          <w:b/>
          <w:color w:val="auto"/>
          <w:sz w:val="21"/>
          <w:szCs w:val="21"/>
          <w:highlight w:val="none"/>
        </w:rPr>
        <w:t xml:space="preserve"> 36.1中标人领取电子中标通知书后，</w:t>
      </w:r>
      <w:r>
        <w:rPr>
          <w:rFonts w:hint="eastAsia" w:ascii="仿宋" w:hAnsi="仿宋" w:eastAsia="仿宋" w:cs="仿宋"/>
          <w:color w:val="auto"/>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167BB38">
      <w:pPr>
        <w:pStyle w:val="31"/>
        <w:snapToGrid w:val="0"/>
        <w:spacing w:before="0"/>
        <w:ind w:firstLine="42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36.2</w:t>
      </w:r>
      <w:r>
        <w:rPr>
          <w:rFonts w:hint="eastAsia" w:ascii="仿宋" w:hAnsi="仿宋" w:eastAsia="仿宋" w:cs="仿宋"/>
          <w:color w:val="auto"/>
          <w:sz w:val="21"/>
          <w:szCs w:val="21"/>
          <w:highlight w:val="none"/>
        </w:rPr>
        <w:t>采购合同由采购人与中标供应商根据招标文件、投标文件等内容通过政府采购电子交易平台在线签订，自动备案。</w:t>
      </w:r>
    </w:p>
    <w:p w14:paraId="033A0197">
      <w:pPr>
        <w:pStyle w:val="31"/>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36.3签订合同时间：按中标通知书规定的时间与采购人签订合同（最长不能超过25日）。</w:t>
      </w:r>
    </w:p>
    <w:p w14:paraId="1007C02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03CC2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FE528E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26299D0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36.7如签订合同并生效后，供应商无故拒绝或延期，除按照合同条款处理外，将承担相应的法律责任。</w:t>
      </w:r>
    </w:p>
    <w:p w14:paraId="6E796DF1">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5248B0C">
      <w:pPr>
        <w:spacing w:line="360" w:lineRule="auto"/>
        <w:ind w:firstLine="480" w:firstLineChars="200"/>
        <w:rPr>
          <w:rFonts w:hint="eastAsia" w:ascii="仿宋" w:hAnsi="仿宋" w:eastAsia="仿宋" w:cs="仿宋"/>
          <w:color w:val="auto"/>
          <w:sz w:val="24"/>
          <w:highlight w:val="none"/>
        </w:rPr>
      </w:pPr>
      <w:bookmarkStart w:id="103" w:name="_41.政府采购合同公告"/>
      <w:bookmarkEnd w:id="103"/>
      <w:r>
        <w:rPr>
          <w:rFonts w:hint="eastAsia" w:ascii="仿宋" w:hAnsi="仿宋" w:eastAsia="仿宋" w:cs="仿宋"/>
          <w:color w:val="auto"/>
          <w:sz w:val="24"/>
          <w:highlight w:val="none"/>
        </w:rPr>
        <w:t>37.政府采购合同公告</w:t>
      </w:r>
    </w:p>
    <w:p w14:paraId="1975A59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采购人或者受托采购代理机构应当自政府采购合同签订之日起2个工作日内，将政府采购合同</w:t>
      </w:r>
      <w:r>
        <w:rPr>
          <w:rFonts w:hint="eastAsia" w:ascii="仿宋" w:hAnsi="仿宋" w:eastAsia="仿宋" w:cs="仿宋"/>
          <w:bCs/>
          <w:color w:val="auto"/>
          <w:highlight w:val="none"/>
        </w:rPr>
        <w:t>在以下媒体上发布</w:t>
      </w:r>
      <w:r>
        <w:rPr>
          <w:rFonts w:hint="eastAsia" w:ascii="仿宋" w:hAnsi="仿宋" w:eastAsia="仿宋" w:cs="仿宋"/>
          <w:color w:val="auto"/>
          <w:kern w:val="0"/>
          <w:szCs w:val="21"/>
          <w:highlight w:val="none"/>
        </w:rPr>
        <w:t xml:space="preserve"> “广西政府采购网”（http://zfcg.gxzf.gov.cn）</w:t>
      </w:r>
      <w:r>
        <w:rPr>
          <w:rFonts w:hint="eastAsia" w:ascii="仿宋" w:hAnsi="仿宋" w:eastAsia="仿宋" w:cs="仿宋"/>
          <w:color w:val="auto"/>
          <w:highlight w:val="none"/>
        </w:rPr>
        <w:t>上公告，但政府采购合同中涉及国家秘密、商业秘密的内容除外。</w:t>
      </w:r>
    </w:p>
    <w:p w14:paraId="6DAEE8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38.询问、质疑和投诉</w:t>
      </w:r>
    </w:p>
    <w:p w14:paraId="4E950AE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38.1询问</w:t>
      </w:r>
    </w:p>
    <w:p w14:paraId="2F25DF18">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38.1.1供应商在开标前对政府采购活动事项有疑问的，可以向采购人或采购代理机构项目负责人提出询问。</w:t>
      </w:r>
    </w:p>
    <w:p w14:paraId="2C1A3FA5">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38.1.2采购人或采购人委托的采购代理机构自受理询问之日起3个工作日内对供应商依法提出的询问作出答复，</w:t>
      </w:r>
      <w:r>
        <w:rPr>
          <w:rFonts w:hint="eastAsia" w:ascii="仿宋" w:hAnsi="仿宋" w:eastAsia="仿宋" w:cs="仿宋"/>
          <w:color w:val="auto"/>
          <w:highlight w:val="none"/>
        </w:rPr>
        <w:t>但答复内容不得涉及商业秘密</w:t>
      </w:r>
      <w:r>
        <w:rPr>
          <w:rFonts w:hint="eastAsia" w:ascii="仿宋" w:hAnsi="仿宋" w:eastAsia="仿宋" w:cs="仿宋"/>
          <w:bCs/>
          <w:color w:val="auto"/>
          <w:szCs w:val="21"/>
          <w:highlight w:val="none"/>
        </w:rPr>
        <w:t>。</w:t>
      </w:r>
    </w:p>
    <w:p w14:paraId="1A4E11FB">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38.1.3 询问事项可能影响中标、成交结果的，采购人应当暂停签订合同，已经签订合同的，应当中止履行合同。</w:t>
      </w:r>
    </w:p>
    <w:p w14:paraId="01D3363E">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38.2质疑</w:t>
      </w:r>
    </w:p>
    <w:p w14:paraId="5DABAC8C">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38.2.1</w:t>
      </w:r>
      <w:r>
        <w:rPr>
          <w:rFonts w:hint="eastAsia" w:ascii="仿宋" w:hAnsi="仿宋" w:eastAsia="仿宋" w:cs="仿宋"/>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280AED2">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（1）潜在供应商依法获取公开招标文件后，认为采购文件使自己的权益受到损害的，应当在公开招标文件公告期限届满之日起7个工作日内提出质疑。</w:t>
      </w:r>
      <w:r>
        <w:rPr>
          <w:rFonts w:hint="eastAsia" w:ascii="仿宋" w:hAnsi="仿宋" w:eastAsia="仿宋" w:cs="仿宋"/>
          <w:color w:val="auto"/>
          <w:highlight w:val="none"/>
        </w:rPr>
        <w:t>委托代理协议无特殊约定的，</w:t>
      </w:r>
      <w:r>
        <w:rPr>
          <w:rFonts w:hint="eastAsia" w:ascii="仿宋" w:hAnsi="仿宋" w:eastAsia="仿宋" w:cs="仿宋"/>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072FF2CB">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3482A41">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（3）供应商认为中标或者成交结果使自己的权益受到损害的，应当在中标或者成交结果公告期限届满之日起7个工作日内提出质疑，由采购人受理并负责答复。</w:t>
      </w:r>
    </w:p>
    <w:p w14:paraId="788CF9E5">
      <w:pPr>
        <w:spacing w:line="360" w:lineRule="auto"/>
        <w:ind w:firstLine="422" w:firstLineChars="200"/>
        <w:rPr>
          <w:rFonts w:hint="eastAsia" w:ascii="仿宋" w:hAnsi="仿宋" w:eastAsia="仿宋" w:cs="仿宋"/>
          <w:bCs/>
          <w:color w:val="auto"/>
          <w:szCs w:val="21"/>
          <w:highlight w:val="none"/>
        </w:rPr>
      </w:pPr>
      <w:r>
        <w:rPr>
          <w:rFonts w:hint="eastAsia" w:ascii="仿宋" w:hAnsi="仿宋" w:eastAsia="仿宋" w:cs="仿宋"/>
          <w:b/>
          <w:bCs/>
          <w:color w:val="auto"/>
          <w:szCs w:val="21"/>
          <w:highlight w:val="none"/>
        </w:rPr>
        <w:t>38.2.2</w:t>
      </w:r>
      <w:r>
        <w:rPr>
          <w:rFonts w:hint="eastAsia" w:ascii="仿宋" w:hAnsi="仿宋" w:eastAsia="仿宋" w:cs="仿宋"/>
          <w:bCs/>
          <w:color w:val="auto"/>
          <w:szCs w:val="21"/>
          <w:highlight w:val="none"/>
        </w:rPr>
        <w:t>供应商质疑实行实名制，其质疑应当有具体的质疑事项及事实根据，质疑应当坚持依法依规、诚实信用原则，不得进行虚假、恶意质疑。</w:t>
      </w:r>
    </w:p>
    <w:p w14:paraId="7CA1308E">
      <w:pPr>
        <w:spacing w:line="360" w:lineRule="auto"/>
        <w:ind w:firstLine="422" w:firstLineChars="200"/>
        <w:rPr>
          <w:rFonts w:hint="eastAsia" w:ascii="仿宋" w:hAnsi="仿宋" w:eastAsia="仿宋" w:cs="仿宋"/>
          <w:bCs/>
          <w:color w:val="auto"/>
          <w:highlight w:val="none"/>
        </w:rPr>
      </w:pPr>
      <w:r>
        <w:rPr>
          <w:rFonts w:hint="eastAsia" w:ascii="仿宋" w:hAnsi="仿宋" w:eastAsia="仿宋" w:cs="仿宋"/>
          <w:b/>
          <w:bCs/>
          <w:color w:val="auto"/>
          <w:highlight w:val="none"/>
        </w:rPr>
        <w:t>38.2.3</w:t>
      </w:r>
      <w:r>
        <w:rPr>
          <w:rFonts w:hint="eastAsia" w:ascii="仿宋" w:hAnsi="仿宋" w:eastAsia="仿宋" w:cs="仿宋"/>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仿宋" w:hAnsi="仿宋" w:eastAsia="仿宋" w:cs="仿宋"/>
          <w:color w:val="auto"/>
          <w:highlight w:val="none"/>
        </w:rPr>
        <w:t>。</w:t>
      </w:r>
    </w:p>
    <w:p w14:paraId="62981FB1">
      <w:pPr>
        <w:spacing w:line="360" w:lineRule="auto"/>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38.2.4 质疑供应商提起质疑应当符合下列条件：</w:t>
      </w:r>
    </w:p>
    <w:p w14:paraId="7B0FEF95">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（1）质疑供应商是参与所质疑</w:t>
      </w:r>
      <w:r>
        <w:rPr>
          <w:rFonts w:hint="eastAsia" w:ascii="仿宋" w:hAnsi="仿宋" w:eastAsia="仿宋" w:cs="仿宋"/>
          <w:bCs/>
          <w:color w:val="auto"/>
          <w:szCs w:val="21"/>
          <w:highlight w:val="none"/>
        </w:rPr>
        <w:t>项目</w:t>
      </w:r>
      <w:r>
        <w:rPr>
          <w:rFonts w:hint="eastAsia" w:ascii="仿宋" w:hAnsi="仿宋" w:eastAsia="仿宋" w:cs="仿宋"/>
          <w:bCs/>
          <w:color w:val="auto"/>
          <w:highlight w:val="none"/>
        </w:rPr>
        <w:t>采购活动的供应商（潜在供应商已依法获取可之一的采购文件的，可以对该采购文件质疑）；</w:t>
      </w:r>
    </w:p>
    <w:p w14:paraId="75B976EA">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（2）质疑函内容符合本章第38.2.5项的规定；</w:t>
      </w:r>
    </w:p>
    <w:p w14:paraId="7935873E">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（3）在质疑有效期限内提起质疑；</w:t>
      </w:r>
    </w:p>
    <w:p w14:paraId="323E9A5C">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（4）属于所质疑的采购人或采购人委托的采购代理机构组织的采购活动；</w:t>
      </w:r>
    </w:p>
    <w:p w14:paraId="709CC28A">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（5）同一质疑事项未经采购人或采购人委托的采购代理机构质疑处理； </w:t>
      </w:r>
    </w:p>
    <w:p w14:paraId="48242066">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（6）供应商对同一采购程序环节的质疑应当在质疑有效期内一次性提出；</w:t>
      </w:r>
    </w:p>
    <w:p w14:paraId="2232636D">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（7）供应商提交质疑应当提交必要的证明材料，证明材料应以合法手段取得；</w:t>
      </w:r>
    </w:p>
    <w:p w14:paraId="32885ED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Cs/>
          <w:color w:val="auto"/>
          <w:highlight w:val="none"/>
        </w:rPr>
        <w:t>（8）财政部门规定的其他条件。</w:t>
      </w:r>
    </w:p>
    <w:p w14:paraId="2A047F74">
      <w:pPr>
        <w:spacing w:line="360" w:lineRule="auto"/>
        <w:ind w:firstLine="420" w:firstLineChars="200"/>
        <w:rPr>
          <w:rFonts w:hint="eastAsia" w:ascii="仿宋" w:hAnsi="仿宋" w:eastAsia="仿宋" w:cs="仿宋"/>
          <w:b/>
          <w:color w:val="auto"/>
          <w:szCs w:val="21"/>
          <w:highlight w:val="none"/>
        </w:rPr>
      </w:pPr>
      <w:bookmarkStart w:id="104" w:name="_9.2质疑、投诉应当采用书面形式，质疑函、投诉书均应明确阐述招标文件、"/>
      <w:bookmarkEnd w:id="104"/>
      <w:r>
        <w:rPr>
          <w:rFonts w:hint="eastAsia" w:ascii="仿宋" w:hAnsi="仿宋" w:eastAsia="仿宋" w:cs="仿宋"/>
          <w:color w:val="auto"/>
          <w:szCs w:val="21"/>
          <w:highlight w:val="none"/>
        </w:rPr>
        <w:t xml:space="preserve"> 38.2.5 </w:t>
      </w:r>
      <w:r>
        <w:rPr>
          <w:rFonts w:hint="eastAsia" w:ascii="仿宋" w:hAnsi="仿宋" w:eastAsia="仿宋" w:cs="仿宋"/>
          <w:bCs/>
          <w:color w:val="auto"/>
          <w:highlight w:val="none"/>
        </w:rPr>
        <w:t>供应商提出质疑应当提交质疑函和必要的证明材料，针对同一采购程序环节的质疑必须在法定质疑期内一次性提出。质疑函应当包括下列内容（质疑函格式后附）：</w:t>
      </w:r>
    </w:p>
    <w:p w14:paraId="19B1F1D0">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（1）供应商的姓名或者名称、地址、邮编、联系人及联系电话；</w:t>
      </w:r>
    </w:p>
    <w:p w14:paraId="0E6F63FF">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（2）质疑项目的名称、编号；</w:t>
      </w:r>
    </w:p>
    <w:p w14:paraId="6B9DCDBB">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（3）具体、明确的质疑事项和与质疑事项相关的请求；</w:t>
      </w:r>
    </w:p>
    <w:p w14:paraId="2F23FD44">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（4）事实依据（列明权益受到损害的事实和理由）；</w:t>
      </w:r>
    </w:p>
    <w:p w14:paraId="29CA9B83">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（5）必要的法律依据；</w:t>
      </w:r>
    </w:p>
    <w:p w14:paraId="4630033D">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（6）提出质疑的日期。</w:t>
      </w:r>
    </w:p>
    <w:p w14:paraId="0B925869">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供应商为自然人的，应当由本人签字；供应商为法人或者其他组织的，应当由法定代表人、主要负责人，或者其委托代理人签字或者盖章，并加盖公章。</w:t>
      </w:r>
    </w:p>
    <w:p w14:paraId="6F1268D8">
      <w:pPr>
        <w:spacing w:line="360" w:lineRule="auto"/>
        <w:ind w:firstLine="422" w:firstLineChars="200"/>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8D463E1">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C01B310">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680A1857">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05744179">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质疑答复导致中标结果改变的，采购人或者采购代理机构应当将有关情况书面报告本级财政部门。</w:t>
      </w:r>
    </w:p>
    <w:p w14:paraId="11C89CBC">
      <w:pPr>
        <w:spacing w:line="360"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38.3投诉</w:t>
      </w:r>
    </w:p>
    <w:p w14:paraId="0DBEB7B2">
      <w:pPr>
        <w:spacing w:line="360" w:lineRule="auto"/>
        <w:ind w:firstLine="422" w:firstLineChars="200"/>
        <w:rPr>
          <w:rFonts w:hint="eastAsia" w:ascii="仿宋" w:hAnsi="仿宋" w:eastAsia="仿宋" w:cs="仿宋"/>
          <w:bCs/>
          <w:color w:val="auto"/>
          <w:highlight w:val="none"/>
        </w:rPr>
      </w:pPr>
      <w:r>
        <w:rPr>
          <w:rFonts w:hint="eastAsia" w:ascii="仿宋" w:hAnsi="仿宋" w:eastAsia="仿宋" w:cs="仿宋"/>
          <w:b/>
          <w:color w:val="auto"/>
          <w:highlight w:val="none"/>
        </w:rPr>
        <w:t>38.3</w:t>
      </w:r>
      <w:r>
        <w:rPr>
          <w:rFonts w:hint="eastAsia" w:ascii="仿宋" w:hAnsi="仿宋" w:eastAsia="仿宋" w:cs="仿宋"/>
          <w:bCs/>
          <w:color w:val="auto"/>
          <w:highlight w:val="none"/>
        </w:rPr>
        <w:t>.</w:t>
      </w:r>
      <w:r>
        <w:rPr>
          <w:rFonts w:hint="eastAsia" w:ascii="仿宋" w:hAnsi="仿宋" w:eastAsia="仿宋" w:cs="仿宋"/>
          <w:b/>
          <w:bCs/>
          <w:color w:val="auto"/>
          <w:highlight w:val="none"/>
        </w:rPr>
        <w:t xml:space="preserve">1 </w:t>
      </w:r>
      <w:r>
        <w:rPr>
          <w:rFonts w:hint="eastAsia" w:ascii="仿宋" w:hAnsi="仿宋" w:eastAsia="仿宋" w:cs="仿宋"/>
          <w:bCs/>
          <w:color w:val="auto"/>
          <w:highlight w:val="none"/>
        </w:rPr>
        <w:t>供应商认为采购文件、采购过程、中标和成交结果使自己的合法权益受到损害的，应当首先依法向采购人或采购人委托的</w:t>
      </w:r>
      <w:r>
        <w:rPr>
          <w:rFonts w:hint="eastAsia" w:ascii="仿宋" w:hAnsi="仿宋" w:eastAsia="仿宋" w:cs="仿宋"/>
          <w:color w:val="auto"/>
          <w:highlight w:val="none"/>
        </w:rPr>
        <w:t>采购代理机构</w:t>
      </w:r>
      <w:r>
        <w:rPr>
          <w:rFonts w:hint="eastAsia" w:ascii="仿宋" w:hAnsi="仿宋" w:eastAsia="仿宋" w:cs="仿宋"/>
          <w:bCs/>
          <w:color w:val="auto"/>
          <w:highlight w:val="none"/>
        </w:rPr>
        <w:t>提出质疑。对采购人、</w:t>
      </w:r>
      <w:r>
        <w:rPr>
          <w:rFonts w:hint="eastAsia" w:ascii="仿宋" w:hAnsi="仿宋" w:eastAsia="仿宋" w:cs="仿宋"/>
          <w:color w:val="auto"/>
          <w:highlight w:val="none"/>
        </w:rPr>
        <w:t>采购代理机构</w:t>
      </w:r>
      <w:r>
        <w:rPr>
          <w:rFonts w:hint="eastAsia" w:ascii="仿宋" w:hAnsi="仿宋" w:eastAsia="仿宋" w:cs="仿宋"/>
          <w:bCs/>
          <w:color w:val="auto"/>
          <w:highlight w:val="none"/>
        </w:rPr>
        <w:t>的答复不满意，或者采购人、</w:t>
      </w:r>
      <w:r>
        <w:rPr>
          <w:rFonts w:hint="eastAsia" w:ascii="仿宋" w:hAnsi="仿宋" w:eastAsia="仿宋" w:cs="仿宋"/>
          <w:color w:val="auto"/>
          <w:highlight w:val="none"/>
        </w:rPr>
        <w:t>采购代理机构</w:t>
      </w:r>
      <w:r>
        <w:rPr>
          <w:rFonts w:hint="eastAsia" w:ascii="仿宋" w:hAnsi="仿宋" w:eastAsia="仿宋" w:cs="仿宋"/>
          <w:bCs/>
          <w:color w:val="auto"/>
          <w:highlight w:val="none"/>
        </w:rPr>
        <w:t>未在规定期限内做出答复的，供应商可以在答复期满后15个工作日内向南宁市政府采购监督管理部门提起投诉，投诉方式见“投标人须知前附表”。</w:t>
      </w:r>
    </w:p>
    <w:p w14:paraId="5C215C16">
      <w:pPr>
        <w:spacing w:line="360" w:lineRule="auto"/>
        <w:ind w:firstLine="422" w:firstLineChars="200"/>
        <w:rPr>
          <w:rFonts w:hint="eastAsia" w:ascii="仿宋" w:hAnsi="仿宋" w:eastAsia="仿宋" w:cs="仿宋"/>
          <w:bCs/>
          <w:color w:val="auto"/>
          <w:highlight w:val="none"/>
        </w:rPr>
      </w:pPr>
      <w:r>
        <w:rPr>
          <w:rFonts w:hint="eastAsia" w:ascii="仿宋" w:hAnsi="仿宋" w:eastAsia="仿宋" w:cs="仿宋"/>
          <w:b/>
          <w:color w:val="auto"/>
          <w:highlight w:val="none"/>
        </w:rPr>
        <w:t xml:space="preserve">38.3.2 </w:t>
      </w:r>
      <w:r>
        <w:rPr>
          <w:rFonts w:hint="eastAsia" w:ascii="仿宋" w:hAnsi="仿宋" w:eastAsia="仿宋" w:cs="仿宋"/>
          <w:color w:val="auto"/>
          <w:highlight w:val="none"/>
        </w:rPr>
        <w:t>投诉人投诉时，应当提交投诉书，并按照被投诉采购人、采购代理机构和与投诉事项有关的供应商数量提供投诉书的副本。投诉书</w:t>
      </w:r>
      <w:r>
        <w:rPr>
          <w:rFonts w:hint="eastAsia" w:ascii="仿宋" w:hAnsi="仿宋" w:eastAsia="仿宋" w:cs="仿宋"/>
          <w:color w:val="auto"/>
          <w:szCs w:val="21"/>
          <w:highlight w:val="none"/>
        </w:rPr>
        <w:t>应当包括下列主要内容</w:t>
      </w:r>
      <w:r>
        <w:rPr>
          <w:rFonts w:hint="eastAsia" w:ascii="仿宋" w:hAnsi="仿宋" w:eastAsia="仿宋" w:cs="仿宋"/>
          <w:color w:val="auto"/>
          <w:highlight w:val="none"/>
        </w:rPr>
        <w:t>（如材料中有外文资料应同时附上对应的中文译本）</w:t>
      </w:r>
      <w:r>
        <w:rPr>
          <w:rFonts w:hint="eastAsia" w:ascii="仿宋" w:hAnsi="仿宋" w:eastAsia="仿宋" w:cs="仿宋"/>
          <w:bCs/>
          <w:color w:val="auto"/>
          <w:highlight w:val="none"/>
        </w:rPr>
        <w:t>（投诉书格式后附）</w:t>
      </w:r>
      <w:r>
        <w:rPr>
          <w:rFonts w:hint="eastAsia" w:ascii="仿宋" w:hAnsi="仿宋" w:eastAsia="仿宋" w:cs="仿宋"/>
          <w:color w:val="auto"/>
          <w:szCs w:val="21"/>
          <w:highlight w:val="none"/>
        </w:rPr>
        <w:t>：</w:t>
      </w:r>
    </w:p>
    <w:p w14:paraId="7223EB5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（1）投诉人和被投诉人的名称、地址、邮编、联系人及联系电话等； </w:t>
      </w:r>
    </w:p>
    <w:p w14:paraId="064275E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（2）质疑和质疑答复情况及相关证明材料； </w:t>
      </w:r>
    </w:p>
    <w:p w14:paraId="13A5E71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（3）具体、明确的投诉事项和与投诉事项相关的投诉请求；</w:t>
      </w:r>
    </w:p>
    <w:p w14:paraId="298CA36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5D9E6E0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（5）法律依据；</w:t>
      </w:r>
    </w:p>
    <w:p w14:paraId="1FF00D3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（6）提起投诉的日期。</w:t>
      </w:r>
    </w:p>
    <w:p w14:paraId="540D92C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仿宋" w:hAnsi="仿宋" w:eastAsia="仿宋" w:cs="仿宋"/>
          <w:color w:val="auto"/>
          <w:highlight w:val="none"/>
        </w:rPr>
        <w:tab/>
      </w:r>
    </w:p>
    <w:p w14:paraId="4478297A">
      <w:pPr>
        <w:spacing w:line="360" w:lineRule="auto"/>
        <w:ind w:firstLine="422" w:firstLineChars="200"/>
        <w:rPr>
          <w:rFonts w:hint="eastAsia" w:ascii="仿宋" w:hAnsi="仿宋" w:eastAsia="仿宋" w:cs="仿宋"/>
          <w:bCs/>
          <w:color w:val="auto"/>
          <w:highlight w:val="none"/>
        </w:rPr>
      </w:pPr>
      <w:r>
        <w:rPr>
          <w:rFonts w:hint="eastAsia" w:ascii="仿宋" w:hAnsi="仿宋" w:eastAsia="仿宋" w:cs="仿宋"/>
          <w:b/>
          <w:color w:val="auto"/>
          <w:highlight w:val="none"/>
        </w:rPr>
        <w:t xml:space="preserve">38.3.3 </w:t>
      </w:r>
      <w:r>
        <w:rPr>
          <w:rFonts w:hint="eastAsia" w:ascii="仿宋" w:hAnsi="仿宋" w:eastAsia="仿宋" w:cs="仿宋"/>
          <w:color w:val="auto"/>
          <w:highlight w:val="none"/>
        </w:rPr>
        <w:t>投诉人可以委托代理人办理投诉事务。</w:t>
      </w:r>
      <w:r>
        <w:rPr>
          <w:rFonts w:hint="eastAsia" w:ascii="仿宋" w:hAnsi="仿宋" w:eastAsia="仿宋" w:cs="仿宋"/>
          <w:bCs/>
          <w:color w:val="auto"/>
          <w:highlight w:val="none"/>
        </w:rPr>
        <w:t>委托代理人应熟悉相关业务情况。</w:t>
      </w:r>
      <w:r>
        <w:rPr>
          <w:rFonts w:hint="eastAsia" w:ascii="仿宋" w:hAnsi="仿宋" w:eastAsia="仿宋" w:cs="仿宋"/>
          <w:color w:val="auto"/>
          <w:highlight w:val="none"/>
        </w:rPr>
        <w:t>代理人办理投诉事务时，除提交投诉书外，还应当提交投诉人的授权委托书和委托代理人身份证明复印件。</w:t>
      </w:r>
    </w:p>
    <w:p w14:paraId="2561AEDA">
      <w:pPr>
        <w:spacing w:line="360" w:lineRule="auto"/>
        <w:ind w:firstLine="422" w:firstLineChars="200"/>
        <w:rPr>
          <w:rFonts w:hint="eastAsia" w:ascii="仿宋" w:hAnsi="仿宋" w:eastAsia="仿宋" w:cs="仿宋"/>
          <w:color w:val="auto"/>
          <w:highlight w:val="none"/>
        </w:rPr>
      </w:pPr>
      <w:r>
        <w:rPr>
          <w:rFonts w:hint="eastAsia" w:ascii="仿宋" w:hAnsi="仿宋" w:eastAsia="仿宋" w:cs="仿宋"/>
          <w:b/>
          <w:color w:val="auto"/>
          <w:highlight w:val="none"/>
        </w:rPr>
        <w:t>38.3.4</w:t>
      </w:r>
      <w:r>
        <w:rPr>
          <w:rFonts w:hint="eastAsia" w:ascii="仿宋" w:hAnsi="仿宋" w:eastAsia="仿宋" w:cs="仿宋"/>
          <w:color w:val="auto"/>
          <w:highlight w:val="none"/>
        </w:rPr>
        <w:t xml:space="preserve"> 投诉人提起投诉应当符合下列条件：</w:t>
      </w:r>
    </w:p>
    <w:p w14:paraId="5D89D2B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（1）投诉人是参与所投诉政府采购活动的供应商；</w:t>
      </w:r>
    </w:p>
    <w:p w14:paraId="06B87D6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（2）提起投诉前已依法进行质疑；</w:t>
      </w:r>
    </w:p>
    <w:p w14:paraId="632AAA5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（3）投诉书内容符合本章第38.3.2项的规定；</w:t>
      </w:r>
    </w:p>
    <w:p w14:paraId="4135674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（4）在投诉有效期限内提起投诉；</w:t>
      </w:r>
    </w:p>
    <w:p w14:paraId="5D74994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（5）属于南宁市政府采购监督管理部门管辖；</w:t>
      </w:r>
    </w:p>
    <w:p w14:paraId="08B80FC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（6）同一投诉事项未经</w:t>
      </w:r>
      <w:r>
        <w:rPr>
          <w:rFonts w:hint="eastAsia" w:ascii="仿宋" w:hAnsi="仿宋" w:eastAsia="仿宋" w:cs="仿宋"/>
          <w:bCs/>
          <w:color w:val="auto"/>
          <w:highlight w:val="none"/>
        </w:rPr>
        <w:t>南宁市政府采购监督管理部门</w:t>
      </w:r>
      <w:r>
        <w:rPr>
          <w:rFonts w:hint="eastAsia" w:ascii="仿宋" w:hAnsi="仿宋" w:eastAsia="仿宋" w:cs="仿宋"/>
          <w:color w:val="auto"/>
          <w:highlight w:val="none"/>
        </w:rPr>
        <w:t>投诉处理；</w:t>
      </w:r>
    </w:p>
    <w:p w14:paraId="6A4CFA5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（7）国务院财政部门规定的其他条件。</w:t>
      </w:r>
    </w:p>
    <w:p w14:paraId="31A6FF76">
      <w:pPr>
        <w:spacing w:line="360" w:lineRule="auto"/>
        <w:ind w:firstLine="422" w:firstLineChars="200"/>
        <w:rPr>
          <w:rFonts w:hint="eastAsia" w:ascii="仿宋" w:hAnsi="仿宋" w:eastAsia="仿宋" w:cs="仿宋"/>
          <w:color w:val="auto"/>
          <w:highlight w:val="none"/>
        </w:rPr>
      </w:pPr>
      <w:r>
        <w:rPr>
          <w:rFonts w:hint="eastAsia" w:ascii="仿宋" w:hAnsi="仿宋" w:eastAsia="仿宋" w:cs="仿宋"/>
          <w:b/>
          <w:color w:val="auto"/>
          <w:highlight w:val="none"/>
        </w:rPr>
        <w:t>38.3.5</w:t>
      </w:r>
      <w:r>
        <w:rPr>
          <w:rFonts w:hint="eastAsia" w:ascii="仿宋" w:hAnsi="仿宋" w:eastAsia="仿宋" w:cs="仿宋"/>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仿宋" w:hAnsi="仿宋" w:eastAsia="仿宋" w:cs="仿宋"/>
          <w:color w:val="auto"/>
          <w:kern w:val="0"/>
          <w:szCs w:val="21"/>
          <w:highlight w:val="none"/>
        </w:rPr>
        <w:t>“广西政府采购网”（http://zfcg.gxzf.gov.cn）</w:t>
      </w:r>
      <w:r>
        <w:rPr>
          <w:rFonts w:hint="eastAsia" w:ascii="仿宋" w:hAnsi="仿宋" w:eastAsia="仿宋" w:cs="仿宋"/>
          <w:color w:val="auto"/>
          <w:highlight w:val="none"/>
        </w:rPr>
        <w:t>发布。</w:t>
      </w:r>
    </w:p>
    <w:p w14:paraId="7D74951F">
      <w:pPr>
        <w:spacing w:line="360" w:lineRule="auto"/>
        <w:ind w:firstLine="422" w:firstLineChars="200"/>
        <w:rPr>
          <w:rFonts w:hint="eastAsia" w:ascii="仿宋" w:hAnsi="仿宋" w:eastAsia="仿宋" w:cs="仿宋"/>
          <w:color w:val="auto"/>
          <w:highlight w:val="none"/>
        </w:rPr>
      </w:pPr>
      <w:r>
        <w:rPr>
          <w:rFonts w:hint="eastAsia" w:ascii="仿宋" w:hAnsi="仿宋" w:eastAsia="仿宋" w:cs="仿宋"/>
          <w:b/>
          <w:color w:val="auto"/>
          <w:highlight w:val="none"/>
        </w:rPr>
        <w:t>38.3.6</w:t>
      </w:r>
      <w:r>
        <w:rPr>
          <w:rFonts w:hint="eastAsia" w:ascii="仿宋" w:hAnsi="仿宋" w:eastAsia="仿宋" w:cs="仿宋"/>
          <w:color w:val="auto"/>
          <w:highlight w:val="none"/>
        </w:rPr>
        <w:t xml:space="preserve">  南宁市政府采购监督管理部门在处理投诉事项期间，可以视具体情况暂停采购活动。</w:t>
      </w:r>
    </w:p>
    <w:p w14:paraId="3833E001">
      <w:pPr>
        <w:snapToGrid w:val="0"/>
        <w:spacing w:line="360" w:lineRule="auto"/>
        <w:ind w:left="120" w:leftChars="57" w:firstLine="482" w:firstLineChars="150"/>
        <w:jc w:val="center"/>
        <w:rPr>
          <w:rFonts w:hint="eastAsia" w:ascii="仿宋" w:hAnsi="仿宋" w:eastAsia="仿宋" w:cs="仿宋"/>
          <w:b/>
          <w:bCs/>
          <w:color w:val="auto"/>
          <w:sz w:val="32"/>
          <w:szCs w:val="32"/>
          <w:highlight w:val="none"/>
        </w:rPr>
      </w:pPr>
      <w:bookmarkStart w:id="105" w:name="_Toc27653"/>
    </w:p>
    <w:p w14:paraId="180602B7">
      <w:pPr>
        <w:snapToGrid w:val="0"/>
        <w:spacing w:line="360" w:lineRule="auto"/>
        <w:ind w:left="120" w:leftChars="57" w:firstLine="482" w:firstLineChars="150"/>
        <w:jc w:val="center"/>
        <w:outlineLvl w:val="2"/>
        <w:rPr>
          <w:rFonts w:hint="eastAsia" w:ascii="仿宋" w:hAnsi="仿宋" w:eastAsia="仿宋" w:cs="仿宋"/>
          <w:b/>
          <w:color w:val="auto"/>
          <w:highlight w:val="none"/>
        </w:rPr>
      </w:pPr>
      <w:bookmarkStart w:id="106" w:name="_Toc29399"/>
      <w:r>
        <w:rPr>
          <w:rFonts w:hint="eastAsia" w:ascii="仿宋" w:hAnsi="仿宋" w:eastAsia="仿宋" w:cs="仿宋"/>
          <w:b/>
          <w:bCs/>
          <w:color w:val="auto"/>
          <w:sz w:val="32"/>
          <w:szCs w:val="32"/>
          <w:highlight w:val="none"/>
        </w:rPr>
        <w:t>八、验收</w:t>
      </w:r>
      <w:bookmarkEnd w:id="105"/>
      <w:bookmarkEnd w:id="106"/>
    </w:p>
    <w:p w14:paraId="349A32EB">
      <w:pPr>
        <w:spacing w:line="360"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39.验收</w:t>
      </w:r>
    </w:p>
    <w:p w14:paraId="629F8794">
      <w:pPr>
        <w:tabs>
          <w:tab w:val="left" w:pos="0"/>
        </w:tabs>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ACA4CB">
      <w:pPr>
        <w:tabs>
          <w:tab w:val="left" w:pos="0"/>
        </w:tabs>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39.2采购人可以邀请参加本项目的其他投标人或者第三方机构参与验收。参与验收的投标人或者第三方机构的意见作为验收书的参考资料一并存档。</w:t>
      </w:r>
    </w:p>
    <w:p w14:paraId="77FA2C0E">
      <w:pPr>
        <w:tabs>
          <w:tab w:val="left" w:pos="0"/>
        </w:tabs>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7A0D37E">
      <w:pPr>
        <w:tabs>
          <w:tab w:val="left" w:pos="0"/>
        </w:tabs>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5FBE579">
      <w:pPr>
        <w:pStyle w:val="13"/>
        <w:snapToGrid w:val="0"/>
        <w:spacing w:line="400" w:lineRule="exact"/>
        <w:rPr>
          <w:rFonts w:hint="eastAsia" w:ascii="仿宋" w:hAnsi="仿宋" w:eastAsia="仿宋" w:cs="仿宋"/>
          <w:color w:val="auto"/>
          <w:highlight w:val="none"/>
        </w:rPr>
      </w:pPr>
    </w:p>
    <w:p w14:paraId="1697179B">
      <w:pPr>
        <w:pStyle w:val="4"/>
        <w:keepNext w:val="0"/>
        <w:keepLines w:val="0"/>
        <w:spacing w:line="360" w:lineRule="auto"/>
        <w:jc w:val="center"/>
        <w:rPr>
          <w:rFonts w:hint="eastAsia" w:ascii="仿宋" w:hAnsi="仿宋" w:eastAsia="仿宋" w:cs="仿宋"/>
          <w:color w:val="auto"/>
          <w:highlight w:val="none"/>
        </w:rPr>
      </w:pPr>
      <w:bookmarkStart w:id="107" w:name="_八、其他事项"/>
      <w:bookmarkEnd w:id="107"/>
      <w:bookmarkStart w:id="108" w:name="_Toc16509"/>
      <w:bookmarkStart w:id="109" w:name="_Toc23515"/>
      <w:r>
        <w:rPr>
          <w:rFonts w:hint="eastAsia" w:ascii="仿宋" w:hAnsi="仿宋" w:eastAsia="仿宋" w:cs="仿宋"/>
          <w:color w:val="auto"/>
          <w:highlight w:val="none"/>
        </w:rPr>
        <w:t>九、其他事项</w:t>
      </w:r>
      <w:bookmarkEnd w:id="108"/>
      <w:bookmarkEnd w:id="109"/>
    </w:p>
    <w:p w14:paraId="655A82D0">
      <w:pPr>
        <w:spacing w:line="360" w:lineRule="auto"/>
        <w:ind w:firstLine="480" w:firstLineChars="200"/>
        <w:rPr>
          <w:rFonts w:hint="eastAsia" w:ascii="仿宋" w:hAnsi="仿宋" w:eastAsia="仿宋" w:cs="仿宋"/>
          <w:color w:val="auto"/>
          <w:sz w:val="24"/>
          <w:highlight w:val="none"/>
        </w:rPr>
      </w:pPr>
      <w:bookmarkStart w:id="110" w:name="_42.代理服务费"/>
      <w:bookmarkEnd w:id="110"/>
      <w:r>
        <w:rPr>
          <w:rFonts w:hint="eastAsia" w:ascii="仿宋" w:hAnsi="仿宋" w:eastAsia="仿宋" w:cs="仿宋"/>
          <w:color w:val="auto"/>
          <w:sz w:val="24"/>
          <w:highlight w:val="none"/>
        </w:rPr>
        <w:t>40.代理服务费</w:t>
      </w:r>
    </w:p>
    <w:p w14:paraId="087A727E">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代理服务收费标准及缴费账户详见“投标人须知前附表”，投标人为联合体的，可以由联合体中的一方或者多方共同交纳代理服务费。</w:t>
      </w:r>
    </w:p>
    <w:p w14:paraId="0B9C5B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需要补充的其他内容</w:t>
      </w:r>
    </w:p>
    <w:p w14:paraId="00944D0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41.1本招标文件解释规则详见“投标人须知前附表”。</w:t>
      </w:r>
    </w:p>
    <w:p w14:paraId="515C388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41.2 其他事项详见“投标人须知前附表”。</w:t>
      </w:r>
    </w:p>
    <w:p w14:paraId="5DB1E4B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7DF2EBF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26BE757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依据本文件规定享受扶持政策获得政府采购合同的，小微企业不得将合同分包给大中型企业，中型企业不得将合同分包给大型企业。</w:t>
      </w:r>
    </w:p>
    <w:p w14:paraId="1444AD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 政采贷相关说明</w:t>
      </w:r>
    </w:p>
    <w:p w14:paraId="734391A5">
      <w:pPr>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9809E66">
      <w:pPr>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（1）线下渠道：在“南宁市公共资源交易中心”官网（网址：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"http://www.nnggzy.org.cn）“交易信息-政府采购-政府采购信用融资”中融资银行和南宁市企业融资服务中心专栏信息申请政府采购信用融资。" </w:instrText>
      </w:r>
      <w:r>
        <w:rPr>
          <w:rFonts w:hint="eastAsia" w:ascii="仿宋" w:hAnsi="仿宋" w:eastAsia="仿宋" w:cs="仿宋"/>
          <w:color w:val="auto"/>
          <w:highlight w:val="none"/>
        </w:rPr>
        <w:fldChar w:fldCharType="separate"/>
      </w:r>
      <w:r>
        <w:rPr>
          <w:rStyle w:val="25"/>
          <w:rFonts w:hint="eastAsia" w:ascii="仿宋" w:hAnsi="仿宋" w:eastAsia="仿宋" w:cs="仿宋"/>
          <w:color w:val="auto"/>
          <w:highlight w:val="none"/>
        </w:rPr>
        <w:t>http://www.nnggzy.org.cn）“交易信息-政府采购-政府采购信用融资”中融资银行和南宁市企业融资服务中心专栏信息申请政府采购信用融资。</w:t>
      </w:r>
      <w:r>
        <w:rPr>
          <w:rStyle w:val="25"/>
          <w:rFonts w:hint="eastAsia" w:ascii="仿宋" w:hAnsi="仿宋" w:eastAsia="仿宋" w:cs="仿宋"/>
          <w:color w:val="auto"/>
          <w:highlight w:val="none"/>
        </w:rPr>
        <w:fldChar w:fldCharType="end"/>
      </w:r>
    </w:p>
    <w:p w14:paraId="331F9F79">
      <w:pPr>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仿宋" w:hAnsi="仿宋" w:eastAsia="仿宋" w:cs="仿宋"/>
          <w:color w:val="auto"/>
          <w:highlight w:val="none"/>
        </w:rPr>
        <w:br w:type="page"/>
      </w:r>
      <w:bookmarkStart w:id="111" w:name="_Toc532545043"/>
    </w:p>
    <w:p w14:paraId="79A42A35">
      <w:pPr>
        <w:pStyle w:val="13"/>
        <w:jc w:val="center"/>
        <w:outlineLvl w:val="0"/>
        <w:rPr>
          <w:rFonts w:hint="eastAsia" w:ascii="仿宋" w:hAnsi="仿宋" w:eastAsia="仿宋" w:cs="仿宋"/>
          <w:b/>
          <w:color w:val="auto"/>
          <w:sz w:val="36"/>
          <w:highlight w:val="none"/>
        </w:rPr>
      </w:pPr>
      <w:bookmarkStart w:id="112" w:name="_Toc2755"/>
      <w:bookmarkStart w:id="113" w:name="_Toc18631"/>
      <w:r>
        <w:rPr>
          <w:rFonts w:hint="eastAsia" w:ascii="仿宋" w:hAnsi="仿宋" w:eastAsia="仿宋" w:cs="仿宋"/>
          <w:b/>
          <w:color w:val="auto"/>
          <w:sz w:val="36"/>
          <w:highlight w:val="none"/>
        </w:rPr>
        <w:t>第四章 评标方法</w:t>
      </w:r>
      <w:bookmarkEnd w:id="111"/>
      <w:r>
        <w:rPr>
          <w:rFonts w:hint="eastAsia" w:ascii="仿宋" w:hAnsi="仿宋" w:eastAsia="仿宋" w:cs="仿宋"/>
          <w:b/>
          <w:color w:val="auto"/>
          <w:sz w:val="36"/>
          <w:highlight w:val="none"/>
        </w:rPr>
        <w:t>及评分标准</w:t>
      </w:r>
      <w:bookmarkEnd w:id="112"/>
      <w:bookmarkEnd w:id="113"/>
    </w:p>
    <w:p w14:paraId="3CA36442">
      <w:pPr>
        <w:pStyle w:val="13"/>
        <w:jc w:val="center"/>
        <w:rPr>
          <w:rFonts w:hint="eastAsia" w:ascii="仿宋" w:hAnsi="仿宋" w:eastAsia="仿宋" w:cs="仿宋"/>
          <w:b/>
          <w:bCs/>
          <w:color w:val="auto"/>
          <w:sz w:val="32"/>
          <w:szCs w:val="32"/>
          <w:highlight w:val="none"/>
        </w:rPr>
      </w:pPr>
      <w:bookmarkStart w:id="114" w:name="_Toc9604"/>
    </w:p>
    <w:p w14:paraId="21102B9C">
      <w:pPr>
        <w:pStyle w:val="13"/>
        <w:jc w:val="center"/>
        <w:outlineLvl w:val="1"/>
        <w:rPr>
          <w:rFonts w:hint="eastAsia" w:ascii="仿宋" w:hAnsi="仿宋" w:eastAsia="仿宋" w:cs="仿宋"/>
          <w:b/>
          <w:bCs/>
          <w:color w:val="auto"/>
          <w:sz w:val="32"/>
          <w:szCs w:val="32"/>
          <w:highlight w:val="none"/>
        </w:rPr>
      </w:pPr>
      <w:bookmarkStart w:id="115" w:name="_Toc30881"/>
      <w:r>
        <w:rPr>
          <w:rFonts w:hint="eastAsia" w:ascii="仿宋" w:hAnsi="仿宋" w:eastAsia="仿宋" w:cs="仿宋"/>
          <w:b/>
          <w:bCs/>
          <w:color w:val="auto"/>
          <w:sz w:val="32"/>
          <w:szCs w:val="32"/>
          <w:highlight w:val="none"/>
        </w:rPr>
        <w:t>第一节 评标方法</w:t>
      </w:r>
      <w:bookmarkEnd w:id="114"/>
      <w:bookmarkEnd w:id="115"/>
    </w:p>
    <w:p w14:paraId="2108F768">
      <w:pPr>
        <w:pStyle w:val="13"/>
        <w:tabs>
          <w:tab w:val="left" w:pos="2472"/>
        </w:tabs>
        <w:spacing w:line="460" w:lineRule="exact"/>
        <w:ind w:firstLine="40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本项目采用</w:t>
      </w:r>
      <w:r>
        <w:rPr>
          <w:rFonts w:hint="eastAsia" w:ascii="仿宋" w:hAnsi="仿宋" w:eastAsia="仿宋" w:cs="仿宋"/>
          <w:color w:val="auto"/>
          <w:szCs w:val="21"/>
          <w:highlight w:val="none"/>
          <w:u w:val="single"/>
        </w:rPr>
        <w:t>综合评分法</w:t>
      </w:r>
      <w:r>
        <w:rPr>
          <w:rFonts w:hint="eastAsia" w:ascii="仿宋" w:hAnsi="仿宋" w:eastAsia="仿宋" w:cs="仿宋"/>
          <w:color w:val="auto"/>
          <w:szCs w:val="21"/>
          <w:highlight w:val="none"/>
        </w:rPr>
        <w:t>进行评审。</w:t>
      </w:r>
    </w:p>
    <w:p w14:paraId="5293AD4A">
      <w:pPr>
        <w:pStyle w:val="13"/>
        <w:spacing w:line="360" w:lineRule="auto"/>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□最低评标价法，是指投标文件满足招标文件</w:t>
      </w:r>
      <w:r>
        <w:rPr>
          <w:rFonts w:hint="eastAsia" w:ascii="仿宋" w:hAnsi="仿宋" w:eastAsia="仿宋" w:cs="仿宋"/>
          <w:color w:val="auto"/>
          <w:highlight w:val="none"/>
        </w:rPr>
        <w:t>全部实质性要求，且投标报价最低的投标人为中标候选人的评标方法。</w:t>
      </w:r>
    </w:p>
    <w:p w14:paraId="0515CF58">
      <w:pPr>
        <w:autoSpaceDE w:val="0"/>
        <w:autoSpaceDN w:val="0"/>
        <w:adjustRightInd w:val="0"/>
        <w:spacing w:line="440" w:lineRule="exact"/>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w:t>
      </w:r>
      <w:r>
        <w:rPr>
          <w:rFonts w:hint="eastAsia" w:ascii="仿宋" w:hAnsi="仿宋" w:eastAsia="仿宋" w:cs="仿宋"/>
          <w:color w:val="auto"/>
          <w:highlight w:val="none"/>
        </w:rPr>
        <w:t>综合评分法，</w:t>
      </w:r>
      <w:r>
        <w:rPr>
          <w:rFonts w:hint="eastAsia" w:ascii="仿宋" w:hAnsi="仿宋" w:eastAsia="仿宋" w:cs="仿宋"/>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实力信誉及业绩得分较高者为先。 </w:t>
      </w:r>
    </w:p>
    <w:p w14:paraId="0D3C361B">
      <w:pPr>
        <w:pStyle w:val="13"/>
        <w:spacing w:line="360" w:lineRule="auto"/>
        <w:ind w:firstLine="420"/>
        <w:rPr>
          <w:rFonts w:hint="eastAsia" w:ascii="仿宋" w:hAnsi="仿宋" w:eastAsia="仿宋" w:cs="仿宋"/>
          <w:color w:val="auto"/>
          <w:highlight w:val="none"/>
        </w:rPr>
      </w:pPr>
    </w:p>
    <w:p w14:paraId="03F0DB0A">
      <w:pPr>
        <w:pStyle w:val="13"/>
        <w:tabs>
          <w:tab w:val="left" w:pos="2472"/>
        </w:tabs>
        <w:spacing w:line="460" w:lineRule="exact"/>
        <w:jc w:val="center"/>
        <w:outlineLvl w:val="1"/>
        <w:rPr>
          <w:rFonts w:hint="eastAsia" w:ascii="仿宋" w:hAnsi="仿宋" w:eastAsia="仿宋" w:cs="仿宋"/>
          <w:b/>
          <w:bCs/>
          <w:color w:val="auto"/>
          <w:sz w:val="32"/>
          <w:szCs w:val="32"/>
          <w:highlight w:val="none"/>
        </w:rPr>
      </w:pPr>
      <w:bookmarkStart w:id="116" w:name="_Toc22005"/>
      <w:bookmarkStart w:id="117" w:name="_Toc23151"/>
      <w:r>
        <w:rPr>
          <w:rFonts w:hint="eastAsia" w:ascii="仿宋" w:hAnsi="仿宋" w:eastAsia="仿宋" w:cs="仿宋"/>
          <w:b/>
          <w:bCs/>
          <w:color w:val="auto"/>
          <w:sz w:val="32"/>
          <w:szCs w:val="32"/>
          <w:highlight w:val="none"/>
        </w:rPr>
        <w:t>第二节 评标程序</w:t>
      </w:r>
      <w:bookmarkEnd w:id="116"/>
      <w:bookmarkEnd w:id="117"/>
    </w:p>
    <w:p w14:paraId="5A7D249D">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1.符合性审查</w:t>
      </w:r>
    </w:p>
    <w:p w14:paraId="3058C79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评标委员会应当对符合资格的投标人的投标文件进行投标报价、商务、技术等实质性内容符合性审查，以确定其是否满足招标文件的实质性要求。</w:t>
      </w:r>
    </w:p>
    <w:p w14:paraId="5935D473">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2.符合性审查不通过而导致投标无效的情形</w:t>
      </w:r>
    </w:p>
    <w:p w14:paraId="083C694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投标人的投标文件中存在对招标文件的任何实质性要求和条件的负偏离，将被视为投标无效。</w:t>
      </w:r>
    </w:p>
    <w:p w14:paraId="3C15F6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2.1在报价评审时，如发现下列情形之一的，将被视为投标无效：</w:t>
      </w:r>
    </w:p>
    <w:p w14:paraId="69E80F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（1）投标文件未提供“投标人须知前附表”第13.1条规定中“必须提供”的文件资料的;</w:t>
      </w:r>
    </w:p>
    <w:p w14:paraId="52063F3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（2）未采用人民币报价或者未按照招标文件标明的币种报价的；</w:t>
      </w:r>
    </w:p>
    <w:p w14:paraId="17581EA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（3）报价超出招标文件规定最高限价，或者超出采购预算金额（包括分项预算）的；</w:t>
      </w:r>
    </w:p>
    <w:p w14:paraId="255140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912060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（5）修正后的报价，投标人不确认的；</w:t>
      </w:r>
    </w:p>
    <w:p w14:paraId="024806B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（6）投标人属于本章第5条第（2）项情形的。</w:t>
      </w:r>
    </w:p>
    <w:p w14:paraId="31E8AF2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2.2在商务评审时，如发现下列情形之一的，将被视为投标无效：</w:t>
      </w:r>
    </w:p>
    <w:p w14:paraId="6C08BD2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（1）投标文件未按招标文件要求签署、盖章的；</w:t>
      </w:r>
    </w:p>
    <w:p w14:paraId="4F2E6A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（2）委托代理人未能出具有效身份证明或者出具的身份证明与授权委托书中的信息不符的； </w:t>
      </w:r>
    </w:p>
    <w:p w14:paraId="156A2A7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（3）投标文件未提供“投标人须知前附表”第13.1条规定中“必须提供”或者“委托时必须提供”的文件资料的;</w:t>
      </w:r>
    </w:p>
    <w:p w14:paraId="70716B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（4）投标有效期、项目完成时间（交货时间、服务完成时间或者服务期等）、质保期、售后服务等招标文件中标“▲”的商务条款发生负偏离的；</w:t>
      </w:r>
    </w:p>
    <w:p w14:paraId="652AEC4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（5）商务条款评审允许负偏离的条款数超过“投标人须知前附表”规定项数的。</w:t>
      </w:r>
    </w:p>
    <w:p w14:paraId="0CF5364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（6）投标文件的实质性内容未使用中文表述、使用计量单位不符合招标文件要求的；</w:t>
      </w:r>
    </w:p>
    <w:p w14:paraId="6BE9774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（7）投标文件中的文件资料因填写不齐全或者内容虚假或者出现其他情形而导致被评标委员会认定无效的；</w:t>
      </w:r>
    </w:p>
    <w:p w14:paraId="71CD3C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（8）投标文件含有采购人不能接受的附加条件的；</w:t>
      </w:r>
    </w:p>
    <w:p w14:paraId="2DCF20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（9）未响应招标文件实质性要求的；</w:t>
      </w:r>
    </w:p>
    <w:p w14:paraId="0CD2B2E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（10）属于投标人须知正文第9.2条情形的；</w:t>
      </w:r>
    </w:p>
    <w:p w14:paraId="3F7AD72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（11）法律、法规和招标文件规定的其他无效情形。</w:t>
      </w:r>
    </w:p>
    <w:p w14:paraId="2378F63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2.3在技术评审时，如发现下列情形之一的，将被视为投标无效：</w:t>
      </w:r>
    </w:p>
    <w:p w14:paraId="7789CB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（1）不满足招标文件要求的服务内容、技术要求、安全、质量标准，或者与招标文件中标“▲”的技术需求发生负偏离的；</w:t>
      </w:r>
    </w:p>
    <w:p w14:paraId="246066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（2）技术需求评审允许负偏离的条款数超过“投标人须知前附表”规定项数的；</w:t>
      </w:r>
    </w:p>
    <w:p w14:paraId="48BAF64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（3）投标文件未提供“投标人须知前附表”第13.1条规定中“必须提供”的文件资料的;</w:t>
      </w:r>
    </w:p>
    <w:p w14:paraId="70F0CEA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（4）虚假投标，或者出现其他情形而导致被评标委员会认定无效的；</w:t>
      </w:r>
    </w:p>
    <w:p w14:paraId="7728CB1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（5）如招标文件需要提供技术方案的，投标技术方案不明确，招标文件未允许但存在一个或者一个以上备选（替代）投标方案的。</w:t>
      </w:r>
    </w:p>
    <w:p w14:paraId="4A477046">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3.澄清补正、说明或者补正</w:t>
      </w:r>
    </w:p>
    <w:p w14:paraId="0B5430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7F62B4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6692616">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4.投标文件修正</w:t>
      </w:r>
    </w:p>
    <w:p w14:paraId="7AA0C8A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4.1投标文件报价出现前后不一致的，按照下列规定修正： </w:t>
      </w:r>
    </w:p>
    <w:p w14:paraId="7D68DF2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（1）报价文件中“开标一览表”内容与投标文件中相应内容不一致的，以“开标一览表”为准；</w:t>
      </w:r>
    </w:p>
    <w:p w14:paraId="6C172DA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（2）大写金额和小写金额不一致的，以大写金额为准；</w:t>
      </w:r>
    </w:p>
    <w:p w14:paraId="4DD20AC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（3）单价金额小数点或者百分比有明显错位的，以开标一览表的总价为准，并修改单价；</w:t>
      </w:r>
    </w:p>
    <w:p w14:paraId="3F42833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（4）总价金额与按单价汇总金额不一致的，以单价金额计算结果为准。</w:t>
      </w:r>
    </w:p>
    <w:p w14:paraId="394F0E8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同时出现两种以上不一致的，按照以上（1）-（4）规定的顺序修正。修正后的报价经投标人确认后产生约束力，投标人不确认的，其投标无效。</w:t>
      </w:r>
    </w:p>
    <w:p w14:paraId="72FA8E2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4.2经投标人确认修正后的报价若超过采购预算金额或者最高限价，投标人的投标文件作无效投标处理。</w:t>
      </w:r>
    </w:p>
    <w:p w14:paraId="7C51B44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4.3经投标人确认修正后的报价作为签订合同的依据，并以此报价计算价格分。</w:t>
      </w:r>
    </w:p>
    <w:p w14:paraId="678BEA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5.比较与评价</w:t>
      </w:r>
    </w:p>
    <w:p w14:paraId="0A930BD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5.1评标委员会按照招标文件中规定的</w:t>
      </w:r>
      <w:r>
        <w:rPr>
          <w:rFonts w:hint="eastAsia" w:ascii="仿宋" w:hAnsi="仿宋" w:eastAsia="仿宋" w:cs="仿宋"/>
          <w:color w:val="auto"/>
          <w:highlight w:val="none"/>
          <w:lang w:eastAsia="zh-CN"/>
        </w:rPr>
        <w:t>评标方法及评标标准</w:t>
      </w:r>
      <w:r>
        <w:rPr>
          <w:rFonts w:hint="eastAsia" w:ascii="仿宋" w:hAnsi="仿宋" w:eastAsia="仿宋" w:cs="仿宋"/>
          <w:color w:val="auto"/>
          <w:highlight w:val="none"/>
        </w:rPr>
        <w:t>，对符合性审查合格的投标文件进行商务和技术评估，综合比较与评价。</w:t>
      </w:r>
    </w:p>
    <w:p w14:paraId="16FF4A0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5.2评标委员会独立对每个投标人的投标文件进行评价，并汇总每个投标人的得分。</w:t>
      </w:r>
    </w:p>
    <w:p w14:paraId="458D80F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4B86FA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371857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5.3评标委员会按照招标文件中规定的评标方法和标准计算各投标人的报价得分。在计算过程中，不得去掉最高报价或者最低报价。</w:t>
      </w:r>
    </w:p>
    <w:p w14:paraId="50CC461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5.4各投标人的得分为所有评委的有效评分的算术平均数。</w:t>
      </w:r>
    </w:p>
    <w:p w14:paraId="3EF45A3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5.5评标委员会按照招标文件中的规定推荐中标候选人。</w:t>
      </w:r>
    </w:p>
    <w:p w14:paraId="3D2D6A3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2D22F54">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6.评审复核</w:t>
      </w:r>
    </w:p>
    <w:p w14:paraId="497286F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6.1评标报告签署前，评标委员会要对评审结果进行复核，复核意见要体现在评标报告中。</w:t>
      </w:r>
    </w:p>
    <w:p w14:paraId="3D99D343">
      <w:pPr>
        <w:widowControl/>
        <w:spacing w:line="560" w:lineRule="exact"/>
        <w:ind w:firstLine="420" w:firstLineChars="200"/>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6.2评标结果汇总完成后，除下列情形外，任何人不得修改评标结果：</w:t>
      </w:r>
    </w:p>
    <w:p w14:paraId="03A02B5F">
      <w:pPr>
        <w:widowControl/>
        <w:spacing w:line="560" w:lineRule="exact"/>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（一）分值汇总计算错误的；</w:t>
      </w:r>
    </w:p>
    <w:p w14:paraId="0C6450C6">
      <w:pPr>
        <w:widowControl/>
        <w:spacing w:line="560" w:lineRule="exact"/>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（二）分项评分超出评分标准范围的；</w:t>
      </w:r>
    </w:p>
    <w:p w14:paraId="28363E19">
      <w:pPr>
        <w:widowControl/>
        <w:spacing w:line="560" w:lineRule="exact"/>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（三）评标委员会成员对客观评审因素评分不一致的；</w:t>
      </w:r>
    </w:p>
    <w:p w14:paraId="10EC5ED3">
      <w:pPr>
        <w:widowControl/>
        <w:spacing w:line="560" w:lineRule="exact"/>
        <w:jc w:val="left"/>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（四）经评标委员会认定评分畸高、畸低的。</w:t>
      </w:r>
    </w:p>
    <w:p w14:paraId="0341172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52614F6">
      <w:pPr>
        <w:pStyle w:val="3"/>
        <w:jc w:val="center"/>
        <w:rPr>
          <w:rFonts w:hint="eastAsia" w:ascii="仿宋" w:hAnsi="仿宋" w:eastAsia="仿宋" w:cs="仿宋"/>
          <w:bCs w:val="0"/>
          <w:color w:val="auto"/>
          <w:sz w:val="30"/>
          <w:szCs w:val="30"/>
          <w:highlight w:val="none"/>
        </w:rPr>
      </w:pPr>
      <w:bookmarkStart w:id="118" w:name="_Toc5755"/>
      <w:bookmarkStart w:id="119" w:name="_Toc17694"/>
      <w:r>
        <w:rPr>
          <w:rFonts w:hint="eastAsia" w:ascii="仿宋" w:hAnsi="仿宋" w:eastAsia="仿宋" w:cs="仿宋"/>
          <w:bCs w:val="0"/>
          <w:color w:val="auto"/>
          <w:sz w:val="30"/>
          <w:szCs w:val="30"/>
          <w:highlight w:val="none"/>
        </w:rPr>
        <w:t>第三节 评分标准</w:t>
      </w:r>
      <w:bookmarkEnd w:id="118"/>
      <w:r>
        <w:rPr>
          <w:rFonts w:hint="eastAsia" w:ascii="仿宋" w:hAnsi="仿宋" w:eastAsia="仿宋" w:cs="仿宋"/>
          <w:bCs w:val="0"/>
          <w:color w:val="auto"/>
          <w:sz w:val="30"/>
          <w:szCs w:val="30"/>
          <w:highlight w:val="none"/>
        </w:rPr>
        <w:t>（综合评分法）</w:t>
      </w:r>
      <w:bookmarkEnd w:id="119"/>
    </w:p>
    <w:p w14:paraId="664929BB">
      <w:pPr>
        <w:pStyle w:val="32"/>
        <w:adjustRightInd w:val="0"/>
        <w:snapToGrid w:val="0"/>
        <w:spacing w:line="560" w:lineRule="exact"/>
        <w:ind w:firstLine="400" w:firstLineChars="20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（一）评标委员会以招标文件为依据，对投标文件进行评审，对投标人的投标报价、商务技术文件等三部分内容按百分制打分，其中</w:t>
      </w:r>
      <w:r>
        <w:rPr>
          <w:rFonts w:hint="eastAsia" w:ascii="仿宋" w:hAnsi="仿宋" w:eastAsia="仿宋" w:cs="仿宋"/>
          <w:color w:val="auto"/>
          <w:sz w:val="20"/>
          <w:szCs w:val="20"/>
          <w:highlight w:val="none"/>
          <w:lang w:eastAsia="zh-CN"/>
        </w:rPr>
        <w:t>：</w:t>
      </w:r>
      <w:r>
        <w:rPr>
          <w:rFonts w:hint="eastAsia" w:ascii="仿宋" w:hAnsi="仿宋" w:eastAsia="仿宋" w:cs="仿宋"/>
          <w:b/>
          <w:color w:val="auto"/>
          <w:sz w:val="20"/>
          <w:szCs w:val="20"/>
          <w:highlight w:val="none"/>
        </w:rPr>
        <w:t>报价分10分，技术分</w:t>
      </w:r>
      <w:r>
        <w:rPr>
          <w:rFonts w:hint="eastAsia" w:ascii="仿宋" w:hAnsi="仿宋" w:eastAsia="仿宋" w:cs="仿宋"/>
          <w:b/>
          <w:color w:val="auto"/>
          <w:sz w:val="20"/>
          <w:szCs w:val="20"/>
          <w:highlight w:val="none"/>
          <w:lang w:val="en-US" w:eastAsia="zh-CN"/>
        </w:rPr>
        <w:t>63</w:t>
      </w:r>
      <w:r>
        <w:rPr>
          <w:rFonts w:hint="eastAsia" w:ascii="仿宋" w:hAnsi="仿宋" w:eastAsia="仿宋" w:cs="仿宋"/>
          <w:b/>
          <w:color w:val="auto"/>
          <w:sz w:val="20"/>
          <w:szCs w:val="20"/>
          <w:highlight w:val="none"/>
        </w:rPr>
        <w:t>分，商务分</w:t>
      </w:r>
      <w:r>
        <w:rPr>
          <w:rFonts w:hint="eastAsia" w:ascii="仿宋" w:hAnsi="仿宋" w:eastAsia="仿宋" w:cs="仿宋"/>
          <w:b/>
          <w:color w:val="auto"/>
          <w:sz w:val="20"/>
          <w:szCs w:val="20"/>
          <w:highlight w:val="none"/>
          <w:lang w:val="en-US" w:eastAsia="zh-CN"/>
        </w:rPr>
        <w:t>27</w:t>
      </w:r>
      <w:r>
        <w:rPr>
          <w:rFonts w:hint="eastAsia" w:ascii="仿宋" w:hAnsi="仿宋" w:eastAsia="仿宋" w:cs="仿宋"/>
          <w:b/>
          <w:color w:val="auto"/>
          <w:sz w:val="20"/>
          <w:szCs w:val="20"/>
          <w:highlight w:val="none"/>
        </w:rPr>
        <w:t>分</w:t>
      </w:r>
      <w:r>
        <w:rPr>
          <w:rFonts w:hint="eastAsia" w:ascii="仿宋" w:hAnsi="仿宋" w:eastAsia="仿宋" w:cs="仿宋"/>
          <w:color w:val="auto"/>
          <w:sz w:val="20"/>
          <w:szCs w:val="20"/>
          <w:highlight w:val="none"/>
        </w:rPr>
        <w:t>。（评标委员会成员应当按照客观、公正、审慎的原则，根据招标文件规定的评审程序、评审方法和评审标准进行独立评审”的规定，评委应当独立评审，不应讨论）</w:t>
      </w:r>
    </w:p>
    <w:p w14:paraId="7732B485">
      <w:pPr>
        <w:spacing w:line="400" w:lineRule="exact"/>
        <w:ind w:firstLine="400" w:firstLineChars="200"/>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（二）评分细则：（按四舍五入取至小数点后四位）</w:t>
      </w:r>
    </w:p>
    <w:tbl>
      <w:tblPr>
        <w:tblStyle w:val="20"/>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87"/>
        <w:gridCol w:w="6174"/>
        <w:gridCol w:w="851"/>
      </w:tblGrid>
      <w:tr w14:paraId="58F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93" w:type="dxa"/>
            <w:noWrap/>
            <w:vAlign w:val="center"/>
          </w:tcPr>
          <w:p w14:paraId="4976B3EC">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序号</w:t>
            </w:r>
          </w:p>
        </w:tc>
        <w:tc>
          <w:tcPr>
            <w:tcW w:w="1487" w:type="dxa"/>
            <w:noWrap/>
            <w:vAlign w:val="center"/>
          </w:tcPr>
          <w:p w14:paraId="3F828D4F">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评分类型</w:t>
            </w:r>
          </w:p>
        </w:tc>
        <w:tc>
          <w:tcPr>
            <w:tcW w:w="6174" w:type="dxa"/>
            <w:noWrap/>
            <w:vAlign w:val="center"/>
          </w:tcPr>
          <w:p w14:paraId="47833ABA">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评审标准</w:t>
            </w:r>
          </w:p>
        </w:tc>
        <w:tc>
          <w:tcPr>
            <w:tcW w:w="851" w:type="dxa"/>
            <w:noWrap/>
            <w:vAlign w:val="center"/>
          </w:tcPr>
          <w:p w14:paraId="4073FF93">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分值</w:t>
            </w:r>
          </w:p>
        </w:tc>
      </w:tr>
      <w:tr w14:paraId="1853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3" w:type="dxa"/>
            <w:noWrap/>
            <w:vAlign w:val="center"/>
          </w:tcPr>
          <w:p w14:paraId="151D03E8">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1</w:t>
            </w:r>
          </w:p>
        </w:tc>
        <w:tc>
          <w:tcPr>
            <w:tcW w:w="1487" w:type="dxa"/>
            <w:noWrap/>
            <w:vAlign w:val="center"/>
          </w:tcPr>
          <w:p w14:paraId="448CE4D8">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报价</w:t>
            </w:r>
            <w:r>
              <w:rPr>
                <w:rFonts w:hint="eastAsia" w:ascii="仿宋" w:hAnsi="仿宋" w:eastAsia="仿宋" w:cs="仿宋"/>
                <w:bCs/>
                <w:kern w:val="0"/>
                <w:sz w:val="21"/>
                <w:szCs w:val="21"/>
                <w:highlight w:val="none"/>
              </w:rPr>
              <w:t>分</w:t>
            </w:r>
          </w:p>
        </w:tc>
        <w:tc>
          <w:tcPr>
            <w:tcW w:w="6174" w:type="dxa"/>
            <w:noWrap/>
          </w:tcPr>
          <w:p w14:paraId="5DCEBAF0">
            <w:pPr>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（1）对于非专门面向中小企业的项目，投标人在其投标文件中提供《中小企业声明函》，且其服务为小型和微型企业承接的，对其小型和微型企业产品的最后报价给予</w:t>
            </w:r>
            <w:r>
              <w:rPr>
                <w:rFonts w:hint="eastAsia" w:ascii="仿宋" w:hAnsi="仿宋" w:eastAsia="仿宋" w:cs="仿宋"/>
                <w:b w:val="0"/>
                <w:bCs/>
                <w:color w:val="auto"/>
                <w:sz w:val="21"/>
                <w:szCs w:val="21"/>
                <w:highlight w:val="none"/>
                <w:u w:val="single"/>
                <w:lang w:val="en-US" w:eastAsia="zh-CN"/>
              </w:rPr>
              <w:t>1</w:t>
            </w:r>
            <w:r>
              <w:rPr>
                <w:rFonts w:hint="eastAsia" w:ascii="仿宋" w:hAnsi="仿宋" w:eastAsia="仿宋" w:cs="仿宋"/>
                <w:b w:val="0"/>
                <w:bCs/>
                <w:color w:val="auto"/>
                <w:sz w:val="21"/>
                <w:szCs w:val="21"/>
                <w:highlight w:val="none"/>
                <w:u w:val="single"/>
              </w:rPr>
              <w:t>0%</w:t>
            </w:r>
            <w:r>
              <w:rPr>
                <w:rFonts w:hint="eastAsia" w:ascii="仿宋" w:hAnsi="仿宋" w:eastAsia="仿宋" w:cs="仿宋"/>
                <w:b w:val="0"/>
                <w:bCs/>
                <w:color w:val="auto"/>
                <w:sz w:val="21"/>
                <w:szCs w:val="21"/>
                <w:highlight w:val="none"/>
              </w:rPr>
              <w:t>的价格扣除，扣除后的价格为评标价，即评标价＝投标报价×（1-</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0%）；（以投标人按第六章“投标文件格式”要求提供的《</w:t>
            </w:r>
            <w:r>
              <w:rPr>
                <w:rFonts w:hint="eastAsia" w:ascii="仿宋" w:hAnsi="仿宋" w:eastAsia="仿宋" w:cs="仿宋"/>
                <w:b w:val="0"/>
                <w:bCs/>
                <w:color w:val="auto"/>
                <w:sz w:val="21"/>
                <w:szCs w:val="21"/>
                <w:highlight w:val="none"/>
                <w:lang w:eastAsia="zh-CN"/>
              </w:rPr>
              <w:t>开标一览表</w:t>
            </w:r>
            <w:r>
              <w:rPr>
                <w:rFonts w:hint="eastAsia" w:ascii="仿宋" w:hAnsi="仿宋" w:eastAsia="仿宋" w:cs="仿宋"/>
                <w:b w:val="0"/>
                <w:bCs/>
                <w:color w:val="auto"/>
                <w:sz w:val="21"/>
                <w:szCs w:val="21"/>
                <w:highlight w:val="none"/>
              </w:rPr>
              <w:t>》和《中小企业声明函》为评审依据）</w:t>
            </w:r>
          </w:p>
          <w:p w14:paraId="1BB1268D">
            <w:pPr>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w:t>
            </w:r>
            <w:r>
              <w:rPr>
                <w:rFonts w:hint="eastAsia" w:ascii="仿宋" w:hAnsi="仿宋" w:eastAsia="仿宋" w:cs="仿宋"/>
                <w:b w:val="0"/>
                <w:bCs/>
                <w:color w:val="auto"/>
                <w:sz w:val="21"/>
                <w:szCs w:val="21"/>
                <w:highlight w:val="none"/>
                <w:u w:val="single"/>
              </w:rPr>
              <w:t>6%</w:t>
            </w:r>
            <w:r>
              <w:rPr>
                <w:rFonts w:hint="eastAsia" w:ascii="仿宋" w:hAnsi="仿宋" w:eastAsia="仿宋" w:cs="仿宋"/>
                <w:b w:val="0"/>
                <w:bCs/>
                <w:color w:val="auto"/>
                <w:sz w:val="21"/>
                <w:szCs w:val="21"/>
                <w:highlight w:val="none"/>
              </w:rPr>
              <w:t>的扣除，用扣除后的价格参加评审，扣除后的价格为评标报价，即评标报价=投标报价×（1-6%）。（以投标人按第六章“投标文件格式”要求提供的《</w:t>
            </w:r>
            <w:r>
              <w:rPr>
                <w:rFonts w:hint="eastAsia" w:ascii="仿宋" w:hAnsi="仿宋" w:eastAsia="仿宋" w:cs="仿宋"/>
                <w:b w:val="0"/>
                <w:bCs/>
                <w:color w:val="auto"/>
                <w:sz w:val="21"/>
                <w:szCs w:val="21"/>
                <w:highlight w:val="none"/>
                <w:lang w:eastAsia="zh-CN"/>
              </w:rPr>
              <w:t>开标一览表</w:t>
            </w:r>
            <w:r>
              <w:rPr>
                <w:rFonts w:hint="eastAsia" w:ascii="仿宋" w:hAnsi="仿宋" w:eastAsia="仿宋" w:cs="仿宋"/>
                <w:b w:val="0"/>
                <w:bCs/>
                <w:color w:val="auto"/>
                <w:sz w:val="21"/>
                <w:szCs w:val="21"/>
                <w:highlight w:val="none"/>
              </w:rPr>
              <w:t>》、《中小企业声明函》和《联合体协议书》为评审依据）</w:t>
            </w:r>
          </w:p>
          <w:p w14:paraId="1134625B">
            <w:pPr>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r>
              <w:rPr>
                <w:rFonts w:hint="eastAsia" w:ascii="仿宋" w:hAnsi="仿宋" w:eastAsia="仿宋" w:cs="仿宋"/>
                <w:b w:val="0"/>
                <w:bCs/>
                <w:color w:val="auto"/>
                <w:kern w:val="0"/>
                <w:sz w:val="21"/>
                <w:szCs w:val="21"/>
                <w:highlight w:val="none"/>
              </w:rPr>
              <w:t>按照《关于政府采购支持监狱企业发展有关问题的通知》(财库[2014]68号)认定为监狱企业的，在政府采购活动中，监狱企业视同小型、微型企业。（以投标人按第六章“投标文件格式”要求提供的《开标一览表》和由省级以上监狱管理局、戒毒管理局(含新疆生产建设兵团)出具的属于监狱企业的证明文件为评分依据。</w:t>
            </w:r>
          </w:p>
          <w:p w14:paraId="319EC58F">
            <w:pPr>
              <w:spacing w:line="360" w:lineRule="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投标人按第六章“投标文件格式”要求提供的《开标一览表》和《残疾人福利性单位声明函》为评审依据）</w:t>
            </w:r>
          </w:p>
          <w:p w14:paraId="27E74313">
            <w:pPr>
              <w:spacing w:line="360" w:lineRule="auto"/>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kern w:val="0"/>
                <w:sz w:val="21"/>
                <w:szCs w:val="21"/>
                <w:highlight w:val="none"/>
              </w:rPr>
              <w:t>5）除上述情况外，评标价＝投标报价；</w:t>
            </w:r>
          </w:p>
          <w:p w14:paraId="190CE428">
            <w:pPr>
              <w:spacing w:line="360" w:lineRule="auto"/>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（6）价格分计算公式：</w:t>
            </w:r>
          </w:p>
          <w:p w14:paraId="4135D05B">
            <w:pPr>
              <w:spacing w:line="360" w:lineRule="auto"/>
              <w:outlineLvl w:val="9"/>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以进入比较与评价环节的最低的评审报价为基准价，基准价得分为</w:t>
            </w:r>
            <w:r>
              <w:rPr>
                <w:rFonts w:hint="eastAsia" w:ascii="仿宋" w:hAnsi="仿宋" w:eastAsia="仿宋" w:cs="仿宋"/>
                <w:b w:val="0"/>
                <w:bCs/>
                <w:color w:val="auto"/>
                <w:kern w:val="0"/>
                <w:sz w:val="21"/>
                <w:szCs w:val="21"/>
                <w:highlight w:val="none"/>
                <w:lang w:val="en-US" w:eastAsia="zh-CN"/>
              </w:rPr>
              <w:t>10</w:t>
            </w:r>
            <w:r>
              <w:rPr>
                <w:rFonts w:hint="eastAsia" w:ascii="仿宋" w:hAnsi="仿宋" w:eastAsia="仿宋" w:cs="仿宋"/>
                <w:b w:val="0"/>
                <w:bCs/>
                <w:color w:val="auto"/>
                <w:kern w:val="0"/>
                <w:sz w:val="21"/>
                <w:szCs w:val="21"/>
                <w:highlight w:val="none"/>
              </w:rPr>
              <w:t>分。</w:t>
            </w:r>
          </w:p>
          <w:p w14:paraId="70F242FE">
            <w:pPr>
              <w:spacing w:line="360" w:lineRule="auto"/>
              <w:rPr>
                <w:rFonts w:hint="eastAsia" w:ascii="仿宋" w:hAnsi="仿宋" w:eastAsia="仿宋" w:cs="仿宋"/>
                <w:bCs/>
                <w:sz w:val="21"/>
                <w:szCs w:val="21"/>
                <w:highlight w:val="none"/>
              </w:rPr>
            </w:pPr>
            <w:r>
              <w:rPr>
                <w:rFonts w:hint="eastAsia" w:ascii="仿宋" w:hAnsi="仿宋" w:eastAsia="仿宋" w:cs="仿宋"/>
                <w:b w:val="0"/>
                <w:bCs/>
                <w:color w:val="auto"/>
                <w:kern w:val="0"/>
                <w:sz w:val="21"/>
                <w:szCs w:val="21"/>
                <w:highlight w:val="none"/>
              </w:rPr>
              <w:t>某投标人价格分=基准价</w:t>
            </w:r>
            <w:r>
              <w:rPr>
                <w:rFonts w:hint="eastAsia" w:ascii="仿宋" w:hAnsi="仿宋" w:eastAsia="仿宋" w:cs="仿宋"/>
                <w:b w:val="0"/>
                <w:bCs/>
                <w:color w:val="auto"/>
                <w:kern w:val="0"/>
                <w:sz w:val="21"/>
                <w:szCs w:val="21"/>
                <w:highlight w:val="none"/>
                <w:lang w:val="en-US" w:eastAsia="zh-CN"/>
              </w:rPr>
              <w:t>/</w:t>
            </w:r>
            <w:r>
              <w:rPr>
                <w:rFonts w:hint="eastAsia" w:ascii="仿宋" w:hAnsi="仿宋" w:eastAsia="仿宋" w:cs="仿宋"/>
                <w:b w:val="0"/>
                <w:bCs/>
                <w:color w:val="auto"/>
                <w:kern w:val="0"/>
                <w:sz w:val="21"/>
                <w:szCs w:val="21"/>
                <w:highlight w:val="none"/>
              </w:rPr>
              <w:t>某有效投标人评标价×</w:t>
            </w:r>
            <w:r>
              <w:rPr>
                <w:rFonts w:hint="eastAsia" w:ascii="仿宋" w:hAnsi="仿宋" w:eastAsia="仿宋" w:cs="仿宋"/>
                <w:b w:val="0"/>
                <w:bCs/>
                <w:color w:val="auto"/>
                <w:kern w:val="0"/>
                <w:sz w:val="21"/>
                <w:szCs w:val="21"/>
                <w:highlight w:val="none"/>
                <w:lang w:val="en-US" w:eastAsia="zh-CN"/>
              </w:rPr>
              <w:t>10</w:t>
            </w:r>
            <w:r>
              <w:rPr>
                <w:rFonts w:hint="eastAsia" w:ascii="仿宋" w:hAnsi="仿宋" w:eastAsia="仿宋" w:cs="仿宋"/>
                <w:b w:val="0"/>
                <w:bCs/>
                <w:color w:val="auto"/>
                <w:kern w:val="0"/>
                <w:sz w:val="21"/>
                <w:szCs w:val="21"/>
                <w:highlight w:val="none"/>
              </w:rPr>
              <w:t>分</w:t>
            </w:r>
          </w:p>
        </w:tc>
        <w:tc>
          <w:tcPr>
            <w:tcW w:w="851" w:type="dxa"/>
            <w:noWrap/>
            <w:vAlign w:val="center"/>
          </w:tcPr>
          <w:p w14:paraId="65DB9997">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10分</w:t>
            </w:r>
          </w:p>
        </w:tc>
      </w:tr>
      <w:tr w14:paraId="699D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ign w:val="center"/>
          </w:tcPr>
          <w:p w14:paraId="4CCDFD3E">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2</w:t>
            </w:r>
          </w:p>
        </w:tc>
        <w:tc>
          <w:tcPr>
            <w:tcW w:w="1487" w:type="dxa"/>
            <w:noWrap/>
            <w:vAlign w:val="center"/>
          </w:tcPr>
          <w:p w14:paraId="3485881D">
            <w:pPr>
              <w:widowControl/>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技术分</w:t>
            </w:r>
          </w:p>
        </w:tc>
        <w:tc>
          <w:tcPr>
            <w:tcW w:w="6174" w:type="dxa"/>
            <w:noWrap/>
            <w:vAlign w:val="center"/>
          </w:tcPr>
          <w:p w14:paraId="4F9881B7">
            <w:pP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评审标准</w:t>
            </w:r>
          </w:p>
        </w:tc>
        <w:tc>
          <w:tcPr>
            <w:tcW w:w="851" w:type="dxa"/>
            <w:noWrap/>
            <w:vAlign w:val="center"/>
          </w:tcPr>
          <w:p w14:paraId="614A00F0">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lang w:val="en-US" w:eastAsia="zh-CN"/>
              </w:rPr>
              <w:t>63</w:t>
            </w:r>
            <w:r>
              <w:rPr>
                <w:rFonts w:hint="eastAsia" w:ascii="仿宋" w:hAnsi="仿宋" w:eastAsia="仿宋" w:cs="仿宋"/>
                <w:bCs/>
                <w:kern w:val="0"/>
                <w:sz w:val="21"/>
                <w:szCs w:val="21"/>
                <w:highlight w:val="none"/>
              </w:rPr>
              <w:t>分</w:t>
            </w:r>
          </w:p>
        </w:tc>
      </w:tr>
      <w:tr w14:paraId="33F4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93" w:type="dxa"/>
            <w:noWrap/>
            <w:vAlign w:val="center"/>
          </w:tcPr>
          <w:p w14:paraId="5101712E">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2.1</w:t>
            </w:r>
          </w:p>
        </w:tc>
        <w:tc>
          <w:tcPr>
            <w:tcW w:w="1487" w:type="dxa"/>
            <w:noWrap/>
            <w:vAlign w:val="center"/>
          </w:tcPr>
          <w:p w14:paraId="6DE863CB">
            <w:pP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服务方案</w:t>
            </w:r>
          </w:p>
          <w:p w14:paraId="083A33D5">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（满分45分）</w:t>
            </w:r>
          </w:p>
        </w:tc>
        <w:tc>
          <w:tcPr>
            <w:tcW w:w="6174" w:type="dxa"/>
            <w:noWrap/>
            <w:vAlign w:val="center"/>
          </w:tcPr>
          <w:p w14:paraId="56963F0E">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一档（0分）：工作流程不清晰，岗位职责不明确，服务方案缺乏具体内容，无质量控制措施，无异常情况处理机制。</w:t>
            </w:r>
          </w:p>
          <w:p w14:paraId="5BF1FBCA">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二档（15分）：工作流程比较清晰，岗位职责基本明确，服务方案比较具体，有基本的质量控制措施，有简单的异常情况处理机制，基本切合体检服务工作特点。</w:t>
            </w:r>
          </w:p>
          <w:p w14:paraId="54F74105">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三档（30分）：工作流程清晰，岗位职责明确，服务方案具体可行，质量控制措施到位，有完善的异常情况处理机制，有解决体检工作中重点难点问题的方法（如重大阳性结果处理、突发情况应对等），有与采购人、体检对象之间的沟通协调方案。</w:t>
            </w:r>
          </w:p>
          <w:p w14:paraId="45D73621">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四档（45分）：在满足三档所有要求的基础上，进一步细化服务流程，能针对检前、检中、检后三个环节分别制定详细的工作流程和管理措施；包括但不限于：检前预约与信息采集、检中项目衔接与质量控制、检后报告出具与解读、异常结果跟踪回访、健康档案管理等；有完善的应急预案，处置流程精细明确。</w:t>
            </w:r>
          </w:p>
        </w:tc>
        <w:tc>
          <w:tcPr>
            <w:tcW w:w="851" w:type="dxa"/>
            <w:noWrap/>
            <w:vAlign w:val="center"/>
          </w:tcPr>
          <w:p w14:paraId="687DE7D9">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45分</w:t>
            </w:r>
          </w:p>
        </w:tc>
      </w:tr>
      <w:tr w14:paraId="50BA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ign w:val="center"/>
          </w:tcPr>
          <w:p w14:paraId="1C993611">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2.2</w:t>
            </w:r>
          </w:p>
        </w:tc>
        <w:tc>
          <w:tcPr>
            <w:tcW w:w="1487" w:type="dxa"/>
            <w:noWrap/>
            <w:vAlign w:val="center"/>
          </w:tcPr>
          <w:p w14:paraId="009A00BE">
            <w:pP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服务承诺</w:t>
            </w:r>
          </w:p>
          <w:p w14:paraId="3A57DB53">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sz w:val="21"/>
                <w:szCs w:val="21"/>
                <w:highlight w:val="none"/>
              </w:rPr>
              <w:t>（满分1</w:t>
            </w:r>
            <w:r>
              <w:rPr>
                <w:rFonts w:hint="eastAsia" w:ascii="仿宋" w:hAnsi="仿宋" w:eastAsia="仿宋" w:cs="仿宋"/>
                <w:bCs/>
                <w:sz w:val="21"/>
                <w:szCs w:val="21"/>
                <w:highlight w:val="none"/>
                <w:lang w:val="en-US" w:eastAsia="zh-CN"/>
              </w:rPr>
              <w:t>8</w:t>
            </w:r>
            <w:r>
              <w:rPr>
                <w:rFonts w:hint="eastAsia" w:ascii="仿宋" w:hAnsi="仿宋" w:eastAsia="仿宋" w:cs="仿宋"/>
                <w:bCs/>
                <w:sz w:val="21"/>
                <w:szCs w:val="21"/>
                <w:highlight w:val="none"/>
              </w:rPr>
              <w:t>分）</w:t>
            </w:r>
          </w:p>
        </w:tc>
        <w:tc>
          <w:tcPr>
            <w:tcW w:w="6174" w:type="dxa"/>
            <w:noWrap/>
            <w:vAlign w:val="center"/>
          </w:tcPr>
          <w:p w14:paraId="3F54DC97">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一档（0分）：供应商提供的服务承诺不符合项目要求，或未提供相关承诺；</w:t>
            </w:r>
          </w:p>
          <w:p w14:paraId="09D802CD">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二档（</w:t>
            </w:r>
            <w:r>
              <w:rPr>
                <w:rFonts w:hint="eastAsia" w:ascii="仿宋" w:hAnsi="仿宋" w:eastAsia="仿宋" w:cs="仿宋"/>
                <w:bCs/>
                <w:kern w:val="2"/>
                <w:sz w:val="21"/>
                <w:szCs w:val="21"/>
                <w:highlight w:val="none"/>
                <w:lang w:val="en-US" w:eastAsia="zh-CN"/>
              </w:rPr>
              <w:t>6</w:t>
            </w:r>
            <w:r>
              <w:rPr>
                <w:rFonts w:hint="eastAsia" w:ascii="仿宋" w:hAnsi="仿宋" w:eastAsia="仿宋" w:cs="仿宋"/>
                <w:bCs/>
                <w:kern w:val="2"/>
                <w:sz w:val="21"/>
                <w:szCs w:val="21"/>
                <w:highlight w:val="none"/>
              </w:rPr>
              <w:t>分）：供应商提供的服务承诺方案基本可行，包含基本的质量服务承诺、隐私保护承诺等内容，能满足体检服务的基本要求。</w:t>
            </w:r>
          </w:p>
          <w:p w14:paraId="15766C5A">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三档（1</w:t>
            </w:r>
            <w:r>
              <w:rPr>
                <w:rFonts w:hint="eastAsia" w:ascii="仿宋" w:hAnsi="仿宋" w:eastAsia="仿宋" w:cs="仿宋"/>
                <w:bCs/>
                <w:kern w:val="2"/>
                <w:sz w:val="21"/>
                <w:szCs w:val="21"/>
                <w:highlight w:val="none"/>
                <w:lang w:val="en-US" w:eastAsia="zh-CN"/>
              </w:rPr>
              <w:t>2</w:t>
            </w:r>
            <w:r>
              <w:rPr>
                <w:rFonts w:hint="eastAsia" w:ascii="仿宋" w:hAnsi="仿宋" w:eastAsia="仿宋" w:cs="仿宋"/>
                <w:bCs/>
                <w:kern w:val="2"/>
                <w:sz w:val="21"/>
                <w:szCs w:val="21"/>
                <w:highlight w:val="none"/>
              </w:rPr>
              <w:t>分）：供应商提供的服务承诺方案较好，针对质量服务承诺、隐私保护承诺等内容阐述较完整、可行，能够基本满足体检工作需要。</w:t>
            </w:r>
          </w:p>
          <w:p w14:paraId="735DF43A">
            <w:pPr>
              <w:pStyle w:val="14"/>
              <w:spacing w:line="360" w:lineRule="auto"/>
              <w:rPr>
                <w:rFonts w:hint="eastAsia" w:ascii="仿宋" w:hAnsi="仿宋" w:eastAsia="仿宋" w:cs="仿宋"/>
                <w:bCs/>
                <w:sz w:val="21"/>
                <w:szCs w:val="21"/>
                <w:highlight w:val="none"/>
              </w:rPr>
            </w:pPr>
            <w:r>
              <w:rPr>
                <w:rFonts w:hint="eastAsia" w:ascii="仿宋" w:hAnsi="仿宋" w:eastAsia="仿宋" w:cs="仿宋"/>
                <w:bCs/>
                <w:kern w:val="2"/>
                <w:sz w:val="21"/>
                <w:szCs w:val="21"/>
                <w:highlight w:val="none"/>
              </w:rPr>
              <w:t>四档（1</w:t>
            </w:r>
            <w:r>
              <w:rPr>
                <w:rFonts w:hint="eastAsia" w:ascii="仿宋" w:hAnsi="仿宋" w:eastAsia="仿宋" w:cs="仿宋"/>
                <w:bCs/>
                <w:kern w:val="2"/>
                <w:sz w:val="21"/>
                <w:szCs w:val="21"/>
                <w:highlight w:val="none"/>
                <w:lang w:val="en-US" w:eastAsia="zh-CN"/>
              </w:rPr>
              <w:t>8</w:t>
            </w:r>
            <w:r>
              <w:rPr>
                <w:rFonts w:hint="eastAsia" w:ascii="仿宋" w:hAnsi="仿宋" w:eastAsia="仿宋" w:cs="仿宋"/>
                <w:bCs/>
                <w:kern w:val="2"/>
                <w:sz w:val="21"/>
                <w:szCs w:val="21"/>
                <w:highlight w:val="none"/>
              </w:rPr>
              <w:t>分）：供应商提供的服务承诺方案优秀，针对质量服务承诺、隐私保护承诺等内容阐述完整全面，能结合体检服务特点制定针对性措施；对多批次体检、紧急体检任务等有明确的保障方案，承诺人力配备充足、响应及时，确保不耽误时间进度；内容详细，可操作性强，完全满足本项目体检工作需要。</w:t>
            </w:r>
          </w:p>
        </w:tc>
        <w:tc>
          <w:tcPr>
            <w:tcW w:w="851" w:type="dxa"/>
            <w:noWrap/>
            <w:vAlign w:val="center"/>
          </w:tcPr>
          <w:p w14:paraId="5FA1258E">
            <w:pPr>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1</w:t>
            </w:r>
            <w:r>
              <w:rPr>
                <w:rFonts w:hint="eastAsia" w:ascii="仿宋" w:hAnsi="仿宋" w:eastAsia="仿宋" w:cs="仿宋"/>
                <w:bCs/>
                <w:kern w:val="0"/>
                <w:sz w:val="21"/>
                <w:szCs w:val="21"/>
                <w:highlight w:val="none"/>
                <w:lang w:val="en-US" w:eastAsia="zh-CN"/>
              </w:rPr>
              <w:t>8</w:t>
            </w:r>
            <w:r>
              <w:rPr>
                <w:rFonts w:hint="eastAsia" w:ascii="仿宋" w:hAnsi="仿宋" w:eastAsia="仿宋" w:cs="仿宋"/>
                <w:bCs/>
                <w:kern w:val="0"/>
                <w:sz w:val="21"/>
                <w:szCs w:val="21"/>
                <w:highlight w:val="none"/>
              </w:rPr>
              <w:t>分</w:t>
            </w:r>
          </w:p>
        </w:tc>
      </w:tr>
      <w:tr w14:paraId="6B20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3" w:type="dxa"/>
            <w:noWrap/>
            <w:vAlign w:val="center"/>
          </w:tcPr>
          <w:p w14:paraId="357FE9D7">
            <w:pPr>
              <w:widowControl/>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3</w:t>
            </w:r>
          </w:p>
        </w:tc>
        <w:tc>
          <w:tcPr>
            <w:tcW w:w="1487" w:type="dxa"/>
            <w:noWrap/>
            <w:vAlign w:val="center"/>
          </w:tcPr>
          <w:p w14:paraId="379CED42">
            <w:pPr>
              <w:widowControl/>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商务分</w:t>
            </w:r>
          </w:p>
        </w:tc>
        <w:tc>
          <w:tcPr>
            <w:tcW w:w="6174" w:type="dxa"/>
            <w:noWrap/>
            <w:vAlign w:val="center"/>
          </w:tcPr>
          <w:p w14:paraId="0C87892D">
            <w:pPr>
              <w:widowControl/>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评审标准</w:t>
            </w:r>
          </w:p>
        </w:tc>
        <w:tc>
          <w:tcPr>
            <w:tcW w:w="851" w:type="dxa"/>
            <w:noWrap/>
            <w:vAlign w:val="center"/>
          </w:tcPr>
          <w:p w14:paraId="12865CD2">
            <w:pPr>
              <w:widowControl/>
              <w:spacing w:line="360" w:lineRule="auto"/>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lang w:val="en-US" w:eastAsia="zh-CN"/>
              </w:rPr>
              <w:t>27</w:t>
            </w:r>
            <w:r>
              <w:rPr>
                <w:rFonts w:hint="eastAsia" w:ascii="仿宋" w:hAnsi="仿宋" w:eastAsia="仿宋" w:cs="仿宋"/>
                <w:bCs/>
                <w:kern w:val="0"/>
                <w:sz w:val="21"/>
                <w:szCs w:val="21"/>
                <w:highlight w:val="none"/>
              </w:rPr>
              <w:t>分</w:t>
            </w:r>
          </w:p>
        </w:tc>
      </w:tr>
      <w:tr w14:paraId="00EA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93" w:type="dxa"/>
            <w:noWrap/>
            <w:vAlign w:val="center"/>
          </w:tcPr>
          <w:p w14:paraId="7DBE1C98">
            <w:pP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3.1</w:t>
            </w:r>
          </w:p>
        </w:tc>
        <w:tc>
          <w:tcPr>
            <w:tcW w:w="1487" w:type="dxa"/>
            <w:noWrap/>
            <w:vAlign w:val="center"/>
          </w:tcPr>
          <w:p w14:paraId="2F72262D">
            <w:pPr>
              <w:pStyle w:val="14"/>
              <w:spacing w:line="360" w:lineRule="auto"/>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人员配备</w:t>
            </w:r>
          </w:p>
          <w:p w14:paraId="729F778C">
            <w:pPr>
              <w:pStyle w:val="14"/>
              <w:spacing w:line="360" w:lineRule="auto"/>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（满分20分）</w:t>
            </w:r>
          </w:p>
        </w:tc>
        <w:tc>
          <w:tcPr>
            <w:tcW w:w="6174" w:type="dxa"/>
            <w:noWrap/>
            <w:vAlign w:val="center"/>
          </w:tcPr>
          <w:p w14:paraId="0D45627C">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一档（5分）：拟投入为本次体检服务的医务人员人数达8人（含）及以上。</w:t>
            </w:r>
          </w:p>
          <w:p w14:paraId="503F2690">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二档（10分）：拟投入为本次体检服务的医务人员人数达10人（含）及以上，具有中级职称（含）及以上的人员为5人（含）及以上；人员配备仅满足项目需求，人员资质仅能满足本项目进度计划的。</w:t>
            </w:r>
          </w:p>
          <w:p w14:paraId="49B9C876">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三档（15分）：拟投入为本次体检服务的医务人员人数达12人（含）及以上，具有中级职称的人员为7人（含）及以上,具有高级职称的人员为2人（含）及以上；人员配备满足项目需求，人员资质较好满足本项目进度计划的。</w:t>
            </w:r>
          </w:p>
          <w:p w14:paraId="6B9022CA">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四档（20分）：拟投入为本次体检服务的医务人员人数达15人（含）及以上，具有中级职称的人员为10人（含）及以上,具有高级职称的人员为4人（含）及以上。拟投入人员临床经验丰富、技术水平较高，人员配备满足项目需求且经验及综合素质优秀，人员资质完全能满足本项目进度计划的。</w:t>
            </w:r>
          </w:p>
          <w:p w14:paraId="4F19A772">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注：</w:t>
            </w:r>
          </w:p>
          <w:p w14:paraId="6EF4DA7D">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1.以上人员须在响应文件中提供有效的执业资格证书复印件或职称复印件。</w:t>
            </w:r>
          </w:p>
          <w:p w14:paraId="393AA6B3">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2.未达到一档要求的不得分。</w:t>
            </w:r>
          </w:p>
        </w:tc>
        <w:tc>
          <w:tcPr>
            <w:tcW w:w="851" w:type="dxa"/>
            <w:noWrap/>
            <w:vAlign w:val="center"/>
          </w:tcPr>
          <w:p w14:paraId="566F6F04">
            <w:pP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20分</w:t>
            </w:r>
          </w:p>
        </w:tc>
      </w:tr>
      <w:tr w14:paraId="458D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3" w:type="dxa"/>
            <w:noWrap/>
            <w:vAlign w:val="center"/>
          </w:tcPr>
          <w:p w14:paraId="247B5997">
            <w:pPr>
              <w:spacing w:line="360" w:lineRule="auto"/>
              <w:jc w:val="center"/>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3.</w:t>
            </w:r>
            <w:r>
              <w:rPr>
                <w:rFonts w:hint="eastAsia" w:ascii="仿宋" w:hAnsi="仿宋" w:eastAsia="仿宋" w:cs="仿宋"/>
                <w:bCs/>
                <w:sz w:val="21"/>
                <w:szCs w:val="21"/>
                <w:highlight w:val="none"/>
                <w:lang w:val="en-US" w:eastAsia="zh-CN"/>
              </w:rPr>
              <w:t>2</w:t>
            </w:r>
          </w:p>
        </w:tc>
        <w:tc>
          <w:tcPr>
            <w:tcW w:w="1487" w:type="dxa"/>
            <w:noWrap/>
            <w:vAlign w:val="center"/>
          </w:tcPr>
          <w:p w14:paraId="6A69E713">
            <w:pPr>
              <w:pStyle w:val="14"/>
              <w:spacing w:line="360" w:lineRule="auto"/>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类似业绩</w:t>
            </w:r>
          </w:p>
          <w:p w14:paraId="7603DE8E">
            <w:pPr>
              <w:pStyle w:val="14"/>
              <w:spacing w:line="360" w:lineRule="auto"/>
              <w:jc w:val="center"/>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（满分</w:t>
            </w:r>
            <w:r>
              <w:rPr>
                <w:rFonts w:hint="eastAsia" w:ascii="仿宋" w:hAnsi="仿宋" w:eastAsia="仿宋" w:cs="仿宋"/>
                <w:bCs/>
                <w:kern w:val="2"/>
                <w:sz w:val="21"/>
                <w:szCs w:val="21"/>
                <w:highlight w:val="none"/>
                <w:lang w:val="en-US" w:eastAsia="zh-CN"/>
              </w:rPr>
              <w:t>7</w:t>
            </w:r>
            <w:r>
              <w:rPr>
                <w:rFonts w:hint="eastAsia" w:ascii="仿宋" w:hAnsi="仿宋" w:eastAsia="仿宋" w:cs="仿宋"/>
                <w:bCs/>
                <w:kern w:val="2"/>
                <w:sz w:val="21"/>
                <w:szCs w:val="21"/>
                <w:highlight w:val="none"/>
              </w:rPr>
              <w:t>分）</w:t>
            </w:r>
          </w:p>
        </w:tc>
        <w:tc>
          <w:tcPr>
            <w:tcW w:w="6174" w:type="dxa"/>
            <w:noWrap/>
            <w:vAlign w:val="center"/>
          </w:tcPr>
          <w:p w14:paraId="4A008CAB">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类似项目指：体检类项目。</w:t>
            </w:r>
          </w:p>
          <w:p w14:paraId="7D2B1B04">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供应商自202</w:t>
            </w:r>
            <w:r>
              <w:rPr>
                <w:rFonts w:hint="eastAsia" w:ascii="仿宋" w:hAnsi="仿宋" w:eastAsia="仿宋" w:cs="仿宋"/>
                <w:bCs/>
                <w:kern w:val="2"/>
                <w:sz w:val="21"/>
                <w:szCs w:val="21"/>
                <w:highlight w:val="none"/>
                <w:lang w:val="en-US" w:eastAsia="zh-CN"/>
              </w:rPr>
              <w:t>3</w:t>
            </w:r>
            <w:r>
              <w:rPr>
                <w:rFonts w:hint="eastAsia" w:ascii="仿宋" w:hAnsi="仿宋" w:eastAsia="仿宋" w:cs="仿宋"/>
                <w:bCs/>
                <w:kern w:val="2"/>
                <w:sz w:val="21"/>
                <w:szCs w:val="21"/>
                <w:highlight w:val="none"/>
              </w:rPr>
              <w:t>年1月1日至响应截止时间前有承接过类似项目的，每项得</w:t>
            </w:r>
            <w:r>
              <w:rPr>
                <w:rFonts w:hint="eastAsia" w:ascii="仿宋" w:hAnsi="仿宋" w:eastAsia="仿宋" w:cs="仿宋"/>
                <w:bCs/>
                <w:kern w:val="2"/>
                <w:sz w:val="21"/>
                <w:szCs w:val="21"/>
                <w:highlight w:val="none"/>
                <w:lang w:val="en-US" w:eastAsia="zh-CN"/>
              </w:rPr>
              <w:t>3.5</w:t>
            </w:r>
            <w:r>
              <w:rPr>
                <w:rFonts w:hint="eastAsia" w:ascii="仿宋" w:hAnsi="仿宋" w:eastAsia="仿宋" w:cs="仿宋"/>
                <w:bCs/>
                <w:kern w:val="2"/>
                <w:sz w:val="21"/>
                <w:szCs w:val="21"/>
                <w:highlight w:val="none"/>
              </w:rPr>
              <w:t>分，此项满分</w:t>
            </w:r>
            <w:r>
              <w:rPr>
                <w:rFonts w:hint="eastAsia" w:ascii="仿宋" w:hAnsi="仿宋" w:eastAsia="仿宋" w:cs="仿宋"/>
                <w:bCs/>
                <w:kern w:val="2"/>
                <w:sz w:val="21"/>
                <w:szCs w:val="21"/>
                <w:highlight w:val="none"/>
                <w:lang w:val="en-US" w:eastAsia="zh-CN"/>
              </w:rPr>
              <w:t>7</w:t>
            </w:r>
            <w:r>
              <w:rPr>
                <w:rFonts w:hint="eastAsia" w:ascii="仿宋" w:hAnsi="仿宋" w:eastAsia="仿宋" w:cs="仿宋"/>
                <w:bCs/>
                <w:kern w:val="2"/>
                <w:sz w:val="21"/>
                <w:szCs w:val="21"/>
                <w:highlight w:val="none"/>
              </w:rPr>
              <w:t>分</w:t>
            </w:r>
          </w:p>
          <w:p w14:paraId="2DA3A7DD">
            <w:pPr>
              <w:pStyle w:val="14"/>
              <w:spacing w:line="360" w:lineRule="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注：响应文件中提供合同（或协议）或中标（成交）通知书等相关证明材料，否则不予计分。</w:t>
            </w:r>
          </w:p>
        </w:tc>
        <w:tc>
          <w:tcPr>
            <w:tcW w:w="851" w:type="dxa"/>
            <w:noWrap/>
            <w:vAlign w:val="center"/>
          </w:tcPr>
          <w:p w14:paraId="7F81C981">
            <w:pPr>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7</w:t>
            </w:r>
            <w:r>
              <w:rPr>
                <w:rFonts w:hint="eastAsia" w:ascii="仿宋" w:hAnsi="仿宋" w:eastAsia="仿宋" w:cs="仿宋"/>
                <w:bCs/>
                <w:sz w:val="21"/>
                <w:szCs w:val="21"/>
                <w:highlight w:val="none"/>
              </w:rPr>
              <w:t>分</w:t>
            </w:r>
          </w:p>
        </w:tc>
      </w:tr>
    </w:tbl>
    <w:p w14:paraId="51F68D61">
      <w:pPr>
        <w:spacing w:line="360" w:lineRule="auto"/>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（三）总得分＝1＋2＋3</w:t>
      </w:r>
    </w:p>
    <w:p w14:paraId="2FE5AC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bCs/>
          <w:color w:val="auto"/>
          <w:highlight w:val="none"/>
        </w:rPr>
        <w:t>评标委员会</w:t>
      </w:r>
      <w:r>
        <w:rPr>
          <w:rFonts w:hint="eastAsia" w:ascii="仿宋" w:hAnsi="仿宋" w:eastAsia="仿宋" w:cs="仿宋"/>
          <w:color w:val="auto"/>
          <w:highlight w:val="none"/>
        </w:rPr>
        <w:t>将按总得分由高到低排列中标候选供应商顺序（总得分相同时，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w:t>
      </w:r>
      <w:r>
        <w:rPr>
          <w:rFonts w:hint="eastAsia" w:ascii="仿宋" w:hAnsi="仿宋" w:eastAsia="仿宋" w:cs="仿宋"/>
          <w:color w:val="auto"/>
          <w:highlight w:val="none"/>
          <w:lang w:eastAsia="zh-CN"/>
        </w:rPr>
        <w:t>按分标</w:t>
      </w:r>
      <w:r>
        <w:rPr>
          <w:rFonts w:hint="eastAsia" w:ascii="仿宋" w:hAnsi="仿宋" w:eastAsia="仿宋" w:cs="仿宋"/>
          <w:color w:val="auto"/>
          <w:highlight w:val="none"/>
        </w:rPr>
        <w:t>依照次序确定1家中标供应商。</w:t>
      </w:r>
    </w:p>
    <w:p w14:paraId="3A5D4B2C">
      <w:pPr>
        <w:pStyle w:val="3"/>
        <w:jc w:val="center"/>
        <w:rPr>
          <w:rFonts w:hint="eastAsia" w:ascii="仿宋" w:hAnsi="仿宋" w:eastAsia="仿宋" w:cs="仿宋"/>
          <w:bCs w:val="0"/>
          <w:color w:val="auto"/>
          <w:sz w:val="30"/>
          <w:szCs w:val="30"/>
          <w:highlight w:val="none"/>
        </w:rPr>
      </w:pPr>
      <w:bookmarkStart w:id="120" w:name="_Toc11875"/>
      <w:bookmarkStart w:id="121" w:name="_Toc23906"/>
      <w:r>
        <w:rPr>
          <w:rFonts w:hint="eastAsia" w:ascii="仿宋" w:hAnsi="仿宋" w:eastAsia="仿宋" w:cs="仿宋"/>
          <w:bCs w:val="0"/>
          <w:color w:val="auto"/>
          <w:sz w:val="30"/>
          <w:szCs w:val="30"/>
          <w:highlight w:val="none"/>
        </w:rPr>
        <w:t>第四节 中标候选人推荐原则</w:t>
      </w:r>
      <w:bookmarkEnd w:id="120"/>
      <w:bookmarkEnd w:id="121"/>
    </w:p>
    <w:p w14:paraId="394A2571">
      <w:pPr>
        <w:pStyle w:val="13"/>
        <w:spacing w:line="360" w:lineRule="auto"/>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B7A8691">
      <w:pPr>
        <w:pStyle w:val="13"/>
        <w:spacing w:line="360" w:lineRule="auto"/>
        <w:ind w:firstLine="402" w:firstLineChars="200"/>
        <w:rPr>
          <w:rFonts w:hint="eastAsia" w:ascii="仿宋" w:hAnsi="仿宋" w:eastAsia="仿宋" w:cs="仿宋"/>
          <w:color w:val="auto"/>
          <w:highlight w:val="none"/>
        </w:rPr>
      </w:pPr>
      <w:r>
        <w:rPr>
          <w:rFonts w:hint="eastAsia" w:ascii="仿宋" w:hAnsi="仿宋" w:eastAsia="仿宋" w:cs="仿宋"/>
          <w:b/>
          <w:bCs/>
          <w:color w:val="auto"/>
          <w:highlight w:val="none"/>
        </w:rPr>
        <w:t>各投标人可就本项目的所有标段进行投标，但只允许中标其中一个标段。评审顺序按1→2→3标段顺序进行评审；已在其他分标被推荐为第一中标候选人的投标人，在其他标段中将不再推荐为第一中标候选人。</w:t>
      </w:r>
    </w:p>
    <w:p w14:paraId="60B54158">
      <w:pPr>
        <w:spacing w:before="0" w:after="0" w:line="360" w:lineRule="auto"/>
        <w:ind w:firstLine="600" w:firstLineChars="200"/>
        <w:jc w:val="center"/>
        <w:outlineLvl w:val="9"/>
        <w:rPr>
          <w:rFonts w:hint="eastAsia" w:ascii="仿宋" w:hAnsi="仿宋" w:eastAsia="仿宋" w:cs="仿宋"/>
          <w:bCs w:val="0"/>
          <w:color w:val="auto"/>
          <w:sz w:val="30"/>
          <w:szCs w:val="30"/>
          <w:highlight w:val="none"/>
        </w:rPr>
      </w:pPr>
      <w:bookmarkStart w:id="122" w:name="_Toc10692"/>
      <w:bookmarkStart w:id="123" w:name="_Toc13625"/>
    </w:p>
    <w:p w14:paraId="44A7992D">
      <w:pPr>
        <w:pStyle w:val="3"/>
        <w:spacing w:before="0" w:after="0" w:line="360" w:lineRule="auto"/>
        <w:ind w:firstLine="602" w:firstLineChars="200"/>
        <w:jc w:val="center"/>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第五节 评标报告</w:t>
      </w:r>
      <w:bookmarkEnd w:id="122"/>
      <w:bookmarkEnd w:id="123"/>
    </w:p>
    <w:p w14:paraId="71C1E6DC">
      <w:pPr>
        <w:pStyle w:val="31"/>
        <w:spacing w:before="0"/>
        <w:ind w:firstLine="482"/>
        <w:rPr>
          <w:rFonts w:hint="eastAsia" w:ascii="仿宋" w:hAnsi="仿宋" w:eastAsia="仿宋" w:cs="仿宋"/>
          <w:b/>
          <w:bCs/>
          <w:color w:val="auto"/>
          <w:szCs w:val="24"/>
          <w:highlight w:val="none"/>
        </w:rPr>
      </w:pPr>
    </w:p>
    <w:p w14:paraId="6596972F">
      <w:pPr>
        <w:pStyle w:val="31"/>
        <w:spacing w:before="0"/>
        <w:ind w:firstLine="48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（一）评标报告与推荐中标候选人</w:t>
      </w:r>
    </w:p>
    <w:p w14:paraId="3BA7190C">
      <w:pPr>
        <w:pStyle w:val="13"/>
        <w:tabs>
          <w:tab w:val="left" w:pos="2472"/>
        </w:tabs>
        <w:spacing w:line="360" w:lineRule="auto"/>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评标委员会根据原始评标记录和评标结果编写评标报告，并通过电子交易平台向采购人、采购代理机构提交。</w:t>
      </w:r>
    </w:p>
    <w:p w14:paraId="27177CE5">
      <w:pPr>
        <w:widowControl/>
        <w:spacing w:line="360" w:lineRule="auto"/>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（二）评标争议事项处理</w:t>
      </w:r>
    </w:p>
    <w:p w14:paraId="7E773AD0">
      <w:pPr>
        <w:pStyle w:val="13"/>
        <w:tabs>
          <w:tab w:val="left" w:pos="2472"/>
        </w:tabs>
        <w:spacing w:line="360" w:lineRule="auto"/>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3C3950F">
      <w:pPr>
        <w:widowControl/>
        <w:jc w:val="left"/>
        <w:rPr>
          <w:rFonts w:hint="eastAsia" w:ascii="仿宋" w:hAnsi="仿宋" w:eastAsia="仿宋" w:cs="仿宋"/>
          <w:b/>
          <w:color w:val="auto"/>
          <w:sz w:val="36"/>
          <w:szCs w:val="20"/>
          <w:highlight w:val="none"/>
        </w:rPr>
        <w:sectPr>
          <w:pgSz w:w="11906" w:h="16838"/>
          <w:pgMar w:top="1440" w:right="1080" w:bottom="1440" w:left="1080" w:header="720" w:footer="720" w:gutter="0"/>
          <w:cols w:space="720" w:num="1"/>
          <w:docGrid w:type="lines" w:linePitch="331" w:charSpace="0"/>
        </w:sectPr>
      </w:pPr>
    </w:p>
    <w:p w14:paraId="5EB5B708">
      <w:pPr>
        <w:pStyle w:val="13"/>
        <w:tabs>
          <w:tab w:val="left" w:pos="2472"/>
        </w:tabs>
        <w:spacing w:line="460" w:lineRule="exact"/>
        <w:jc w:val="center"/>
        <w:outlineLvl w:val="0"/>
        <w:rPr>
          <w:rFonts w:hint="eastAsia" w:ascii="仿宋" w:hAnsi="仿宋" w:eastAsia="仿宋" w:cs="仿宋"/>
          <w:b/>
          <w:color w:val="auto"/>
          <w:sz w:val="36"/>
          <w:highlight w:val="none"/>
        </w:rPr>
      </w:pPr>
      <w:bookmarkStart w:id="124" w:name="_Toc16322"/>
      <w:bookmarkStart w:id="125" w:name="_Toc3838"/>
      <w:r>
        <w:rPr>
          <w:rFonts w:hint="eastAsia" w:ascii="仿宋" w:hAnsi="仿宋" w:eastAsia="仿宋" w:cs="仿宋"/>
          <w:b/>
          <w:color w:val="auto"/>
          <w:sz w:val="36"/>
          <w:highlight w:val="none"/>
        </w:rPr>
        <w:t>第五章 拟签订的合同文本</w:t>
      </w:r>
      <w:bookmarkEnd w:id="124"/>
      <w:bookmarkEnd w:id="125"/>
    </w:p>
    <w:p w14:paraId="17E52D68">
      <w:pPr>
        <w:spacing w:line="360" w:lineRule="auto"/>
        <w:rPr>
          <w:rFonts w:hint="eastAsia" w:ascii="仿宋" w:hAnsi="仿宋" w:eastAsia="仿宋" w:cs="仿宋"/>
          <w:color w:val="auto"/>
          <w:sz w:val="24"/>
          <w:highlight w:val="none"/>
        </w:rPr>
      </w:pPr>
    </w:p>
    <w:p w14:paraId="47DF20B6">
      <w:pPr>
        <w:rPr>
          <w:rFonts w:hint="eastAsia" w:ascii="仿宋" w:hAnsi="仿宋" w:eastAsia="仿宋" w:cs="仿宋"/>
          <w:color w:val="auto"/>
          <w:highlight w:val="none"/>
        </w:rPr>
      </w:pPr>
    </w:p>
    <w:p w14:paraId="3E8B179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“广西政府采购云”平台合同编号：</w:t>
      </w:r>
      <w:r>
        <w:rPr>
          <w:rFonts w:hint="eastAsia" w:ascii="仿宋" w:hAnsi="仿宋" w:eastAsia="仿宋" w:cs="仿宋"/>
          <w:color w:val="auto"/>
          <w:sz w:val="24"/>
          <w:highlight w:val="none"/>
          <w:u w:val="single"/>
        </w:rPr>
        <w:t xml:space="preserve">           </w:t>
      </w:r>
    </w:p>
    <w:p w14:paraId="12271504">
      <w:pPr>
        <w:spacing w:line="360" w:lineRule="auto"/>
        <w:jc w:val="both"/>
        <w:rPr>
          <w:rFonts w:hint="eastAsia" w:ascii="仿宋" w:hAnsi="仿宋" w:eastAsia="仿宋" w:cs="仿宋"/>
          <w:b/>
          <w:bCs/>
          <w:color w:val="auto"/>
          <w:sz w:val="52"/>
          <w:highlight w:val="none"/>
        </w:rPr>
      </w:pPr>
    </w:p>
    <w:p w14:paraId="29BD648F">
      <w:pPr>
        <w:spacing w:line="360" w:lineRule="auto"/>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南 宁 市 政 府 采 购</w:t>
      </w:r>
    </w:p>
    <w:p w14:paraId="0767F59D">
      <w:pPr>
        <w:spacing w:line="360" w:lineRule="auto"/>
        <w:ind w:firstLine="420" w:firstLineChars="200"/>
        <w:rPr>
          <w:rFonts w:hint="eastAsia" w:ascii="仿宋" w:hAnsi="仿宋" w:eastAsia="仿宋" w:cs="仿宋"/>
          <w:color w:val="auto"/>
          <w:highlight w:val="none"/>
        </w:rPr>
      </w:pPr>
    </w:p>
    <w:p w14:paraId="3E1E94E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2AA927D">
      <w:pPr>
        <w:spacing w:line="360" w:lineRule="auto"/>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u w:val="single"/>
          <w:lang w:eastAsia="zh-CN"/>
        </w:rPr>
        <w:t>2026年军休干部体检项目</w:t>
      </w:r>
      <w:r>
        <w:rPr>
          <w:rFonts w:hint="eastAsia" w:ascii="仿宋" w:hAnsi="仿宋" w:eastAsia="仿宋" w:cs="仿宋"/>
          <w:b/>
          <w:bCs/>
          <w:color w:val="auto"/>
          <w:sz w:val="44"/>
          <w:highlight w:val="none"/>
        </w:rPr>
        <w:t>合同</w:t>
      </w:r>
    </w:p>
    <w:p w14:paraId="3267FF91">
      <w:pPr>
        <w:spacing w:line="360" w:lineRule="auto"/>
        <w:jc w:val="center"/>
        <w:rPr>
          <w:rFonts w:hint="eastAsia" w:ascii="仿宋" w:hAnsi="仿宋" w:eastAsia="仿宋" w:cs="仿宋"/>
          <w:b/>
          <w:bCs/>
          <w:color w:val="auto"/>
          <w:sz w:val="44"/>
          <w:highlight w:val="none"/>
        </w:rPr>
      </w:pPr>
    </w:p>
    <w:p w14:paraId="7663425A">
      <w:pPr>
        <w:spacing w:line="360" w:lineRule="auto"/>
        <w:jc w:val="center"/>
        <w:rPr>
          <w:rFonts w:hint="eastAsia" w:ascii="仿宋" w:hAnsi="仿宋" w:eastAsia="仿宋" w:cs="仿宋"/>
          <w:b/>
          <w:bCs/>
          <w:color w:val="auto"/>
          <w:sz w:val="44"/>
          <w:highlight w:val="none"/>
        </w:rPr>
      </w:pPr>
    </w:p>
    <w:p w14:paraId="2DF8CC7B">
      <w:pPr>
        <w:spacing w:line="360" w:lineRule="auto"/>
        <w:ind w:firstLine="3507" w:firstLineChars="794"/>
        <w:rPr>
          <w:rFonts w:hint="eastAsia" w:ascii="仿宋" w:hAnsi="仿宋" w:eastAsia="仿宋" w:cs="仿宋"/>
          <w:b/>
          <w:bCs/>
          <w:color w:val="auto"/>
          <w:sz w:val="44"/>
          <w:highlight w:val="none"/>
        </w:rPr>
      </w:pPr>
    </w:p>
    <w:p w14:paraId="60578B0E">
      <w:pPr>
        <w:spacing w:line="360" w:lineRule="auto"/>
        <w:ind w:firstLine="3507" w:firstLineChars="794"/>
        <w:rPr>
          <w:rFonts w:hint="eastAsia" w:ascii="仿宋" w:hAnsi="仿宋" w:eastAsia="仿宋" w:cs="仿宋"/>
          <w:b/>
          <w:bCs/>
          <w:color w:val="auto"/>
          <w:sz w:val="44"/>
          <w:highlight w:val="none"/>
        </w:rPr>
      </w:pPr>
    </w:p>
    <w:p w14:paraId="3A8A5B35">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u w:val="single"/>
          <w:lang w:val="en-US" w:eastAsia="zh-CN"/>
        </w:rPr>
        <w:t>NNZC2026-G3-990397-GXJT</w:t>
      </w:r>
    </w:p>
    <w:p w14:paraId="0EDA80AD">
      <w:pPr>
        <w:ind w:firstLine="1995" w:firstLineChars="55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计划编号：</w:t>
      </w:r>
      <w:r>
        <w:rPr>
          <w:rFonts w:hint="eastAsia" w:ascii="仿宋" w:hAnsi="仿宋" w:eastAsia="仿宋" w:cs="仿宋"/>
          <w:b/>
          <w:color w:val="auto"/>
          <w:sz w:val="36"/>
          <w:szCs w:val="36"/>
          <w:highlight w:val="none"/>
          <w:u w:val="single"/>
          <w:lang w:val="en-US" w:eastAsia="zh-CN"/>
        </w:rPr>
        <w:t>NNZC[2026]2066号</w:t>
      </w:r>
    </w:p>
    <w:p w14:paraId="6DAE5065">
      <w:pPr>
        <w:ind w:firstLine="1970" w:firstLineChars="545"/>
        <w:rPr>
          <w:rFonts w:hint="eastAsia" w:ascii="仿宋" w:hAnsi="仿宋" w:eastAsia="仿宋" w:cs="仿宋"/>
          <w:b/>
          <w:color w:val="auto"/>
          <w:sz w:val="36"/>
          <w:szCs w:val="36"/>
          <w:highlight w:val="none"/>
          <w:u w:val="single"/>
        </w:rPr>
      </w:pPr>
    </w:p>
    <w:p w14:paraId="40A62218">
      <w:pPr>
        <w:tabs>
          <w:tab w:val="left" w:pos="7200"/>
        </w:tabs>
        <w:spacing w:line="360" w:lineRule="auto"/>
        <w:ind w:firstLine="1995" w:firstLineChars="552"/>
        <w:rPr>
          <w:rFonts w:hint="eastAsia" w:ascii="仿宋" w:hAnsi="仿宋" w:eastAsia="仿宋" w:cs="仿宋"/>
          <w:b/>
          <w:color w:val="auto"/>
          <w:sz w:val="36"/>
          <w:szCs w:val="36"/>
          <w:highlight w:val="none"/>
          <w:u w:val="single"/>
        </w:rPr>
      </w:pPr>
      <w:r>
        <w:rPr>
          <w:rFonts w:hint="eastAsia" w:ascii="仿宋" w:hAnsi="仿宋" w:eastAsia="仿宋" w:cs="仿宋"/>
          <w:b/>
          <w:color w:val="auto"/>
          <w:sz w:val="36"/>
          <w:szCs w:val="36"/>
          <w:highlight w:val="none"/>
        </w:rPr>
        <w:t>采购人：</w:t>
      </w:r>
      <w:r>
        <w:rPr>
          <w:rFonts w:hint="eastAsia" w:ascii="仿宋" w:hAnsi="仿宋" w:eastAsia="仿宋" w:cs="仿宋"/>
          <w:b/>
          <w:color w:val="auto"/>
          <w:sz w:val="36"/>
          <w:szCs w:val="36"/>
          <w:highlight w:val="none"/>
          <w:u w:val="single"/>
          <w:lang w:eastAsia="zh-CN"/>
        </w:rPr>
        <w:t>南宁市军队离退休干部服务管理中心</w:t>
      </w:r>
    </w:p>
    <w:p w14:paraId="0B3244CF">
      <w:pPr>
        <w:tabs>
          <w:tab w:val="left" w:pos="7380"/>
        </w:tabs>
        <w:spacing w:line="360" w:lineRule="auto"/>
        <w:ind w:firstLine="1995" w:firstLineChars="552"/>
        <w:rPr>
          <w:rFonts w:hint="eastAsia" w:ascii="仿宋" w:hAnsi="仿宋" w:eastAsia="仿宋" w:cs="仿宋"/>
          <w:b/>
          <w:bCs/>
          <w:color w:val="auto"/>
          <w:sz w:val="44"/>
          <w:highlight w:val="none"/>
        </w:rPr>
      </w:pPr>
      <w:r>
        <w:rPr>
          <w:rFonts w:hint="eastAsia" w:ascii="仿宋" w:hAnsi="仿宋" w:eastAsia="仿宋" w:cs="仿宋"/>
          <w:b/>
          <w:color w:val="auto"/>
          <w:sz w:val="36"/>
          <w:szCs w:val="36"/>
          <w:highlight w:val="none"/>
        </w:rPr>
        <w:t>中标供应商：</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val="en-US" w:eastAsia="zh-CN"/>
        </w:rPr>
        <w:t xml:space="preserve">       </w:t>
      </w:r>
      <w:r>
        <w:rPr>
          <w:rFonts w:hint="eastAsia" w:ascii="仿宋" w:hAnsi="仿宋" w:eastAsia="仿宋" w:cs="仿宋"/>
          <w:b/>
          <w:color w:val="auto"/>
          <w:sz w:val="36"/>
          <w:szCs w:val="36"/>
          <w:highlight w:val="none"/>
          <w:u w:val="single"/>
        </w:rPr>
        <w:t xml:space="preserve">     </w:t>
      </w:r>
    </w:p>
    <w:p w14:paraId="7886092A">
      <w:pPr>
        <w:tabs>
          <w:tab w:val="left" w:pos="7380"/>
        </w:tabs>
        <w:spacing w:line="360" w:lineRule="auto"/>
        <w:rPr>
          <w:rFonts w:hint="eastAsia" w:ascii="仿宋" w:hAnsi="仿宋" w:eastAsia="仿宋" w:cs="仿宋"/>
          <w:b/>
          <w:bCs/>
          <w:color w:val="auto"/>
          <w:sz w:val="44"/>
          <w:highlight w:val="none"/>
        </w:rPr>
      </w:pPr>
    </w:p>
    <w:p w14:paraId="4DFE692A">
      <w:pPr>
        <w:spacing w:before="120" w:line="360" w:lineRule="auto"/>
        <w:ind w:firstLine="960" w:firstLineChars="400"/>
        <w:rPr>
          <w:rFonts w:hint="eastAsia" w:ascii="仿宋" w:hAnsi="仿宋" w:eastAsia="仿宋" w:cs="仿宋"/>
          <w:color w:val="auto"/>
          <w:sz w:val="24"/>
          <w:highlight w:val="none"/>
        </w:rPr>
      </w:pPr>
    </w:p>
    <w:p w14:paraId="5A25C3F8">
      <w:pPr>
        <w:spacing w:before="120" w:line="360" w:lineRule="auto"/>
        <w:ind w:firstLine="960" w:firstLineChars="400"/>
        <w:rPr>
          <w:rFonts w:hint="eastAsia" w:ascii="仿宋" w:hAnsi="仿宋" w:eastAsia="仿宋" w:cs="仿宋"/>
          <w:color w:val="auto"/>
          <w:sz w:val="24"/>
          <w:highlight w:val="none"/>
        </w:rPr>
      </w:pPr>
    </w:p>
    <w:p w14:paraId="5A9197C4">
      <w:pPr>
        <w:spacing w:before="120" w:line="360" w:lineRule="auto"/>
        <w:ind w:firstLine="2289" w:firstLineChars="950"/>
        <w:rPr>
          <w:rFonts w:hint="eastAsia" w:ascii="仿宋" w:hAnsi="仿宋" w:eastAsia="仿宋" w:cs="仿宋"/>
          <w:b/>
          <w:bCs/>
          <w:color w:val="auto"/>
          <w:sz w:val="44"/>
          <w:highlight w:val="none"/>
        </w:rPr>
      </w:pPr>
      <w:r>
        <w:rPr>
          <w:rFonts w:hint="eastAsia" w:ascii="仿宋" w:hAnsi="仿宋" w:eastAsia="仿宋" w:cs="仿宋"/>
          <w:b/>
          <w:bCs/>
          <w:color w:val="auto"/>
          <w:sz w:val="24"/>
          <w:highlight w:val="none"/>
        </w:rPr>
        <w:t>签订日期：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333276C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bCs/>
          <w:color w:val="auto"/>
          <w:sz w:val="44"/>
          <w:highlight w:val="none"/>
        </w:rPr>
        <w:br w:type="page"/>
      </w:r>
    </w:p>
    <w:p w14:paraId="0418A157">
      <w:pPr>
        <w:widowControl/>
        <w:ind w:firstLine="720" w:firstLineChars="300"/>
        <w:jc w:val="left"/>
        <w:rPr>
          <w:rFonts w:hint="eastAsia" w:ascii="仿宋" w:hAnsi="仿宋" w:eastAsia="仿宋" w:cs="仿宋"/>
          <w:bCs/>
          <w:color w:val="auto"/>
          <w:sz w:val="24"/>
          <w:highlight w:val="none"/>
        </w:rPr>
      </w:pPr>
    </w:p>
    <w:p w14:paraId="4298AA4D">
      <w:pPr>
        <w:spacing w:line="360" w:lineRule="auto"/>
        <w:ind w:right="800"/>
        <w:rPr>
          <w:rFonts w:ascii="仿宋" w:hAnsi="仿宋" w:eastAsia="仿宋" w:cs="仿宋"/>
          <w:bCs/>
          <w:szCs w:val="21"/>
          <w:u w:val="single"/>
        </w:rPr>
      </w:pPr>
      <w:r>
        <w:rPr>
          <w:rFonts w:hint="eastAsia" w:ascii="仿宋" w:hAnsi="仿宋" w:eastAsia="仿宋" w:cs="仿宋"/>
          <w:szCs w:val="21"/>
        </w:rPr>
        <w:t>采购计划号：</w:t>
      </w:r>
      <w:r>
        <w:rPr>
          <w:rFonts w:hint="eastAsia" w:ascii="仿宋" w:hAnsi="仿宋" w:eastAsia="仿宋" w:cs="仿宋"/>
          <w:szCs w:val="21"/>
          <w:u w:val="single"/>
          <w:lang w:val="en-US" w:eastAsia="zh-CN"/>
        </w:rPr>
        <w:t>NNZC[2026]2066号</w:t>
      </w:r>
      <w:r>
        <w:rPr>
          <w:rFonts w:hint="eastAsia" w:ascii="仿宋" w:hAnsi="仿宋" w:eastAsia="仿宋" w:cs="仿宋"/>
          <w:szCs w:val="21"/>
          <w:lang w:val="en-US" w:eastAsia="zh-CN"/>
        </w:rPr>
        <w:t xml:space="preserve">     </w:t>
      </w:r>
      <w:r>
        <w:rPr>
          <w:rFonts w:hint="eastAsia" w:ascii="仿宋" w:hAnsi="仿宋" w:eastAsia="仿宋" w:cs="仿宋"/>
          <w:bCs/>
          <w:szCs w:val="21"/>
        </w:rPr>
        <w:t>合同编号：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5B85842B">
      <w:pPr>
        <w:spacing w:line="360" w:lineRule="auto"/>
        <w:rPr>
          <w:rFonts w:hint="eastAsia" w:ascii="仿宋" w:hAnsi="仿宋" w:eastAsia="仿宋" w:cs="仿宋"/>
          <w:szCs w:val="21"/>
          <w:u w:val="single"/>
        </w:rPr>
      </w:pPr>
      <w:r>
        <w:rPr>
          <w:rFonts w:hint="eastAsia" w:ascii="仿宋" w:hAnsi="仿宋" w:eastAsia="仿宋" w:cs="仿宋"/>
          <w:szCs w:val="21"/>
        </w:rPr>
        <w:t>采购人（甲方）：</w:t>
      </w:r>
      <w:r>
        <w:rPr>
          <w:rFonts w:hint="eastAsia" w:ascii="仿宋" w:hAnsi="仿宋" w:eastAsia="仿宋" w:cs="仿宋"/>
          <w:szCs w:val="21"/>
          <w:u w:val="single"/>
        </w:rPr>
        <w:t>南宁市军队离退休干部服务管理中心</w:t>
      </w:r>
    </w:p>
    <w:p w14:paraId="285E2417">
      <w:pPr>
        <w:spacing w:line="360" w:lineRule="auto"/>
        <w:rPr>
          <w:rFonts w:hint="default" w:ascii="仿宋" w:hAnsi="仿宋" w:eastAsia="仿宋" w:cs="仿宋"/>
          <w:szCs w:val="21"/>
          <w:u w:val="single"/>
          <w:lang w:val="en-US"/>
        </w:rPr>
      </w:pPr>
      <w:r>
        <w:rPr>
          <w:rFonts w:hint="eastAsia" w:ascii="仿宋" w:hAnsi="仿宋" w:eastAsia="仿宋" w:cs="仿宋"/>
          <w:szCs w:val="21"/>
        </w:rPr>
        <w:t>供应商（乙方）：</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54D1F677">
      <w:pPr>
        <w:spacing w:line="360" w:lineRule="auto"/>
        <w:rPr>
          <w:rFonts w:hint="eastAsia" w:ascii="仿宋" w:hAnsi="仿宋" w:eastAsia="仿宋" w:cs="仿宋"/>
          <w:szCs w:val="21"/>
          <w:u w:val="single"/>
          <w:lang w:eastAsia="zh-CN"/>
        </w:rPr>
      </w:pPr>
      <w:r>
        <w:rPr>
          <w:rFonts w:hint="eastAsia" w:ascii="仿宋" w:hAnsi="仿宋" w:eastAsia="仿宋" w:cs="仿宋"/>
          <w:szCs w:val="21"/>
        </w:rPr>
        <w:t>项目名称：</w:t>
      </w:r>
      <w:r>
        <w:rPr>
          <w:rFonts w:hint="eastAsia" w:ascii="仿宋" w:hAnsi="仿宋" w:eastAsia="仿宋" w:cs="仿宋"/>
          <w:szCs w:val="21"/>
          <w:u w:val="single"/>
        </w:rPr>
        <w:t>2026年军休干部体检项目</w:t>
      </w:r>
      <w:r>
        <w:rPr>
          <w:rFonts w:hint="eastAsia" w:ascii="仿宋" w:hAnsi="仿宋" w:eastAsia="仿宋" w:cs="仿宋"/>
          <w:szCs w:val="21"/>
          <w:u w:val="none"/>
          <w:lang w:val="en-US" w:eastAsia="zh-CN"/>
        </w:rPr>
        <w:t xml:space="preserve">  </w:t>
      </w:r>
      <w:r>
        <w:rPr>
          <w:rFonts w:hint="eastAsia" w:ascii="仿宋" w:hAnsi="仿宋" w:eastAsia="仿宋" w:cs="仿宋"/>
          <w:szCs w:val="21"/>
        </w:rPr>
        <w:t>项目编号：</w:t>
      </w:r>
      <w:r>
        <w:rPr>
          <w:rFonts w:hint="eastAsia" w:ascii="仿宋" w:hAnsi="仿宋" w:eastAsia="仿宋" w:cs="仿宋"/>
          <w:szCs w:val="21"/>
          <w:u w:val="single"/>
          <w:lang w:eastAsia="zh-CN"/>
        </w:rPr>
        <w:t>NNZC2026-G3-990397-GXJT</w:t>
      </w:r>
    </w:p>
    <w:p w14:paraId="6E003EF5">
      <w:pPr>
        <w:spacing w:line="360" w:lineRule="auto"/>
        <w:rPr>
          <w:rFonts w:ascii="仿宋" w:hAnsi="仿宋" w:eastAsia="仿宋" w:cs="仿宋"/>
          <w:szCs w:val="21"/>
        </w:rPr>
      </w:pPr>
      <w:r>
        <w:rPr>
          <w:rFonts w:hint="eastAsia" w:ascii="仿宋" w:hAnsi="仿宋" w:eastAsia="仿宋" w:cs="仿宋"/>
          <w:szCs w:val="21"/>
        </w:rPr>
        <w:t>分标：</w:t>
      </w:r>
    </w:p>
    <w:p w14:paraId="2D600C21">
      <w:pPr>
        <w:spacing w:line="360" w:lineRule="auto"/>
        <w:rPr>
          <w:rFonts w:ascii="仿宋" w:hAnsi="仿宋" w:eastAsia="仿宋" w:cs="仿宋"/>
          <w:szCs w:val="21"/>
          <w:u w:val="single"/>
        </w:rPr>
      </w:pPr>
      <w:r>
        <w:rPr>
          <w:rFonts w:hint="eastAsia" w:ascii="仿宋" w:hAnsi="仿宋" w:eastAsia="仿宋" w:cs="仿宋"/>
          <w:szCs w:val="21"/>
        </w:rPr>
        <w:t>签订地点：</w:t>
      </w:r>
      <w:r>
        <w:rPr>
          <w:rFonts w:hint="eastAsia" w:ascii="仿宋" w:hAnsi="仿宋" w:eastAsia="仿宋" w:cs="仿宋"/>
          <w:szCs w:val="21"/>
          <w:lang w:val="en-US" w:eastAsia="zh-CN"/>
        </w:rPr>
        <w:t xml:space="preserve"> </w:t>
      </w:r>
      <w:r>
        <w:rPr>
          <w:rFonts w:hint="eastAsia" w:ascii="仿宋" w:hAnsi="仿宋" w:eastAsia="仿宋" w:cs="仿宋"/>
          <w:szCs w:val="21"/>
          <w:u w:val="single"/>
          <w:lang w:val="en-US" w:eastAsia="zh-CN"/>
        </w:rPr>
        <w:t xml:space="preserve">  南宁市   </w:t>
      </w:r>
      <w:r>
        <w:rPr>
          <w:rFonts w:hint="eastAsia" w:ascii="仿宋" w:hAnsi="仿宋" w:eastAsia="仿宋" w:cs="仿宋"/>
          <w:szCs w:val="21"/>
          <w:lang w:val="en-US" w:eastAsia="zh-CN"/>
        </w:rPr>
        <w:t xml:space="preserve">            </w:t>
      </w:r>
      <w:r>
        <w:rPr>
          <w:rFonts w:hint="eastAsia" w:ascii="仿宋" w:hAnsi="仿宋" w:eastAsia="仿宋" w:cs="仿宋"/>
          <w:szCs w:val="21"/>
        </w:rPr>
        <w:t>签订时间：</w:t>
      </w:r>
      <w:r>
        <w:rPr>
          <w:rFonts w:hint="eastAsia" w:ascii="仿宋" w:hAnsi="仿宋" w:eastAsia="仿宋" w:cs="仿宋"/>
          <w:b w:val="0"/>
          <w:bCs w:val="0"/>
          <w:color w:val="auto"/>
          <w:sz w:val="21"/>
          <w:szCs w:val="21"/>
          <w:highlight w:val="none"/>
          <w:u w:val="single"/>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rPr>
        <w:t xml:space="preserve">      </w:t>
      </w:r>
      <w:r>
        <w:rPr>
          <w:rFonts w:hint="eastAsia" w:ascii="仿宋" w:hAnsi="仿宋" w:eastAsia="仿宋" w:cs="仿宋"/>
          <w:b w:val="0"/>
          <w:bCs w:val="0"/>
          <w:color w:val="auto"/>
          <w:sz w:val="21"/>
          <w:szCs w:val="21"/>
          <w:highlight w:val="none"/>
        </w:rPr>
        <w:t>日</w:t>
      </w:r>
    </w:p>
    <w:p w14:paraId="4DF17FE8">
      <w:pPr>
        <w:spacing w:line="360" w:lineRule="auto"/>
        <w:rPr>
          <w:rFonts w:ascii="仿宋" w:hAnsi="仿宋" w:eastAsia="仿宋" w:cs="仿宋"/>
          <w:szCs w:val="21"/>
        </w:rPr>
      </w:pPr>
      <w:r>
        <w:rPr>
          <w:rFonts w:hint="eastAsia" w:ascii="仿宋" w:hAnsi="仿宋" w:eastAsia="仿宋" w:cs="仿宋"/>
          <w:szCs w:val="21"/>
        </w:rPr>
        <w:t>本合同为中小企业预留合同：</w:t>
      </w:r>
      <w:r>
        <w:rPr>
          <w:rFonts w:hint="eastAsia" w:ascii="仿宋" w:hAnsi="仿宋" w:eastAsia="仿宋" w:cs="仿宋"/>
          <w:szCs w:val="21"/>
          <w:u w:val="single"/>
        </w:rPr>
        <w:t>否</w:t>
      </w:r>
      <w:r>
        <w:rPr>
          <w:rFonts w:hint="eastAsia" w:ascii="仿宋" w:hAnsi="仿宋" w:eastAsia="仿宋" w:cs="仿宋"/>
          <w:szCs w:val="21"/>
        </w:rPr>
        <w:t>。</w:t>
      </w:r>
    </w:p>
    <w:p w14:paraId="08634E8C">
      <w:pPr>
        <w:spacing w:line="360" w:lineRule="auto"/>
        <w:ind w:firstLine="420" w:firstLineChars="200"/>
        <w:rPr>
          <w:rFonts w:ascii="仿宋" w:hAnsi="仿宋" w:eastAsia="仿宋" w:cs="仿宋"/>
          <w:szCs w:val="21"/>
        </w:rPr>
      </w:pPr>
      <w:r>
        <w:rPr>
          <w:rFonts w:hint="eastAsia" w:ascii="仿宋" w:hAnsi="仿宋" w:eastAsia="仿宋" w:cs="仿宋"/>
          <w:szCs w:val="21"/>
        </w:rPr>
        <w:t>根据《中华人民共和国政府采购法》、《中华人民共和国民法典》等法律、法规规定，按照</w:t>
      </w:r>
      <w:r>
        <w:rPr>
          <w:rFonts w:hint="eastAsia" w:ascii="仿宋" w:hAnsi="仿宋" w:eastAsia="仿宋" w:cs="仿宋"/>
          <w:szCs w:val="21"/>
          <w:lang w:val="en-US" w:eastAsia="zh-CN"/>
        </w:rPr>
        <w:t>采购文件</w:t>
      </w:r>
      <w:r>
        <w:rPr>
          <w:rFonts w:hint="eastAsia" w:ascii="仿宋" w:hAnsi="仿宋" w:eastAsia="仿宋" w:cs="仿宋"/>
          <w:szCs w:val="21"/>
        </w:rPr>
        <w:t>规定条款和乙方</w:t>
      </w:r>
      <w:r>
        <w:rPr>
          <w:rFonts w:hint="eastAsia" w:ascii="仿宋" w:hAnsi="仿宋" w:eastAsia="仿宋" w:cs="仿宋"/>
          <w:szCs w:val="21"/>
          <w:lang w:val="en-US" w:eastAsia="zh-CN"/>
        </w:rPr>
        <w:t>投标</w:t>
      </w:r>
      <w:r>
        <w:rPr>
          <w:rFonts w:hint="eastAsia" w:ascii="仿宋" w:hAnsi="仿宋" w:eastAsia="仿宋" w:cs="仿宋"/>
          <w:szCs w:val="21"/>
        </w:rPr>
        <w:t>文件及其承诺，甲乙双方签订本合同。</w:t>
      </w:r>
    </w:p>
    <w:p w14:paraId="2AC761F0">
      <w:pPr>
        <w:spacing w:line="360" w:lineRule="auto"/>
        <w:ind w:firstLine="422" w:firstLineChars="200"/>
        <w:rPr>
          <w:rFonts w:ascii="仿宋" w:hAnsi="仿宋" w:eastAsia="仿宋" w:cs="仿宋"/>
          <w:b/>
          <w:szCs w:val="21"/>
        </w:rPr>
      </w:pPr>
      <w:r>
        <w:rPr>
          <w:rFonts w:hint="eastAsia" w:ascii="仿宋" w:hAnsi="仿宋" w:eastAsia="仿宋" w:cs="仿宋"/>
          <w:b/>
          <w:szCs w:val="21"/>
        </w:rPr>
        <w:t>第一条　合同标的</w:t>
      </w:r>
    </w:p>
    <w:p w14:paraId="61BE44F7">
      <w:pPr>
        <w:spacing w:line="360" w:lineRule="auto"/>
        <w:ind w:firstLine="420" w:firstLineChars="200"/>
        <w:rPr>
          <w:rFonts w:ascii="仿宋" w:hAnsi="仿宋" w:eastAsia="仿宋" w:cs="仿宋"/>
          <w:szCs w:val="21"/>
        </w:rPr>
      </w:pPr>
      <w:r>
        <w:rPr>
          <w:rFonts w:hint="eastAsia" w:ascii="仿宋" w:hAnsi="仿宋" w:eastAsia="仿宋" w:cs="仿宋"/>
          <w:szCs w:val="21"/>
        </w:rPr>
        <w:t>1、项目一览表</w:t>
      </w:r>
    </w:p>
    <w:tbl>
      <w:tblPr>
        <w:tblStyle w:val="2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93"/>
        <w:gridCol w:w="3596"/>
        <w:gridCol w:w="943"/>
        <w:gridCol w:w="706"/>
        <w:gridCol w:w="1386"/>
        <w:gridCol w:w="1286"/>
      </w:tblGrid>
      <w:tr w14:paraId="48E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67" w:type="dxa"/>
            <w:tcBorders>
              <w:top w:val="single" w:color="auto" w:sz="4" w:space="0"/>
              <w:left w:val="single" w:color="auto" w:sz="4" w:space="0"/>
              <w:bottom w:val="single" w:color="auto" w:sz="4" w:space="0"/>
              <w:right w:val="single" w:color="auto" w:sz="4" w:space="0"/>
            </w:tcBorders>
            <w:noWrap/>
            <w:vAlign w:val="center"/>
          </w:tcPr>
          <w:p w14:paraId="7A776E0B">
            <w:pPr>
              <w:spacing w:line="360" w:lineRule="auto"/>
              <w:jc w:val="center"/>
              <w:rPr>
                <w:rFonts w:ascii="仿宋" w:hAnsi="仿宋" w:eastAsia="仿宋" w:cs="仿宋"/>
                <w:szCs w:val="21"/>
              </w:rPr>
            </w:pPr>
            <w:r>
              <w:rPr>
                <w:rFonts w:hint="eastAsia" w:ascii="仿宋" w:hAnsi="仿宋" w:eastAsia="仿宋" w:cs="仿宋"/>
                <w:szCs w:val="21"/>
              </w:rPr>
              <w:t>序号</w:t>
            </w:r>
          </w:p>
        </w:tc>
        <w:tc>
          <w:tcPr>
            <w:tcW w:w="1293" w:type="dxa"/>
            <w:tcBorders>
              <w:top w:val="single" w:color="auto" w:sz="4" w:space="0"/>
              <w:left w:val="single" w:color="auto" w:sz="4" w:space="0"/>
              <w:bottom w:val="single" w:color="auto" w:sz="4" w:space="0"/>
              <w:right w:val="single" w:color="auto" w:sz="4" w:space="0"/>
            </w:tcBorders>
            <w:noWrap/>
            <w:vAlign w:val="center"/>
          </w:tcPr>
          <w:p w14:paraId="4826C078">
            <w:pPr>
              <w:spacing w:line="360" w:lineRule="auto"/>
              <w:jc w:val="center"/>
              <w:rPr>
                <w:rFonts w:ascii="仿宋" w:hAnsi="仿宋" w:eastAsia="仿宋" w:cs="仿宋"/>
                <w:szCs w:val="21"/>
              </w:rPr>
            </w:pPr>
            <w:r>
              <w:rPr>
                <w:rFonts w:hint="eastAsia" w:ascii="仿宋" w:hAnsi="仿宋" w:eastAsia="仿宋" w:cs="仿宋"/>
                <w:szCs w:val="21"/>
                <w:lang w:val="en-US" w:eastAsia="zh-CN"/>
              </w:rPr>
              <w:t>标的</w:t>
            </w:r>
            <w:r>
              <w:rPr>
                <w:rFonts w:hint="eastAsia" w:ascii="仿宋" w:hAnsi="仿宋" w:eastAsia="仿宋" w:cs="仿宋"/>
                <w:szCs w:val="21"/>
              </w:rPr>
              <w:t>名称</w:t>
            </w:r>
          </w:p>
        </w:tc>
        <w:tc>
          <w:tcPr>
            <w:tcW w:w="3596" w:type="dxa"/>
            <w:tcBorders>
              <w:top w:val="single" w:color="auto" w:sz="4" w:space="0"/>
              <w:left w:val="single" w:color="auto" w:sz="4" w:space="0"/>
              <w:bottom w:val="single" w:color="auto" w:sz="4" w:space="0"/>
              <w:right w:val="single" w:color="auto" w:sz="4" w:space="0"/>
            </w:tcBorders>
            <w:noWrap/>
            <w:vAlign w:val="center"/>
          </w:tcPr>
          <w:p w14:paraId="59F747AE">
            <w:pPr>
              <w:spacing w:line="360" w:lineRule="auto"/>
              <w:jc w:val="center"/>
              <w:rPr>
                <w:rFonts w:ascii="仿宋" w:hAnsi="仿宋" w:eastAsia="仿宋" w:cs="仿宋"/>
                <w:szCs w:val="21"/>
              </w:rPr>
            </w:pPr>
            <w:r>
              <w:rPr>
                <w:rFonts w:hint="eastAsia" w:ascii="仿宋" w:hAnsi="仿宋" w:eastAsia="仿宋" w:cs="仿宋"/>
                <w:szCs w:val="21"/>
              </w:rPr>
              <w:t>服务内容</w:t>
            </w:r>
          </w:p>
        </w:tc>
        <w:tc>
          <w:tcPr>
            <w:tcW w:w="943" w:type="dxa"/>
            <w:tcBorders>
              <w:top w:val="single" w:color="auto" w:sz="4" w:space="0"/>
              <w:left w:val="single" w:color="auto" w:sz="4" w:space="0"/>
              <w:bottom w:val="single" w:color="auto" w:sz="4" w:space="0"/>
              <w:right w:val="single" w:color="auto" w:sz="4" w:space="0"/>
            </w:tcBorders>
            <w:noWrap/>
            <w:vAlign w:val="center"/>
          </w:tcPr>
          <w:p w14:paraId="61BD4A4F">
            <w:pPr>
              <w:spacing w:line="360" w:lineRule="auto"/>
              <w:jc w:val="center"/>
              <w:rPr>
                <w:rFonts w:ascii="仿宋" w:hAnsi="仿宋" w:eastAsia="仿宋" w:cs="仿宋"/>
                <w:szCs w:val="21"/>
              </w:rPr>
            </w:pPr>
            <w:r>
              <w:rPr>
                <w:rFonts w:hint="eastAsia" w:ascii="仿宋" w:hAnsi="仿宋" w:eastAsia="仿宋" w:cs="仿宋"/>
                <w:szCs w:val="21"/>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43078202">
            <w:pPr>
              <w:spacing w:line="360" w:lineRule="auto"/>
              <w:jc w:val="center"/>
              <w:rPr>
                <w:rFonts w:ascii="仿宋" w:hAnsi="仿宋" w:eastAsia="仿宋" w:cs="仿宋"/>
                <w:szCs w:val="21"/>
              </w:rPr>
            </w:pPr>
            <w:r>
              <w:rPr>
                <w:rFonts w:hint="eastAsia" w:ascii="仿宋" w:hAnsi="仿宋" w:eastAsia="仿宋" w:cs="仿宋"/>
                <w:szCs w:val="21"/>
              </w:rPr>
              <w:t>单位</w:t>
            </w:r>
          </w:p>
        </w:tc>
        <w:tc>
          <w:tcPr>
            <w:tcW w:w="1386" w:type="dxa"/>
            <w:tcBorders>
              <w:top w:val="single" w:color="auto" w:sz="4" w:space="0"/>
              <w:left w:val="single" w:color="auto" w:sz="4" w:space="0"/>
              <w:bottom w:val="single" w:color="auto" w:sz="4" w:space="0"/>
              <w:right w:val="single" w:color="auto" w:sz="4" w:space="0"/>
            </w:tcBorders>
            <w:noWrap/>
            <w:vAlign w:val="center"/>
          </w:tcPr>
          <w:p w14:paraId="79E3A240">
            <w:pPr>
              <w:spacing w:line="360" w:lineRule="auto"/>
              <w:jc w:val="center"/>
              <w:rPr>
                <w:rFonts w:ascii="仿宋" w:hAnsi="仿宋" w:eastAsia="仿宋" w:cs="仿宋"/>
                <w:szCs w:val="21"/>
              </w:rPr>
            </w:pPr>
            <w:r>
              <w:rPr>
                <w:rFonts w:hint="eastAsia" w:ascii="仿宋" w:hAnsi="仿宋" w:eastAsia="仿宋" w:cs="仿宋"/>
                <w:szCs w:val="21"/>
              </w:rPr>
              <w:t>单  价</w:t>
            </w:r>
          </w:p>
          <w:p w14:paraId="63DC850E">
            <w:pPr>
              <w:spacing w:line="360" w:lineRule="auto"/>
              <w:jc w:val="center"/>
              <w:rPr>
                <w:rFonts w:ascii="仿宋" w:hAnsi="仿宋" w:eastAsia="仿宋" w:cs="仿宋"/>
                <w:szCs w:val="21"/>
              </w:rPr>
            </w:pPr>
            <w:r>
              <w:rPr>
                <w:rFonts w:hint="eastAsia" w:ascii="仿宋" w:hAnsi="仿宋" w:eastAsia="仿宋" w:cs="仿宋"/>
                <w:szCs w:val="21"/>
              </w:rPr>
              <w:t>（元）</w:t>
            </w:r>
          </w:p>
        </w:tc>
        <w:tc>
          <w:tcPr>
            <w:tcW w:w="1286" w:type="dxa"/>
            <w:tcBorders>
              <w:top w:val="single" w:color="auto" w:sz="4" w:space="0"/>
              <w:left w:val="single" w:color="auto" w:sz="4" w:space="0"/>
              <w:bottom w:val="single" w:color="auto" w:sz="4" w:space="0"/>
              <w:right w:val="single" w:color="auto" w:sz="4" w:space="0"/>
            </w:tcBorders>
            <w:noWrap/>
            <w:vAlign w:val="center"/>
          </w:tcPr>
          <w:p w14:paraId="2CD57F40">
            <w:pPr>
              <w:spacing w:line="360" w:lineRule="auto"/>
              <w:jc w:val="center"/>
              <w:rPr>
                <w:rFonts w:ascii="仿宋" w:hAnsi="仿宋" w:eastAsia="仿宋" w:cs="仿宋"/>
                <w:szCs w:val="21"/>
              </w:rPr>
            </w:pPr>
            <w:r>
              <w:rPr>
                <w:rFonts w:hint="eastAsia" w:ascii="仿宋" w:hAnsi="仿宋" w:eastAsia="仿宋" w:cs="仿宋"/>
                <w:szCs w:val="21"/>
              </w:rPr>
              <w:t>总  价</w:t>
            </w:r>
          </w:p>
          <w:p w14:paraId="757C4043">
            <w:pPr>
              <w:spacing w:line="360" w:lineRule="auto"/>
              <w:jc w:val="center"/>
              <w:rPr>
                <w:rFonts w:ascii="仿宋" w:hAnsi="仿宋" w:eastAsia="仿宋" w:cs="仿宋"/>
                <w:szCs w:val="21"/>
              </w:rPr>
            </w:pPr>
            <w:r>
              <w:rPr>
                <w:rFonts w:hint="eastAsia" w:ascii="仿宋" w:hAnsi="仿宋" w:eastAsia="仿宋" w:cs="仿宋"/>
                <w:szCs w:val="21"/>
              </w:rPr>
              <w:t>（元）</w:t>
            </w:r>
          </w:p>
        </w:tc>
      </w:tr>
      <w:tr w14:paraId="109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6" w:hRule="atLeast"/>
        </w:trPr>
        <w:tc>
          <w:tcPr>
            <w:tcW w:w="767" w:type="dxa"/>
            <w:tcBorders>
              <w:top w:val="single" w:color="auto" w:sz="4" w:space="0"/>
              <w:left w:val="single" w:color="auto" w:sz="4" w:space="0"/>
              <w:bottom w:val="single" w:color="auto" w:sz="4" w:space="0"/>
              <w:right w:val="single" w:color="auto" w:sz="4" w:space="0"/>
            </w:tcBorders>
            <w:noWrap/>
            <w:vAlign w:val="center"/>
          </w:tcPr>
          <w:p w14:paraId="57C55281">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293" w:type="dxa"/>
            <w:tcBorders>
              <w:top w:val="single" w:color="auto" w:sz="4" w:space="0"/>
              <w:left w:val="single" w:color="auto" w:sz="4" w:space="0"/>
              <w:bottom w:val="single" w:color="auto" w:sz="4" w:space="0"/>
              <w:right w:val="single" w:color="auto" w:sz="4" w:space="0"/>
            </w:tcBorders>
            <w:noWrap/>
            <w:vAlign w:val="center"/>
          </w:tcPr>
          <w:p w14:paraId="27D9A13C">
            <w:pPr>
              <w:spacing w:line="360" w:lineRule="auto"/>
              <w:jc w:val="center"/>
              <w:rPr>
                <w:rFonts w:ascii="仿宋" w:hAnsi="仿宋" w:eastAsia="仿宋" w:cs="仿宋"/>
                <w:szCs w:val="21"/>
              </w:rPr>
            </w:pPr>
          </w:p>
        </w:tc>
        <w:tc>
          <w:tcPr>
            <w:tcW w:w="3596" w:type="dxa"/>
            <w:tcBorders>
              <w:top w:val="single" w:color="auto" w:sz="4" w:space="0"/>
              <w:left w:val="single" w:color="auto" w:sz="4" w:space="0"/>
              <w:bottom w:val="single" w:color="auto" w:sz="4" w:space="0"/>
              <w:right w:val="single" w:color="auto" w:sz="4" w:space="0"/>
            </w:tcBorders>
            <w:noWrap/>
            <w:vAlign w:val="center"/>
          </w:tcPr>
          <w:p w14:paraId="2A747967">
            <w:pPr>
              <w:spacing w:line="360" w:lineRule="auto"/>
              <w:ind w:firstLine="420" w:firstLineChars="200"/>
              <w:rPr>
                <w:rFonts w:ascii="仿宋" w:hAnsi="仿宋" w:eastAsia="仿宋" w:cs="仿宋"/>
                <w:szCs w:val="21"/>
              </w:rPr>
            </w:pPr>
            <w:r>
              <w:rPr>
                <w:rFonts w:hint="eastAsia" w:ascii="仿宋" w:hAnsi="仿宋" w:eastAsia="仿宋" w:cs="仿宋"/>
                <w:szCs w:val="21"/>
              </w:rPr>
              <w:t>为军休干部提供健康体检服务，服务内容包括但不限于：体检组织、现场检查、结果分析、健康建议及异常情况提醒等工作。投标人需合理安排体检批次，确保流程规范、服务优质，并对体检信息保密。</w:t>
            </w:r>
          </w:p>
        </w:tc>
        <w:tc>
          <w:tcPr>
            <w:tcW w:w="943" w:type="dxa"/>
            <w:tcBorders>
              <w:top w:val="single" w:color="auto" w:sz="4" w:space="0"/>
              <w:left w:val="single" w:color="auto" w:sz="4" w:space="0"/>
              <w:bottom w:val="single" w:color="auto" w:sz="4" w:space="0"/>
              <w:right w:val="single" w:color="auto" w:sz="4" w:space="0"/>
            </w:tcBorders>
            <w:noWrap/>
            <w:vAlign w:val="center"/>
          </w:tcPr>
          <w:p w14:paraId="03228A99">
            <w:pPr>
              <w:spacing w:line="360" w:lineRule="auto"/>
              <w:jc w:val="center"/>
              <w:rPr>
                <w:rFonts w:ascii="仿宋" w:hAnsi="仿宋" w:eastAsia="仿宋" w:cs="仿宋"/>
                <w:szCs w:val="21"/>
              </w:rPr>
            </w:pPr>
            <w:r>
              <w:rPr>
                <w:rFonts w:hint="eastAsia" w:ascii="仿宋" w:hAnsi="仿宋" w:eastAsia="仿宋" w:cs="仿宋"/>
                <w:szCs w:val="21"/>
              </w:rPr>
              <w:t>1</w:t>
            </w:r>
          </w:p>
        </w:tc>
        <w:tc>
          <w:tcPr>
            <w:tcW w:w="706" w:type="dxa"/>
            <w:tcBorders>
              <w:top w:val="single" w:color="auto" w:sz="4" w:space="0"/>
              <w:left w:val="single" w:color="auto" w:sz="4" w:space="0"/>
              <w:bottom w:val="single" w:color="auto" w:sz="4" w:space="0"/>
              <w:right w:val="single" w:color="auto" w:sz="4" w:space="0"/>
            </w:tcBorders>
            <w:noWrap/>
            <w:vAlign w:val="center"/>
          </w:tcPr>
          <w:p w14:paraId="254857A3">
            <w:pPr>
              <w:spacing w:line="360" w:lineRule="auto"/>
              <w:jc w:val="center"/>
              <w:rPr>
                <w:rFonts w:ascii="仿宋" w:hAnsi="仿宋" w:eastAsia="仿宋" w:cs="仿宋"/>
                <w:szCs w:val="21"/>
              </w:rPr>
            </w:pPr>
            <w:r>
              <w:rPr>
                <w:rFonts w:hint="eastAsia" w:ascii="仿宋" w:hAnsi="仿宋" w:eastAsia="仿宋" w:cs="仿宋"/>
                <w:szCs w:val="21"/>
              </w:rPr>
              <w:t>项</w:t>
            </w:r>
          </w:p>
        </w:tc>
        <w:tc>
          <w:tcPr>
            <w:tcW w:w="1386" w:type="dxa"/>
            <w:tcBorders>
              <w:top w:val="single" w:color="auto" w:sz="4" w:space="0"/>
              <w:left w:val="single" w:color="auto" w:sz="4" w:space="0"/>
              <w:bottom w:val="single" w:color="auto" w:sz="4" w:space="0"/>
              <w:right w:val="single" w:color="auto" w:sz="4" w:space="0"/>
            </w:tcBorders>
            <w:noWrap/>
            <w:vAlign w:val="center"/>
          </w:tcPr>
          <w:p w14:paraId="2D99021D">
            <w:pPr>
              <w:spacing w:line="360" w:lineRule="auto"/>
              <w:jc w:val="center"/>
              <w:rPr>
                <w:rFonts w:ascii="仿宋" w:hAnsi="仿宋" w:eastAsia="仿宋" w:cs="仿宋"/>
                <w:szCs w:val="21"/>
              </w:rPr>
            </w:pPr>
          </w:p>
        </w:tc>
        <w:tc>
          <w:tcPr>
            <w:tcW w:w="1286" w:type="dxa"/>
            <w:tcBorders>
              <w:top w:val="single" w:color="auto" w:sz="4" w:space="0"/>
              <w:left w:val="single" w:color="auto" w:sz="4" w:space="0"/>
              <w:bottom w:val="single" w:color="auto" w:sz="4" w:space="0"/>
              <w:right w:val="single" w:color="auto" w:sz="4" w:space="0"/>
            </w:tcBorders>
            <w:noWrap/>
            <w:vAlign w:val="center"/>
          </w:tcPr>
          <w:p w14:paraId="0D41CBFC">
            <w:pPr>
              <w:spacing w:line="360" w:lineRule="auto"/>
              <w:jc w:val="center"/>
              <w:rPr>
                <w:rFonts w:ascii="仿宋" w:hAnsi="仿宋" w:eastAsia="仿宋" w:cs="仿宋"/>
                <w:szCs w:val="21"/>
              </w:rPr>
            </w:pPr>
          </w:p>
        </w:tc>
      </w:tr>
      <w:tr w14:paraId="4B38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9977" w:type="dxa"/>
            <w:gridSpan w:val="7"/>
            <w:tcBorders>
              <w:top w:val="single" w:color="auto" w:sz="4" w:space="0"/>
              <w:left w:val="single" w:color="auto" w:sz="4" w:space="0"/>
              <w:bottom w:val="single" w:color="auto" w:sz="4" w:space="0"/>
              <w:right w:val="single" w:color="auto" w:sz="4" w:space="0"/>
            </w:tcBorders>
            <w:noWrap/>
            <w:vAlign w:val="center"/>
          </w:tcPr>
          <w:p w14:paraId="7A373C99">
            <w:pPr>
              <w:spacing w:line="360" w:lineRule="auto"/>
              <w:rPr>
                <w:rFonts w:ascii="仿宋" w:hAnsi="仿宋" w:eastAsia="仿宋" w:cs="仿宋"/>
                <w:szCs w:val="21"/>
              </w:rPr>
            </w:pPr>
            <w:r>
              <w:rPr>
                <w:rFonts w:hint="eastAsia" w:ascii="仿宋" w:hAnsi="仿宋" w:eastAsia="仿宋" w:cs="仿宋"/>
                <w:szCs w:val="21"/>
              </w:rPr>
              <w:t xml:space="preserve">人民币合计金额（大写）：（¥）              </w:t>
            </w:r>
          </w:p>
        </w:tc>
      </w:tr>
    </w:tbl>
    <w:p w14:paraId="79A0CE29">
      <w:pPr>
        <w:spacing w:line="360" w:lineRule="auto"/>
        <w:ind w:firstLine="420" w:firstLineChars="200"/>
        <w:rPr>
          <w:rFonts w:ascii="仿宋" w:hAnsi="仿宋" w:eastAsia="仿宋" w:cs="仿宋"/>
          <w:szCs w:val="21"/>
        </w:rPr>
      </w:pPr>
      <w:r>
        <w:rPr>
          <w:rFonts w:hint="eastAsia" w:ascii="仿宋" w:hAnsi="仿宋" w:eastAsia="仿宋" w:cs="仿宋"/>
          <w:szCs w:val="21"/>
        </w:rPr>
        <w:t>2、合同合计金额包括：</w:t>
      </w:r>
    </w:p>
    <w:p w14:paraId="02974C28">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（1）体检服务费：包括检查、化验、医师诊断、报告编制及解读等费用；</w:t>
      </w:r>
    </w:p>
    <w:p w14:paraId="133C835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（2）材料费：包括一次性消耗材料、试剂、设备折旧、表格及报告纸张等费用；</w:t>
      </w:r>
    </w:p>
    <w:p w14:paraId="09A12F63">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（3）管理费：包括医疗垃圾处置、现场组织管理、早餐供应（如有）等费用；</w:t>
      </w:r>
    </w:p>
    <w:p w14:paraId="7486B4D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（4）其他费用：与本项目服务相关的全部费用，以及政策性文件规定及合同约定的所有风险、责任等费用。</w:t>
      </w:r>
    </w:p>
    <w:p w14:paraId="164C0575">
      <w:pPr>
        <w:spacing w:line="360" w:lineRule="auto"/>
        <w:ind w:firstLine="422" w:firstLineChars="200"/>
        <w:rPr>
          <w:rFonts w:ascii="仿宋" w:hAnsi="仿宋" w:eastAsia="仿宋" w:cs="仿宋"/>
          <w:b/>
          <w:szCs w:val="21"/>
        </w:rPr>
      </w:pPr>
      <w:r>
        <w:rPr>
          <w:rFonts w:hint="eastAsia" w:ascii="仿宋" w:hAnsi="仿宋" w:eastAsia="仿宋" w:cs="仿宋"/>
          <w:b/>
          <w:szCs w:val="21"/>
        </w:rPr>
        <w:t>第二条　质量保证</w:t>
      </w:r>
    </w:p>
    <w:p w14:paraId="0B315E18">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12DB54FE">
      <w:pPr>
        <w:spacing w:line="360" w:lineRule="auto"/>
        <w:ind w:firstLine="422" w:firstLineChars="200"/>
        <w:rPr>
          <w:rFonts w:ascii="仿宋" w:hAnsi="仿宋" w:eastAsia="仿宋" w:cs="仿宋"/>
          <w:szCs w:val="21"/>
        </w:rPr>
      </w:pPr>
      <w:r>
        <w:rPr>
          <w:rFonts w:hint="eastAsia" w:ascii="仿宋" w:hAnsi="仿宋" w:eastAsia="仿宋" w:cs="仿宋"/>
          <w:b/>
          <w:szCs w:val="21"/>
        </w:rPr>
        <w:t>第三条　权利保证</w:t>
      </w:r>
    </w:p>
    <w:p w14:paraId="3CCE0DA4">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1、乙方应保证所提供服务在使用时不会侵犯任何第三方的专利权、商标权、工业设计权等知识产权及其他合法权利，且所有权、处分权等没有受到任何限制。</w:t>
      </w:r>
    </w:p>
    <w:p w14:paraId="19D9CC0E">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866C7FD">
      <w:pPr>
        <w:spacing w:line="360" w:lineRule="auto"/>
        <w:ind w:firstLine="422" w:firstLineChars="200"/>
        <w:rPr>
          <w:rFonts w:ascii="仿宋" w:hAnsi="仿宋" w:eastAsia="仿宋" w:cs="仿宋"/>
          <w:szCs w:val="21"/>
        </w:rPr>
      </w:pPr>
      <w:r>
        <w:rPr>
          <w:rFonts w:hint="eastAsia" w:ascii="仿宋" w:hAnsi="仿宋" w:eastAsia="仿宋" w:cs="仿宋"/>
          <w:b/>
          <w:szCs w:val="21"/>
        </w:rPr>
        <w:t>第四条　交付和验收</w:t>
      </w:r>
    </w:p>
    <w:p w14:paraId="4D1C7112">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1、服务期限：</w:t>
      </w:r>
      <w:r>
        <w:rPr>
          <w:rFonts w:hint="eastAsia" w:ascii="仿宋" w:hAnsi="仿宋" w:eastAsia="仿宋" w:cs="仿宋"/>
          <w:szCs w:val="21"/>
          <w:u w:val="single"/>
        </w:rPr>
        <w:t>自合同签订之日起至2026年12月31日</w:t>
      </w:r>
      <w:r>
        <w:rPr>
          <w:rFonts w:hint="eastAsia" w:ascii="仿宋" w:hAnsi="仿宋" w:eastAsia="仿宋" w:cs="仿宋"/>
          <w:szCs w:val="21"/>
        </w:rPr>
        <w:t>，服务地点：</w:t>
      </w:r>
      <w:r>
        <w:rPr>
          <w:rFonts w:hint="eastAsia" w:ascii="仿宋" w:hAnsi="仿宋" w:eastAsia="仿宋" w:cs="仿宋"/>
          <w:szCs w:val="21"/>
          <w:u w:val="single"/>
        </w:rPr>
        <w:t>广西壮族自治区南宁市市区内</w:t>
      </w:r>
      <w:r>
        <w:rPr>
          <w:rFonts w:hint="eastAsia" w:ascii="仿宋" w:hAnsi="仿宋" w:eastAsia="仿宋" w:cs="仿宋"/>
          <w:szCs w:val="21"/>
        </w:rPr>
        <w:t>。</w:t>
      </w:r>
    </w:p>
    <w:p w14:paraId="667A3A76">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2、乙方应按响应文件的承诺向甲方提供相应的服务，并提供所服务内容的相关技术资料。</w:t>
      </w:r>
    </w:p>
    <w:p w14:paraId="1E87AFD1">
      <w:pPr>
        <w:spacing w:line="360" w:lineRule="auto"/>
        <w:ind w:firstLine="420" w:firstLineChars="200"/>
        <w:rPr>
          <w:rFonts w:ascii="仿宋" w:hAnsi="仿宋" w:eastAsia="仿宋" w:cs="仿宋"/>
          <w:szCs w:val="21"/>
        </w:rPr>
      </w:pPr>
      <w:r>
        <w:rPr>
          <w:rFonts w:hint="eastAsia" w:ascii="仿宋" w:hAnsi="仿宋" w:eastAsia="仿宋" w:cs="仿宋"/>
          <w:szCs w:val="21"/>
        </w:rPr>
        <w:t>3、乙方提供不符合响应文件和本合同规定的服务成果，甲方有权拒绝接受。</w:t>
      </w:r>
    </w:p>
    <w:p w14:paraId="02AB3FE3">
      <w:pPr>
        <w:spacing w:line="360" w:lineRule="auto"/>
        <w:ind w:firstLine="420" w:firstLineChars="200"/>
        <w:rPr>
          <w:rFonts w:ascii="仿宋" w:hAnsi="仿宋" w:eastAsia="仿宋" w:cs="仿宋"/>
          <w:szCs w:val="21"/>
        </w:rPr>
      </w:pPr>
      <w:r>
        <w:rPr>
          <w:rFonts w:hint="eastAsia" w:ascii="仿宋" w:hAnsi="仿宋" w:eastAsia="仿宋" w:cs="仿宋"/>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7585B0C8">
      <w:pPr>
        <w:spacing w:line="360" w:lineRule="auto"/>
        <w:ind w:firstLine="420" w:firstLineChars="200"/>
        <w:rPr>
          <w:rFonts w:ascii="仿宋" w:hAnsi="仿宋" w:eastAsia="仿宋" w:cs="仿宋"/>
          <w:szCs w:val="21"/>
        </w:rPr>
      </w:pPr>
      <w:r>
        <w:rPr>
          <w:rFonts w:hint="eastAsia" w:ascii="仿宋" w:hAnsi="仿宋" w:eastAsia="仿宋" w:cs="仿宋"/>
          <w:szCs w:val="21"/>
        </w:rPr>
        <w:t>5、甲乙双方应按照《广西壮族自治区政府采购项目履约验收管理办法》、双方合同、响应文件验收。</w:t>
      </w:r>
    </w:p>
    <w:p w14:paraId="54F7FAE6">
      <w:pPr>
        <w:spacing w:line="360" w:lineRule="auto"/>
        <w:ind w:firstLine="420" w:firstLineChars="200"/>
        <w:rPr>
          <w:rFonts w:ascii="仿宋" w:hAnsi="仿宋" w:eastAsia="仿宋" w:cs="仿宋"/>
          <w:szCs w:val="21"/>
        </w:rPr>
      </w:pPr>
      <w:r>
        <w:rPr>
          <w:rFonts w:hint="eastAsia" w:ascii="仿宋" w:hAnsi="仿宋" w:eastAsia="仿宋" w:cs="仿宋"/>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0EBD39D">
      <w:pPr>
        <w:spacing w:line="360" w:lineRule="auto"/>
        <w:ind w:firstLine="420" w:firstLineChars="200"/>
        <w:rPr>
          <w:rFonts w:ascii="仿宋" w:hAnsi="仿宋" w:eastAsia="仿宋" w:cs="仿宋"/>
          <w:szCs w:val="21"/>
        </w:rPr>
      </w:pPr>
      <w:r>
        <w:rPr>
          <w:rFonts w:hint="eastAsia" w:ascii="仿宋" w:hAnsi="仿宋" w:eastAsia="仿宋" w:cs="仿宋"/>
          <w:szCs w:val="21"/>
        </w:rPr>
        <w:t>7、甲方验收时以书面形式提出异议的，乙方应自收到甲方书面异议后五个工作日内及时予以解决，否则甲方有权不出具服务验收合格单。</w:t>
      </w:r>
    </w:p>
    <w:p w14:paraId="066556C0">
      <w:p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第五条  售后服务及培训</w:t>
      </w:r>
    </w:p>
    <w:p w14:paraId="157B90E8">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1、乙方应按照国家有关法律法规和本合同所附的《售后服务承诺》要求为甲方提供相应的售后服务。</w:t>
      </w:r>
    </w:p>
    <w:p w14:paraId="5A078081">
      <w:pPr>
        <w:spacing w:line="360" w:lineRule="auto"/>
        <w:ind w:firstLine="420" w:firstLineChars="200"/>
        <w:rPr>
          <w:rFonts w:ascii="仿宋" w:hAnsi="仿宋" w:eastAsia="仿宋" w:cs="仿宋"/>
          <w:szCs w:val="21"/>
        </w:rPr>
      </w:pPr>
      <w:r>
        <w:rPr>
          <w:rFonts w:hint="eastAsia" w:ascii="仿宋" w:hAnsi="仿宋" w:eastAsia="仿宋" w:cs="仿宋"/>
          <w:szCs w:val="21"/>
        </w:rPr>
        <w:t>2、甲方应提供必要测试条件（如场地、电源、水源等）。</w:t>
      </w:r>
    </w:p>
    <w:p w14:paraId="7224335C">
      <w:pPr>
        <w:spacing w:line="360" w:lineRule="auto"/>
        <w:ind w:firstLine="420" w:firstLineChars="200"/>
        <w:rPr>
          <w:rFonts w:ascii="仿宋" w:hAnsi="仿宋" w:eastAsia="仿宋" w:cs="仿宋"/>
          <w:szCs w:val="21"/>
        </w:rPr>
      </w:pPr>
      <w:r>
        <w:rPr>
          <w:rFonts w:hint="eastAsia" w:ascii="仿宋" w:hAnsi="仿宋" w:eastAsia="仿宋" w:cs="仿宋"/>
          <w:szCs w:val="21"/>
        </w:rPr>
        <w:t>3、乙方负责甲方有关人员的培训。培训时间、地点：</w:t>
      </w:r>
      <w:r>
        <w:rPr>
          <w:rFonts w:hint="eastAsia" w:ascii="仿宋" w:hAnsi="仿宋" w:eastAsia="仿宋" w:cs="仿宋"/>
          <w:szCs w:val="21"/>
          <w:u w:val="single"/>
        </w:rPr>
        <w:t>广西壮族自治区南宁市市区内</w:t>
      </w:r>
      <w:r>
        <w:rPr>
          <w:rFonts w:hint="eastAsia" w:ascii="仿宋" w:hAnsi="仿宋" w:eastAsia="仿宋" w:cs="仿宋"/>
          <w:szCs w:val="21"/>
        </w:rPr>
        <w:t>。</w:t>
      </w:r>
    </w:p>
    <w:p w14:paraId="1FC4604D">
      <w:pPr>
        <w:snapToGrid w:val="0"/>
        <w:spacing w:line="360" w:lineRule="auto"/>
        <w:ind w:firstLine="422" w:firstLineChars="200"/>
        <w:rPr>
          <w:rFonts w:ascii="仿宋" w:hAnsi="仿宋" w:eastAsia="仿宋" w:cs="仿宋"/>
          <w:szCs w:val="21"/>
          <w:u w:val="single"/>
        </w:rPr>
      </w:pPr>
      <w:r>
        <w:rPr>
          <w:rFonts w:hint="eastAsia" w:ascii="仿宋" w:hAnsi="仿宋" w:eastAsia="仿宋" w:cs="仿宋"/>
          <w:b/>
          <w:szCs w:val="21"/>
        </w:rPr>
        <w:t>第六条　付款方式</w:t>
      </w:r>
    </w:p>
    <w:p w14:paraId="5E268FFC">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甲乙双方同意本合同金额的支付按以下第</w:t>
      </w:r>
      <w:r>
        <w:rPr>
          <w:rFonts w:hint="eastAsia" w:ascii="仿宋" w:hAnsi="仿宋" w:eastAsia="仿宋" w:cs="仿宋"/>
          <w:szCs w:val="21"/>
          <w:u w:val="single"/>
        </w:rPr>
        <w:t>2</w:t>
      </w:r>
      <w:r>
        <w:rPr>
          <w:rFonts w:hint="eastAsia" w:ascii="仿宋" w:hAnsi="仿宋" w:eastAsia="仿宋" w:cs="仿宋"/>
          <w:szCs w:val="21"/>
        </w:rPr>
        <w:t>项约定执行：</w:t>
      </w:r>
    </w:p>
    <w:p w14:paraId="3F7EED47">
      <w:pPr>
        <w:spacing w:line="360" w:lineRule="auto"/>
        <w:ind w:firstLine="420" w:firstLineChars="200"/>
        <w:rPr>
          <w:rFonts w:ascii="仿宋" w:hAnsi="仿宋" w:eastAsia="仿宋" w:cs="仿宋"/>
          <w:szCs w:val="21"/>
        </w:rPr>
      </w:pPr>
      <w:r>
        <w:rPr>
          <w:rFonts w:hint="eastAsia" w:ascii="仿宋" w:hAnsi="仿宋" w:eastAsia="仿宋" w:cs="仿宋"/>
          <w:szCs w:val="21"/>
        </w:rPr>
        <w:t>1、一次性支付</w:t>
      </w:r>
    </w:p>
    <w:p w14:paraId="7E8E184E">
      <w:pPr>
        <w:spacing w:line="360" w:lineRule="auto"/>
        <w:ind w:firstLine="420" w:firstLineChars="200"/>
        <w:rPr>
          <w:rFonts w:ascii="仿宋" w:hAnsi="仿宋" w:eastAsia="仿宋" w:cs="仿宋"/>
          <w:szCs w:val="21"/>
        </w:rPr>
      </w:pPr>
      <w:r>
        <w:rPr>
          <w:rFonts w:hint="eastAsia" w:ascii="仿宋" w:hAnsi="仿宋" w:eastAsia="仿宋" w:cs="仿宋"/>
          <w:szCs w:val="21"/>
        </w:rPr>
        <w:t>2、分期支付</w:t>
      </w:r>
    </w:p>
    <w:p w14:paraId="542B0885">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（1）本项目无预付款。</w:t>
      </w:r>
      <w:r>
        <w:rPr>
          <w:rFonts w:hint="eastAsia" w:ascii="仿宋" w:hAnsi="仿宋" w:eastAsia="仿宋" w:cs="仿宋"/>
          <w:szCs w:val="21"/>
          <w:highlight w:val="none"/>
          <w:lang w:eastAsia="zh-CN"/>
        </w:rPr>
        <w:t>甲方</w:t>
      </w:r>
      <w:r>
        <w:rPr>
          <w:rFonts w:hint="eastAsia" w:ascii="仿宋" w:hAnsi="仿宋" w:eastAsia="仿宋" w:cs="仿宋"/>
          <w:szCs w:val="21"/>
          <w:highlight w:val="none"/>
        </w:rPr>
        <w:t>在收到完整版体检资料后，按双方确认的实际体检人数和</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的最终</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结算体检费用，并在结算完成后20个工作日内通过转账方式一次性支付体检费用款项给</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收到款项后须按国家要求开具正式发票。</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如未按合同履约的，视为违约，</w:t>
      </w:r>
      <w:r>
        <w:rPr>
          <w:rFonts w:hint="eastAsia" w:ascii="仿宋" w:hAnsi="仿宋" w:eastAsia="仿宋" w:cs="仿宋"/>
          <w:szCs w:val="21"/>
          <w:highlight w:val="none"/>
          <w:lang w:eastAsia="zh-CN"/>
        </w:rPr>
        <w:t>甲方</w:t>
      </w:r>
      <w:r>
        <w:rPr>
          <w:rFonts w:hint="eastAsia" w:ascii="仿宋" w:hAnsi="仿宋" w:eastAsia="仿宋" w:cs="仿宋"/>
          <w:szCs w:val="21"/>
          <w:highlight w:val="none"/>
        </w:rPr>
        <w:t>有权暂缓支付体检费用直至履约完成之日止，并不承担逾期付款的违约责任。如造成法律规定的损害的，</w:t>
      </w:r>
      <w:r>
        <w:rPr>
          <w:rFonts w:hint="eastAsia" w:ascii="仿宋" w:hAnsi="仿宋" w:eastAsia="仿宋" w:cs="仿宋"/>
          <w:szCs w:val="21"/>
          <w:highlight w:val="none"/>
          <w:lang w:eastAsia="zh-CN"/>
        </w:rPr>
        <w:t>甲方</w:t>
      </w:r>
      <w:r>
        <w:rPr>
          <w:rFonts w:hint="eastAsia" w:ascii="仿宋" w:hAnsi="仿宋" w:eastAsia="仿宋" w:cs="仿宋"/>
          <w:szCs w:val="21"/>
          <w:highlight w:val="none"/>
        </w:rPr>
        <w:t>有权追究</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法律责任。</w:t>
      </w:r>
    </w:p>
    <w:p w14:paraId="65D6C26C">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（2）结算金额按以下公式计算：结算金额=各分标乙方</w:t>
      </w:r>
      <w:r>
        <w:rPr>
          <w:rFonts w:hint="eastAsia" w:ascii="仿宋" w:hAnsi="仿宋" w:eastAsia="仿宋" w:cs="仿宋"/>
          <w:szCs w:val="21"/>
          <w:highlight w:val="none"/>
          <w:lang w:eastAsia="zh-CN"/>
        </w:rPr>
        <w:t>中标单价</w:t>
      </w:r>
      <w:r>
        <w:rPr>
          <w:rFonts w:hint="eastAsia" w:ascii="仿宋" w:hAnsi="仿宋" w:eastAsia="仿宋" w:cs="仿宋"/>
          <w:szCs w:val="21"/>
          <w:highlight w:val="none"/>
        </w:rPr>
        <w:t>×实际前往该机构体检的人数。实际体检人数以各乙方实际接待并完成体检的军休干部人数为准，由甲方与各乙方共同核对确认。</w:t>
      </w:r>
    </w:p>
    <w:p w14:paraId="0FC9BA4D">
      <w:p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第七条　履约保证金</w:t>
      </w:r>
    </w:p>
    <w:p w14:paraId="16934902">
      <w:pPr>
        <w:spacing w:line="360" w:lineRule="auto"/>
        <w:ind w:firstLine="420" w:firstLineChars="200"/>
        <w:rPr>
          <w:rFonts w:ascii="仿宋" w:hAnsi="仿宋" w:eastAsia="仿宋" w:cs="仿宋"/>
          <w:b/>
          <w:szCs w:val="21"/>
        </w:rPr>
      </w:pPr>
      <w:r>
        <w:rPr>
          <w:rFonts w:hint="eastAsia" w:ascii="仿宋" w:hAnsi="仿宋" w:eastAsia="仿宋" w:cs="仿宋"/>
          <w:szCs w:val="21"/>
        </w:rPr>
        <w:t>本项目不收取履约保证金。</w:t>
      </w:r>
    </w:p>
    <w:p w14:paraId="1403C2B9">
      <w:pPr>
        <w:spacing w:line="360" w:lineRule="auto"/>
        <w:ind w:firstLine="422" w:firstLineChars="200"/>
        <w:rPr>
          <w:rFonts w:ascii="仿宋" w:hAnsi="仿宋" w:eastAsia="仿宋" w:cs="仿宋"/>
          <w:b/>
          <w:szCs w:val="21"/>
        </w:rPr>
      </w:pPr>
      <w:r>
        <w:rPr>
          <w:rFonts w:hint="eastAsia" w:ascii="仿宋" w:hAnsi="仿宋" w:eastAsia="仿宋" w:cs="仿宋"/>
          <w:b/>
          <w:szCs w:val="21"/>
        </w:rPr>
        <w:t>第八条  税费</w:t>
      </w:r>
    </w:p>
    <w:p w14:paraId="1426168E">
      <w:pPr>
        <w:spacing w:line="360" w:lineRule="auto"/>
        <w:ind w:firstLine="420" w:firstLineChars="200"/>
        <w:rPr>
          <w:rFonts w:ascii="仿宋" w:hAnsi="仿宋" w:eastAsia="仿宋" w:cs="仿宋"/>
          <w:szCs w:val="21"/>
        </w:rPr>
      </w:pPr>
      <w:r>
        <w:rPr>
          <w:rFonts w:hint="eastAsia" w:ascii="仿宋" w:hAnsi="仿宋" w:eastAsia="仿宋" w:cs="仿宋"/>
          <w:szCs w:val="21"/>
        </w:rPr>
        <w:t>本合同执行中相关的一切税费均由乙方负担，合同另有约定的除外。</w:t>
      </w:r>
    </w:p>
    <w:p w14:paraId="4D6A932C">
      <w:pPr>
        <w:spacing w:line="360" w:lineRule="auto"/>
        <w:ind w:firstLine="422" w:firstLineChars="200"/>
        <w:rPr>
          <w:rFonts w:ascii="仿宋" w:hAnsi="仿宋" w:eastAsia="仿宋" w:cs="仿宋"/>
          <w:b/>
          <w:szCs w:val="21"/>
        </w:rPr>
      </w:pPr>
      <w:r>
        <w:rPr>
          <w:rFonts w:hint="eastAsia" w:ascii="仿宋" w:hAnsi="仿宋" w:eastAsia="仿宋" w:cs="仿宋"/>
          <w:b/>
          <w:szCs w:val="21"/>
        </w:rPr>
        <w:t>第九条　违约责任</w:t>
      </w:r>
    </w:p>
    <w:p w14:paraId="7DC967A4">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1、除不可抗力原因外，乙方没有按照合同规定的时间提供服务的，甲方可要求乙方支付违约金。每推迟一天按合同金额的3‰支付违约金，该违约金累计不超过合同金额的10%。                                  </w:t>
      </w:r>
    </w:p>
    <w:p w14:paraId="5FD5CD56">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2、乙方提供的服务如侵犯了第三方合法权益而引发的任何纠纷或者诉讼，均由乙方负责交涉并承担全部责任。</w:t>
      </w:r>
    </w:p>
    <w:p w14:paraId="646D11DA">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3、甲方延期付款的，每天向乙方偿付延期款额3‰滞纳金，但滞纳金累计不得超过延期款额5%。</w:t>
      </w:r>
    </w:p>
    <w:p w14:paraId="2C8ADE96">
      <w:pPr>
        <w:spacing w:line="360" w:lineRule="auto"/>
        <w:ind w:firstLine="422" w:firstLineChars="200"/>
        <w:rPr>
          <w:rFonts w:ascii="仿宋" w:hAnsi="仿宋" w:eastAsia="仿宋" w:cs="仿宋"/>
          <w:b/>
          <w:szCs w:val="21"/>
        </w:rPr>
      </w:pPr>
      <w:r>
        <w:rPr>
          <w:rFonts w:hint="eastAsia" w:ascii="仿宋" w:hAnsi="仿宋" w:eastAsia="仿宋" w:cs="仿宋"/>
          <w:b/>
          <w:szCs w:val="21"/>
        </w:rPr>
        <w:t>第十条  不可抗力事件处理</w:t>
      </w:r>
    </w:p>
    <w:p w14:paraId="6016D0D1">
      <w:pPr>
        <w:spacing w:line="360" w:lineRule="auto"/>
        <w:ind w:firstLine="420" w:firstLineChars="200"/>
        <w:rPr>
          <w:rFonts w:ascii="仿宋" w:hAnsi="仿宋" w:eastAsia="仿宋" w:cs="仿宋"/>
          <w:szCs w:val="21"/>
        </w:rPr>
      </w:pPr>
      <w:r>
        <w:rPr>
          <w:rFonts w:hint="eastAsia" w:ascii="仿宋" w:hAnsi="仿宋" w:eastAsia="仿宋" w:cs="仿宋"/>
          <w:szCs w:val="21"/>
        </w:rPr>
        <w:t>1、在合同有效期内，任何一方因不可抗力事件导致不能履行合同，则合同履行期可延长，其延长期与不可抗力影响期相同。</w:t>
      </w:r>
    </w:p>
    <w:p w14:paraId="24C9A0A4">
      <w:pPr>
        <w:spacing w:line="360" w:lineRule="auto"/>
        <w:ind w:firstLine="420" w:firstLineChars="200"/>
        <w:rPr>
          <w:rFonts w:ascii="仿宋" w:hAnsi="仿宋" w:eastAsia="仿宋" w:cs="仿宋"/>
          <w:szCs w:val="21"/>
        </w:rPr>
      </w:pPr>
      <w:r>
        <w:rPr>
          <w:rFonts w:hint="eastAsia" w:ascii="仿宋" w:hAnsi="仿宋" w:eastAsia="仿宋" w:cs="仿宋"/>
          <w:szCs w:val="21"/>
        </w:rPr>
        <w:t>2、不可抗力事件发生后，应立即通知对方，并寄送有关权威机构出具的证明。</w:t>
      </w:r>
    </w:p>
    <w:p w14:paraId="2F5CD59E">
      <w:pPr>
        <w:spacing w:line="360" w:lineRule="auto"/>
        <w:ind w:firstLine="420" w:firstLineChars="200"/>
        <w:rPr>
          <w:rFonts w:ascii="仿宋" w:hAnsi="仿宋" w:eastAsia="仿宋" w:cs="仿宋"/>
          <w:szCs w:val="21"/>
        </w:rPr>
      </w:pPr>
      <w:r>
        <w:rPr>
          <w:rFonts w:hint="eastAsia" w:ascii="仿宋" w:hAnsi="仿宋" w:eastAsia="仿宋" w:cs="仿宋"/>
          <w:szCs w:val="21"/>
        </w:rPr>
        <w:t>3、不可抗力事件延续一百二十天以上，双方应通过友好协商，确定是否继续履行合同。</w:t>
      </w:r>
    </w:p>
    <w:p w14:paraId="379E7E45">
      <w:pPr>
        <w:spacing w:line="360" w:lineRule="auto"/>
        <w:ind w:firstLine="422" w:firstLineChars="200"/>
        <w:rPr>
          <w:rFonts w:ascii="仿宋" w:hAnsi="仿宋" w:eastAsia="仿宋" w:cs="仿宋"/>
          <w:szCs w:val="21"/>
        </w:rPr>
      </w:pPr>
      <w:r>
        <w:rPr>
          <w:rFonts w:hint="eastAsia" w:ascii="仿宋" w:hAnsi="仿宋" w:eastAsia="仿宋" w:cs="仿宋"/>
          <w:b/>
          <w:szCs w:val="21"/>
        </w:rPr>
        <w:t>第十一条  合同争议解决</w:t>
      </w:r>
    </w:p>
    <w:p w14:paraId="1F8D2DF2">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1、因服务质量问题发生争议的，应邀请国家认可的质量检测机构进行鉴定。服务符合标准的，鉴定费由甲方承担；服务不符合标准的，鉴定费由乙方承担。</w:t>
      </w:r>
    </w:p>
    <w:p w14:paraId="792B7AD6">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2、因履行本合同引起的或者与本合同有关的争议，甲乙双方应首先通过友好协商解决，如果协商不能解决，可向甲方所在地有管辖权的人民法院提起诉讼。</w:t>
      </w:r>
    </w:p>
    <w:p w14:paraId="2C779389">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3、诉讼期间，本合同继续履行。</w:t>
      </w:r>
    </w:p>
    <w:p w14:paraId="2F306F36">
      <w:pPr>
        <w:spacing w:line="360" w:lineRule="auto"/>
        <w:ind w:firstLine="422" w:firstLineChars="200"/>
        <w:rPr>
          <w:rFonts w:ascii="仿宋" w:hAnsi="仿宋" w:eastAsia="仿宋" w:cs="仿宋"/>
          <w:b/>
          <w:szCs w:val="21"/>
        </w:rPr>
      </w:pPr>
      <w:r>
        <w:rPr>
          <w:rFonts w:hint="eastAsia" w:ascii="仿宋" w:hAnsi="仿宋" w:eastAsia="仿宋" w:cs="仿宋"/>
          <w:b/>
          <w:szCs w:val="21"/>
        </w:rPr>
        <w:t>第十二条  合同生效及其它</w:t>
      </w:r>
    </w:p>
    <w:p w14:paraId="5E303908">
      <w:pPr>
        <w:spacing w:line="360" w:lineRule="auto"/>
        <w:ind w:firstLine="420" w:firstLineChars="200"/>
        <w:rPr>
          <w:rFonts w:ascii="仿宋" w:hAnsi="仿宋" w:eastAsia="仿宋" w:cs="仿宋"/>
          <w:szCs w:val="21"/>
        </w:rPr>
      </w:pPr>
      <w:r>
        <w:rPr>
          <w:rFonts w:hint="eastAsia" w:ascii="仿宋" w:hAnsi="仿宋" w:eastAsia="仿宋" w:cs="仿宋"/>
          <w:szCs w:val="21"/>
        </w:rPr>
        <w:t>1、合同经双方法定代表人或者授权代表签字并加盖单位公章后生效（委托代理人签字的需后附授权委托书，格式自拟）。</w:t>
      </w:r>
    </w:p>
    <w:p w14:paraId="4DA2FA47">
      <w:pPr>
        <w:spacing w:line="360" w:lineRule="auto"/>
        <w:ind w:firstLine="420" w:firstLineChars="200"/>
        <w:rPr>
          <w:rFonts w:ascii="仿宋" w:hAnsi="仿宋" w:eastAsia="仿宋" w:cs="仿宋"/>
          <w:szCs w:val="21"/>
        </w:rPr>
      </w:pPr>
      <w:r>
        <w:rPr>
          <w:rFonts w:hint="eastAsia" w:ascii="仿宋" w:hAnsi="仿宋" w:eastAsia="仿宋" w:cs="仿宋"/>
          <w:szCs w:val="21"/>
        </w:rPr>
        <w:t>2、合同执行中涉及采购资金和采购内容修改或者补充的，须经财政部门审批，并签书面补充协议报财政部门备案，方可作为主合同不可分割的一部分。</w:t>
      </w:r>
    </w:p>
    <w:p w14:paraId="37F73179">
      <w:pPr>
        <w:spacing w:line="360" w:lineRule="auto"/>
        <w:ind w:firstLine="420" w:firstLineChars="200"/>
        <w:rPr>
          <w:rFonts w:ascii="仿宋" w:hAnsi="仿宋" w:eastAsia="仿宋" w:cs="仿宋"/>
          <w:szCs w:val="21"/>
        </w:rPr>
      </w:pPr>
      <w:r>
        <w:rPr>
          <w:rFonts w:hint="eastAsia" w:ascii="仿宋" w:hAnsi="仿宋" w:eastAsia="仿宋" w:cs="仿宋"/>
          <w:szCs w:val="21"/>
        </w:rPr>
        <w:t>3、本合同未尽事宜，遵照《中华人民共和国民法典》有关条文执行。</w:t>
      </w:r>
    </w:p>
    <w:p w14:paraId="43FC6801">
      <w:pPr>
        <w:spacing w:line="360" w:lineRule="auto"/>
        <w:ind w:firstLine="422" w:firstLineChars="200"/>
        <w:rPr>
          <w:rFonts w:ascii="仿宋" w:hAnsi="仿宋" w:eastAsia="仿宋" w:cs="仿宋"/>
          <w:b/>
          <w:szCs w:val="21"/>
        </w:rPr>
      </w:pPr>
      <w:r>
        <w:rPr>
          <w:rFonts w:hint="eastAsia" w:ascii="仿宋" w:hAnsi="仿宋" w:eastAsia="仿宋" w:cs="仿宋"/>
          <w:b/>
          <w:szCs w:val="21"/>
        </w:rPr>
        <w:t>第十三条　合同的变更、终止与转让</w:t>
      </w:r>
    </w:p>
    <w:p w14:paraId="60C839B1">
      <w:pPr>
        <w:spacing w:line="360" w:lineRule="auto"/>
        <w:ind w:firstLine="420" w:firstLineChars="200"/>
        <w:rPr>
          <w:rFonts w:ascii="仿宋" w:hAnsi="仿宋" w:eastAsia="仿宋" w:cs="仿宋"/>
          <w:szCs w:val="21"/>
        </w:rPr>
      </w:pPr>
      <w:r>
        <w:rPr>
          <w:rFonts w:hint="eastAsia" w:ascii="仿宋" w:hAnsi="仿宋" w:eastAsia="仿宋" w:cs="仿宋"/>
          <w:szCs w:val="21"/>
        </w:rPr>
        <w:t>1、除《中华人民共和国政府采购法》第五十条规定的情形外，本合同一经签订，甲乙双方不得擅自变更、中止或者终止。</w:t>
      </w:r>
    </w:p>
    <w:p w14:paraId="16F0A60F">
      <w:pPr>
        <w:spacing w:line="360" w:lineRule="auto"/>
        <w:ind w:firstLine="420" w:firstLineChars="200"/>
        <w:rPr>
          <w:rFonts w:ascii="仿宋" w:hAnsi="仿宋" w:eastAsia="仿宋" w:cs="仿宋"/>
          <w:szCs w:val="21"/>
        </w:rPr>
      </w:pPr>
      <w:r>
        <w:rPr>
          <w:rFonts w:hint="eastAsia" w:ascii="仿宋" w:hAnsi="仿宋" w:eastAsia="仿宋" w:cs="仿宋"/>
          <w:szCs w:val="21"/>
        </w:rPr>
        <w:t>2、乙方不得擅自转让其应履行的合同义务。</w:t>
      </w:r>
    </w:p>
    <w:p w14:paraId="542459E6">
      <w:pPr>
        <w:spacing w:line="360" w:lineRule="auto"/>
        <w:ind w:firstLine="422" w:firstLineChars="200"/>
        <w:rPr>
          <w:rFonts w:ascii="仿宋" w:hAnsi="仿宋" w:eastAsia="仿宋" w:cs="仿宋"/>
          <w:b/>
          <w:szCs w:val="21"/>
        </w:rPr>
      </w:pPr>
      <w:r>
        <w:rPr>
          <w:rFonts w:hint="eastAsia" w:ascii="仿宋" w:hAnsi="仿宋" w:eastAsia="仿宋" w:cs="仿宋"/>
          <w:b/>
          <w:szCs w:val="21"/>
        </w:rPr>
        <w:t>第十四条　签订本合同依据</w:t>
      </w:r>
    </w:p>
    <w:p w14:paraId="6B5ACBDB">
      <w:pPr>
        <w:spacing w:line="360" w:lineRule="auto"/>
        <w:ind w:firstLine="420" w:firstLineChars="200"/>
        <w:rPr>
          <w:rFonts w:ascii="仿宋" w:hAnsi="仿宋" w:eastAsia="仿宋" w:cs="仿宋"/>
          <w:szCs w:val="21"/>
        </w:rPr>
      </w:pPr>
      <w:r>
        <w:rPr>
          <w:rFonts w:hint="eastAsia" w:ascii="仿宋" w:hAnsi="仿宋" w:eastAsia="仿宋" w:cs="仿宋"/>
          <w:szCs w:val="21"/>
        </w:rPr>
        <w:t>1、成交通知书；</w:t>
      </w:r>
    </w:p>
    <w:p w14:paraId="03D435D3">
      <w:pPr>
        <w:spacing w:line="360" w:lineRule="auto"/>
        <w:ind w:firstLine="420" w:firstLineChars="200"/>
        <w:rPr>
          <w:rFonts w:ascii="仿宋" w:hAnsi="仿宋" w:eastAsia="仿宋" w:cs="仿宋"/>
          <w:szCs w:val="21"/>
        </w:rPr>
      </w:pPr>
      <w:r>
        <w:rPr>
          <w:rFonts w:hint="eastAsia" w:ascii="仿宋" w:hAnsi="仿宋" w:eastAsia="仿宋" w:cs="仿宋"/>
          <w:szCs w:val="21"/>
        </w:rPr>
        <w:t>2、竞标报价表；</w:t>
      </w:r>
    </w:p>
    <w:p w14:paraId="74990302">
      <w:pPr>
        <w:spacing w:line="360" w:lineRule="auto"/>
        <w:ind w:firstLine="420" w:firstLineChars="200"/>
        <w:rPr>
          <w:rFonts w:ascii="仿宋" w:hAnsi="仿宋" w:eastAsia="仿宋" w:cs="仿宋"/>
          <w:szCs w:val="21"/>
        </w:rPr>
      </w:pPr>
      <w:r>
        <w:rPr>
          <w:rFonts w:hint="eastAsia" w:ascii="仿宋" w:hAnsi="仿宋" w:eastAsia="仿宋" w:cs="仿宋"/>
          <w:szCs w:val="21"/>
        </w:rPr>
        <w:t>3、商务要求偏离表和技术要求偏离表；</w:t>
      </w:r>
    </w:p>
    <w:p w14:paraId="0BCFA866">
      <w:pPr>
        <w:spacing w:line="360" w:lineRule="auto"/>
        <w:ind w:firstLine="420" w:firstLineChars="200"/>
        <w:rPr>
          <w:rFonts w:ascii="仿宋" w:hAnsi="仿宋" w:eastAsia="仿宋" w:cs="仿宋"/>
          <w:szCs w:val="21"/>
        </w:rPr>
      </w:pPr>
      <w:r>
        <w:rPr>
          <w:rFonts w:hint="eastAsia" w:ascii="仿宋" w:hAnsi="仿宋" w:eastAsia="仿宋" w:cs="仿宋"/>
          <w:szCs w:val="21"/>
        </w:rPr>
        <w:t>4、服务方案；</w:t>
      </w:r>
    </w:p>
    <w:p w14:paraId="49D51BBA">
      <w:pPr>
        <w:spacing w:line="360" w:lineRule="auto"/>
        <w:ind w:firstLine="420" w:firstLineChars="200"/>
        <w:rPr>
          <w:rFonts w:ascii="仿宋" w:hAnsi="仿宋" w:eastAsia="仿宋" w:cs="仿宋"/>
          <w:szCs w:val="21"/>
        </w:rPr>
      </w:pPr>
      <w:r>
        <w:rPr>
          <w:rFonts w:hint="eastAsia" w:ascii="仿宋" w:hAnsi="仿宋" w:eastAsia="仿宋" w:cs="仿宋"/>
          <w:szCs w:val="21"/>
        </w:rPr>
        <w:t>5、响应文件中的其他相关文件。</w:t>
      </w:r>
    </w:p>
    <w:p w14:paraId="49A729D6">
      <w:pPr>
        <w:spacing w:line="360" w:lineRule="auto"/>
        <w:ind w:firstLine="420" w:firstLineChars="200"/>
        <w:rPr>
          <w:rFonts w:ascii="仿宋" w:hAnsi="仿宋" w:eastAsia="仿宋" w:cs="仿宋"/>
          <w:szCs w:val="21"/>
        </w:rPr>
      </w:pPr>
      <w:r>
        <w:rPr>
          <w:rFonts w:hint="eastAsia" w:ascii="仿宋" w:hAnsi="仿宋" w:eastAsia="仿宋" w:cs="仿宋"/>
          <w:szCs w:val="21"/>
        </w:rPr>
        <w:t>6、上述合同文件互相补充和解释。如果合同文件之间存在矛盾或者不一致之处，以上述文件的排列顺序在先者为准。</w:t>
      </w:r>
    </w:p>
    <w:p w14:paraId="51B1C641">
      <w:pPr>
        <w:spacing w:line="360" w:lineRule="auto"/>
        <w:ind w:firstLine="422" w:firstLineChars="200"/>
        <w:rPr>
          <w:rFonts w:ascii="仿宋" w:hAnsi="仿宋" w:eastAsia="仿宋" w:cs="仿宋"/>
          <w:szCs w:val="21"/>
        </w:rPr>
      </w:pPr>
      <w:r>
        <w:rPr>
          <w:rFonts w:hint="eastAsia" w:ascii="仿宋" w:hAnsi="仿宋" w:eastAsia="仿宋" w:cs="仿宋"/>
          <w:b/>
          <w:szCs w:val="21"/>
        </w:rPr>
        <w:t>第十五条　</w:t>
      </w:r>
      <w:r>
        <w:rPr>
          <w:rFonts w:hint="eastAsia" w:ascii="仿宋" w:hAnsi="仿宋" w:eastAsia="仿宋" w:cs="仿宋"/>
          <w:szCs w:val="21"/>
        </w:rPr>
        <w:t>本合同一式六份，具有同等法律效力，甲乙双方各持三份。</w:t>
      </w:r>
    </w:p>
    <w:p w14:paraId="44B03A2B">
      <w:pPr>
        <w:spacing w:line="360" w:lineRule="auto"/>
        <w:ind w:firstLine="420" w:firstLineChars="200"/>
        <w:rPr>
          <w:rFonts w:ascii="仿宋" w:hAnsi="仿宋" w:eastAsia="仿宋" w:cs="仿宋"/>
          <w:szCs w:val="21"/>
        </w:rPr>
      </w:pPr>
      <w:r>
        <w:rPr>
          <w:rFonts w:hint="eastAsia" w:ascii="仿宋" w:hAnsi="仿宋" w:eastAsia="仿宋" w:cs="仿宋"/>
          <w:szCs w:val="21"/>
        </w:rPr>
        <w:t>本合同甲乙双方签字盖章后生效，自签订之日起七个工作日内，甲方应当将合同副本报同级财政部门备案。</w:t>
      </w:r>
    </w:p>
    <w:p w14:paraId="09E1D35B">
      <w:pPr>
        <w:spacing w:line="360" w:lineRule="auto"/>
        <w:ind w:firstLine="420" w:firstLineChars="200"/>
        <w:rPr>
          <w:rFonts w:ascii="仿宋" w:hAnsi="仿宋" w:eastAsia="仿宋" w:cs="仿宋"/>
          <w:szCs w:val="21"/>
        </w:rPr>
      </w:pPr>
      <w:r>
        <w:rPr>
          <w:rFonts w:hint="eastAsia" w:ascii="仿宋" w:hAnsi="仿宋" w:eastAsia="仿宋" w:cs="仿宋"/>
          <w:szCs w:val="21"/>
        </w:rPr>
        <w:t>本合同自签订之日起2个工作日内，甲方应当将采购合同在广西壮族自治区财政厅指定的媒体上公告。</w:t>
      </w:r>
    </w:p>
    <w:tbl>
      <w:tblPr>
        <w:tblStyle w:val="20"/>
        <w:tblpPr w:leftFromText="180" w:rightFromText="180" w:vertAnchor="text" w:horzAnchor="margin" w:tblpX="307"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9"/>
        <w:gridCol w:w="4750"/>
      </w:tblGrid>
      <w:tr w14:paraId="6E04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10D0819C">
            <w:pPr>
              <w:snapToGrid w:val="0"/>
              <w:spacing w:line="360" w:lineRule="auto"/>
              <w:rPr>
                <w:rFonts w:ascii="仿宋" w:hAnsi="仿宋" w:eastAsia="仿宋" w:cs="仿宋"/>
                <w:szCs w:val="21"/>
              </w:rPr>
            </w:pPr>
            <w:r>
              <w:rPr>
                <w:rFonts w:hint="eastAsia" w:ascii="仿宋" w:hAnsi="仿宋" w:eastAsia="仿宋" w:cs="仿宋"/>
                <w:szCs w:val="21"/>
              </w:rPr>
              <w:t>甲方：（章）</w:t>
            </w:r>
          </w:p>
          <w:p w14:paraId="619A99AA">
            <w:pPr>
              <w:snapToGrid w:val="0"/>
              <w:spacing w:line="360" w:lineRule="auto"/>
              <w:rPr>
                <w:rFonts w:ascii="仿宋" w:hAnsi="仿宋" w:eastAsia="仿宋" w:cs="仿宋"/>
                <w:szCs w:val="21"/>
              </w:rPr>
            </w:pPr>
          </w:p>
          <w:p w14:paraId="2642445E">
            <w:pPr>
              <w:snapToGrid w:val="0"/>
              <w:spacing w:line="360" w:lineRule="auto"/>
              <w:rPr>
                <w:rFonts w:ascii="仿宋" w:hAnsi="仿宋" w:eastAsia="仿宋" w:cs="仿宋"/>
                <w:szCs w:val="21"/>
              </w:rPr>
            </w:pPr>
          </w:p>
          <w:p w14:paraId="71D5DE36">
            <w:pPr>
              <w:snapToGrid w:val="0"/>
              <w:spacing w:line="360" w:lineRule="auto"/>
              <w:ind w:firstLine="945" w:firstLineChars="450"/>
              <w:jc w:val="right"/>
              <w:rPr>
                <w:rFonts w:ascii="仿宋" w:hAnsi="仿宋" w:eastAsia="仿宋" w:cs="仿宋"/>
                <w:szCs w:val="21"/>
              </w:rPr>
            </w:pPr>
          </w:p>
          <w:p w14:paraId="6EEA5FBD">
            <w:pPr>
              <w:snapToGrid w:val="0"/>
              <w:spacing w:line="360" w:lineRule="auto"/>
              <w:ind w:firstLine="945" w:firstLineChars="450"/>
              <w:jc w:val="right"/>
              <w:rPr>
                <w:rFonts w:ascii="仿宋" w:hAnsi="仿宋" w:eastAsia="仿宋" w:cs="仿宋"/>
                <w:szCs w:val="21"/>
              </w:rPr>
            </w:pPr>
            <w:r>
              <w:rPr>
                <w:rFonts w:hint="eastAsia" w:ascii="仿宋" w:hAnsi="仿宋" w:eastAsia="仿宋" w:cs="仿宋"/>
                <w:szCs w:val="21"/>
              </w:rPr>
              <w:t>年   月   日</w:t>
            </w:r>
          </w:p>
        </w:tc>
        <w:tc>
          <w:tcPr>
            <w:tcW w:w="4750" w:type="dxa"/>
            <w:tcBorders>
              <w:top w:val="single" w:color="auto" w:sz="4" w:space="0"/>
              <w:left w:val="single" w:color="auto" w:sz="4" w:space="0"/>
              <w:bottom w:val="single" w:color="auto" w:sz="4" w:space="0"/>
              <w:right w:val="single" w:color="auto" w:sz="4" w:space="0"/>
            </w:tcBorders>
            <w:noWrap/>
            <w:vAlign w:val="center"/>
          </w:tcPr>
          <w:p w14:paraId="1624BE73">
            <w:pPr>
              <w:snapToGrid w:val="0"/>
              <w:spacing w:line="360" w:lineRule="auto"/>
              <w:rPr>
                <w:rFonts w:ascii="仿宋" w:hAnsi="仿宋" w:eastAsia="仿宋" w:cs="仿宋"/>
                <w:szCs w:val="21"/>
              </w:rPr>
            </w:pPr>
            <w:r>
              <w:rPr>
                <w:rFonts w:hint="eastAsia" w:ascii="仿宋" w:hAnsi="仿宋" w:eastAsia="仿宋" w:cs="仿宋"/>
                <w:szCs w:val="21"/>
              </w:rPr>
              <w:t xml:space="preserve">乙方：（章）       </w:t>
            </w:r>
          </w:p>
          <w:p w14:paraId="687ED122">
            <w:pPr>
              <w:snapToGrid w:val="0"/>
              <w:spacing w:line="360" w:lineRule="auto"/>
              <w:rPr>
                <w:rFonts w:ascii="仿宋" w:hAnsi="仿宋" w:eastAsia="仿宋" w:cs="仿宋"/>
                <w:szCs w:val="21"/>
              </w:rPr>
            </w:pPr>
          </w:p>
          <w:p w14:paraId="6D2AB429">
            <w:pPr>
              <w:snapToGrid w:val="0"/>
              <w:spacing w:line="360" w:lineRule="auto"/>
              <w:rPr>
                <w:rFonts w:ascii="仿宋" w:hAnsi="仿宋" w:eastAsia="仿宋" w:cs="仿宋"/>
                <w:szCs w:val="21"/>
              </w:rPr>
            </w:pPr>
          </w:p>
          <w:p w14:paraId="0E200F6B">
            <w:pPr>
              <w:snapToGrid w:val="0"/>
              <w:spacing w:line="360" w:lineRule="auto"/>
              <w:jc w:val="right"/>
              <w:rPr>
                <w:rFonts w:ascii="仿宋" w:hAnsi="仿宋" w:eastAsia="仿宋" w:cs="仿宋"/>
                <w:szCs w:val="21"/>
              </w:rPr>
            </w:pPr>
          </w:p>
          <w:p w14:paraId="609B626E">
            <w:pPr>
              <w:snapToGrid w:val="0"/>
              <w:spacing w:line="360" w:lineRule="auto"/>
              <w:jc w:val="right"/>
              <w:rPr>
                <w:rFonts w:ascii="仿宋" w:hAnsi="仿宋" w:eastAsia="仿宋" w:cs="仿宋"/>
                <w:szCs w:val="21"/>
              </w:rPr>
            </w:pPr>
            <w:r>
              <w:rPr>
                <w:rFonts w:hint="eastAsia" w:ascii="仿宋" w:hAnsi="仿宋" w:eastAsia="仿宋" w:cs="仿宋"/>
                <w:szCs w:val="21"/>
              </w:rPr>
              <w:t xml:space="preserve"> 年   月   日</w:t>
            </w:r>
          </w:p>
        </w:tc>
      </w:tr>
      <w:tr w14:paraId="505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4783456B">
            <w:pPr>
              <w:snapToGrid w:val="0"/>
              <w:spacing w:line="360" w:lineRule="auto"/>
              <w:rPr>
                <w:rFonts w:ascii="仿宋" w:hAnsi="仿宋" w:eastAsia="仿宋" w:cs="仿宋"/>
                <w:szCs w:val="21"/>
              </w:rPr>
            </w:pPr>
            <w:r>
              <w:rPr>
                <w:rFonts w:hint="eastAsia" w:ascii="仿宋" w:hAnsi="仿宋" w:eastAsia="仿宋" w:cs="仿宋"/>
                <w:szCs w:val="21"/>
              </w:rPr>
              <w:t xml:space="preserve">单位地址： </w:t>
            </w:r>
          </w:p>
        </w:tc>
        <w:tc>
          <w:tcPr>
            <w:tcW w:w="4750" w:type="dxa"/>
            <w:tcBorders>
              <w:top w:val="single" w:color="auto" w:sz="4" w:space="0"/>
              <w:left w:val="single" w:color="auto" w:sz="4" w:space="0"/>
              <w:bottom w:val="single" w:color="auto" w:sz="4" w:space="0"/>
              <w:right w:val="single" w:color="auto" w:sz="4" w:space="0"/>
            </w:tcBorders>
            <w:noWrap/>
            <w:vAlign w:val="center"/>
          </w:tcPr>
          <w:p w14:paraId="701A3AA8">
            <w:pPr>
              <w:snapToGrid w:val="0"/>
              <w:spacing w:line="360" w:lineRule="auto"/>
              <w:rPr>
                <w:rFonts w:ascii="仿宋" w:hAnsi="仿宋" w:eastAsia="仿宋" w:cs="仿宋"/>
                <w:szCs w:val="21"/>
              </w:rPr>
            </w:pPr>
            <w:r>
              <w:rPr>
                <w:rFonts w:hint="eastAsia" w:ascii="仿宋" w:hAnsi="仿宋" w:eastAsia="仿宋" w:cs="仿宋"/>
                <w:szCs w:val="21"/>
              </w:rPr>
              <w:t xml:space="preserve">单位地址： </w:t>
            </w:r>
          </w:p>
        </w:tc>
      </w:tr>
      <w:tr w14:paraId="1868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7CF9432D">
            <w:pPr>
              <w:snapToGrid w:val="0"/>
              <w:spacing w:line="360" w:lineRule="auto"/>
              <w:rPr>
                <w:rFonts w:ascii="仿宋" w:hAnsi="仿宋" w:eastAsia="仿宋" w:cs="仿宋"/>
                <w:szCs w:val="21"/>
              </w:rPr>
            </w:pPr>
            <w:r>
              <w:rPr>
                <w:rFonts w:hint="eastAsia" w:ascii="仿宋" w:hAnsi="仿宋" w:eastAsia="仿宋" w:cs="仿宋"/>
                <w:szCs w:val="21"/>
              </w:rPr>
              <w:t>法定代表人：</w:t>
            </w:r>
          </w:p>
        </w:tc>
        <w:tc>
          <w:tcPr>
            <w:tcW w:w="4750" w:type="dxa"/>
            <w:tcBorders>
              <w:top w:val="single" w:color="auto" w:sz="4" w:space="0"/>
              <w:left w:val="single" w:color="auto" w:sz="4" w:space="0"/>
              <w:bottom w:val="single" w:color="auto" w:sz="4" w:space="0"/>
              <w:right w:val="single" w:color="auto" w:sz="4" w:space="0"/>
            </w:tcBorders>
            <w:noWrap/>
            <w:vAlign w:val="center"/>
          </w:tcPr>
          <w:p w14:paraId="26C50704">
            <w:pPr>
              <w:snapToGrid w:val="0"/>
              <w:spacing w:line="360" w:lineRule="auto"/>
              <w:rPr>
                <w:rFonts w:ascii="仿宋" w:hAnsi="仿宋" w:eastAsia="仿宋" w:cs="仿宋"/>
                <w:szCs w:val="21"/>
              </w:rPr>
            </w:pPr>
            <w:r>
              <w:rPr>
                <w:rFonts w:hint="eastAsia" w:ascii="仿宋" w:hAnsi="仿宋" w:eastAsia="仿宋" w:cs="仿宋"/>
                <w:szCs w:val="21"/>
              </w:rPr>
              <w:t>法定代表人：</w:t>
            </w:r>
          </w:p>
        </w:tc>
      </w:tr>
      <w:tr w14:paraId="41F7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0941D44C">
            <w:pPr>
              <w:snapToGrid w:val="0"/>
              <w:spacing w:line="360" w:lineRule="auto"/>
              <w:rPr>
                <w:rFonts w:ascii="仿宋" w:hAnsi="仿宋" w:eastAsia="仿宋" w:cs="仿宋"/>
                <w:szCs w:val="21"/>
              </w:rPr>
            </w:pPr>
            <w:r>
              <w:rPr>
                <w:rFonts w:hint="eastAsia" w:ascii="仿宋" w:hAnsi="仿宋" w:eastAsia="仿宋" w:cs="仿宋"/>
                <w:szCs w:val="21"/>
              </w:rPr>
              <w:t>委托代理人：</w:t>
            </w:r>
          </w:p>
        </w:tc>
        <w:tc>
          <w:tcPr>
            <w:tcW w:w="4750" w:type="dxa"/>
            <w:tcBorders>
              <w:top w:val="single" w:color="auto" w:sz="4" w:space="0"/>
              <w:left w:val="single" w:color="auto" w:sz="4" w:space="0"/>
              <w:bottom w:val="single" w:color="auto" w:sz="4" w:space="0"/>
              <w:right w:val="single" w:color="auto" w:sz="4" w:space="0"/>
            </w:tcBorders>
            <w:noWrap/>
            <w:vAlign w:val="center"/>
          </w:tcPr>
          <w:p w14:paraId="33764E75">
            <w:pPr>
              <w:snapToGrid w:val="0"/>
              <w:spacing w:line="360" w:lineRule="auto"/>
              <w:rPr>
                <w:rFonts w:ascii="仿宋" w:hAnsi="仿宋" w:eastAsia="仿宋" w:cs="仿宋"/>
                <w:szCs w:val="21"/>
              </w:rPr>
            </w:pPr>
            <w:r>
              <w:rPr>
                <w:rFonts w:hint="eastAsia" w:ascii="仿宋" w:hAnsi="仿宋" w:eastAsia="仿宋" w:cs="仿宋"/>
                <w:szCs w:val="21"/>
              </w:rPr>
              <w:t>委托代理人：</w:t>
            </w:r>
          </w:p>
        </w:tc>
      </w:tr>
      <w:tr w14:paraId="2A14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6F5E23C2">
            <w:pPr>
              <w:snapToGrid w:val="0"/>
              <w:spacing w:line="360" w:lineRule="auto"/>
              <w:rPr>
                <w:rFonts w:ascii="仿宋" w:hAnsi="仿宋" w:eastAsia="仿宋" w:cs="仿宋"/>
                <w:szCs w:val="21"/>
              </w:rPr>
            </w:pPr>
            <w:r>
              <w:rPr>
                <w:rFonts w:hint="eastAsia" w:ascii="仿宋" w:hAnsi="仿宋" w:eastAsia="仿宋" w:cs="仿宋"/>
                <w:szCs w:val="21"/>
              </w:rPr>
              <w:t>电话：</w:t>
            </w:r>
          </w:p>
        </w:tc>
        <w:tc>
          <w:tcPr>
            <w:tcW w:w="4750" w:type="dxa"/>
            <w:tcBorders>
              <w:top w:val="single" w:color="auto" w:sz="4" w:space="0"/>
              <w:left w:val="single" w:color="auto" w:sz="4" w:space="0"/>
              <w:bottom w:val="single" w:color="auto" w:sz="4" w:space="0"/>
              <w:right w:val="single" w:color="auto" w:sz="4" w:space="0"/>
            </w:tcBorders>
            <w:noWrap/>
            <w:vAlign w:val="center"/>
          </w:tcPr>
          <w:p w14:paraId="235D1638">
            <w:pPr>
              <w:snapToGrid w:val="0"/>
              <w:spacing w:line="360" w:lineRule="auto"/>
              <w:rPr>
                <w:rFonts w:ascii="仿宋" w:hAnsi="仿宋" w:eastAsia="仿宋" w:cs="仿宋"/>
                <w:szCs w:val="21"/>
              </w:rPr>
            </w:pPr>
            <w:r>
              <w:rPr>
                <w:rFonts w:hint="eastAsia" w:ascii="仿宋" w:hAnsi="仿宋" w:eastAsia="仿宋" w:cs="仿宋"/>
                <w:szCs w:val="21"/>
              </w:rPr>
              <w:t>电话：</w:t>
            </w:r>
          </w:p>
        </w:tc>
      </w:tr>
      <w:tr w14:paraId="7EE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734B94EF">
            <w:pPr>
              <w:snapToGrid w:val="0"/>
              <w:spacing w:line="360" w:lineRule="auto"/>
              <w:rPr>
                <w:rFonts w:ascii="仿宋" w:hAnsi="仿宋" w:eastAsia="仿宋" w:cs="仿宋"/>
                <w:szCs w:val="21"/>
              </w:rPr>
            </w:pPr>
            <w:r>
              <w:rPr>
                <w:rFonts w:hint="eastAsia" w:ascii="仿宋" w:hAnsi="仿宋" w:eastAsia="仿宋" w:cs="仿宋"/>
                <w:szCs w:val="21"/>
              </w:rPr>
              <w:t xml:space="preserve">开户银行： </w:t>
            </w:r>
          </w:p>
        </w:tc>
        <w:tc>
          <w:tcPr>
            <w:tcW w:w="4750" w:type="dxa"/>
            <w:tcBorders>
              <w:top w:val="single" w:color="auto" w:sz="4" w:space="0"/>
              <w:left w:val="single" w:color="auto" w:sz="4" w:space="0"/>
              <w:bottom w:val="single" w:color="auto" w:sz="4" w:space="0"/>
              <w:right w:val="single" w:color="auto" w:sz="4" w:space="0"/>
            </w:tcBorders>
            <w:noWrap/>
            <w:vAlign w:val="center"/>
          </w:tcPr>
          <w:p w14:paraId="3A46ECAC">
            <w:pPr>
              <w:snapToGrid w:val="0"/>
              <w:spacing w:line="360" w:lineRule="auto"/>
              <w:rPr>
                <w:rFonts w:ascii="仿宋" w:hAnsi="仿宋" w:eastAsia="仿宋" w:cs="仿宋"/>
                <w:szCs w:val="21"/>
              </w:rPr>
            </w:pPr>
            <w:r>
              <w:rPr>
                <w:rFonts w:hint="eastAsia" w:ascii="仿宋" w:hAnsi="仿宋" w:eastAsia="仿宋" w:cs="仿宋"/>
                <w:szCs w:val="21"/>
              </w:rPr>
              <w:t xml:space="preserve">开户银行： </w:t>
            </w:r>
          </w:p>
        </w:tc>
      </w:tr>
      <w:tr w14:paraId="695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7AD82CD4">
            <w:pPr>
              <w:snapToGrid w:val="0"/>
              <w:spacing w:line="360" w:lineRule="auto"/>
              <w:rPr>
                <w:rFonts w:ascii="仿宋" w:hAnsi="仿宋" w:eastAsia="仿宋" w:cs="仿宋"/>
                <w:szCs w:val="21"/>
              </w:rPr>
            </w:pPr>
            <w:r>
              <w:rPr>
                <w:rFonts w:hint="eastAsia" w:ascii="仿宋" w:hAnsi="仿宋" w:eastAsia="仿宋" w:cs="仿宋"/>
                <w:szCs w:val="21"/>
              </w:rPr>
              <w:t>账号：</w:t>
            </w:r>
          </w:p>
        </w:tc>
        <w:tc>
          <w:tcPr>
            <w:tcW w:w="4750" w:type="dxa"/>
            <w:tcBorders>
              <w:top w:val="single" w:color="auto" w:sz="4" w:space="0"/>
              <w:left w:val="single" w:color="auto" w:sz="4" w:space="0"/>
              <w:bottom w:val="single" w:color="auto" w:sz="4" w:space="0"/>
              <w:right w:val="single" w:color="auto" w:sz="4" w:space="0"/>
            </w:tcBorders>
            <w:noWrap/>
            <w:vAlign w:val="center"/>
          </w:tcPr>
          <w:p w14:paraId="03A30EE9">
            <w:pPr>
              <w:snapToGrid w:val="0"/>
              <w:spacing w:line="360" w:lineRule="auto"/>
              <w:rPr>
                <w:rFonts w:ascii="仿宋" w:hAnsi="仿宋" w:eastAsia="仿宋" w:cs="仿宋"/>
                <w:szCs w:val="21"/>
              </w:rPr>
            </w:pPr>
            <w:r>
              <w:rPr>
                <w:rFonts w:hint="eastAsia" w:ascii="仿宋" w:hAnsi="仿宋" w:eastAsia="仿宋" w:cs="仿宋"/>
                <w:szCs w:val="21"/>
              </w:rPr>
              <w:t>账号：</w:t>
            </w:r>
          </w:p>
        </w:tc>
      </w:tr>
      <w:tr w14:paraId="03E3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749" w:type="dxa"/>
            <w:tcBorders>
              <w:top w:val="single" w:color="auto" w:sz="4" w:space="0"/>
              <w:left w:val="single" w:color="auto" w:sz="4" w:space="0"/>
              <w:bottom w:val="single" w:color="auto" w:sz="4" w:space="0"/>
              <w:right w:val="single" w:color="auto" w:sz="4" w:space="0"/>
            </w:tcBorders>
            <w:noWrap/>
            <w:vAlign w:val="center"/>
          </w:tcPr>
          <w:p w14:paraId="145EA5A4">
            <w:pPr>
              <w:snapToGrid w:val="0"/>
              <w:spacing w:line="360" w:lineRule="auto"/>
              <w:rPr>
                <w:rFonts w:ascii="仿宋" w:hAnsi="仿宋" w:eastAsia="仿宋" w:cs="仿宋"/>
                <w:szCs w:val="21"/>
              </w:rPr>
            </w:pPr>
            <w:r>
              <w:rPr>
                <w:rFonts w:hint="eastAsia" w:ascii="仿宋" w:hAnsi="仿宋" w:eastAsia="仿宋" w:cs="仿宋"/>
                <w:szCs w:val="21"/>
              </w:rPr>
              <w:t>邮政编码：</w:t>
            </w:r>
          </w:p>
        </w:tc>
        <w:tc>
          <w:tcPr>
            <w:tcW w:w="4750" w:type="dxa"/>
            <w:tcBorders>
              <w:top w:val="single" w:color="auto" w:sz="4" w:space="0"/>
              <w:left w:val="single" w:color="auto" w:sz="4" w:space="0"/>
              <w:bottom w:val="single" w:color="auto" w:sz="4" w:space="0"/>
              <w:right w:val="single" w:color="auto" w:sz="4" w:space="0"/>
            </w:tcBorders>
            <w:noWrap/>
            <w:vAlign w:val="center"/>
          </w:tcPr>
          <w:p w14:paraId="2D4F5A72">
            <w:pPr>
              <w:snapToGrid w:val="0"/>
              <w:spacing w:line="360" w:lineRule="auto"/>
              <w:rPr>
                <w:rFonts w:ascii="仿宋" w:hAnsi="仿宋" w:eastAsia="仿宋" w:cs="仿宋"/>
                <w:szCs w:val="21"/>
              </w:rPr>
            </w:pPr>
            <w:r>
              <w:rPr>
                <w:rFonts w:hint="eastAsia" w:ascii="仿宋" w:hAnsi="仿宋" w:eastAsia="仿宋" w:cs="仿宋"/>
                <w:szCs w:val="21"/>
              </w:rPr>
              <w:t>邮政编码：</w:t>
            </w:r>
          </w:p>
        </w:tc>
      </w:tr>
    </w:tbl>
    <w:p w14:paraId="41C4185F">
      <w:pPr>
        <w:spacing w:line="360" w:lineRule="auto"/>
        <w:ind w:left="720" w:firstLine="723" w:firstLineChars="200"/>
        <w:rPr>
          <w:rFonts w:hint="eastAsia" w:ascii="仿宋" w:hAnsi="仿宋" w:eastAsia="仿宋" w:cs="仿宋"/>
          <w:b/>
          <w:color w:val="auto"/>
          <w:sz w:val="36"/>
          <w:szCs w:val="20"/>
          <w:highlight w:val="none"/>
        </w:rPr>
        <w:sectPr>
          <w:pgSz w:w="11906" w:h="16838"/>
          <w:pgMar w:top="1440" w:right="1080" w:bottom="1440" w:left="1080" w:header="720" w:footer="720" w:gutter="0"/>
          <w:cols w:space="720" w:num="1"/>
          <w:docGrid w:type="lines" w:linePitch="331" w:charSpace="0"/>
        </w:sectPr>
      </w:pPr>
    </w:p>
    <w:p w14:paraId="36134CFA">
      <w:pPr>
        <w:pStyle w:val="13"/>
        <w:tabs>
          <w:tab w:val="left" w:pos="2472"/>
        </w:tabs>
        <w:spacing w:line="460" w:lineRule="exact"/>
        <w:jc w:val="center"/>
        <w:outlineLvl w:val="0"/>
        <w:rPr>
          <w:rFonts w:hint="eastAsia" w:ascii="仿宋" w:hAnsi="仿宋" w:eastAsia="仿宋" w:cs="仿宋"/>
          <w:b/>
          <w:color w:val="auto"/>
          <w:sz w:val="36"/>
          <w:highlight w:val="none"/>
        </w:rPr>
      </w:pPr>
      <w:bookmarkStart w:id="126" w:name="_Toc7255"/>
      <w:bookmarkStart w:id="127" w:name="_Toc26884"/>
      <w:r>
        <w:rPr>
          <w:rFonts w:hint="eastAsia" w:ascii="仿宋" w:hAnsi="仿宋" w:eastAsia="仿宋" w:cs="仿宋"/>
          <w:b/>
          <w:color w:val="auto"/>
          <w:sz w:val="36"/>
          <w:highlight w:val="none"/>
        </w:rPr>
        <w:t>第六章 投标文件格式</w:t>
      </w:r>
      <w:bookmarkEnd w:id="126"/>
      <w:bookmarkEnd w:id="127"/>
    </w:p>
    <w:p w14:paraId="52CDF283">
      <w:pPr>
        <w:pStyle w:val="13"/>
        <w:jc w:val="center"/>
        <w:rPr>
          <w:rFonts w:hint="eastAsia" w:ascii="仿宋" w:hAnsi="仿宋" w:eastAsia="仿宋" w:cs="仿宋"/>
          <w:b/>
          <w:bCs/>
          <w:color w:val="auto"/>
          <w:sz w:val="28"/>
          <w:szCs w:val="28"/>
          <w:highlight w:val="none"/>
        </w:rPr>
      </w:pPr>
      <w:bookmarkStart w:id="128" w:name="_Toc24486"/>
    </w:p>
    <w:p w14:paraId="0DC9FA79">
      <w:pPr>
        <w:pStyle w:val="13"/>
        <w:jc w:val="center"/>
        <w:outlineLvl w:val="1"/>
        <w:rPr>
          <w:rFonts w:hint="eastAsia" w:ascii="仿宋" w:hAnsi="仿宋" w:eastAsia="仿宋" w:cs="仿宋"/>
          <w:b/>
          <w:bCs/>
          <w:color w:val="auto"/>
          <w:sz w:val="28"/>
          <w:szCs w:val="28"/>
          <w:highlight w:val="none"/>
        </w:rPr>
      </w:pPr>
      <w:bookmarkStart w:id="129" w:name="_Toc17952"/>
      <w:r>
        <w:rPr>
          <w:rFonts w:hint="eastAsia" w:ascii="仿宋" w:hAnsi="仿宋" w:eastAsia="仿宋" w:cs="仿宋"/>
          <w:b/>
          <w:bCs/>
          <w:color w:val="auto"/>
          <w:sz w:val="28"/>
          <w:szCs w:val="28"/>
          <w:highlight w:val="none"/>
        </w:rPr>
        <w:t>第一节 资格证明文件格式</w:t>
      </w:r>
      <w:bookmarkEnd w:id="128"/>
      <w:bookmarkEnd w:id="129"/>
    </w:p>
    <w:p w14:paraId="0DAD4A7A">
      <w:pPr>
        <w:pStyle w:val="13"/>
        <w:spacing w:line="360" w:lineRule="auto"/>
        <w:ind w:firstLine="420"/>
        <w:rPr>
          <w:rFonts w:hint="eastAsia" w:ascii="仿宋" w:hAnsi="仿宋" w:eastAsia="仿宋" w:cs="仿宋"/>
          <w:color w:val="auto"/>
          <w:sz w:val="30"/>
          <w:highlight w:val="none"/>
        </w:rPr>
      </w:pPr>
    </w:p>
    <w:p w14:paraId="45FD9044">
      <w:pPr>
        <w:snapToGrid w:val="0"/>
        <w:spacing w:before="165" w:beforeLines="50" w:after="50"/>
        <w:jc w:val="right"/>
        <w:rPr>
          <w:rFonts w:hint="eastAsia" w:ascii="仿宋" w:hAnsi="仿宋" w:eastAsia="仿宋" w:cs="仿宋"/>
          <w:bCs/>
          <w:color w:val="auto"/>
          <w:sz w:val="32"/>
          <w:szCs w:val="20"/>
          <w:highlight w:val="none"/>
        </w:rPr>
      </w:pPr>
      <w:r>
        <w:rPr>
          <w:rFonts w:hint="eastAsia" w:ascii="仿宋" w:hAnsi="仿宋" w:eastAsia="仿宋" w:cs="仿宋"/>
          <w:bCs/>
          <w:color w:val="auto"/>
          <w:highlight w:val="none"/>
        </w:rPr>
        <w:t>电子投标文件</w:t>
      </w:r>
    </w:p>
    <w:p w14:paraId="01F0810F">
      <w:pPr>
        <w:snapToGrid w:val="0"/>
        <w:spacing w:before="165" w:beforeLines="50" w:after="50"/>
        <w:rPr>
          <w:rFonts w:hint="eastAsia" w:ascii="仿宋" w:hAnsi="仿宋" w:eastAsia="仿宋" w:cs="仿宋"/>
          <w:color w:val="auto"/>
          <w:sz w:val="24"/>
          <w:szCs w:val="20"/>
          <w:highlight w:val="none"/>
        </w:rPr>
      </w:pPr>
    </w:p>
    <w:p w14:paraId="137F8B19">
      <w:pPr>
        <w:snapToGrid w:val="0"/>
        <w:spacing w:before="165" w:beforeLines="50" w:after="50"/>
        <w:jc w:val="center"/>
        <w:rPr>
          <w:rFonts w:hint="eastAsia" w:ascii="仿宋" w:hAnsi="仿宋" w:eastAsia="仿宋" w:cs="仿宋"/>
          <w:b/>
          <w:color w:val="auto"/>
          <w:sz w:val="24"/>
          <w:szCs w:val="20"/>
          <w:highlight w:val="none"/>
        </w:rPr>
      </w:pPr>
      <w:r>
        <w:rPr>
          <w:rFonts w:hint="eastAsia" w:ascii="仿宋" w:hAnsi="仿宋" w:eastAsia="仿宋" w:cs="仿宋"/>
          <w:b/>
          <w:color w:val="auto"/>
          <w:sz w:val="32"/>
          <w:szCs w:val="32"/>
          <w:highlight w:val="none"/>
        </w:rPr>
        <w:t>资格证明文件（封面）</w:t>
      </w:r>
    </w:p>
    <w:p w14:paraId="69A7F487">
      <w:pPr>
        <w:snapToGrid w:val="0"/>
        <w:spacing w:before="165" w:beforeLines="50" w:after="50"/>
        <w:rPr>
          <w:rFonts w:hint="eastAsia" w:ascii="仿宋" w:hAnsi="仿宋" w:eastAsia="仿宋" w:cs="仿宋"/>
          <w:bCs/>
          <w:color w:val="auto"/>
          <w:sz w:val="24"/>
          <w:szCs w:val="20"/>
          <w:highlight w:val="none"/>
        </w:rPr>
      </w:pPr>
    </w:p>
    <w:p w14:paraId="2E153790">
      <w:pPr>
        <w:snapToGrid w:val="0"/>
        <w:spacing w:before="165" w:beforeLines="50" w:after="50"/>
        <w:rPr>
          <w:rFonts w:hint="eastAsia" w:ascii="仿宋" w:hAnsi="仿宋" w:eastAsia="仿宋" w:cs="仿宋"/>
          <w:bCs/>
          <w:color w:val="auto"/>
          <w:sz w:val="24"/>
          <w:szCs w:val="20"/>
          <w:highlight w:val="none"/>
        </w:rPr>
      </w:pPr>
    </w:p>
    <w:p w14:paraId="7D77F868">
      <w:pPr>
        <w:snapToGrid w:val="0"/>
        <w:spacing w:before="165" w:beforeLines="50" w:after="50"/>
        <w:rPr>
          <w:rFonts w:hint="eastAsia" w:ascii="仿宋" w:hAnsi="仿宋" w:eastAsia="仿宋" w:cs="仿宋"/>
          <w:bCs/>
          <w:color w:val="auto"/>
          <w:sz w:val="24"/>
          <w:szCs w:val="20"/>
          <w:highlight w:val="none"/>
        </w:rPr>
      </w:pPr>
    </w:p>
    <w:p w14:paraId="59F5E87F">
      <w:pPr>
        <w:snapToGrid w:val="0"/>
        <w:spacing w:before="165" w:beforeLines="50" w:after="50"/>
        <w:rPr>
          <w:rFonts w:hint="eastAsia" w:ascii="仿宋" w:hAnsi="仿宋" w:eastAsia="仿宋" w:cs="仿宋"/>
          <w:bCs/>
          <w:color w:val="auto"/>
          <w:sz w:val="24"/>
          <w:szCs w:val="20"/>
          <w:highlight w:val="none"/>
        </w:rPr>
      </w:pPr>
    </w:p>
    <w:p w14:paraId="1567145F">
      <w:pPr>
        <w:snapToGrid w:val="0"/>
        <w:spacing w:before="165" w:beforeLines="50" w:after="50"/>
        <w:rPr>
          <w:rFonts w:hint="eastAsia" w:ascii="仿宋" w:hAnsi="仿宋" w:eastAsia="仿宋" w:cs="仿宋"/>
          <w:bCs/>
          <w:color w:val="auto"/>
          <w:sz w:val="24"/>
          <w:szCs w:val="20"/>
          <w:highlight w:val="none"/>
        </w:rPr>
      </w:pPr>
    </w:p>
    <w:p w14:paraId="4B9BE570">
      <w:pPr>
        <w:snapToGrid w:val="0"/>
        <w:spacing w:before="165" w:beforeLines="50" w:after="50"/>
        <w:rPr>
          <w:rFonts w:hint="eastAsia" w:ascii="仿宋" w:hAnsi="仿宋" w:eastAsia="仿宋" w:cs="仿宋"/>
          <w:bCs/>
          <w:color w:val="auto"/>
          <w:sz w:val="24"/>
          <w:szCs w:val="20"/>
          <w:highlight w:val="none"/>
        </w:rPr>
      </w:pPr>
    </w:p>
    <w:p w14:paraId="108E2F75">
      <w:pPr>
        <w:snapToGrid w:val="0"/>
        <w:spacing w:before="165" w:beforeLines="50" w:after="50"/>
        <w:rPr>
          <w:rFonts w:hint="eastAsia" w:ascii="仿宋" w:hAnsi="仿宋" w:eastAsia="仿宋" w:cs="仿宋"/>
          <w:bCs/>
          <w:color w:val="auto"/>
          <w:sz w:val="24"/>
          <w:szCs w:val="20"/>
          <w:highlight w:val="none"/>
        </w:rPr>
      </w:pPr>
    </w:p>
    <w:p w14:paraId="0186E19B">
      <w:pPr>
        <w:snapToGrid w:val="0"/>
        <w:spacing w:before="165" w:beforeLines="50" w:after="50"/>
        <w:ind w:firstLine="540" w:firstLineChars="225"/>
        <w:rPr>
          <w:rFonts w:hint="eastAsia" w:ascii="仿宋" w:hAnsi="仿宋" w:eastAsia="仿宋" w:cs="仿宋"/>
          <w:bCs/>
          <w:color w:val="auto"/>
          <w:sz w:val="24"/>
          <w:szCs w:val="20"/>
          <w:highlight w:val="none"/>
        </w:rPr>
      </w:pPr>
      <w:r>
        <w:rPr>
          <w:rFonts w:hint="eastAsia" w:ascii="仿宋" w:hAnsi="仿宋" w:eastAsia="仿宋" w:cs="仿宋"/>
          <w:bCs/>
          <w:color w:val="auto"/>
          <w:sz w:val="24"/>
          <w:highlight w:val="none"/>
        </w:rPr>
        <w:t>项目名称：</w:t>
      </w:r>
    </w:p>
    <w:p w14:paraId="24EC51D6">
      <w:pPr>
        <w:snapToGrid w:val="0"/>
        <w:spacing w:before="165" w:beforeLines="50" w:after="50"/>
        <w:ind w:firstLine="540" w:firstLineChars="225"/>
        <w:rPr>
          <w:rFonts w:hint="eastAsia" w:ascii="仿宋" w:hAnsi="仿宋" w:eastAsia="仿宋" w:cs="仿宋"/>
          <w:bCs/>
          <w:color w:val="auto"/>
          <w:sz w:val="24"/>
          <w:highlight w:val="none"/>
        </w:rPr>
      </w:pPr>
    </w:p>
    <w:p w14:paraId="0EDEFD66">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2ABC7CF5">
      <w:pPr>
        <w:snapToGrid w:val="0"/>
        <w:spacing w:before="165" w:beforeLines="50" w:after="50"/>
        <w:ind w:firstLine="540" w:firstLineChars="225"/>
        <w:rPr>
          <w:rFonts w:hint="eastAsia" w:ascii="仿宋" w:hAnsi="仿宋" w:eastAsia="仿宋" w:cs="仿宋"/>
          <w:bCs/>
          <w:color w:val="auto"/>
          <w:sz w:val="24"/>
          <w:highlight w:val="none"/>
        </w:rPr>
      </w:pPr>
    </w:p>
    <w:p w14:paraId="41C055D4">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37865896">
      <w:pPr>
        <w:snapToGrid w:val="0"/>
        <w:spacing w:before="165" w:beforeLines="50" w:after="50"/>
        <w:ind w:firstLine="540" w:firstLineChars="225"/>
        <w:rPr>
          <w:rFonts w:hint="eastAsia" w:ascii="仿宋" w:hAnsi="仿宋" w:eastAsia="仿宋" w:cs="仿宋"/>
          <w:bCs/>
          <w:color w:val="auto"/>
          <w:sz w:val="24"/>
          <w:highlight w:val="none"/>
        </w:rPr>
      </w:pPr>
    </w:p>
    <w:p w14:paraId="0810D9F7">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35F9B1C2">
      <w:pPr>
        <w:snapToGrid w:val="0"/>
        <w:spacing w:before="165" w:beforeLines="50" w:after="50"/>
        <w:ind w:firstLine="540" w:firstLineChars="225"/>
        <w:rPr>
          <w:rFonts w:hint="eastAsia" w:ascii="仿宋" w:hAnsi="仿宋" w:eastAsia="仿宋" w:cs="仿宋"/>
          <w:bCs/>
          <w:color w:val="auto"/>
          <w:sz w:val="24"/>
          <w:highlight w:val="none"/>
        </w:rPr>
      </w:pPr>
    </w:p>
    <w:p w14:paraId="288A30D5">
      <w:pPr>
        <w:pStyle w:val="7"/>
        <w:snapToGrid w:val="0"/>
        <w:spacing w:before="50" w:after="50"/>
        <w:ind w:firstLine="540" w:firstLineChars="22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投标人地址：</w:t>
      </w:r>
    </w:p>
    <w:p w14:paraId="7A46F894">
      <w:pPr>
        <w:pStyle w:val="7"/>
        <w:snapToGrid w:val="0"/>
        <w:spacing w:before="50" w:after="50"/>
        <w:ind w:firstLine="960" w:firstLineChars="400"/>
        <w:rPr>
          <w:rFonts w:hint="eastAsia" w:ascii="仿宋" w:hAnsi="仿宋" w:eastAsia="仿宋" w:cs="仿宋"/>
          <w:bCs/>
          <w:color w:val="auto"/>
          <w:sz w:val="24"/>
          <w:szCs w:val="24"/>
          <w:highlight w:val="none"/>
        </w:rPr>
      </w:pPr>
    </w:p>
    <w:p w14:paraId="7CEDC901">
      <w:pPr>
        <w:snapToGrid w:val="0"/>
        <w:spacing w:before="165" w:beforeLines="50" w:after="50"/>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691CEC7">
      <w:pPr>
        <w:widowControl/>
        <w:spacing w:line="360" w:lineRule="auto"/>
        <w:jc w:val="left"/>
        <w:rPr>
          <w:rFonts w:hint="eastAsia" w:ascii="仿宋" w:hAnsi="仿宋" w:eastAsia="仿宋" w:cs="仿宋"/>
          <w:color w:val="auto"/>
          <w:sz w:val="30"/>
          <w:szCs w:val="20"/>
          <w:highlight w:val="none"/>
        </w:rPr>
        <w:sectPr>
          <w:pgSz w:w="11906" w:h="16838"/>
          <w:pgMar w:top="1440" w:right="1080" w:bottom="1440" w:left="1080" w:header="720" w:footer="720" w:gutter="0"/>
          <w:cols w:space="720" w:num="1"/>
          <w:docGrid w:type="lines" w:linePitch="331" w:charSpace="0"/>
        </w:sectPr>
      </w:pPr>
    </w:p>
    <w:p w14:paraId="313C4EE8">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资格证明文件目录</w:t>
      </w:r>
    </w:p>
    <w:p w14:paraId="46D47165">
      <w:pPr>
        <w:snapToGrid w:val="0"/>
        <w:spacing w:line="360" w:lineRule="auto"/>
        <w:rPr>
          <w:rFonts w:hint="eastAsia" w:ascii="仿宋" w:hAnsi="仿宋" w:eastAsia="仿宋" w:cs="仿宋"/>
          <w:color w:val="auto"/>
          <w:kern w:val="0"/>
          <w:sz w:val="24"/>
          <w:highlight w:val="none"/>
        </w:rPr>
      </w:pPr>
    </w:p>
    <w:p w14:paraId="06F7013A">
      <w:pPr>
        <w:snapToGrid w:val="0"/>
        <w:spacing w:before="50" w:after="165" w:afterLines="50" w:line="360" w:lineRule="auto"/>
        <w:jc w:val="center"/>
        <w:rPr>
          <w:rFonts w:hint="eastAsia" w:ascii="仿宋" w:hAnsi="仿宋" w:eastAsia="仿宋" w:cs="仿宋"/>
          <w:b/>
          <w:color w:val="auto"/>
          <w:sz w:val="24"/>
          <w:highlight w:val="none"/>
        </w:rPr>
      </w:pPr>
      <w:r>
        <w:rPr>
          <w:rFonts w:hint="eastAsia" w:ascii="仿宋" w:hAnsi="仿宋" w:eastAsia="仿宋" w:cs="仿宋"/>
          <w:color w:val="auto"/>
          <w:szCs w:val="21"/>
          <w:highlight w:val="none"/>
        </w:rPr>
        <w:t>根据招标文件规定及投标人提供的材料自行编写目录。</w:t>
      </w:r>
    </w:p>
    <w:p w14:paraId="01B5D278">
      <w:pPr>
        <w:widowControl/>
        <w:spacing w:line="360" w:lineRule="auto"/>
        <w:jc w:val="left"/>
        <w:rPr>
          <w:rFonts w:hint="eastAsia" w:ascii="仿宋" w:hAnsi="仿宋" w:eastAsia="仿宋" w:cs="仿宋"/>
          <w:color w:val="auto"/>
          <w:sz w:val="30"/>
          <w:szCs w:val="20"/>
          <w:highlight w:val="none"/>
        </w:rPr>
        <w:sectPr>
          <w:pgSz w:w="11906" w:h="16838"/>
          <w:pgMar w:top="1440" w:right="1080" w:bottom="1440" w:left="1080" w:header="720" w:footer="720" w:gutter="0"/>
          <w:cols w:space="720" w:num="1"/>
          <w:docGrid w:type="lines" w:linePitch="331" w:charSpace="0"/>
        </w:sectPr>
      </w:pPr>
    </w:p>
    <w:p w14:paraId="3E19856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lang w:val="zh-CN"/>
        </w:rPr>
        <w:t>一、</w:t>
      </w:r>
      <w:r>
        <w:rPr>
          <w:rFonts w:hint="eastAsia" w:ascii="仿宋" w:hAnsi="仿宋" w:eastAsia="仿宋" w:cs="仿宋"/>
          <w:b/>
          <w:color w:val="auto"/>
          <w:sz w:val="24"/>
          <w:highlight w:val="none"/>
        </w:rPr>
        <w:t>投标人为法人或者其他组织的，提供营业执照等证明文件（如营业执照或者事业单位法人证书或者执业许可证等），投标人为自然人的，提供身份证原件扫描件。（必须提供，否则作无效投标处理）</w:t>
      </w:r>
    </w:p>
    <w:p w14:paraId="1EF7FF3B">
      <w:pPr>
        <w:spacing w:line="360" w:lineRule="auto"/>
        <w:rPr>
          <w:rFonts w:hint="eastAsia" w:ascii="仿宋" w:hAnsi="仿宋" w:eastAsia="仿宋" w:cs="仿宋"/>
          <w:b/>
          <w:color w:val="auto"/>
          <w:sz w:val="30"/>
          <w:szCs w:val="30"/>
          <w:highlight w:val="none"/>
        </w:rPr>
      </w:pPr>
    </w:p>
    <w:p w14:paraId="10DE9F68">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投标人名称(电子签章)：                              </w:t>
      </w:r>
    </w:p>
    <w:p w14:paraId="7C01FC65">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日期：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年  月</w:t>
      </w:r>
      <w:r>
        <w:rPr>
          <w:rFonts w:hint="eastAsia" w:ascii="仿宋" w:hAnsi="仿宋" w:eastAsia="仿宋" w:cs="仿宋"/>
          <w:color w:val="auto"/>
          <w:kern w:val="0"/>
          <w:sz w:val="24"/>
          <w:highlight w:val="none"/>
        </w:rPr>
        <w:t xml:space="preserve">   日</w:t>
      </w:r>
    </w:p>
    <w:p w14:paraId="1EDCA2F0">
      <w:pPr>
        <w:spacing w:line="360" w:lineRule="auto"/>
        <w:jc w:val="center"/>
        <w:rPr>
          <w:rFonts w:hint="eastAsia" w:ascii="仿宋" w:hAnsi="仿宋" w:eastAsia="仿宋" w:cs="仿宋"/>
          <w:b/>
          <w:color w:val="auto"/>
          <w:sz w:val="30"/>
          <w:szCs w:val="30"/>
          <w:highlight w:val="none"/>
        </w:rPr>
      </w:pPr>
    </w:p>
    <w:p w14:paraId="702E6DCB">
      <w:pPr>
        <w:snapToGrid w:val="0"/>
        <w:spacing w:line="360" w:lineRule="auto"/>
        <w:ind w:right="480"/>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二、</w:t>
      </w:r>
      <w:r>
        <w:rPr>
          <w:rFonts w:hint="eastAsia" w:ascii="仿宋" w:hAnsi="仿宋" w:eastAsia="仿宋" w:cs="仿宋"/>
          <w:b/>
          <w:color w:val="auto"/>
          <w:kern w:val="0"/>
          <w:sz w:val="24"/>
          <w:highlight w:val="none"/>
        </w:rPr>
        <w:t>投标人依法缴纳税收的相关材料：</w:t>
      </w:r>
      <w:r>
        <w:rPr>
          <w:rFonts w:hint="eastAsia" w:ascii="仿宋" w:hAnsi="仿宋" w:eastAsia="仿宋" w:cs="仿宋"/>
          <w:b/>
          <w:color w:val="auto"/>
          <w:kern w:val="0"/>
          <w:sz w:val="24"/>
          <w:highlight w:val="none"/>
          <w:lang w:eastAsia="zh-CN"/>
        </w:rPr>
        <w:t>投标截止之日前半年</w:t>
      </w:r>
      <w:r>
        <w:rPr>
          <w:rFonts w:hint="eastAsia" w:ascii="仿宋" w:hAnsi="仿宋" w:eastAsia="仿宋" w:cs="仿宋"/>
          <w:b/>
          <w:color w:val="auto"/>
          <w:kern w:val="0"/>
          <w:sz w:val="24"/>
          <w:highlight w:val="none"/>
        </w:rPr>
        <w:t>内任意连续3个月的依法缴纳税收的凭据原件扫描件；依法免税的供应商，必须提供相应文件证明其依法免税。从取得营业执照时间起到投标文件提交截止时间为止不足要求月数的，只需提供从取得营业执照起的依法缴纳税收相应证明文件）；（必须提供，否则作无效投标处理）</w:t>
      </w:r>
    </w:p>
    <w:p w14:paraId="0F9E09B3">
      <w:pPr>
        <w:snapToGrid w:val="0"/>
        <w:spacing w:line="360" w:lineRule="auto"/>
        <w:ind w:firstLine="480" w:firstLineChars="200"/>
        <w:rPr>
          <w:rFonts w:hint="eastAsia" w:ascii="仿宋" w:hAnsi="仿宋" w:eastAsia="仿宋" w:cs="仿宋"/>
          <w:color w:val="auto"/>
          <w:sz w:val="24"/>
          <w:highlight w:val="none"/>
        </w:rPr>
      </w:pPr>
    </w:p>
    <w:p w14:paraId="4E837D01">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6EC78605">
      <w:pPr>
        <w:snapToGrid w:val="0"/>
        <w:spacing w:line="360" w:lineRule="auto"/>
        <w:ind w:firstLine="7080" w:firstLineChars="29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22A247D">
      <w:pPr>
        <w:snapToGrid w:val="0"/>
        <w:spacing w:line="360" w:lineRule="auto"/>
        <w:ind w:right="480"/>
        <w:jc w:val="center"/>
        <w:rPr>
          <w:rFonts w:hint="eastAsia" w:ascii="仿宋" w:hAnsi="仿宋" w:eastAsia="仿宋" w:cs="仿宋"/>
          <w:b/>
          <w:color w:val="auto"/>
          <w:kern w:val="0"/>
          <w:sz w:val="24"/>
          <w:highlight w:val="none"/>
        </w:rPr>
      </w:pPr>
    </w:p>
    <w:p w14:paraId="412FF8DD">
      <w:pPr>
        <w:snapToGrid w:val="0"/>
        <w:spacing w:line="360" w:lineRule="auto"/>
        <w:ind w:right="48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三、投标人依法缴纳社会保障资金的相关材料</w:t>
      </w:r>
      <w:r>
        <w:rPr>
          <w:rFonts w:hint="eastAsia" w:ascii="仿宋" w:hAnsi="仿宋" w:eastAsia="仿宋" w:cs="仿宋"/>
          <w:b/>
          <w:color w:val="auto"/>
          <w:kern w:val="0"/>
          <w:sz w:val="24"/>
          <w:highlight w:val="none"/>
          <w:lang w:eastAsia="zh-CN"/>
        </w:rPr>
        <w:t>投标截止之日前半年</w:t>
      </w:r>
      <w:r>
        <w:rPr>
          <w:rFonts w:hint="eastAsia" w:ascii="仿宋" w:hAnsi="仿宋" w:eastAsia="仿宋" w:cs="仿宋"/>
          <w:b/>
          <w:color w:val="auto"/>
          <w:kern w:val="0"/>
          <w:sz w:val="24"/>
          <w:highlight w:val="none"/>
        </w:rPr>
        <w:t>内任意连续3个月的依法缴纳社会保障资金的缴费凭证（专用收据或者社会保险缴纳清单）原件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必须提供，否则作无效投标处理）</w:t>
      </w:r>
    </w:p>
    <w:p w14:paraId="2290C03F">
      <w:pPr>
        <w:snapToGrid w:val="0"/>
        <w:spacing w:line="360" w:lineRule="auto"/>
        <w:ind w:firstLine="480" w:firstLineChars="200"/>
        <w:rPr>
          <w:rFonts w:hint="eastAsia" w:ascii="仿宋" w:hAnsi="仿宋" w:eastAsia="仿宋" w:cs="仿宋"/>
          <w:color w:val="auto"/>
          <w:sz w:val="24"/>
          <w:highlight w:val="none"/>
        </w:rPr>
      </w:pPr>
    </w:p>
    <w:p w14:paraId="0F9EC672">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0C28DD8E">
      <w:pPr>
        <w:snapToGrid w:val="0"/>
        <w:spacing w:line="360" w:lineRule="auto"/>
        <w:ind w:firstLine="7080" w:firstLineChars="29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50711D5">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634E7351">
      <w:pPr>
        <w:snapToGrid w:val="0"/>
        <w:spacing w:line="360" w:lineRule="auto"/>
        <w:ind w:firstLine="5160" w:firstLineChars="2150"/>
        <w:rPr>
          <w:rFonts w:hint="eastAsia" w:ascii="仿宋" w:hAnsi="仿宋" w:eastAsia="仿宋" w:cs="仿宋"/>
          <w:color w:val="auto"/>
          <w:kern w:val="0"/>
          <w:sz w:val="24"/>
          <w:highlight w:val="none"/>
          <w:lang w:val="zh-CN"/>
        </w:rPr>
      </w:pPr>
    </w:p>
    <w:p w14:paraId="3E118260">
      <w:pPr>
        <w:snapToGrid w:val="0"/>
        <w:spacing w:line="360" w:lineRule="auto"/>
        <w:ind w:right="480"/>
        <w:jc w:val="center"/>
        <w:rPr>
          <w:rFonts w:hint="eastAsia" w:ascii="仿宋" w:hAnsi="仿宋" w:eastAsia="仿宋" w:cs="仿宋"/>
          <w:b/>
          <w:color w:val="auto"/>
          <w:kern w:val="0"/>
          <w:sz w:val="32"/>
          <w:szCs w:val="32"/>
          <w:highlight w:val="none"/>
          <w:lang w:val="zh-CN"/>
        </w:rPr>
      </w:pPr>
    </w:p>
    <w:p w14:paraId="6A03FB65">
      <w:pPr>
        <w:snapToGrid w:val="0"/>
        <w:spacing w:line="360" w:lineRule="auto"/>
        <w:ind w:right="48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32"/>
          <w:szCs w:val="32"/>
          <w:highlight w:val="none"/>
        </w:rPr>
        <w:br w:type="page"/>
      </w:r>
    </w:p>
    <w:p w14:paraId="59FC179F">
      <w:pPr>
        <w:snapToGrid w:val="0"/>
        <w:spacing w:line="360" w:lineRule="auto"/>
        <w:ind w:right="48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四、投标人财务状况报告：</w:t>
      </w:r>
      <w:r>
        <w:rPr>
          <w:rFonts w:hint="eastAsia" w:ascii="仿宋" w:hAnsi="仿宋" w:eastAsia="仿宋" w:cs="仿宋"/>
          <w:b/>
          <w:color w:val="auto"/>
          <w:kern w:val="0"/>
          <w:sz w:val="24"/>
          <w:highlight w:val="none"/>
          <w:lang w:val="en-US" w:eastAsia="zh-CN"/>
        </w:rPr>
        <w:t>2024年度或2025年度</w:t>
      </w:r>
      <w:r>
        <w:rPr>
          <w:rFonts w:hint="eastAsia" w:ascii="仿宋" w:hAnsi="仿宋" w:eastAsia="仿宋" w:cs="仿宋"/>
          <w:b/>
          <w:color w:val="auto"/>
          <w:kern w:val="0"/>
          <w:sz w:val="24"/>
          <w:highlight w:val="none"/>
        </w:rPr>
        <w:t>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必须提供，否则作无效投标处理）</w:t>
      </w:r>
    </w:p>
    <w:p w14:paraId="23B9EFAA">
      <w:pPr>
        <w:snapToGrid w:val="0"/>
        <w:spacing w:line="360" w:lineRule="auto"/>
        <w:ind w:firstLine="5040" w:firstLineChars="2100"/>
        <w:rPr>
          <w:rFonts w:hint="eastAsia" w:ascii="仿宋" w:hAnsi="仿宋" w:eastAsia="仿宋" w:cs="仿宋"/>
          <w:color w:val="auto"/>
          <w:kern w:val="0"/>
          <w:sz w:val="24"/>
          <w:highlight w:val="none"/>
          <w:lang w:val="zh-CN"/>
        </w:rPr>
      </w:pPr>
    </w:p>
    <w:p w14:paraId="1D95DAE3">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00D11FAE">
      <w:pPr>
        <w:snapToGrid w:val="0"/>
        <w:spacing w:line="360" w:lineRule="auto"/>
        <w:ind w:firstLine="7080" w:firstLineChars="29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117CA97D">
      <w:pPr>
        <w:snapToGrid w:val="0"/>
        <w:spacing w:before="50" w:after="165" w:afterLines="50" w:line="360" w:lineRule="auto"/>
        <w:jc w:val="center"/>
        <w:rPr>
          <w:rFonts w:hint="eastAsia" w:ascii="仿宋" w:hAnsi="仿宋" w:eastAsia="仿宋" w:cs="仿宋"/>
          <w:b/>
          <w:color w:val="auto"/>
          <w:kern w:val="0"/>
          <w:sz w:val="32"/>
          <w:szCs w:val="32"/>
          <w:highlight w:val="none"/>
        </w:rPr>
      </w:pPr>
    </w:p>
    <w:p w14:paraId="6514004C">
      <w:pPr>
        <w:snapToGrid w:val="0"/>
        <w:spacing w:before="50" w:after="165" w:afterLines="50" w:line="360" w:lineRule="auto"/>
        <w:jc w:val="center"/>
        <w:rPr>
          <w:rFonts w:hint="eastAsia" w:ascii="仿宋" w:hAnsi="仿宋" w:eastAsia="仿宋" w:cs="仿宋"/>
          <w:b/>
          <w:color w:val="auto"/>
          <w:kern w:val="0"/>
          <w:sz w:val="32"/>
          <w:szCs w:val="32"/>
          <w:highlight w:val="none"/>
        </w:rPr>
        <w:sectPr>
          <w:pgSz w:w="11906" w:h="16838"/>
          <w:pgMar w:top="1440" w:right="1080" w:bottom="1440" w:left="1080" w:header="720" w:footer="720" w:gutter="0"/>
          <w:cols w:space="720" w:num="1"/>
          <w:docGrid w:type="lines" w:linePitch="331" w:charSpace="0"/>
        </w:sectPr>
      </w:pPr>
    </w:p>
    <w:p w14:paraId="3FECEBDE">
      <w:pPr>
        <w:snapToGrid w:val="0"/>
        <w:spacing w:before="50" w:after="165" w:afterLines="50"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五、投标人直接控股、管理关系信息表。（必须提供，否则作无效投标处理）</w:t>
      </w:r>
    </w:p>
    <w:p w14:paraId="7342BCE0">
      <w:pPr>
        <w:snapToGrid w:val="0"/>
        <w:spacing w:before="50" w:after="165" w:afterLines="50"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投标人直接控股股东信息表</w:t>
      </w:r>
    </w:p>
    <w:tbl>
      <w:tblPr>
        <w:tblStyle w:val="20"/>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8D476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E5108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500223">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9B4BF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DF5058">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1AE19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B22BA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377F6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FF3A7">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94B26C">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774606">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162171">
            <w:pPr>
              <w:spacing w:line="360" w:lineRule="auto"/>
              <w:jc w:val="center"/>
              <w:rPr>
                <w:rFonts w:hint="eastAsia" w:ascii="仿宋" w:hAnsi="仿宋" w:eastAsia="仿宋" w:cs="仿宋"/>
                <w:color w:val="auto"/>
                <w:kern w:val="0"/>
                <w:sz w:val="24"/>
                <w:highlight w:val="none"/>
              </w:rPr>
            </w:pPr>
          </w:p>
        </w:tc>
      </w:tr>
      <w:tr w14:paraId="787ED39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D4151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566598">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A10EBC">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5D7BAA">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118E4A">
            <w:pPr>
              <w:spacing w:line="360" w:lineRule="auto"/>
              <w:jc w:val="center"/>
              <w:rPr>
                <w:rFonts w:hint="eastAsia" w:ascii="仿宋" w:hAnsi="仿宋" w:eastAsia="仿宋" w:cs="仿宋"/>
                <w:color w:val="auto"/>
                <w:kern w:val="0"/>
                <w:sz w:val="24"/>
                <w:highlight w:val="none"/>
              </w:rPr>
            </w:pPr>
          </w:p>
        </w:tc>
      </w:tr>
      <w:tr w14:paraId="722D4B5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6CD0E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EBD605">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CA28AA">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1754D2">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D751E1">
            <w:pPr>
              <w:spacing w:line="360" w:lineRule="auto"/>
              <w:jc w:val="center"/>
              <w:rPr>
                <w:rFonts w:hint="eastAsia" w:ascii="仿宋" w:hAnsi="仿宋" w:eastAsia="仿宋" w:cs="仿宋"/>
                <w:color w:val="auto"/>
                <w:kern w:val="0"/>
                <w:sz w:val="24"/>
                <w:highlight w:val="none"/>
              </w:rPr>
            </w:pPr>
          </w:p>
        </w:tc>
      </w:tr>
      <w:tr w14:paraId="1AAB742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161B3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E6B33C">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60D90">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2500D9">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F3F23">
            <w:pPr>
              <w:spacing w:line="360" w:lineRule="auto"/>
              <w:jc w:val="center"/>
              <w:rPr>
                <w:rFonts w:hint="eastAsia" w:ascii="仿宋" w:hAnsi="仿宋" w:eastAsia="仿宋" w:cs="仿宋"/>
                <w:color w:val="auto"/>
                <w:kern w:val="0"/>
                <w:sz w:val="24"/>
                <w:highlight w:val="none"/>
              </w:rPr>
            </w:pPr>
          </w:p>
        </w:tc>
      </w:tr>
    </w:tbl>
    <w:p w14:paraId="62874108">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547252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93FE7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2C86F5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6F4C468C">
      <w:pPr>
        <w:snapToGrid w:val="0"/>
        <w:spacing w:line="360" w:lineRule="auto"/>
        <w:jc w:val="left"/>
        <w:rPr>
          <w:rFonts w:hint="eastAsia" w:ascii="仿宋" w:hAnsi="仿宋" w:eastAsia="仿宋" w:cs="仿宋"/>
          <w:color w:val="auto"/>
          <w:sz w:val="24"/>
          <w:highlight w:val="none"/>
        </w:rPr>
      </w:pPr>
    </w:p>
    <w:p w14:paraId="3C0AEBB2">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0AF12030">
      <w:pPr>
        <w:snapToGrid w:val="0"/>
        <w:spacing w:line="360" w:lineRule="auto"/>
        <w:ind w:firstLine="7080" w:firstLineChars="29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4745D7F4">
      <w:pPr>
        <w:snapToGrid w:val="0"/>
        <w:spacing w:line="360" w:lineRule="auto"/>
        <w:jc w:val="both"/>
        <w:rPr>
          <w:rFonts w:hint="eastAsia" w:ascii="仿宋" w:hAnsi="仿宋" w:eastAsia="仿宋" w:cs="仿宋"/>
          <w:b/>
          <w:color w:val="auto"/>
          <w:sz w:val="32"/>
          <w:szCs w:val="32"/>
          <w:highlight w:val="none"/>
        </w:rPr>
      </w:pPr>
    </w:p>
    <w:p w14:paraId="0FEC5DC0">
      <w:pPr>
        <w:snapToGrid w:val="0"/>
        <w:spacing w:line="360" w:lineRule="auto"/>
        <w:jc w:val="center"/>
        <w:rPr>
          <w:rFonts w:hint="eastAsia" w:ascii="仿宋" w:hAnsi="仿宋" w:eastAsia="仿宋" w:cs="仿宋"/>
          <w:b/>
          <w:color w:val="auto"/>
          <w:sz w:val="32"/>
          <w:szCs w:val="32"/>
          <w:highlight w:val="none"/>
        </w:rPr>
        <w:sectPr>
          <w:pgSz w:w="11906" w:h="16838"/>
          <w:pgMar w:top="1440" w:right="1080" w:bottom="1440" w:left="1080" w:header="720" w:footer="720" w:gutter="0"/>
          <w:cols w:space="720" w:num="1"/>
          <w:docGrid w:type="lines" w:linePitch="331" w:charSpace="0"/>
        </w:sectPr>
      </w:pPr>
    </w:p>
    <w:p w14:paraId="36A6DF1C">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投标人直接管理关系信息表</w:t>
      </w:r>
    </w:p>
    <w:tbl>
      <w:tblPr>
        <w:tblStyle w:val="20"/>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53398F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2CB2E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4B612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F3499F">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94A13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F1291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E893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56CFA">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6DC8F">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EC936E">
            <w:pPr>
              <w:spacing w:line="360" w:lineRule="auto"/>
              <w:jc w:val="center"/>
              <w:rPr>
                <w:rFonts w:hint="eastAsia" w:ascii="仿宋" w:hAnsi="仿宋" w:eastAsia="仿宋" w:cs="仿宋"/>
                <w:color w:val="auto"/>
                <w:kern w:val="0"/>
                <w:sz w:val="24"/>
                <w:highlight w:val="none"/>
              </w:rPr>
            </w:pPr>
          </w:p>
        </w:tc>
      </w:tr>
      <w:tr w14:paraId="7DEAF2A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609D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8D3D15">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F2B2A2">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13B7A7">
            <w:pPr>
              <w:spacing w:line="360" w:lineRule="auto"/>
              <w:jc w:val="center"/>
              <w:rPr>
                <w:rFonts w:hint="eastAsia" w:ascii="仿宋" w:hAnsi="仿宋" w:eastAsia="仿宋" w:cs="仿宋"/>
                <w:color w:val="auto"/>
                <w:kern w:val="0"/>
                <w:sz w:val="24"/>
                <w:highlight w:val="none"/>
              </w:rPr>
            </w:pPr>
          </w:p>
        </w:tc>
      </w:tr>
      <w:tr w14:paraId="3DD06B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5391D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B43852">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ABD2BE">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C0D19">
            <w:pPr>
              <w:spacing w:line="360" w:lineRule="auto"/>
              <w:jc w:val="center"/>
              <w:rPr>
                <w:rFonts w:hint="eastAsia" w:ascii="仿宋" w:hAnsi="仿宋" w:eastAsia="仿宋" w:cs="仿宋"/>
                <w:color w:val="auto"/>
                <w:kern w:val="0"/>
                <w:sz w:val="24"/>
                <w:highlight w:val="none"/>
              </w:rPr>
            </w:pPr>
          </w:p>
        </w:tc>
      </w:tr>
      <w:tr w14:paraId="16125B1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30C8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67A5FA">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7F7D6A">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AD84C9">
            <w:pPr>
              <w:spacing w:line="360" w:lineRule="auto"/>
              <w:jc w:val="center"/>
              <w:rPr>
                <w:rFonts w:hint="eastAsia" w:ascii="仿宋" w:hAnsi="仿宋" w:eastAsia="仿宋" w:cs="仿宋"/>
                <w:color w:val="auto"/>
                <w:kern w:val="0"/>
                <w:sz w:val="24"/>
                <w:highlight w:val="none"/>
              </w:rPr>
            </w:pPr>
          </w:p>
        </w:tc>
      </w:tr>
    </w:tbl>
    <w:p w14:paraId="295C4CE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9B16E72">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570F553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713AD33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62B63B72">
      <w:pPr>
        <w:snapToGrid w:val="0"/>
        <w:spacing w:line="360" w:lineRule="auto"/>
        <w:jc w:val="left"/>
        <w:rPr>
          <w:rFonts w:hint="eastAsia" w:ascii="仿宋" w:hAnsi="仿宋" w:eastAsia="仿宋" w:cs="仿宋"/>
          <w:color w:val="auto"/>
          <w:sz w:val="24"/>
          <w:highlight w:val="none"/>
        </w:rPr>
      </w:pPr>
    </w:p>
    <w:p w14:paraId="31385624">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12E677D7">
      <w:pPr>
        <w:snapToGrid w:val="0"/>
        <w:spacing w:line="360" w:lineRule="auto"/>
        <w:ind w:firstLine="7080" w:firstLineChars="295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B9339E8">
      <w:pPr>
        <w:snapToGrid w:val="0"/>
        <w:spacing w:before="50" w:after="165" w:afterLines="50"/>
        <w:jc w:val="center"/>
        <w:rPr>
          <w:rFonts w:hint="eastAsia" w:ascii="仿宋" w:hAnsi="仿宋" w:eastAsia="仿宋" w:cs="仿宋"/>
          <w:b/>
          <w:color w:val="auto"/>
          <w:sz w:val="32"/>
          <w:szCs w:val="32"/>
          <w:highlight w:val="none"/>
        </w:rPr>
      </w:pPr>
    </w:p>
    <w:p w14:paraId="71FA4BAB">
      <w:pPr>
        <w:snapToGrid w:val="0"/>
        <w:spacing w:before="50" w:after="165" w:afterLines="50"/>
        <w:jc w:val="center"/>
        <w:rPr>
          <w:rFonts w:hint="eastAsia" w:ascii="仿宋" w:hAnsi="仿宋" w:eastAsia="仿宋" w:cs="仿宋"/>
          <w:b/>
          <w:color w:val="auto"/>
          <w:sz w:val="32"/>
          <w:szCs w:val="32"/>
          <w:highlight w:val="none"/>
        </w:rPr>
        <w:sectPr>
          <w:pgSz w:w="11906" w:h="16838"/>
          <w:pgMar w:top="1440" w:right="1080" w:bottom="1440" w:left="1080" w:header="720" w:footer="720" w:gutter="0"/>
          <w:cols w:space="720" w:num="1"/>
          <w:docGrid w:type="lines" w:linePitch="331" w:charSpace="0"/>
        </w:sectPr>
      </w:pPr>
    </w:p>
    <w:p w14:paraId="65CA8715">
      <w:pPr>
        <w:snapToGrid w:val="0"/>
        <w:spacing w:before="50" w:after="165"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六、投标资格声明。（必须提供，否则作无效投标处理）</w:t>
      </w:r>
    </w:p>
    <w:p w14:paraId="31CF0B1F">
      <w:pPr>
        <w:tabs>
          <w:tab w:val="left" w:pos="7200"/>
        </w:tabs>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w:t>
      </w:r>
    </w:p>
    <w:p w14:paraId="7354FBCE">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我方愿意参加贵方组织的 </w:t>
      </w:r>
      <w:r>
        <w:rPr>
          <w:rFonts w:hint="eastAsia" w:ascii="仿宋" w:hAnsi="仿宋" w:eastAsia="仿宋" w:cs="仿宋"/>
          <w:color w:val="auto"/>
          <w:sz w:val="24"/>
          <w:szCs w:val="24"/>
          <w:highlight w:val="none"/>
          <w:u w:val="single"/>
        </w:rPr>
        <w:t xml:space="preserve">                      （项目编号：  ）</w:t>
      </w:r>
      <w:r>
        <w:rPr>
          <w:rFonts w:hint="eastAsia" w:ascii="仿宋" w:hAnsi="仿宋" w:eastAsia="仿宋" w:cs="仿宋"/>
          <w:color w:val="auto"/>
          <w:sz w:val="24"/>
          <w:szCs w:val="24"/>
          <w:highlight w:val="none"/>
        </w:rPr>
        <w:t>项目的投标，为便于贵方公正、择优地确定中标人，我方就本次投标有关事项郑重声明如下：</w:t>
      </w:r>
    </w:p>
    <w:p w14:paraId="560087D5">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AC06A34">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A4AD0EB">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3.经查询，在“信用中国”和“中国政府采购网”网站我方未被列入失信被执行人、重大税收违法案件当事人名单、政府采购严重违法失信行为记录名单。</w:t>
      </w:r>
    </w:p>
    <w:p w14:paraId="0D0F4794">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4.以上事项如有虚假或隐瞒，我方愿意承担一切后果，并不再寻求任何旨在减轻或免除法律责任的辩解。 </w:t>
      </w:r>
    </w:p>
    <w:p w14:paraId="5C40AF26">
      <w:pPr>
        <w:tabs>
          <w:tab w:val="left" w:pos="7200"/>
        </w:tabs>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4115E5E">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68DAB393">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F01B0F">
      <w:pPr>
        <w:snapToGrid w:val="0"/>
        <w:spacing w:before="50" w:after="165" w:afterLine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3.如为联合体投标，盖章处须加盖联合体各方公章并由联合体各方法定代表人分别签署，否则投标无效。</w:t>
      </w:r>
    </w:p>
    <w:p w14:paraId="65BFD769">
      <w:pPr>
        <w:snapToGrid w:val="0"/>
        <w:spacing w:before="50" w:after="331" w:afterLines="100" w:line="360" w:lineRule="auto"/>
        <w:ind w:left="7428" w:leftChars="2223" w:hanging="2760" w:hangingChars="1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ECD99AC">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1DEC1D7">
      <w:pPr>
        <w:snapToGrid w:val="0"/>
        <w:spacing w:line="360" w:lineRule="auto"/>
        <w:ind w:firstLine="7080" w:firstLineChars="29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CAEBE6F">
      <w:pPr>
        <w:pStyle w:val="13"/>
        <w:spacing w:line="600" w:lineRule="exact"/>
        <w:jc w:val="both"/>
        <w:rPr>
          <w:rFonts w:hint="eastAsia" w:ascii="仿宋" w:hAnsi="仿宋" w:eastAsia="仿宋" w:cs="仿宋"/>
          <w:b/>
          <w:bCs/>
          <w:color w:val="auto"/>
          <w:sz w:val="30"/>
          <w:szCs w:val="30"/>
          <w:highlight w:val="none"/>
          <w:lang w:eastAsia="zh-CN"/>
        </w:rPr>
      </w:pPr>
    </w:p>
    <w:p w14:paraId="53603ABE">
      <w:pPr>
        <w:pStyle w:val="13"/>
        <w:spacing w:line="600" w:lineRule="exact"/>
        <w:jc w:val="center"/>
        <w:rPr>
          <w:rFonts w:hint="eastAsia" w:ascii="仿宋" w:hAnsi="仿宋" w:eastAsia="仿宋" w:cs="仿宋"/>
          <w:b/>
          <w:bCs/>
          <w:color w:val="auto"/>
          <w:sz w:val="30"/>
          <w:szCs w:val="30"/>
          <w:highlight w:val="none"/>
          <w:lang w:eastAsia="zh-CN"/>
        </w:rPr>
        <w:sectPr>
          <w:pgSz w:w="11906" w:h="16838"/>
          <w:pgMar w:top="1440" w:right="1080" w:bottom="1440" w:left="1080" w:header="720" w:footer="720" w:gutter="0"/>
          <w:cols w:space="720" w:num="1"/>
          <w:docGrid w:type="lines" w:linePitch="331" w:charSpace="0"/>
        </w:sectPr>
      </w:pPr>
    </w:p>
    <w:p w14:paraId="72585492">
      <w:pPr>
        <w:pStyle w:val="13"/>
        <w:spacing w:line="600" w:lineRule="exact"/>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七、</w:t>
      </w:r>
      <w:r>
        <w:rPr>
          <w:rFonts w:hint="eastAsia" w:ascii="仿宋" w:hAnsi="仿宋" w:eastAsia="仿宋" w:cs="仿宋"/>
          <w:b/>
          <w:bCs/>
          <w:color w:val="auto"/>
          <w:sz w:val="30"/>
          <w:szCs w:val="30"/>
          <w:highlight w:val="none"/>
        </w:rPr>
        <w:t>符合特定资格要求的有关证明材料：</w:t>
      </w:r>
    </w:p>
    <w:p w14:paraId="69353372">
      <w:pPr>
        <w:snapToGrid w:val="0"/>
        <w:spacing w:line="360" w:lineRule="auto"/>
        <w:ind w:firstLine="5040" w:firstLineChars="2100"/>
        <w:rPr>
          <w:rFonts w:hint="eastAsia" w:ascii="仿宋" w:hAnsi="仿宋" w:eastAsia="仿宋" w:cs="仿宋"/>
          <w:color w:val="auto"/>
          <w:kern w:val="0"/>
          <w:sz w:val="24"/>
          <w:highlight w:val="none"/>
          <w:lang w:val="zh-CN"/>
        </w:rPr>
      </w:pPr>
    </w:p>
    <w:p w14:paraId="6A4FC566">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E9F53D0">
      <w:pPr>
        <w:snapToGrid w:val="0"/>
        <w:spacing w:line="360" w:lineRule="auto"/>
        <w:ind w:firstLine="7080" w:firstLineChars="2950"/>
        <w:rPr>
          <w:rFonts w:hint="eastAsia" w:ascii="仿宋" w:hAnsi="仿宋" w:eastAsia="仿宋" w:cs="仿宋"/>
          <w:b/>
          <w:bCs/>
          <w:color w:val="auto"/>
          <w:sz w:val="30"/>
          <w:szCs w:val="30"/>
          <w:highlight w:val="none"/>
          <w:lang w:eastAsia="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7FD8D03">
      <w:pPr>
        <w:pStyle w:val="13"/>
        <w:spacing w:line="600" w:lineRule="exact"/>
        <w:jc w:val="center"/>
        <w:rPr>
          <w:rFonts w:hint="eastAsia" w:ascii="仿宋" w:hAnsi="仿宋" w:eastAsia="仿宋" w:cs="仿宋"/>
          <w:color w:val="auto"/>
          <w:szCs w:val="21"/>
          <w:highlight w:val="none"/>
        </w:rPr>
      </w:pPr>
      <w:r>
        <w:rPr>
          <w:rFonts w:hint="eastAsia" w:ascii="仿宋" w:hAnsi="仿宋" w:eastAsia="仿宋" w:cs="仿宋"/>
          <w:b/>
          <w:bCs/>
          <w:color w:val="auto"/>
          <w:sz w:val="30"/>
          <w:szCs w:val="30"/>
          <w:highlight w:val="none"/>
          <w:lang w:eastAsia="zh-CN"/>
        </w:rPr>
        <w:t>八</w:t>
      </w:r>
      <w:r>
        <w:rPr>
          <w:rFonts w:hint="eastAsia" w:ascii="仿宋" w:hAnsi="仿宋" w:eastAsia="仿宋" w:cs="仿宋"/>
          <w:b/>
          <w:bCs/>
          <w:color w:val="auto"/>
          <w:sz w:val="30"/>
          <w:szCs w:val="30"/>
          <w:highlight w:val="none"/>
        </w:rPr>
        <w:t>、除招标文件规定必须提供以外，投标人认为需要提供的其他证明材料。</w:t>
      </w:r>
    </w:p>
    <w:p w14:paraId="623EBC8B">
      <w:pPr>
        <w:snapToGrid w:val="0"/>
        <w:spacing w:line="360" w:lineRule="auto"/>
        <w:jc w:val="center"/>
        <w:rPr>
          <w:rFonts w:hint="eastAsia" w:ascii="仿宋" w:hAnsi="仿宋" w:eastAsia="仿宋" w:cs="仿宋"/>
          <w:color w:val="auto"/>
          <w:kern w:val="0"/>
          <w:sz w:val="24"/>
          <w:highlight w:val="none"/>
          <w:lang w:val="zh-CN"/>
        </w:rPr>
      </w:pPr>
    </w:p>
    <w:p w14:paraId="6DF09984">
      <w:pPr>
        <w:snapToGrid w:val="0"/>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如有，请提供</w:t>
      </w:r>
      <w:r>
        <w:rPr>
          <w:rFonts w:hint="eastAsia" w:ascii="仿宋" w:hAnsi="仿宋" w:eastAsia="仿宋" w:cs="仿宋"/>
          <w:color w:val="auto"/>
          <w:kern w:val="0"/>
          <w:sz w:val="24"/>
          <w:highlight w:val="none"/>
          <w:lang w:val="zh-CN"/>
        </w:rPr>
        <w:t>）</w:t>
      </w:r>
    </w:p>
    <w:p w14:paraId="6796BF58">
      <w:pPr>
        <w:pStyle w:val="13"/>
        <w:jc w:val="center"/>
        <w:outlineLvl w:val="9"/>
        <w:rPr>
          <w:rFonts w:hint="eastAsia" w:ascii="仿宋" w:hAnsi="仿宋" w:eastAsia="仿宋" w:cs="仿宋"/>
          <w:b/>
          <w:bCs/>
          <w:color w:val="auto"/>
          <w:sz w:val="28"/>
          <w:szCs w:val="28"/>
          <w:highlight w:val="none"/>
        </w:rPr>
      </w:pPr>
      <w:bookmarkStart w:id="130" w:name="_Toc30874"/>
      <w:bookmarkStart w:id="131" w:name="_Toc6839"/>
      <w:bookmarkStart w:id="132" w:name="_Toc19686838"/>
    </w:p>
    <w:p w14:paraId="6384BB67">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2D10A080">
      <w:pPr>
        <w:snapToGrid w:val="0"/>
        <w:spacing w:line="360" w:lineRule="auto"/>
        <w:ind w:firstLine="7080" w:firstLineChars="2950"/>
        <w:rPr>
          <w:rFonts w:hint="eastAsia" w:ascii="仿宋" w:hAnsi="仿宋" w:eastAsia="仿宋" w:cs="仿宋"/>
          <w:b/>
          <w:bCs/>
          <w:color w:val="auto"/>
          <w:sz w:val="30"/>
          <w:szCs w:val="30"/>
          <w:highlight w:val="none"/>
          <w:lang w:eastAsia="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14BC1270">
      <w:pPr>
        <w:pStyle w:val="5"/>
        <w:rPr>
          <w:rFonts w:hint="eastAsia"/>
        </w:rPr>
        <w:sectPr>
          <w:pgSz w:w="11906" w:h="16838"/>
          <w:pgMar w:top="1440" w:right="1080" w:bottom="1440" w:left="1080" w:header="720" w:footer="720" w:gutter="0"/>
          <w:cols w:space="720" w:num="1"/>
          <w:docGrid w:type="lines" w:linePitch="331" w:charSpace="0"/>
        </w:sectPr>
      </w:pPr>
    </w:p>
    <w:p w14:paraId="67F45E9C">
      <w:pPr>
        <w:pStyle w:val="13"/>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第二节 商务</w:t>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rPr>
        <w:t>文件格式</w:t>
      </w:r>
      <w:bookmarkEnd w:id="130"/>
      <w:bookmarkEnd w:id="131"/>
      <w:bookmarkEnd w:id="132"/>
    </w:p>
    <w:p w14:paraId="08250873">
      <w:pPr>
        <w:snapToGrid w:val="0"/>
        <w:spacing w:before="165" w:beforeLines="50" w:after="50"/>
        <w:rPr>
          <w:rFonts w:hint="eastAsia" w:ascii="仿宋" w:hAnsi="仿宋" w:eastAsia="仿宋" w:cs="仿宋"/>
          <w:color w:val="auto"/>
          <w:sz w:val="30"/>
          <w:szCs w:val="20"/>
          <w:highlight w:val="none"/>
        </w:rPr>
      </w:pPr>
    </w:p>
    <w:p w14:paraId="11979C00">
      <w:pPr>
        <w:snapToGrid w:val="0"/>
        <w:spacing w:before="165" w:beforeLines="50" w:after="50"/>
        <w:jc w:val="right"/>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 xml:space="preserve">             电子投标文件</w:t>
      </w:r>
    </w:p>
    <w:p w14:paraId="62F5B56D">
      <w:pPr>
        <w:snapToGrid w:val="0"/>
        <w:spacing w:before="165" w:beforeLines="50" w:after="50"/>
        <w:rPr>
          <w:rFonts w:hint="eastAsia" w:ascii="仿宋" w:hAnsi="仿宋" w:eastAsia="仿宋" w:cs="仿宋"/>
          <w:color w:val="auto"/>
          <w:sz w:val="24"/>
          <w:szCs w:val="20"/>
          <w:highlight w:val="none"/>
        </w:rPr>
      </w:pPr>
    </w:p>
    <w:p w14:paraId="76BCE03A">
      <w:pPr>
        <w:snapToGrid w:val="0"/>
        <w:spacing w:before="165" w:beforeLines="50" w:after="50"/>
        <w:jc w:val="center"/>
        <w:rPr>
          <w:rFonts w:hint="eastAsia" w:ascii="仿宋" w:hAnsi="仿宋" w:eastAsia="仿宋" w:cs="仿宋"/>
          <w:b/>
          <w:color w:val="auto"/>
          <w:sz w:val="24"/>
          <w:szCs w:val="20"/>
          <w:highlight w:val="none"/>
        </w:rPr>
      </w:pPr>
      <w:r>
        <w:rPr>
          <w:rFonts w:hint="eastAsia" w:ascii="仿宋" w:hAnsi="仿宋" w:eastAsia="仿宋" w:cs="仿宋"/>
          <w:b/>
          <w:color w:val="auto"/>
          <w:sz w:val="32"/>
          <w:szCs w:val="32"/>
          <w:highlight w:val="none"/>
        </w:rPr>
        <w:t>商务</w:t>
      </w:r>
      <w:r>
        <w:rPr>
          <w:rFonts w:hint="eastAsia" w:ascii="仿宋" w:hAnsi="仿宋" w:eastAsia="仿宋" w:cs="仿宋"/>
          <w:b/>
          <w:color w:val="auto"/>
          <w:sz w:val="32"/>
          <w:szCs w:val="32"/>
          <w:highlight w:val="none"/>
          <w:lang w:val="en-US" w:eastAsia="zh-CN"/>
        </w:rPr>
        <w:t>技术</w:t>
      </w:r>
      <w:r>
        <w:rPr>
          <w:rFonts w:hint="eastAsia" w:ascii="仿宋" w:hAnsi="仿宋" w:eastAsia="仿宋" w:cs="仿宋"/>
          <w:b/>
          <w:color w:val="auto"/>
          <w:sz w:val="32"/>
          <w:szCs w:val="32"/>
          <w:highlight w:val="none"/>
        </w:rPr>
        <w:t>文件（封面）</w:t>
      </w:r>
    </w:p>
    <w:p w14:paraId="55F6A6DD">
      <w:pPr>
        <w:snapToGrid w:val="0"/>
        <w:spacing w:before="165" w:beforeLines="50" w:after="50"/>
        <w:rPr>
          <w:rFonts w:hint="eastAsia" w:ascii="仿宋" w:hAnsi="仿宋" w:eastAsia="仿宋" w:cs="仿宋"/>
          <w:bCs/>
          <w:color w:val="auto"/>
          <w:sz w:val="24"/>
          <w:szCs w:val="20"/>
          <w:highlight w:val="none"/>
        </w:rPr>
      </w:pPr>
    </w:p>
    <w:p w14:paraId="27FA0FA8">
      <w:pPr>
        <w:snapToGrid w:val="0"/>
        <w:spacing w:before="165" w:beforeLines="50" w:after="50"/>
        <w:ind w:firstLine="540" w:firstLineChars="225"/>
        <w:rPr>
          <w:rFonts w:hint="eastAsia" w:ascii="仿宋" w:hAnsi="仿宋" w:eastAsia="仿宋" w:cs="仿宋"/>
          <w:bCs/>
          <w:color w:val="auto"/>
          <w:sz w:val="24"/>
          <w:szCs w:val="20"/>
          <w:highlight w:val="none"/>
        </w:rPr>
      </w:pPr>
      <w:r>
        <w:rPr>
          <w:rFonts w:hint="eastAsia" w:ascii="仿宋" w:hAnsi="仿宋" w:eastAsia="仿宋" w:cs="仿宋"/>
          <w:bCs/>
          <w:color w:val="auto"/>
          <w:sz w:val="24"/>
          <w:highlight w:val="none"/>
        </w:rPr>
        <w:t>项目名称：</w:t>
      </w:r>
    </w:p>
    <w:p w14:paraId="03E356CC">
      <w:pPr>
        <w:snapToGrid w:val="0"/>
        <w:spacing w:before="165" w:beforeLines="50" w:after="50"/>
        <w:ind w:firstLine="540" w:firstLineChars="225"/>
        <w:rPr>
          <w:rFonts w:hint="eastAsia" w:ascii="仿宋" w:hAnsi="仿宋" w:eastAsia="仿宋" w:cs="仿宋"/>
          <w:bCs/>
          <w:color w:val="auto"/>
          <w:sz w:val="24"/>
          <w:highlight w:val="none"/>
        </w:rPr>
      </w:pPr>
    </w:p>
    <w:p w14:paraId="1573CECC">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52E45124">
      <w:pPr>
        <w:snapToGrid w:val="0"/>
        <w:spacing w:before="165" w:beforeLines="50" w:after="50"/>
        <w:ind w:firstLine="540" w:firstLineChars="225"/>
        <w:rPr>
          <w:rFonts w:hint="eastAsia" w:ascii="仿宋" w:hAnsi="仿宋" w:eastAsia="仿宋" w:cs="仿宋"/>
          <w:bCs/>
          <w:color w:val="auto"/>
          <w:sz w:val="24"/>
          <w:highlight w:val="none"/>
        </w:rPr>
      </w:pPr>
    </w:p>
    <w:p w14:paraId="35D46A7C">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72EC0BF7">
      <w:pPr>
        <w:snapToGrid w:val="0"/>
        <w:spacing w:before="165" w:beforeLines="50" w:after="50"/>
        <w:ind w:firstLine="540" w:firstLineChars="225"/>
        <w:rPr>
          <w:rFonts w:hint="eastAsia" w:ascii="仿宋" w:hAnsi="仿宋" w:eastAsia="仿宋" w:cs="仿宋"/>
          <w:bCs/>
          <w:color w:val="auto"/>
          <w:sz w:val="24"/>
          <w:highlight w:val="none"/>
        </w:rPr>
      </w:pPr>
    </w:p>
    <w:p w14:paraId="15132D98">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34491414">
      <w:pPr>
        <w:snapToGrid w:val="0"/>
        <w:spacing w:before="165" w:beforeLines="50" w:after="50"/>
        <w:ind w:firstLine="540" w:firstLineChars="225"/>
        <w:rPr>
          <w:rFonts w:hint="eastAsia" w:ascii="仿宋" w:hAnsi="仿宋" w:eastAsia="仿宋" w:cs="仿宋"/>
          <w:bCs/>
          <w:color w:val="auto"/>
          <w:sz w:val="24"/>
          <w:highlight w:val="none"/>
        </w:rPr>
      </w:pPr>
    </w:p>
    <w:p w14:paraId="2CEAE03A">
      <w:pPr>
        <w:pStyle w:val="7"/>
        <w:snapToGrid w:val="0"/>
        <w:spacing w:before="50" w:after="50"/>
        <w:ind w:firstLine="540" w:firstLineChars="22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投标人地址：</w:t>
      </w:r>
    </w:p>
    <w:p w14:paraId="6360BAFC">
      <w:pPr>
        <w:pStyle w:val="7"/>
        <w:snapToGrid w:val="0"/>
        <w:spacing w:before="50" w:after="50"/>
        <w:ind w:firstLine="960" w:firstLineChars="400"/>
        <w:rPr>
          <w:rFonts w:hint="eastAsia" w:ascii="仿宋" w:hAnsi="仿宋" w:eastAsia="仿宋" w:cs="仿宋"/>
          <w:bCs/>
          <w:color w:val="auto"/>
          <w:sz w:val="24"/>
          <w:szCs w:val="24"/>
          <w:highlight w:val="none"/>
        </w:rPr>
      </w:pPr>
    </w:p>
    <w:p w14:paraId="301B86B3">
      <w:pPr>
        <w:snapToGrid w:val="0"/>
        <w:spacing w:before="165" w:beforeLines="50" w:after="50"/>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41157E96">
      <w:pPr>
        <w:snapToGrid w:val="0"/>
        <w:spacing w:before="165" w:beforeLines="50" w:after="5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39A450BD">
      <w:pPr>
        <w:spacing w:line="360" w:lineRule="auto"/>
        <w:ind w:right="420"/>
        <w:rPr>
          <w:rFonts w:hint="eastAsia" w:ascii="仿宋" w:hAnsi="仿宋" w:eastAsia="仿宋" w:cs="仿宋"/>
          <w:color w:val="auto"/>
          <w:sz w:val="24"/>
          <w:szCs w:val="20"/>
          <w:highlight w:val="none"/>
        </w:rPr>
      </w:pPr>
    </w:p>
    <w:p w14:paraId="58AF64DC">
      <w:pPr>
        <w:spacing w:line="360" w:lineRule="auto"/>
        <w:ind w:right="420"/>
        <w:rPr>
          <w:rFonts w:hint="eastAsia" w:ascii="仿宋" w:hAnsi="仿宋" w:eastAsia="仿宋" w:cs="仿宋"/>
          <w:color w:val="auto"/>
          <w:sz w:val="24"/>
          <w:szCs w:val="20"/>
          <w:highlight w:val="none"/>
        </w:rPr>
      </w:pPr>
    </w:p>
    <w:p w14:paraId="606F9E63">
      <w:pPr>
        <w:spacing w:line="360" w:lineRule="auto"/>
        <w:ind w:right="420"/>
        <w:rPr>
          <w:rFonts w:hint="eastAsia" w:ascii="仿宋" w:hAnsi="仿宋" w:eastAsia="仿宋" w:cs="仿宋"/>
          <w:color w:val="auto"/>
          <w:sz w:val="24"/>
          <w:szCs w:val="20"/>
          <w:highlight w:val="none"/>
        </w:rPr>
      </w:pPr>
    </w:p>
    <w:p w14:paraId="3EB36926">
      <w:pPr>
        <w:spacing w:line="360" w:lineRule="auto"/>
        <w:ind w:right="420"/>
        <w:rPr>
          <w:rFonts w:hint="eastAsia" w:ascii="仿宋" w:hAnsi="仿宋" w:eastAsia="仿宋" w:cs="仿宋"/>
          <w:color w:val="auto"/>
          <w:sz w:val="24"/>
          <w:szCs w:val="20"/>
          <w:highlight w:val="none"/>
        </w:rPr>
      </w:pPr>
    </w:p>
    <w:p w14:paraId="1A3BD009">
      <w:pPr>
        <w:spacing w:line="360" w:lineRule="auto"/>
        <w:ind w:right="420"/>
        <w:rPr>
          <w:rFonts w:hint="eastAsia" w:ascii="仿宋" w:hAnsi="仿宋" w:eastAsia="仿宋" w:cs="仿宋"/>
          <w:color w:val="auto"/>
          <w:sz w:val="24"/>
          <w:szCs w:val="20"/>
          <w:highlight w:val="none"/>
        </w:rPr>
      </w:pPr>
    </w:p>
    <w:p w14:paraId="3D7D25FF">
      <w:pPr>
        <w:spacing w:line="360" w:lineRule="auto"/>
        <w:ind w:right="420"/>
        <w:rPr>
          <w:rFonts w:hint="eastAsia" w:ascii="仿宋" w:hAnsi="仿宋" w:eastAsia="仿宋" w:cs="仿宋"/>
          <w:color w:val="auto"/>
          <w:sz w:val="24"/>
          <w:szCs w:val="20"/>
          <w:highlight w:val="none"/>
        </w:rPr>
      </w:pPr>
    </w:p>
    <w:p w14:paraId="4A957A8F">
      <w:pPr>
        <w:spacing w:line="360" w:lineRule="auto"/>
        <w:ind w:right="420"/>
        <w:rPr>
          <w:rFonts w:hint="eastAsia" w:ascii="仿宋" w:hAnsi="仿宋" w:eastAsia="仿宋" w:cs="仿宋"/>
          <w:color w:val="auto"/>
          <w:sz w:val="24"/>
          <w:szCs w:val="20"/>
          <w:highlight w:val="none"/>
        </w:rPr>
      </w:pPr>
    </w:p>
    <w:p w14:paraId="0D9643D6">
      <w:pPr>
        <w:spacing w:line="360" w:lineRule="auto"/>
        <w:ind w:right="420"/>
        <w:rPr>
          <w:rFonts w:hint="eastAsia" w:ascii="仿宋" w:hAnsi="仿宋" w:eastAsia="仿宋" w:cs="仿宋"/>
          <w:color w:val="auto"/>
          <w:sz w:val="24"/>
          <w:szCs w:val="20"/>
          <w:highlight w:val="none"/>
        </w:rPr>
      </w:pPr>
    </w:p>
    <w:p w14:paraId="45CE1CCE">
      <w:pPr>
        <w:spacing w:line="360" w:lineRule="auto"/>
        <w:ind w:right="420"/>
        <w:rPr>
          <w:rFonts w:hint="eastAsia" w:ascii="仿宋" w:hAnsi="仿宋" w:eastAsia="仿宋" w:cs="仿宋"/>
          <w:color w:val="auto"/>
          <w:sz w:val="24"/>
          <w:szCs w:val="20"/>
          <w:highlight w:val="none"/>
        </w:rPr>
      </w:pPr>
    </w:p>
    <w:p w14:paraId="2234A952">
      <w:pPr>
        <w:spacing w:line="360" w:lineRule="auto"/>
        <w:ind w:right="42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 xml:space="preserve"> </w:t>
      </w:r>
    </w:p>
    <w:p w14:paraId="7E409EFE">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w:t>
      </w:r>
      <w:r>
        <w:rPr>
          <w:rFonts w:hint="eastAsia" w:ascii="仿宋" w:hAnsi="仿宋" w:eastAsia="仿宋" w:cs="仿宋"/>
          <w:b/>
          <w:color w:val="auto"/>
          <w:kern w:val="0"/>
          <w:sz w:val="28"/>
          <w:szCs w:val="28"/>
          <w:highlight w:val="none"/>
          <w:lang w:val="en-US" w:eastAsia="zh-CN"/>
        </w:rPr>
        <w:t>技术</w:t>
      </w:r>
      <w:r>
        <w:rPr>
          <w:rFonts w:hint="eastAsia" w:ascii="仿宋" w:hAnsi="仿宋" w:eastAsia="仿宋" w:cs="仿宋"/>
          <w:b/>
          <w:color w:val="auto"/>
          <w:kern w:val="0"/>
          <w:sz w:val="28"/>
          <w:szCs w:val="28"/>
          <w:highlight w:val="none"/>
        </w:rPr>
        <w:t>文件目录</w:t>
      </w:r>
    </w:p>
    <w:p w14:paraId="18FCF3ED">
      <w:pPr>
        <w:spacing w:line="360" w:lineRule="auto"/>
        <w:rPr>
          <w:rFonts w:hint="eastAsia" w:ascii="仿宋" w:hAnsi="仿宋" w:eastAsia="仿宋" w:cs="仿宋"/>
          <w:b/>
          <w:bCs/>
          <w:color w:val="auto"/>
          <w:sz w:val="24"/>
          <w:highlight w:val="none"/>
        </w:rPr>
      </w:pPr>
    </w:p>
    <w:p w14:paraId="17BC1784">
      <w:pPr>
        <w:snapToGrid w:val="0"/>
        <w:spacing w:before="50" w:after="165" w:afterLines="50" w:line="360" w:lineRule="auto"/>
        <w:jc w:val="center"/>
        <w:rPr>
          <w:rFonts w:hint="eastAsia" w:ascii="仿宋" w:hAnsi="仿宋" w:eastAsia="仿宋" w:cs="仿宋"/>
          <w:b/>
          <w:color w:val="auto"/>
          <w:sz w:val="24"/>
          <w:highlight w:val="none"/>
        </w:rPr>
      </w:pPr>
      <w:r>
        <w:rPr>
          <w:rFonts w:hint="eastAsia" w:ascii="仿宋" w:hAnsi="仿宋" w:eastAsia="仿宋" w:cs="仿宋"/>
          <w:color w:val="auto"/>
          <w:szCs w:val="21"/>
          <w:highlight w:val="none"/>
        </w:rPr>
        <w:t>根据招标文件规定及投标人提供的材料自行编写目录。</w:t>
      </w:r>
    </w:p>
    <w:p w14:paraId="6A263DDB">
      <w:pPr>
        <w:widowControl/>
        <w:spacing w:line="360" w:lineRule="auto"/>
        <w:jc w:val="left"/>
        <w:rPr>
          <w:rFonts w:hint="eastAsia" w:ascii="仿宋" w:hAnsi="仿宋" w:eastAsia="仿宋" w:cs="仿宋"/>
          <w:color w:val="auto"/>
          <w:highlight w:val="none"/>
        </w:rPr>
        <w:sectPr>
          <w:pgSz w:w="11906" w:h="16838"/>
          <w:pgMar w:top="1440" w:right="1080" w:bottom="1440" w:left="1080" w:header="720" w:footer="720" w:gutter="0"/>
          <w:cols w:space="720" w:num="1"/>
          <w:docGrid w:type="lines" w:linePitch="331" w:charSpace="0"/>
        </w:sectPr>
      </w:pPr>
    </w:p>
    <w:p w14:paraId="37509B36">
      <w:pPr>
        <w:snapToGrid w:val="0"/>
        <w:spacing w:before="120" w:beforeLines="50" w:after="50"/>
        <w:ind w:left="42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一、无串通投标行为的承诺函；（必须提供，否则作无效投标处理）</w:t>
      </w:r>
    </w:p>
    <w:p w14:paraId="681744C7">
      <w:pPr>
        <w:snapToGrid w:val="0"/>
        <w:spacing w:before="120" w:beforeLines="50" w:after="50"/>
        <w:ind w:left="420"/>
        <w:jc w:val="center"/>
        <w:rPr>
          <w:rFonts w:hint="eastAsia" w:ascii="仿宋" w:hAnsi="仿宋" w:eastAsia="仿宋" w:cs="仿宋"/>
          <w:b/>
          <w:color w:val="auto"/>
          <w:sz w:val="32"/>
          <w:szCs w:val="32"/>
          <w:highlight w:val="none"/>
        </w:rPr>
      </w:pPr>
    </w:p>
    <w:p w14:paraId="3AEB66CA">
      <w:pPr>
        <w:snapToGrid w:val="0"/>
        <w:spacing w:before="120" w:beforeLines="50" w:after="50"/>
        <w:ind w:left="42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投标人参加本项目无围标串标行为的承诺函</w:t>
      </w:r>
    </w:p>
    <w:p w14:paraId="03E0825E">
      <w:pPr>
        <w:snapToGrid w:val="0"/>
        <w:spacing w:before="120" w:beforeLines="50" w:after="50"/>
        <w:rPr>
          <w:rFonts w:hint="eastAsia" w:ascii="仿宋" w:hAnsi="仿宋" w:eastAsia="仿宋" w:cs="仿宋"/>
          <w:b/>
          <w:color w:val="auto"/>
          <w:szCs w:val="21"/>
          <w:highlight w:val="none"/>
        </w:rPr>
      </w:pPr>
    </w:p>
    <w:p w14:paraId="6D078A0A">
      <w:pPr>
        <w:snapToGrid w:val="0"/>
        <w:spacing w:before="120" w:beforeLines="50" w:after="50"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一、我方承诺无下列相互串通投标的情形：</w:t>
      </w:r>
    </w:p>
    <w:p w14:paraId="4022503D">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1.不同投标人的投标文件由同一单位或者个人编制；或者不同投标人报名的IP地址一致的；或者编制标书硬件设备CPU编号、硬盘编号、网卡地址一致的情况。</w:t>
      </w:r>
    </w:p>
    <w:p w14:paraId="20EA340C">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2.不同投标人委托同一单位或者个人办理投标事宜；</w:t>
      </w:r>
    </w:p>
    <w:p w14:paraId="66D486FA">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3.不同的投标人的投标文件载明的项目管理员为同一个人；</w:t>
      </w:r>
    </w:p>
    <w:p w14:paraId="68E77FF7">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4.不同投标人的投标文件异常一致或者投标报价呈规律性差异；</w:t>
      </w:r>
    </w:p>
    <w:p w14:paraId="0BB8CB70">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5.不同投标人的投标文件相互混装；</w:t>
      </w:r>
    </w:p>
    <w:p w14:paraId="3B121159">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6.不同投标人的投标保证金从同一单位或者个人账户转出。</w:t>
      </w:r>
    </w:p>
    <w:p w14:paraId="66B98E1D">
      <w:pPr>
        <w:snapToGrid w:val="0"/>
        <w:spacing w:before="120" w:beforeLines="50" w:after="50" w:line="360" w:lineRule="auto"/>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二、我方承诺无下列恶意串通的情形：</w:t>
      </w:r>
    </w:p>
    <w:p w14:paraId="5E065642">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1.投标人直接或者间接从采购人或者采购代理机构处获得其他投标人的相关信息并修改其投标文件或者投标文件；</w:t>
      </w:r>
    </w:p>
    <w:p w14:paraId="1275A33D">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2.投标人按照采购人或者采购代理机构的授意撤换、修改投标文件或者投标文件；</w:t>
      </w:r>
    </w:p>
    <w:p w14:paraId="5EC2D7C6">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3.投标人之间协商报价、技术方案等投标文件或者投标文件的实质性内容；</w:t>
      </w:r>
    </w:p>
    <w:p w14:paraId="35AAE4BC">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4.属于同一集团、协会、商会等组织成员的投标人按照该组织要求协同参加政府采购活动；</w:t>
      </w:r>
    </w:p>
    <w:p w14:paraId="4131F73F">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1A3F4F2">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6.投标人之间商定部分投标人放弃参加政府采购活动或者放弃中标；</w:t>
      </w:r>
    </w:p>
    <w:p w14:paraId="7B926456">
      <w:pPr>
        <w:snapToGrid w:val="0"/>
        <w:spacing w:before="120" w:beforeLines="50" w:after="50"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7.投标人与采购人或者采购代理机构之间、投标人相互之间，为谋求特定投标人中标或者排斥其他投标人的其他串通行为。</w:t>
      </w:r>
    </w:p>
    <w:p w14:paraId="40A74098">
      <w:pPr>
        <w:snapToGrid w:val="0"/>
        <w:spacing w:before="120" w:beforeLines="50" w:after="50" w:line="360" w:lineRule="auto"/>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以上情形一经核查属实，我方愿意承担一切后果，接受政府采购监管部门对我方认定存在围标串标行为，并不再寻求任何旨在减轻或者免除法律责任的辩解。</w:t>
      </w:r>
    </w:p>
    <w:p w14:paraId="5B35474A">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1638B4E">
      <w:pPr>
        <w:snapToGrid w:val="0"/>
        <w:spacing w:line="360" w:lineRule="auto"/>
        <w:ind w:firstLine="7080" w:firstLineChars="29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E0B7564">
      <w:pPr>
        <w:pStyle w:val="13"/>
        <w:snapToGrid w:val="0"/>
        <w:spacing w:before="295" w:after="295"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30"/>
          <w:szCs w:val="30"/>
          <w:highlight w:val="none"/>
        </w:rPr>
        <w:t>二、法定代表人身份证明及法定代表人有效身份证正反面复印件；（除自然人投标外必须提供，否则作无效投标处理）</w:t>
      </w:r>
    </w:p>
    <w:p w14:paraId="7844E720">
      <w:pPr>
        <w:spacing w:before="240" w:beforeLines="100" w:after="120" w:afterLines="50"/>
        <w:ind w:left="540"/>
        <w:jc w:val="center"/>
        <w:rPr>
          <w:rFonts w:hint="eastAsia" w:ascii="仿宋" w:hAnsi="仿宋" w:eastAsia="仿宋" w:cs="仿宋"/>
          <w:b/>
          <w:color w:val="auto"/>
          <w:sz w:val="32"/>
          <w:szCs w:val="32"/>
          <w:highlight w:val="none"/>
        </w:rPr>
      </w:pPr>
    </w:p>
    <w:p w14:paraId="6FEF6EB3">
      <w:pPr>
        <w:spacing w:before="240" w:beforeLines="100" w:after="120" w:afterLines="50"/>
        <w:ind w:left="54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法定代表人身份证明</w:t>
      </w:r>
    </w:p>
    <w:p w14:paraId="2EAA7DF0">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50D99644">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CCA3E99">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24C43802">
      <w:pPr>
        <w:spacing w:line="500" w:lineRule="exact"/>
        <w:ind w:left="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74949117">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9406C21">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55128A87">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4CACB86">
      <w:pPr>
        <w:spacing w:line="500" w:lineRule="exact"/>
        <w:ind w:left="540"/>
        <w:rPr>
          <w:rFonts w:hint="eastAsia" w:ascii="仿宋" w:hAnsi="仿宋" w:eastAsia="仿宋" w:cs="仿宋"/>
          <w:color w:val="auto"/>
          <w:sz w:val="24"/>
          <w:highlight w:val="none"/>
        </w:rPr>
      </w:pPr>
    </w:p>
    <w:p w14:paraId="22709972">
      <w:pPr>
        <w:spacing w:line="500" w:lineRule="exact"/>
        <w:ind w:left="540"/>
        <w:rPr>
          <w:rFonts w:hint="eastAsia" w:ascii="仿宋" w:hAnsi="仿宋" w:eastAsia="仿宋" w:cs="仿宋"/>
          <w:color w:val="auto"/>
          <w:sz w:val="24"/>
          <w:highlight w:val="none"/>
        </w:rPr>
      </w:pPr>
    </w:p>
    <w:p w14:paraId="3922FCA6">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287CEEC5">
      <w:pPr>
        <w:spacing w:line="500" w:lineRule="exact"/>
        <w:ind w:left="540"/>
        <w:rPr>
          <w:rFonts w:hint="eastAsia" w:ascii="仿宋" w:hAnsi="仿宋" w:eastAsia="仿宋" w:cs="仿宋"/>
          <w:color w:val="auto"/>
          <w:sz w:val="24"/>
          <w:highlight w:val="none"/>
        </w:rPr>
      </w:pPr>
    </w:p>
    <w:p w14:paraId="09556B29">
      <w:pPr>
        <w:snapToGrid w:val="0"/>
        <w:spacing w:line="360" w:lineRule="auto"/>
        <w:ind w:firstLine="4410" w:firstLineChars="2100"/>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投标人名称(电子签章)：</w:t>
      </w:r>
    </w:p>
    <w:p w14:paraId="634075D0">
      <w:pPr>
        <w:snapToGrid w:val="0"/>
        <w:spacing w:line="360" w:lineRule="auto"/>
        <w:ind w:firstLine="6518" w:firstLineChars="271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6FFAFE9">
      <w:pPr>
        <w:snapToGrid w:val="0"/>
        <w:spacing w:line="360" w:lineRule="auto"/>
        <w:ind w:firstLine="5160" w:firstLineChars="2150"/>
        <w:rPr>
          <w:rFonts w:hint="eastAsia" w:ascii="仿宋" w:hAnsi="仿宋" w:eastAsia="仿宋" w:cs="仿宋"/>
          <w:color w:val="auto"/>
          <w:kern w:val="0"/>
          <w:sz w:val="24"/>
          <w:highlight w:val="none"/>
          <w:lang w:val="zh-CN"/>
        </w:rPr>
      </w:pPr>
    </w:p>
    <w:p w14:paraId="265D00F8">
      <w:pPr>
        <w:snapToGrid w:val="0"/>
        <w:spacing w:before="120" w:beforeLines="50" w:after="50"/>
        <w:jc w:val="center"/>
        <w:rPr>
          <w:rFonts w:hint="eastAsia" w:ascii="仿宋" w:hAnsi="仿宋" w:eastAsia="仿宋" w:cs="仿宋"/>
          <w:b/>
          <w:color w:val="auto"/>
          <w:sz w:val="24"/>
          <w:highlight w:val="none"/>
        </w:rPr>
      </w:pPr>
    </w:p>
    <w:p w14:paraId="42F794C6">
      <w:pPr>
        <w:snapToGrid w:val="0"/>
        <w:spacing w:before="120" w:beforeLines="50" w:after="50"/>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注：自然人投标的无需提供</w:t>
      </w:r>
    </w:p>
    <w:p w14:paraId="189B1FC4">
      <w:pPr>
        <w:snapToGrid w:val="0"/>
        <w:spacing w:before="120" w:beforeLines="50" w:after="50"/>
        <w:ind w:firstLine="600" w:firstLineChars="250"/>
        <w:jc w:val="left"/>
        <w:rPr>
          <w:rFonts w:hint="eastAsia" w:ascii="仿宋" w:hAnsi="仿宋" w:eastAsia="仿宋" w:cs="仿宋"/>
          <w:color w:val="auto"/>
          <w:sz w:val="24"/>
          <w:highlight w:val="none"/>
        </w:rPr>
      </w:pPr>
    </w:p>
    <w:p w14:paraId="1EF40D6D">
      <w:pPr>
        <w:snapToGrid w:val="0"/>
        <w:spacing w:before="120" w:beforeLines="50" w:after="50"/>
        <w:ind w:firstLine="602" w:firstLineChars="250"/>
        <w:jc w:val="left"/>
        <w:rPr>
          <w:rFonts w:hint="eastAsia" w:ascii="仿宋" w:hAnsi="仿宋" w:eastAsia="仿宋" w:cs="仿宋"/>
          <w:b/>
          <w:color w:val="auto"/>
          <w:sz w:val="24"/>
          <w:szCs w:val="20"/>
          <w:highlight w:val="none"/>
        </w:rPr>
      </w:pPr>
    </w:p>
    <w:p w14:paraId="54536466">
      <w:pPr>
        <w:pStyle w:val="13"/>
        <w:snapToGrid w:val="0"/>
        <w:spacing w:before="295" w:after="295"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30"/>
          <w:szCs w:val="30"/>
          <w:highlight w:val="none"/>
        </w:rPr>
        <w:t>三、法定代表人授权委托书及委托代理人有效身份证正反面复印件；（委托时必须提供，否则作无效投标处理）</w:t>
      </w:r>
    </w:p>
    <w:p w14:paraId="0404698B">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法定代表人授权委托书</w:t>
      </w:r>
    </w:p>
    <w:p w14:paraId="0BEF5267">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bCs/>
          <w:color w:val="auto"/>
          <w:sz w:val="32"/>
          <w:szCs w:val="32"/>
          <w:highlight w:val="none"/>
        </w:rPr>
        <w:t>（如有委托时）</w:t>
      </w:r>
    </w:p>
    <w:p w14:paraId="392B4101">
      <w:pPr>
        <w:spacing w:line="440" w:lineRule="exact"/>
        <w:contextualSpacing/>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p>
    <w:p w14:paraId="10EC70FB">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6B0BA4F7">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AA1151C">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4DEAA19F">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08A9C330">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7F5FE03C">
      <w:pPr>
        <w:spacing w:line="440" w:lineRule="exact"/>
        <w:contextualSpacing/>
        <w:rPr>
          <w:rFonts w:hint="eastAsia" w:ascii="仿宋" w:hAnsi="仿宋" w:eastAsia="仿宋" w:cs="仿宋"/>
          <w:color w:val="auto"/>
          <w:sz w:val="24"/>
          <w:highlight w:val="none"/>
        </w:rPr>
      </w:pPr>
    </w:p>
    <w:p w14:paraId="6150819E">
      <w:pPr>
        <w:spacing w:line="440" w:lineRule="exact"/>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法定代表人（签字或者盖章）：</w:t>
      </w:r>
      <w:r>
        <w:rPr>
          <w:rFonts w:hint="eastAsia" w:ascii="仿宋" w:hAnsi="仿宋" w:eastAsia="仿宋" w:cs="仿宋"/>
          <w:color w:val="auto"/>
          <w:sz w:val="24"/>
          <w:highlight w:val="none"/>
          <w:u w:val="single"/>
        </w:rPr>
        <w:t xml:space="preserve">              </w:t>
      </w:r>
    </w:p>
    <w:p w14:paraId="19AF213F">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p>
    <w:p w14:paraId="0EA3A382">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D51BA41">
      <w:pPr>
        <w:snapToGrid w:val="0"/>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4E714D7">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46C08AA6">
      <w:pPr>
        <w:spacing w:line="440" w:lineRule="exact"/>
        <w:contextualSpacing/>
        <w:jc w:val="center"/>
        <w:rPr>
          <w:rFonts w:hint="eastAsia" w:ascii="仿宋" w:hAnsi="仿宋" w:eastAsia="仿宋" w:cs="仿宋"/>
          <w:color w:val="auto"/>
          <w:sz w:val="24"/>
          <w:highlight w:val="none"/>
        </w:rPr>
      </w:pPr>
    </w:p>
    <w:p w14:paraId="6E56F88E">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注：1.</w:t>
      </w:r>
      <w:bookmarkStart w:id="133" w:name="_Hlk65851555"/>
      <w:bookmarkStart w:id="134" w:name="_Hlk65851620"/>
      <w:r>
        <w:rPr>
          <w:rFonts w:hint="eastAsia" w:ascii="仿宋" w:hAnsi="仿宋" w:eastAsia="仿宋" w:cs="仿宋"/>
          <w:color w:val="auto"/>
          <w:sz w:val="24"/>
          <w:highlight w:val="none"/>
        </w:rPr>
        <w:t>法定代表人必须在授权委托书上亲笔签字或者盖章，</w:t>
      </w:r>
      <w:bookmarkEnd w:id="133"/>
      <w:r>
        <w:rPr>
          <w:rFonts w:hint="eastAsia" w:ascii="仿宋" w:hAnsi="仿宋" w:eastAsia="仿宋" w:cs="仿宋"/>
          <w:color w:val="auto"/>
          <w:sz w:val="24"/>
          <w:highlight w:val="none"/>
        </w:rPr>
        <w:t>委托代理人必须在授权委托书上亲笔签字，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bookmarkEnd w:id="134"/>
    </w:p>
    <w:p w14:paraId="2F73522F">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2.法人、其他组织投标时“我方”是指“我单位”，自然人投标时“我方”是指“本人”。</w:t>
      </w:r>
    </w:p>
    <w:p w14:paraId="2E40FEE0">
      <w:pPr>
        <w:snapToGrid w:val="0"/>
        <w:spacing w:line="312" w:lineRule="auto"/>
        <w:jc w:val="left"/>
        <w:rPr>
          <w:rFonts w:hint="eastAsia" w:ascii="仿宋" w:hAnsi="仿宋" w:eastAsia="仿宋" w:cs="仿宋"/>
          <w:color w:val="auto"/>
          <w:szCs w:val="21"/>
          <w:highlight w:val="none"/>
        </w:rPr>
        <w:sectPr>
          <w:pgSz w:w="11906" w:h="16838"/>
          <w:pgMar w:top="1440" w:right="1080" w:bottom="1440" w:left="1080" w:header="851" w:footer="992" w:gutter="0"/>
          <w:cols w:space="720" w:num="1"/>
          <w:titlePg/>
          <w:docGrid w:linePitch="312" w:charSpace="0"/>
        </w:sectPr>
      </w:pPr>
    </w:p>
    <w:p w14:paraId="4BEFD642">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四、商务条款偏离表；（必须提供，否则作无效投标处理）</w:t>
      </w:r>
    </w:p>
    <w:p w14:paraId="3EA8AC44">
      <w:pPr>
        <w:jc w:val="center"/>
        <w:rPr>
          <w:rFonts w:hint="eastAsia" w:ascii="仿宋" w:hAnsi="仿宋" w:eastAsia="仿宋" w:cs="仿宋"/>
          <w:b/>
          <w:color w:val="auto"/>
          <w:sz w:val="24"/>
          <w:szCs w:val="20"/>
          <w:highlight w:val="none"/>
        </w:rPr>
      </w:pPr>
      <w:r>
        <w:rPr>
          <w:rFonts w:hint="eastAsia" w:ascii="仿宋" w:hAnsi="仿宋" w:eastAsia="仿宋" w:cs="仿宋"/>
          <w:color w:val="auto"/>
          <w:sz w:val="30"/>
          <w:szCs w:val="20"/>
          <w:highlight w:val="none"/>
        </w:rPr>
        <w:t>(注：按项目需求表具体项目修改)</w:t>
      </w:r>
    </w:p>
    <w:p w14:paraId="7D79B196">
      <w:pPr>
        <w:snapToGrid w:val="0"/>
        <w:spacing w:before="50"/>
        <w:jc w:val="left"/>
        <w:rPr>
          <w:rFonts w:hint="eastAsia" w:ascii="仿宋" w:hAnsi="仿宋" w:eastAsia="仿宋" w:cs="仿宋"/>
          <w:color w:val="auto"/>
          <w:sz w:val="24"/>
          <w:highlight w:val="none"/>
        </w:rPr>
      </w:pPr>
    </w:p>
    <w:p w14:paraId="2561FA48">
      <w:pPr>
        <w:pStyle w:val="13"/>
        <w:spacing w:line="360" w:lineRule="auto"/>
        <w:ind w:left="-424" w:leftChars="-202" w:firstLine="846"/>
        <w:rPr>
          <w:rFonts w:hint="eastAsia" w:ascii="仿宋" w:hAnsi="仿宋" w:eastAsia="仿宋" w:cs="仿宋"/>
          <w:color w:val="auto"/>
          <w:sz w:val="24"/>
          <w:szCs w:val="24"/>
          <w:highlight w:val="none"/>
        </w:rPr>
      </w:pPr>
      <w:r>
        <w:rPr>
          <w:rFonts w:hint="eastAsia" w:ascii="仿宋" w:hAnsi="仿宋" w:eastAsia="仿宋" w:cs="仿宋"/>
          <w:color w:val="auto"/>
          <w:highlight w:val="none"/>
        </w:rPr>
        <w:t>请逐条对应本项目招标文件第二章“服务需求一览表”中“商务条款”的要求，详细填写相应的具体内容。“偏离说明”一栏应当选择“正偏离”、“负偏离”或“无偏离”进行填写。</w:t>
      </w:r>
    </w:p>
    <w:tbl>
      <w:tblPr>
        <w:tblStyle w:val="20"/>
        <w:tblpPr w:leftFromText="180" w:rightFromText="180" w:vertAnchor="text" w:horzAnchor="margin" w:tblpXSpec="center" w:tblpY="94"/>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63"/>
        <w:gridCol w:w="3186"/>
        <w:gridCol w:w="3353"/>
      </w:tblGrid>
      <w:tr w14:paraId="50A6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tcBorders>
              <w:top w:val="single" w:color="auto" w:sz="4" w:space="0"/>
              <w:left w:val="single" w:color="auto" w:sz="4" w:space="0"/>
              <w:right w:val="single" w:color="auto" w:sz="4" w:space="0"/>
            </w:tcBorders>
            <w:noWrap/>
          </w:tcPr>
          <w:p w14:paraId="12DD1263">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2663" w:type="dxa"/>
            <w:tcBorders>
              <w:top w:val="single" w:color="auto" w:sz="4" w:space="0"/>
              <w:left w:val="single" w:color="auto" w:sz="4" w:space="0"/>
              <w:bottom w:val="single" w:color="auto" w:sz="4" w:space="0"/>
              <w:right w:val="single" w:color="auto" w:sz="4" w:space="0"/>
            </w:tcBorders>
            <w:noWrap/>
          </w:tcPr>
          <w:p w14:paraId="241F2D12">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招标文件的商务需求</w:t>
            </w:r>
          </w:p>
        </w:tc>
        <w:tc>
          <w:tcPr>
            <w:tcW w:w="3186" w:type="dxa"/>
            <w:tcBorders>
              <w:top w:val="single" w:color="auto" w:sz="4" w:space="0"/>
              <w:left w:val="single" w:color="auto" w:sz="4" w:space="0"/>
              <w:right w:val="single" w:color="auto" w:sz="4" w:space="0"/>
            </w:tcBorders>
          </w:tcPr>
          <w:p w14:paraId="6664F709">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投标文件承诺的商务条款</w:t>
            </w:r>
          </w:p>
        </w:tc>
        <w:tc>
          <w:tcPr>
            <w:tcW w:w="3353" w:type="dxa"/>
            <w:tcBorders>
              <w:top w:val="single" w:color="auto" w:sz="4" w:space="0"/>
              <w:left w:val="single" w:color="auto" w:sz="4" w:space="0"/>
              <w:right w:val="single" w:color="auto" w:sz="4" w:space="0"/>
            </w:tcBorders>
          </w:tcPr>
          <w:p w14:paraId="2E816478">
            <w:pPr>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6361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Merge w:val="restart"/>
            <w:tcBorders>
              <w:top w:val="single" w:color="auto" w:sz="4" w:space="0"/>
              <w:left w:val="single" w:color="auto" w:sz="4" w:space="0"/>
              <w:right w:val="single" w:color="auto" w:sz="4" w:space="0"/>
            </w:tcBorders>
            <w:noWrap/>
          </w:tcPr>
          <w:p w14:paraId="4A66E58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2663" w:type="dxa"/>
            <w:tcBorders>
              <w:top w:val="single" w:color="auto" w:sz="4" w:space="0"/>
              <w:left w:val="single" w:color="auto" w:sz="4" w:space="0"/>
              <w:bottom w:val="single" w:color="auto" w:sz="4" w:space="0"/>
              <w:right w:val="single" w:color="auto" w:sz="4" w:space="0"/>
            </w:tcBorders>
            <w:noWrap/>
          </w:tcPr>
          <w:p w14:paraId="6714098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tc>
        <w:tc>
          <w:tcPr>
            <w:tcW w:w="3186" w:type="dxa"/>
            <w:tcBorders>
              <w:top w:val="single" w:color="auto" w:sz="4" w:space="0"/>
              <w:left w:val="single" w:color="auto" w:sz="4" w:space="0"/>
              <w:right w:val="single" w:color="auto" w:sz="4" w:space="0"/>
            </w:tcBorders>
          </w:tcPr>
          <w:p w14:paraId="67D17ED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tc>
        <w:tc>
          <w:tcPr>
            <w:tcW w:w="3353" w:type="dxa"/>
            <w:tcBorders>
              <w:top w:val="single" w:color="auto" w:sz="4" w:space="0"/>
              <w:left w:val="single" w:color="auto" w:sz="4" w:space="0"/>
              <w:right w:val="single" w:color="auto" w:sz="4" w:space="0"/>
            </w:tcBorders>
          </w:tcPr>
          <w:p w14:paraId="77EC1D8E">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5A6AFEB0">
            <w:pPr>
              <w:spacing w:line="300" w:lineRule="exact"/>
              <w:rPr>
                <w:rFonts w:hint="eastAsia" w:ascii="仿宋" w:hAnsi="仿宋" w:eastAsia="仿宋" w:cs="仿宋"/>
                <w:color w:val="auto"/>
                <w:szCs w:val="21"/>
                <w:highlight w:val="none"/>
              </w:rPr>
            </w:pPr>
          </w:p>
        </w:tc>
      </w:tr>
      <w:tr w14:paraId="53A4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vMerge w:val="continue"/>
            <w:tcBorders>
              <w:left w:val="single" w:color="auto" w:sz="4" w:space="0"/>
              <w:right w:val="single" w:color="auto" w:sz="4" w:space="0"/>
            </w:tcBorders>
            <w:noWrap/>
          </w:tcPr>
          <w:p w14:paraId="7907E6FA">
            <w:pPr>
              <w:spacing w:line="340" w:lineRule="exact"/>
              <w:rPr>
                <w:rFonts w:hint="eastAsia" w:ascii="仿宋" w:hAnsi="仿宋" w:eastAsia="仿宋" w:cs="仿宋"/>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noWrap/>
          </w:tcPr>
          <w:p w14:paraId="3F0A5212">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245BE0F7">
            <w:pPr>
              <w:spacing w:line="340" w:lineRule="exact"/>
              <w:rPr>
                <w:rFonts w:hint="eastAsia" w:ascii="仿宋" w:hAnsi="仿宋" w:eastAsia="仿宋" w:cs="仿宋"/>
                <w:color w:val="auto"/>
                <w:szCs w:val="21"/>
                <w:highlight w:val="none"/>
              </w:rPr>
            </w:pPr>
          </w:p>
        </w:tc>
        <w:tc>
          <w:tcPr>
            <w:tcW w:w="3186" w:type="dxa"/>
            <w:tcBorders>
              <w:left w:val="single" w:color="auto" w:sz="4" w:space="0"/>
              <w:right w:val="single" w:color="auto" w:sz="4" w:space="0"/>
            </w:tcBorders>
          </w:tcPr>
          <w:p w14:paraId="28E672AA">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40943926">
            <w:pPr>
              <w:spacing w:line="300" w:lineRule="exact"/>
              <w:rPr>
                <w:rFonts w:hint="eastAsia" w:ascii="仿宋" w:hAnsi="仿宋" w:eastAsia="仿宋" w:cs="仿宋"/>
                <w:color w:val="auto"/>
                <w:szCs w:val="21"/>
                <w:highlight w:val="none"/>
              </w:rPr>
            </w:pPr>
          </w:p>
        </w:tc>
        <w:tc>
          <w:tcPr>
            <w:tcW w:w="3353" w:type="dxa"/>
            <w:tcBorders>
              <w:left w:val="single" w:color="auto" w:sz="4" w:space="0"/>
              <w:right w:val="single" w:color="auto" w:sz="4" w:space="0"/>
            </w:tcBorders>
          </w:tcPr>
          <w:p w14:paraId="24B7D2DD">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578F36F6">
            <w:pPr>
              <w:spacing w:line="300" w:lineRule="exact"/>
              <w:rPr>
                <w:rFonts w:hint="eastAsia" w:ascii="仿宋" w:hAnsi="仿宋" w:eastAsia="仿宋" w:cs="仿宋"/>
                <w:color w:val="auto"/>
                <w:szCs w:val="21"/>
                <w:highlight w:val="none"/>
              </w:rPr>
            </w:pPr>
          </w:p>
        </w:tc>
      </w:tr>
      <w:tr w14:paraId="7333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vMerge w:val="continue"/>
            <w:tcBorders>
              <w:left w:val="single" w:color="auto" w:sz="4" w:space="0"/>
              <w:right w:val="single" w:color="auto" w:sz="4" w:space="0"/>
            </w:tcBorders>
            <w:noWrap/>
          </w:tcPr>
          <w:p w14:paraId="2C91EC71">
            <w:pPr>
              <w:spacing w:line="340" w:lineRule="exact"/>
              <w:rPr>
                <w:rFonts w:hint="eastAsia" w:ascii="仿宋" w:hAnsi="仿宋" w:eastAsia="仿宋" w:cs="仿宋"/>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noWrap/>
          </w:tcPr>
          <w:p w14:paraId="44CD1A20">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389DF574">
            <w:pPr>
              <w:spacing w:line="340" w:lineRule="exact"/>
              <w:rPr>
                <w:rFonts w:hint="eastAsia" w:ascii="仿宋" w:hAnsi="仿宋" w:eastAsia="仿宋" w:cs="仿宋"/>
                <w:color w:val="auto"/>
                <w:szCs w:val="21"/>
                <w:highlight w:val="none"/>
              </w:rPr>
            </w:pPr>
          </w:p>
        </w:tc>
        <w:tc>
          <w:tcPr>
            <w:tcW w:w="3186" w:type="dxa"/>
            <w:tcBorders>
              <w:left w:val="single" w:color="auto" w:sz="4" w:space="0"/>
              <w:right w:val="single" w:color="auto" w:sz="4" w:space="0"/>
            </w:tcBorders>
          </w:tcPr>
          <w:p w14:paraId="15C3CCEE">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5B98FB44">
            <w:pPr>
              <w:spacing w:line="300" w:lineRule="exact"/>
              <w:rPr>
                <w:rFonts w:hint="eastAsia" w:ascii="仿宋" w:hAnsi="仿宋" w:eastAsia="仿宋" w:cs="仿宋"/>
                <w:color w:val="auto"/>
                <w:szCs w:val="21"/>
                <w:highlight w:val="none"/>
              </w:rPr>
            </w:pPr>
          </w:p>
        </w:tc>
        <w:tc>
          <w:tcPr>
            <w:tcW w:w="3353" w:type="dxa"/>
            <w:tcBorders>
              <w:left w:val="single" w:color="auto" w:sz="4" w:space="0"/>
              <w:right w:val="single" w:color="auto" w:sz="4" w:space="0"/>
            </w:tcBorders>
          </w:tcPr>
          <w:p w14:paraId="3070C5E8">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73E05F2B">
            <w:pPr>
              <w:spacing w:line="300" w:lineRule="exact"/>
              <w:rPr>
                <w:rFonts w:hint="eastAsia" w:ascii="仿宋" w:hAnsi="仿宋" w:eastAsia="仿宋" w:cs="仿宋"/>
                <w:color w:val="auto"/>
                <w:szCs w:val="21"/>
                <w:highlight w:val="none"/>
              </w:rPr>
            </w:pPr>
          </w:p>
        </w:tc>
      </w:tr>
      <w:tr w14:paraId="60A3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6" w:type="dxa"/>
            <w:vMerge w:val="continue"/>
            <w:tcBorders>
              <w:left w:val="single" w:color="auto" w:sz="4" w:space="0"/>
              <w:bottom w:val="single" w:color="auto" w:sz="4" w:space="0"/>
              <w:right w:val="single" w:color="auto" w:sz="4" w:space="0"/>
            </w:tcBorders>
            <w:noWrap/>
          </w:tcPr>
          <w:p w14:paraId="4367E7E6">
            <w:pPr>
              <w:spacing w:line="340" w:lineRule="exact"/>
              <w:rPr>
                <w:rFonts w:hint="eastAsia" w:ascii="仿宋" w:hAnsi="仿宋" w:eastAsia="仿宋" w:cs="仿宋"/>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noWrap/>
          </w:tcPr>
          <w:p w14:paraId="5630BD90">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186" w:type="dxa"/>
            <w:tcBorders>
              <w:left w:val="single" w:color="auto" w:sz="4" w:space="0"/>
              <w:bottom w:val="single" w:color="auto" w:sz="4" w:space="0"/>
              <w:right w:val="single" w:color="auto" w:sz="4" w:space="0"/>
            </w:tcBorders>
          </w:tcPr>
          <w:p w14:paraId="67902274">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353" w:type="dxa"/>
            <w:tcBorders>
              <w:left w:val="single" w:color="auto" w:sz="4" w:space="0"/>
              <w:bottom w:val="single" w:color="auto" w:sz="4" w:space="0"/>
              <w:right w:val="single" w:color="auto" w:sz="4" w:space="0"/>
            </w:tcBorders>
          </w:tcPr>
          <w:p w14:paraId="085BCF75">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2641EA10">
            <w:pPr>
              <w:spacing w:line="300" w:lineRule="exact"/>
              <w:rPr>
                <w:rFonts w:hint="eastAsia" w:ascii="仿宋" w:hAnsi="仿宋" w:eastAsia="仿宋" w:cs="仿宋"/>
                <w:color w:val="auto"/>
                <w:szCs w:val="21"/>
                <w:highlight w:val="none"/>
              </w:rPr>
            </w:pPr>
          </w:p>
        </w:tc>
      </w:tr>
      <w:tr w14:paraId="38E3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Merge w:val="restart"/>
            <w:tcBorders>
              <w:top w:val="single" w:color="auto" w:sz="4" w:space="0"/>
              <w:left w:val="single" w:color="auto" w:sz="4" w:space="0"/>
              <w:right w:val="single" w:color="auto" w:sz="4" w:space="0"/>
            </w:tcBorders>
            <w:noWrap/>
          </w:tcPr>
          <w:p w14:paraId="3DB5A778">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63" w:type="dxa"/>
            <w:tcBorders>
              <w:top w:val="single" w:color="auto" w:sz="4" w:space="0"/>
              <w:left w:val="single" w:color="auto" w:sz="4" w:space="0"/>
              <w:bottom w:val="single" w:color="auto" w:sz="4" w:space="0"/>
              <w:right w:val="single" w:color="auto" w:sz="4" w:space="0"/>
            </w:tcBorders>
            <w:noWrap/>
          </w:tcPr>
          <w:p w14:paraId="48CC438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tc>
        <w:tc>
          <w:tcPr>
            <w:tcW w:w="3186" w:type="dxa"/>
            <w:tcBorders>
              <w:top w:val="single" w:color="auto" w:sz="4" w:space="0"/>
              <w:left w:val="single" w:color="auto" w:sz="4" w:space="0"/>
              <w:right w:val="single" w:color="auto" w:sz="4" w:space="0"/>
            </w:tcBorders>
          </w:tcPr>
          <w:p w14:paraId="0A3F8D3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tc>
        <w:tc>
          <w:tcPr>
            <w:tcW w:w="3353" w:type="dxa"/>
            <w:tcBorders>
              <w:top w:val="single" w:color="auto" w:sz="4" w:space="0"/>
              <w:left w:val="single" w:color="auto" w:sz="4" w:space="0"/>
              <w:right w:val="single" w:color="auto" w:sz="4" w:space="0"/>
            </w:tcBorders>
          </w:tcPr>
          <w:p w14:paraId="2AF2A906">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4B32BFF3">
            <w:pPr>
              <w:spacing w:line="300" w:lineRule="exact"/>
              <w:rPr>
                <w:rFonts w:hint="eastAsia" w:ascii="仿宋" w:hAnsi="仿宋" w:eastAsia="仿宋" w:cs="仿宋"/>
                <w:color w:val="auto"/>
                <w:szCs w:val="21"/>
                <w:highlight w:val="none"/>
              </w:rPr>
            </w:pPr>
          </w:p>
        </w:tc>
      </w:tr>
      <w:tr w14:paraId="329A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vMerge w:val="continue"/>
            <w:tcBorders>
              <w:left w:val="single" w:color="auto" w:sz="4" w:space="0"/>
              <w:right w:val="single" w:color="auto" w:sz="4" w:space="0"/>
            </w:tcBorders>
            <w:noWrap/>
          </w:tcPr>
          <w:p w14:paraId="175640FF">
            <w:pPr>
              <w:spacing w:line="340" w:lineRule="exact"/>
              <w:rPr>
                <w:rFonts w:hint="eastAsia" w:ascii="仿宋" w:hAnsi="仿宋" w:eastAsia="仿宋" w:cs="仿宋"/>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noWrap/>
          </w:tcPr>
          <w:p w14:paraId="002D4DAB">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203E6B4F">
            <w:pPr>
              <w:spacing w:line="340" w:lineRule="exact"/>
              <w:rPr>
                <w:rFonts w:hint="eastAsia" w:ascii="仿宋" w:hAnsi="仿宋" w:eastAsia="仿宋" w:cs="仿宋"/>
                <w:color w:val="auto"/>
                <w:szCs w:val="21"/>
                <w:highlight w:val="none"/>
              </w:rPr>
            </w:pPr>
          </w:p>
        </w:tc>
        <w:tc>
          <w:tcPr>
            <w:tcW w:w="3186" w:type="dxa"/>
            <w:tcBorders>
              <w:left w:val="single" w:color="auto" w:sz="4" w:space="0"/>
              <w:right w:val="single" w:color="auto" w:sz="4" w:space="0"/>
            </w:tcBorders>
          </w:tcPr>
          <w:p w14:paraId="41A64BDC">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386F4DBA">
            <w:pPr>
              <w:spacing w:line="300" w:lineRule="exact"/>
              <w:rPr>
                <w:rFonts w:hint="eastAsia" w:ascii="仿宋" w:hAnsi="仿宋" w:eastAsia="仿宋" w:cs="仿宋"/>
                <w:color w:val="auto"/>
                <w:szCs w:val="21"/>
                <w:highlight w:val="none"/>
              </w:rPr>
            </w:pPr>
          </w:p>
        </w:tc>
        <w:tc>
          <w:tcPr>
            <w:tcW w:w="3353" w:type="dxa"/>
            <w:tcBorders>
              <w:left w:val="single" w:color="auto" w:sz="4" w:space="0"/>
              <w:right w:val="single" w:color="auto" w:sz="4" w:space="0"/>
            </w:tcBorders>
          </w:tcPr>
          <w:p w14:paraId="6A1B5BE5">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5700E916">
            <w:pPr>
              <w:spacing w:line="300" w:lineRule="exact"/>
              <w:rPr>
                <w:rFonts w:hint="eastAsia" w:ascii="仿宋" w:hAnsi="仿宋" w:eastAsia="仿宋" w:cs="仿宋"/>
                <w:color w:val="auto"/>
                <w:szCs w:val="21"/>
                <w:highlight w:val="none"/>
              </w:rPr>
            </w:pPr>
          </w:p>
        </w:tc>
      </w:tr>
      <w:tr w14:paraId="5BB2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vMerge w:val="continue"/>
            <w:tcBorders>
              <w:left w:val="single" w:color="auto" w:sz="4" w:space="0"/>
              <w:right w:val="single" w:color="auto" w:sz="4" w:space="0"/>
            </w:tcBorders>
            <w:noWrap/>
          </w:tcPr>
          <w:p w14:paraId="2BC3385B">
            <w:pPr>
              <w:spacing w:line="340" w:lineRule="exact"/>
              <w:rPr>
                <w:rFonts w:hint="eastAsia" w:ascii="仿宋" w:hAnsi="仿宋" w:eastAsia="仿宋" w:cs="仿宋"/>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noWrap/>
          </w:tcPr>
          <w:p w14:paraId="48D5F47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38EC57B4">
            <w:pPr>
              <w:spacing w:line="340" w:lineRule="exact"/>
              <w:rPr>
                <w:rFonts w:hint="eastAsia" w:ascii="仿宋" w:hAnsi="仿宋" w:eastAsia="仿宋" w:cs="仿宋"/>
                <w:color w:val="auto"/>
                <w:szCs w:val="21"/>
                <w:highlight w:val="none"/>
              </w:rPr>
            </w:pPr>
          </w:p>
        </w:tc>
        <w:tc>
          <w:tcPr>
            <w:tcW w:w="3186" w:type="dxa"/>
            <w:tcBorders>
              <w:left w:val="single" w:color="auto" w:sz="4" w:space="0"/>
              <w:right w:val="single" w:color="auto" w:sz="4" w:space="0"/>
            </w:tcBorders>
          </w:tcPr>
          <w:p w14:paraId="0B8A2DFB">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2F1625B6">
            <w:pPr>
              <w:spacing w:line="300" w:lineRule="exact"/>
              <w:rPr>
                <w:rFonts w:hint="eastAsia" w:ascii="仿宋" w:hAnsi="仿宋" w:eastAsia="仿宋" w:cs="仿宋"/>
                <w:color w:val="auto"/>
                <w:szCs w:val="21"/>
                <w:highlight w:val="none"/>
              </w:rPr>
            </w:pPr>
          </w:p>
        </w:tc>
        <w:tc>
          <w:tcPr>
            <w:tcW w:w="3353" w:type="dxa"/>
            <w:tcBorders>
              <w:left w:val="single" w:color="auto" w:sz="4" w:space="0"/>
              <w:right w:val="single" w:color="auto" w:sz="4" w:space="0"/>
            </w:tcBorders>
          </w:tcPr>
          <w:p w14:paraId="58962927">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0FC1364D">
            <w:pPr>
              <w:spacing w:line="300" w:lineRule="exact"/>
              <w:rPr>
                <w:rFonts w:hint="eastAsia" w:ascii="仿宋" w:hAnsi="仿宋" w:eastAsia="仿宋" w:cs="仿宋"/>
                <w:color w:val="auto"/>
                <w:szCs w:val="21"/>
                <w:highlight w:val="none"/>
              </w:rPr>
            </w:pPr>
          </w:p>
        </w:tc>
      </w:tr>
      <w:tr w14:paraId="552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6" w:type="dxa"/>
            <w:vMerge w:val="continue"/>
            <w:tcBorders>
              <w:left w:val="single" w:color="auto" w:sz="4" w:space="0"/>
              <w:bottom w:val="single" w:color="auto" w:sz="4" w:space="0"/>
              <w:right w:val="single" w:color="auto" w:sz="4" w:space="0"/>
            </w:tcBorders>
            <w:noWrap/>
          </w:tcPr>
          <w:p w14:paraId="4F679457">
            <w:pPr>
              <w:spacing w:line="340" w:lineRule="exact"/>
              <w:rPr>
                <w:rFonts w:hint="eastAsia" w:ascii="仿宋" w:hAnsi="仿宋" w:eastAsia="仿宋" w:cs="仿宋"/>
                <w:color w:val="auto"/>
                <w:szCs w:val="21"/>
                <w:highlight w:val="none"/>
              </w:rPr>
            </w:pPr>
          </w:p>
        </w:tc>
        <w:tc>
          <w:tcPr>
            <w:tcW w:w="2663" w:type="dxa"/>
            <w:tcBorders>
              <w:top w:val="single" w:color="auto" w:sz="4" w:space="0"/>
              <w:left w:val="single" w:color="auto" w:sz="4" w:space="0"/>
              <w:bottom w:val="single" w:color="auto" w:sz="4" w:space="0"/>
              <w:right w:val="single" w:color="auto" w:sz="4" w:space="0"/>
            </w:tcBorders>
            <w:noWrap/>
          </w:tcPr>
          <w:p w14:paraId="410BED69">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186" w:type="dxa"/>
            <w:tcBorders>
              <w:left w:val="single" w:color="auto" w:sz="4" w:space="0"/>
              <w:bottom w:val="single" w:color="auto" w:sz="4" w:space="0"/>
              <w:right w:val="single" w:color="auto" w:sz="4" w:space="0"/>
            </w:tcBorders>
          </w:tcPr>
          <w:p w14:paraId="2111BB3F">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353" w:type="dxa"/>
            <w:tcBorders>
              <w:left w:val="single" w:color="auto" w:sz="4" w:space="0"/>
              <w:bottom w:val="single" w:color="auto" w:sz="4" w:space="0"/>
              <w:right w:val="single" w:color="auto" w:sz="4" w:space="0"/>
            </w:tcBorders>
          </w:tcPr>
          <w:p w14:paraId="6C7F5AB2">
            <w:pPr>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p w14:paraId="5C52410C">
            <w:pPr>
              <w:spacing w:line="300" w:lineRule="exact"/>
              <w:rPr>
                <w:rFonts w:hint="eastAsia" w:ascii="仿宋" w:hAnsi="仿宋" w:eastAsia="仿宋" w:cs="仿宋"/>
                <w:color w:val="auto"/>
                <w:szCs w:val="21"/>
                <w:highlight w:val="none"/>
              </w:rPr>
            </w:pPr>
          </w:p>
        </w:tc>
      </w:tr>
      <w:tr w14:paraId="5852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18" w:type="dxa"/>
            <w:gridSpan w:val="4"/>
            <w:tcBorders>
              <w:top w:val="single" w:color="auto" w:sz="4" w:space="0"/>
              <w:left w:val="single" w:color="auto" w:sz="4" w:space="0"/>
              <w:bottom w:val="single" w:color="auto" w:sz="4" w:space="0"/>
              <w:right w:val="single" w:color="auto" w:sz="4" w:space="0"/>
            </w:tcBorders>
            <w:noWrap/>
          </w:tcPr>
          <w:p w14:paraId="214AACFB">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分标（此处有分标时填写具体分标号，无分标时填写“无”）</w:t>
            </w:r>
          </w:p>
        </w:tc>
      </w:tr>
    </w:tbl>
    <w:p w14:paraId="0D5B50D5">
      <w:pPr>
        <w:pStyle w:val="13"/>
        <w:spacing w:line="360" w:lineRule="auto"/>
        <w:ind w:left="-708" w:leftChars="-337" w:firstLine="400" w:firstLineChars="200"/>
        <w:rPr>
          <w:rFonts w:hint="eastAsia" w:ascii="仿宋" w:hAnsi="仿宋" w:eastAsia="仿宋" w:cs="仿宋"/>
          <w:color w:val="auto"/>
          <w:highlight w:val="none"/>
        </w:rPr>
      </w:pPr>
    </w:p>
    <w:p w14:paraId="3BBC2F8B">
      <w:pPr>
        <w:pStyle w:val="13"/>
        <w:spacing w:line="360" w:lineRule="auto"/>
        <w:ind w:left="-708" w:leftChars="-337" w:firstLine="600" w:firstLineChars="300"/>
        <w:rPr>
          <w:rFonts w:hint="eastAsia" w:ascii="仿宋" w:hAnsi="仿宋" w:eastAsia="仿宋" w:cs="仿宋"/>
          <w:color w:val="auto"/>
          <w:highlight w:val="none"/>
        </w:rPr>
      </w:pPr>
      <w:r>
        <w:rPr>
          <w:rFonts w:hint="eastAsia" w:ascii="仿宋" w:hAnsi="仿宋" w:eastAsia="仿宋" w:cs="仿宋"/>
          <w:color w:val="auto"/>
          <w:highlight w:val="none"/>
        </w:rPr>
        <w:t>注：</w:t>
      </w:r>
    </w:p>
    <w:p w14:paraId="352C4F4D">
      <w:pPr>
        <w:pStyle w:val="13"/>
        <w:spacing w:line="360" w:lineRule="auto"/>
        <w:ind w:left="-208" w:leftChars="-99" w:firstLine="300" w:firstLineChars="150"/>
        <w:rPr>
          <w:rFonts w:hint="eastAsia" w:ascii="仿宋" w:hAnsi="仿宋" w:eastAsia="仿宋" w:cs="仿宋"/>
          <w:color w:val="auto"/>
          <w:highlight w:val="none"/>
        </w:rPr>
      </w:pPr>
      <w:r>
        <w:rPr>
          <w:rFonts w:hint="eastAsia" w:ascii="仿宋" w:hAnsi="仿宋" w:eastAsia="仿宋" w:cs="仿宋"/>
          <w:color w:val="auto"/>
          <w:highlight w:val="none"/>
        </w:rPr>
        <w:t>1.表格内容均需按要求填写并盖章，不得留空，否则按投标无效处理。</w:t>
      </w:r>
    </w:p>
    <w:p w14:paraId="1A74A1AC">
      <w:pPr>
        <w:pStyle w:val="13"/>
        <w:spacing w:line="360" w:lineRule="auto"/>
        <w:ind w:left="-208" w:leftChars="-99" w:firstLine="300" w:firstLineChars="150"/>
        <w:rPr>
          <w:rFonts w:hint="eastAsia" w:ascii="仿宋" w:hAnsi="仿宋" w:eastAsia="仿宋" w:cs="仿宋"/>
          <w:color w:val="auto"/>
          <w:highlight w:val="none"/>
        </w:rPr>
      </w:pPr>
      <w:r>
        <w:rPr>
          <w:rFonts w:hint="eastAsia" w:ascii="仿宋" w:hAnsi="仿宋" w:eastAsia="仿宋" w:cs="仿宋"/>
          <w:color w:val="auto"/>
          <w:highlight w:val="none"/>
        </w:rPr>
        <w:t>2.当投标文件的商务内容低于招标文件要求时，投标人应当如实写明“负偏离”，否则视为虚假应标。</w:t>
      </w:r>
    </w:p>
    <w:p w14:paraId="70F0B2A8">
      <w:pPr>
        <w:pStyle w:val="13"/>
        <w:spacing w:line="360" w:lineRule="auto"/>
        <w:ind w:left="-208" w:leftChars="-99" w:firstLine="300" w:firstLineChars="150"/>
        <w:rPr>
          <w:rFonts w:hint="eastAsia" w:ascii="仿宋" w:hAnsi="仿宋" w:eastAsia="仿宋" w:cs="仿宋"/>
          <w:color w:val="auto"/>
          <w:highlight w:val="none"/>
        </w:rPr>
      </w:pPr>
      <w:r>
        <w:rPr>
          <w:rFonts w:hint="eastAsia" w:ascii="仿宋" w:hAnsi="仿宋" w:eastAsia="仿宋" w:cs="仿宋"/>
          <w:color w:val="auto"/>
          <w:szCs w:val="21"/>
          <w:highlight w:val="none"/>
        </w:rPr>
        <w:t>3.采购需求中带“▲”及“★”的条款，也要分别在本表“投标文件的商务需求”、“投标文件承诺的商务条款”中标记。</w:t>
      </w:r>
    </w:p>
    <w:p w14:paraId="50D20505">
      <w:pPr>
        <w:snapToGrid w:val="0"/>
        <w:spacing w:before="50" w:after="50"/>
        <w:rPr>
          <w:rFonts w:hint="eastAsia" w:ascii="仿宋" w:hAnsi="仿宋" w:eastAsia="仿宋" w:cs="仿宋"/>
          <w:color w:val="auto"/>
          <w:sz w:val="24"/>
          <w:highlight w:val="none"/>
        </w:rPr>
      </w:pPr>
    </w:p>
    <w:p w14:paraId="02134381">
      <w:pPr>
        <w:snapToGrid w:val="0"/>
        <w:spacing w:line="360" w:lineRule="auto"/>
        <w:ind w:firstLine="5040" w:firstLineChars="2400"/>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投标人名称(电子签章)：</w:t>
      </w:r>
    </w:p>
    <w:p w14:paraId="076A80F9">
      <w:pPr>
        <w:snapToGrid w:val="0"/>
        <w:spacing w:line="360" w:lineRule="auto"/>
        <w:ind w:firstLine="7140" w:firstLineChars="2975"/>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54803D7">
      <w:pPr>
        <w:snapToGrid w:val="0"/>
        <w:spacing w:line="360" w:lineRule="auto"/>
        <w:ind w:firstLine="5160" w:firstLineChars="2150"/>
        <w:rPr>
          <w:rFonts w:hint="eastAsia" w:ascii="仿宋" w:hAnsi="仿宋" w:eastAsia="仿宋" w:cs="仿宋"/>
          <w:color w:val="auto"/>
          <w:kern w:val="0"/>
          <w:sz w:val="24"/>
          <w:highlight w:val="none"/>
          <w:lang w:val="zh-CN"/>
        </w:rPr>
      </w:pPr>
    </w:p>
    <w:p w14:paraId="219EF9DE">
      <w:pPr>
        <w:widowControl/>
        <w:jc w:val="left"/>
        <w:rPr>
          <w:rFonts w:hint="eastAsia" w:ascii="仿宋" w:hAnsi="仿宋" w:eastAsia="仿宋" w:cs="仿宋"/>
          <w:color w:val="auto"/>
          <w:szCs w:val="21"/>
          <w:highlight w:val="none"/>
        </w:rPr>
        <w:sectPr>
          <w:pgSz w:w="11906" w:h="16838"/>
          <w:pgMar w:top="1440" w:right="1080" w:bottom="1440" w:left="1080" w:header="851" w:footer="992" w:gutter="0"/>
          <w:cols w:space="720" w:num="1"/>
        </w:sectPr>
      </w:pPr>
    </w:p>
    <w:p w14:paraId="4D96DB4F">
      <w:pPr>
        <w:snapToGrid w:val="0"/>
        <w:spacing w:before="165" w:beforeLines="50" w:after="50"/>
        <w:ind w:firstLine="602" w:firstLineChars="20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五、投标人情况介绍；（如有，请提供）</w:t>
      </w:r>
    </w:p>
    <w:p w14:paraId="325D969D">
      <w:pPr>
        <w:spacing w:line="360" w:lineRule="auto"/>
        <w:ind w:firstLine="4048" w:firstLineChars="1687"/>
        <w:rPr>
          <w:rFonts w:hint="eastAsia" w:ascii="仿宋" w:hAnsi="仿宋" w:eastAsia="仿宋" w:cs="仿宋"/>
          <w:color w:val="auto"/>
          <w:sz w:val="24"/>
          <w:highlight w:val="none"/>
        </w:rPr>
      </w:pPr>
    </w:p>
    <w:p w14:paraId="002CE69E">
      <w:pPr>
        <w:spacing w:line="360" w:lineRule="auto"/>
        <w:ind w:firstLine="4048" w:firstLineChars="1687"/>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（格式自拟）</w:t>
      </w:r>
    </w:p>
    <w:p w14:paraId="25DB2A03">
      <w:pPr>
        <w:snapToGrid w:val="0"/>
        <w:spacing w:line="360" w:lineRule="auto"/>
        <w:ind w:firstLine="4935" w:firstLineChars="2350"/>
        <w:rPr>
          <w:rFonts w:hint="eastAsia" w:ascii="仿宋" w:hAnsi="仿宋" w:eastAsia="仿宋" w:cs="仿宋"/>
          <w:color w:val="auto"/>
          <w:szCs w:val="21"/>
          <w:highlight w:val="none"/>
        </w:rPr>
      </w:pPr>
    </w:p>
    <w:p w14:paraId="0C6F36C7">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75A285AB">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3D6D9E8">
      <w:pPr>
        <w:snapToGrid w:val="0"/>
        <w:spacing w:before="165" w:beforeLines="50" w:after="50"/>
        <w:ind w:firstLine="602" w:firstLineChars="200"/>
        <w:jc w:val="center"/>
        <w:rPr>
          <w:rFonts w:hint="eastAsia" w:ascii="仿宋" w:hAnsi="仿宋" w:eastAsia="仿宋" w:cs="仿宋"/>
          <w:b/>
          <w:bCs/>
          <w:color w:val="auto"/>
          <w:sz w:val="30"/>
          <w:szCs w:val="30"/>
          <w:highlight w:val="none"/>
        </w:rPr>
      </w:pPr>
    </w:p>
    <w:p w14:paraId="0E0BF039">
      <w:pPr>
        <w:snapToGrid w:val="0"/>
        <w:spacing w:before="165" w:beforeLines="50" w:after="50"/>
        <w:ind w:firstLine="602" w:firstLineChars="20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六、</w:t>
      </w:r>
      <w:r>
        <w:rPr>
          <w:rFonts w:hint="eastAsia" w:ascii="仿宋" w:hAnsi="仿宋" w:eastAsia="仿宋" w:cs="仿宋"/>
          <w:b/>
          <w:bCs/>
          <w:color w:val="auto"/>
          <w:sz w:val="30"/>
          <w:szCs w:val="30"/>
          <w:highlight w:val="none"/>
        </w:rPr>
        <w:t>投标人类似的业绩证明文件</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（如有，请提供）</w:t>
      </w:r>
    </w:p>
    <w:p w14:paraId="265C3137">
      <w:pPr>
        <w:pStyle w:val="17"/>
        <w:snapToGrid w:val="0"/>
        <w:ind w:left="0" w:firstLine="0" w:firstLineChars="0"/>
        <w:rPr>
          <w:rFonts w:hint="eastAsia" w:ascii="仿宋" w:hAnsi="仿宋" w:eastAsia="仿宋" w:cs="仿宋"/>
          <w:color w:val="auto"/>
          <w:sz w:val="24"/>
          <w:highlight w:val="none"/>
        </w:rPr>
      </w:pPr>
    </w:p>
    <w:tbl>
      <w:tblPr>
        <w:tblStyle w:val="20"/>
        <w:tblW w:w="9918" w:type="dxa"/>
        <w:tblInd w:w="5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0"/>
        <w:gridCol w:w="2328"/>
        <w:gridCol w:w="1167"/>
        <w:gridCol w:w="1061"/>
        <w:gridCol w:w="1061"/>
        <w:gridCol w:w="967"/>
        <w:gridCol w:w="1544"/>
      </w:tblGrid>
      <w:tr w14:paraId="1C4E0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0" w:hRule="atLeast"/>
        </w:trPr>
        <w:tc>
          <w:tcPr>
            <w:tcW w:w="1790" w:type="dxa"/>
            <w:vMerge w:val="restart"/>
            <w:tcBorders>
              <w:top w:val="single" w:color="auto" w:sz="4" w:space="0"/>
              <w:left w:val="single" w:color="auto" w:sz="4" w:space="0"/>
              <w:bottom w:val="single" w:color="auto" w:sz="4" w:space="0"/>
              <w:right w:val="single" w:color="auto" w:sz="4" w:space="0"/>
            </w:tcBorders>
            <w:vAlign w:val="center"/>
          </w:tcPr>
          <w:p w14:paraId="153CFBC4">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2328" w:type="dxa"/>
            <w:vMerge w:val="restart"/>
            <w:tcBorders>
              <w:top w:val="single" w:color="auto" w:sz="4" w:space="0"/>
              <w:left w:val="single" w:color="auto" w:sz="4" w:space="0"/>
              <w:bottom w:val="single" w:color="auto" w:sz="4" w:space="0"/>
              <w:right w:val="single" w:color="auto" w:sz="4" w:space="0"/>
            </w:tcBorders>
            <w:vAlign w:val="center"/>
          </w:tcPr>
          <w:p w14:paraId="794F3E74">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14:paraId="38AE38DC">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p w14:paraId="487412E8">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p w14:paraId="6EE7741D">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6458AEF2">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附件在投标文件中页码</w:t>
            </w:r>
          </w:p>
        </w:tc>
        <w:tc>
          <w:tcPr>
            <w:tcW w:w="1544" w:type="dxa"/>
            <w:vMerge w:val="restart"/>
            <w:tcBorders>
              <w:top w:val="single" w:color="auto" w:sz="4" w:space="0"/>
              <w:left w:val="single" w:color="auto" w:sz="4" w:space="0"/>
              <w:bottom w:val="single" w:color="auto" w:sz="4" w:space="0"/>
              <w:right w:val="single" w:color="auto" w:sz="4" w:space="0"/>
            </w:tcBorders>
            <w:vAlign w:val="center"/>
          </w:tcPr>
          <w:p w14:paraId="50075DED">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3A8B522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62C48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trPr>
        <w:tc>
          <w:tcPr>
            <w:tcW w:w="1790" w:type="dxa"/>
            <w:vMerge w:val="continue"/>
            <w:tcBorders>
              <w:top w:val="single" w:color="auto" w:sz="4" w:space="0"/>
              <w:left w:val="single" w:color="auto" w:sz="4" w:space="0"/>
              <w:bottom w:val="single" w:color="auto" w:sz="4" w:space="0"/>
              <w:right w:val="single" w:color="auto" w:sz="4" w:space="0"/>
            </w:tcBorders>
            <w:vAlign w:val="center"/>
          </w:tcPr>
          <w:p w14:paraId="4C36F242">
            <w:pPr>
              <w:widowControl/>
              <w:jc w:val="left"/>
              <w:rPr>
                <w:rFonts w:hint="eastAsia" w:ascii="仿宋" w:hAnsi="仿宋" w:eastAsia="仿宋" w:cs="仿宋"/>
                <w:color w:val="auto"/>
                <w:sz w:val="24"/>
                <w:highlight w:val="none"/>
              </w:rPr>
            </w:pPr>
          </w:p>
        </w:tc>
        <w:tc>
          <w:tcPr>
            <w:tcW w:w="2328" w:type="dxa"/>
            <w:vMerge w:val="continue"/>
            <w:tcBorders>
              <w:top w:val="single" w:color="auto" w:sz="4" w:space="0"/>
              <w:left w:val="single" w:color="auto" w:sz="4" w:space="0"/>
              <w:bottom w:val="single" w:color="auto" w:sz="4" w:space="0"/>
              <w:right w:val="single" w:color="auto" w:sz="4" w:space="0"/>
            </w:tcBorders>
            <w:vAlign w:val="center"/>
          </w:tcPr>
          <w:p w14:paraId="7146BEFD">
            <w:pPr>
              <w:widowControl/>
              <w:jc w:val="left"/>
              <w:rPr>
                <w:rFonts w:hint="eastAsia" w:ascii="仿宋" w:hAnsi="仿宋" w:eastAsia="仿宋" w:cs="仿宋"/>
                <w:color w:val="auto"/>
                <w:sz w:val="24"/>
                <w:highlight w:val="none"/>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14:paraId="07BC6F2B">
            <w:pPr>
              <w:widowControl/>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14:paraId="0654588C">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061" w:type="dxa"/>
            <w:tcBorders>
              <w:top w:val="single" w:color="auto" w:sz="4" w:space="0"/>
              <w:left w:val="single" w:color="auto" w:sz="4" w:space="0"/>
              <w:bottom w:val="single" w:color="auto" w:sz="4" w:space="0"/>
              <w:right w:val="single" w:color="auto" w:sz="4" w:space="0"/>
            </w:tcBorders>
            <w:vAlign w:val="center"/>
          </w:tcPr>
          <w:p w14:paraId="64510415">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验收报告</w:t>
            </w:r>
          </w:p>
        </w:tc>
        <w:tc>
          <w:tcPr>
            <w:tcW w:w="967" w:type="dxa"/>
            <w:tcBorders>
              <w:top w:val="single" w:color="auto" w:sz="4" w:space="0"/>
              <w:left w:val="single" w:color="auto" w:sz="4" w:space="0"/>
              <w:bottom w:val="single" w:color="auto" w:sz="4" w:space="0"/>
              <w:right w:val="single" w:color="auto" w:sz="4" w:space="0"/>
            </w:tcBorders>
            <w:vAlign w:val="center"/>
          </w:tcPr>
          <w:p w14:paraId="7B948F5F">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用户评价</w:t>
            </w:r>
          </w:p>
        </w:tc>
        <w:tc>
          <w:tcPr>
            <w:tcW w:w="1544" w:type="dxa"/>
            <w:vMerge w:val="continue"/>
            <w:tcBorders>
              <w:top w:val="single" w:color="auto" w:sz="4" w:space="0"/>
              <w:left w:val="single" w:color="auto" w:sz="4" w:space="0"/>
              <w:bottom w:val="single" w:color="auto" w:sz="4" w:space="0"/>
              <w:right w:val="single" w:color="auto" w:sz="4" w:space="0"/>
            </w:tcBorders>
            <w:vAlign w:val="center"/>
          </w:tcPr>
          <w:p w14:paraId="75268384">
            <w:pPr>
              <w:widowControl/>
              <w:jc w:val="left"/>
              <w:rPr>
                <w:rFonts w:hint="eastAsia" w:ascii="仿宋" w:hAnsi="仿宋" w:eastAsia="仿宋" w:cs="仿宋"/>
                <w:color w:val="auto"/>
                <w:sz w:val="24"/>
                <w:highlight w:val="none"/>
              </w:rPr>
            </w:pPr>
          </w:p>
        </w:tc>
      </w:tr>
      <w:tr w14:paraId="2199A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90" w:type="dxa"/>
            <w:tcBorders>
              <w:top w:val="single" w:color="auto" w:sz="4" w:space="0"/>
              <w:left w:val="single" w:color="auto" w:sz="4" w:space="0"/>
              <w:bottom w:val="single" w:color="auto" w:sz="4" w:space="0"/>
              <w:right w:val="single" w:color="auto" w:sz="4" w:space="0"/>
            </w:tcBorders>
          </w:tcPr>
          <w:p w14:paraId="6DEF5A42">
            <w:pPr>
              <w:snapToGrid w:val="0"/>
              <w:spacing w:line="240" w:lineRule="exact"/>
              <w:jc w:val="left"/>
              <w:rPr>
                <w:rFonts w:hint="eastAsia" w:ascii="仿宋" w:hAnsi="仿宋" w:eastAsia="仿宋" w:cs="仿宋"/>
                <w:color w:val="auto"/>
                <w:sz w:val="24"/>
                <w:highlight w:val="none"/>
              </w:rPr>
            </w:pPr>
          </w:p>
        </w:tc>
        <w:tc>
          <w:tcPr>
            <w:tcW w:w="2328" w:type="dxa"/>
            <w:tcBorders>
              <w:top w:val="single" w:color="auto" w:sz="4" w:space="0"/>
              <w:left w:val="single" w:color="auto" w:sz="4" w:space="0"/>
              <w:bottom w:val="single" w:color="auto" w:sz="4" w:space="0"/>
              <w:right w:val="single" w:color="auto" w:sz="4" w:space="0"/>
            </w:tcBorders>
          </w:tcPr>
          <w:p w14:paraId="2E5A545C">
            <w:pPr>
              <w:snapToGrid w:val="0"/>
              <w:spacing w:line="240" w:lineRule="exact"/>
              <w:jc w:val="left"/>
              <w:rPr>
                <w:rFonts w:hint="eastAsia" w:ascii="仿宋" w:hAnsi="仿宋" w:eastAsia="仿宋" w:cs="仿宋"/>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tcPr>
          <w:p w14:paraId="59EBAE3D">
            <w:pPr>
              <w:snapToGrid w:val="0"/>
              <w:spacing w:line="24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3122C6B6">
            <w:pPr>
              <w:snapToGrid w:val="0"/>
              <w:spacing w:line="24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655C7192">
            <w:pPr>
              <w:snapToGrid w:val="0"/>
              <w:spacing w:line="240" w:lineRule="exact"/>
              <w:jc w:val="left"/>
              <w:rPr>
                <w:rFonts w:hint="eastAsia" w:ascii="仿宋" w:hAnsi="仿宋" w:eastAsia="仿宋" w:cs="仿宋"/>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7CD55F52">
            <w:pPr>
              <w:snapToGrid w:val="0"/>
              <w:spacing w:line="240" w:lineRule="exact"/>
              <w:jc w:val="left"/>
              <w:rPr>
                <w:rFonts w:hint="eastAsia" w:ascii="仿宋" w:hAnsi="仿宋" w:eastAsia="仿宋" w:cs="仿宋"/>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tcPr>
          <w:p w14:paraId="046D589E">
            <w:pPr>
              <w:snapToGrid w:val="0"/>
              <w:spacing w:line="240" w:lineRule="exact"/>
              <w:jc w:val="left"/>
              <w:rPr>
                <w:rFonts w:hint="eastAsia" w:ascii="仿宋" w:hAnsi="仿宋" w:eastAsia="仿宋" w:cs="仿宋"/>
                <w:color w:val="auto"/>
                <w:sz w:val="24"/>
                <w:highlight w:val="none"/>
              </w:rPr>
            </w:pPr>
          </w:p>
        </w:tc>
      </w:tr>
      <w:tr w14:paraId="4CA0D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790" w:type="dxa"/>
            <w:tcBorders>
              <w:top w:val="single" w:color="auto" w:sz="4" w:space="0"/>
              <w:left w:val="single" w:color="auto" w:sz="4" w:space="0"/>
              <w:bottom w:val="single" w:color="auto" w:sz="4" w:space="0"/>
              <w:right w:val="single" w:color="auto" w:sz="4" w:space="0"/>
            </w:tcBorders>
          </w:tcPr>
          <w:p w14:paraId="33AA5ABD">
            <w:pPr>
              <w:snapToGrid w:val="0"/>
              <w:spacing w:before="50" w:after="165" w:afterLines="50" w:line="400" w:lineRule="exact"/>
              <w:jc w:val="left"/>
              <w:rPr>
                <w:rFonts w:hint="eastAsia" w:ascii="仿宋" w:hAnsi="仿宋" w:eastAsia="仿宋" w:cs="仿宋"/>
                <w:color w:val="auto"/>
                <w:sz w:val="24"/>
                <w:highlight w:val="none"/>
              </w:rPr>
            </w:pPr>
          </w:p>
        </w:tc>
        <w:tc>
          <w:tcPr>
            <w:tcW w:w="2328" w:type="dxa"/>
            <w:tcBorders>
              <w:top w:val="single" w:color="auto" w:sz="4" w:space="0"/>
              <w:left w:val="single" w:color="auto" w:sz="4" w:space="0"/>
              <w:bottom w:val="single" w:color="auto" w:sz="4" w:space="0"/>
              <w:right w:val="single" w:color="auto" w:sz="4" w:space="0"/>
            </w:tcBorders>
          </w:tcPr>
          <w:p w14:paraId="7FD6B09A">
            <w:pPr>
              <w:snapToGrid w:val="0"/>
              <w:spacing w:before="50" w:after="165" w:afterLines="50" w:line="400" w:lineRule="exact"/>
              <w:jc w:val="left"/>
              <w:rPr>
                <w:rFonts w:hint="eastAsia" w:ascii="仿宋" w:hAnsi="仿宋" w:eastAsia="仿宋" w:cs="仿宋"/>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tcPr>
          <w:p w14:paraId="0FF65EB5">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2B4F8C40">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0DB53222">
            <w:pPr>
              <w:snapToGrid w:val="0"/>
              <w:spacing w:before="50" w:after="165" w:afterLines="50" w:line="400" w:lineRule="exact"/>
              <w:jc w:val="left"/>
              <w:rPr>
                <w:rFonts w:hint="eastAsia" w:ascii="仿宋" w:hAnsi="仿宋" w:eastAsia="仿宋" w:cs="仿宋"/>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2FEDE811">
            <w:pPr>
              <w:snapToGrid w:val="0"/>
              <w:spacing w:before="50" w:after="165" w:afterLines="50" w:line="400" w:lineRule="exact"/>
              <w:jc w:val="left"/>
              <w:rPr>
                <w:rFonts w:hint="eastAsia" w:ascii="仿宋" w:hAnsi="仿宋" w:eastAsia="仿宋" w:cs="仿宋"/>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tcPr>
          <w:p w14:paraId="505A247E">
            <w:pPr>
              <w:snapToGrid w:val="0"/>
              <w:spacing w:before="50" w:after="165" w:afterLines="50" w:line="400" w:lineRule="exact"/>
              <w:jc w:val="left"/>
              <w:rPr>
                <w:rFonts w:hint="eastAsia" w:ascii="仿宋" w:hAnsi="仿宋" w:eastAsia="仿宋" w:cs="仿宋"/>
                <w:color w:val="auto"/>
                <w:sz w:val="24"/>
                <w:highlight w:val="none"/>
              </w:rPr>
            </w:pPr>
          </w:p>
        </w:tc>
      </w:tr>
      <w:tr w14:paraId="5AA32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790" w:type="dxa"/>
            <w:tcBorders>
              <w:top w:val="single" w:color="auto" w:sz="4" w:space="0"/>
              <w:left w:val="single" w:color="auto" w:sz="4" w:space="0"/>
              <w:bottom w:val="single" w:color="auto" w:sz="4" w:space="0"/>
              <w:right w:val="single" w:color="auto" w:sz="4" w:space="0"/>
            </w:tcBorders>
          </w:tcPr>
          <w:p w14:paraId="33037BE5">
            <w:pPr>
              <w:snapToGrid w:val="0"/>
              <w:spacing w:before="50" w:after="165" w:afterLines="50" w:line="400" w:lineRule="exact"/>
              <w:jc w:val="left"/>
              <w:rPr>
                <w:rFonts w:hint="eastAsia" w:ascii="仿宋" w:hAnsi="仿宋" w:eastAsia="仿宋" w:cs="仿宋"/>
                <w:color w:val="auto"/>
                <w:sz w:val="24"/>
                <w:highlight w:val="none"/>
              </w:rPr>
            </w:pPr>
          </w:p>
        </w:tc>
        <w:tc>
          <w:tcPr>
            <w:tcW w:w="2328" w:type="dxa"/>
            <w:tcBorders>
              <w:top w:val="single" w:color="auto" w:sz="4" w:space="0"/>
              <w:left w:val="single" w:color="auto" w:sz="4" w:space="0"/>
              <w:bottom w:val="single" w:color="auto" w:sz="4" w:space="0"/>
              <w:right w:val="single" w:color="auto" w:sz="4" w:space="0"/>
            </w:tcBorders>
          </w:tcPr>
          <w:p w14:paraId="6AB5E6FF">
            <w:pPr>
              <w:snapToGrid w:val="0"/>
              <w:spacing w:before="50" w:after="165" w:afterLines="50" w:line="400" w:lineRule="exact"/>
              <w:jc w:val="left"/>
              <w:rPr>
                <w:rFonts w:hint="eastAsia" w:ascii="仿宋" w:hAnsi="仿宋" w:eastAsia="仿宋" w:cs="仿宋"/>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tcPr>
          <w:p w14:paraId="76DB2792">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20B1B2C1">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6DBEBEF6">
            <w:pPr>
              <w:snapToGrid w:val="0"/>
              <w:spacing w:before="50" w:after="165" w:afterLines="50" w:line="400" w:lineRule="exact"/>
              <w:jc w:val="left"/>
              <w:rPr>
                <w:rFonts w:hint="eastAsia" w:ascii="仿宋" w:hAnsi="仿宋" w:eastAsia="仿宋" w:cs="仿宋"/>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A83E81B">
            <w:pPr>
              <w:snapToGrid w:val="0"/>
              <w:spacing w:before="50" w:after="165" w:afterLines="50" w:line="400" w:lineRule="exact"/>
              <w:jc w:val="left"/>
              <w:rPr>
                <w:rFonts w:hint="eastAsia" w:ascii="仿宋" w:hAnsi="仿宋" w:eastAsia="仿宋" w:cs="仿宋"/>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tcPr>
          <w:p w14:paraId="556FD431">
            <w:pPr>
              <w:snapToGrid w:val="0"/>
              <w:spacing w:before="50" w:after="165" w:afterLines="50" w:line="400" w:lineRule="exact"/>
              <w:jc w:val="left"/>
              <w:rPr>
                <w:rFonts w:hint="eastAsia" w:ascii="仿宋" w:hAnsi="仿宋" w:eastAsia="仿宋" w:cs="仿宋"/>
                <w:color w:val="auto"/>
                <w:sz w:val="24"/>
                <w:highlight w:val="none"/>
              </w:rPr>
            </w:pPr>
          </w:p>
        </w:tc>
      </w:tr>
      <w:tr w14:paraId="6009F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790" w:type="dxa"/>
            <w:tcBorders>
              <w:top w:val="single" w:color="auto" w:sz="4" w:space="0"/>
              <w:left w:val="single" w:color="auto" w:sz="4" w:space="0"/>
              <w:bottom w:val="single" w:color="auto" w:sz="4" w:space="0"/>
              <w:right w:val="single" w:color="auto" w:sz="4" w:space="0"/>
            </w:tcBorders>
          </w:tcPr>
          <w:p w14:paraId="0D8D6E43">
            <w:pPr>
              <w:snapToGrid w:val="0"/>
              <w:spacing w:before="50" w:after="165" w:afterLines="50" w:line="400" w:lineRule="exact"/>
              <w:jc w:val="left"/>
              <w:rPr>
                <w:rFonts w:hint="eastAsia" w:ascii="仿宋" w:hAnsi="仿宋" w:eastAsia="仿宋" w:cs="仿宋"/>
                <w:color w:val="auto"/>
                <w:sz w:val="24"/>
                <w:highlight w:val="none"/>
              </w:rPr>
            </w:pPr>
          </w:p>
        </w:tc>
        <w:tc>
          <w:tcPr>
            <w:tcW w:w="2328" w:type="dxa"/>
            <w:tcBorders>
              <w:top w:val="single" w:color="auto" w:sz="4" w:space="0"/>
              <w:left w:val="single" w:color="auto" w:sz="4" w:space="0"/>
              <w:bottom w:val="single" w:color="auto" w:sz="4" w:space="0"/>
              <w:right w:val="single" w:color="auto" w:sz="4" w:space="0"/>
            </w:tcBorders>
          </w:tcPr>
          <w:p w14:paraId="5D2A8328">
            <w:pPr>
              <w:snapToGrid w:val="0"/>
              <w:spacing w:before="50" w:after="165" w:afterLines="50" w:line="400" w:lineRule="exact"/>
              <w:jc w:val="left"/>
              <w:rPr>
                <w:rFonts w:hint="eastAsia" w:ascii="仿宋" w:hAnsi="仿宋" w:eastAsia="仿宋" w:cs="仿宋"/>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tcPr>
          <w:p w14:paraId="5709A784">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3A5E54B3">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4964874D">
            <w:pPr>
              <w:snapToGrid w:val="0"/>
              <w:spacing w:before="50" w:after="165" w:afterLines="50" w:line="400" w:lineRule="exact"/>
              <w:jc w:val="left"/>
              <w:rPr>
                <w:rFonts w:hint="eastAsia" w:ascii="仿宋" w:hAnsi="仿宋" w:eastAsia="仿宋" w:cs="仿宋"/>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3D134F2F">
            <w:pPr>
              <w:snapToGrid w:val="0"/>
              <w:spacing w:before="50" w:after="165" w:afterLines="50" w:line="400" w:lineRule="exact"/>
              <w:jc w:val="left"/>
              <w:rPr>
                <w:rFonts w:hint="eastAsia" w:ascii="仿宋" w:hAnsi="仿宋" w:eastAsia="仿宋" w:cs="仿宋"/>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tcPr>
          <w:p w14:paraId="36ABCA64">
            <w:pPr>
              <w:snapToGrid w:val="0"/>
              <w:spacing w:before="50" w:after="165" w:afterLines="50" w:line="400" w:lineRule="exact"/>
              <w:jc w:val="left"/>
              <w:rPr>
                <w:rFonts w:hint="eastAsia" w:ascii="仿宋" w:hAnsi="仿宋" w:eastAsia="仿宋" w:cs="仿宋"/>
                <w:color w:val="auto"/>
                <w:sz w:val="24"/>
                <w:highlight w:val="none"/>
              </w:rPr>
            </w:pPr>
          </w:p>
        </w:tc>
      </w:tr>
      <w:tr w14:paraId="43C4B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90" w:type="dxa"/>
            <w:tcBorders>
              <w:top w:val="single" w:color="auto" w:sz="4" w:space="0"/>
              <w:left w:val="single" w:color="auto" w:sz="4" w:space="0"/>
              <w:bottom w:val="single" w:color="auto" w:sz="4" w:space="0"/>
              <w:right w:val="single" w:color="auto" w:sz="4" w:space="0"/>
            </w:tcBorders>
          </w:tcPr>
          <w:p w14:paraId="34E3BD3E">
            <w:pPr>
              <w:snapToGrid w:val="0"/>
              <w:spacing w:before="50" w:after="165" w:afterLines="50" w:line="400" w:lineRule="exact"/>
              <w:jc w:val="left"/>
              <w:rPr>
                <w:rFonts w:hint="eastAsia" w:ascii="仿宋" w:hAnsi="仿宋" w:eastAsia="仿宋" w:cs="仿宋"/>
                <w:color w:val="auto"/>
                <w:sz w:val="24"/>
                <w:highlight w:val="none"/>
              </w:rPr>
            </w:pPr>
          </w:p>
        </w:tc>
        <w:tc>
          <w:tcPr>
            <w:tcW w:w="2328" w:type="dxa"/>
            <w:tcBorders>
              <w:top w:val="single" w:color="auto" w:sz="4" w:space="0"/>
              <w:left w:val="single" w:color="auto" w:sz="4" w:space="0"/>
              <w:bottom w:val="single" w:color="auto" w:sz="4" w:space="0"/>
              <w:right w:val="single" w:color="auto" w:sz="4" w:space="0"/>
            </w:tcBorders>
          </w:tcPr>
          <w:p w14:paraId="0776900A">
            <w:pPr>
              <w:snapToGrid w:val="0"/>
              <w:spacing w:before="50" w:after="165" w:afterLines="50" w:line="400" w:lineRule="exact"/>
              <w:jc w:val="left"/>
              <w:rPr>
                <w:rFonts w:hint="eastAsia" w:ascii="仿宋" w:hAnsi="仿宋" w:eastAsia="仿宋" w:cs="仿宋"/>
                <w:color w:val="auto"/>
                <w:sz w:val="24"/>
                <w:highlight w:val="none"/>
              </w:rPr>
            </w:pPr>
          </w:p>
        </w:tc>
        <w:tc>
          <w:tcPr>
            <w:tcW w:w="1167" w:type="dxa"/>
            <w:tcBorders>
              <w:top w:val="single" w:color="auto" w:sz="4" w:space="0"/>
              <w:left w:val="single" w:color="auto" w:sz="4" w:space="0"/>
              <w:bottom w:val="single" w:color="auto" w:sz="4" w:space="0"/>
              <w:right w:val="single" w:color="auto" w:sz="4" w:space="0"/>
            </w:tcBorders>
          </w:tcPr>
          <w:p w14:paraId="3826BBEB">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51CB9994">
            <w:pPr>
              <w:snapToGrid w:val="0"/>
              <w:spacing w:before="50" w:after="165" w:afterLines="50" w:line="400" w:lineRule="exact"/>
              <w:jc w:val="left"/>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tcPr>
          <w:p w14:paraId="1E42E4F9">
            <w:pPr>
              <w:snapToGrid w:val="0"/>
              <w:spacing w:before="50" w:after="165" w:afterLines="50" w:line="400" w:lineRule="exact"/>
              <w:jc w:val="left"/>
              <w:rPr>
                <w:rFonts w:hint="eastAsia" w:ascii="仿宋" w:hAnsi="仿宋" w:eastAsia="仿宋" w:cs="仿宋"/>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4E06B7A0">
            <w:pPr>
              <w:snapToGrid w:val="0"/>
              <w:spacing w:before="50" w:after="165" w:afterLines="50" w:line="400" w:lineRule="exact"/>
              <w:jc w:val="left"/>
              <w:rPr>
                <w:rFonts w:hint="eastAsia" w:ascii="仿宋" w:hAnsi="仿宋" w:eastAsia="仿宋" w:cs="仿宋"/>
                <w:color w:val="auto"/>
                <w:sz w:val="24"/>
                <w:highlight w:val="none"/>
              </w:rPr>
            </w:pPr>
          </w:p>
        </w:tc>
        <w:tc>
          <w:tcPr>
            <w:tcW w:w="1544" w:type="dxa"/>
            <w:tcBorders>
              <w:top w:val="single" w:color="auto" w:sz="4" w:space="0"/>
              <w:left w:val="single" w:color="auto" w:sz="4" w:space="0"/>
              <w:bottom w:val="single" w:color="auto" w:sz="4" w:space="0"/>
              <w:right w:val="single" w:color="auto" w:sz="4" w:space="0"/>
            </w:tcBorders>
          </w:tcPr>
          <w:p w14:paraId="6F83E69D">
            <w:pPr>
              <w:snapToGrid w:val="0"/>
              <w:spacing w:before="50" w:after="165" w:afterLines="50" w:line="400" w:lineRule="exact"/>
              <w:jc w:val="left"/>
              <w:rPr>
                <w:rFonts w:hint="eastAsia" w:ascii="仿宋" w:hAnsi="仿宋" w:eastAsia="仿宋" w:cs="仿宋"/>
                <w:color w:val="auto"/>
                <w:sz w:val="24"/>
                <w:highlight w:val="none"/>
              </w:rPr>
            </w:pPr>
          </w:p>
        </w:tc>
      </w:tr>
    </w:tbl>
    <w:p w14:paraId="419A0E3F">
      <w:pPr>
        <w:pStyle w:val="13"/>
        <w:spacing w:line="360" w:lineRule="auto"/>
        <w:ind w:left="72"/>
        <w:rPr>
          <w:rFonts w:hint="eastAsia" w:ascii="仿宋" w:hAnsi="仿宋" w:eastAsia="仿宋" w:cs="仿宋"/>
          <w:color w:val="auto"/>
          <w:highlight w:val="none"/>
        </w:rPr>
      </w:pPr>
      <w:r>
        <w:rPr>
          <w:rFonts w:hint="eastAsia" w:ascii="仿宋" w:hAnsi="仿宋" w:eastAsia="仿宋" w:cs="仿宋"/>
          <w:color w:val="auto"/>
          <w:highlight w:val="none"/>
        </w:rPr>
        <w:t>注：投标人可按上述的格式自行编制，须随表提交相应的合同复印件和用户单位验收证明并注明所在投标人商务技术文件页码。</w:t>
      </w:r>
    </w:p>
    <w:p w14:paraId="33DC3889">
      <w:pPr>
        <w:snapToGrid w:val="0"/>
        <w:spacing w:line="360" w:lineRule="auto"/>
        <w:ind w:firstLine="4935" w:firstLineChars="2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070F648E">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6FD2EBD2">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7BD4615">
      <w:pPr>
        <w:widowControl/>
        <w:spacing w:line="360" w:lineRule="auto"/>
        <w:jc w:val="left"/>
        <w:rPr>
          <w:rFonts w:hint="eastAsia" w:ascii="仿宋" w:hAnsi="仿宋" w:eastAsia="仿宋" w:cs="仿宋"/>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67614F2F">
      <w:pPr>
        <w:snapToGrid w:val="0"/>
        <w:spacing w:before="165" w:beforeLines="50" w:after="5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rPr>
        <w:t>、服务</w:t>
      </w:r>
      <w:r>
        <w:rPr>
          <w:rFonts w:hint="eastAsia" w:ascii="仿宋" w:hAnsi="仿宋" w:eastAsia="仿宋" w:cs="仿宋"/>
          <w:b/>
          <w:bCs/>
          <w:color w:val="auto"/>
          <w:sz w:val="30"/>
          <w:szCs w:val="30"/>
          <w:highlight w:val="none"/>
          <w:lang w:eastAsia="zh-CN"/>
        </w:rPr>
        <w:t>技术</w:t>
      </w:r>
      <w:r>
        <w:rPr>
          <w:rFonts w:hint="eastAsia" w:ascii="仿宋" w:hAnsi="仿宋" w:eastAsia="仿宋" w:cs="仿宋"/>
          <w:b/>
          <w:bCs/>
          <w:color w:val="auto"/>
          <w:sz w:val="30"/>
          <w:szCs w:val="30"/>
          <w:highlight w:val="none"/>
        </w:rPr>
        <w:t>需求偏离表；（必须提供，否则作无效投标处理）</w:t>
      </w:r>
    </w:p>
    <w:p w14:paraId="0D8FD54D">
      <w:pPr>
        <w:pStyle w:val="13"/>
        <w:spacing w:line="440" w:lineRule="exact"/>
        <w:ind w:firstLine="400" w:firstLineChars="200"/>
        <w:rPr>
          <w:rFonts w:hint="eastAsia" w:ascii="仿宋" w:hAnsi="仿宋" w:eastAsia="仿宋" w:cs="仿宋"/>
          <w:color w:val="auto"/>
          <w:highlight w:val="none"/>
        </w:rPr>
      </w:pPr>
    </w:p>
    <w:p w14:paraId="6F4FB8AB">
      <w:pPr>
        <w:pStyle w:val="13"/>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请根据所投服务的实际技术参数，</w:t>
      </w:r>
      <w:r>
        <w:rPr>
          <w:rFonts w:hint="eastAsia" w:ascii="仿宋" w:hAnsi="仿宋" w:eastAsia="仿宋" w:cs="仿宋"/>
          <w:b/>
          <w:color w:val="auto"/>
          <w:sz w:val="28"/>
          <w:szCs w:val="28"/>
          <w:highlight w:val="none"/>
        </w:rPr>
        <w:t>逐条对应</w:t>
      </w:r>
      <w:r>
        <w:rPr>
          <w:rFonts w:hint="eastAsia" w:ascii="仿宋" w:hAnsi="仿宋" w:eastAsia="仿宋" w:cs="仿宋"/>
          <w:color w:val="auto"/>
          <w:sz w:val="24"/>
          <w:szCs w:val="24"/>
          <w:highlight w:val="none"/>
        </w:rPr>
        <w:t>本项目招标文件第二章“服务需求一览表”中的</w:t>
      </w:r>
      <w:r>
        <w:rPr>
          <w:rFonts w:hint="eastAsia" w:ascii="仿宋" w:hAnsi="仿宋" w:eastAsia="仿宋" w:cs="仿宋"/>
          <w:b/>
          <w:color w:val="auto"/>
          <w:sz w:val="28"/>
          <w:szCs w:val="28"/>
          <w:highlight w:val="none"/>
        </w:rPr>
        <w:t>服务内容及要求</w:t>
      </w:r>
      <w:r>
        <w:rPr>
          <w:rFonts w:hint="eastAsia" w:ascii="仿宋" w:hAnsi="仿宋" w:eastAsia="仿宋" w:cs="仿宋"/>
          <w:color w:val="auto"/>
          <w:sz w:val="24"/>
          <w:szCs w:val="24"/>
          <w:highlight w:val="none"/>
        </w:rPr>
        <w:t>详细填写相应的具体内容。“偏离说明”一栏应当选择“正偏离”、“负偏离”或“无偏离”进行填写。</w:t>
      </w:r>
    </w:p>
    <w:tbl>
      <w:tblPr>
        <w:tblStyle w:val="20"/>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1924"/>
        <w:gridCol w:w="1418"/>
        <w:gridCol w:w="2835"/>
        <w:gridCol w:w="1701"/>
      </w:tblGrid>
      <w:tr w14:paraId="2C5C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410EA7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184" w:type="dxa"/>
            <w:gridSpan w:val="2"/>
            <w:tcBorders>
              <w:top w:val="single" w:color="auto" w:sz="4" w:space="0"/>
              <w:left w:val="single" w:color="auto" w:sz="4" w:space="0"/>
              <w:bottom w:val="single" w:color="auto" w:sz="4" w:space="0"/>
              <w:right w:val="single" w:color="auto" w:sz="4" w:space="0"/>
            </w:tcBorders>
            <w:vAlign w:val="center"/>
          </w:tcPr>
          <w:p w14:paraId="29A3A80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招标文件需求</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72EDFF1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投标文件承诺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7603686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3DBC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163EC2F1">
            <w:pPr>
              <w:widowControl/>
              <w:jc w:val="left"/>
              <w:rPr>
                <w:rFonts w:hint="eastAsia" w:ascii="仿宋" w:hAnsi="仿宋" w:eastAsia="仿宋" w:cs="仿宋"/>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4264AD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1924" w:type="dxa"/>
            <w:tcBorders>
              <w:top w:val="single" w:color="auto" w:sz="4" w:space="0"/>
              <w:left w:val="single" w:color="auto" w:sz="4" w:space="0"/>
              <w:bottom w:val="single" w:color="auto" w:sz="4" w:space="0"/>
              <w:right w:val="single" w:color="auto" w:sz="4" w:space="0"/>
            </w:tcBorders>
            <w:vAlign w:val="center"/>
          </w:tcPr>
          <w:p w14:paraId="33F7DF1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1418" w:type="dxa"/>
            <w:tcBorders>
              <w:top w:val="single" w:color="auto" w:sz="4" w:space="0"/>
              <w:left w:val="single" w:color="auto" w:sz="4" w:space="0"/>
              <w:bottom w:val="single" w:color="auto" w:sz="4" w:space="0"/>
              <w:right w:val="single" w:color="auto" w:sz="4" w:space="0"/>
            </w:tcBorders>
            <w:vAlign w:val="center"/>
          </w:tcPr>
          <w:p w14:paraId="162A207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2835" w:type="dxa"/>
            <w:tcBorders>
              <w:top w:val="single" w:color="auto" w:sz="4" w:space="0"/>
              <w:left w:val="single" w:color="auto" w:sz="4" w:space="0"/>
              <w:bottom w:val="single" w:color="auto" w:sz="4" w:space="0"/>
              <w:right w:val="single" w:color="auto" w:sz="4" w:space="0"/>
            </w:tcBorders>
            <w:vAlign w:val="center"/>
          </w:tcPr>
          <w:p w14:paraId="5D7097F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所提供服务的内容</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50EBF5A">
            <w:pPr>
              <w:widowControl/>
              <w:jc w:val="left"/>
              <w:rPr>
                <w:rFonts w:hint="eastAsia" w:ascii="仿宋" w:hAnsi="仿宋" w:eastAsia="仿宋" w:cs="仿宋"/>
                <w:color w:val="auto"/>
                <w:szCs w:val="21"/>
                <w:highlight w:val="none"/>
              </w:rPr>
            </w:pPr>
          </w:p>
        </w:tc>
      </w:tr>
      <w:tr w14:paraId="3D19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9E9728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1543B0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924" w:type="dxa"/>
            <w:tcBorders>
              <w:top w:val="single" w:color="auto" w:sz="4" w:space="0"/>
              <w:left w:val="single" w:color="auto" w:sz="4" w:space="0"/>
              <w:bottom w:val="single" w:color="auto" w:sz="4" w:space="0"/>
              <w:right w:val="single" w:color="auto" w:sz="4" w:space="0"/>
            </w:tcBorders>
            <w:vAlign w:val="center"/>
          </w:tcPr>
          <w:p w14:paraId="4506AD9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069DA47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1DDF1EE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01BF3D8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418" w:type="dxa"/>
            <w:tcBorders>
              <w:top w:val="single" w:color="auto" w:sz="4" w:space="0"/>
              <w:left w:val="single" w:color="auto" w:sz="4" w:space="0"/>
              <w:bottom w:val="single" w:color="auto" w:sz="4" w:space="0"/>
              <w:right w:val="single" w:color="auto" w:sz="4" w:space="0"/>
            </w:tcBorders>
            <w:vAlign w:val="center"/>
          </w:tcPr>
          <w:p w14:paraId="7EFC1E5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vAlign w:val="center"/>
          </w:tcPr>
          <w:p w14:paraId="24DFE4B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6D5385F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39D3CE3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34D3631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6BB9618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778A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2D82CD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C68650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924" w:type="dxa"/>
            <w:tcBorders>
              <w:top w:val="single" w:color="auto" w:sz="4" w:space="0"/>
              <w:left w:val="single" w:color="auto" w:sz="4" w:space="0"/>
              <w:bottom w:val="single" w:color="auto" w:sz="4" w:space="0"/>
              <w:right w:val="single" w:color="auto" w:sz="4" w:space="0"/>
            </w:tcBorders>
            <w:vAlign w:val="center"/>
          </w:tcPr>
          <w:p w14:paraId="025BEF8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02D1288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6397221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68A706A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418" w:type="dxa"/>
            <w:tcBorders>
              <w:top w:val="single" w:color="auto" w:sz="4" w:space="0"/>
              <w:left w:val="single" w:color="auto" w:sz="4" w:space="0"/>
              <w:bottom w:val="single" w:color="auto" w:sz="4" w:space="0"/>
              <w:right w:val="single" w:color="auto" w:sz="4" w:space="0"/>
            </w:tcBorders>
            <w:vAlign w:val="center"/>
          </w:tcPr>
          <w:p w14:paraId="58EA5E0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vAlign w:val="center"/>
          </w:tcPr>
          <w:p w14:paraId="2AF35BBA">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223293C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03A1EC3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2417051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48360FF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正偏离（负偏离或无偏离）</w:t>
            </w:r>
          </w:p>
        </w:tc>
      </w:tr>
      <w:tr w14:paraId="35BD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D99695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D8DD038">
            <w:pPr>
              <w:rPr>
                <w:rFonts w:hint="eastAsia" w:ascii="仿宋" w:hAnsi="仿宋" w:eastAsia="仿宋" w:cs="仿宋"/>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470B34F6">
            <w:pPr>
              <w:rPr>
                <w:rFonts w:hint="eastAsia" w:ascii="仿宋" w:hAnsi="仿宋" w:eastAsia="仿宋" w:cs="仿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9D49F49">
            <w:pPr>
              <w:rPr>
                <w:rFonts w:hint="eastAsia" w:ascii="仿宋" w:hAnsi="仿宋" w:eastAsia="仿宋" w:cs="仿宋"/>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17A941D">
            <w:pPr>
              <w:rPr>
                <w:rFonts w:hint="eastAsia" w:ascii="仿宋" w:hAnsi="仿宋" w:eastAsia="仿宋" w:cs="仿宋"/>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B589274">
            <w:pPr>
              <w:rPr>
                <w:rFonts w:hint="eastAsia" w:ascii="仿宋" w:hAnsi="仿宋" w:eastAsia="仿宋" w:cs="仿宋"/>
                <w:color w:val="auto"/>
                <w:szCs w:val="21"/>
                <w:highlight w:val="none"/>
              </w:rPr>
            </w:pPr>
          </w:p>
        </w:tc>
      </w:tr>
      <w:tr w14:paraId="1C20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72" w:type="dxa"/>
            <w:gridSpan w:val="6"/>
            <w:tcBorders>
              <w:top w:val="single" w:color="auto" w:sz="4" w:space="0"/>
              <w:left w:val="single" w:color="auto" w:sz="4" w:space="0"/>
              <w:bottom w:val="single" w:color="auto" w:sz="4" w:space="0"/>
              <w:right w:val="single" w:color="auto" w:sz="4" w:space="0"/>
            </w:tcBorders>
            <w:vAlign w:val="center"/>
          </w:tcPr>
          <w:p w14:paraId="05F7916E">
            <w:pPr>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分标（此处有分标时填写具体分标号，无分标时填写“无”）</w:t>
            </w:r>
          </w:p>
        </w:tc>
      </w:tr>
    </w:tbl>
    <w:p w14:paraId="0AD3C25D">
      <w:pPr>
        <w:pStyle w:val="13"/>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2A0CB4D2">
      <w:pPr>
        <w:pStyle w:val="13"/>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1.表格内容均需按要求填写并盖章，不得留空，</w:t>
      </w:r>
      <w:r>
        <w:rPr>
          <w:rFonts w:hint="eastAsia" w:ascii="仿宋" w:hAnsi="仿宋" w:eastAsia="仿宋" w:cs="仿宋"/>
          <w:bCs/>
          <w:color w:val="auto"/>
          <w:szCs w:val="21"/>
          <w:highlight w:val="none"/>
        </w:rPr>
        <w:t>否则按投标无效处理</w:t>
      </w:r>
      <w:r>
        <w:rPr>
          <w:rFonts w:hint="eastAsia" w:ascii="仿宋" w:hAnsi="仿宋" w:eastAsia="仿宋" w:cs="仿宋"/>
          <w:color w:val="auto"/>
          <w:szCs w:val="21"/>
          <w:highlight w:val="none"/>
        </w:rPr>
        <w:t>。</w:t>
      </w:r>
    </w:p>
    <w:p w14:paraId="19FF3DF9">
      <w:pPr>
        <w:pStyle w:val="13"/>
        <w:spacing w:line="360" w:lineRule="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2.当投标文件的服务内容低于招标文件要求时，投标人应当如实写明“负偏离”，否则视为虚假应标。</w:t>
      </w:r>
    </w:p>
    <w:p w14:paraId="58C6CFB7">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szCs w:val="21"/>
          <w:highlight w:val="none"/>
        </w:rPr>
        <w:t>采购需求中带“▲”及“★”的条款，也要分别在本表“服务参数”、“所提供服务的内容”中标记。</w:t>
      </w:r>
    </w:p>
    <w:p w14:paraId="5CA05CDA">
      <w:pPr>
        <w:snapToGrid w:val="0"/>
        <w:spacing w:line="360" w:lineRule="auto"/>
        <w:ind w:firstLine="5640" w:firstLineChars="2350"/>
        <w:rPr>
          <w:rFonts w:hint="eastAsia" w:ascii="仿宋" w:hAnsi="仿宋" w:eastAsia="仿宋" w:cs="仿宋"/>
          <w:color w:val="auto"/>
          <w:kern w:val="0"/>
          <w:sz w:val="24"/>
          <w:highlight w:val="none"/>
          <w:lang w:val="zh-CN"/>
        </w:rPr>
      </w:pPr>
    </w:p>
    <w:p w14:paraId="6DE70EC1">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18AAD272">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206D1E1">
      <w:pPr>
        <w:widowControl/>
        <w:jc w:val="left"/>
        <w:rPr>
          <w:rFonts w:hint="eastAsia" w:ascii="仿宋" w:hAnsi="仿宋" w:eastAsia="仿宋" w:cs="仿宋"/>
          <w:color w:val="auto"/>
          <w:sz w:val="30"/>
          <w:szCs w:val="20"/>
          <w:highlight w:val="none"/>
        </w:rPr>
        <w:sectPr>
          <w:pgSz w:w="11906" w:h="16838"/>
          <w:pgMar w:top="1440" w:right="1080" w:bottom="1440" w:left="1080" w:header="720" w:footer="720" w:gutter="0"/>
          <w:cols w:space="720" w:num="1"/>
          <w:docGrid w:type="lines" w:linePitch="331" w:charSpace="0"/>
        </w:sectPr>
      </w:pPr>
    </w:p>
    <w:p w14:paraId="1C4016AE">
      <w:pPr>
        <w:snapToGrid w:val="0"/>
        <w:spacing w:before="160" w:beforeLines="50" w:after="5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八</w:t>
      </w:r>
      <w:r>
        <w:rPr>
          <w:rFonts w:hint="eastAsia" w:ascii="仿宋" w:hAnsi="仿宋" w:eastAsia="仿宋" w:cs="仿宋"/>
          <w:b/>
          <w:bCs/>
          <w:color w:val="auto"/>
          <w:sz w:val="30"/>
          <w:szCs w:val="30"/>
          <w:highlight w:val="none"/>
        </w:rPr>
        <w:t>、服务方案；（必须提供，否则作无效投标处理）</w:t>
      </w:r>
    </w:p>
    <w:p w14:paraId="54510DD9">
      <w:pPr>
        <w:autoSpaceDE/>
        <w:autoSpaceDN/>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（格式自拟，由投标人根据项目实际情况和招标项目采购需求的要求、评分办法自行编制）</w:t>
      </w:r>
    </w:p>
    <w:p w14:paraId="2E545A91">
      <w:pPr>
        <w:rPr>
          <w:rFonts w:hint="eastAsia" w:ascii="仿宋" w:hAnsi="仿宋" w:eastAsia="仿宋" w:cs="仿宋"/>
          <w:b/>
          <w:bCs/>
          <w:color w:val="auto"/>
          <w:kern w:val="0"/>
          <w:sz w:val="24"/>
          <w:highlight w:val="none"/>
          <w:lang w:val="zh-CN"/>
        </w:rPr>
      </w:pPr>
    </w:p>
    <w:p w14:paraId="243B0141">
      <w:pPr>
        <w:rPr>
          <w:rFonts w:hint="eastAsia" w:ascii="仿宋" w:hAnsi="仿宋" w:eastAsia="仿宋" w:cs="仿宋"/>
          <w:b/>
          <w:bCs/>
          <w:color w:val="auto"/>
          <w:kern w:val="0"/>
          <w:sz w:val="24"/>
          <w:highlight w:val="none"/>
          <w:lang w:val="zh-CN"/>
        </w:rPr>
      </w:pPr>
    </w:p>
    <w:p w14:paraId="16A2E0AD">
      <w:pPr>
        <w:autoSpaceDE w:val="0"/>
        <w:autoSpaceDN w:val="0"/>
        <w:spacing w:line="360" w:lineRule="auto"/>
        <w:rPr>
          <w:rFonts w:hint="eastAsia" w:ascii="仿宋" w:hAnsi="仿宋" w:eastAsia="仿宋" w:cs="仿宋"/>
          <w:color w:val="auto"/>
          <w:kern w:val="0"/>
          <w:sz w:val="24"/>
          <w:highlight w:val="none"/>
        </w:rPr>
      </w:pPr>
    </w:p>
    <w:p w14:paraId="3B288556">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7BDB01CB">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105D129A">
      <w:pPr>
        <w:snapToGrid w:val="0"/>
        <w:spacing w:line="360" w:lineRule="auto"/>
        <w:ind w:firstLine="4935" w:firstLineChars="2350"/>
        <w:rPr>
          <w:rFonts w:hint="eastAsia" w:ascii="仿宋" w:hAnsi="仿宋" w:eastAsia="仿宋" w:cs="仿宋"/>
          <w:b/>
          <w:bCs/>
          <w:color w:val="auto"/>
          <w:sz w:val="30"/>
          <w:szCs w:val="30"/>
          <w:highlight w:val="none"/>
        </w:rPr>
      </w:pPr>
      <w:r>
        <w:rPr>
          <w:rFonts w:hint="eastAsia" w:ascii="仿宋" w:hAnsi="仿宋" w:eastAsia="仿宋" w:cs="仿宋"/>
          <w:color w:val="auto"/>
          <w:szCs w:val="21"/>
          <w:highlight w:val="none"/>
        </w:rPr>
        <w:t xml:space="preserve"> </w:t>
      </w:r>
    </w:p>
    <w:p w14:paraId="4F4920C6">
      <w:pPr>
        <w:snapToGrid w:val="0"/>
        <w:spacing w:before="160" w:beforeLines="50" w:after="5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九</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val="en-US" w:eastAsia="zh-CN"/>
        </w:rPr>
        <w:t>服务承诺；（必须提供，否则作无效投标处理）</w:t>
      </w:r>
    </w:p>
    <w:p w14:paraId="444D4957">
      <w:pPr>
        <w:snapToGrid w:val="0"/>
        <w:spacing w:before="160" w:beforeLines="50" w:after="50"/>
        <w:jc w:val="center"/>
        <w:rPr>
          <w:rFonts w:hint="eastAsia" w:ascii="仿宋" w:hAnsi="仿宋" w:eastAsia="仿宋" w:cs="仿宋"/>
          <w:b/>
          <w:bCs/>
          <w:color w:val="auto"/>
          <w:sz w:val="30"/>
          <w:szCs w:val="30"/>
          <w:highlight w:val="none"/>
        </w:rPr>
      </w:pPr>
      <w:r>
        <w:rPr>
          <w:rFonts w:hint="eastAsia" w:ascii="仿宋" w:hAnsi="仿宋" w:eastAsia="仿宋" w:cs="仿宋"/>
          <w:b/>
          <w:color w:val="auto"/>
          <w:szCs w:val="21"/>
          <w:highlight w:val="none"/>
        </w:rPr>
        <w:t>（格式自拟，由投标人根据项目实际情况和招标项目采购需求的要求、评分办法自行编制）</w:t>
      </w:r>
    </w:p>
    <w:p w14:paraId="602484A6">
      <w:pPr>
        <w:snapToGrid w:val="0"/>
        <w:spacing w:before="160" w:beforeLines="50" w:after="50"/>
        <w:jc w:val="both"/>
        <w:rPr>
          <w:rFonts w:hint="eastAsia" w:ascii="仿宋" w:hAnsi="仿宋" w:eastAsia="仿宋" w:cs="仿宋"/>
          <w:b/>
          <w:bCs/>
          <w:color w:val="auto"/>
          <w:sz w:val="30"/>
          <w:szCs w:val="30"/>
          <w:highlight w:val="none"/>
        </w:rPr>
      </w:pPr>
    </w:p>
    <w:p w14:paraId="461ECE74">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38527E1C">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330E2E5">
      <w:pPr>
        <w:snapToGrid w:val="0"/>
        <w:spacing w:before="165" w:beforeLines="50" w:after="50"/>
        <w:jc w:val="both"/>
        <w:rPr>
          <w:rFonts w:hint="eastAsia" w:ascii="仿宋" w:hAnsi="仿宋" w:eastAsia="仿宋" w:cs="仿宋"/>
          <w:b/>
          <w:bCs/>
          <w:color w:val="auto"/>
          <w:sz w:val="30"/>
          <w:szCs w:val="30"/>
          <w:highlight w:val="none"/>
        </w:rPr>
      </w:pPr>
    </w:p>
    <w:p w14:paraId="199B1C96">
      <w:pPr>
        <w:spacing w:before="80" w:beforeLines="25" w:after="80" w:afterLines="25"/>
        <w:ind w:firstLine="602" w:firstLineChars="200"/>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sz w:val="30"/>
          <w:szCs w:val="30"/>
          <w:highlight w:val="none"/>
          <w:lang w:val="en-US" w:eastAsia="zh-CN"/>
        </w:rPr>
        <w:t>十</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val="en-US" w:eastAsia="zh-CN"/>
        </w:rPr>
        <w:t>项目实施人员一览表；（如有，请提供）</w:t>
      </w:r>
    </w:p>
    <w:p w14:paraId="5BAE47FD">
      <w:pPr>
        <w:jc w:val="center"/>
        <w:rPr>
          <w:rFonts w:hint="eastAsia" w:ascii="仿宋" w:hAnsi="仿宋" w:eastAsia="仿宋" w:cs="仿宋"/>
          <w:color w:val="auto"/>
          <w:highlight w:val="none"/>
        </w:rPr>
      </w:pPr>
      <w:r>
        <w:rPr>
          <w:rFonts w:hint="eastAsia" w:ascii="仿宋" w:hAnsi="仿宋" w:eastAsia="仿宋" w:cs="仿宋"/>
          <w:b/>
          <w:color w:val="auto"/>
          <w:szCs w:val="21"/>
          <w:highlight w:val="none"/>
        </w:rPr>
        <w:t>（格式自拟，由投标人根据项目实际情况和招标项目采购需求的要求、评分办法自行编制）</w:t>
      </w:r>
    </w:p>
    <w:p w14:paraId="4A53ACD9">
      <w:pPr>
        <w:autoSpaceDE w:val="0"/>
        <w:autoSpaceDN w:val="0"/>
        <w:spacing w:line="360" w:lineRule="auto"/>
        <w:ind w:firstLine="4440" w:firstLineChars="1850"/>
        <w:rPr>
          <w:rFonts w:hint="eastAsia" w:ascii="仿宋" w:hAnsi="仿宋" w:eastAsia="仿宋" w:cs="仿宋"/>
          <w:color w:val="auto"/>
          <w:kern w:val="0"/>
          <w:sz w:val="24"/>
          <w:highlight w:val="none"/>
        </w:rPr>
      </w:pPr>
    </w:p>
    <w:p w14:paraId="776DED39">
      <w:pPr>
        <w:autoSpaceDE w:val="0"/>
        <w:autoSpaceDN w:val="0"/>
        <w:spacing w:line="360" w:lineRule="auto"/>
        <w:ind w:firstLine="4440" w:firstLineChars="1850"/>
        <w:rPr>
          <w:rFonts w:hint="eastAsia" w:ascii="仿宋" w:hAnsi="仿宋" w:eastAsia="仿宋" w:cs="仿宋"/>
          <w:color w:val="auto"/>
          <w:kern w:val="0"/>
          <w:sz w:val="24"/>
          <w:highlight w:val="none"/>
          <w:lang w:eastAsia="zh-CN"/>
        </w:rPr>
      </w:pPr>
    </w:p>
    <w:p w14:paraId="11DE36D4">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7C919E6F">
      <w:pPr>
        <w:snapToGrid w:val="0"/>
        <w:spacing w:line="360" w:lineRule="auto"/>
        <w:ind w:firstLine="6960" w:firstLineChars="29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F5E63FC">
      <w:pPr>
        <w:tabs>
          <w:tab w:val="left" w:pos="420"/>
        </w:tabs>
        <w:snapToGrid w:val="0"/>
        <w:spacing w:before="165" w:beforeLines="50" w:after="50"/>
        <w:ind w:firstLine="602" w:firstLineChars="20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十一</w:t>
      </w:r>
      <w:r>
        <w:rPr>
          <w:rFonts w:hint="eastAsia" w:ascii="仿宋" w:hAnsi="仿宋" w:eastAsia="仿宋" w:cs="仿宋"/>
          <w:b/>
          <w:bCs/>
          <w:color w:val="auto"/>
          <w:sz w:val="30"/>
          <w:szCs w:val="30"/>
          <w:highlight w:val="none"/>
        </w:rPr>
        <w:t xml:space="preserve">、除招标文件规定必须提供以外，投标人认为需要提供的其他证明材料。（投标人根据“第二章 采购需求”及“第四章 </w:t>
      </w:r>
      <w:r>
        <w:rPr>
          <w:rFonts w:hint="eastAsia" w:ascii="仿宋" w:hAnsi="仿宋" w:eastAsia="仿宋" w:cs="仿宋"/>
          <w:b/>
          <w:bCs/>
          <w:color w:val="auto"/>
          <w:sz w:val="30"/>
          <w:szCs w:val="30"/>
          <w:highlight w:val="none"/>
          <w:lang w:eastAsia="zh-CN"/>
        </w:rPr>
        <w:t>评标方法及评标标准</w:t>
      </w:r>
      <w:r>
        <w:rPr>
          <w:rFonts w:hint="eastAsia" w:ascii="仿宋" w:hAnsi="仿宋" w:eastAsia="仿宋" w:cs="仿宋"/>
          <w:b/>
          <w:bCs/>
          <w:color w:val="auto"/>
          <w:sz w:val="30"/>
          <w:szCs w:val="30"/>
          <w:highlight w:val="none"/>
        </w:rPr>
        <w:t>”提供有关证明材料）。</w:t>
      </w:r>
    </w:p>
    <w:p w14:paraId="2E83CE10">
      <w:pPr>
        <w:snapToGrid w:val="0"/>
        <w:spacing w:line="360" w:lineRule="auto"/>
        <w:ind w:firstLine="5040" w:firstLineChars="2100"/>
        <w:rPr>
          <w:rFonts w:hint="eastAsia" w:ascii="仿宋" w:hAnsi="仿宋" w:eastAsia="仿宋" w:cs="仿宋"/>
          <w:color w:val="auto"/>
          <w:kern w:val="0"/>
          <w:sz w:val="24"/>
          <w:highlight w:val="none"/>
          <w:lang w:val="zh-CN"/>
        </w:rPr>
      </w:pPr>
    </w:p>
    <w:p w14:paraId="3566CC64">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6B464A3A">
      <w:pPr>
        <w:snapToGrid w:val="0"/>
        <w:spacing w:line="360" w:lineRule="auto"/>
        <w:ind w:firstLine="6960" w:firstLineChars="29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FC38A87">
      <w:pPr>
        <w:tabs>
          <w:tab w:val="left" w:pos="420"/>
        </w:tabs>
        <w:snapToGrid w:val="0"/>
        <w:spacing w:before="165" w:beforeLines="50" w:after="50"/>
        <w:ind w:firstLine="602" w:firstLineChars="200"/>
        <w:jc w:val="center"/>
        <w:rPr>
          <w:rFonts w:hint="eastAsia" w:ascii="仿宋" w:hAnsi="仿宋" w:eastAsia="仿宋" w:cs="仿宋"/>
          <w:b/>
          <w:bCs/>
          <w:color w:val="auto"/>
          <w:sz w:val="30"/>
          <w:szCs w:val="30"/>
          <w:highlight w:val="none"/>
        </w:rPr>
      </w:pPr>
    </w:p>
    <w:p w14:paraId="03E77E6A">
      <w:pPr>
        <w:pStyle w:val="13"/>
        <w:jc w:val="center"/>
        <w:outlineLvl w:val="1"/>
        <w:rPr>
          <w:rFonts w:hint="eastAsia" w:ascii="仿宋" w:hAnsi="仿宋" w:eastAsia="仿宋" w:cs="仿宋"/>
          <w:b/>
          <w:bCs/>
          <w:color w:val="auto"/>
          <w:sz w:val="28"/>
          <w:szCs w:val="28"/>
          <w:highlight w:val="none"/>
        </w:rPr>
        <w:sectPr>
          <w:pgSz w:w="11906" w:h="16838"/>
          <w:pgMar w:top="1440" w:right="1080" w:bottom="1440" w:left="1080" w:header="720" w:footer="720" w:gutter="0"/>
          <w:cols w:space="720" w:num="1"/>
          <w:docGrid w:type="lines" w:linePitch="331" w:charSpace="0"/>
        </w:sectPr>
      </w:pPr>
      <w:bookmarkStart w:id="135" w:name="_Toc22926"/>
      <w:bookmarkStart w:id="136" w:name="_Toc3957"/>
    </w:p>
    <w:p w14:paraId="439DC96E">
      <w:pPr>
        <w:pStyle w:val="13"/>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节 报价文件格式</w:t>
      </w:r>
      <w:bookmarkEnd w:id="135"/>
      <w:bookmarkEnd w:id="136"/>
    </w:p>
    <w:p w14:paraId="072F86FD">
      <w:pPr>
        <w:snapToGrid w:val="0"/>
        <w:spacing w:before="165" w:beforeLines="50" w:after="50" w:line="400" w:lineRule="exact"/>
        <w:jc w:val="right"/>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电子投标文件</w:t>
      </w:r>
    </w:p>
    <w:p w14:paraId="24C8C0E6">
      <w:pPr>
        <w:snapToGrid w:val="0"/>
        <w:spacing w:before="165" w:beforeLines="50" w:after="50" w:line="400" w:lineRule="exact"/>
        <w:jc w:val="center"/>
        <w:rPr>
          <w:rFonts w:hint="eastAsia" w:ascii="仿宋" w:hAnsi="仿宋" w:eastAsia="仿宋" w:cs="仿宋"/>
          <w:bCs/>
          <w:color w:val="auto"/>
          <w:sz w:val="24"/>
          <w:szCs w:val="20"/>
          <w:highlight w:val="none"/>
        </w:rPr>
      </w:pPr>
    </w:p>
    <w:p w14:paraId="16E42F68">
      <w:pPr>
        <w:snapToGrid w:val="0"/>
        <w:spacing w:before="165" w:beforeLines="50" w:after="50"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报价文件（封面）</w:t>
      </w:r>
    </w:p>
    <w:p w14:paraId="531F8139">
      <w:pPr>
        <w:snapToGrid w:val="0"/>
        <w:spacing w:before="165" w:beforeLines="50" w:after="50" w:line="400" w:lineRule="exact"/>
        <w:rPr>
          <w:rFonts w:hint="eastAsia" w:ascii="仿宋" w:hAnsi="仿宋" w:eastAsia="仿宋" w:cs="仿宋"/>
          <w:bCs/>
          <w:color w:val="auto"/>
          <w:sz w:val="24"/>
          <w:szCs w:val="20"/>
          <w:highlight w:val="none"/>
        </w:rPr>
      </w:pPr>
    </w:p>
    <w:p w14:paraId="50B2E454">
      <w:pPr>
        <w:snapToGrid w:val="0"/>
        <w:spacing w:before="165" w:beforeLines="50" w:after="50" w:line="400" w:lineRule="exact"/>
        <w:rPr>
          <w:rFonts w:hint="eastAsia" w:ascii="仿宋" w:hAnsi="仿宋" w:eastAsia="仿宋" w:cs="仿宋"/>
          <w:bCs/>
          <w:color w:val="auto"/>
          <w:sz w:val="24"/>
          <w:szCs w:val="20"/>
          <w:highlight w:val="none"/>
        </w:rPr>
      </w:pPr>
    </w:p>
    <w:p w14:paraId="014877A8">
      <w:pPr>
        <w:snapToGrid w:val="0"/>
        <w:spacing w:before="165" w:beforeLines="50" w:after="50" w:line="400" w:lineRule="exact"/>
        <w:rPr>
          <w:rFonts w:hint="eastAsia" w:ascii="仿宋" w:hAnsi="仿宋" w:eastAsia="仿宋" w:cs="仿宋"/>
          <w:bCs/>
          <w:color w:val="auto"/>
          <w:sz w:val="24"/>
          <w:szCs w:val="20"/>
          <w:highlight w:val="none"/>
        </w:rPr>
      </w:pPr>
    </w:p>
    <w:p w14:paraId="6517E4A6">
      <w:pPr>
        <w:snapToGrid w:val="0"/>
        <w:spacing w:before="165" w:beforeLines="50" w:after="50" w:line="400" w:lineRule="exact"/>
        <w:rPr>
          <w:rFonts w:hint="eastAsia" w:ascii="仿宋" w:hAnsi="仿宋" w:eastAsia="仿宋" w:cs="仿宋"/>
          <w:bCs/>
          <w:color w:val="auto"/>
          <w:sz w:val="24"/>
          <w:szCs w:val="20"/>
          <w:highlight w:val="none"/>
        </w:rPr>
      </w:pPr>
    </w:p>
    <w:p w14:paraId="5BCE21D5">
      <w:pPr>
        <w:snapToGrid w:val="0"/>
        <w:spacing w:before="165" w:beforeLines="50" w:after="50"/>
        <w:ind w:firstLine="540" w:firstLineChars="225"/>
        <w:rPr>
          <w:rFonts w:hint="eastAsia" w:ascii="仿宋" w:hAnsi="仿宋" w:eastAsia="仿宋" w:cs="仿宋"/>
          <w:bCs/>
          <w:color w:val="auto"/>
          <w:sz w:val="24"/>
          <w:szCs w:val="20"/>
          <w:highlight w:val="none"/>
        </w:rPr>
      </w:pPr>
      <w:r>
        <w:rPr>
          <w:rFonts w:hint="eastAsia" w:ascii="仿宋" w:hAnsi="仿宋" w:eastAsia="仿宋" w:cs="仿宋"/>
          <w:bCs/>
          <w:color w:val="auto"/>
          <w:sz w:val="24"/>
          <w:highlight w:val="none"/>
        </w:rPr>
        <w:t>项目名称：</w:t>
      </w:r>
    </w:p>
    <w:p w14:paraId="4F071AD0">
      <w:pPr>
        <w:snapToGrid w:val="0"/>
        <w:spacing w:before="165" w:beforeLines="50" w:after="50"/>
        <w:ind w:firstLine="540" w:firstLineChars="225"/>
        <w:rPr>
          <w:rFonts w:hint="eastAsia" w:ascii="仿宋" w:hAnsi="仿宋" w:eastAsia="仿宋" w:cs="仿宋"/>
          <w:bCs/>
          <w:color w:val="auto"/>
          <w:sz w:val="24"/>
          <w:highlight w:val="none"/>
        </w:rPr>
      </w:pPr>
    </w:p>
    <w:p w14:paraId="598959E5">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0B3245E8">
      <w:pPr>
        <w:snapToGrid w:val="0"/>
        <w:spacing w:before="165" w:beforeLines="50" w:after="50"/>
        <w:ind w:firstLine="540" w:firstLineChars="225"/>
        <w:rPr>
          <w:rFonts w:hint="eastAsia" w:ascii="仿宋" w:hAnsi="仿宋" w:eastAsia="仿宋" w:cs="仿宋"/>
          <w:bCs/>
          <w:color w:val="auto"/>
          <w:sz w:val="24"/>
          <w:highlight w:val="none"/>
        </w:rPr>
      </w:pPr>
    </w:p>
    <w:p w14:paraId="540B2A9B">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43E4EFFB">
      <w:pPr>
        <w:snapToGrid w:val="0"/>
        <w:spacing w:before="165" w:beforeLines="50" w:after="50"/>
        <w:ind w:firstLine="540" w:firstLineChars="225"/>
        <w:rPr>
          <w:rFonts w:hint="eastAsia" w:ascii="仿宋" w:hAnsi="仿宋" w:eastAsia="仿宋" w:cs="仿宋"/>
          <w:bCs/>
          <w:color w:val="auto"/>
          <w:sz w:val="24"/>
          <w:highlight w:val="none"/>
        </w:rPr>
      </w:pPr>
    </w:p>
    <w:p w14:paraId="7893262D">
      <w:pPr>
        <w:snapToGrid w:val="0"/>
        <w:spacing w:before="165"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7F903EFC">
      <w:pPr>
        <w:snapToGrid w:val="0"/>
        <w:spacing w:before="165" w:beforeLines="50" w:after="50"/>
        <w:ind w:firstLine="540" w:firstLineChars="225"/>
        <w:rPr>
          <w:rFonts w:hint="eastAsia" w:ascii="仿宋" w:hAnsi="仿宋" w:eastAsia="仿宋" w:cs="仿宋"/>
          <w:bCs/>
          <w:color w:val="auto"/>
          <w:sz w:val="24"/>
          <w:highlight w:val="none"/>
        </w:rPr>
      </w:pPr>
    </w:p>
    <w:p w14:paraId="6B0ECA9B">
      <w:pPr>
        <w:pStyle w:val="7"/>
        <w:snapToGrid w:val="0"/>
        <w:spacing w:before="50" w:after="50"/>
        <w:ind w:firstLine="540" w:firstLineChars="22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投标人地址：</w:t>
      </w:r>
    </w:p>
    <w:p w14:paraId="41BD31A6">
      <w:pPr>
        <w:pStyle w:val="7"/>
        <w:snapToGrid w:val="0"/>
        <w:spacing w:before="50" w:after="50"/>
        <w:ind w:firstLine="960" w:firstLineChars="400"/>
        <w:rPr>
          <w:rFonts w:hint="eastAsia" w:ascii="仿宋" w:hAnsi="仿宋" w:eastAsia="仿宋" w:cs="仿宋"/>
          <w:bCs/>
          <w:color w:val="auto"/>
          <w:sz w:val="24"/>
          <w:szCs w:val="24"/>
          <w:highlight w:val="none"/>
        </w:rPr>
      </w:pPr>
    </w:p>
    <w:p w14:paraId="5C62A16F">
      <w:pPr>
        <w:snapToGrid w:val="0"/>
        <w:spacing w:before="165" w:beforeLines="50" w:after="50"/>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5DE00B4">
      <w:pPr>
        <w:widowControl/>
        <w:jc w:val="left"/>
        <w:rPr>
          <w:rFonts w:hint="eastAsia" w:ascii="仿宋" w:hAnsi="仿宋" w:eastAsia="仿宋" w:cs="仿宋"/>
          <w:color w:val="auto"/>
          <w:sz w:val="24"/>
          <w:highlight w:val="none"/>
        </w:rPr>
        <w:sectPr>
          <w:pgSz w:w="11906" w:h="16838"/>
          <w:pgMar w:top="1440" w:right="1080" w:bottom="1440" w:left="1080" w:header="720" w:footer="720" w:gutter="0"/>
          <w:cols w:space="720" w:num="1"/>
          <w:docGrid w:type="lines" w:linePitch="331" w:charSpace="0"/>
        </w:sectPr>
      </w:pPr>
    </w:p>
    <w:p w14:paraId="3159A31B">
      <w:pPr>
        <w:snapToGrid w:val="0"/>
        <w:spacing w:before="165" w:beforeLines="50" w:after="50"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报价文件目录</w:t>
      </w:r>
    </w:p>
    <w:p w14:paraId="21122076">
      <w:pPr>
        <w:rPr>
          <w:rFonts w:hint="eastAsia" w:ascii="仿宋" w:hAnsi="仿宋" w:eastAsia="仿宋" w:cs="仿宋"/>
          <w:color w:val="auto"/>
          <w:highlight w:val="none"/>
        </w:rPr>
      </w:pPr>
    </w:p>
    <w:p w14:paraId="112DBC16">
      <w:pPr>
        <w:snapToGrid w:val="0"/>
        <w:spacing w:before="50" w:after="165" w:afterLines="50" w:line="360" w:lineRule="auto"/>
        <w:jc w:val="center"/>
        <w:rPr>
          <w:rFonts w:hint="eastAsia" w:ascii="仿宋" w:hAnsi="仿宋" w:eastAsia="仿宋" w:cs="仿宋"/>
          <w:b/>
          <w:color w:val="auto"/>
          <w:sz w:val="24"/>
          <w:highlight w:val="none"/>
        </w:rPr>
      </w:pPr>
      <w:r>
        <w:rPr>
          <w:rFonts w:hint="eastAsia" w:ascii="仿宋" w:hAnsi="仿宋" w:eastAsia="仿宋" w:cs="仿宋"/>
          <w:color w:val="auto"/>
          <w:szCs w:val="21"/>
          <w:highlight w:val="none"/>
        </w:rPr>
        <w:t>根据招标文件规定及投标人提供的材料自行编写目录。</w:t>
      </w:r>
    </w:p>
    <w:p w14:paraId="376B7D0A">
      <w:pPr>
        <w:widowControl/>
        <w:jc w:val="left"/>
        <w:rPr>
          <w:rFonts w:hint="eastAsia" w:ascii="仿宋" w:hAnsi="仿宋" w:eastAsia="仿宋" w:cs="仿宋"/>
          <w:color w:val="auto"/>
          <w:sz w:val="30"/>
          <w:szCs w:val="20"/>
          <w:highlight w:val="none"/>
        </w:rPr>
        <w:sectPr>
          <w:pgSz w:w="11906" w:h="16838"/>
          <w:pgMar w:top="1440" w:right="1080" w:bottom="1440" w:left="1080" w:header="720" w:footer="720" w:gutter="0"/>
          <w:cols w:space="720" w:num="1"/>
          <w:docGrid w:type="lines" w:linePitch="331" w:charSpace="0"/>
        </w:sectPr>
      </w:pPr>
    </w:p>
    <w:p w14:paraId="6CF819EB">
      <w:pPr>
        <w:pStyle w:val="13"/>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一、投标函；（必须提供，否则作无效投标处理）</w:t>
      </w:r>
    </w:p>
    <w:p w14:paraId="7DAD5038">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（采购人）</w:t>
      </w:r>
    </w:p>
    <w:p w14:paraId="76970D7F">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我方已仔细阅读了贵方组织的 </w:t>
      </w:r>
      <w:r>
        <w:rPr>
          <w:rFonts w:hint="eastAsia" w:ascii="仿宋" w:hAnsi="仿宋" w:eastAsia="仿宋" w:cs="仿宋"/>
          <w:color w:val="auto"/>
          <w:highlight w:val="none"/>
          <w:u w:val="single"/>
        </w:rPr>
        <w:t xml:space="preserve">                             （项目编号： ）</w:t>
      </w:r>
      <w:r>
        <w:rPr>
          <w:rFonts w:hint="eastAsia" w:ascii="仿宋" w:hAnsi="仿宋" w:eastAsia="仿宋" w:cs="仿宋"/>
          <w:color w:val="auto"/>
          <w:highlight w:val="none"/>
        </w:rPr>
        <w:t>的招标文件的全部内容，授权</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(全权代表姓名)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(职务、职称)为全权代表，现正式递交下述文件参加贵方组织的本次政府采购活动： </w:t>
      </w:r>
    </w:p>
    <w:p w14:paraId="36CC5BA4">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一、报价文件电子版一份（包含按投标人须知前附表要求提交的全部文件）；</w:t>
      </w:r>
    </w:p>
    <w:p w14:paraId="18237AAD">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二、资格文件电子版一份（包含按投标人须知前附表要求提交的全部文件）；</w:t>
      </w:r>
    </w:p>
    <w:p w14:paraId="61D99DFD">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三、商务技术文件电子版一份（包含按投标人须知前附表要求提交的全部文件）；</w:t>
      </w:r>
    </w:p>
    <w:p w14:paraId="7619C937">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据此函，签字人兹宣布：</w:t>
      </w:r>
    </w:p>
    <w:p w14:paraId="734D652B">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分标：</w:t>
      </w:r>
      <w:r>
        <w:rPr>
          <w:rFonts w:hint="eastAsia" w:ascii="仿宋" w:hAnsi="仿宋" w:eastAsia="仿宋" w:cs="仿宋"/>
          <w:color w:val="auto"/>
          <w:highlight w:val="none"/>
        </w:rPr>
        <w:t>我方愿意以（大写）人民币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元)的投标总报价，服务期限</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，提供本项目招标文件第二章“服务需求”中的相应的采购内容。</w:t>
      </w:r>
    </w:p>
    <w:p w14:paraId="4D8D7BB4">
      <w:pPr>
        <w:pStyle w:val="13"/>
        <w:spacing w:line="360" w:lineRule="exact"/>
        <w:ind w:firstLine="40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DD0FC99">
      <w:pPr>
        <w:pStyle w:val="13"/>
        <w:spacing w:line="360" w:lineRule="exact"/>
        <w:ind w:firstLine="40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3、我方所递交的投标文件及有关资料都是内容完整、真实和准确的。</w:t>
      </w:r>
    </w:p>
    <w:p w14:paraId="0580EA28">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szCs w:val="21"/>
          <w:highlight w:val="none"/>
        </w:rPr>
        <w:t>如本项目采购内容涉及须符合国家强制规定的，我方承诺我方本次投标（包括资格条件和所投产品）均符合国家有关强制规定。</w:t>
      </w:r>
    </w:p>
    <w:p w14:paraId="6285E89E">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1C9803D">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6、我方已详细审核招标文件，我方知道必须放弃提出含糊不清或误解问题的权利。</w:t>
      </w:r>
    </w:p>
    <w:p w14:paraId="6B69DC0C">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7、我方同意应贵方要求提供与本投标有关的任何数据或资料。若贵方需要，我方愿意提供我方作出的一切承诺的证明材料。</w:t>
      </w:r>
    </w:p>
    <w:p w14:paraId="34AF87A1">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8、我方完全理解贵方不一定接受投标报价最低的投标人为中标供应商的行为。</w:t>
      </w:r>
    </w:p>
    <w:p w14:paraId="09C10275">
      <w:pPr>
        <w:pStyle w:val="13"/>
        <w:spacing w:line="440" w:lineRule="exact"/>
        <w:ind w:firstLine="400" w:firstLineChars="200"/>
        <w:rPr>
          <w:rFonts w:hint="eastAsia" w:ascii="仿宋" w:hAnsi="仿宋" w:eastAsia="仿宋" w:cs="仿宋"/>
          <w:color w:val="auto"/>
          <w:highlight w:val="none"/>
        </w:rPr>
      </w:pPr>
      <w:r>
        <w:rPr>
          <w:rFonts w:hint="eastAsia" w:ascii="仿宋" w:hAnsi="仿宋" w:eastAsia="仿宋" w:cs="仿宋"/>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80CE52">
      <w:pPr>
        <w:pStyle w:val="13"/>
        <w:spacing w:line="440" w:lineRule="exact"/>
        <w:ind w:left="1140" w:hanging="720"/>
        <w:rPr>
          <w:rFonts w:hint="eastAsia" w:ascii="仿宋" w:hAnsi="仿宋" w:eastAsia="仿宋" w:cs="仿宋"/>
          <w:color w:val="auto"/>
          <w:highlight w:val="none"/>
        </w:rPr>
      </w:pPr>
      <w:r>
        <w:rPr>
          <w:rFonts w:hint="eastAsia" w:ascii="仿宋" w:hAnsi="仿宋" w:eastAsia="仿宋" w:cs="仿宋"/>
          <w:color w:val="auto"/>
          <w:highlight w:val="none"/>
        </w:rPr>
        <w:t>（1）提供虚假材料谋取中标、成交的；</w:t>
      </w:r>
    </w:p>
    <w:p w14:paraId="12F44C52">
      <w:pPr>
        <w:pStyle w:val="13"/>
        <w:spacing w:line="440" w:lineRule="exact"/>
        <w:ind w:left="1140" w:hanging="720"/>
        <w:rPr>
          <w:rFonts w:hint="eastAsia" w:ascii="仿宋" w:hAnsi="仿宋" w:eastAsia="仿宋" w:cs="仿宋"/>
          <w:color w:val="auto"/>
          <w:highlight w:val="none"/>
        </w:rPr>
      </w:pPr>
      <w:r>
        <w:rPr>
          <w:rFonts w:hint="eastAsia" w:ascii="仿宋" w:hAnsi="仿宋" w:eastAsia="仿宋" w:cs="仿宋"/>
          <w:color w:val="auto"/>
          <w:highlight w:val="none"/>
        </w:rPr>
        <w:t>（2）采取不正当手段诋毁、排挤其他供应商的；</w:t>
      </w:r>
    </w:p>
    <w:p w14:paraId="1D768AE6">
      <w:pPr>
        <w:pStyle w:val="13"/>
        <w:spacing w:line="440" w:lineRule="exact"/>
        <w:ind w:left="1140" w:hanging="720"/>
        <w:rPr>
          <w:rFonts w:hint="eastAsia" w:ascii="仿宋" w:hAnsi="仿宋" w:eastAsia="仿宋" w:cs="仿宋"/>
          <w:color w:val="auto"/>
          <w:highlight w:val="none"/>
        </w:rPr>
      </w:pPr>
      <w:r>
        <w:rPr>
          <w:rFonts w:hint="eastAsia" w:ascii="仿宋" w:hAnsi="仿宋" w:eastAsia="仿宋" w:cs="仿宋"/>
          <w:color w:val="auto"/>
          <w:highlight w:val="none"/>
        </w:rPr>
        <w:t>（3）与采购人、其他供应商或者采购代理机构恶意串通的；</w:t>
      </w:r>
    </w:p>
    <w:p w14:paraId="5E0F3852">
      <w:pPr>
        <w:pStyle w:val="13"/>
        <w:spacing w:line="440" w:lineRule="exact"/>
        <w:ind w:left="1140" w:hanging="720"/>
        <w:rPr>
          <w:rFonts w:hint="eastAsia" w:ascii="仿宋" w:hAnsi="仿宋" w:eastAsia="仿宋" w:cs="仿宋"/>
          <w:color w:val="auto"/>
          <w:highlight w:val="none"/>
        </w:rPr>
      </w:pPr>
      <w:r>
        <w:rPr>
          <w:rFonts w:hint="eastAsia" w:ascii="仿宋" w:hAnsi="仿宋" w:eastAsia="仿宋" w:cs="仿宋"/>
          <w:color w:val="auto"/>
          <w:highlight w:val="none"/>
        </w:rPr>
        <w:t>（4）向采购人、采购代理机构行贿或者提供其他不正当利益的；</w:t>
      </w:r>
    </w:p>
    <w:p w14:paraId="5A4E4742">
      <w:pPr>
        <w:pStyle w:val="13"/>
        <w:spacing w:line="440" w:lineRule="exact"/>
        <w:ind w:left="1140" w:hanging="720"/>
        <w:rPr>
          <w:rFonts w:hint="eastAsia" w:ascii="仿宋" w:hAnsi="仿宋" w:eastAsia="仿宋" w:cs="仿宋"/>
          <w:color w:val="auto"/>
          <w:highlight w:val="none"/>
        </w:rPr>
      </w:pPr>
      <w:r>
        <w:rPr>
          <w:rFonts w:hint="eastAsia" w:ascii="仿宋" w:hAnsi="仿宋" w:eastAsia="仿宋" w:cs="仿宋"/>
          <w:color w:val="auto"/>
          <w:highlight w:val="none"/>
        </w:rPr>
        <w:t>（5）在招标采购过程中与采购人进行协商谈判的；</w:t>
      </w:r>
    </w:p>
    <w:p w14:paraId="663980D0">
      <w:pPr>
        <w:pStyle w:val="13"/>
        <w:spacing w:line="440" w:lineRule="exact"/>
        <w:ind w:left="1140" w:hanging="720"/>
        <w:rPr>
          <w:rFonts w:hint="eastAsia" w:ascii="仿宋" w:hAnsi="仿宋" w:eastAsia="仿宋" w:cs="仿宋"/>
          <w:color w:val="auto"/>
          <w:highlight w:val="none"/>
        </w:rPr>
      </w:pPr>
      <w:r>
        <w:rPr>
          <w:rFonts w:hint="eastAsia" w:ascii="仿宋" w:hAnsi="仿宋" w:eastAsia="仿宋" w:cs="仿宋"/>
          <w:color w:val="auto"/>
          <w:highlight w:val="none"/>
        </w:rPr>
        <w:t>（6）拒绝有关部门监督检查或提供虚假情况的。</w:t>
      </w:r>
    </w:p>
    <w:p w14:paraId="37EA9300">
      <w:pPr>
        <w:pStyle w:val="13"/>
        <w:spacing w:line="440" w:lineRule="exact"/>
        <w:ind w:left="420"/>
        <w:rPr>
          <w:rFonts w:hint="eastAsia" w:ascii="仿宋" w:hAnsi="仿宋" w:eastAsia="仿宋" w:cs="仿宋"/>
          <w:color w:val="auto"/>
          <w:highlight w:val="none"/>
        </w:rPr>
      </w:pPr>
      <w:r>
        <w:rPr>
          <w:rFonts w:hint="eastAsia" w:ascii="仿宋" w:hAnsi="仿宋" w:eastAsia="仿宋" w:cs="仿宋"/>
          <w:color w:val="auto"/>
          <w:highlight w:val="none"/>
        </w:rPr>
        <w:t>10、我方及由本人担任法定代表人的其他机构最近三年内被处罚的违法行为有：</w:t>
      </w:r>
      <w:r>
        <w:rPr>
          <w:rFonts w:hint="eastAsia" w:ascii="仿宋" w:hAnsi="仿宋" w:eastAsia="仿宋" w:cs="仿宋"/>
          <w:color w:val="auto"/>
          <w:highlight w:val="none"/>
          <w:u w:val="single"/>
        </w:rPr>
        <w:t xml:space="preserve">                                        </w:t>
      </w:r>
    </w:p>
    <w:p w14:paraId="3538ABEA">
      <w:pPr>
        <w:pStyle w:val="13"/>
        <w:spacing w:line="440" w:lineRule="exact"/>
        <w:ind w:left="42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p>
    <w:p w14:paraId="179EA4F3">
      <w:pPr>
        <w:pStyle w:val="13"/>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11、以上事项如有虚假或隐瞒，我方愿意承担一切后果，并不再寻求任何旨在减轻或免除法律责任的辩解。</w:t>
      </w:r>
    </w:p>
    <w:p w14:paraId="4067E4BD">
      <w:pPr>
        <w:pStyle w:val="13"/>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12、与本投标有关的一切正式往来信函请寄：</w:t>
      </w:r>
      <w:r>
        <w:rPr>
          <w:rFonts w:hint="eastAsia" w:ascii="仿宋" w:hAnsi="仿宋" w:eastAsia="仿宋" w:cs="仿宋"/>
          <w:color w:val="auto"/>
          <w:highlight w:val="none"/>
          <w:u w:val="single"/>
        </w:rPr>
        <w:t xml:space="preserve">                      </w:t>
      </w:r>
    </w:p>
    <w:p w14:paraId="64612460">
      <w:pPr>
        <w:pStyle w:val="13"/>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7C6F3E0">
      <w:pPr>
        <w:pStyle w:val="13"/>
        <w:spacing w:line="360" w:lineRule="auto"/>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电话：</w:t>
      </w:r>
      <w:r>
        <w:rPr>
          <w:rFonts w:hint="eastAsia" w:ascii="仿宋" w:hAnsi="仿宋" w:eastAsia="仿宋" w:cs="仿宋"/>
          <w:color w:val="auto"/>
          <w:highlight w:val="none"/>
          <w:u w:val="single"/>
        </w:rPr>
        <w:t xml:space="preserve">                                      　　　　　　　　　</w:t>
      </w:r>
    </w:p>
    <w:p w14:paraId="425FE354">
      <w:pPr>
        <w:pStyle w:val="13"/>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传真：</w:t>
      </w:r>
      <w:r>
        <w:rPr>
          <w:rFonts w:hint="eastAsia" w:ascii="仿宋" w:hAnsi="仿宋" w:eastAsia="仿宋" w:cs="仿宋"/>
          <w:color w:val="auto"/>
          <w:highlight w:val="none"/>
          <w:u w:val="single"/>
        </w:rPr>
        <w:t>　　　　　　　　　　　　　　　　　　　　　　　　　　　　</w:t>
      </w:r>
    </w:p>
    <w:p w14:paraId="0B8301C5">
      <w:pPr>
        <w:pStyle w:val="13"/>
        <w:spacing w:line="360" w:lineRule="auto"/>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076914ED">
      <w:pPr>
        <w:pStyle w:val="13"/>
        <w:spacing w:line="360" w:lineRule="auto"/>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00A279AD">
      <w:pPr>
        <w:pStyle w:val="13"/>
        <w:spacing w:line="360" w:lineRule="auto"/>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7A83CC3E">
      <w:pPr>
        <w:pStyle w:val="13"/>
        <w:spacing w:line="360" w:lineRule="auto"/>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6E024703">
      <w:pPr>
        <w:snapToGrid w:val="0"/>
        <w:spacing w:line="360" w:lineRule="auto"/>
        <w:ind w:firstLine="4935" w:firstLineChars="2350"/>
        <w:rPr>
          <w:rFonts w:hint="eastAsia" w:ascii="仿宋" w:hAnsi="仿宋" w:eastAsia="仿宋" w:cs="仿宋"/>
          <w:color w:val="auto"/>
          <w:szCs w:val="21"/>
          <w:highlight w:val="none"/>
        </w:rPr>
      </w:pPr>
    </w:p>
    <w:p w14:paraId="44683069">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357AA398">
      <w:pPr>
        <w:snapToGrid w:val="0"/>
        <w:spacing w:line="360" w:lineRule="auto"/>
        <w:ind w:firstLine="6960" w:firstLineChars="29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7D30D20">
      <w:pPr>
        <w:widowControl/>
        <w:spacing w:line="360" w:lineRule="auto"/>
        <w:jc w:val="left"/>
        <w:rPr>
          <w:rFonts w:hint="eastAsia" w:ascii="仿宋" w:hAnsi="仿宋" w:eastAsia="仿宋" w:cs="仿宋"/>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7A2DD0FE">
      <w:pPr>
        <w:pStyle w:val="13"/>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color w:val="auto"/>
          <w:sz w:val="30"/>
          <w:highlight w:val="none"/>
        </w:rPr>
        <w:t>二、</w:t>
      </w:r>
      <w:r>
        <w:rPr>
          <w:rFonts w:hint="eastAsia" w:ascii="仿宋" w:hAnsi="仿宋" w:eastAsia="仿宋" w:cs="仿宋"/>
          <w:b/>
          <w:color w:val="auto"/>
          <w:sz w:val="30"/>
          <w:szCs w:val="30"/>
          <w:highlight w:val="none"/>
        </w:rPr>
        <w:t>开标一览表；（必须提供，否则作无效投标处理）</w:t>
      </w:r>
    </w:p>
    <w:p w14:paraId="26CA6A20">
      <w:pPr>
        <w:snapToGrid w:val="0"/>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b/>
          <w:bCs/>
          <w:sz w:val="30"/>
          <w:szCs w:val="30"/>
        </w:rPr>
        <w:t>表1</w:t>
      </w:r>
      <w:r>
        <w:rPr>
          <w:rFonts w:hint="eastAsia" w:ascii="仿宋" w:hAnsi="仿宋" w:eastAsia="仿宋" w:cs="仿宋"/>
          <w:b/>
          <w:bCs/>
          <w:sz w:val="30"/>
          <w:szCs w:val="30"/>
          <w:lang w:val="en-US" w:eastAsia="zh-CN"/>
        </w:rPr>
        <w:t xml:space="preserve"> </w:t>
      </w:r>
      <w:r>
        <w:rPr>
          <w:rFonts w:hint="eastAsia" w:ascii="仿宋" w:hAnsi="仿宋" w:eastAsia="仿宋" w:cs="仿宋"/>
          <w:b/>
          <w:color w:val="auto"/>
          <w:sz w:val="30"/>
          <w:szCs w:val="30"/>
          <w:highlight w:val="none"/>
        </w:rPr>
        <w:t>开标一览表</w:t>
      </w:r>
    </w:p>
    <w:p w14:paraId="4069ADFC">
      <w:pPr>
        <w:snapToGrid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项目名称：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w:t>
      </w:r>
    </w:p>
    <w:p w14:paraId="3A3FCC52">
      <w:pPr>
        <w:snapToGrid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项目编号：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w:t>
      </w:r>
    </w:p>
    <w:p w14:paraId="3B556C38">
      <w:pPr>
        <w:snapToGrid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分标：           </w:t>
      </w:r>
    </w:p>
    <w:p w14:paraId="0BC7D0F0">
      <w:pPr>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 xml:space="preserve">投标人名称：    </w:t>
      </w:r>
      <w:r>
        <w:rPr>
          <w:rFonts w:hint="eastAsia" w:ascii="仿宋" w:hAnsi="仿宋" w:eastAsia="仿宋" w:cs="仿宋"/>
          <w:color w:val="auto"/>
          <w:highlight w:val="none"/>
        </w:rPr>
        <w:t xml:space="preserve">                    </w:t>
      </w:r>
    </w:p>
    <w:tbl>
      <w:tblPr>
        <w:tblStyle w:val="20"/>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79"/>
        <w:gridCol w:w="639"/>
        <w:gridCol w:w="639"/>
        <w:gridCol w:w="4510"/>
      </w:tblGrid>
      <w:tr w14:paraId="0C8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5FFA904E">
            <w:pPr>
              <w:jc w:val="center"/>
              <w:rPr>
                <w:rFonts w:ascii="仿宋" w:hAnsi="仿宋" w:eastAsia="仿宋" w:cs="仿宋"/>
                <w:sz w:val="24"/>
              </w:rPr>
            </w:pPr>
            <w:r>
              <w:rPr>
                <w:rFonts w:hint="eastAsia" w:ascii="仿宋" w:hAnsi="仿宋" w:eastAsia="仿宋" w:cs="仿宋"/>
                <w:sz w:val="24"/>
              </w:rPr>
              <w:t>序号</w:t>
            </w:r>
          </w:p>
        </w:tc>
        <w:tc>
          <w:tcPr>
            <w:tcW w:w="3579" w:type="dxa"/>
            <w:tcBorders>
              <w:top w:val="single" w:color="auto" w:sz="4" w:space="0"/>
              <w:left w:val="single" w:color="auto" w:sz="4" w:space="0"/>
              <w:bottom w:val="single" w:color="auto" w:sz="4" w:space="0"/>
              <w:right w:val="single" w:color="auto" w:sz="4" w:space="0"/>
            </w:tcBorders>
            <w:noWrap/>
            <w:vAlign w:val="center"/>
          </w:tcPr>
          <w:p w14:paraId="0977AFD3">
            <w:pPr>
              <w:jc w:val="center"/>
              <w:rPr>
                <w:rFonts w:hint="eastAsia" w:ascii="仿宋" w:hAnsi="仿宋" w:eastAsia="仿宋" w:cs="仿宋"/>
                <w:sz w:val="24"/>
                <w:lang w:eastAsia="zh-CN"/>
              </w:rPr>
            </w:pPr>
            <w:r>
              <w:rPr>
                <w:rFonts w:hint="eastAsia" w:ascii="仿宋" w:hAnsi="仿宋" w:eastAsia="仿宋" w:cs="仿宋"/>
                <w:sz w:val="24"/>
                <w:lang w:eastAsia="zh-CN"/>
              </w:rPr>
              <w:t>标项名称</w:t>
            </w:r>
          </w:p>
        </w:tc>
        <w:tc>
          <w:tcPr>
            <w:tcW w:w="639" w:type="dxa"/>
            <w:tcBorders>
              <w:top w:val="single" w:color="auto" w:sz="4" w:space="0"/>
              <w:left w:val="single" w:color="auto" w:sz="4" w:space="0"/>
              <w:bottom w:val="single" w:color="auto" w:sz="4" w:space="0"/>
              <w:right w:val="single" w:color="auto" w:sz="4" w:space="0"/>
            </w:tcBorders>
            <w:noWrap/>
            <w:vAlign w:val="center"/>
          </w:tcPr>
          <w:p w14:paraId="44C34815">
            <w:pPr>
              <w:jc w:val="center"/>
              <w:rPr>
                <w:rFonts w:ascii="仿宋" w:hAnsi="仿宋" w:eastAsia="仿宋" w:cs="仿宋"/>
                <w:sz w:val="24"/>
              </w:rPr>
            </w:pPr>
            <w:r>
              <w:rPr>
                <w:rFonts w:hint="eastAsia" w:ascii="仿宋" w:hAnsi="仿宋" w:eastAsia="仿宋" w:cs="仿宋"/>
                <w:sz w:val="24"/>
              </w:rPr>
              <w:t>数量</w:t>
            </w:r>
          </w:p>
        </w:tc>
        <w:tc>
          <w:tcPr>
            <w:tcW w:w="639" w:type="dxa"/>
            <w:tcBorders>
              <w:top w:val="single" w:color="auto" w:sz="4" w:space="0"/>
              <w:left w:val="single" w:color="auto" w:sz="4" w:space="0"/>
              <w:bottom w:val="single" w:color="auto" w:sz="4" w:space="0"/>
              <w:right w:val="single" w:color="auto" w:sz="4" w:space="0"/>
            </w:tcBorders>
            <w:noWrap/>
            <w:vAlign w:val="center"/>
          </w:tcPr>
          <w:p w14:paraId="41715951">
            <w:pPr>
              <w:jc w:val="center"/>
              <w:rPr>
                <w:rFonts w:hint="eastAsia" w:ascii="仿宋" w:hAnsi="仿宋" w:eastAsia="仿宋" w:cs="仿宋"/>
                <w:sz w:val="24"/>
              </w:rPr>
            </w:pPr>
            <w:r>
              <w:rPr>
                <w:rFonts w:hint="eastAsia" w:ascii="仿宋" w:hAnsi="仿宋" w:eastAsia="仿宋" w:cs="仿宋"/>
                <w:sz w:val="24"/>
              </w:rPr>
              <w:t>单位</w:t>
            </w:r>
          </w:p>
        </w:tc>
        <w:tc>
          <w:tcPr>
            <w:tcW w:w="4510" w:type="dxa"/>
            <w:tcBorders>
              <w:top w:val="single" w:color="auto" w:sz="4" w:space="0"/>
              <w:left w:val="single" w:color="auto" w:sz="4" w:space="0"/>
              <w:bottom w:val="single" w:color="auto" w:sz="4" w:space="0"/>
              <w:right w:val="single" w:color="auto" w:sz="4" w:space="0"/>
            </w:tcBorders>
            <w:noWrap/>
            <w:vAlign w:val="center"/>
          </w:tcPr>
          <w:p w14:paraId="7E7D37C2">
            <w:pPr>
              <w:jc w:val="center"/>
              <w:rPr>
                <w:rFonts w:ascii="仿宋" w:hAnsi="仿宋" w:eastAsia="仿宋" w:cs="仿宋"/>
                <w:sz w:val="24"/>
              </w:rPr>
            </w:pPr>
            <w:r>
              <w:rPr>
                <w:rFonts w:hint="eastAsia" w:ascii="仿宋" w:hAnsi="仿宋" w:eastAsia="仿宋" w:cs="仿宋"/>
                <w:sz w:val="24"/>
              </w:rPr>
              <w:t>总价（元）</w:t>
            </w:r>
          </w:p>
        </w:tc>
      </w:tr>
      <w:tr w14:paraId="7BEA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0415B42F">
            <w:pPr>
              <w:jc w:val="center"/>
              <w:rPr>
                <w:rFonts w:ascii="仿宋" w:hAnsi="仿宋" w:eastAsia="仿宋" w:cs="仿宋"/>
                <w:sz w:val="24"/>
              </w:rPr>
            </w:pPr>
            <w:r>
              <w:rPr>
                <w:rFonts w:hint="eastAsia" w:ascii="仿宋" w:hAnsi="仿宋" w:eastAsia="仿宋" w:cs="仿宋"/>
                <w:sz w:val="24"/>
              </w:rPr>
              <w:t>1</w:t>
            </w:r>
          </w:p>
        </w:tc>
        <w:tc>
          <w:tcPr>
            <w:tcW w:w="3579" w:type="dxa"/>
            <w:tcBorders>
              <w:top w:val="single" w:color="auto" w:sz="4" w:space="0"/>
              <w:left w:val="single" w:color="auto" w:sz="4" w:space="0"/>
              <w:bottom w:val="single" w:color="auto" w:sz="4" w:space="0"/>
              <w:right w:val="single" w:color="auto" w:sz="4" w:space="0"/>
            </w:tcBorders>
            <w:noWrap/>
            <w:vAlign w:val="center"/>
          </w:tcPr>
          <w:p w14:paraId="25FB5A2A">
            <w:pPr>
              <w:jc w:val="center"/>
              <w:rPr>
                <w:rFonts w:ascii="仿宋" w:hAnsi="仿宋" w:eastAsia="仿宋" w:cs="仿宋"/>
                <w:sz w:val="24"/>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5456E74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ign w:val="center"/>
          </w:tcPr>
          <w:p w14:paraId="7B4E57BD">
            <w:pPr>
              <w:jc w:val="center"/>
              <w:rPr>
                <w:rFonts w:hint="eastAsia" w:ascii="仿宋" w:hAnsi="仿宋" w:eastAsia="仿宋" w:cs="仿宋"/>
                <w:sz w:val="24"/>
                <w:lang w:eastAsia="zh-CN"/>
              </w:rPr>
            </w:pPr>
            <w:r>
              <w:rPr>
                <w:rFonts w:hint="eastAsia" w:ascii="仿宋" w:hAnsi="仿宋" w:eastAsia="仿宋" w:cs="仿宋"/>
                <w:sz w:val="24"/>
                <w:lang w:eastAsia="zh-CN"/>
              </w:rPr>
              <w:t>项</w:t>
            </w:r>
          </w:p>
        </w:tc>
        <w:tc>
          <w:tcPr>
            <w:tcW w:w="4510" w:type="dxa"/>
            <w:tcBorders>
              <w:top w:val="single" w:color="auto" w:sz="4" w:space="0"/>
              <w:left w:val="single" w:color="auto" w:sz="4" w:space="0"/>
              <w:bottom w:val="single" w:color="auto" w:sz="4" w:space="0"/>
              <w:right w:val="single" w:color="auto" w:sz="4" w:space="0"/>
            </w:tcBorders>
            <w:noWrap/>
            <w:vAlign w:val="center"/>
          </w:tcPr>
          <w:p w14:paraId="23641247">
            <w:pPr>
              <w:jc w:val="center"/>
              <w:rPr>
                <w:rFonts w:ascii="仿宋" w:hAnsi="仿宋" w:eastAsia="仿宋" w:cs="仿宋"/>
                <w:sz w:val="24"/>
              </w:rPr>
            </w:pPr>
          </w:p>
        </w:tc>
      </w:tr>
      <w:tr w14:paraId="3022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ign w:val="center"/>
          </w:tcPr>
          <w:p w14:paraId="36111635">
            <w:pPr>
              <w:rPr>
                <w:rFonts w:ascii="仿宋" w:hAnsi="仿宋" w:eastAsia="仿宋" w:cs="仿宋"/>
                <w:sz w:val="24"/>
              </w:rPr>
            </w:pPr>
            <w:r>
              <w:rPr>
                <w:rFonts w:hint="eastAsia" w:ascii="仿宋" w:hAnsi="仿宋" w:eastAsia="仿宋" w:cs="仿宋"/>
                <w:sz w:val="24"/>
              </w:rPr>
              <w:t>报价合计（包含税费等所有费用）：（大写）人民币             （¥        元）</w:t>
            </w:r>
          </w:p>
        </w:tc>
      </w:tr>
      <w:tr w14:paraId="549A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ign w:val="center"/>
          </w:tcPr>
          <w:p w14:paraId="4071D603">
            <w:pPr>
              <w:rPr>
                <w:rFonts w:ascii="仿宋" w:hAnsi="仿宋" w:eastAsia="仿宋" w:cs="仿宋"/>
                <w:sz w:val="24"/>
              </w:rPr>
            </w:pPr>
            <w:r>
              <w:rPr>
                <w:rFonts w:hint="eastAsia" w:ascii="仿宋" w:hAnsi="仿宋" w:eastAsia="仿宋" w:cs="仿宋"/>
                <w:sz w:val="24"/>
              </w:rPr>
              <w:t>服务期限：</w:t>
            </w:r>
          </w:p>
        </w:tc>
      </w:tr>
      <w:tr w14:paraId="535B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ign w:val="center"/>
          </w:tcPr>
          <w:p w14:paraId="7B7B8461">
            <w:pPr>
              <w:rPr>
                <w:rFonts w:ascii="仿宋" w:hAnsi="仿宋" w:eastAsia="仿宋" w:cs="仿宋"/>
                <w:sz w:val="24"/>
              </w:rPr>
            </w:pPr>
            <w:r>
              <w:rPr>
                <w:rFonts w:hint="eastAsia" w:ascii="仿宋" w:hAnsi="仿宋" w:eastAsia="仿宋" w:cs="仿宋"/>
                <w:sz w:val="24"/>
              </w:rPr>
              <w:t>服务地点：</w:t>
            </w:r>
          </w:p>
        </w:tc>
      </w:tr>
    </w:tbl>
    <w:p w14:paraId="06059062">
      <w:pPr>
        <w:snapToGrid w:val="0"/>
        <w:spacing w:before="50" w:after="50" w:line="24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注： </w:t>
      </w:r>
    </w:p>
    <w:p w14:paraId="6F00AFE7">
      <w:pPr>
        <w:snapToGrid w:val="0"/>
        <w:spacing w:before="50" w:after="50" w:line="24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1、投标人需按本表格式填写，不得自行更改，也不得留空, 如有多分标，按分标分别提供开标一览表，必须加盖投标人有效电子公章，</w:t>
      </w:r>
      <w:r>
        <w:rPr>
          <w:rFonts w:hint="eastAsia" w:ascii="仿宋" w:hAnsi="仿宋" w:eastAsia="仿宋" w:cs="仿宋"/>
          <w:b/>
          <w:color w:val="auto"/>
          <w:kern w:val="0"/>
          <w:sz w:val="24"/>
          <w:highlight w:val="none"/>
          <w:lang w:val="zh-CN"/>
        </w:rPr>
        <w:t>否则其投标作无效标处理。</w:t>
      </w:r>
    </w:p>
    <w:p w14:paraId="01EC5D7D">
      <w:pPr>
        <w:snapToGrid w:val="0"/>
        <w:spacing w:before="50" w:after="50" w:line="24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2、本表内容均不能涂改，</w:t>
      </w:r>
      <w:r>
        <w:rPr>
          <w:rFonts w:hint="eastAsia" w:ascii="仿宋" w:hAnsi="仿宋" w:eastAsia="仿宋" w:cs="仿宋"/>
          <w:b/>
          <w:color w:val="auto"/>
          <w:kern w:val="0"/>
          <w:sz w:val="24"/>
          <w:highlight w:val="none"/>
          <w:lang w:val="zh-CN"/>
        </w:rPr>
        <w:t>否则其投标作无效标处理。</w:t>
      </w:r>
    </w:p>
    <w:p w14:paraId="1BD46AA1">
      <w:pPr>
        <w:snapToGrid w:val="0"/>
        <w:spacing w:before="50" w:after="50" w:line="240" w:lineRule="auto"/>
        <w:ind w:firstLine="480" w:firstLineChars="200"/>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3、如为联合体投标，“投标人名称”处必须列明联合体各方名称，并标注联合体牵头人名称，且盖章处须加盖联合体各方公章，</w:t>
      </w:r>
      <w:r>
        <w:rPr>
          <w:rFonts w:hint="eastAsia" w:ascii="仿宋" w:hAnsi="仿宋" w:eastAsia="仿宋" w:cs="仿宋"/>
          <w:b/>
          <w:color w:val="auto"/>
          <w:kern w:val="0"/>
          <w:sz w:val="24"/>
          <w:highlight w:val="none"/>
          <w:lang w:val="zh-CN"/>
        </w:rPr>
        <w:t>否则其投标作无效标处理。</w:t>
      </w:r>
    </w:p>
    <w:p w14:paraId="4A2D9DEC">
      <w:pPr>
        <w:snapToGrid w:val="0"/>
        <w:spacing w:line="24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4、特别提示：采购机构将对项目名称和项目编号，中标供应商名称、地址和中标金额，主要中标标的的名称、服务范围、服务要求、服务时间、服务标准等予以公示。</w:t>
      </w:r>
    </w:p>
    <w:p w14:paraId="28224413">
      <w:pPr>
        <w:snapToGrid w:val="0"/>
        <w:spacing w:line="24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2"/>
          <w:highlight w:val="none"/>
          <w:lang w:val="zh-CN"/>
        </w:rPr>
        <w:t>5、</w:t>
      </w:r>
      <w:r>
        <w:rPr>
          <w:rFonts w:hint="eastAsia" w:ascii="仿宋" w:hAnsi="仿宋" w:eastAsia="仿宋" w:cs="仿宋"/>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CEA1AB8">
      <w:pPr>
        <w:snapToGrid w:val="0"/>
        <w:spacing w:line="360" w:lineRule="auto"/>
        <w:ind w:firstLine="4935" w:firstLineChars="2350"/>
        <w:rPr>
          <w:rFonts w:hint="eastAsia" w:ascii="仿宋" w:hAnsi="仿宋" w:eastAsia="仿宋" w:cs="仿宋"/>
          <w:color w:val="auto"/>
          <w:szCs w:val="21"/>
          <w:highlight w:val="none"/>
        </w:rPr>
      </w:pPr>
    </w:p>
    <w:p w14:paraId="40830F39">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FFD70F1">
      <w:pPr>
        <w:snapToGrid w:val="0"/>
        <w:spacing w:line="360" w:lineRule="auto"/>
        <w:ind w:firstLine="6960" w:firstLineChars="2900"/>
        <w:rPr>
          <w:rFonts w:hint="eastAsia" w:ascii="仿宋" w:hAnsi="仿宋" w:eastAsia="仿宋" w:cs="仿宋"/>
          <w:b/>
          <w:color w:val="auto"/>
          <w:sz w:val="30"/>
          <w:szCs w:val="30"/>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1C7495E">
      <w:pPr>
        <w:pStyle w:val="13"/>
        <w:jc w:val="center"/>
        <w:rPr>
          <w:rFonts w:hint="eastAsia" w:ascii="仿宋" w:hAnsi="仿宋" w:eastAsia="仿宋" w:cs="仿宋"/>
          <w:b/>
          <w:color w:val="auto"/>
          <w:sz w:val="30"/>
          <w:szCs w:val="30"/>
          <w:highlight w:val="none"/>
        </w:rPr>
        <w:sectPr>
          <w:pgSz w:w="11906" w:h="16838"/>
          <w:pgMar w:top="1440" w:right="1080" w:bottom="1440" w:left="1080" w:header="720" w:footer="720" w:gutter="0"/>
          <w:cols w:space="720" w:num="1"/>
          <w:docGrid w:type="lines" w:linePitch="331" w:charSpace="0"/>
        </w:sectPr>
      </w:pPr>
    </w:p>
    <w:p w14:paraId="6811760C">
      <w:pPr>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 xml:space="preserve">表2 </w:t>
      </w:r>
      <w:r>
        <w:rPr>
          <w:rFonts w:hint="eastAsia" w:ascii="仿宋" w:hAnsi="仿宋" w:eastAsia="仿宋" w:cs="仿宋"/>
          <w:b/>
          <w:sz w:val="30"/>
          <w:szCs w:val="30"/>
          <w:lang w:eastAsia="zh-CN"/>
        </w:rPr>
        <w:t>投标</w:t>
      </w:r>
      <w:r>
        <w:rPr>
          <w:rFonts w:hint="eastAsia" w:ascii="仿宋" w:hAnsi="仿宋" w:eastAsia="仿宋" w:cs="仿宋"/>
          <w:b/>
          <w:sz w:val="30"/>
          <w:szCs w:val="30"/>
        </w:rPr>
        <w:t>报价明细表</w:t>
      </w:r>
    </w:p>
    <w:p w14:paraId="265085E6">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lang w:val="en-US" w:eastAsia="zh-CN"/>
        </w:rPr>
        <w:t xml:space="preserve">       </w:t>
      </w:r>
      <w:r>
        <w:rPr>
          <w:rFonts w:hint="eastAsia" w:ascii="仿宋" w:hAnsi="仿宋" w:eastAsia="仿宋" w:cs="仿宋"/>
          <w:sz w:val="24"/>
        </w:rPr>
        <w:t xml:space="preserve">   项目编号： </w:t>
      </w:r>
      <w:r>
        <w:rPr>
          <w:rFonts w:hint="eastAsia" w:ascii="仿宋" w:hAnsi="仿宋" w:eastAsia="仿宋" w:cs="仿宋"/>
          <w:sz w:val="24"/>
          <w:lang w:val="en-US" w:eastAsia="zh-CN"/>
        </w:rPr>
        <w:t xml:space="preserve">      </w:t>
      </w:r>
      <w:r>
        <w:rPr>
          <w:rFonts w:hint="eastAsia" w:ascii="仿宋" w:hAnsi="仿宋" w:eastAsia="仿宋" w:cs="仿宋"/>
          <w:sz w:val="24"/>
        </w:rPr>
        <w:t xml:space="preserve">  分标：</w:t>
      </w:r>
    </w:p>
    <w:p w14:paraId="2BE526D2">
      <w:pPr>
        <w:snapToGrid w:val="0"/>
        <w:spacing w:before="50" w:after="50" w:line="360" w:lineRule="auto"/>
        <w:rPr>
          <w:rFonts w:ascii="仿宋" w:hAnsi="仿宋" w:eastAsia="仿宋" w:cs="仿宋"/>
          <w:b/>
          <w:sz w:val="30"/>
          <w:szCs w:val="30"/>
        </w:rPr>
      </w:pPr>
      <w:r>
        <w:rPr>
          <w:rFonts w:hint="eastAsia" w:ascii="仿宋" w:hAnsi="仿宋" w:eastAsia="仿宋" w:cs="仿宋"/>
          <w:sz w:val="24"/>
        </w:rPr>
        <w:t>供应商名称：</w:t>
      </w:r>
    </w:p>
    <w:tbl>
      <w:tblPr>
        <w:tblStyle w:val="20"/>
        <w:tblW w:w="10245" w:type="dxa"/>
        <w:tblInd w:w="93" w:type="dxa"/>
        <w:tblLayout w:type="fixed"/>
        <w:tblCellMar>
          <w:top w:w="0" w:type="dxa"/>
          <w:left w:w="108" w:type="dxa"/>
          <w:bottom w:w="0" w:type="dxa"/>
          <w:right w:w="108" w:type="dxa"/>
        </w:tblCellMar>
      </w:tblPr>
      <w:tblGrid>
        <w:gridCol w:w="531"/>
        <w:gridCol w:w="1879"/>
        <w:gridCol w:w="4641"/>
        <w:gridCol w:w="1628"/>
        <w:gridCol w:w="1566"/>
      </w:tblGrid>
      <w:tr w14:paraId="22629B9F">
        <w:tblPrEx>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61365">
            <w:pPr>
              <w:widowControl/>
              <w:jc w:val="center"/>
              <w:textAlignment w:val="center"/>
              <w:rPr>
                <w:rFonts w:ascii="仿宋" w:hAnsi="仿宋" w:eastAsia="仿宋" w:cs="仿宋"/>
                <w:b/>
                <w:bCs/>
                <w:color w:val="0F1115"/>
                <w:sz w:val="24"/>
              </w:rPr>
            </w:pPr>
            <w:r>
              <w:rPr>
                <w:rFonts w:hint="eastAsia" w:ascii="仿宋" w:hAnsi="仿宋" w:eastAsia="仿宋" w:cs="仿宋"/>
                <w:b/>
                <w:bCs/>
                <w:color w:val="0F1115"/>
                <w:kern w:val="0"/>
                <w:sz w:val="24"/>
              </w:rPr>
              <w:t>序号</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E0810">
            <w:pPr>
              <w:widowControl/>
              <w:jc w:val="center"/>
              <w:textAlignment w:val="center"/>
              <w:rPr>
                <w:rFonts w:ascii="仿宋" w:hAnsi="仿宋" w:eastAsia="仿宋" w:cs="仿宋"/>
                <w:b/>
                <w:bCs/>
                <w:color w:val="0F1115"/>
                <w:sz w:val="24"/>
              </w:rPr>
            </w:pPr>
            <w:r>
              <w:rPr>
                <w:rFonts w:hint="eastAsia" w:ascii="仿宋" w:hAnsi="仿宋" w:eastAsia="仿宋" w:cs="仿宋"/>
                <w:b/>
                <w:bCs/>
                <w:color w:val="0F1115"/>
                <w:kern w:val="0"/>
                <w:sz w:val="24"/>
              </w:rPr>
              <w:t>体检项目</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3CD4E">
            <w:pPr>
              <w:widowControl/>
              <w:jc w:val="center"/>
              <w:textAlignment w:val="center"/>
              <w:rPr>
                <w:rFonts w:ascii="仿宋" w:hAnsi="仿宋" w:eastAsia="仿宋" w:cs="仿宋"/>
                <w:b/>
                <w:bCs/>
                <w:color w:val="0F1115"/>
                <w:sz w:val="24"/>
              </w:rPr>
            </w:pPr>
            <w:r>
              <w:rPr>
                <w:rFonts w:hint="eastAsia" w:ascii="仿宋" w:hAnsi="仿宋" w:eastAsia="仿宋" w:cs="仿宋"/>
                <w:b/>
                <w:bCs/>
                <w:color w:val="0F1115"/>
                <w:kern w:val="0"/>
                <w:sz w:val="24"/>
              </w:rPr>
              <w:t>检查意义</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5F88">
            <w:pPr>
              <w:widowControl/>
              <w:jc w:val="center"/>
              <w:textAlignment w:val="center"/>
              <w:rPr>
                <w:rFonts w:ascii="仿宋" w:hAnsi="仿宋" w:eastAsia="仿宋" w:cs="仿宋"/>
                <w:b/>
                <w:bCs/>
                <w:color w:val="0F1115"/>
                <w:sz w:val="24"/>
              </w:rPr>
            </w:pPr>
            <w:r>
              <w:rPr>
                <w:rFonts w:hint="eastAsia" w:ascii="仿宋" w:hAnsi="仿宋" w:eastAsia="仿宋" w:cs="仿宋"/>
                <w:b/>
                <w:bCs/>
                <w:color w:val="0F1115"/>
                <w:kern w:val="0"/>
                <w:sz w:val="24"/>
              </w:rPr>
              <w:t>男性（元）</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0A23F">
            <w:pPr>
              <w:widowControl/>
              <w:jc w:val="center"/>
              <w:textAlignment w:val="center"/>
              <w:rPr>
                <w:rFonts w:ascii="仿宋" w:hAnsi="仿宋" w:eastAsia="仿宋" w:cs="仿宋"/>
                <w:b/>
                <w:bCs/>
                <w:color w:val="0F1115"/>
                <w:sz w:val="24"/>
              </w:rPr>
            </w:pPr>
            <w:r>
              <w:rPr>
                <w:rFonts w:hint="eastAsia" w:ascii="仿宋" w:hAnsi="仿宋" w:eastAsia="仿宋" w:cs="仿宋"/>
                <w:b/>
                <w:bCs/>
                <w:color w:val="0F1115"/>
                <w:kern w:val="0"/>
                <w:sz w:val="24"/>
              </w:rPr>
              <w:t>女性（元）</w:t>
            </w:r>
          </w:p>
        </w:tc>
      </w:tr>
      <w:tr w14:paraId="0712B1DF">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FE4A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DA11">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一般检查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98DDE">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了解血压、体重、腰围等基础健康指标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B62E">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0607">
            <w:pPr>
              <w:widowControl/>
              <w:jc w:val="center"/>
              <w:textAlignment w:val="center"/>
              <w:rPr>
                <w:rFonts w:ascii="仿宋" w:hAnsi="仿宋" w:eastAsia="仿宋" w:cs="仿宋"/>
                <w:color w:val="000000"/>
                <w:sz w:val="24"/>
              </w:rPr>
            </w:pPr>
          </w:p>
        </w:tc>
      </w:tr>
      <w:tr w14:paraId="3EE7D3E7">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0927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F76F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内科、外科体格检查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2C54A">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检查心肺、浅表淋巴结、甲状腺、乳腺、四肢关节有无异常</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C624">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AC42">
            <w:pPr>
              <w:widowControl/>
              <w:jc w:val="center"/>
              <w:textAlignment w:val="center"/>
              <w:rPr>
                <w:rFonts w:ascii="仿宋" w:hAnsi="仿宋" w:eastAsia="仿宋" w:cs="仿宋"/>
                <w:color w:val="000000"/>
                <w:sz w:val="24"/>
              </w:rPr>
            </w:pPr>
          </w:p>
        </w:tc>
      </w:tr>
      <w:tr w14:paraId="43EA0ED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2B1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8A1B">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耳鼻喉科检查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00DF">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检查外耳道、鼻腔、咽喉等有无炎症或肿物</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15A9">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8112">
            <w:pPr>
              <w:widowControl/>
              <w:jc w:val="center"/>
              <w:textAlignment w:val="center"/>
              <w:rPr>
                <w:rFonts w:ascii="仿宋" w:hAnsi="仿宋" w:eastAsia="仿宋" w:cs="仿宋"/>
                <w:color w:val="000000"/>
                <w:sz w:val="24"/>
              </w:rPr>
            </w:pPr>
          </w:p>
        </w:tc>
      </w:tr>
      <w:tr w14:paraId="5AB0837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56B75">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804B4">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口腔科检查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784C">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检查口腔黏膜、牙齿、牙周有无病变</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82E">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8F78">
            <w:pPr>
              <w:widowControl/>
              <w:jc w:val="center"/>
              <w:textAlignment w:val="center"/>
              <w:rPr>
                <w:rFonts w:ascii="仿宋" w:hAnsi="仿宋" w:eastAsia="仿宋" w:cs="仿宋"/>
                <w:color w:val="000000"/>
                <w:sz w:val="24"/>
              </w:rPr>
            </w:pPr>
          </w:p>
        </w:tc>
      </w:tr>
      <w:tr w14:paraId="35562A6E">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B601">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8314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眼科基础检查（视力/色觉）</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233F7">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了解视力状况及色觉功能是否正常</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C6BC">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CBE1">
            <w:pPr>
              <w:widowControl/>
              <w:jc w:val="center"/>
              <w:textAlignment w:val="center"/>
              <w:rPr>
                <w:rFonts w:ascii="仿宋" w:hAnsi="仿宋" w:eastAsia="仿宋" w:cs="仿宋"/>
                <w:color w:val="000000"/>
                <w:sz w:val="24"/>
              </w:rPr>
            </w:pPr>
          </w:p>
        </w:tc>
      </w:tr>
      <w:tr w14:paraId="3F880D88">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F223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CBF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眼科裂隙灯检查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0174">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检查角膜、晶状体，筛查白内障等病变</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ABB3">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9ECD">
            <w:pPr>
              <w:widowControl/>
              <w:jc w:val="center"/>
              <w:textAlignment w:val="center"/>
              <w:rPr>
                <w:rFonts w:ascii="仿宋" w:hAnsi="仿宋" w:eastAsia="仿宋" w:cs="仿宋"/>
                <w:color w:val="000000"/>
                <w:sz w:val="24"/>
              </w:rPr>
            </w:pPr>
          </w:p>
        </w:tc>
      </w:tr>
      <w:tr w14:paraId="3903D65C">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6F0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273F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眼底检查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F1989">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筛查糖尿病视网膜病变、高血压眼底改变</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772C">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B626">
            <w:pPr>
              <w:widowControl/>
              <w:jc w:val="center"/>
              <w:textAlignment w:val="center"/>
              <w:rPr>
                <w:rFonts w:ascii="仿宋" w:hAnsi="仿宋" w:eastAsia="仿宋" w:cs="仿宋"/>
                <w:color w:val="000000"/>
                <w:sz w:val="24"/>
              </w:rPr>
            </w:pPr>
          </w:p>
        </w:tc>
      </w:tr>
      <w:tr w14:paraId="54B62B3F">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2BF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216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抽血及材料费</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0A52">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采血耗材</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11E8">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F84F">
            <w:pPr>
              <w:widowControl/>
              <w:jc w:val="center"/>
              <w:textAlignment w:val="center"/>
              <w:rPr>
                <w:rFonts w:ascii="仿宋" w:hAnsi="仿宋" w:eastAsia="仿宋" w:cs="仿宋"/>
                <w:color w:val="000000"/>
                <w:sz w:val="24"/>
              </w:rPr>
            </w:pPr>
          </w:p>
        </w:tc>
      </w:tr>
      <w:tr w14:paraId="0BF7E7CE">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5A49">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68400">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肝功能检查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20422">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了解肝脏功能，筛查肝炎、脂肪肝等</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EE5D">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B771">
            <w:pPr>
              <w:widowControl/>
              <w:jc w:val="center"/>
              <w:textAlignment w:val="center"/>
              <w:rPr>
                <w:rFonts w:ascii="仿宋" w:hAnsi="仿宋" w:eastAsia="仿宋" w:cs="仿宋"/>
                <w:color w:val="000000"/>
                <w:sz w:val="24"/>
              </w:rPr>
            </w:pPr>
          </w:p>
        </w:tc>
      </w:tr>
      <w:tr w14:paraId="7FB1BBF2">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E3032">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587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空腹血糖</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2555D">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了解血糖水平，筛查糖尿病</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7621">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3C30">
            <w:pPr>
              <w:widowControl/>
              <w:jc w:val="center"/>
              <w:textAlignment w:val="center"/>
              <w:rPr>
                <w:rFonts w:ascii="仿宋" w:hAnsi="仿宋" w:eastAsia="仿宋" w:cs="仿宋"/>
                <w:color w:val="000000"/>
                <w:sz w:val="24"/>
              </w:rPr>
            </w:pPr>
          </w:p>
        </w:tc>
      </w:tr>
      <w:tr w14:paraId="2108E69F">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33A35">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11</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781B3">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肾功能三项</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2A884">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了解肾脏功能，筛查肾炎、痛风等</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F6E8">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33F">
            <w:pPr>
              <w:widowControl/>
              <w:jc w:val="center"/>
              <w:textAlignment w:val="center"/>
              <w:rPr>
                <w:rFonts w:ascii="仿宋" w:hAnsi="仿宋" w:eastAsia="仿宋" w:cs="仿宋"/>
                <w:color w:val="000000"/>
                <w:sz w:val="24"/>
              </w:rPr>
            </w:pPr>
          </w:p>
        </w:tc>
      </w:tr>
      <w:tr w14:paraId="473AAC72">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396D">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12</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1C73">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血脂四项</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5153">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了解血脂情况，评估心脑血管病风险</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B8B">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A896">
            <w:pPr>
              <w:widowControl/>
              <w:jc w:val="center"/>
              <w:textAlignment w:val="center"/>
              <w:rPr>
                <w:rFonts w:ascii="仿宋" w:hAnsi="仿宋" w:eastAsia="仿宋" w:cs="仿宋"/>
                <w:color w:val="000000"/>
                <w:sz w:val="24"/>
              </w:rPr>
            </w:pPr>
          </w:p>
        </w:tc>
      </w:tr>
      <w:tr w14:paraId="6C715399">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DB71C">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13</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3F3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心肌酶谱</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3047B">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了解心肌有无损伤，辅助诊断心肌炎</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A4B8">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10EC">
            <w:pPr>
              <w:widowControl/>
              <w:jc w:val="center"/>
              <w:textAlignment w:val="center"/>
              <w:rPr>
                <w:rFonts w:ascii="仿宋" w:hAnsi="仿宋" w:eastAsia="仿宋" w:cs="仿宋"/>
                <w:color w:val="000000"/>
                <w:sz w:val="24"/>
              </w:rPr>
            </w:pPr>
          </w:p>
        </w:tc>
      </w:tr>
      <w:tr w14:paraId="25313BCF">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8977F">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14</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70FD">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糖化血红蛋白</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D765C">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反映近2-3个月平均血糖水平</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9C4D">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AFBA">
            <w:pPr>
              <w:widowControl/>
              <w:jc w:val="center"/>
              <w:textAlignment w:val="center"/>
              <w:rPr>
                <w:rFonts w:ascii="仿宋" w:hAnsi="仿宋" w:eastAsia="仿宋" w:cs="仿宋"/>
                <w:color w:val="000000"/>
                <w:sz w:val="24"/>
              </w:rPr>
            </w:pPr>
          </w:p>
        </w:tc>
      </w:tr>
      <w:tr w14:paraId="69C4144F">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FEC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15</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2261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甲胎蛋白（AFP）</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5727">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早期筛查肝癌</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02F7">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017D">
            <w:pPr>
              <w:widowControl/>
              <w:jc w:val="center"/>
              <w:textAlignment w:val="center"/>
              <w:rPr>
                <w:rFonts w:ascii="仿宋" w:hAnsi="仿宋" w:eastAsia="仿宋" w:cs="仿宋"/>
                <w:color w:val="000000"/>
                <w:sz w:val="24"/>
              </w:rPr>
            </w:pPr>
          </w:p>
        </w:tc>
      </w:tr>
      <w:tr w14:paraId="7B9BE291">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9423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16</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BAA5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癌胚抗原（CEA）</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58E62">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早期筛查消化道肿瘤</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B640">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851">
            <w:pPr>
              <w:widowControl/>
              <w:jc w:val="center"/>
              <w:textAlignment w:val="center"/>
              <w:rPr>
                <w:rFonts w:ascii="仿宋" w:hAnsi="仿宋" w:eastAsia="仿宋" w:cs="仿宋"/>
                <w:color w:val="000000"/>
                <w:sz w:val="24"/>
              </w:rPr>
            </w:pPr>
          </w:p>
        </w:tc>
      </w:tr>
      <w:tr w14:paraId="71F69DB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FEA9">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17</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806C5">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EB病毒抗体</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979BA">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早期筛查鼻咽癌</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ED0A">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C59">
            <w:pPr>
              <w:widowControl/>
              <w:jc w:val="center"/>
              <w:textAlignment w:val="center"/>
              <w:rPr>
                <w:rFonts w:ascii="仿宋" w:hAnsi="仿宋" w:eastAsia="仿宋" w:cs="仿宋"/>
                <w:color w:val="000000"/>
                <w:sz w:val="24"/>
              </w:rPr>
            </w:pPr>
          </w:p>
        </w:tc>
      </w:tr>
      <w:tr w14:paraId="4A0EEAC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890F0">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18</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7D02">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总前列腺特异性抗原（TPSA）</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C314B">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早期筛查前列腺癌</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8790">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4C95">
            <w:pPr>
              <w:widowControl/>
              <w:jc w:val="center"/>
              <w:textAlignment w:val="center"/>
              <w:rPr>
                <w:rFonts w:ascii="仿宋" w:hAnsi="仿宋" w:eastAsia="仿宋" w:cs="仿宋"/>
                <w:color w:val="000000"/>
                <w:sz w:val="24"/>
              </w:rPr>
            </w:pPr>
          </w:p>
        </w:tc>
      </w:tr>
      <w:tr w14:paraId="6992943A">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6E17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19</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8DDA5">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游离前列腺特异性抗原（FPSA）</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94F09">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提高前列腺癌诊断准确性</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E11D">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1D58">
            <w:pPr>
              <w:widowControl/>
              <w:jc w:val="center"/>
              <w:textAlignment w:val="center"/>
              <w:rPr>
                <w:rFonts w:ascii="仿宋" w:hAnsi="仿宋" w:eastAsia="仿宋" w:cs="仿宋"/>
                <w:color w:val="000000"/>
                <w:sz w:val="24"/>
              </w:rPr>
            </w:pPr>
          </w:p>
        </w:tc>
      </w:tr>
      <w:tr w14:paraId="2D733E9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FBC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20</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10633">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CA19-9</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97C0D">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早期筛查胰腺癌、胆管癌</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6B86">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76F3">
            <w:pPr>
              <w:widowControl/>
              <w:jc w:val="center"/>
              <w:textAlignment w:val="center"/>
              <w:rPr>
                <w:rFonts w:ascii="仿宋" w:hAnsi="仿宋" w:eastAsia="仿宋" w:cs="仿宋"/>
                <w:color w:val="000000"/>
                <w:sz w:val="24"/>
              </w:rPr>
            </w:pPr>
          </w:p>
        </w:tc>
      </w:tr>
      <w:tr w14:paraId="6574CCF1">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E21ED">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21</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88D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餐后2小时血糖</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0F95F">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了解糖负荷后血糖调节能力</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E94E">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5469">
            <w:pPr>
              <w:widowControl/>
              <w:jc w:val="center"/>
              <w:textAlignment w:val="center"/>
              <w:rPr>
                <w:rFonts w:ascii="仿宋" w:hAnsi="仿宋" w:eastAsia="仿宋" w:cs="仿宋"/>
                <w:color w:val="000000"/>
                <w:sz w:val="24"/>
              </w:rPr>
            </w:pPr>
          </w:p>
        </w:tc>
      </w:tr>
      <w:tr w14:paraId="707A8874">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EF6AF">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22</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66F92">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血浆D-二聚体</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D34FB">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辅助诊断血栓性疾病</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409A">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4A3">
            <w:pPr>
              <w:widowControl/>
              <w:jc w:val="center"/>
              <w:textAlignment w:val="center"/>
              <w:rPr>
                <w:rFonts w:ascii="仿宋" w:hAnsi="仿宋" w:eastAsia="仿宋" w:cs="仿宋"/>
                <w:color w:val="000000"/>
                <w:sz w:val="24"/>
              </w:rPr>
            </w:pPr>
          </w:p>
        </w:tc>
      </w:tr>
      <w:tr w14:paraId="361A92EE">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533A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23</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620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血凝四项</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75728">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了解凝血功能是否正常</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4685">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078D">
            <w:pPr>
              <w:widowControl/>
              <w:jc w:val="center"/>
              <w:textAlignment w:val="center"/>
              <w:rPr>
                <w:rFonts w:ascii="仿宋" w:hAnsi="仿宋" w:eastAsia="仿宋" w:cs="仿宋"/>
                <w:color w:val="000000"/>
                <w:sz w:val="24"/>
              </w:rPr>
            </w:pPr>
          </w:p>
        </w:tc>
      </w:tr>
      <w:tr w14:paraId="4D95799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CD47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24</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6E401">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甲功三项</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3706C">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了解甲状腺功能，筛查甲亢、甲减</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7895">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9B8">
            <w:pPr>
              <w:widowControl/>
              <w:jc w:val="center"/>
              <w:textAlignment w:val="center"/>
              <w:rPr>
                <w:rFonts w:ascii="仿宋" w:hAnsi="仿宋" w:eastAsia="仿宋" w:cs="仿宋"/>
                <w:color w:val="000000"/>
                <w:sz w:val="24"/>
              </w:rPr>
            </w:pPr>
          </w:p>
        </w:tc>
      </w:tr>
      <w:tr w14:paraId="0A78D4AD">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11C0">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25</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C7E6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血常规</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1BD1">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了解有无贫血、感染、血液系统疾病</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DD14">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CDF0">
            <w:pPr>
              <w:widowControl/>
              <w:jc w:val="center"/>
              <w:textAlignment w:val="center"/>
              <w:rPr>
                <w:rFonts w:ascii="仿宋" w:hAnsi="仿宋" w:eastAsia="仿宋" w:cs="仿宋"/>
                <w:color w:val="000000"/>
                <w:sz w:val="24"/>
              </w:rPr>
            </w:pPr>
          </w:p>
        </w:tc>
      </w:tr>
      <w:tr w14:paraId="1EE3E9B5">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075B">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26</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154B3">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尿常规</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192F">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了解有无泌尿系统感染、肾炎、糖尿病</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1E5">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A066">
            <w:pPr>
              <w:widowControl/>
              <w:jc w:val="center"/>
              <w:textAlignment w:val="center"/>
              <w:rPr>
                <w:rFonts w:ascii="仿宋" w:hAnsi="仿宋" w:eastAsia="仿宋" w:cs="仿宋"/>
                <w:color w:val="000000"/>
                <w:sz w:val="24"/>
              </w:rPr>
            </w:pPr>
          </w:p>
        </w:tc>
      </w:tr>
      <w:tr w14:paraId="0401B5A2">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2B2B">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27</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25BFD">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血同型半胱氨酸</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52D5">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评估心脑血管疾病风险</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3CA5">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0AC2">
            <w:pPr>
              <w:widowControl/>
              <w:jc w:val="center"/>
              <w:textAlignment w:val="center"/>
              <w:rPr>
                <w:rFonts w:ascii="仿宋" w:hAnsi="仿宋" w:eastAsia="仿宋" w:cs="仿宋"/>
                <w:color w:val="000000"/>
                <w:sz w:val="24"/>
              </w:rPr>
            </w:pPr>
          </w:p>
        </w:tc>
      </w:tr>
      <w:tr w14:paraId="7B7A6E96">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568C0">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28</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D173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腹部彩超（肝胆胰脾肾）</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8A6A">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了解肝、胆、胰、脾、双肾有无结石、囊肿、肿瘤</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4AC1">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D608">
            <w:pPr>
              <w:widowControl/>
              <w:jc w:val="center"/>
              <w:textAlignment w:val="center"/>
              <w:rPr>
                <w:rFonts w:ascii="仿宋" w:hAnsi="仿宋" w:eastAsia="仿宋" w:cs="仿宋"/>
                <w:color w:val="000000"/>
                <w:sz w:val="24"/>
              </w:rPr>
            </w:pPr>
          </w:p>
        </w:tc>
      </w:tr>
      <w:tr w14:paraId="1B9D9C62">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D32B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29</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1A56C">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男性泌尿系彩超</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3C45">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了解前列腺、膀胱有无增生、结石、肿瘤</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D4D1">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9C1A">
            <w:pPr>
              <w:widowControl/>
              <w:jc w:val="center"/>
              <w:textAlignment w:val="center"/>
              <w:rPr>
                <w:rFonts w:ascii="仿宋" w:hAnsi="仿宋" w:eastAsia="仿宋" w:cs="仿宋"/>
                <w:color w:val="000000"/>
                <w:sz w:val="24"/>
              </w:rPr>
            </w:pPr>
          </w:p>
        </w:tc>
      </w:tr>
      <w:tr w14:paraId="21FC8C98">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5CC1">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30</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5599">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心电图</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5511E">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了解有无心律失常、心肌缺血</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0045">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A3E4">
            <w:pPr>
              <w:widowControl/>
              <w:jc w:val="center"/>
              <w:textAlignment w:val="center"/>
              <w:rPr>
                <w:rFonts w:ascii="仿宋" w:hAnsi="仿宋" w:eastAsia="仿宋" w:cs="仿宋"/>
                <w:color w:val="000000"/>
                <w:sz w:val="24"/>
              </w:rPr>
            </w:pPr>
          </w:p>
        </w:tc>
      </w:tr>
      <w:tr w14:paraId="2FB3A454">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A6E0">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31</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AF3EC">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胸部CT平扫</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6D618">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了解肺部有无炎症、结节、肿瘤</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057">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C60F">
            <w:pPr>
              <w:widowControl/>
              <w:jc w:val="center"/>
              <w:textAlignment w:val="center"/>
              <w:rPr>
                <w:rFonts w:ascii="仿宋" w:hAnsi="仿宋" w:eastAsia="仿宋" w:cs="仿宋"/>
                <w:color w:val="000000"/>
                <w:sz w:val="24"/>
              </w:rPr>
            </w:pPr>
          </w:p>
        </w:tc>
      </w:tr>
      <w:tr w14:paraId="40EEB36A">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DAA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32</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B6464">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甲状腺及淋巴结彩超</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2B6B3">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了解甲状腺有无结节、囊肿、肿瘤</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C053">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C7E1">
            <w:pPr>
              <w:widowControl/>
              <w:jc w:val="center"/>
              <w:textAlignment w:val="center"/>
              <w:rPr>
                <w:rFonts w:ascii="仿宋" w:hAnsi="仿宋" w:eastAsia="仿宋" w:cs="仿宋"/>
                <w:color w:val="000000"/>
                <w:sz w:val="24"/>
              </w:rPr>
            </w:pPr>
          </w:p>
        </w:tc>
      </w:tr>
      <w:tr w14:paraId="7DE9E2BC">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0B562">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33</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D25B">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碳14呼气试验</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1DC0">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了解有无幽门螺杆菌感染</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B95">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D75C">
            <w:pPr>
              <w:widowControl/>
              <w:jc w:val="center"/>
              <w:textAlignment w:val="center"/>
              <w:rPr>
                <w:rFonts w:ascii="仿宋" w:hAnsi="仿宋" w:eastAsia="仿宋" w:cs="仿宋"/>
                <w:color w:val="000000"/>
                <w:sz w:val="24"/>
              </w:rPr>
            </w:pPr>
          </w:p>
        </w:tc>
      </w:tr>
      <w:tr w14:paraId="2C321B28">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8FB7">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34</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597F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颈动脉彩超</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5D64B">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了解颈动脉有无斑块</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CA7E">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38FA">
            <w:pPr>
              <w:widowControl/>
              <w:jc w:val="center"/>
              <w:textAlignment w:val="center"/>
              <w:rPr>
                <w:rFonts w:ascii="仿宋" w:hAnsi="仿宋" w:eastAsia="仿宋" w:cs="仿宋"/>
                <w:color w:val="000000"/>
                <w:sz w:val="24"/>
              </w:rPr>
            </w:pPr>
          </w:p>
        </w:tc>
      </w:tr>
      <w:tr w14:paraId="21FFB7E8">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E369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35</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8BC6">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骨密度检测</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DF2B0">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了解骨量情况，筛查骨质疏松</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781">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EC28">
            <w:pPr>
              <w:widowControl/>
              <w:jc w:val="center"/>
              <w:textAlignment w:val="center"/>
              <w:rPr>
                <w:rFonts w:ascii="仿宋" w:hAnsi="仿宋" w:eastAsia="仿宋" w:cs="仿宋"/>
                <w:color w:val="000000"/>
                <w:sz w:val="24"/>
              </w:rPr>
            </w:pPr>
          </w:p>
        </w:tc>
      </w:tr>
      <w:tr w14:paraId="6A9D1FEB">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96CE">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36</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60A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乳腺彩超</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65B40">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了解乳腺有无增生、结节、肿瘤</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1F56">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7AAA">
            <w:pPr>
              <w:widowControl/>
              <w:jc w:val="center"/>
              <w:textAlignment w:val="center"/>
              <w:rPr>
                <w:rFonts w:ascii="仿宋" w:hAnsi="仿宋" w:eastAsia="仿宋" w:cs="仿宋"/>
                <w:color w:val="000000"/>
                <w:sz w:val="24"/>
              </w:rPr>
            </w:pPr>
          </w:p>
        </w:tc>
      </w:tr>
      <w:tr w14:paraId="22855760">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3618B">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37</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134D">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妇科彩超</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A2C1">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了解子宫、附件有无肌瘤、囊肿</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3926">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1DC9">
            <w:pPr>
              <w:widowControl/>
              <w:jc w:val="center"/>
              <w:textAlignment w:val="center"/>
              <w:rPr>
                <w:rFonts w:ascii="仿宋" w:hAnsi="仿宋" w:eastAsia="仿宋" w:cs="仿宋"/>
                <w:color w:val="000000"/>
                <w:sz w:val="24"/>
              </w:rPr>
            </w:pPr>
          </w:p>
        </w:tc>
      </w:tr>
      <w:tr w14:paraId="7A1E0C12">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6909">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38</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3F25A">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妇科检查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91296">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检查外阴、阴道、宫颈有无炎症或肿物</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2376">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8B33">
            <w:pPr>
              <w:widowControl/>
              <w:jc w:val="center"/>
              <w:textAlignment w:val="center"/>
              <w:rPr>
                <w:rFonts w:ascii="仿宋" w:hAnsi="仿宋" w:eastAsia="仿宋" w:cs="仿宋"/>
                <w:color w:val="000000"/>
                <w:sz w:val="24"/>
              </w:rPr>
            </w:pPr>
          </w:p>
        </w:tc>
      </w:tr>
      <w:tr w14:paraId="50325F03">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ADF3">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39</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485C">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阴道分泌物检查</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5A6D7">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了解有无滴虫、霉菌等阴道炎</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9BC8">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09D9">
            <w:pPr>
              <w:widowControl/>
              <w:jc w:val="center"/>
              <w:textAlignment w:val="center"/>
              <w:rPr>
                <w:rFonts w:ascii="仿宋" w:hAnsi="仿宋" w:eastAsia="仿宋" w:cs="仿宋"/>
                <w:color w:val="000000"/>
                <w:sz w:val="24"/>
              </w:rPr>
            </w:pPr>
          </w:p>
        </w:tc>
      </w:tr>
      <w:tr w14:paraId="639EB5B8">
        <w:tblPrEx>
          <w:tblCellMar>
            <w:top w:w="0" w:type="dxa"/>
            <w:left w:w="108" w:type="dxa"/>
            <w:bottom w:w="0" w:type="dxa"/>
            <w:right w:w="108" w:type="dxa"/>
          </w:tblCellMar>
        </w:tblPrEx>
        <w:trPr>
          <w:trHeight w:val="6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CE1CD">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40</w:t>
            </w:r>
          </w:p>
        </w:tc>
        <w:tc>
          <w:tcPr>
            <w:tcW w:w="1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4D6E8">
            <w:pPr>
              <w:widowControl/>
              <w:jc w:val="center"/>
              <w:textAlignment w:val="center"/>
              <w:rPr>
                <w:rFonts w:ascii="仿宋" w:hAnsi="仿宋" w:eastAsia="仿宋" w:cs="仿宋"/>
                <w:color w:val="0F1115"/>
                <w:sz w:val="24"/>
              </w:rPr>
            </w:pPr>
            <w:r>
              <w:rPr>
                <w:rFonts w:hint="eastAsia" w:ascii="仿宋" w:hAnsi="仿宋" w:eastAsia="仿宋" w:cs="仿宋"/>
                <w:color w:val="0F1115"/>
                <w:kern w:val="0"/>
                <w:sz w:val="24"/>
              </w:rPr>
              <w:t>HPV检测</w:t>
            </w:r>
          </w:p>
        </w:tc>
        <w:tc>
          <w:tcPr>
            <w:tcW w:w="4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104F3">
            <w:pPr>
              <w:widowControl/>
              <w:jc w:val="left"/>
              <w:textAlignment w:val="center"/>
              <w:rPr>
                <w:rFonts w:ascii="仿宋" w:hAnsi="仿宋" w:eastAsia="仿宋" w:cs="仿宋"/>
                <w:color w:val="0F1115"/>
                <w:sz w:val="24"/>
              </w:rPr>
            </w:pPr>
            <w:r>
              <w:rPr>
                <w:rFonts w:hint="eastAsia" w:ascii="仿宋" w:hAnsi="仿宋" w:eastAsia="仿宋" w:cs="仿宋"/>
                <w:color w:val="0F1115"/>
                <w:kern w:val="0"/>
                <w:sz w:val="24"/>
              </w:rPr>
              <w:t>筛查高危型HPV感染，宫颈癌的主要病因</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1DC0">
            <w:pPr>
              <w:widowControl/>
              <w:jc w:val="center"/>
              <w:textAlignment w:val="center"/>
              <w:rPr>
                <w:rFonts w:ascii="仿宋" w:hAnsi="仿宋" w:eastAsia="仿宋" w:cs="仿宋"/>
                <w:color w:val="00000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779">
            <w:pPr>
              <w:widowControl/>
              <w:jc w:val="center"/>
              <w:textAlignment w:val="center"/>
              <w:rPr>
                <w:rFonts w:ascii="仿宋" w:hAnsi="仿宋" w:eastAsia="仿宋" w:cs="仿宋"/>
                <w:color w:val="000000"/>
                <w:sz w:val="24"/>
              </w:rPr>
            </w:pPr>
          </w:p>
        </w:tc>
      </w:tr>
      <w:tr w14:paraId="65E9C04D">
        <w:tblPrEx>
          <w:tblCellMar>
            <w:top w:w="0" w:type="dxa"/>
            <w:left w:w="108" w:type="dxa"/>
            <w:bottom w:w="0" w:type="dxa"/>
            <w:right w:w="108" w:type="dxa"/>
          </w:tblCellMar>
        </w:tblPrEx>
        <w:trPr>
          <w:trHeight w:val="640" w:hRule="atLeast"/>
        </w:trPr>
        <w:tc>
          <w:tcPr>
            <w:tcW w:w="70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CEFB83">
            <w:pPr>
              <w:jc w:val="right"/>
              <w:rPr>
                <w:rFonts w:ascii="仿宋" w:hAnsi="仿宋" w:eastAsia="仿宋" w:cs="仿宋"/>
                <w:color w:val="0F1115"/>
                <w:sz w:val="24"/>
              </w:rPr>
            </w:pPr>
            <w:r>
              <w:rPr>
                <w:rFonts w:hint="eastAsia" w:ascii="仿宋" w:hAnsi="仿宋" w:eastAsia="仿宋" w:cs="仿宋"/>
                <w:szCs w:val="21"/>
              </w:rPr>
              <w:t>合计单价（元）：</w:t>
            </w: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ABDC">
            <w:pPr>
              <w:widowControl/>
              <w:jc w:val="center"/>
              <w:textAlignment w:val="center"/>
              <w:rPr>
                <w:rFonts w:ascii="仿宋" w:hAnsi="仿宋" w:eastAsia="仿宋" w:cs="仿宋"/>
                <w:color w:val="0F1115"/>
                <w:kern w:val="0"/>
                <w:sz w:val="24"/>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8752F">
            <w:pPr>
              <w:widowControl/>
              <w:jc w:val="center"/>
              <w:textAlignment w:val="center"/>
              <w:rPr>
                <w:rFonts w:ascii="仿宋" w:hAnsi="仿宋" w:eastAsia="仿宋" w:cs="仿宋"/>
                <w:color w:val="0F1115"/>
                <w:kern w:val="0"/>
                <w:sz w:val="24"/>
              </w:rPr>
            </w:pPr>
          </w:p>
        </w:tc>
      </w:tr>
    </w:tbl>
    <w:p w14:paraId="7B5D201A">
      <w:pPr>
        <w:snapToGrid w:val="0"/>
        <w:spacing w:line="360" w:lineRule="auto"/>
        <w:ind w:firstLine="5040" w:firstLineChars="2100"/>
        <w:rPr>
          <w:rFonts w:hint="eastAsia" w:ascii="仿宋" w:hAnsi="仿宋" w:eastAsia="仿宋" w:cs="仿宋"/>
          <w:color w:val="auto"/>
          <w:kern w:val="0"/>
          <w:sz w:val="24"/>
          <w:highlight w:val="none"/>
          <w:lang w:val="zh-CN"/>
        </w:rPr>
      </w:pPr>
    </w:p>
    <w:p w14:paraId="301F092C">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6E7D3890">
      <w:pPr>
        <w:snapToGrid w:val="0"/>
        <w:spacing w:line="360" w:lineRule="auto"/>
        <w:ind w:firstLine="6960" w:firstLineChars="2900"/>
        <w:rPr>
          <w:rFonts w:hint="eastAsia" w:ascii="仿宋" w:hAnsi="仿宋" w:eastAsia="仿宋" w:cs="仿宋"/>
          <w:b/>
          <w:color w:val="auto"/>
          <w:sz w:val="30"/>
          <w:szCs w:val="30"/>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4C969471">
      <w:pPr>
        <w:pStyle w:val="13"/>
        <w:jc w:val="center"/>
        <w:rPr>
          <w:rFonts w:hint="eastAsia" w:ascii="仿宋" w:hAnsi="仿宋" w:eastAsia="仿宋" w:cs="仿宋"/>
          <w:b/>
          <w:color w:val="auto"/>
          <w:sz w:val="30"/>
          <w:szCs w:val="30"/>
          <w:highlight w:val="none"/>
        </w:rPr>
      </w:pPr>
    </w:p>
    <w:p w14:paraId="62A12E09">
      <w:pPr>
        <w:pStyle w:val="13"/>
        <w:jc w:val="center"/>
        <w:rPr>
          <w:rFonts w:hint="eastAsia" w:ascii="仿宋" w:hAnsi="仿宋" w:eastAsia="仿宋" w:cs="仿宋"/>
          <w:b/>
          <w:color w:val="auto"/>
          <w:sz w:val="30"/>
          <w:szCs w:val="30"/>
          <w:highlight w:val="none"/>
        </w:rPr>
      </w:pPr>
    </w:p>
    <w:p w14:paraId="26D8D1A3">
      <w:pPr>
        <w:pStyle w:val="13"/>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三、投标人针对报价需要说明的其他文件和说明。（如有，请提供）</w:t>
      </w:r>
    </w:p>
    <w:p w14:paraId="18A6D61A">
      <w:pPr>
        <w:snapToGrid w:val="0"/>
        <w:spacing w:line="360" w:lineRule="auto"/>
        <w:ind w:firstLine="5040" w:firstLineChars="2100"/>
        <w:rPr>
          <w:rFonts w:hint="eastAsia" w:ascii="仿宋" w:hAnsi="仿宋" w:eastAsia="仿宋" w:cs="仿宋"/>
          <w:color w:val="auto"/>
          <w:kern w:val="0"/>
          <w:sz w:val="24"/>
          <w:highlight w:val="none"/>
          <w:lang w:val="zh-CN"/>
        </w:rPr>
      </w:pPr>
      <w:bookmarkStart w:id="137" w:name="_Toc16384"/>
      <w:bookmarkStart w:id="138" w:name="_Toc19686840"/>
      <w:bookmarkStart w:id="139" w:name="_Toc14136"/>
    </w:p>
    <w:p w14:paraId="43F5133C">
      <w:pPr>
        <w:snapToGrid w:val="0"/>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5B3283E7">
      <w:pPr>
        <w:snapToGrid w:val="0"/>
        <w:spacing w:before="165" w:beforeLines="50" w:after="50"/>
        <w:jc w:val="center"/>
        <w:outlineLvl w:val="9"/>
        <w:rPr>
          <w:rFonts w:hint="eastAsia" w:ascii="仿宋" w:hAnsi="仿宋" w:eastAsia="仿宋" w:cs="仿宋"/>
          <w:color w:val="auto"/>
          <w:kern w:val="0"/>
          <w:sz w:val="24"/>
          <w:highlight w:val="none"/>
          <w:lang w:val="zh-CN"/>
        </w:rPr>
        <w:sectPr>
          <w:pgSz w:w="11906" w:h="16838"/>
          <w:pgMar w:top="1440" w:right="1080" w:bottom="1440" w:left="1080" w:header="720" w:footer="720" w:gutter="0"/>
          <w:cols w:space="720" w:num="1"/>
          <w:docGrid w:type="lines" w:linePitch="331" w:charSpace="0"/>
        </w:sect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807EF2D">
      <w:pPr>
        <w:snapToGrid w:val="0"/>
        <w:spacing w:before="165" w:beforeLines="50" w:after="50"/>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节 其他文书、文件格式</w:t>
      </w:r>
      <w:bookmarkEnd w:id="137"/>
      <w:bookmarkEnd w:id="138"/>
      <w:bookmarkEnd w:id="139"/>
    </w:p>
    <w:p w14:paraId="37A90C5D">
      <w:pPr>
        <w:jc w:val="center"/>
        <w:rPr>
          <w:rFonts w:hint="eastAsia" w:ascii="仿宋" w:hAnsi="仿宋" w:eastAsia="仿宋" w:cs="仿宋"/>
          <w:b/>
          <w:bCs/>
          <w:color w:val="auto"/>
          <w:sz w:val="32"/>
          <w:szCs w:val="32"/>
          <w:highlight w:val="none"/>
          <w:lang w:val="en"/>
        </w:rPr>
      </w:pPr>
    </w:p>
    <w:p w14:paraId="3EC8B3CA">
      <w:pPr>
        <w:jc w:val="center"/>
        <w:rPr>
          <w:rFonts w:hint="eastAsia" w:ascii="仿宋" w:hAnsi="仿宋" w:eastAsia="仿宋" w:cs="仿宋"/>
          <w:b/>
          <w:bCs/>
          <w:color w:val="auto"/>
          <w:sz w:val="32"/>
          <w:szCs w:val="32"/>
          <w:highlight w:val="none"/>
          <w:lang w:val="en"/>
        </w:rPr>
      </w:pPr>
      <w:r>
        <w:rPr>
          <w:rFonts w:hint="eastAsia" w:ascii="仿宋" w:hAnsi="仿宋" w:eastAsia="仿宋" w:cs="仿宋"/>
          <w:b/>
          <w:bCs/>
          <w:color w:val="auto"/>
          <w:sz w:val="32"/>
          <w:szCs w:val="32"/>
          <w:highlight w:val="none"/>
          <w:lang w:val="en"/>
        </w:rPr>
        <w:t>知识产权合规性声明</w:t>
      </w:r>
    </w:p>
    <w:p w14:paraId="25A2F140">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23B8986D">
      <w:pPr>
        <w:ind w:firstLine="560" w:firstLineChars="200"/>
        <w:rPr>
          <w:rFonts w:hint="eastAsia" w:ascii="仿宋" w:hAnsi="仿宋" w:eastAsia="仿宋" w:cs="仿宋"/>
          <w:color w:val="auto"/>
          <w:sz w:val="30"/>
          <w:szCs w:val="30"/>
          <w:highlight w:val="none"/>
          <w:lang w:val="en"/>
        </w:rPr>
      </w:pP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
        </w:rPr>
        <w:t>企业自愿参与政府投资政府采购的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
        </w:rPr>
        <w:t>项目，</w:t>
      </w:r>
      <w:r>
        <w:rPr>
          <w:rFonts w:hint="eastAsia" w:ascii="仿宋" w:hAnsi="仿宋" w:eastAsia="仿宋" w:cs="仿宋"/>
          <w:b/>
          <w:bCs/>
          <w:color w:val="auto"/>
          <w:sz w:val="28"/>
          <w:szCs w:val="28"/>
          <w:highlight w:val="none"/>
          <w:lang w:val="en"/>
        </w:rPr>
        <w:t>在此郑重承诺：</w:t>
      </w:r>
      <w:r>
        <w:rPr>
          <w:rFonts w:hint="eastAsia" w:ascii="仿宋" w:hAnsi="仿宋" w:eastAsia="仿宋" w:cs="仿宋"/>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EB60561">
      <w:pPr>
        <w:snapToGrid w:val="0"/>
        <w:spacing w:line="360" w:lineRule="auto"/>
        <w:ind w:left="5137" w:leftChars="1736" w:hanging="1491" w:hangingChars="825"/>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 xml:space="preserve">           </w:t>
      </w:r>
    </w:p>
    <w:p w14:paraId="7DD8116A">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286717A8">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C2CFD72">
      <w:pPr>
        <w:snapToGrid w:val="0"/>
        <w:spacing w:line="360" w:lineRule="auto"/>
        <w:ind w:firstLine="4200" w:firstLineChars="15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投标人名称(电子签章)：</w:t>
      </w:r>
    </w:p>
    <w:p w14:paraId="14A4240A">
      <w:pPr>
        <w:snapToGrid w:val="0"/>
        <w:spacing w:line="360" w:lineRule="auto"/>
        <w:ind w:firstLine="6440" w:firstLineChars="23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 xml:space="preserve">：    年  </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日</w:t>
      </w:r>
    </w:p>
    <w:p w14:paraId="1637D37D">
      <w:pPr>
        <w:jc w:val="center"/>
        <w:rPr>
          <w:rFonts w:hint="eastAsia" w:ascii="仿宋" w:hAnsi="仿宋" w:eastAsia="仿宋" w:cs="仿宋"/>
          <w:b/>
          <w:color w:val="auto"/>
          <w:kern w:val="0"/>
          <w:sz w:val="30"/>
          <w:szCs w:val="30"/>
          <w:highlight w:val="none"/>
        </w:rPr>
        <w:sectPr>
          <w:pgSz w:w="11906" w:h="16838"/>
          <w:pgMar w:top="1440" w:right="1080" w:bottom="1440" w:left="1080" w:header="720" w:footer="720" w:gutter="0"/>
          <w:cols w:space="720" w:num="1"/>
          <w:docGrid w:type="lines" w:linePitch="331" w:charSpace="0"/>
        </w:sectPr>
      </w:pPr>
    </w:p>
    <w:p w14:paraId="720D02B1">
      <w:pPr>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中小企业声明函（服务）</w:t>
      </w:r>
    </w:p>
    <w:p w14:paraId="4B244E89">
      <w:pPr>
        <w:spacing w:before="2" w:line="500" w:lineRule="exact"/>
        <w:rPr>
          <w:rFonts w:hint="eastAsia" w:ascii="仿宋" w:hAnsi="仿宋" w:eastAsia="仿宋" w:cs="仿宋"/>
          <w:b/>
          <w:bCs/>
          <w:color w:val="auto"/>
          <w:sz w:val="24"/>
          <w:highlight w:val="none"/>
        </w:rPr>
      </w:pPr>
    </w:p>
    <w:p w14:paraId="07481368">
      <w:pPr>
        <w:pStyle w:val="9"/>
        <w:spacing w:line="500" w:lineRule="exact"/>
        <w:ind w:right="142"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本公司（联合体）郑重声明，根据《政府采购促进中小企业发展管理办法》（财库﹝2020﹞46号）的规定，本公司（联合体）参加</w:t>
      </w:r>
      <w:r>
        <w:rPr>
          <w:rFonts w:hint="eastAsia" w:ascii="仿宋" w:hAnsi="仿宋" w:eastAsia="仿宋" w:cs="仿宋"/>
          <w:color w:val="auto"/>
          <w:sz w:val="22"/>
          <w:szCs w:val="22"/>
          <w:highlight w:val="none"/>
          <w:u w:val="single"/>
        </w:rPr>
        <w:t>（单位名称）</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u w:val="single"/>
        </w:rPr>
        <w:t>（项目名称）</w:t>
      </w:r>
      <w:r>
        <w:rPr>
          <w:rFonts w:hint="eastAsia" w:ascii="仿宋" w:hAnsi="仿宋" w:eastAsia="仿宋" w:cs="仿宋"/>
          <w:color w:val="auto"/>
          <w:sz w:val="22"/>
          <w:szCs w:val="22"/>
          <w:highlight w:val="none"/>
        </w:rPr>
        <w:t>采购活动，服务全部由符合政策要求的中小企业承接。相关企业（含联合体中的中小企业、签订分包意向协议的中小企业）的具体情况如下：</w:t>
      </w:r>
    </w:p>
    <w:p w14:paraId="5FD369B8">
      <w:pPr>
        <w:tabs>
          <w:tab w:val="left" w:pos="1384"/>
          <w:tab w:val="left" w:pos="4562"/>
          <w:tab w:val="left" w:pos="6803"/>
        </w:tabs>
        <w:spacing w:before="13" w:line="500" w:lineRule="exact"/>
        <w:ind w:right="142" w:firstLine="629" w:firstLineChars="28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u w:val="single"/>
        </w:rPr>
        <w:t>（标的名称）</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rPr>
        <w:t>（采购文件中明确的所属行业）</w:t>
      </w:r>
      <w:r>
        <w:rPr>
          <w:rFonts w:hint="eastAsia" w:ascii="仿宋" w:hAnsi="仿宋" w:eastAsia="仿宋" w:cs="仿宋"/>
          <w:color w:val="auto"/>
          <w:sz w:val="22"/>
          <w:szCs w:val="22"/>
          <w:highlight w:val="none"/>
        </w:rPr>
        <w:t>；承接企业为</w:t>
      </w:r>
      <w:r>
        <w:rPr>
          <w:rFonts w:hint="eastAsia" w:ascii="仿宋" w:hAnsi="仿宋" w:eastAsia="仿宋" w:cs="仿宋"/>
          <w:color w:val="auto"/>
          <w:sz w:val="22"/>
          <w:szCs w:val="22"/>
          <w:highlight w:val="none"/>
          <w:u w:val="single"/>
        </w:rPr>
        <w:t>（企业名称）</w:t>
      </w:r>
      <w:r>
        <w:rPr>
          <w:rFonts w:hint="eastAsia" w:ascii="仿宋" w:hAnsi="仿宋" w:eastAsia="仿宋" w:cs="仿宋"/>
          <w:color w:val="auto"/>
          <w:sz w:val="22"/>
          <w:szCs w:val="22"/>
          <w:highlight w:val="none"/>
        </w:rPr>
        <w:t>，从业人员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人，营业收入为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万元，资产总额为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万元，属于</w:t>
      </w:r>
      <w:r>
        <w:rPr>
          <w:rFonts w:hint="eastAsia" w:ascii="仿宋" w:hAnsi="仿宋" w:eastAsia="仿宋" w:cs="仿宋"/>
          <w:color w:val="auto"/>
          <w:sz w:val="22"/>
          <w:szCs w:val="22"/>
          <w:highlight w:val="none"/>
          <w:u w:val="single"/>
        </w:rPr>
        <w:t>（中型企业、小型企业、微型企业）</w:t>
      </w:r>
      <w:r>
        <w:rPr>
          <w:rFonts w:hint="eastAsia" w:ascii="仿宋" w:hAnsi="仿宋" w:eastAsia="仿宋" w:cs="仿宋"/>
          <w:color w:val="auto"/>
          <w:sz w:val="22"/>
          <w:szCs w:val="22"/>
          <w:highlight w:val="none"/>
        </w:rPr>
        <w:t>；</w:t>
      </w:r>
    </w:p>
    <w:p w14:paraId="720E2A1D">
      <w:pPr>
        <w:tabs>
          <w:tab w:val="left" w:pos="1065"/>
          <w:tab w:val="left" w:pos="4262"/>
          <w:tab w:val="left" w:pos="6477"/>
        </w:tabs>
        <w:spacing w:before="20" w:line="500" w:lineRule="exact"/>
        <w:ind w:right="84" w:firstLine="629" w:firstLineChars="286"/>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u w:val="single"/>
        </w:rPr>
        <w:t>（标的名称）</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rPr>
        <w:t>（采购文件中明确的所属行业）</w:t>
      </w:r>
      <w:r>
        <w:rPr>
          <w:rFonts w:hint="eastAsia" w:ascii="仿宋" w:hAnsi="仿宋" w:eastAsia="仿宋" w:cs="仿宋"/>
          <w:color w:val="auto"/>
          <w:sz w:val="22"/>
          <w:szCs w:val="22"/>
          <w:highlight w:val="none"/>
        </w:rPr>
        <w:t>；承接企业为</w:t>
      </w:r>
      <w:r>
        <w:rPr>
          <w:rFonts w:hint="eastAsia" w:ascii="仿宋" w:hAnsi="仿宋" w:eastAsia="仿宋" w:cs="仿宋"/>
          <w:color w:val="auto"/>
          <w:sz w:val="22"/>
          <w:szCs w:val="22"/>
          <w:highlight w:val="none"/>
          <w:u w:val="single"/>
        </w:rPr>
        <w:t>（企业名称）</w:t>
      </w:r>
      <w:r>
        <w:rPr>
          <w:rFonts w:hint="eastAsia" w:ascii="仿宋" w:hAnsi="仿宋" w:eastAsia="仿宋" w:cs="仿宋"/>
          <w:color w:val="auto"/>
          <w:sz w:val="22"/>
          <w:szCs w:val="22"/>
          <w:highlight w:val="none"/>
        </w:rPr>
        <w:t>，从业人员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人，营业收入为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万元，资产总额为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万元，属于</w:t>
      </w:r>
      <w:r>
        <w:rPr>
          <w:rFonts w:hint="eastAsia" w:ascii="仿宋" w:hAnsi="仿宋" w:eastAsia="仿宋" w:cs="仿宋"/>
          <w:color w:val="auto"/>
          <w:sz w:val="22"/>
          <w:szCs w:val="22"/>
          <w:highlight w:val="none"/>
          <w:u w:val="single"/>
        </w:rPr>
        <w:t>（中型企业、小型企业、微型企业）</w:t>
      </w:r>
      <w:r>
        <w:rPr>
          <w:rFonts w:hint="eastAsia" w:ascii="仿宋" w:hAnsi="仿宋" w:eastAsia="仿宋" w:cs="仿宋"/>
          <w:color w:val="auto"/>
          <w:sz w:val="22"/>
          <w:szCs w:val="22"/>
          <w:highlight w:val="none"/>
        </w:rPr>
        <w:t>；</w:t>
      </w:r>
    </w:p>
    <w:p w14:paraId="63864877">
      <w:pPr>
        <w:pStyle w:val="9"/>
        <w:spacing w:before="34" w:line="500" w:lineRule="exact"/>
        <w:ind w:left="765" w:right="142" w:hanging="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14:paraId="11A0F931">
      <w:pPr>
        <w:pStyle w:val="9"/>
        <w:spacing w:before="34" w:line="500" w:lineRule="exact"/>
        <w:ind w:right="142"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以上企业，不属于大企业的分支机构，不存在控股股东为大企业的情形，也不存在与大企业的负责人为同一人的情形。</w:t>
      </w:r>
    </w:p>
    <w:p w14:paraId="2D8D640D">
      <w:pPr>
        <w:pStyle w:val="9"/>
        <w:spacing w:before="34" w:line="500" w:lineRule="exact"/>
        <w:ind w:right="142"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本企业对上述声明内容的真实性负责。如有虚假，将依法承担相应责任。</w:t>
      </w:r>
    </w:p>
    <w:p w14:paraId="4ED76ADE">
      <w:pPr>
        <w:pStyle w:val="9"/>
        <w:spacing w:before="56" w:line="500" w:lineRule="exact"/>
        <w:ind w:left="3960" w:right="1808" w:firstLine="1100" w:firstLineChars="5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企业名称（章）： </w:t>
      </w:r>
    </w:p>
    <w:p w14:paraId="3ADAB564">
      <w:pPr>
        <w:pStyle w:val="9"/>
        <w:spacing w:before="56" w:line="500" w:lineRule="exact"/>
        <w:ind w:left="3960" w:right="1808" w:firstLine="2200" w:firstLineChars="10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 期：</w:t>
      </w:r>
    </w:p>
    <w:p w14:paraId="10456FAB">
      <w:pP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 xml:space="preserve"> </w:t>
      </w:r>
    </w:p>
    <w:p w14:paraId="6FB58C92">
      <w:pPr>
        <w:pStyle w:val="13"/>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65CC436">
      <w:pPr>
        <w:pStyle w:val="13"/>
        <w:spacing w:line="360" w:lineRule="auto"/>
        <w:jc w:val="center"/>
        <w:rPr>
          <w:rFonts w:hint="eastAsia" w:ascii="仿宋" w:hAnsi="仿宋" w:eastAsia="仿宋" w:cs="仿宋"/>
          <w:b/>
          <w:color w:val="auto"/>
          <w:sz w:val="30"/>
          <w:szCs w:val="30"/>
          <w:highlight w:val="none"/>
        </w:rPr>
        <w:sectPr>
          <w:pgSz w:w="11906" w:h="16838"/>
          <w:pgMar w:top="1440" w:right="1080" w:bottom="1440" w:left="1080" w:header="720" w:footer="720" w:gutter="0"/>
          <w:cols w:space="720" w:num="1"/>
          <w:docGrid w:type="lines" w:linePitch="331" w:charSpace="0"/>
        </w:sectPr>
      </w:pPr>
    </w:p>
    <w:p w14:paraId="68993CEB">
      <w:pPr>
        <w:pStyle w:val="13"/>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残疾人福利性单位声明函（如有）</w:t>
      </w:r>
    </w:p>
    <w:p w14:paraId="36ABD429">
      <w:pPr>
        <w:pStyle w:val="13"/>
        <w:spacing w:line="360" w:lineRule="auto"/>
        <w:jc w:val="center"/>
        <w:rPr>
          <w:rFonts w:hint="eastAsia" w:ascii="仿宋" w:hAnsi="仿宋" w:eastAsia="仿宋" w:cs="仿宋"/>
          <w:b/>
          <w:color w:val="auto"/>
          <w:sz w:val="30"/>
          <w:szCs w:val="30"/>
          <w:highlight w:val="none"/>
        </w:rPr>
      </w:pPr>
    </w:p>
    <w:p w14:paraId="08C0FCCF">
      <w:pPr>
        <w:pStyle w:val="13"/>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由本单位承担工程/提供服务，或者提供其他残疾人福利性单位制造的货物（不包括使用非残疾人福利性单位注册商标的货物）。</w:t>
      </w:r>
    </w:p>
    <w:p w14:paraId="55C6163F">
      <w:pPr>
        <w:pStyle w:val="13"/>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65E7070E">
      <w:pPr>
        <w:pStyle w:val="13"/>
        <w:spacing w:line="360" w:lineRule="auto"/>
        <w:jc w:val="left"/>
        <w:rPr>
          <w:rFonts w:hint="eastAsia" w:ascii="仿宋" w:hAnsi="仿宋" w:eastAsia="仿宋" w:cs="仿宋"/>
          <w:b/>
          <w:color w:val="auto"/>
          <w:szCs w:val="21"/>
          <w:highlight w:val="none"/>
        </w:rPr>
      </w:pPr>
    </w:p>
    <w:p w14:paraId="2576716C">
      <w:pPr>
        <w:pStyle w:val="13"/>
        <w:spacing w:line="360" w:lineRule="auto"/>
        <w:jc w:val="left"/>
        <w:rPr>
          <w:rFonts w:hint="eastAsia" w:ascii="仿宋" w:hAnsi="仿宋" w:eastAsia="仿宋" w:cs="仿宋"/>
          <w:b/>
          <w:color w:val="auto"/>
          <w:szCs w:val="21"/>
          <w:highlight w:val="none"/>
        </w:rPr>
      </w:pPr>
    </w:p>
    <w:p w14:paraId="0EB25470">
      <w:pPr>
        <w:snapToGrid w:val="0"/>
        <w:spacing w:line="360" w:lineRule="auto"/>
        <w:ind w:firstLine="3795" w:firstLineChars="2100"/>
        <w:rPr>
          <w:rFonts w:hint="eastAsia" w:ascii="仿宋" w:hAnsi="仿宋" w:eastAsia="仿宋" w:cs="仿宋"/>
          <w:color w:val="auto"/>
          <w:kern w:val="0"/>
          <w:sz w:val="24"/>
          <w:highlight w:val="none"/>
        </w:rPr>
      </w:pPr>
      <w:r>
        <w:rPr>
          <w:rFonts w:hint="eastAsia" w:ascii="仿宋" w:hAnsi="仿宋" w:eastAsia="仿宋" w:cs="仿宋"/>
          <w:b/>
          <w:color w:val="auto"/>
          <w:sz w:val="18"/>
          <w:szCs w:val="18"/>
          <w:highlight w:val="none"/>
        </w:rPr>
        <w:t xml:space="preserve">                 </w:t>
      </w:r>
      <w:r>
        <w:rPr>
          <w:rFonts w:hint="eastAsia" w:ascii="仿宋" w:hAnsi="仿宋" w:eastAsia="仿宋" w:cs="仿宋"/>
          <w:color w:val="auto"/>
          <w:kern w:val="0"/>
          <w:sz w:val="24"/>
          <w:highlight w:val="none"/>
          <w:lang w:val="zh-CN"/>
        </w:rPr>
        <w:t>投标人名称(电子签章)：</w:t>
      </w:r>
    </w:p>
    <w:p w14:paraId="4040866D">
      <w:pPr>
        <w:snapToGrid w:val="0"/>
        <w:spacing w:line="360" w:lineRule="auto"/>
        <w:ind w:firstLine="7200" w:firstLineChars="30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4E533D4">
      <w:pPr>
        <w:snapToGrid w:val="0"/>
        <w:spacing w:line="360" w:lineRule="auto"/>
        <w:ind w:firstLine="5160" w:firstLineChars="2150"/>
        <w:rPr>
          <w:rFonts w:hint="eastAsia" w:ascii="仿宋" w:hAnsi="仿宋" w:eastAsia="仿宋" w:cs="仿宋"/>
          <w:color w:val="auto"/>
          <w:kern w:val="0"/>
          <w:sz w:val="24"/>
          <w:highlight w:val="none"/>
          <w:lang w:val="zh-CN"/>
        </w:rPr>
      </w:pPr>
    </w:p>
    <w:p w14:paraId="02D8F515">
      <w:pPr>
        <w:pStyle w:val="13"/>
        <w:spacing w:line="360" w:lineRule="auto"/>
        <w:ind w:left="5132" w:leftChars="1979" w:hanging="976" w:hangingChars="488"/>
        <w:rPr>
          <w:rFonts w:hint="eastAsia" w:ascii="仿宋" w:hAnsi="仿宋" w:eastAsia="仿宋" w:cs="仿宋"/>
          <w:color w:val="auto"/>
          <w:highlight w:val="none"/>
        </w:rPr>
      </w:pPr>
    </w:p>
    <w:p w14:paraId="354FB106">
      <w:pPr>
        <w:spacing w:line="360" w:lineRule="auto"/>
        <w:ind w:right="420"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4261586">
      <w:pPr>
        <w:widowControl/>
        <w:spacing w:line="360" w:lineRule="auto"/>
        <w:jc w:val="left"/>
        <w:rPr>
          <w:rFonts w:hint="eastAsia" w:ascii="仿宋" w:hAnsi="仿宋" w:eastAsia="仿宋" w:cs="仿宋"/>
          <w:color w:val="auto"/>
          <w:sz w:val="20"/>
          <w:highlight w:val="none"/>
        </w:rPr>
        <w:sectPr>
          <w:pgSz w:w="11906" w:h="16838"/>
          <w:pgMar w:top="1440" w:right="1080" w:bottom="1440" w:left="1080" w:header="720" w:footer="720" w:gutter="0"/>
          <w:cols w:space="720" w:num="1"/>
          <w:docGrid w:type="lines" w:linePitch="331" w:charSpace="0"/>
        </w:sectPr>
      </w:pPr>
    </w:p>
    <w:p w14:paraId="547674E7">
      <w:pPr>
        <w:pStyle w:val="13"/>
        <w:tabs>
          <w:tab w:val="left" w:pos="2472"/>
        </w:tabs>
        <w:spacing w:line="460" w:lineRule="exact"/>
        <w:jc w:val="center"/>
        <w:outlineLvl w:val="0"/>
        <w:rPr>
          <w:rFonts w:hint="eastAsia" w:ascii="仿宋" w:hAnsi="仿宋" w:eastAsia="仿宋" w:cs="仿宋"/>
          <w:b/>
          <w:color w:val="auto"/>
          <w:sz w:val="36"/>
          <w:highlight w:val="none"/>
        </w:rPr>
      </w:pPr>
      <w:bookmarkStart w:id="140" w:name="_Toc10294"/>
      <w:bookmarkStart w:id="141" w:name="_Toc17736"/>
      <w:r>
        <w:rPr>
          <w:rFonts w:hint="eastAsia" w:ascii="仿宋" w:hAnsi="仿宋" w:eastAsia="仿宋" w:cs="仿宋"/>
          <w:b/>
          <w:color w:val="auto"/>
          <w:sz w:val="36"/>
          <w:highlight w:val="none"/>
        </w:rPr>
        <w:t>第七章 质疑、投诉证明材料格式</w:t>
      </w:r>
      <w:bookmarkEnd w:id="140"/>
      <w:bookmarkEnd w:id="141"/>
    </w:p>
    <w:p w14:paraId="7246D115">
      <w:pPr>
        <w:widowControl/>
        <w:spacing w:line="360" w:lineRule="auto"/>
        <w:jc w:val="left"/>
        <w:rPr>
          <w:rFonts w:hint="eastAsia" w:ascii="仿宋" w:hAnsi="仿宋" w:eastAsia="仿宋" w:cs="仿宋"/>
          <w:color w:val="auto"/>
          <w:sz w:val="20"/>
          <w:highlight w:val="none"/>
        </w:rPr>
      </w:pPr>
    </w:p>
    <w:p w14:paraId="7EAA8E29">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质疑函（格式）</w:t>
      </w:r>
    </w:p>
    <w:p w14:paraId="0AF3E91E">
      <w:pPr>
        <w:pStyle w:val="1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4F5F5138">
      <w:pPr>
        <w:pStyle w:val="1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01E0687">
      <w:pPr>
        <w:pStyle w:val="1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743915A">
      <w:pPr>
        <w:pStyle w:val="1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55F50069">
      <w:pPr>
        <w:pStyle w:val="1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2F177676">
      <w:pPr>
        <w:pStyle w:val="1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20AFBE6">
      <w:pPr>
        <w:pStyle w:val="1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053CF1A">
      <w:pPr>
        <w:pStyle w:val="1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72DDC1D0">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76D170B9">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34746DFE">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205F01B">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2BC12C34">
      <w:pPr>
        <w:pStyle w:val="1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62625F6A">
      <w:pPr>
        <w:pStyle w:val="1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5424D159">
      <w:pPr>
        <w:pStyle w:val="1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□中标结果   </w:t>
      </w:r>
    </w:p>
    <w:p w14:paraId="5DF7EDEC">
      <w:pPr>
        <w:pStyle w:val="1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53769B5C">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373D6188">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48DA65CC">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6194DF57">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0A67D5D9">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10568E8">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25C2B759">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573ACBC">
      <w:pPr>
        <w:pStyle w:val="13"/>
        <w:spacing w:line="360" w:lineRule="auto"/>
        <w:ind w:left="25" w:leftChars="12" w:firstLine="352" w:firstLineChars="147"/>
        <w:rPr>
          <w:rFonts w:hint="eastAsia" w:ascii="仿宋" w:hAnsi="仿宋" w:eastAsia="仿宋" w:cs="仿宋"/>
          <w:color w:val="auto"/>
          <w:sz w:val="24"/>
          <w:szCs w:val="24"/>
          <w:highlight w:val="none"/>
        </w:rPr>
      </w:pPr>
    </w:p>
    <w:p w14:paraId="65D6424A">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1D7FD54">
      <w:pPr>
        <w:pStyle w:val="13"/>
        <w:spacing w:line="360" w:lineRule="auto"/>
        <w:ind w:left="25" w:leftChars="12" w:firstLine="352" w:firstLineChars="147"/>
        <w:rPr>
          <w:rFonts w:hint="eastAsia" w:ascii="仿宋" w:hAnsi="仿宋" w:eastAsia="仿宋" w:cs="仿宋"/>
          <w:color w:val="auto"/>
          <w:sz w:val="24"/>
          <w:szCs w:val="24"/>
          <w:highlight w:val="none"/>
        </w:rPr>
      </w:pPr>
    </w:p>
    <w:p w14:paraId="6CE88769">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7633815">
      <w:pPr>
        <w:pStyle w:val="13"/>
        <w:snapToGrid w:val="0"/>
        <w:spacing w:line="360" w:lineRule="auto"/>
        <w:rPr>
          <w:rFonts w:hint="eastAsia" w:ascii="仿宋" w:hAnsi="仿宋" w:eastAsia="仿宋" w:cs="仿宋"/>
          <w:b/>
          <w:color w:val="auto"/>
          <w:sz w:val="24"/>
          <w:szCs w:val="24"/>
          <w:highlight w:val="none"/>
        </w:rPr>
      </w:pPr>
    </w:p>
    <w:p w14:paraId="3012B389">
      <w:pPr>
        <w:pStyle w:val="1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17EC063E">
      <w:pPr>
        <w:pStyle w:val="1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2D6D8186">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C368C7">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2A384367">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28C2C00D">
      <w:pPr>
        <w:pStyle w:val="13"/>
        <w:spacing w:line="360" w:lineRule="auto"/>
        <w:ind w:left="25" w:leftChars="12" w:firstLine="354" w:firstLineChars="147"/>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7F92CB89">
      <w:pPr>
        <w:pStyle w:val="13"/>
        <w:snapToGrid w:val="0"/>
        <w:rPr>
          <w:rFonts w:hint="eastAsia" w:ascii="仿宋" w:hAnsi="仿宋" w:eastAsia="仿宋" w:cs="仿宋"/>
          <w:b/>
          <w:color w:val="auto"/>
          <w:sz w:val="24"/>
          <w:szCs w:val="24"/>
          <w:highlight w:val="none"/>
        </w:rPr>
      </w:pPr>
    </w:p>
    <w:p w14:paraId="3392463F">
      <w:pPr>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color w:val="auto"/>
          <w:sz w:val="44"/>
          <w:highlight w:val="none"/>
        </w:rPr>
        <w:br w:type="page"/>
      </w:r>
      <w:r>
        <w:rPr>
          <w:rFonts w:hint="eastAsia" w:ascii="仿宋" w:hAnsi="仿宋" w:eastAsia="仿宋" w:cs="仿宋"/>
          <w:b/>
          <w:bCs/>
          <w:color w:val="auto"/>
          <w:sz w:val="36"/>
          <w:szCs w:val="36"/>
          <w:highlight w:val="none"/>
        </w:rPr>
        <w:t>投诉书（格式）</w:t>
      </w:r>
    </w:p>
    <w:p w14:paraId="0861363D">
      <w:pPr>
        <w:pStyle w:val="1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1B6892F1">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0D98493">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74661B2">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65D002D1">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5E767C74">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7762713">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0B4D236D">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1DFA268">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13D0A5F5">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1CA7570F">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35FEAC0">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7B31D30">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72CD7557">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608D201">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19B886CB">
      <w:pPr>
        <w:pStyle w:val="13"/>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4DF1EEE5">
      <w:pPr>
        <w:pStyle w:val="13"/>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DC59FC9">
      <w:pPr>
        <w:pStyle w:val="1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63F21044">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324260A0">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78CB383">
      <w:pPr>
        <w:pStyle w:val="1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51B149BE">
      <w:pPr>
        <w:pStyle w:val="1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1774DA6C">
      <w:pPr>
        <w:pStyle w:val="1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6E8E1165">
      <w:pPr>
        <w:pStyle w:val="13"/>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C4F39D0">
      <w:pPr>
        <w:pStyle w:val="1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5F74502E">
      <w:pPr>
        <w:pStyle w:val="1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bCs/>
          <w:color w:val="auto"/>
          <w:sz w:val="24"/>
          <w:szCs w:val="24"/>
          <w:highlight w:val="none"/>
          <w:u w:val="single"/>
        </w:rPr>
        <w:t xml:space="preserve">                                                                                      </w:t>
      </w:r>
    </w:p>
    <w:p w14:paraId="30B4DAFE">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30DD8CE7">
      <w:pPr>
        <w:pStyle w:val="1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106F99B4">
      <w:pPr>
        <w:pStyle w:val="1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03FB39F4">
      <w:pPr>
        <w:pStyle w:val="1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ADE86A6">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32B5DEE2">
      <w:pPr>
        <w:pStyle w:val="1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D1F4148">
      <w:pPr>
        <w:pStyle w:val="1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75E95C0">
      <w:pPr>
        <w:pStyle w:val="1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38F4F02C">
      <w:pPr>
        <w:pStyle w:val="1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2DBF6764">
      <w:pPr>
        <w:pStyle w:val="1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437624E4">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E9345B5">
      <w:pPr>
        <w:pStyle w:val="13"/>
        <w:spacing w:line="360" w:lineRule="auto"/>
        <w:ind w:left="25" w:leftChars="12" w:firstLine="352" w:firstLineChars="147"/>
        <w:rPr>
          <w:rFonts w:hint="eastAsia" w:ascii="仿宋" w:hAnsi="仿宋" w:eastAsia="仿宋" w:cs="仿宋"/>
          <w:color w:val="auto"/>
          <w:sz w:val="24"/>
          <w:szCs w:val="24"/>
          <w:highlight w:val="none"/>
        </w:rPr>
      </w:pPr>
    </w:p>
    <w:p w14:paraId="1D8D1A58">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6748508">
      <w:pPr>
        <w:pStyle w:val="13"/>
        <w:spacing w:line="360" w:lineRule="auto"/>
        <w:ind w:left="25" w:leftChars="12" w:firstLine="352" w:firstLineChars="147"/>
        <w:rPr>
          <w:rFonts w:hint="eastAsia" w:ascii="仿宋" w:hAnsi="仿宋" w:eastAsia="仿宋" w:cs="仿宋"/>
          <w:color w:val="auto"/>
          <w:sz w:val="24"/>
          <w:szCs w:val="24"/>
          <w:highlight w:val="none"/>
        </w:rPr>
      </w:pPr>
    </w:p>
    <w:p w14:paraId="00ECCB80">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60625AFB">
      <w:pPr>
        <w:pStyle w:val="1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0DFD7254">
      <w:pPr>
        <w:pStyle w:val="1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06F0F153">
      <w:pPr>
        <w:pStyle w:val="1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79681464">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6581023">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68735F65">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65AECFB4">
      <w:pPr>
        <w:pStyle w:val="1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51285FDC">
      <w:pPr>
        <w:pStyle w:val="13"/>
        <w:spacing w:line="360" w:lineRule="auto"/>
        <w:ind w:left="25" w:leftChars="12" w:firstLine="354" w:firstLineChars="147"/>
        <w:rPr>
          <w:rFonts w:hint="eastAsia" w:ascii="仿宋" w:hAnsi="仿宋" w:eastAsia="仿宋" w:cs="仿宋"/>
          <w:b/>
          <w:bCs/>
          <w:color w:val="auto"/>
          <w:kern w:val="44"/>
          <w:sz w:val="44"/>
          <w:szCs w:val="4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245597D2">
      <w:pPr>
        <w:rPr>
          <w:rFonts w:hint="eastAsia" w:ascii="仿宋" w:hAnsi="仿宋" w:eastAsia="仿宋" w:cs="仿宋"/>
          <w:color w:val="auto"/>
          <w:highlight w:val="none"/>
        </w:rPr>
      </w:pPr>
    </w:p>
    <w:sectPr>
      <w:footerReference r:id="rId11" w:type="first"/>
      <w:headerReference r:id="rId8" w:type="default"/>
      <w:footerReference r:id="rId9" w:type="default"/>
      <w:footerReference r:id="rId10"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5D4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3E84">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FA5C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DEFA5C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AD4E">
    <w:pPr>
      <w:tabs>
        <w:tab w:val="center" w:pos="4153"/>
        <w:tab w:val="left" w:pos="5169"/>
      </w:tabs>
      <w:snapToGrid w:val="0"/>
      <w:ind w:right="360"/>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C98F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25C98FF">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rPr>
      <w:t xml:space="preserve">                                              </w:t>
    </w:r>
    <w:r>
      <w:rPr>
        <w:rFonts w:hint="eastAsia"/>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2DC0">
    <w:pPr>
      <w:widowControl/>
      <w:kinsoku w:val="0"/>
      <w:autoSpaceDE w:val="0"/>
      <w:autoSpaceDN w:val="0"/>
      <w:adjustRightInd w:val="0"/>
      <w:snapToGrid w:val="0"/>
      <w:spacing w:line="176" w:lineRule="auto"/>
      <w:ind w:left="4442"/>
      <w:jc w:val="left"/>
      <w:textAlignment w:val="baseline"/>
      <w:rPr>
        <w:rFonts w:eastAsia="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9A40">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2CF9A40">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E0DB">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E69FD">
                          <w:pPr>
                            <w:pStyle w:val="14"/>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40E69FD">
                    <w:pPr>
                      <w:pStyle w:val="14"/>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0610">
    <w:pPr>
      <w:pStyle w:val="14"/>
      <w:framePr w:wrap="around" w:vAnchor="text" w:hAnchor="margin" w:xAlign="center" w:y="1"/>
      <w:rPr>
        <w:rStyle w:val="24"/>
      </w:rPr>
    </w:pPr>
    <w:r>
      <w:fldChar w:fldCharType="begin"/>
    </w:r>
    <w:r>
      <w:rPr>
        <w:rStyle w:val="24"/>
        <w:rFonts w:ascii="Times New Roman" w:hAnsi="Times New Roman"/>
        <w:kern w:val="2"/>
        <w:sz w:val="21"/>
        <w:szCs w:val="24"/>
      </w:rPr>
      <w:instrText xml:space="preserve">PAGE  </w:instrText>
    </w:r>
    <w:r>
      <w:fldChar w:fldCharType="end"/>
    </w:r>
  </w:p>
  <w:p w14:paraId="63946E5F">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4E637">
    <w:pPr>
      <w:pStyle w:val="14"/>
      <w:framePr w:wrap="around" w:vAnchor="text" w:hAnchor="margin" w:xAlign="right" w:y="1"/>
      <w:rPr>
        <w:rStyle w:val="24"/>
      </w:rPr>
    </w:pPr>
    <w:r>
      <w:fldChar w:fldCharType="begin"/>
    </w:r>
    <w:r>
      <w:rPr>
        <w:rStyle w:val="24"/>
        <w:rFonts w:ascii="Times New Roman" w:hAnsi="Times New Roman"/>
        <w:kern w:val="2"/>
        <w:sz w:val="21"/>
        <w:szCs w:val="24"/>
      </w:rPr>
      <w:instrText xml:space="preserve">PAGE  </w:instrText>
    </w:r>
    <w:r>
      <w:fldChar w:fldCharType="separate"/>
    </w:r>
    <w:r>
      <w:rPr>
        <w:rStyle w:val="24"/>
        <w:rFonts w:ascii="Times New Roman" w:hAnsi="Times New Roman"/>
        <w:kern w:val="2"/>
        <w:sz w:val="21"/>
        <w:szCs w:val="24"/>
      </w:rPr>
      <w:t>122</w:t>
    </w:r>
    <w:r>
      <w:fldChar w:fldCharType="end"/>
    </w:r>
  </w:p>
  <w:p w14:paraId="0B0CB190">
    <w:pPr>
      <w:pStyle w:val="1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C366">
    <w:pPr>
      <w:pStyle w:val="15"/>
      <w:pBdr>
        <w:bottom w:val="none" w:color="auto" w:sz="0" w:space="1"/>
      </w:pBdr>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772E">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dit="readOnly" w:enforcement="1" w:cryptProviderType="rsaFull" w:cryptAlgorithmClass="hash" w:cryptAlgorithmType="typeAny" w:cryptAlgorithmSid="4" w:cryptSpinCount="0" w:hash="y1uUt29loeN/OK09kiuhe8uxAOA=" w:salt="O5FXCYuRDhHR9/NdJdZtt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54BDA"/>
    <w:rsid w:val="0008780B"/>
    <w:rsid w:val="002A2BBF"/>
    <w:rsid w:val="003743B1"/>
    <w:rsid w:val="00463DED"/>
    <w:rsid w:val="004C05D4"/>
    <w:rsid w:val="00711329"/>
    <w:rsid w:val="00846C4B"/>
    <w:rsid w:val="00C428B1"/>
    <w:rsid w:val="00CF5D4A"/>
    <w:rsid w:val="00D828D9"/>
    <w:rsid w:val="01987F1A"/>
    <w:rsid w:val="01987FE8"/>
    <w:rsid w:val="01E3453D"/>
    <w:rsid w:val="0224282C"/>
    <w:rsid w:val="029A1001"/>
    <w:rsid w:val="03187320"/>
    <w:rsid w:val="04111F14"/>
    <w:rsid w:val="04671EF4"/>
    <w:rsid w:val="050E2F00"/>
    <w:rsid w:val="052B4959"/>
    <w:rsid w:val="05B430A5"/>
    <w:rsid w:val="06287461"/>
    <w:rsid w:val="0864629A"/>
    <w:rsid w:val="0BD0037E"/>
    <w:rsid w:val="0C191D25"/>
    <w:rsid w:val="0CB63A18"/>
    <w:rsid w:val="0E107158"/>
    <w:rsid w:val="0E992432"/>
    <w:rsid w:val="0F187EE2"/>
    <w:rsid w:val="0FF10F68"/>
    <w:rsid w:val="10B65D95"/>
    <w:rsid w:val="11B500BD"/>
    <w:rsid w:val="11CA1AE9"/>
    <w:rsid w:val="11E52DF3"/>
    <w:rsid w:val="11F81F7A"/>
    <w:rsid w:val="13606321"/>
    <w:rsid w:val="13983E78"/>
    <w:rsid w:val="13CC3B21"/>
    <w:rsid w:val="14414B9E"/>
    <w:rsid w:val="15571597"/>
    <w:rsid w:val="17424826"/>
    <w:rsid w:val="17A07E16"/>
    <w:rsid w:val="17F32B0A"/>
    <w:rsid w:val="18095344"/>
    <w:rsid w:val="19EC6CCB"/>
    <w:rsid w:val="1A004525"/>
    <w:rsid w:val="1B5A265A"/>
    <w:rsid w:val="1C7F721C"/>
    <w:rsid w:val="1D9F5FA2"/>
    <w:rsid w:val="1DFA65D4"/>
    <w:rsid w:val="20D64A68"/>
    <w:rsid w:val="21C41533"/>
    <w:rsid w:val="257D111F"/>
    <w:rsid w:val="284B3726"/>
    <w:rsid w:val="286F1880"/>
    <w:rsid w:val="2AB13037"/>
    <w:rsid w:val="2D2A67AD"/>
    <w:rsid w:val="2DEE4968"/>
    <w:rsid w:val="30542A7D"/>
    <w:rsid w:val="31503D99"/>
    <w:rsid w:val="315F4375"/>
    <w:rsid w:val="319F4B54"/>
    <w:rsid w:val="3239017C"/>
    <w:rsid w:val="33071F6E"/>
    <w:rsid w:val="34A22009"/>
    <w:rsid w:val="35213146"/>
    <w:rsid w:val="36314FEF"/>
    <w:rsid w:val="363E7799"/>
    <w:rsid w:val="36B23564"/>
    <w:rsid w:val="38104F58"/>
    <w:rsid w:val="39D65B57"/>
    <w:rsid w:val="3A1F7CEA"/>
    <w:rsid w:val="3AE25988"/>
    <w:rsid w:val="3B0845DF"/>
    <w:rsid w:val="3B3A743F"/>
    <w:rsid w:val="3B471B5C"/>
    <w:rsid w:val="3B534510"/>
    <w:rsid w:val="3DB94353"/>
    <w:rsid w:val="3DF26F98"/>
    <w:rsid w:val="3E216694"/>
    <w:rsid w:val="3EEF7434"/>
    <w:rsid w:val="40371E50"/>
    <w:rsid w:val="4059257C"/>
    <w:rsid w:val="40EC3FE5"/>
    <w:rsid w:val="41BB6E00"/>
    <w:rsid w:val="41E2613A"/>
    <w:rsid w:val="420E6F2F"/>
    <w:rsid w:val="42E808B0"/>
    <w:rsid w:val="44D51F86"/>
    <w:rsid w:val="469643B4"/>
    <w:rsid w:val="494F2AA0"/>
    <w:rsid w:val="4A8E3303"/>
    <w:rsid w:val="4B6849D9"/>
    <w:rsid w:val="4B995195"/>
    <w:rsid w:val="4C5C2F8D"/>
    <w:rsid w:val="4C5F2270"/>
    <w:rsid w:val="4CF33F27"/>
    <w:rsid w:val="4D812CAB"/>
    <w:rsid w:val="4FAC5905"/>
    <w:rsid w:val="50186A1F"/>
    <w:rsid w:val="50754E7C"/>
    <w:rsid w:val="51FE55ED"/>
    <w:rsid w:val="521A7520"/>
    <w:rsid w:val="52B62DE6"/>
    <w:rsid w:val="52BF53BD"/>
    <w:rsid w:val="53A70308"/>
    <w:rsid w:val="53FC38A5"/>
    <w:rsid w:val="5592629B"/>
    <w:rsid w:val="55E26FF6"/>
    <w:rsid w:val="572F0F1B"/>
    <w:rsid w:val="573B2163"/>
    <w:rsid w:val="57A94811"/>
    <w:rsid w:val="57ED10AE"/>
    <w:rsid w:val="58A17F5C"/>
    <w:rsid w:val="58BA5E74"/>
    <w:rsid w:val="597B7E02"/>
    <w:rsid w:val="5A366BCB"/>
    <w:rsid w:val="5AE273D5"/>
    <w:rsid w:val="5B2353A2"/>
    <w:rsid w:val="5BA56172"/>
    <w:rsid w:val="5CDD77D2"/>
    <w:rsid w:val="5CE34D45"/>
    <w:rsid w:val="5E6C0994"/>
    <w:rsid w:val="5E734406"/>
    <w:rsid w:val="617001EE"/>
    <w:rsid w:val="61BE0D11"/>
    <w:rsid w:val="61D66418"/>
    <w:rsid w:val="66A871FA"/>
    <w:rsid w:val="66B73268"/>
    <w:rsid w:val="67AA29A7"/>
    <w:rsid w:val="67DE72F8"/>
    <w:rsid w:val="68466B73"/>
    <w:rsid w:val="684843E2"/>
    <w:rsid w:val="684A2880"/>
    <w:rsid w:val="68F351DF"/>
    <w:rsid w:val="691B3B5C"/>
    <w:rsid w:val="6A595086"/>
    <w:rsid w:val="6AE54422"/>
    <w:rsid w:val="6B1221B9"/>
    <w:rsid w:val="6B861377"/>
    <w:rsid w:val="6BB90610"/>
    <w:rsid w:val="6BC23F65"/>
    <w:rsid w:val="6E557B10"/>
    <w:rsid w:val="6F6910BD"/>
    <w:rsid w:val="70AD2754"/>
    <w:rsid w:val="70B056BA"/>
    <w:rsid w:val="726C71D7"/>
    <w:rsid w:val="72F8019F"/>
    <w:rsid w:val="7331422E"/>
    <w:rsid w:val="738C55FD"/>
    <w:rsid w:val="744C260B"/>
    <w:rsid w:val="75B53352"/>
    <w:rsid w:val="75D43A11"/>
    <w:rsid w:val="76842E95"/>
    <w:rsid w:val="78AA79D9"/>
    <w:rsid w:val="79254BDA"/>
    <w:rsid w:val="7AA56D7B"/>
    <w:rsid w:val="7AAA5B64"/>
    <w:rsid w:val="7ABF07ED"/>
    <w:rsid w:val="7BC11C15"/>
    <w:rsid w:val="7C1B203F"/>
    <w:rsid w:val="7C3D2986"/>
    <w:rsid w:val="7DA9206C"/>
    <w:rsid w:val="7DB859C6"/>
    <w:rsid w:val="7E10135E"/>
    <w:rsid w:val="7F933944"/>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Arial" w:hAnsi="Arial" w:eastAsia="黑体" w:cs="Times New Roman"/>
      <w:b/>
      <w:bCs/>
      <w:sz w:val="32"/>
      <w:szCs w:val="32"/>
      <w:lang w:val="en-US" w:eastAsia="zh-CN" w:bidi="ar-SA"/>
    </w:rPr>
  </w:style>
  <w:style w:type="paragraph" w:styleId="4">
    <w:name w:val="heading 3"/>
    <w:next w:val="1"/>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sz w:val="32"/>
      <w:szCs w:val="32"/>
      <w:lang w:val="en-US" w:eastAsia="zh-CN" w:bidi="ar-SA"/>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next w:val="1"/>
    <w:qFormat/>
    <w:uiPriority w:val="9"/>
    <w:pPr>
      <w:keepNext/>
      <w:keepLines/>
      <w:widowControl w:val="0"/>
      <w:spacing w:before="280" w:after="290" w:line="376" w:lineRule="auto"/>
      <w:jc w:val="both"/>
      <w:outlineLvl w:val="4"/>
    </w:pPr>
    <w:rPr>
      <w:rFonts w:ascii="Times New Roman" w:hAnsi="Times New Roman" w:eastAsia="宋体" w:cs="Times New Roman"/>
      <w:b/>
      <w:bCs/>
      <w:sz w:val="28"/>
      <w:szCs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8">
    <w:name w:val="annotation text"/>
    <w:basedOn w:val="1"/>
    <w:link w:val="49"/>
    <w:qFormat/>
    <w:uiPriority w:val="99"/>
    <w:pPr>
      <w:widowControl w:val="0"/>
    </w:pPr>
    <w:rPr>
      <w:rFonts w:ascii="Times New Roman" w:hAnsi="Times New Roman" w:eastAsia="宋体" w:cs="Times New Roman"/>
      <w:szCs w:val="24"/>
      <w:lang w:val="en-US" w:eastAsia="zh-CN" w:bidi="ar-SA"/>
    </w:rPr>
  </w:style>
  <w:style w:type="paragraph" w:styleId="9">
    <w:name w:val="Body Text"/>
    <w:basedOn w:val="1"/>
    <w:next w:val="10"/>
    <w:unhideWhenUsed/>
    <w:qFormat/>
    <w:uiPriority w:val="0"/>
    <w:pPr>
      <w:spacing w:after="120"/>
    </w:pPr>
    <w:rPr>
      <w:kern w:val="0"/>
      <w:sz w:val="20"/>
    </w:rPr>
  </w:style>
  <w:style w:type="paragraph" w:styleId="10">
    <w:name w:val="toc 2"/>
    <w:basedOn w:val="1"/>
    <w:next w:val="1"/>
    <w:qFormat/>
    <w:uiPriority w:val="39"/>
    <w:pPr>
      <w:widowControl w:val="0"/>
    </w:pPr>
    <w:rPr>
      <w:rFonts w:ascii="Calibri" w:hAnsi="Calibri" w:eastAsia="宋体" w:cs="Times New Roman"/>
      <w:b/>
      <w:bCs/>
      <w:smallCaps/>
      <w:kern w:val="2"/>
      <w:sz w:val="22"/>
      <w:szCs w:val="22"/>
      <w:lang w:val="en-US" w:eastAsia="zh-CN" w:bidi="ar-SA"/>
    </w:rPr>
  </w:style>
  <w:style w:type="paragraph" w:styleId="11">
    <w:name w:val="Body Text Indent"/>
    <w:basedOn w:val="1"/>
    <w:qFormat/>
    <w:uiPriority w:val="0"/>
    <w:pPr>
      <w:spacing w:line="200" w:lineRule="exact"/>
      <w:ind w:firstLine="301"/>
    </w:pPr>
    <w:rPr>
      <w:rFonts w:ascii="宋体" w:hAnsi="Courier New"/>
      <w:spacing w:val="-4"/>
      <w:kern w:val="0"/>
      <w:sz w:val="18"/>
      <w:szCs w:val="20"/>
    </w:rPr>
  </w:style>
  <w:style w:type="paragraph" w:styleId="12">
    <w:name w:val="toc 3"/>
    <w:next w:val="1"/>
    <w:unhideWhenUsed/>
    <w:qFormat/>
    <w:uiPriority w:val="39"/>
    <w:pPr>
      <w:widowControl w:val="0"/>
    </w:pPr>
    <w:rPr>
      <w:rFonts w:ascii="Calibri" w:hAnsi="Calibri" w:eastAsia="宋体" w:cs="Times New Roman"/>
      <w:smallCaps/>
      <w:kern w:val="2"/>
      <w:sz w:val="22"/>
      <w:szCs w:val="22"/>
      <w:lang w:val="en-US" w:eastAsia="zh-CN" w:bidi="ar-SA"/>
    </w:rPr>
  </w:style>
  <w:style w:type="paragraph" w:styleId="13">
    <w:name w:val="Plain Text"/>
    <w:basedOn w:val="1"/>
    <w:next w:val="5"/>
    <w:qFormat/>
    <w:uiPriority w:val="0"/>
    <w:rPr>
      <w:rFonts w:ascii="宋体" w:hAnsi="Courier New"/>
      <w:kern w:val="0"/>
      <w:sz w:val="20"/>
      <w:szCs w:val="20"/>
    </w:rPr>
  </w:style>
  <w:style w:type="paragraph" w:styleId="14">
    <w:name w:val="footer"/>
    <w:basedOn w:val="1"/>
    <w:unhideWhenUsed/>
    <w:qFormat/>
    <w:uiPriority w:val="99"/>
    <w:pPr>
      <w:widowControl w:val="0"/>
      <w:tabs>
        <w:tab w:val="center" w:pos="4153"/>
        <w:tab w:val="right" w:pos="8306"/>
      </w:tabs>
      <w:snapToGrid w:val="0"/>
    </w:pPr>
    <w:rPr>
      <w:rFonts w:ascii="Calibri" w:hAnsi="Calibri" w:eastAsia="宋体" w:cs="Times New Roman"/>
      <w:sz w:val="18"/>
      <w:szCs w:val="18"/>
      <w:lang w:val="en-US" w:eastAsia="zh-CN" w:bidi="ar-SA"/>
    </w:rPr>
  </w:style>
  <w:style w:type="paragraph" w:styleId="15">
    <w:name w:val="header"/>
    <w:basedOn w:val="1"/>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16">
    <w:name w:val="toc 1"/>
    <w:next w:val="1"/>
    <w:qFormat/>
    <w:uiPriority w:val="39"/>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7">
    <w:name w:val="List"/>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8">
    <w:name w:val="Normal (Web)"/>
    <w:basedOn w:val="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9">
    <w:name w:val="annotation subject"/>
    <w:basedOn w:val="8"/>
    <w:next w:val="8"/>
    <w:link w:val="50"/>
    <w:qFormat/>
    <w:uiPriority w:val="0"/>
    <w:rPr>
      <w:b/>
      <w:bCs/>
      <w:kern w:val="2"/>
      <w:sz w:val="21"/>
    </w:rPr>
  </w:style>
  <w:style w:type="table" w:styleId="21">
    <w:name w:val="Table Grid"/>
    <w:basedOn w:val="2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sz w:val="21"/>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99"/>
    <w:rPr>
      <w:sz w:val="21"/>
      <w:szCs w:val="21"/>
    </w:rPr>
  </w:style>
  <w:style w:type="paragraph" w:customStyle="1" w:styleId="27">
    <w:name w:val="BodyText"/>
    <w:basedOn w:val="1"/>
    <w:autoRedefine/>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28">
    <w:name w:val="目录 81"/>
    <w:basedOn w:val="1"/>
    <w:next w:val="1"/>
    <w:qFormat/>
    <w:uiPriority w:val="0"/>
    <w:pPr>
      <w:widowControl w:val="0"/>
      <w:autoSpaceDE/>
      <w:autoSpaceDN/>
      <w:spacing w:before="0" w:after="0" w:line="240" w:lineRule="auto"/>
      <w:ind w:left="1470" w:firstLine="0"/>
    </w:pPr>
    <w:rPr>
      <w:rFonts w:ascii="Times New Roman" w:eastAsia="宋体"/>
      <w:sz w:val="18"/>
    </w:rPr>
  </w:style>
  <w:style w:type="paragraph" w:styleId="29">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1">
    <w:name w:val="正文2"/>
    <w:qFormat/>
    <w:uiPriority w:val="0"/>
    <w:pPr>
      <w:widowControl w:val="0"/>
      <w:adjustRightInd w:val="0"/>
      <w:spacing w:before="156" w:line="360" w:lineRule="auto"/>
      <w:ind w:firstLine="510" w:firstLineChars="200"/>
      <w:jc w:val="both"/>
    </w:pPr>
    <w:rPr>
      <w:rFonts w:ascii="Calibri" w:hAnsi="Calibri" w:eastAsia="宋体" w:cs="Times New Roman"/>
      <w:sz w:val="24"/>
      <w:lang w:val="en-US" w:eastAsia="zh-CN" w:bidi="ar-SA"/>
    </w:rPr>
  </w:style>
  <w:style w:type="paragraph" w:customStyle="1" w:styleId="32">
    <w:name w:val="p15"/>
    <w:qFormat/>
    <w:uiPriority w:val="0"/>
    <w:pPr>
      <w:jc w:val="both"/>
    </w:pPr>
    <w:rPr>
      <w:rFonts w:ascii="Times New Roman" w:hAnsi="Times New Roman" w:eastAsia="宋体" w:cs="Times New Roman"/>
      <w:sz w:val="21"/>
      <w:szCs w:val="21"/>
      <w:lang w:val="en-US" w:eastAsia="zh-CN" w:bidi="ar-SA"/>
    </w:rPr>
  </w:style>
  <w:style w:type="paragraph" w:customStyle="1" w:styleId="33">
    <w:name w:val="正文缩进1"/>
    <w:next w:val="11"/>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character" w:customStyle="1" w:styleId="35">
    <w:name w:val="bookmark-item uuid-1596015939851 code-00003 addword single-line-text-input-box-cls"/>
    <w:qFormat/>
    <w:uiPriority w:val="0"/>
    <w:rPr>
      <w:rFonts w:ascii="Times New Roman" w:hAnsi="Times New Roman" w:eastAsia="宋体" w:cs="Times New Roman"/>
    </w:rPr>
  </w:style>
  <w:style w:type="character" w:customStyle="1" w:styleId="36">
    <w:name w:val="bookmark-item uuid-1595940673658 code-am01400034 addword numeric-input-box-cls"/>
    <w:qFormat/>
    <w:uiPriority w:val="0"/>
    <w:rPr>
      <w:rFonts w:ascii="Times New Roman" w:hAnsi="Times New Roman" w:eastAsia="宋体" w:cs="Times New Roman"/>
    </w:rPr>
  </w:style>
  <w:style w:type="character" w:customStyle="1" w:styleId="37">
    <w:name w:val="bookmark-item uuid-1587980024345 code-23003 addword date-selection-cls"/>
    <w:qFormat/>
    <w:uiPriority w:val="0"/>
    <w:rPr>
      <w:rFonts w:ascii="Times New Roman" w:hAnsi="Times New Roman" w:eastAsia="宋体" w:cs="Times New Roman"/>
    </w:rPr>
  </w:style>
  <w:style w:type="character" w:customStyle="1" w:styleId="38">
    <w:name w:val="bookmark-item uuid-1588129524349 code-23004 addword date-selection-cls readonly"/>
    <w:qFormat/>
    <w:uiPriority w:val="0"/>
    <w:rPr>
      <w:rFonts w:ascii="Times New Roman" w:hAnsi="Times New Roman" w:eastAsia="宋体" w:cs="Times New Roman"/>
    </w:rPr>
  </w:style>
  <w:style w:type="character" w:customStyle="1" w:styleId="39">
    <w:name w:val="bookmark-item uuid-1594624027756 code-23005 addword morning-time-section-selection-cls"/>
    <w:qFormat/>
    <w:uiPriority w:val="0"/>
    <w:rPr>
      <w:rFonts w:ascii="Times New Roman" w:hAnsi="Times New Roman" w:eastAsia="宋体" w:cs="Times New Roman"/>
    </w:rPr>
  </w:style>
  <w:style w:type="character" w:customStyle="1" w:styleId="40">
    <w:name w:val="bookmark-item uuid-1594624265677 code-23006 addword afternoon-time-section-selection-cls"/>
    <w:qFormat/>
    <w:uiPriority w:val="0"/>
    <w:rPr>
      <w:rFonts w:ascii="Times New Roman" w:hAnsi="Times New Roman" w:eastAsia="宋体" w:cs="Times New Roman"/>
    </w:rPr>
  </w:style>
  <w:style w:type="character" w:customStyle="1" w:styleId="41">
    <w:name w:val="bookmark-item uuid-1588129635457 code-23007 addword single-line-text-input-box-cls readonly"/>
    <w:qFormat/>
    <w:uiPriority w:val="0"/>
    <w:rPr>
      <w:rFonts w:ascii="Times New Roman" w:hAnsi="Times New Roman" w:eastAsia="宋体" w:cs="Times New Roman"/>
    </w:rPr>
  </w:style>
  <w:style w:type="character" w:customStyle="1" w:styleId="42">
    <w:name w:val="bookmark-item uuid-1595940713919 code-am01400046 editdisable single-line-text-input-box-cls readonly"/>
    <w:qFormat/>
    <w:uiPriority w:val="0"/>
    <w:rPr>
      <w:rFonts w:ascii="Times New Roman" w:hAnsi="Times New Roman" w:eastAsia="宋体" w:cs="Times New Roman"/>
    </w:rPr>
  </w:style>
  <w:style w:type="character" w:customStyle="1" w:styleId="43">
    <w:name w:val="bookmark-item uuid-1595940727161 code-23008 addword numeric-input-box-cls"/>
    <w:qFormat/>
    <w:uiPriority w:val="0"/>
    <w:rPr>
      <w:rFonts w:ascii="Times New Roman" w:hAnsi="Times New Roman" w:eastAsia="宋体" w:cs="Times New Roman"/>
    </w:rPr>
  </w:style>
  <w:style w:type="character" w:customStyle="1" w:styleId="44">
    <w:name w:val="bookmark-item uuid-1595940760210 code-23011 addword date-time-selection-cls"/>
    <w:qFormat/>
    <w:uiPriority w:val="0"/>
    <w:rPr>
      <w:rFonts w:ascii="Times New Roman" w:hAnsi="Times New Roman" w:eastAsia="宋体" w:cs="Times New Roman"/>
    </w:rPr>
  </w:style>
  <w:style w:type="character" w:customStyle="1" w:styleId="45">
    <w:name w:val="bookmark-item uuid-1594624424199 code-23012 addword single-line-text-input-box-cls readonly"/>
    <w:qFormat/>
    <w:uiPriority w:val="0"/>
    <w:rPr>
      <w:rFonts w:ascii="Times New Roman" w:hAnsi="Times New Roman" w:eastAsia="宋体" w:cs="Times New Roman"/>
    </w:rPr>
  </w:style>
  <w:style w:type="character" w:customStyle="1" w:styleId="46">
    <w:name w:val="bookmark-item uuid-1588129973591 code-23015 addword single-line-text-input-box-cls readonly"/>
    <w:qFormat/>
    <w:uiPriority w:val="0"/>
    <w:rPr>
      <w:rFonts w:ascii="Times New Roman" w:hAnsi="Times New Roman" w:eastAsia="宋体" w:cs="Times New Roman"/>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Table Text"/>
    <w:basedOn w:val="1"/>
    <w:semiHidden/>
    <w:qFormat/>
    <w:uiPriority w:val="0"/>
    <w:rPr>
      <w:rFonts w:eastAsia="Times New Roman"/>
      <w:sz w:val="18"/>
      <w:szCs w:val="18"/>
      <w:lang w:eastAsia="en-US"/>
    </w:rPr>
  </w:style>
  <w:style w:type="character" w:customStyle="1" w:styleId="49">
    <w:name w:val="批注文字 字符"/>
    <w:basedOn w:val="22"/>
    <w:link w:val="8"/>
    <w:qFormat/>
    <w:uiPriority w:val="99"/>
    <w:rPr>
      <w:rFonts w:ascii="Times New Roman" w:hAnsi="Times New Roman" w:eastAsia="宋体" w:cs="Times New Roman"/>
      <w:szCs w:val="24"/>
    </w:rPr>
  </w:style>
  <w:style w:type="character" w:customStyle="1" w:styleId="50">
    <w:name w:val="批注主题 字符"/>
    <w:basedOn w:val="49"/>
    <w:link w:val="19"/>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9020</Words>
  <Characters>10846</Characters>
  <Lines>553</Lines>
  <Paragraphs>155</Paragraphs>
  <TotalTime>127</TotalTime>
  <ScaleCrop>false</ScaleCrop>
  <LinksUpToDate>false</LinksUpToDate>
  <CharactersWithSpaces>11131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2024-12-05T08:55:00Z</dcterms:created>
  <dc:creator>0221</dc:creator>
  <cp:lastModifiedBy>0221</cp:lastModifiedBy>
  <dcterms:modified xsi:type="dcterms:W3CDTF">2026-06-05T04:58:56Z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D3234B71E2814F38A1D18E376CFA2C39_13</vt:lpwstr>
  </property>
  <property fmtid="{D5CDD505-2E9C-101B-9397-08002B2CF9AE}" pid="4" name="KSOTemplateDocerSaveRecord">
    <vt:lpwstr>eyJoZGlkIjoiMGY1OGRkMmU1MWMwNDM4MDdiMzk1ZjcxZGViMTk4NGYiLCJ1c2VySWQiOiIyNDI3NzE1OTIifQ==</vt:lpwstr>
  </property>
</Properties>
</file>