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82B8D">
      <w:pPr>
        <w:spacing w:line="720" w:lineRule="exact"/>
        <w:jc w:val="distribute"/>
        <w:rPr>
          <w:rFonts w:hint="eastAsia" w:ascii="楷体" w:hAnsi="楷体" w:eastAsia="楷体" w:cs="楷体"/>
          <w:b/>
          <w:bCs/>
          <w:color w:val="auto"/>
          <w:spacing w:val="80"/>
          <w:sz w:val="52"/>
          <w:szCs w:val="52"/>
          <w:highlight w:val="none"/>
          <w:lang w:eastAsia="zh-CN"/>
        </w:rPr>
      </w:pPr>
    </w:p>
    <w:p w14:paraId="02B5D98B">
      <w:pPr>
        <w:widowControl/>
        <w:kinsoku w:val="0"/>
        <w:autoSpaceDE w:val="0"/>
        <w:autoSpaceDN w:val="0"/>
        <w:adjustRightInd w:val="0"/>
        <w:snapToGrid w:val="0"/>
        <w:spacing w:line="242" w:lineRule="auto"/>
        <w:ind w:firstLine="542" w:firstLineChars="100"/>
        <w:jc w:val="left"/>
        <w:textAlignment w:val="baseline"/>
        <w:rPr>
          <w:rFonts w:hint="eastAsia" w:ascii="宋体" w:hAnsi="宋体" w:eastAsia="宋体" w:cs="宋体"/>
          <w:b/>
          <w:bCs/>
          <w:snapToGrid w:val="0"/>
          <w:color w:val="000000"/>
          <w:spacing w:val="10"/>
          <w:kern w:val="0"/>
          <w:sz w:val="52"/>
          <w:szCs w:val="52"/>
          <w:lang w:val="en-US" w:eastAsia="zh-CN"/>
        </w:rPr>
      </w:pPr>
      <w:r>
        <w:rPr>
          <w:rFonts w:hint="eastAsia" w:ascii="宋体" w:hAnsi="宋体" w:eastAsia="宋体" w:cs="宋体"/>
          <w:b/>
          <w:bCs/>
          <w:snapToGrid w:val="0"/>
          <w:color w:val="000000"/>
          <w:spacing w:val="10"/>
          <w:kern w:val="0"/>
          <w:sz w:val="52"/>
          <w:szCs w:val="52"/>
          <w:lang w:val="en-US" w:eastAsia="zh-CN"/>
        </w:rPr>
        <w:t>华春建设工程项目管理有限责任公司</w:t>
      </w:r>
    </w:p>
    <w:p w14:paraId="2715EB20">
      <w:pPr>
        <w:pStyle w:val="14"/>
        <w:jc w:val="center"/>
        <w:rPr>
          <w:rFonts w:hint="eastAsia" w:ascii="楷体" w:hAnsi="楷体" w:eastAsia="楷体" w:cs="楷体"/>
          <w:b/>
          <w:bCs/>
          <w:color w:val="auto"/>
          <w:spacing w:val="80"/>
          <w:sz w:val="72"/>
          <w:highlight w:val="none"/>
        </w:rPr>
      </w:pPr>
    </w:p>
    <w:p w14:paraId="64778230">
      <w:pPr>
        <w:pStyle w:val="14"/>
        <w:jc w:val="center"/>
        <w:rPr>
          <w:rFonts w:hint="eastAsia" w:ascii="楷体" w:hAnsi="楷体" w:eastAsia="楷体" w:cs="楷体"/>
          <w:b/>
          <w:bCs/>
          <w:color w:val="auto"/>
          <w:sz w:val="72"/>
          <w:highlight w:val="none"/>
        </w:rPr>
      </w:pPr>
    </w:p>
    <w:p w14:paraId="5F701526">
      <w:pPr>
        <w:pStyle w:val="14"/>
        <w:jc w:val="center"/>
        <w:rPr>
          <w:rFonts w:hint="eastAsia" w:ascii="楷体" w:hAnsi="楷体" w:eastAsia="楷体" w:cs="楷体"/>
          <w:color w:val="auto"/>
          <w:highlight w:val="none"/>
        </w:rPr>
      </w:pPr>
    </w:p>
    <w:p w14:paraId="6A726FED">
      <w:pPr>
        <w:spacing w:line="1400" w:lineRule="exact"/>
        <w:jc w:val="center"/>
        <w:rPr>
          <w:rFonts w:hint="eastAsia" w:ascii="楷体" w:hAnsi="楷体" w:eastAsia="楷体" w:cs="楷体"/>
          <w:b/>
          <w:color w:val="auto"/>
          <w:spacing w:val="60"/>
          <w:sz w:val="84"/>
          <w:szCs w:val="84"/>
          <w:highlight w:val="none"/>
        </w:rPr>
      </w:pPr>
      <w:r>
        <w:rPr>
          <w:rFonts w:hint="eastAsia" w:ascii="楷体" w:hAnsi="楷体" w:eastAsia="楷体" w:cs="楷体"/>
          <w:b/>
          <w:color w:val="auto"/>
          <w:spacing w:val="60"/>
          <w:sz w:val="84"/>
          <w:szCs w:val="84"/>
          <w:highlight w:val="none"/>
        </w:rPr>
        <w:t>竞争性磋商文件</w:t>
      </w:r>
    </w:p>
    <w:p w14:paraId="6A9EDC79">
      <w:pPr>
        <w:pStyle w:val="14"/>
        <w:rPr>
          <w:rFonts w:hint="eastAsia" w:ascii="宋体" w:hAnsi="宋体" w:eastAsia="宋体" w:cs="宋体"/>
          <w:color w:val="auto"/>
          <w:highlight w:val="none"/>
        </w:rPr>
      </w:pPr>
    </w:p>
    <w:p w14:paraId="454C4A2C">
      <w:pPr>
        <w:pStyle w:val="14"/>
        <w:ind w:firstLine="3885" w:firstLineChars="1850"/>
        <w:rPr>
          <w:rFonts w:hint="eastAsia" w:ascii="宋体" w:hAnsi="宋体" w:eastAsia="宋体" w:cs="宋体"/>
          <w:color w:val="auto"/>
          <w:highlight w:val="none"/>
        </w:rPr>
      </w:pPr>
    </w:p>
    <w:p w14:paraId="6A77DA29">
      <w:pPr>
        <w:pStyle w:val="14"/>
        <w:rPr>
          <w:rFonts w:hint="eastAsia" w:ascii="宋体" w:hAnsi="宋体" w:eastAsia="宋体" w:cs="宋体"/>
          <w:color w:val="auto"/>
          <w:highlight w:val="none"/>
        </w:rPr>
      </w:pPr>
    </w:p>
    <w:p w14:paraId="0B490412">
      <w:pPr>
        <w:pStyle w:val="14"/>
        <w:rPr>
          <w:rFonts w:hint="eastAsia" w:ascii="宋体" w:hAnsi="宋体" w:eastAsia="宋体" w:cs="宋体"/>
          <w:color w:val="auto"/>
          <w:highlight w:val="none"/>
        </w:rPr>
      </w:pPr>
    </w:p>
    <w:p w14:paraId="3DA32484">
      <w:pPr>
        <w:pStyle w:val="14"/>
        <w:rPr>
          <w:rFonts w:hint="eastAsia" w:ascii="宋体" w:hAnsi="宋体" w:eastAsia="宋体" w:cs="宋体"/>
          <w:color w:val="auto"/>
          <w:sz w:val="30"/>
          <w:szCs w:val="30"/>
          <w:highlight w:val="none"/>
        </w:rPr>
      </w:pPr>
    </w:p>
    <w:p w14:paraId="4DE2582E">
      <w:pPr>
        <w:keepNext w:val="0"/>
        <w:keepLines w:val="0"/>
        <w:pageBreakBefore w:val="0"/>
        <w:widowControl w:val="0"/>
        <w:tabs>
          <w:tab w:val="left" w:pos="8400"/>
          <w:tab w:val="left" w:pos="9240"/>
        </w:tabs>
        <w:kinsoku/>
        <w:wordWrap/>
        <w:overflowPunct/>
        <w:topLinePunct w:val="0"/>
        <w:autoSpaceDE/>
        <w:autoSpaceDN/>
        <w:bidi w:val="0"/>
        <w:adjustRightInd/>
        <w:snapToGrid/>
        <w:ind w:right="0" w:rightChars="0" w:firstLine="762" w:firstLineChars="200"/>
        <w:jc w:val="both"/>
        <w:textAlignment w:val="auto"/>
        <w:rPr>
          <w:rFonts w:hint="default" w:ascii="宋体" w:hAnsi="宋体" w:eastAsia="宋体" w:cs="宋体"/>
          <w:b/>
          <w:bCs/>
          <w:color w:val="auto"/>
          <w:spacing w:val="40"/>
          <w:sz w:val="30"/>
          <w:szCs w:val="30"/>
          <w:highlight w:val="none"/>
          <w:lang w:val="en-US" w:eastAsia="zh-CN"/>
        </w:rPr>
      </w:pPr>
      <w:r>
        <w:rPr>
          <w:rFonts w:hint="eastAsia" w:ascii="宋体" w:hAnsi="宋体" w:eastAsia="宋体" w:cs="宋体"/>
          <w:b/>
          <w:bCs/>
          <w:color w:val="auto"/>
          <w:spacing w:val="40"/>
          <w:sz w:val="30"/>
          <w:szCs w:val="30"/>
          <w:highlight w:val="none"/>
        </w:rPr>
        <w:t>项目名称：</w:t>
      </w:r>
      <w:r>
        <w:rPr>
          <w:rFonts w:hint="eastAsia" w:ascii="宋体" w:hAnsi="宋体" w:cs="宋体"/>
          <w:b/>
          <w:bCs/>
          <w:color w:val="auto"/>
          <w:spacing w:val="40"/>
          <w:sz w:val="30"/>
          <w:szCs w:val="30"/>
          <w:highlight w:val="none"/>
          <w:lang w:val="en-US" w:eastAsia="zh-CN"/>
        </w:rPr>
        <w:t>乡村工匠产业园污水管网改造提升项目</w:t>
      </w:r>
    </w:p>
    <w:p w14:paraId="68AE135C">
      <w:pPr>
        <w:ind w:right="-21" w:rightChars="-10" w:firstLine="762" w:firstLineChars="200"/>
        <w:jc w:val="both"/>
        <w:rPr>
          <w:rFonts w:hint="eastAsia" w:ascii="宋体" w:hAnsi="宋体" w:eastAsia="宋体" w:cs="宋体"/>
          <w:b/>
          <w:bCs/>
          <w:color w:val="auto"/>
          <w:sz w:val="32"/>
          <w:highlight w:val="none"/>
          <w:lang w:eastAsia="zh-CN"/>
        </w:rPr>
      </w:pPr>
      <w:r>
        <w:rPr>
          <w:rFonts w:hint="eastAsia" w:ascii="宋体" w:hAnsi="宋体" w:eastAsia="宋体" w:cs="宋体"/>
          <w:b/>
          <w:bCs/>
          <w:color w:val="auto"/>
          <w:spacing w:val="40"/>
          <w:sz w:val="30"/>
          <w:szCs w:val="30"/>
          <w:highlight w:val="none"/>
        </w:rPr>
        <w:t>项目编号：</w:t>
      </w:r>
      <w:r>
        <w:rPr>
          <w:rFonts w:hint="eastAsia" w:ascii="宋体" w:hAnsi="宋体" w:cs="宋体"/>
          <w:b/>
          <w:bCs/>
          <w:color w:val="auto"/>
          <w:spacing w:val="40"/>
          <w:sz w:val="30"/>
          <w:szCs w:val="30"/>
          <w:highlight w:val="none"/>
          <w:lang w:val="en-US" w:eastAsia="zh-CN"/>
        </w:rPr>
        <w:t>GLZC2026-C2-990312-HCJS</w:t>
      </w:r>
    </w:p>
    <w:p w14:paraId="46C48D17">
      <w:pPr>
        <w:ind w:left="-2" w:leftChars="-1" w:firstLine="1446" w:firstLineChars="400"/>
        <w:rPr>
          <w:rFonts w:hint="eastAsia" w:ascii="宋体" w:hAnsi="宋体" w:eastAsia="宋体" w:cs="宋体"/>
          <w:color w:val="auto"/>
          <w:highlight w:val="none"/>
        </w:rPr>
      </w:pPr>
      <w:r>
        <w:rPr>
          <w:rFonts w:hint="eastAsia" w:ascii="宋体" w:hAnsi="宋体" w:eastAsia="宋体" w:cs="宋体"/>
          <w:b/>
          <w:bCs/>
          <w:color w:val="auto"/>
          <w:sz w:val="36"/>
          <w:highlight w:val="none"/>
        </w:rPr>
        <w:t xml:space="preserve">        </w:t>
      </w:r>
      <w:r>
        <w:rPr>
          <w:rFonts w:hint="eastAsia" w:ascii="宋体" w:hAnsi="宋体" w:eastAsia="宋体" w:cs="宋体"/>
          <w:color w:val="auto"/>
          <w:highlight w:val="none"/>
        </w:rPr>
        <w:cr/>
      </w:r>
    </w:p>
    <w:p w14:paraId="10D72309">
      <w:pPr>
        <w:ind w:left="-2" w:leftChars="-1" w:firstLine="840" w:firstLineChars="400"/>
        <w:rPr>
          <w:rFonts w:hint="eastAsia" w:ascii="宋体" w:hAnsi="宋体" w:eastAsia="宋体" w:cs="宋体"/>
          <w:color w:val="auto"/>
          <w:highlight w:val="none"/>
        </w:rPr>
      </w:pPr>
    </w:p>
    <w:p w14:paraId="75447DC1">
      <w:pPr>
        <w:ind w:left="-2" w:leftChars="-1"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　</w:t>
      </w:r>
      <w:r>
        <w:rPr>
          <w:rFonts w:hint="eastAsia" w:ascii="宋体" w:hAnsi="宋体" w:eastAsia="宋体" w:cs="宋体"/>
          <w:color w:val="auto"/>
          <w:highlight w:val="none"/>
        </w:rPr>
        <w:tab/>
      </w:r>
    </w:p>
    <w:p w14:paraId="1D750F4C">
      <w:pPr>
        <w:ind w:left="-2" w:leftChars="-1" w:firstLine="630" w:firstLineChars="300"/>
        <w:rPr>
          <w:rFonts w:hint="eastAsia" w:ascii="宋体" w:hAnsi="宋体" w:eastAsia="宋体" w:cs="宋体"/>
          <w:color w:val="auto"/>
          <w:highlight w:val="none"/>
        </w:rPr>
      </w:pPr>
    </w:p>
    <w:p w14:paraId="10463C5F">
      <w:pPr>
        <w:ind w:left="-2" w:leftChars="-1" w:firstLine="630" w:firstLineChars="300"/>
        <w:rPr>
          <w:rFonts w:hint="eastAsia" w:ascii="宋体" w:hAnsi="宋体" w:eastAsia="宋体" w:cs="宋体"/>
          <w:color w:val="auto"/>
          <w:highlight w:val="none"/>
        </w:rPr>
      </w:pPr>
    </w:p>
    <w:p w14:paraId="125698C2">
      <w:pPr>
        <w:ind w:left="-2" w:leftChars="-1" w:firstLine="630" w:firstLineChars="300"/>
        <w:rPr>
          <w:rFonts w:hint="eastAsia" w:ascii="宋体" w:hAnsi="宋体" w:eastAsia="宋体" w:cs="宋体"/>
          <w:color w:val="auto"/>
          <w:highlight w:val="none"/>
        </w:rPr>
      </w:pPr>
    </w:p>
    <w:p w14:paraId="15BA24B1">
      <w:pPr>
        <w:jc w:val="center"/>
        <w:rPr>
          <w:rFonts w:hint="eastAsia" w:ascii="宋体" w:hAnsi="宋体" w:eastAsia="宋体" w:cs="宋体"/>
          <w:b/>
          <w:bCs/>
          <w:color w:val="auto"/>
          <w:spacing w:val="4"/>
          <w:kern w:val="0"/>
          <w:sz w:val="30"/>
          <w:szCs w:val="30"/>
          <w:highlight w:val="none"/>
          <w:fitText w:val="2520" w:id="0"/>
          <w:lang w:val="en-US" w:eastAsia="zh-CN"/>
        </w:rPr>
      </w:pPr>
      <w:r>
        <w:rPr>
          <w:rFonts w:hint="eastAsia" w:ascii="宋体" w:hAnsi="宋体" w:eastAsia="宋体" w:cs="宋体"/>
          <w:b/>
          <w:bCs/>
          <w:color w:val="auto"/>
          <w:spacing w:val="35"/>
          <w:w w:val="100"/>
          <w:kern w:val="0"/>
          <w:sz w:val="30"/>
          <w:szCs w:val="30"/>
          <w:highlight w:val="none"/>
          <w:fitText w:val="2520" w:id="142946308"/>
          <w:lang w:eastAsia="zh-CN"/>
        </w:rPr>
        <w:t>采购</w:t>
      </w:r>
      <w:r>
        <w:rPr>
          <w:rFonts w:hint="eastAsia" w:ascii="宋体" w:hAnsi="宋体" w:eastAsia="宋体" w:cs="宋体"/>
          <w:b/>
          <w:bCs/>
          <w:color w:val="auto"/>
          <w:spacing w:val="35"/>
          <w:w w:val="100"/>
          <w:kern w:val="0"/>
          <w:sz w:val="30"/>
          <w:szCs w:val="30"/>
          <w:highlight w:val="none"/>
          <w:fitText w:val="2520" w:id="142946308"/>
        </w:rPr>
        <w:t>代理机构</w:t>
      </w:r>
      <w:r>
        <w:rPr>
          <w:rFonts w:hint="eastAsia" w:ascii="宋体" w:hAnsi="宋体" w:eastAsia="宋体" w:cs="宋体"/>
          <w:b/>
          <w:bCs/>
          <w:color w:val="auto"/>
          <w:spacing w:val="0"/>
          <w:w w:val="100"/>
          <w:kern w:val="0"/>
          <w:sz w:val="30"/>
          <w:szCs w:val="30"/>
          <w:highlight w:val="none"/>
          <w:fitText w:val="2520" w:id="142946308"/>
        </w:rPr>
        <w:t>：</w:t>
      </w:r>
      <w:r>
        <w:rPr>
          <w:rFonts w:hint="eastAsia" w:ascii="宋体" w:hAnsi="宋体" w:eastAsia="宋体" w:cs="宋体"/>
          <w:b/>
          <w:bCs/>
          <w:spacing w:val="-7"/>
          <w:sz w:val="32"/>
          <w:szCs w:val="32"/>
          <w:lang w:val="en-US" w:eastAsia="zh-CN"/>
        </w:rPr>
        <w:t>华春建设工程项目管理有限责任公司</w:t>
      </w:r>
    </w:p>
    <w:p w14:paraId="427188CB">
      <w:pPr>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pacing w:val="-8"/>
          <w:sz w:val="30"/>
          <w:szCs w:val="30"/>
          <w:highlight w:val="none"/>
        </w:rPr>
        <w:t xml:space="preserve"> </w:t>
      </w:r>
      <w:r>
        <w:rPr>
          <w:rFonts w:hint="eastAsia" w:ascii="宋体" w:hAnsi="宋体" w:eastAsia="宋体" w:cs="宋体"/>
          <w:b/>
          <w:bCs/>
          <w:color w:val="auto"/>
          <w:sz w:val="30"/>
          <w:szCs w:val="30"/>
          <w:highlight w:val="none"/>
        </w:rPr>
        <w:t>20</w:t>
      </w:r>
      <w:r>
        <w:rPr>
          <w:rFonts w:hint="eastAsia" w:ascii="宋体" w:hAnsi="宋体" w:eastAsia="宋体" w:cs="宋体"/>
          <w:b/>
          <w:bCs/>
          <w:color w:val="auto"/>
          <w:sz w:val="30"/>
          <w:szCs w:val="30"/>
          <w:highlight w:val="none"/>
          <w:lang w:val="en-US" w:eastAsia="zh-CN"/>
        </w:rPr>
        <w:t>2</w:t>
      </w:r>
      <w:r>
        <w:rPr>
          <w:rFonts w:hint="eastAsia" w:ascii="宋体" w:hAnsi="宋体" w:cs="宋体"/>
          <w:b/>
          <w:bCs/>
          <w:color w:val="auto"/>
          <w:sz w:val="30"/>
          <w:szCs w:val="30"/>
          <w:highlight w:val="none"/>
          <w:lang w:val="en-US" w:eastAsia="zh-CN"/>
        </w:rPr>
        <w:t>6</w:t>
      </w:r>
      <w:r>
        <w:rPr>
          <w:rFonts w:hint="eastAsia" w:ascii="宋体" w:hAnsi="宋体" w:eastAsia="宋体" w:cs="宋体"/>
          <w:b/>
          <w:bCs/>
          <w:color w:val="auto"/>
          <w:sz w:val="30"/>
          <w:szCs w:val="30"/>
          <w:highlight w:val="none"/>
        </w:rPr>
        <w:t>年</w:t>
      </w:r>
      <w:r>
        <w:rPr>
          <w:rFonts w:hint="eastAsia" w:ascii="宋体" w:hAnsi="宋体" w:cs="宋体"/>
          <w:b/>
          <w:bCs/>
          <w:color w:val="auto"/>
          <w:sz w:val="30"/>
          <w:szCs w:val="30"/>
          <w:highlight w:val="none"/>
          <w:lang w:val="en-US" w:eastAsia="zh-CN"/>
        </w:rPr>
        <w:t>7</w:t>
      </w:r>
      <w:r>
        <w:rPr>
          <w:rFonts w:hint="eastAsia" w:ascii="宋体" w:hAnsi="宋体" w:eastAsia="宋体" w:cs="宋体"/>
          <w:b/>
          <w:bCs/>
          <w:color w:val="auto"/>
          <w:sz w:val="30"/>
          <w:szCs w:val="30"/>
          <w:highlight w:val="none"/>
        </w:rPr>
        <w:t>月</w:t>
      </w:r>
      <w:r>
        <w:rPr>
          <w:rFonts w:hint="eastAsia" w:ascii="宋体" w:hAnsi="宋体" w:cs="宋体"/>
          <w:b/>
          <w:bCs/>
          <w:color w:val="auto"/>
          <w:sz w:val="30"/>
          <w:szCs w:val="30"/>
          <w:highlight w:val="none"/>
          <w:lang w:val="en-US" w:eastAsia="zh-CN"/>
        </w:rPr>
        <w:t>16</w:t>
      </w:r>
      <w:r>
        <w:rPr>
          <w:rFonts w:hint="eastAsia" w:ascii="宋体" w:hAnsi="宋体" w:eastAsia="宋体" w:cs="宋体"/>
          <w:b/>
          <w:bCs/>
          <w:color w:val="auto"/>
          <w:sz w:val="30"/>
          <w:szCs w:val="30"/>
          <w:highlight w:val="none"/>
          <w:lang w:val="en-US" w:eastAsia="zh-CN"/>
        </w:rPr>
        <w:t>日</w:t>
      </w:r>
    </w:p>
    <w:p w14:paraId="4C5B8E63">
      <w:pPr>
        <w:autoSpaceDE w:val="0"/>
        <w:autoSpaceDN w:val="0"/>
        <w:spacing w:line="545" w:lineRule="exact"/>
        <w:outlineLvl w:val="2"/>
        <w:rPr>
          <w:rFonts w:hint="eastAsia" w:ascii="宋体" w:hAnsi="宋体" w:cs="宋体"/>
          <w:b/>
          <w:bCs/>
          <w:color w:val="auto"/>
          <w:kern w:val="0"/>
          <w:sz w:val="44"/>
          <w:szCs w:val="44"/>
          <w:highlight w:val="none"/>
          <w:lang w:val="zh-CN" w:bidi="zh-CN"/>
        </w:rPr>
        <w:sectPr>
          <w:headerReference r:id="rId3" w:type="default"/>
          <w:footerReference r:id="rId4" w:type="even"/>
          <w:pgSz w:w="11906" w:h="16838"/>
          <w:pgMar w:top="850" w:right="972" w:bottom="850" w:left="854" w:header="851" w:footer="992" w:gutter="0"/>
          <w:cols w:space="720" w:num="1"/>
          <w:titlePg/>
          <w:docGrid w:type="lines" w:linePitch="388" w:charSpace="0"/>
        </w:sectPr>
      </w:pPr>
    </w:p>
    <w:p w14:paraId="22035993">
      <w:pPr>
        <w:pStyle w:val="17"/>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color w:val="auto"/>
          <w:spacing w:val="-6"/>
          <w:kern w:val="0"/>
          <w:sz w:val="21"/>
          <w:szCs w:val="21"/>
          <w:highlight w:val="none"/>
          <w:lang w:eastAsia="zh-CN"/>
        </w:rPr>
      </w:pPr>
    </w:p>
    <w:p w14:paraId="02FDAA43">
      <w:pPr>
        <w:pStyle w:val="17"/>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pacing w:val="-6"/>
          <w:kern w:val="0"/>
          <w:sz w:val="28"/>
          <w:szCs w:val="28"/>
          <w:highlight w:val="none"/>
          <w:lang w:eastAsia="zh-CN"/>
        </w:rPr>
      </w:pPr>
      <w:r>
        <w:rPr>
          <w:rFonts w:hint="eastAsia" w:ascii="宋体" w:hAnsi="宋体" w:eastAsia="宋体" w:cs="宋体"/>
          <w:b/>
          <w:color w:val="auto"/>
          <w:spacing w:val="-6"/>
          <w:kern w:val="0"/>
          <w:sz w:val="28"/>
          <w:szCs w:val="28"/>
          <w:highlight w:val="none"/>
          <w:lang w:eastAsia="zh-CN"/>
        </w:rPr>
        <w:t>目</w:t>
      </w:r>
      <w:r>
        <w:rPr>
          <w:rFonts w:hint="eastAsia" w:ascii="宋体" w:hAnsi="宋体" w:eastAsia="宋体" w:cs="宋体"/>
          <w:b/>
          <w:color w:val="auto"/>
          <w:spacing w:val="-6"/>
          <w:kern w:val="0"/>
          <w:sz w:val="28"/>
          <w:szCs w:val="28"/>
          <w:highlight w:val="none"/>
          <w:lang w:val="en-US" w:eastAsia="zh-CN"/>
        </w:rPr>
        <w:t xml:space="preserve">  </w:t>
      </w:r>
      <w:r>
        <w:rPr>
          <w:rFonts w:hint="eastAsia" w:ascii="宋体" w:hAnsi="宋体" w:eastAsia="宋体" w:cs="宋体"/>
          <w:b/>
          <w:color w:val="auto"/>
          <w:spacing w:val="-6"/>
          <w:kern w:val="0"/>
          <w:sz w:val="28"/>
          <w:szCs w:val="28"/>
          <w:highlight w:val="none"/>
          <w:lang w:eastAsia="zh-CN"/>
        </w:rPr>
        <w:t>录</w:t>
      </w:r>
    </w:p>
    <w:p w14:paraId="3A12BF05">
      <w:pPr>
        <w:rPr>
          <w:rFonts w:hint="eastAsia" w:ascii="宋体" w:hAnsi="宋体" w:eastAsia="宋体" w:cs="宋体"/>
          <w:color w:val="auto"/>
          <w:sz w:val="24"/>
          <w:szCs w:val="24"/>
          <w:highlight w:val="none"/>
          <w:lang w:eastAsia="zh-CN"/>
        </w:rPr>
      </w:pPr>
    </w:p>
    <w:p w14:paraId="4FF9F486">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pacing w:val="-6"/>
          <w:kern w:val="0"/>
          <w:sz w:val="24"/>
          <w:szCs w:val="24"/>
          <w:highlight w:val="none"/>
        </w:rPr>
        <w:fldChar w:fldCharType="begin"/>
      </w:r>
      <w:r>
        <w:rPr>
          <w:rFonts w:hint="eastAsia" w:ascii="宋体" w:hAnsi="宋体" w:eastAsia="宋体" w:cs="宋体"/>
          <w:b/>
          <w:color w:val="auto"/>
          <w:spacing w:val="-6"/>
          <w:kern w:val="0"/>
          <w:sz w:val="24"/>
          <w:szCs w:val="24"/>
          <w:highlight w:val="none"/>
        </w:rPr>
        <w:instrText xml:space="preserve">TOC \o "1-2" \h \u </w:instrText>
      </w:r>
      <w:r>
        <w:rPr>
          <w:rFonts w:hint="eastAsia" w:ascii="宋体" w:hAnsi="宋体" w:eastAsia="宋体" w:cs="宋体"/>
          <w:b/>
          <w:color w:val="auto"/>
          <w:spacing w:val="-6"/>
          <w:kern w:val="0"/>
          <w:sz w:val="24"/>
          <w:szCs w:val="24"/>
          <w:highlight w:val="none"/>
        </w:rPr>
        <w:fldChar w:fldCharType="separate"/>
      </w: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_Toc15867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lang w:eastAsia="zh-CN"/>
        </w:rPr>
        <w:t>第一章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_Toc15867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7A75F4C7">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_Toc16146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lang w:eastAsia="zh-CN"/>
        </w:rPr>
        <w:t>第二章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_Toc16146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7B6F8736">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_Toc19520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一、总则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_Toc19520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21EA95F2">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_Toc5168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二、磋商文件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_Toc5168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3ED697F0">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_Toc26857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三、竞争性磋商响应文件的编制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_Toc26857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05D2AC22">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_Toc2647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四、竞争性磋商（简称磋商）与评审</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3B64ED51">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_Toc6064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五、签订合同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_Toc6064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5777216A">
      <w:pPr>
        <w:pStyle w:val="18"/>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_Toc26986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val="0"/>
          <w:color w:val="auto"/>
          <w:sz w:val="24"/>
          <w:szCs w:val="24"/>
          <w:highlight w:val="none"/>
        </w:rPr>
        <w:t>六、其他事项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_Toc26986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49DEE144">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_Toc23263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rPr>
        <w:t xml:space="preserve">第三章 </w:t>
      </w:r>
      <w:r>
        <w:rPr>
          <w:rFonts w:hint="eastAsia" w:ascii="宋体" w:hAnsi="宋体" w:eastAsia="宋体" w:cs="宋体"/>
          <w:color w:val="auto"/>
          <w:sz w:val="24"/>
          <w:szCs w:val="24"/>
          <w:highlight w:val="none"/>
          <w:lang w:eastAsia="zh-CN"/>
        </w:rPr>
        <w:t>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_Toc23263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7E9DC8CF">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_Toc5828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lang w:eastAsia="zh-CN"/>
        </w:rPr>
        <w:t>第四章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_Toc5828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7047E311">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_Toc5821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lang w:eastAsia="zh-CN"/>
        </w:rPr>
        <w:t>第五章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采购合同（合同主要条款及格式）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_Toc5821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77358311">
      <w:pPr>
        <w:pStyle w:val="18"/>
        <w:tabs>
          <w:tab w:val="right" w:leader="dot" w:pos="9660"/>
        </w:tabs>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_Toc6509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bCs/>
          <w:color w:val="auto"/>
          <w:kern w:val="44"/>
          <w:sz w:val="24"/>
          <w:szCs w:val="24"/>
          <w:highlight w:val="none"/>
        </w:rPr>
        <w:t xml:space="preserve">第六章 </w:t>
      </w:r>
      <w:r>
        <w:rPr>
          <w:rFonts w:hint="eastAsia" w:ascii="宋体" w:hAnsi="宋体" w:eastAsia="宋体" w:cs="宋体"/>
          <w:bCs/>
          <w:color w:val="auto"/>
          <w:sz w:val="24"/>
          <w:szCs w:val="24"/>
          <w:highlight w:val="none"/>
        </w:rPr>
        <w:t>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288D161F">
      <w:pPr>
        <w:pStyle w:val="17"/>
        <w:tabs>
          <w:tab w:val="right" w:leader="dot" w:pos="96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fldChar w:fldCharType="begin"/>
      </w:r>
      <w:r>
        <w:rPr>
          <w:rFonts w:hint="eastAsia" w:ascii="宋体" w:hAnsi="宋体" w:eastAsia="宋体" w:cs="宋体"/>
          <w:color w:val="auto"/>
          <w:spacing w:val="-6"/>
          <w:kern w:val="0"/>
          <w:sz w:val="24"/>
          <w:szCs w:val="24"/>
          <w:highlight w:val="none"/>
        </w:rPr>
        <w:instrText xml:space="preserve"> HYPERLINK \l _Toc15967 </w:instrText>
      </w:r>
      <w:r>
        <w:rPr>
          <w:rFonts w:hint="eastAsia" w:ascii="宋体" w:hAnsi="宋体" w:eastAsia="宋体" w:cs="宋体"/>
          <w:color w:val="auto"/>
          <w:spacing w:val="-6"/>
          <w:kern w:val="0"/>
          <w:sz w:val="24"/>
          <w:szCs w:val="24"/>
          <w:highlight w:val="none"/>
        </w:rPr>
        <w:fldChar w:fldCharType="separate"/>
      </w:r>
      <w:r>
        <w:rPr>
          <w:rFonts w:hint="eastAsia" w:ascii="宋体" w:hAnsi="宋体" w:eastAsia="宋体" w:cs="宋体"/>
          <w:color w:val="auto"/>
          <w:sz w:val="24"/>
          <w:szCs w:val="24"/>
          <w:highlight w:val="none"/>
        </w:rPr>
        <w:t>第七章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_Toc15967 \h </w:instrText>
      </w:r>
      <w:r>
        <w:rPr>
          <w:rFonts w:hint="eastAsia" w:ascii="宋体" w:hAnsi="宋体" w:eastAsia="宋体" w:cs="宋体"/>
          <w:color w:val="auto"/>
          <w:sz w:val="24"/>
          <w:szCs w:val="24"/>
          <w:highlight w:val="none"/>
        </w:rPr>
        <w:fldChar w:fldCharType="separate"/>
      </w:r>
      <w:r>
        <w:rPr>
          <w:rFonts w:hint="eastAsia" w:ascii="宋体" w:hAnsi="宋体" w:cs="宋体"/>
          <w:color w:val="auto"/>
          <w:sz w:val="24"/>
          <w:szCs w:val="24"/>
          <w:highlight w:val="none"/>
          <w:lang w:val="en-US" w:eastAsia="zh-CN"/>
        </w:rPr>
        <w:t>另附</w:t>
      </w:r>
      <w:r>
        <w:rPr>
          <w:b/>
        </w:rPr>
        <w:t>。</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6"/>
          <w:kern w:val="0"/>
          <w:sz w:val="24"/>
          <w:szCs w:val="24"/>
          <w:highlight w:val="none"/>
        </w:rPr>
        <w:fldChar w:fldCharType="end"/>
      </w:r>
    </w:p>
    <w:p w14:paraId="6147320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4"/>
          <w:szCs w:val="24"/>
          <w:highlight w:val="none"/>
        </w:rPr>
        <w:fldChar w:fldCharType="end"/>
      </w:r>
    </w:p>
    <w:p w14:paraId="7EDB3313">
      <w:pPr>
        <w:pStyle w:val="3"/>
        <w:rPr>
          <w:rFonts w:hint="eastAsia" w:ascii="宋体" w:hAnsi="宋体" w:eastAsia="宋体" w:cs="宋体"/>
          <w:color w:val="auto"/>
          <w:spacing w:val="-6"/>
          <w:kern w:val="0"/>
          <w:sz w:val="21"/>
          <w:szCs w:val="21"/>
          <w:highlight w:val="none"/>
        </w:rPr>
      </w:pPr>
    </w:p>
    <w:p w14:paraId="13AC0E60">
      <w:pPr>
        <w:rPr>
          <w:rFonts w:hint="eastAsia" w:ascii="宋体" w:hAnsi="宋体" w:eastAsia="宋体" w:cs="宋体"/>
          <w:color w:val="auto"/>
          <w:spacing w:val="-6"/>
          <w:kern w:val="0"/>
          <w:sz w:val="21"/>
          <w:szCs w:val="21"/>
          <w:highlight w:val="none"/>
        </w:rPr>
      </w:pPr>
    </w:p>
    <w:p w14:paraId="190F4076">
      <w:pPr>
        <w:rPr>
          <w:rFonts w:hint="eastAsia" w:ascii="宋体" w:hAnsi="宋体" w:eastAsia="宋体" w:cs="宋体"/>
          <w:color w:val="auto"/>
          <w:spacing w:val="-6"/>
          <w:kern w:val="0"/>
          <w:sz w:val="21"/>
          <w:szCs w:val="21"/>
          <w:highlight w:val="none"/>
        </w:rPr>
      </w:pPr>
    </w:p>
    <w:p w14:paraId="19AB4CB0">
      <w:pPr>
        <w:rPr>
          <w:rFonts w:hint="eastAsia" w:ascii="宋体" w:hAnsi="宋体" w:eastAsia="宋体" w:cs="宋体"/>
          <w:color w:val="auto"/>
          <w:sz w:val="21"/>
          <w:szCs w:val="21"/>
          <w:highlight w:val="none"/>
        </w:rPr>
      </w:pPr>
    </w:p>
    <w:p w14:paraId="14B5E106">
      <w:pPr>
        <w:pStyle w:val="2"/>
        <w:numPr>
          <w:ilvl w:val="0"/>
          <w:numId w:val="1"/>
        </w:numPr>
        <w:tabs>
          <w:tab w:val="left" w:pos="0"/>
        </w:tabs>
        <w:autoSpaceDE w:val="0"/>
        <w:autoSpaceDN w:val="0"/>
        <w:adjustRightInd w:val="0"/>
        <w:spacing w:before="0" w:after="0" w:line="360" w:lineRule="auto"/>
        <w:ind w:firstLine="425"/>
        <w:jc w:val="center"/>
        <w:rPr>
          <w:rFonts w:hint="eastAsia" w:ascii="宋体" w:hAnsi="宋体" w:eastAsia="宋体" w:cs="宋体"/>
          <w:color w:val="auto"/>
          <w:sz w:val="21"/>
          <w:szCs w:val="21"/>
          <w:highlight w:val="none"/>
        </w:rPr>
        <w:sectPr>
          <w:footerReference r:id="rId6" w:type="first"/>
          <w:footerReference r:id="rId5" w:type="default"/>
          <w:pgSz w:w="11906" w:h="16838"/>
          <w:pgMar w:top="1418" w:right="1115" w:bottom="1418" w:left="1131" w:header="851" w:footer="992" w:gutter="0"/>
          <w:pgNumType w:fmt="decimal" w:start="1"/>
          <w:cols w:space="720" w:num="1"/>
          <w:titlePg/>
          <w:docGrid w:type="lines" w:linePitch="312" w:charSpace="0"/>
        </w:sectPr>
      </w:pPr>
      <w:bookmarkStart w:id="0" w:name="_Toc28359011"/>
      <w:bookmarkStart w:id="1" w:name="_Toc21930"/>
      <w:bookmarkStart w:id="2" w:name="_Toc35393797"/>
      <w:bookmarkStart w:id="3" w:name="_Toc30170"/>
      <w:bookmarkStart w:id="4" w:name="_Toc26809"/>
    </w:p>
    <w:p w14:paraId="4055A330">
      <w:pPr>
        <w:pStyle w:val="2"/>
        <w:numPr>
          <w:ilvl w:val="0"/>
          <w:numId w:val="0"/>
        </w:numPr>
        <w:tabs>
          <w:tab w:val="left" w:pos="0"/>
        </w:tabs>
        <w:autoSpaceDE w:val="0"/>
        <w:autoSpaceDN w:val="0"/>
        <w:adjustRightInd w:val="0"/>
        <w:spacing w:before="0" w:after="0" w:line="360" w:lineRule="auto"/>
        <w:ind w:left="425" w:leftChars="0"/>
        <w:jc w:val="center"/>
        <w:rPr>
          <w:rFonts w:hint="eastAsia" w:ascii="宋体" w:hAnsi="宋体" w:eastAsia="宋体" w:cs="宋体"/>
          <w:color w:val="auto"/>
          <w:sz w:val="28"/>
          <w:szCs w:val="28"/>
          <w:highlight w:val="none"/>
        </w:rPr>
      </w:pPr>
      <w:bookmarkStart w:id="5" w:name="_Toc15867"/>
      <w:r>
        <w:rPr>
          <w:rFonts w:hint="eastAsia" w:ascii="宋体" w:hAnsi="宋体" w:cs="宋体"/>
          <w:b/>
          <w:bCs/>
          <w:color w:val="auto"/>
          <w:spacing w:val="40"/>
          <w:sz w:val="30"/>
          <w:szCs w:val="30"/>
          <w:highlight w:val="none"/>
          <w:lang w:val="en-US" w:eastAsia="zh-CN"/>
        </w:rPr>
        <w:t>第一章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bookmarkEnd w:id="0"/>
      <w:bookmarkEnd w:id="1"/>
      <w:bookmarkEnd w:id="2"/>
      <w:bookmarkEnd w:id="3"/>
      <w:bookmarkEnd w:id="4"/>
      <w:bookmarkEnd w:id="5"/>
    </w:p>
    <w:tbl>
      <w:tblPr>
        <w:tblStyle w:val="22"/>
        <w:tblpPr w:leftFromText="180" w:rightFromText="180" w:vertAnchor="text" w:tblpX="38" w:tblpY="134"/>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6F2C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9320" w:type="dxa"/>
            <w:vAlign w:val="top"/>
          </w:tcPr>
          <w:p w14:paraId="7422E0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项目概况</w:t>
            </w:r>
          </w:p>
          <w:p w14:paraId="0B975C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u w:val="single"/>
                <w:lang w:val="en-US" w:eastAsia="zh-CN" w:bidi="ar-SA"/>
                <w14:textFill>
                  <w14:solidFill>
                    <w14:schemeClr w14:val="tx1"/>
                  </w14:solidFill>
                </w14:textFill>
              </w:rPr>
              <w:t>乡村工匠产业园污水管网改造提升项目</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的潜在供应商应在</w:t>
            </w:r>
            <w:r>
              <w:rPr>
                <w:rFonts w:hint="eastAsia" w:ascii="宋体" w:hAnsi="宋体" w:eastAsia="宋体" w:cs="宋体"/>
                <w:b w:val="0"/>
                <w:bCs w:val="0"/>
                <w:color w:val="000000" w:themeColor="text1"/>
                <w:kern w:val="2"/>
                <w:sz w:val="21"/>
                <w:szCs w:val="21"/>
                <w:highlight w:val="none"/>
                <w:u w:val="single"/>
                <w:lang w:val="en-US" w:eastAsia="zh-CN" w:bidi="ar-SA"/>
                <w14:textFill>
                  <w14:solidFill>
                    <w14:schemeClr w14:val="tx1"/>
                  </w14:solidFill>
                </w14:textFill>
              </w:rPr>
              <w:t>广西政府采购云平台（ https://www.gcy.zfcg.gxzf.gov.cn/）</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获取采购文件，并于202</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年</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 xml:space="preserve">7 </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月</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 xml:space="preserve"> 27</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日</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9：</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30（北京时间）前提交响应文件。</w:t>
            </w:r>
          </w:p>
        </w:tc>
      </w:tr>
    </w:tbl>
    <w:p w14:paraId="7F5EF1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6" w:name="_Toc28359012"/>
      <w:bookmarkStart w:id="7" w:name="_Toc35393629"/>
      <w:bookmarkStart w:id="8" w:name="_Toc28359089"/>
      <w:bookmarkStart w:id="9" w:name="_Toc35393798"/>
      <w:r>
        <w:rPr>
          <w:rFonts w:hint="eastAsia" w:ascii="宋体" w:hAnsi="宋体" w:eastAsia="宋体" w:cs="宋体"/>
          <w:b/>
          <w:bCs/>
          <w:color w:val="000000" w:themeColor="text1"/>
          <w:sz w:val="21"/>
          <w:szCs w:val="21"/>
          <w:highlight w:val="none"/>
          <w14:textFill>
            <w14:solidFill>
              <w14:schemeClr w14:val="tx1"/>
            </w14:solidFill>
          </w14:textFill>
        </w:rPr>
        <w:t>一、项目基本情况</w:t>
      </w:r>
      <w:bookmarkEnd w:id="6"/>
      <w:bookmarkEnd w:id="7"/>
      <w:bookmarkEnd w:id="8"/>
      <w:bookmarkEnd w:id="9"/>
    </w:p>
    <w:p w14:paraId="21B84E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项目编号：</w:t>
      </w:r>
      <w:r>
        <w:rPr>
          <w:rFonts w:hint="eastAsia" w:ascii="宋体" w:hAnsi="宋体" w:eastAsia="宋体" w:cs="宋体"/>
          <w:b w:val="0"/>
          <w:bCs w:val="0"/>
          <w:color w:val="000000" w:themeColor="text1"/>
          <w:kern w:val="2"/>
          <w:sz w:val="21"/>
          <w:szCs w:val="21"/>
          <w:highlight w:val="none"/>
          <w:u w:val="none"/>
          <w:lang w:val="en-US" w:eastAsia="zh-CN" w:bidi="ar-SA"/>
          <w14:textFill>
            <w14:solidFill>
              <w14:schemeClr w14:val="tx1"/>
            </w14:solidFill>
          </w14:textFill>
        </w:rPr>
        <w:t>GLZC2026-C2-990312-HCJS</w:t>
      </w:r>
    </w:p>
    <w:p w14:paraId="695A08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val="0"/>
          <w:b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eastAsia="宋体" w:cs="宋体"/>
          <w:b w:val="0"/>
          <w:bCs w:val="0"/>
          <w:color w:val="000000" w:themeColor="text1"/>
          <w:kern w:val="2"/>
          <w:sz w:val="21"/>
          <w:szCs w:val="21"/>
          <w:highlight w:val="none"/>
          <w:u w:val="none"/>
          <w:lang w:val="en-US" w:eastAsia="zh-CN" w:bidi="ar-SA"/>
          <w14:textFill>
            <w14:solidFill>
              <w14:schemeClr w14:val="tx1"/>
            </w14:solidFill>
          </w14:textFill>
        </w:rPr>
        <w:t>乡村工匠产业园污水管网改造提升项目</w:t>
      </w:r>
    </w:p>
    <w:p w14:paraId="507F7D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采购方式：竞争性磋商</w:t>
      </w:r>
    </w:p>
    <w:p w14:paraId="7B585B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val="0"/>
          <w:bCs w:val="0"/>
          <w:color w:val="0000FF"/>
          <w:sz w:val="21"/>
          <w:szCs w:val="21"/>
          <w:highlight w:val="none"/>
          <w:lang w:val="en-US" w:eastAsia="zh-CN"/>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预算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总</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金额（元）：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1299500.00</w:t>
      </w:r>
    </w:p>
    <w:p w14:paraId="36FCDB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采购需求：</w:t>
      </w:r>
    </w:p>
    <w:p w14:paraId="0BA1C7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auto"/>
          <w:sz w:val="21"/>
          <w:szCs w:val="21"/>
          <w:highlight w:val="none"/>
          <w:lang w:val="en-US" w:eastAsia="zh-CN"/>
        </w:rPr>
        <w:t>简要规格描述或项目基本概况介绍、用途</w:t>
      </w:r>
      <w:r>
        <w:rPr>
          <w:rFonts w:hint="eastAsia" w:ascii="宋体" w:hAnsi="宋体" w:cs="宋体"/>
          <w:b w:val="0"/>
          <w:bCs w:val="0"/>
          <w:color w:val="auto"/>
          <w:sz w:val="21"/>
          <w:szCs w:val="21"/>
          <w:highlight w:val="none"/>
          <w:lang w:val="en-US" w:eastAsia="zh-CN"/>
        </w:rPr>
        <w:t>：对</w:t>
      </w:r>
      <w:r>
        <w:rPr>
          <w:rFonts w:hint="eastAsia" w:ascii="宋体" w:hAnsi="宋体" w:eastAsia="宋体" w:cs="宋体"/>
          <w:b w:val="0"/>
          <w:bCs w:val="0"/>
          <w:color w:val="auto"/>
          <w:kern w:val="2"/>
          <w:sz w:val="21"/>
          <w:szCs w:val="21"/>
          <w:highlight w:val="none"/>
          <w:u w:val="none"/>
          <w:lang w:val="en-US" w:eastAsia="zh-CN" w:bidi="ar-SA"/>
        </w:rPr>
        <w:t>乡村工匠产业园周边地下污水管网进行修缮改造</w:t>
      </w:r>
      <w:r>
        <w:rPr>
          <w:rFonts w:hint="eastAsia" w:ascii="宋体" w:hAnsi="宋体" w:cs="宋体"/>
          <w:b w:val="0"/>
          <w:bCs w:val="0"/>
          <w:color w:val="auto"/>
          <w:sz w:val="21"/>
          <w:szCs w:val="21"/>
          <w:highlight w:val="none"/>
          <w:lang w:val="en-US" w:eastAsia="zh-CN"/>
        </w:rPr>
        <w:t>，具体</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详见工程量清单、图纸等要求的内容。</w:t>
      </w:r>
    </w:p>
    <w:p w14:paraId="59E71079">
      <w:pPr>
        <w:pStyle w:val="11"/>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400" w:lineRule="exact"/>
        <w:ind w:right="0" w:rightChars="0" w:firstLine="420" w:firstLineChars="200"/>
        <w:textAlignment w:val="baseline"/>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最高限价 ：</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1195540.00</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元</w:t>
      </w:r>
    </w:p>
    <w:p w14:paraId="09D42546">
      <w:pPr>
        <w:pStyle w:val="11"/>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400" w:lineRule="exact"/>
        <w:ind w:right="0" w:rightChars="0" w:firstLine="420" w:firstLineChars="200"/>
        <w:textAlignment w:val="baseline"/>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合同履约期限：自合同签订之日起</w:t>
      </w:r>
      <w:r>
        <w:rPr>
          <w:rFonts w:hint="eastAsia" w:ascii="宋体" w:hAnsi="宋体" w:cs="宋体"/>
          <w:b w:val="0"/>
          <w:bCs w:val="0"/>
          <w:color w:val="000000" w:themeColor="text1"/>
          <w:kern w:val="2"/>
          <w:sz w:val="21"/>
          <w:szCs w:val="21"/>
          <w:highlight w:val="none"/>
          <w:u w:val="single"/>
          <w:lang w:val="en-US" w:eastAsia="zh-CN" w:bidi="ar-SA"/>
          <w14:textFill>
            <w14:solidFill>
              <w14:schemeClr w14:val="tx1"/>
            </w14:solidFill>
          </w14:textFill>
        </w:rPr>
        <w:t xml:space="preserve">180 </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个日历天内完工。</w:t>
      </w:r>
    </w:p>
    <w:p w14:paraId="599222BE">
      <w:pPr>
        <w:pStyle w:val="11"/>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400" w:lineRule="exact"/>
        <w:ind w:right="0" w:rightChars="0" w:firstLine="420" w:firstLineChars="200"/>
        <w:textAlignment w:val="baseline"/>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本标项（否）接受联合体投标</w:t>
      </w:r>
    </w:p>
    <w:p w14:paraId="4A6FF900">
      <w:pPr>
        <w:pStyle w:val="11"/>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400" w:lineRule="exact"/>
        <w:ind w:right="0" w:rightChars="0" w:firstLine="420" w:firstLineChars="200"/>
        <w:textAlignment w:val="baseline"/>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备注：本项目为线上电子标项目，有意向参与本项目的供应商应当做好参与全流程电子标交易的充分准备。</w:t>
      </w:r>
    </w:p>
    <w:p w14:paraId="17D5C9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bookmarkStart w:id="10" w:name="_Toc28359013"/>
      <w:bookmarkStart w:id="11" w:name="_Toc35393630"/>
      <w:bookmarkStart w:id="12" w:name="_Toc35393799"/>
      <w:bookmarkStart w:id="13" w:name="_Toc28359090"/>
      <w:r>
        <w:rPr>
          <w:rFonts w:hint="eastAsia" w:ascii="宋体" w:hAnsi="宋体" w:eastAsia="宋体" w:cs="宋体"/>
          <w:b/>
          <w:bCs/>
          <w:color w:val="000000" w:themeColor="text1"/>
          <w:sz w:val="21"/>
          <w:szCs w:val="21"/>
          <w:highlight w:val="none"/>
          <w14:textFill>
            <w14:solidFill>
              <w14:schemeClr w14:val="tx1"/>
            </w14:solidFill>
          </w14:textFill>
        </w:rPr>
        <w:t>二、申请人的资格要求：</w:t>
      </w:r>
      <w:bookmarkEnd w:id="10"/>
      <w:bookmarkEnd w:id="11"/>
      <w:bookmarkEnd w:id="12"/>
      <w:bookmarkEnd w:id="13"/>
    </w:p>
    <w:p w14:paraId="249367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满足《中华人民共和国政府采购法》第二十二条规定；</w:t>
      </w:r>
    </w:p>
    <w:p w14:paraId="397A2D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14" w:name="_Toc28359091"/>
      <w:bookmarkStart w:id="15" w:name="_Toc28359014"/>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落实政府采购政策需满足的资格要求：</w:t>
      </w:r>
      <w:r>
        <w:rPr>
          <w:rFonts w:hint="eastAsia" w:ascii="宋体" w:hAnsi="宋体" w:eastAsia="宋体" w:cs="宋体"/>
          <w:b/>
          <w:bCs/>
          <w:color w:val="000000" w:themeColor="text1"/>
          <w:sz w:val="21"/>
          <w:szCs w:val="21"/>
          <w:highlight w:val="none"/>
          <w14:textFill>
            <w14:solidFill>
              <w14:schemeClr w14:val="tx1"/>
            </w14:solidFill>
          </w14:textFill>
        </w:rPr>
        <w:t>专门面向中小企业采购的项目（供应商应为中小微企业、监狱企业、残疾人福利性单位)</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1B8C4A99">
      <w:pPr>
        <w:spacing w:line="380" w:lineRule="exact"/>
        <w:ind w:firstLine="420" w:firstLineChars="200"/>
        <w:rPr>
          <w:rFonts w:hint="eastAsia" w:ascii="宋体" w:hAnsi="宋体" w:eastAsia="宋体" w:cs="宋体"/>
          <w:b/>
          <w:bCs/>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color w:val="000000" w:themeColor="text1"/>
          <w:highlight w:val="none"/>
          <w:u w:val="none"/>
          <w:shd w:val="clear" w:color="auto" w:fill="auto"/>
          <w:lang w:val="en-US" w:eastAsia="zh-CN"/>
          <w14:textFill>
            <w14:solidFill>
              <w14:schemeClr w14:val="tx1"/>
            </w14:solidFill>
          </w14:textFill>
        </w:rPr>
        <w:t>.本项目的特定资格要求：</w:t>
      </w:r>
      <w:bookmarkStart w:id="16" w:name="_Toc35393800"/>
      <w:bookmarkStart w:id="17" w:name="_Toc35393631"/>
      <w:r>
        <w:rPr>
          <w:rFonts w:hint="eastAsia"/>
          <w:color w:val="000000" w:themeColor="text1"/>
          <w:highlight w:val="none"/>
          <w:u w:val="none"/>
          <w:shd w:val="clear" w:color="auto" w:fill="auto"/>
          <w14:textFill>
            <w14:solidFill>
              <w14:schemeClr w14:val="tx1"/>
            </w14:solidFill>
          </w14:textFill>
        </w:rPr>
        <w:t>供应商须具备</w:t>
      </w:r>
      <w:r>
        <w:rPr>
          <w:rFonts w:hint="eastAsia"/>
          <w:color w:val="000000" w:themeColor="text1"/>
          <w:highlight w:val="none"/>
          <w:u w:val="none"/>
          <w:shd w:val="clear" w:color="auto" w:fill="auto"/>
          <w:lang w:val="en-US" w:eastAsia="zh-CN"/>
          <w14:textFill>
            <w14:solidFill>
              <w14:schemeClr w14:val="tx1"/>
            </w14:solidFill>
          </w14:textFill>
        </w:rPr>
        <w:t>市政公用工程施工总承包</w:t>
      </w:r>
      <w:r>
        <w:rPr>
          <w:rFonts w:hint="eastAsia"/>
          <w:color w:val="000000" w:themeColor="text1"/>
          <w:highlight w:val="none"/>
          <w:u w:val="none"/>
          <w:shd w:val="clear" w:color="auto" w:fill="auto"/>
          <w14:textFill>
            <w14:solidFill>
              <w14:schemeClr w14:val="tx1"/>
            </w14:solidFill>
          </w14:textFill>
        </w:rPr>
        <w:t>叁级（含以上级）资质，及具有安全生产许可证；并在人员、设备、资金等方面具备相应的施工能力。其中，供应商拟派项目经理须具备</w:t>
      </w:r>
      <w:r>
        <w:rPr>
          <w:rFonts w:hint="eastAsia"/>
          <w:color w:val="000000" w:themeColor="text1"/>
          <w:highlight w:val="none"/>
          <w:u w:val="none"/>
          <w:shd w:val="clear" w:color="auto" w:fill="auto"/>
          <w:lang w:val="en-US" w:eastAsia="zh-CN"/>
          <w14:textFill>
            <w14:solidFill>
              <w14:schemeClr w14:val="tx1"/>
            </w14:solidFill>
          </w14:textFill>
        </w:rPr>
        <w:t>市政公用工程</w:t>
      </w:r>
      <w:r>
        <w:rPr>
          <w:rFonts w:hint="eastAsia"/>
          <w:color w:val="000000" w:themeColor="text1"/>
          <w:highlight w:val="none"/>
          <w:u w:val="none"/>
          <w:shd w:val="clear" w:color="auto" w:fill="auto"/>
          <w14:textFill>
            <w14:solidFill>
              <w14:schemeClr w14:val="tx1"/>
            </w14:solidFill>
          </w14:textFill>
        </w:rPr>
        <w:t>专业二级（含以上级）注册建造师执业资格，具备有效的安全生产考核合格证书（B类）。本项目不接受有在建、已中标未开工或已列为其他项目中标候选人第一名的建造师作为项目经理。专职安全员要求：具备有效的安全生产考核合格证书（C类）</w:t>
      </w:r>
      <w:r>
        <w:rPr>
          <w:rFonts w:hint="eastAsia" w:ascii="宋体" w:hAnsi="宋体" w:cs="宋体"/>
          <w:bCs/>
          <w:color w:val="000000" w:themeColor="text1"/>
          <w:highlight w:val="none"/>
          <w:u w:val="none"/>
          <w:shd w:val="clear" w:color="auto" w:fill="auto"/>
          <w14:textFill>
            <w14:solidFill>
              <w14:schemeClr w14:val="tx1"/>
            </w14:solidFill>
          </w14:textFill>
        </w:rPr>
        <w:t>。</w:t>
      </w:r>
    </w:p>
    <w:bookmarkEnd w:id="14"/>
    <w:bookmarkEnd w:id="15"/>
    <w:bookmarkEnd w:id="16"/>
    <w:bookmarkEnd w:id="17"/>
    <w:p w14:paraId="4A8492E0">
      <w:pPr>
        <w:keepNext w:val="0"/>
        <w:keepLines w:val="0"/>
        <w:pageBreakBefore w:val="0"/>
        <w:widowControl w:val="0"/>
        <w:kinsoku/>
        <w:wordWrap/>
        <w:overflowPunct/>
        <w:topLinePunct w:val="0"/>
        <w:bidi w:val="0"/>
        <w:snapToGrid/>
        <w:spacing w:line="400" w:lineRule="exac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18" w:name="_Toc35393792"/>
      <w:bookmarkStart w:id="19" w:name="_Toc35393623"/>
      <w:bookmarkStart w:id="20" w:name="_Toc28359095"/>
      <w:bookmarkStart w:id="21" w:name="_Toc28359018"/>
      <w:bookmarkStart w:id="22" w:name="_Toc35393636"/>
      <w:bookmarkStart w:id="23" w:name="_Toc35393805"/>
      <w:r>
        <w:rPr>
          <w:rFonts w:hint="eastAsia" w:ascii="宋体" w:hAnsi="宋体" w:eastAsia="宋体" w:cs="宋体"/>
          <w:b/>
          <w:bCs/>
          <w:color w:val="000000" w:themeColor="text1"/>
          <w:sz w:val="21"/>
          <w:szCs w:val="21"/>
          <w:highlight w:val="none"/>
          <w14:textFill>
            <w14:solidFill>
              <w14:schemeClr w14:val="tx1"/>
            </w14:solidFill>
          </w14:textFill>
        </w:rPr>
        <w:t>三、获取</w:t>
      </w:r>
      <w:r>
        <w:rPr>
          <w:rFonts w:hint="eastAsia" w:ascii="宋体" w:hAnsi="宋体" w:eastAsia="宋体" w:cs="宋体"/>
          <w:b/>
          <w:bCs/>
          <w:color w:val="000000" w:themeColor="text1"/>
          <w:sz w:val="21"/>
          <w:szCs w:val="21"/>
          <w:highlight w:val="none"/>
          <w:lang w:eastAsia="zh-CN"/>
          <w14:textFill>
            <w14:solidFill>
              <w14:schemeClr w14:val="tx1"/>
            </w14:solidFill>
          </w14:textFill>
        </w:rPr>
        <w:t>采购</w:t>
      </w:r>
      <w:r>
        <w:rPr>
          <w:rFonts w:hint="eastAsia" w:ascii="宋体" w:hAnsi="宋体" w:eastAsia="宋体" w:cs="宋体"/>
          <w:b/>
          <w:bCs/>
          <w:color w:val="000000" w:themeColor="text1"/>
          <w:sz w:val="21"/>
          <w:szCs w:val="21"/>
          <w:highlight w:val="none"/>
          <w14:textFill>
            <w14:solidFill>
              <w14:schemeClr w14:val="tx1"/>
            </w14:solidFill>
          </w14:textFill>
        </w:rPr>
        <w:t>文件</w:t>
      </w:r>
      <w:bookmarkEnd w:id="18"/>
      <w:bookmarkEnd w:id="19"/>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647E91CD">
      <w:pPr>
        <w:pStyle w:val="19"/>
        <w:keepNext w:val="0"/>
        <w:keepLines w:val="0"/>
        <w:pageBreakBefore w:val="0"/>
        <w:widowControl/>
        <w:wordWrap/>
        <w:overflowPunct/>
        <w:topLinePunct w:val="0"/>
        <w:bidi w:val="0"/>
        <w:spacing w:before="0" w:beforeAutospacing="0" w:after="0" w:afterAutospacing="0" w:line="400" w:lineRule="exact"/>
        <w:ind w:firstLine="420" w:firstLineChars="200"/>
        <w:rPr>
          <w:rFonts w:hint="eastAsia" w:ascii="宋体" w:hAnsi="宋体" w:eastAsia="宋体" w:cs="宋体"/>
          <w:color w:val="auto"/>
          <w:kern w:val="2"/>
          <w:sz w:val="21"/>
          <w:szCs w:val="21"/>
          <w:highlight w:val="none"/>
          <w:lang w:val="en-US" w:eastAsia="zh-CN" w:bidi="ar-SA"/>
        </w:rPr>
      </w:pPr>
      <w:bookmarkStart w:id="24" w:name="_Toc35393793"/>
      <w:bookmarkStart w:id="25" w:name="_Toc35393624"/>
      <w:bookmarkStart w:id="26" w:name="_Toc28359005"/>
      <w:bookmarkStart w:id="27" w:name="_Toc28359082"/>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时间：202</w:t>
      </w:r>
      <w:r>
        <w:rPr>
          <w:rFonts w:hint="eastAsia"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年</w:t>
      </w:r>
      <w:r>
        <w:rPr>
          <w:rFonts w:hint="eastAsia" w:cs="宋体"/>
          <w:color w:val="000000" w:themeColor="text1"/>
          <w:kern w:val="2"/>
          <w:sz w:val="21"/>
          <w:szCs w:val="21"/>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月</w:t>
      </w:r>
      <w:r>
        <w:rPr>
          <w:rFonts w:hint="eastAsia" w:cs="宋体"/>
          <w:color w:val="000000" w:themeColor="text1"/>
          <w:kern w:val="2"/>
          <w:sz w:val="21"/>
          <w:szCs w:val="21"/>
          <w:highlight w:val="none"/>
          <w:lang w:val="en-US" w:eastAsia="zh-CN" w:bidi="ar-SA"/>
          <w14:textFill>
            <w14:solidFill>
              <w14:schemeClr w14:val="tx1"/>
            </w14:solidFill>
          </w14:textFill>
        </w:rPr>
        <w:t xml:space="preserve">16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日至202</w:t>
      </w:r>
      <w:r>
        <w:rPr>
          <w:rFonts w:hint="eastAsia"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年</w:t>
      </w:r>
      <w:r>
        <w:rPr>
          <w:rFonts w:hint="eastAsia" w:cs="宋体"/>
          <w:color w:val="000000" w:themeColor="text1"/>
          <w:kern w:val="2"/>
          <w:sz w:val="21"/>
          <w:szCs w:val="21"/>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月</w:t>
      </w:r>
      <w:r>
        <w:rPr>
          <w:rFonts w:hint="eastAsia" w:cs="宋体"/>
          <w:color w:val="000000" w:themeColor="text1"/>
          <w:kern w:val="2"/>
          <w:sz w:val="21"/>
          <w:szCs w:val="21"/>
          <w:highlight w:val="none"/>
          <w:lang w:val="en-US" w:eastAsia="zh-CN" w:bidi="ar-SA"/>
          <w14:textFill>
            <w14:solidFill>
              <w14:schemeClr w14:val="tx1"/>
            </w14:solidFill>
          </w14:textFill>
        </w:rPr>
        <w:t xml:space="preserve"> 27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日，每</w:t>
      </w:r>
      <w:r>
        <w:rPr>
          <w:rFonts w:hint="eastAsia" w:ascii="宋体" w:hAnsi="宋体" w:eastAsia="宋体" w:cs="宋体"/>
          <w:color w:val="auto"/>
          <w:kern w:val="2"/>
          <w:sz w:val="21"/>
          <w:szCs w:val="21"/>
          <w:highlight w:val="none"/>
          <w:lang w:val="en-US" w:eastAsia="zh-CN" w:bidi="ar-SA"/>
        </w:rPr>
        <w:t>天上午00:00至12:00，下午12:00至23:59（北京时间，法定节假日除外）。</w:t>
      </w:r>
    </w:p>
    <w:p w14:paraId="1800AC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地点（网址）：广西政府采购云平台（ https://www.gcy.zfcg.gxzf.gov.cn/）。</w:t>
      </w:r>
    </w:p>
    <w:p w14:paraId="15EB33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方式：供应商登录广西政府采购云平台（ https://www.gcy.zfcg.gxzf.gov.cn/）在线申请获取采购文件（进入“项目采购”应用，在获取采购文件菜单中选择项目，申请获取采购文件）。</w:t>
      </w:r>
    </w:p>
    <w:p w14:paraId="719AB6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售价（元）：0 </w:t>
      </w:r>
    </w:p>
    <w:p w14:paraId="1C0A79DE">
      <w:pPr>
        <w:keepNext w:val="0"/>
        <w:keepLines w:val="0"/>
        <w:pageBreakBefore w:val="0"/>
        <w:widowControl w:val="0"/>
        <w:kinsoku/>
        <w:wordWrap/>
        <w:overflowPunct/>
        <w:topLinePunct w:val="0"/>
        <w:bidi w:val="0"/>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w:t>
      </w:r>
      <w:bookmarkEnd w:id="24"/>
      <w:bookmarkEnd w:id="25"/>
      <w:bookmarkEnd w:id="26"/>
      <w:bookmarkEnd w:id="27"/>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w:t>
      </w:r>
      <w:r>
        <w:rPr>
          <w:rFonts w:hint="eastAsia" w:ascii="宋体" w:hAnsi="宋体" w:eastAsia="宋体" w:cs="宋体"/>
          <w:b/>
          <w:bCs/>
          <w:color w:val="auto"/>
          <w:sz w:val="21"/>
          <w:szCs w:val="21"/>
          <w:highlight w:val="none"/>
          <w:lang w:eastAsia="zh-CN"/>
        </w:rPr>
        <w:t>提交</w:t>
      </w:r>
    </w:p>
    <w:p w14:paraId="05BF48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截止</w:t>
      </w:r>
      <w:r>
        <w:rPr>
          <w:rFonts w:hint="eastAsia" w:ascii="宋体" w:hAnsi="宋体" w:eastAsia="宋体" w:cs="宋体"/>
          <w:bCs/>
          <w:color w:val="000000" w:themeColor="text1"/>
          <w:sz w:val="21"/>
          <w:szCs w:val="21"/>
          <w:highlight w:val="none"/>
          <w14:textFill>
            <w14:solidFill>
              <w14:schemeClr w14:val="tx1"/>
            </w14:solidFill>
          </w14:textFill>
        </w:rPr>
        <w:t>时间：</w:t>
      </w:r>
      <w:r>
        <w:rPr>
          <w:rFonts w:hint="eastAsia" w:ascii="宋体" w:hAnsi="宋体" w:eastAsia="宋体" w:cs="宋体"/>
          <w:color w:val="000000" w:themeColor="text1"/>
          <w:sz w:val="21"/>
          <w:szCs w:val="21"/>
          <w:highlight w:val="none"/>
          <w:lang w:eastAsia="zh-CN"/>
          <w14:textFill>
            <w14:solidFill>
              <w14:schemeClr w14:val="tx1"/>
            </w14:solidFill>
          </w14:textFill>
        </w:rPr>
        <w:t>20</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 xml:space="preserve"> 27 </w:t>
      </w:r>
      <w:r>
        <w:rPr>
          <w:rFonts w:hint="eastAsia" w:ascii="宋体" w:hAnsi="宋体" w:eastAsia="宋体" w:cs="宋体"/>
          <w:color w:val="000000" w:themeColor="text1"/>
          <w:sz w:val="21"/>
          <w:szCs w:val="21"/>
          <w:highlight w:val="none"/>
          <w:lang w:eastAsia="zh-CN"/>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时30分</w:t>
      </w:r>
      <w:r>
        <w:rPr>
          <w:rFonts w:hint="eastAsia" w:ascii="宋体" w:hAnsi="宋体" w:eastAsia="宋体" w:cs="宋体"/>
          <w:bCs/>
          <w:color w:val="000000" w:themeColor="text1"/>
          <w:sz w:val="21"/>
          <w:szCs w:val="21"/>
          <w:highlight w:val="none"/>
          <w14:textFill>
            <w14:solidFill>
              <w14:schemeClr w14:val="tx1"/>
            </w14:solidFill>
          </w14:textFill>
        </w:rPr>
        <w:t>（北京时间）。</w:t>
      </w:r>
    </w:p>
    <w:p w14:paraId="0EB7A6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点：通过广西政府采购云平台实行在线投标。</w:t>
      </w:r>
    </w:p>
    <w:p w14:paraId="7414C2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w:t>
      </w:r>
      <w:r>
        <w:rPr>
          <w:rFonts w:hint="eastAsia" w:ascii="宋体" w:hAnsi="宋体" w:eastAsia="宋体" w:cs="宋体"/>
          <w:b/>
          <w:bCs/>
          <w:color w:val="000000" w:themeColor="text1"/>
          <w:sz w:val="21"/>
          <w:szCs w:val="21"/>
          <w:highlight w:val="none"/>
          <w:lang w:eastAsia="zh-CN"/>
          <w14:textFill>
            <w14:solidFill>
              <w14:schemeClr w14:val="tx1"/>
            </w14:solidFill>
          </w14:textFill>
        </w:rPr>
        <w:t>响应</w:t>
      </w:r>
      <w:r>
        <w:rPr>
          <w:rFonts w:hint="eastAsia" w:ascii="宋体" w:hAnsi="宋体" w:eastAsia="宋体" w:cs="宋体"/>
          <w:b/>
          <w:bCs/>
          <w:color w:val="000000" w:themeColor="text1"/>
          <w:sz w:val="21"/>
          <w:szCs w:val="21"/>
          <w:highlight w:val="none"/>
          <w14:textFill>
            <w14:solidFill>
              <w14:schemeClr w14:val="tx1"/>
            </w14:solidFill>
          </w14:textFill>
        </w:rPr>
        <w:t>文件开启</w:t>
      </w:r>
    </w:p>
    <w:p w14:paraId="0BDD7C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间：</w:t>
      </w:r>
      <w:r>
        <w:rPr>
          <w:rFonts w:hint="eastAsia" w:ascii="宋体" w:hAnsi="宋体" w:eastAsia="宋体" w:cs="宋体"/>
          <w:color w:val="000000" w:themeColor="text1"/>
          <w:sz w:val="21"/>
          <w:szCs w:val="21"/>
          <w:highlight w:val="none"/>
          <w:lang w:eastAsia="zh-CN"/>
          <w14:textFill>
            <w14:solidFill>
              <w14:schemeClr w14:val="tx1"/>
            </w14:solidFill>
          </w14:textFill>
        </w:rPr>
        <w:t>20</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 xml:space="preserve"> 27 </w:t>
      </w:r>
      <w:r>
        <w:rPr>
          <w:rFonts w:hint="eastAsia" w:ascii="宋体" w:hAnsi="宋体" w:eastAsia="宋体" w:cs="宋体"/>
          <w:color w:val="000000" w:themeColor="text1"/>
          <w:sz w:val="21"/>
          <w:szCs w:val="21"/>
          <w:highlight w:val="none"/>
          <w:lang w:eastAsia="zh-CN"/>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时30分</w:t>
      </w:r>
      <w:r>
        <w:rPr>
          <w:rFonts w:hint="eastAsia" w:ascii="宋体" w:hAnsi="宋体" w:eastAsia="宋体" w:cs="宋体"/>
          <w:color w:val="000000" w:themeColor="text1"/>
          <w:sz w:val="21"/>
          <w:szCs w:val="21"/>
          <w:highlight w:val="none"/>
          <w14:textFill>
            <w14:solidFill>
              <w14:schemeClr w14:val="tx1"/>
            </w14:solidFill>
          </w14:textFill>
        </w:rPr>
        <w:t>（北京时间）截标。</w:t>
      </w:r>
    </w:p>
    <w:p w14:paraId="5DF3A9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bookmarkStart w:id="28" w:name="_Toc28359007"/>
      <w:bookmarkStart w:id="29" w:name="_Toc35393794"/>
      <w:bookmarkStart w:id="30" w:name="_Toc35393625"/>
      <w:bookmarkStart w:id="31" w:name="_Toc28359084"/>
      <w:r>
        <w:rPr>
          <w:rFonts w:hint="eastAsia" w:ascii="宋体" w:hAnsi="宋体" w:eastAsia="宋体" w:cs="宋体"/>
          <w:color w:val="000000" w:themeColor="text1"/>
          <w:sz w:val="21"/>
          <w:szCs w:val="21"/>
          <w:highlight w:val="none"/>
          <w14:textFill>
            <w14:solidFill>
              <w14:schemeClr w14:val="tx1"/>
            </w14:solidFill>
          </w14:textFill>
        </w:rPr>
        <w:t>地</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点：桂林市公共资源交易中心</w:t>
      </w:r>
      <w:r>
        <w:rPr>
          <w:rFonts w:hint="eastAsia" w:ascii="宋体" w:hAnsi="宋体" w:cs="宋体"/>
          <w:color w:val="000000" w:themeColor="text1"/>
          <w:sz w:val="21"/>
          <w:szCs w:val="21"/>
          <w:highlight w:val="none"/>
          <w:lang w:val="en-US" w:eastAsia="zh-CN"/>
          <w14:textFill>
            <w14:solidFill>
              <w14:schemeClr w14:val="tx1"/>
            </w14:solidFill>
          </w14:textFill>
        </w:rPr>
        <w:t>9号开标室</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1"/>
          <w:szCs w:val="21"/>
          <w:highlight w:val="none"/>
          <w14:textFill>
            <w14:solidFill>
              <w14:schemeClr w14:val="tx1"/>
            </w14:solidFill>
          </w14:textFill>
        </w:rPr>
        <w:t>号</w:t>
      </w:r>
      <w:r>
        <w:rPr>
          <w:rFonts w:hint="eastAsia" w:ascii="宋体" w:hAnsi="宋体" w:cs="宋体"/>
          <w:color w:val="000000" w:themeColor="text1"/>
          <w:sz w:val="21"/>
          <w:szCs w:val="21"/>
          <w:highlight w:val="none"/>
          <w:lang w:val="en-US" w:eastAsia="zh-CN"/>
          <w14:textFill>
            <w14:solidFill>
              <w14:schemeClr w14:val="tx1"/>
            </w14:solidFill>
          </w14:textFill>
        </w:rPr>
        <w:t>政采</w:t>
      </w:r>
      <w:r>
        <w:rPr>
          <w:rFonts w:hint="eastAsia" w:ascii="宋体" w:hAnsi="宋体" w:eastAsia="宋体" w:cs="宋体"/>
          <w:color w:val="000000" w:themeColor="text1"/>
          <w:sz w:val="21"/>
          <w:szCs w:val="21"/>
          <w:highlight w:val="none"/>
          <w14:textFill>
            <w14:solidFill>
              <w14:schemeClr w14:val="tx1"/>
            </w14:solidFill>
          </w14:textFill>
        </w:rPr>
        <w:t>开标</w:t>
      </w:r>
      <w:r>
        <w:rPr>
          <w:rFonts w:hint="eastAsia" w:ascii="宋体" w:hAnsi="宋体" w:cs="宋体"/>
          <w:color w:val="000000" w:themeColor="text1"/>
          <w:sz w:val="21"/>
          <w:szCs w:val="21"/>
          <w:highlight w:val="none"/>
          <w:lang w:val="en-US" w:eastAsia="zh-CN"/>
          <w14:textFill>
            <w14:solidFill>
              <w14:schemeClr w14:val="tx1"/>
            </w14:solidFill>
          </w14:textFill>
        </w:rPr>
        <w:t>仓</w:t>
      </w:r>
      <w:r>
        <w:rPr>
          <w:rFonts w:hint="eastAsia" w:ascii="宋体" w:hAnsi="宋体" w:eastAsia="宋体" w:cs="宋体"/>
          <w:color w:val="auto"/>
          <w:sz w:val="21"/>
          <w:szCs w:val="21"/>
          <w:highlight w:val="none"/>
        </w:rPr>
        <w:t>（广西桂林市临桂区西城中路69号创业大厦西辅楼4楼北区）通过广西政府采购云平台实行在线解密开启。</w:t>
      </w:r>
    </w:p>
    <w:p w14:paraId="06FDB63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六</w:t>
      </w:r>
      <w:r>
        <w:rPr>
          <w:rFonts w:hint="eastAsia" w:ascii="宋体" w:hAnsi="宋体" w:eastAsia="宋体" w:cs="宋体"/>
          <w:b/>
          <w:bCs/>
          <w:color w:val="auto"/>
          <w:sz w:val="21"/>
          <w:szCs w:val="21"/>
          <w:highlight w:val="none"/>
        </w:rPr>
        <w:t>、公告期限</w:t>
      </w:r>
      <w:bookmarkEnd w:id="28"/>
      <w:bookmarkEnd w:id="29"/>
      <w:bookmarkEnd w:id="30"/>
      <w:bookmarkEnd w:id="31"/>
    </w:p>
    <w:p w14:paraId="686702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4BE831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bookmarkStart w:id="32" w:name="_Toc35393626"/>
      <w:bookmarkStart w:id="33" w:name="_Toc35393795"/>
      <w:r>
        <w:rPr>
          <w:rFonts w:hint="eastAsia" w:ascii="宋体" w:hAnsi="宋体" w:eastAsia="宋体" w:cs="宋体"/>
          <w:b/>
          <w:bCs/>
          <w:color w:val="auto"/>
          <w:sz w:val="21"/>
          <w:szCs w:val="21"/>
          <w:highlight w:val="none"/>
          <w:lang w:eastAsia="zh-CN"/>
        </w:rPr>
        <w:t>七</w:t>
      </w:r>
      <w:r>
        <w:rPr>
          <w:rFonts w:hint="eastAsia" w:ascii="宋体" w:hAnsi="宋体" w:eastAsia="宋体" w:cs="宋体"/>
          <w:b/>
          <w:bCs/>
          <w:color w:val="auto"/>
          <w:sz w:val="21"/>
          <w:szCs w:val="21"/>
          <w:highlight w:val="none"/>
        </w:rPr>
        <w:t>、其他补充事宜</w:t>
      </w:r>
      <w:bookmarkEnd w:id="32"/>
      <w:bookmarkEnd w:id="33"/>
    </w:p>
    <w:p w14:paraId="2F4ABAB3">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1.资格条件特别说明</w:t>
      </w:r>
    </w:p>
    <w:p w14:paraId="4807AF25">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DE5C1D3">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1C921BB">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本项目需要落实的政府采购政策：</w:t>
      </w:r>
    </w:p>
    <w:p w14:paraId="3A1EEF83">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（1）《政府采购促进中小企业发展管理办法》（财库〔2020〕46号）。</w:t>
      </w:r>
    </w:p>
    <w:p w14:paraId="589788DE">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（2）《关于进一步加大政府采购支持中小企业力度的通知》（财库〔2022〕19号）。</w:t>
      </w:r>
    </w:p>
    <w:p w14:paraId="67BCBC81">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（3）《关于政府采购支持监狱企业发展有关问题的通知》（财库〔2014〕68号）。</w:t>
      </w:r>
    </w:p>
    <w:p w14:paraId="07F3EF7E">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（4）《关于促进残疾人就业政府采购政策的通知》（财库〔2017〕141号）。</w:t>
      </w:r>
    </w:p>
    <w:p w14:paraId="5A0F37A3">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（5）政府采购扶持不发达地区和少数民族地区。</w:t>
      </w:r>
    </w:p>
    <w:p w14:paraId="2BA4DF8A">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中小企业划分标准所属行业：“建筑业”</w:t>
      </w:r>
      <w:r>
        <w:rPr>
          <w:rFonts w:hint="eastAsia" w:ascii="宋体" w:hAnsi="宋体" w:eastAsia="宋体" w:cs="宋体"/>
          <w:b w:val="0"/>
          <w:bCs w:val="0"/>
          <w:color w:val="auto"/>
          <w:sz w:val="21"/>
          <w:szCs w:val="21"/>
          <w:highlight w:val="none"/>
          <w:lang w:val="en-US" w:eastAsia="zh-CN"/>
        </w:rPr>
        <w:t>。</w:t>
      </w:r>
    </w:p>
    <w:p w14:paraId="013A0C54">
      <w:pPr>
        <w:keepNext w:val="0"/>
        <w:keepLines w:val="0"/>
        <w:pageBreakBefore w:val="0"/>
        <w:widowControl w:val="0"/>
        <w:numPr>
          <w:ilvl w:val="0"/>
          <w:numId w:val="0"/>
        </w:numPr>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本项目信息发布媒体：http://www.ccgp.gov.cn（中国政府采购网）、http://zfcg.gxzf.gov.cn（广西壮族自治区政府采购网）、http://zfcg.czj.guilin.gov.cn（桂林市政府采购网）</w:t>
      </w:r>
      <w:r>
        <w:rPr>
          <w:rFonts w:hint="eastAsia" w:ascii="宋体" w:hAnsi="宋体" w:eastAsia="宋体" w:cs="宋体"/>
          <w:color w:val="auto"/>
          <w:sz w:val="21"/>
          <w:szCs w:val="21"/>
          <w:highlight w:val="none"/>
          <w:lang w:eastAsia="zh-CN"/>
        </w:rPr>
        <w:t>。</w:t>
      </w:r>
    </w:p>
    <w:p w14:paraId="04C0FAD8">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4.在线投标响应（电子投标）说明</w:t>
      </w:r>
    </w:p>
    <w:p w14:paraId="516AB81D">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5EF0CDA3">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（2）电子竞标具体操作流程参考《政府采购项目电子交易管理操作指南-供应商》；如遇平台技术问题详询95763。</w:t>
      </w:r>
    </w:p>
    <w:p w14:paraId="729B42A2">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（3）电子响应文件的制作、加密、提交、解密等相关事宜详见第二章 “磋商供应商须知”。</w:t>
      </w:r>
    </w:p>
    <w:p w14:paraId="6DABB5C2">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5.本项目需要磋商供应商代表在截标当天截标后，按磋商小组要求及时登陆广西政府采购云平台等候在线磋商及提交最后报价。</w:t>
      </w:r>
    </w:p>
    <w:p w14:paraId="39818FFF">
      <w:pPr>
        <w:pStyle w:val="26"/>
        <w:keepNext w:val="0"/>
        <w:keepLines w:val="0"/>
        <w:pageBreakBefore w:val="0"/>
        <w:widowControl w:val="0"/>
        <w:kinsoku/>
        <w:wordWrap/>
        <w:overflowPunct/>
        <w:topLinePunct w:val="0"/>
        <w:bidi w:val="0"/>
        <w:snapToGrid/>
        <w:spacing w:line="400" w:lineRule="exact"/>
        <w:ind w:firstLine="420" w:firstLineChars="200"/>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u w:val="none"/>
          <w:lang w:val="en-US" w:eastAsia="zh-CN"/>
        </w:rPr>
        <w:t>6.监督管理机构：桂林市雁山区政府采购管理办公室  联系电话：0773-3551959 。</w:t>
      </w:r>
    </w:p>
    <w:p w14:paraId="24B00529">
      <w:pPr>
        <w:pStyle w:val="26"/>
        <w:keepNext w:val="0"/>
        <w:keepLines w:val="0"/>
        <w:pageBreakBefore w:val="0"/>
        <w:widowControl w:val="0"/>
        <w:kinsoku/>
        <w:wordWrap/>
        <w:overflowPunct/>
        <w:topLinePunct w:val="0"/>
        <w:bidi w:val="0"/>
        <w:snapToGrid/>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八、</w:t>
      </w:r>
      <w:r>
        <w:rPr>
          <w:rFonts w:hint="eastAsia" w:ascii="宋体" w:hAnsi="宋体" w:eastAsia="宋体" w:cs="宋体"/>
          <w:b/>
          <w:bCs/>
          <w:color w:val="auto"/>
          <w:sz w:val="21"/>
          <w:szCs w:val="21"/>
          <w:highlight w:val="none"/>
        </w:rPr>
        <w:t>凡对本次采购提出询问，请按以下方式联系。</w:t>
      </w:r>
      <w:bookmarkEnd w:id="20"/>
      <w:bookmarkEnd w:id="21"/>
      <w:bookmarkEnd w:id="22"/>
      <w:bookmarkEnd w:id="23"/>
    </w:p>
    <w:p w14:paraId="149B177F">
      <w:pPr>
        <w:pStyle w:val="26"/>
        <w:spacing w:line="380" w:lineRule="exact"/>
        <w:ind w:firstLine="420" w:firstLineChars="200"/>
        <w:rPr>
          <w:rFonts w:ascii="宋体" w:hAnsi="宋体" w:cs="宋体"/>
          <w:color w:val="auto"/>
          <w:sz w:val="21"/>
          <w:szCs w:val="21"/>
          <w:highlight w:val="none"/>
          <w:shd w:val="clear" w:color="auto" w:fill="auto"/>
        </w:rPr>
      </w:pPr>
      <w:bookmarkStart w:id="34" w:name="_Toc14195"/>
      <w:bookmarkStart w:id="35" w:name="_Toc11940"/>
      <w:bookmarkStart w:id="36" w:name="_Toc19796"/>
      <w:bookmarkStart w:id="37" w:name="_Toc28750"/>
      <w:bookmarkStart w:id="38" w:name="_Toc5859"/>
      <w:bookmarkStart w:id="39" w:name="_Toc13906"/>
      <w:bookmarkStart w:id="40" w:name="_Toc26924"/>
      <w:r>
        <w:rPr>
          <w:rFonts w:hint="eastAsia" w:ascii="宋体" w:hAnsi="宋体" w:cs="宋体"/>
          <w:color w:val="auto"/>
          <w:sz w:val="21"/>
          <w:szCs w:val="21"/>
          <w:highlight w:val="none"/>
          <w:shd w:val="clear" w:color="auto" w:fill="auto"/>
        </w:rPr>
        <w:t>1、采购人信息</w:t>
      </w:r>
      <w:bookmarkEnd w:id="34"/>
      <w:bookmarkEnd w:id="35"/>
      <w:bookmarkEnd w:id="36"/>
      <w:bookmarkEnd w:id="37"/>
      <w:bookmarkEnd w:id="38"/>
      <w:bookmarkEnd w:id="39"/>
    </w:p>
    <w:p w14:paraId="6E0C96E4">
      <w:pPr>
        <w:pStyle w:val="26"/>
        <w:spacing w:line="38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名称：</w:t>
      </w:r>
      <w:r>
        <w:rPr>
          <w:rFonts w:hint="eastAsia" w:ascii="宋体" w:hAnsi="宋体" w:eastAsia="宋体" w:cs="宋体"/>
          <w:color w:val="auto"/>
          <w:sz w:val="21"/>
          <w:szCs w:val="21"/>
          <w:highlight w:val="none"/>
          <w:shd w:val="clear" w:color="auto" w:fill="auto"/>
          <w:lang w:val="en-US" w:eastAsia="zh-CN"/>
        </w:rPr>
        <w:t>桂林市雁山区柘木镇人民政府</w:t>
      </w:r>
    </w:p>
    <w:p w14:paraId="5BAB8B64">
      <w:pPr>
        <w:pStyle w:val="26"/>
        <w:spacing w:line="380" w:lineRule="exact"/>
        <w:ind w:firstLine="420" w:firstLineChars="20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地址：桂林市象山区瓦窑路17号</w:t>
      </w:r>
    </w:p>
    <w:p w14:paraId="0A8694D0">
      <w:pPr>
        <w:pStyle w:val="26"/>
        <w:spacing w:line="380" w:lineRule="exact"/>
        <w:ind w:firstLine="420" w:firstLineChars="20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联系方式：</w:t>
      </w:r>
      <w:bookmarkStart w:id="41" w:name="_Toc25786"/>
      <w:bookmarkStart w:id="42" w:name="_Toc20363"/>
      <w:bookmarkStart w:id="43" w:name="_Toc12722"/>
      <w:bookmarkStart w:id="44" w:name="_Toc23917"/>
      <w:bookmarkStart w:id="45" w:name="_Toc12451"/>
      <w:bookmarkStart w:id="46" w:name="_Toc2568"/>
      <w:r>
        <w:rPr>
          <w:rFonts w:hint="eastAsia" w:ascii="宋体" w:hAnsi="宋体" w:cs="宋体"/>
          <w:color w:val="auto"/>
          <w:sz w:val="21"/>
          <w:szCs w:val="21"/>
          <w:highlight w:val="none"/>
          <w:shd w:val="clear" w:color="auto" w:fill="auto"/>
        </w:rPr>
        <w:t>0773</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rPr>
        <w:t>3601731</w:t>
      </w:r>
    </w:p>
    <w:p w14:paraId="7655206B">
      <w:pPr>
        <w:pStyle w:val="26"/>
        <w:spacing w:line="380" w:lineRule="exact"/>
        <w:ind w:firstLine="420" w:firstLineChars="200"/>
        <w:rPr>
          <w:rFonts w:ascii="宋体" w:hAnsi="宋体" w:cs="宋体"/>
          <w:color w:val="auto"/>
          <w:sz w:val="21"/>
          <w:szCs w:val="21"/>
          <w:highlight w:val="none"/>
          <w:shd w:val="clear" w:color="auto" w:fill="auto"/>
        </w:rPr>
      </w:pPr>
      <w:bookmarkStart w:id="47" w:name="_Toc30180"/>
      <w:r>
        <w:rPr>
          <w:rFonts w:hint="eastAsia" w:ascii="宋体" w:hAnsi="宋体" w:cs="宋体"/>
          <w:color w:val="auto"/>
          <w:sz w:val="21"/>
          <w:szCs w:val="21"/>
          <w:highlight w:val="none"/>
          <w:shd w:val="clear" w:color="auto" w:fill="auto"/>
        </w:rPr>
        <w:t>2、采购代理机构信息</w:t>
      </w:r>
      <w:bookmarkEnd w:id="41"/>
      <w:bookmarkEnd w:id="42"/>
      <w:bookmarkEnd w:id="43"/>
      <w:bookmarkEnd w:id="44"/>
      <w:bookmarkEnd w:id="45"/>
      <w:bookmarkEnd w:id="46"/>
      <w:bookmarkEnd w:id="47"/>
    </w:p>
    <w:p w14:paraId="315B22B5">
      <w:pPr>
        <w:pStyle w:val="26"/>
        <w:spacing w:line="380" w:lineRule="exact"/>
        <w:ind w:firstLine="420" w:firstLineChars="200"/>
        <w:rPr>
          <w:rFonts w:hint="eastAsia" w:ascii="宋体" w:hAnsi="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rPr>
        <w:t>名称：</w:t>
      </w:r>
      <w:r>
        <w:rPr>
          <w:rFonts w:hint="eastAsia" w:ascii="宋体" w:hAnsi="宋体" w:cs="宋体"/>
          <w:color w:val="auto"/>
          <w:sz w:val="21"/>
          <w:szCs w:val="21"/>
          <w:highlight w:val="none"/>
          <w:shd w:val="clear" w:color="auto" w:fill="auto"/>
          <w:lang w:val="en-US" w:eastAsia="zh-CN"/>
        </w:rPr>
        <w:t>华春建设工程项目管理有限责任公司</w:t>
      </w:r>
    </w:p>
    <w:p w14:paraId="1CEA4759">
      <w:pPr>
        <w:pStyle w:val="26"/>
        <w:spacing w:line="380" w:lineRule="exact"/>
        <w:ind w:firstLine="420" w:firstLineChars="200"/>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rPr>
        <w:t>地址：</w:t>
      </w:r>
      <w:r>
        <w:rPr>
          <w:rFonts w:hint="eastAsia" w:ascii="宋体" w:hAnsi="宋体" w:eastAsia="宋体" w:cs="宋体"/>
          <w:color w:val="auto"/>
          <w:sz w:val="21"/>
          <w:szCs w:val="21"/>
          <w:highlight w:val="none"/>
          <w:shd w:val="clear" w:color="auto" w:fill="auto"/>
          <w:lang w:val="en-US" w:eastAsia="zh-CN"/>
        </w:rPr>
        <w:t>桂林市环城北一路39号4号楼四楼</w:t>
      </w:r>
    </w:p>
    <w:p w14:paraId="15AF78DC">
      <w:pPr>
        <w:pStyle w:val="26"/>
        <w:spacing w:line="380" w:lineRule="exact"/>
        <w:ind w:firstLine="420" w:firstLineChars="200"/>
        <w:rPr>
          <w:rFonts w:hint="default"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rPr>
        <w:t>联系人</w:t>
      </w:r>
      <w:r>
        <w:rPr>
          <w:rFonts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苏晓明、高翔、罗欢</w:t>
      </w:r>
    </w:p>
    <w:p w14:paraId="206BF652">
      <w:pPr>
        <w:pStyle w:val="26"/>
        <w:spacing w:line="380" w:lineRule="exact"/>
        <w:ind w:firstLine="420" w:firstLineChars="200"/>
        <w:rPr>
          <w:rFonts w:hint="default" w:ascii="宋体" w:hAnsi="宋体" w:cs="宋体"/>
          <w:color w:val="auto"/>
          <w:sz w:val="21"/>
          <w:szCs w:val="21"/>
          <w:highlight w:val="none"/>
          <w:shd w:val="clear" w:color="auto" w:fill="auto"/>
          <w:lang w:val="en-US"/>
        </w:rPr>
      </w:pPr>
      <w:r>
        <w:rPr>
          <w:rFonts w:hint="eastAsia" w:ascii="宋体" w:hAnsi="宋体" w:cs="宋体"/>
          <w:color w:val="auto"/>
          <w:sz w:val="21"/>
          <w:szCs w:val="21"/>
          <w:highlight w:val="none"/>
          <w:shd w:val="clear" w:color="auto" w:fill="auto"/>
        </w:rPr>
        <w:t>联系方式：</w:t>
      </w:r>
      <w:r>
        <w:rPr>
          <w:rFonts w:hint="eastAsia" w:ascii="宋体" w:hAnsi="宋体" w:cs="宋体"/>
          <w:color w:val="auto"/>
          <w:sz w:val="21"/>
          <w:szCs w:val="21"/>
          <w:highlight w:val="none"/>
          <w:shd w:val="clear" w:color="auto" w:fill="auto"/>
          <w:lang w:val="en-US" w:eastAsia="zh-CN"/>
        </w:rPr>
        <w:t>0773-5888885</w:t>
      </w:r>
    </w:p>
    <w:p w14:paraId="7924880D">
      <w:pPr>
        <w:pStyle w:val="55"/>
        <w:spacing w:line="460" w:lineRule="exact"/>
        <w:ind w:firstLine="0"/>
        <w:jc w:val="center"/>
        <w:rPr>
          <w:color w:val="auto"/>
          <w:sz w:val="21"/>
          <w:szCs w:val="21"/>
          <w:highlight w:val="none"/>
          <w:shd w:val="clear" w:color="auto" w:fill="auto"/>
        </w:rPr>
      </w:pPr>
      <w:r>
        <w:rPr>
          <w:rFonts w:hint="eastAsia" w:ascii="宋体" w:hAnsi="宋体" w:cs="宋体"/>
          <w:color w:val="auto"/>
          <w:sz w:val="21"/>
          <w:szCs w:val="21"/>
          <w:highlight w:val="none"/>
          <w:shd w:val="clear" w:color="auto" w:fill="auto"/>
          <w:lang w:val="en-US" w:eastAsia="zh-CN"/>
        </w:rPr>
        <w:t xml:space="preserve">                                                        华春建设工程项目管理有限责任公司</w:t>
      </w:r>
    </w:p>
    <w:p w14:paraId="1BB1CB26">
      <w:pPr>
        <w:pStyle w:val="55"/>
        <w:spacing w:line="460" w:lineRule="exact"/>
        <w:ind w:right="420" w:firstLine="480" w:firstLineChars="229"/>
        <w:jc w:val="right"/>
        <w:rPr>
          <w:rFonts w:ascii="宋体" w:hAnsi="宋体" w:cs="宋体"/>
          <w:b w:val="0"/>
          <w:bCs w:val="0"/>
          <w:color w:val="000000" w:themeColor="text1"/>
          <w:sz w:val="21"/>
          <w:szCs w:val="21"/>
          <w:highlight w:val="none"/>
          <w:shd w:val="clear" w:color="auto" w:fill="auto"/>
          <w14:textFill>
            <w14:solidFill>
              <w14:schemeClr w14:val="tx1"/>
            </w14:solidFill>
          </w14:textFill>
        </w:rPr>
      </w:pPr>
      <w:r>
        <w:rPr>
          <w:rFonts w:hint="eastAsia" w:ascii="宋体" w:hAnsi="宋体" w:cs="宋体"/>
          <w:b w:val="0"/>
          <w:bCs w:val="0"/>
          <w:color w:val="000000" w:themeColor="text1"/>
          <w:sz w:val="21"/>
          <w:szCs w:val="21"/>
          <w:highlight w:val="none"/>
          <w:shd w:val="clear" w:color="auto" w:fill="auto"/>
          <w:lang w:val="en-US" w:eastAsia="zh-CN"/>
          <w14:textFill>
            <w14:solidFill>
              <w14:schemeClr w14:val="tx1"/>
            </w14:solidFill>
          </w14:textFill>
        </w:rPr>
        <w:t xml:space="preserve">   </w:t>
      </w:r>
      <w:r>
        <w:rPr>
          <w:rFonts w:hint="eastAsia" w:ascii="宋体" w:hAnsi="宋体" w:cs="宋体"/>
          <w:b w:val="0"/>
          <w:bCs w:val="0"/>
          <w:color w:val="000000" w:themeColor="text1"/>
          <w:sz w:val="21"/>
          <w:szCs w:val="21"/>
          <w:highlight w:val="none"/>
          <w:shd w:val="clear" w:color="auto" w:fill="auto"/>
          <w14:textFill>
            <w14:solidFill>
              <w14:schemeClr w14:val="tx1"/>
            </w14:solidFill>
          </w14:textFill>
        </w:rPr>
        <w:t>202</w:t>
      </w:r>
      <w:r>
        <w:rPr>
          <w:rFonts w:hint="eastAsia" w:ascii="宋体" w:hAnsi="宋体" w:cs="宋体"/>
          <w:b w:val="0"/>
          <w:bCs w:val="0"/>
          <w:color w:val="000000" w:themeColor="text1"/>
          <w:sz w:val="21"/>
          <w:szCs w:val="21"/>
          <w:highlight w:val="none"/>
          <w:shd w:val="clear" w:color="auto" w:fill="auto"/>
          <w:lang w:val="en-US" w:eastAsia="zh-CN"/>
          <w14:textFill>
            <w14:solidFill>
              <w14:schemeClr w14:val="tx1"/>
            </w14:solidFill>
          </w14:textFill>
        </w:rPr>
        <w:t>6</w:t>
      </w:r>
      <w:r>
        <w:rPr>
          <w:rFonts w:hint="eastAsia" w:ascii="宋体" w:hAnsi="宋体" w:cs="宋体"/>
          <w:b w:val="0"/>
          <w:bCs w:val="0"/>
          <w:color w:val="000000" w:themeColor="text1"/>
          <w:sz w:val="21"/>
          <w:szCs w:val="21"/>
          <w:highlight w:val="none"/>
          <w:shd w:val="clear" w:color="auto" w:fill="auto"/>
          <w14:textFill>
            <w14:solidFill>
              <w14:schemeClr w14:val="tx1"/>
            </w14:solidFill>
          </w14:textFill>
        </w:rPr>
        <w:t>年</w:t>
      </w:r>
      <w:r>
        <w:rPr>
          <w:rFonts w:hint="eastAsia" w:ascii="宋体" w:hAnsi="宋体" w:cs="宋体"/>
          <w:b w:val="0"/>
          <w:bCs w:val="0"/>
          <w:color w:val="000000" w:themeColor="text1"/>
          <w:sz w:val="21"/>
          <w:szCs w:val="21"/>
          <w:highlight w:val="none"/>
          <w:shd w:val="clear" w:color="auto" w:fill="auto"/>
          <w:lang w:val="en-US" w:eastAsia="zh-CN"/>
          <w14:textFill>
            <w14:solidFill>
              <w14:schemeClr w14:val="tx1"/>
            </w14:solidFill>
          </w14:textFill>
        </w:rPr>
        <w:t>7</w:t>
      </w:r>
      <w:r>
        <w:rPr>
          <w:rFonts w:hint="eastAsia" w:ascii="宋体" w:hAnsi="宋体" w:cs="宋体"/>
          <w:b w:val="0"/>
          <w:bCs w:val="0"/>
          <w:color w:val="000000" w:themeColor="text1"/>
          <w:sz w:val="21"/>
          <w:szCs w:val="21"/>
          <w:highlight w:val="none"/>
          <w:shd w:val="clear" w:color="auto" w:fill="auto"/>
          <w14:textFill>
            <w14:solidFill>
              <w14:schemeClr w14:val="tx1"/>
            </w14:solidFill>
          </w14:textFill>
        </w:rPr>
        <w:t>月</w:t>
      </w:r>
      <w:r>
        <w:rPr>
          <w:rFonts w:hint="eastAsia" w:ascii="宋体" w:hAnsi="宋体" w:cs="宋体"/>
          <w:b w:val="0"/>
          <w:bCs w:val="0"/>
          <w:color w:val="000000" w:themeColor="text1"/>
          <w:sz w:val="21"/>
          <w:szCs w:val="21"/>
          <w:highlight w:val="none"/>
          <w:shd w:val="clear" w:color="auto" w:fill="auto"/>
          <w:lang w:val="en-US" w:eastAsia="zh-CN"/>
          <w14:textFill>
            <w14:solidFill>
              <w14:schemeClr w14:val="tx1"/>
            </w14:solidFill>
          </w14:textFill>
        </w:rPr>
        <w:t xml:space="preserve"> 16</w:t>
      </w:r>
      <w:r>
        <w:rPr>
          <w:rFonts w:hint="eastAsia" w:ascii="宋体" w:hAnsi="宋体" w:cs="宋体"/>
          <w:b w:val="0"/>
          <w:bCs w:val="0"/>
          <w:color w:val="000000" w:themeColor="text1"/>
          <w:sz w:val="21"/>
          <w:szCs w:val="21"/>
          <w:highlight w:val="none"/>
          <w:shd w:val="clear" w:color="auto" w:fill="auto"/>
          <w14:textFill>
            <w14:solidFill>
              <w14:schemeClr w14:val="tx1"/>
            </w14:solidFill>
          </w14:textFill>
        </w:rPr>
        <w:t>日</w:t>
      </w:r>
    </w:p>
    <w:p w14:paraId="70888E91">
      <w:pPr>
        <w:spacing w:line="460" w:lineRule="exact"/>
        <w:jc w:val="center"/>
        <w:outlineLvl w:val="9"/>
        <w:rPr>
          <w:rFonts w:ascii="宋体" w:hAnsi="宋体" w:cs="宋体"/>
          <w:b/>
          <w:bCs/>
          <w:color w:val="auto"/>
          <w:sz w:val="32"/>
          <w:szCs w:val="32"/>
          <w:highlight w:val="none"/>
          <w:shd w:val="clear" w:color="auto" w:fill="auto"/>
        </w:rPr>
      </w:pPr>
    </w:p>
    <w:p w14:paraId="214C9A0D">
      <w:pPr>
        <w:rPr>
          <w:rFonts w:hint="eastAsia" w:ascii="宋体" w:hAnsi="宋体" w:eastAsia="宋体" w:cs="宋体"/>
          <w:color w:val="auto"/>
          <w:sz w:val="21"/>
          <w:szCs w:val="21"/>
          <w:highlight w:val="none"/>
        </w:rPr>
      </w:pPr>
    </w:p>
    <w:p w14:paraId="6875F6E7">
      <w:pPr>
        <w:pStyle w:val="9"/>
        <w:rPr>
          <w:rFonts w:hint="eastAsia" w:ascii="宋体" w:hAnsi="宋体" w:eastAsia="宋体" w:cs="宋体"/>
          <w:color w:val="auto"/>
          <w:sz w:val="21"/>
          <w:szCs w:val="21"/>
          <w:highlight w:val="none"/>
        </w:rPr>
      </w:pPr>
    </w:p>
    <w:p w14:paraId="418B9B74">
      <w:pPr>
        <w:pStyle w:val="9"/>
        <w:rPr>
          <w:rFonts w:hint="eastAsia" w:ascii="宋体" w:hAnsi="宋体" w:eastAsia="宋体" w:cs="宋体"/>
          <w:color w:val="auto"/>
          <w:sz w:val="21"/>
          <w:szCs w:val="21"/>
          <w:highlight w:val="none"/>
        </w:rPr>
      </w:pPr>
    </w:p>
    <w:p w14:paraId="2BC854B3">
      <w:pPr>
        <w:pStyle w:val="9"/>
        <w:rPr>
          <w:rFonts w:hint="eastAsia" w:ascii="宋体" w:hAnsi="宋体" w:eastAsia="宋体" w:cs="宋体"/>
          <w:color w:val="auto"/>
          <w:sz w:val="21"/>
          <w:szCs w:val="21"/>
          <w:highlight w:val="none"/>
        </w:rPr>
      </w:pPr>
    </w:p>
    <w:p w14:paraId="4362AD6A">
      <w:pPr>
        <w:pStyle w:val="9"/>
        <w:rPr>
          <w:rFonts w:hint="eastAsia" w:ascii="宋体" w:hAnsi="宋体" w:eastAsia="宋体" w:cs="宋体"/>
          <w:color w:val="auto"/>
          <w:sz w:val="21"/>
          <w:szCs w:val="21"/>
          <w:highlight w:val="none"/>
        </w:rPr>
      </w:pPr>
    </w:p>
    <w:p w14:paraId="39254F76">
      <w:pPr>
        <w:pStyle w:val="9"/>
        <w:rPr>
          <w:rFonts w:hint="eastAsia" w:ascii="宋体" w:hAnsi="宋体" w:eastAsia="宋体" w:cs="宋体"/>
          <w:color w:val="auto"/>
          <w:sz w:val="21"/>
          <w:szCs w:val="21"/>
          <w:highlight w:val="none"/>
        </w:rPr>
      </w:pPr>
    </w:p>
    <w:p w14:paraId="5659E644">
      <w:pPr>
        <w:pStyle w:val="9"/>
        <w:rPr>
          <w:rFonts w:hint="eastAsia" w:ascii="宋体" w:hAnsi="宋体" w:eastAsia="宋体" w:cs="宋体"/>
          <w:color w:val="auto"/>
          <w:sz w:val="21"/>
          <w:szCs w:val="21"/>
          <w:highlight w:val="none"/>
        </w:rPr>
      </w:pPr>
    </w:p>
    <w:p w14:paraId="1F4A39CC">
      <w:pPr>
        <w:pStyle w:val="5"/>
        <w:rPr>
          <w:rFonts w:hint="eastAsia" w:ascii="宋体" w:hAnsi="宋体" w:eastAsia="宋体" w:cs="宋体"/>
          <w:color w:val="auto"/>
          <w:sz w:val="21"/>
          <w:szCs w:val="21"/>
          <w:highlight w:val="none"/>
        </w:rPr>
      </w:pPr>
    </w:p>
    <w:p w14:paraId="43F3E52C">
      <w:pPr>
        <w:rPr>
          <w:rFonts w:hint="eastAsia" w:ascii="宋体" w:hAnsi="宋体" w:eastAsia="宋体" w:cs="宋体"/>
          <w:color w:val="auto"/>
          <w:sz w:val="21"/>
          <w:szCs w:val="21"/>
          <w:highlight w:val="none"/>
        </w:rPr>
      </w:pPr>
    </w:p>
    <w:p w14:paraId="30629053">
      <w:pPr>
        <w:pStyle w:val="2"/>
        <w:keepNext/>
        <w:keepLines/>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lang w:eastAsia="zh-CN"/>
        </w:rPr>
      </w:pPr>
    </w:p>
    <w:p w14:paraId="7F9DBAB3">
      <w:pPr>
        <w:rPr>
          <w:rFonts w:hint="eastAsia" w:ascii="宋体" w:hAnsi="宋体" w:eastAsia="宋体" w:cs="宋体"/>
          <w:color w:val="auto"/>
          <w:sz w:val="21"/>
          <w:szCs w:val="21"/>
          <w:highlight w:val="none"/>
          <w:lang w:eastAsia="zh-CN"/>
        </w:rPr>
      </w:pPr>
    </w:p>
    <w:p w14:paraId="1A230CB8">
      <w:pPr>
        <w:pStyle w:val="11"/>
        <w:rPr>
          <w:rFonts w:hint="eastAsia" w:ascii="宋体" w:hAnsi="宋体" w:eastAsia="宋体" w:cs="宋体"/>
          <w:color w:val="auto"/>
          <w:sz w:val="21"/>
          <w:szCs w:val="21"/>
          <w:highlight w:val="none"/>
          <w:lang w:eastAsia="zh-CN"/>
        </w:rPr>
      </w:pPr>
    </w:p>
    <w:p w14:paraId="2E296520">
      <w:pPr>
        <w:rPr>
          <w:rFonts w:hint="eastAsia" w:ascii="宋体" w:hAnsi="宋体" w:eastAsia="宋体" w:cs="宋体"/>
          <w:color w:val="auto"/>
          <w:sz w:val="21"/>
          <w:szCs w:val="21"/>
          <w:highlight w:val="none"/>
          <w:lang w:eastAsia="zh-CN"/>
        </w:rPr>
      </w:pPr>
    </w:p>
    <w:p w14:paraId="013FD5D0">
      <w:pPr>
        <w:pStyle w:val="11"/>
        <w:rPr>
          <w:rFonts w:hint="eastAsia"/>
          <w:color w:val="auto"/>
          <w:highlight w:val="none"/>
          <w:lang w:eastAsia="zh-CN"/>
        </w:rPr>
      </w:pPr>
    </w:p>
    <w:p w14:paraId="2C658527">
      <w:pPr>
        <w:rPr>
          <w:rFonts w:hint="eastAsia"/>
          <w:lang w:eastAsia="zh-CN"/>
        </w:rPr>
      </w:pPr>
    </w:p>
    <w:p w14:paraId="787F5EE8">
      <w:pPr>
        <w:rPr>
          <w:rFonts w:hint="eastAsia"/>
          <w:color w:val="auto"/>
          <w:highlight w:val="none"/>
          <w:lang w:eastAsia="zh-CN"/>
        </w:rPr>
      </w:pPr>
    </w:p>
    <w:p w14:paraId="6810FF5C">
      <w:pPr>
        <w:pStyle w:val="2"/>
        <w:keepNext/>
        <w:keepLines/>
        <w:pageBreakBefore w:val="0"/>
        <w:widowControl w:val="0"/>
        <w:numPr>
          <w:ilvl w:val="0"/>
          <w:numId w:val="0"/>
        </w:numP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8"/>
          <w:szCs w:val="28"/>
          <w:highlight w:val="none"/>
        </w:rPr>
      </w:pPr>
      <w:bookmarkStart w:id="48" w:name="_Toc16146"/>
      <w:r>
        <w:rPr>
          <w:rFonts w:hint="eastAsia" w:ascii="宋体" w:hAnsi="宋体" w:eastAsia="宋体" w:cs="宋体"/>
          <w:color w:val="auto"/>
          <w:sz w:val="28"/>
          <w:szCs w:val="28"/>
          <w:highlight w:val="none"/>
          <w:lang w:eastAsia="zh-CN"/>
        </w:rPr>
        <w:t>第二章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供应商须知</w:t>
      </w:r>
      <w:bookmarkEnd w:id="48"/>
    </w:p>
    <w:p w14:paraId="5C848028">
      <w:pPr>
        <w:pStyle w:val="3"/>
        <w:keepNext/>
        <w:keepLines/>
        <w:pageBreakBefore w:val="0"/>
        <w:widowControl w:val="0"/>
        <w:tabs>
          <w:tab w:val="left" w:pos="567"/>
        </w:tabs>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1"/>
          <w:szCs w:val="21"/>
          <w:highlight w:val="none"/>
          <w:lang w:eastAsia="zh-CN"/>
        </w:rPr>
      </w:pPr>
      <w:bookmarkStart w:id="49" w:name="_Toc9508"/>
      <w:bookmarkStart w:id="50" w:name="_Toc1585"/>
      <w:bookmarkStart w:id="51" w:name="_Toc25063"/>
      <w:bookmarkStart w:id="52" w:name="_Toc23030"/>
      <w:bookmarkStart w:id="53" w:name="_Toc13547"/>
      <w:r>
        <w:rPr>
          <w:rFonts w:hint="eastAsia" w:ascii="宋体" w:hAnsi="宋体" w:eastAsia="宋体" w:cs="宋体"/>
          <w:b/>
          <w:bCs w:val="0"/>
          <w:color w:val="auto"/>
          <w:sz w:val="21"/>
          <w:szCs w:val="21"/>
          <w:highlight w:val="none"/>
        </w:rPr>
        <w:t>供 应 商 须 知 前 附 表</w:t>
      </w:r>
      <w:bookmarkEnd w:id="49"/>
      <w:bookmarkEnd w:id="50"/>
      <w:bookmarkEnd w:id="51"/>
      <w:bookmarkEnd w:id="52"/>
      <w:bookmarkEnd w:id="53"/>
    </w:p>
    <w:bookmarkEnd w:id="40"/>
    <w:tbl>
      <w:tblPr>
        <w:tblStyle w:val="21"/>
        <w:tblW w:w="10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912"/>
      </w:tblGrid>
      <w:tr w14:paraId="0D66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62" w:type="dxa"/>
            <w:vAlign w:val="center"/>
          </w:tcPr>
          <w:p w14:paraId="42F4C0E4">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42" w:type="dxa"/>
            <w:vAlign w:val="center"/>
          </w:tcPr>
          <w:p w14:paraId="7799AB85">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775" w:type="dxa"/>
            <w:vAlign w:val="center"/>
          </w:tcPr>
          <w:p w14:paraId="2AC3A7AB">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912" w:type="dxa"/>
            <w:vAlign w:val="center"/>
          </w:tcPr>
          <w:p w14:paraId="1F145F5D">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内容、要求</w:t>
            </w:r>
          </w:p>
        </w:tc>
      </w:tr>
      <w:tr w14:paraId="7D25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2" w:type="dxa"/>
            <w:vAlign w:val="center"/>
          </w:tcPr>
          <w:p w14:paraId="0C43338A">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42" w:type="dxa"/>
            <w:vAlign w:val="center"/>
          </w:tcPr>
          <w:p w14:paraId="304DC6E5">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775" w:type="dxa"/>
            <w:vAlign w:val="center"/>
          </w:tcPr>
          <w:p w14:paraId="0D5D941A">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项目名称及项目编号</w:t>
            </w:r>
          </w:p>
        </w:tc>
        <w:tc>
          <w:tcPr>
            <w:tcW w:w="6912" w:type="dxa"/>
            <w:vAlign w:val="center"/>
          </w:tcPr>
          <w:p w14:paraId="525A85A7">
            <w:pPr>
              <w:pageBreakBefore w:val="0"/>
              <w:widowControl w:val="0"/>
              <w:kinsoku/>
              <w:wordWrap/>
              <w:overflowPunct/>
              <w:topLinePunct w:val="0"/>
              <w:autoSpaceDE/>
              <w:autoSpaceDN/>
              <w:bidi w:val="0"/>
              <w:adjustRightInd/>
              <w:spacing w:line="380" w:lineRule="exact"/>
              <w:ind w:left="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eastAsia="宋体" w:cs="宋体"/>
                <w:b w:val="0"/>
                <w:bCs w:val="0"/>
                <w:color w:val="000000" w:themeColor="text1"/>
                <w:kern w:val="2"/>
                <w:sz w:val="21"/>
                <w:szCs w:val="21"/>
                <w:highlight w:val="none"/>
                <w:u w:val="none"/>
                <w:lang w:val="en-US" w:eastAsia="zh-CN" w:bidi="ar-SA"/>
                <w14:textFill>
                  <w14:solidFill>
                    <w14:schemeClr w14:val="tx1"/>
                  </w14:solidFill>
                </w14:textFill>
              </w:rPr>
              <w:t>乡村工匠产业园污水管网改造提升项目</w:t>
            </w:r>
          </w:p>
          <w:p w14:paraId="70C6723A">
            <w:pPr>
              <w:pageBreakBefore w:val="0"/>
              <w:widowControl w:val="0"/>
              <w:kinsoku/>
              <w:wordWrap/>
              <w:overflowPunct/>
              <w:topLinePunct w:val="0"/>
              <w:autoSpaceDE/>
              <w:autoSpaceDN/>
              <w:bidi w:val="0"/>
              <w:adjustRightInd/>
              <w:spacing w:line="380" w:lineRule="exact"/>
              <w:ind w:left="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项目编号</w:t>
            </w:r>
            <w:r>
              <w:rPr>
                <w:rFonts w:hint="eastAsia" w:ascii="宋体" w:hAnsi="宋体" w:eastAsia="宋体" w:cs="宋体"/>
                <w:b w:val="0"/>
                <w:bCs w:val="0"/>
                <w:color w:val="000000" w:themeColor="text1"/>
                <w:kern w:val="2"/>
                <w:sz w:val="21"/>
                <w:szCs w:val="21"/>
                <w:highlight w:val="none"/>
                <w:u w:val="none"/>
                <w:lang w:val="en-US" w:eastAsia="zh-CN" w:bidi="ar-SA"/>
                <w14:textFill>
                  <w14:solidFill>
                    <w14:schemeClr w14:val="tx1"/>
                  </w14:solidFill>
                </w14:textFill>
              </w:rPr>
              <w:t>：GLZC2026-C2-990312-HCJS</w:t>
            </w:r>
          </w:p>
        </w:tc>
      </w:tr>
      <w:tr w14:paraId="2102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662" w:type="dxa"/>
            <w:vAlign w:val="center"/>
          </w:tcPr>
          <w:p w14:paraId="7C28549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42" w:type="dxa"/>
            <w:vAlign w:val="center"/>
          </w:tcPr>
          <w:p w14:paraId="245D5EC8">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775" w:type="dxa"/>
            <w:vAlign w:val="center"/>
          </w:tcPr>
          <w:p w14:paraId="0E421151">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w:t>
            </w:r>
          </w:p>
        </w:tc>
        <w:tc>
          <w:tcPr>
            <w:tcW w:w="6912" w:type="dxa"/>
            <w:vAlign w:val="center"/>
          </w:tcPr>
          <w:p w14:paraId="6DF34CA4">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3.1满足《中华人民共和国政府采购法》第二十二条规定；</w:t>
            </w:r>
          </w:p>
          <w:p w14:paraId="3E8DBD01">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3.2落实政府采购政策需满足的资格要求：</w:t>
            </w:r>
            <w:r>
              <w:rPr>
                <w:rFonts w:hint="eastAsia" w:ascii="宋体" w:hAnsi="宋体" w:eastAsia="宋体" w:cs="宋体"/>
                <w:color w:val="auto"/>
                <w:sz w:val="21"/>
                <w:szCs w:val="21"/>
                <w:highlight w:val="none"/>
              </w:rPr>
              <w:t>专门面向中小企业采购的项目</w:t>
            </w:r>
            <w:r>
              <w:rPr>
                <w:rFonts w:hint="eastAsia" w:ascii="宋体" w:hAnsi="宋体" w:eastAsia="宋体" w:cs="宋体"/>
                <w:color w:val="auto"/>
                <w:sz w:val="21"/>
                <w:szCs w:val="21"/>
                <w:highlight w:val="none"/>
                <w:lang w:val="en-US" w:eastAsia="zh-CN"/>
              </w:rPr>
              <w:t>（供应商应为中小微企业、监狱企业、残疾人福利性单位)；</w:t>
            </w:r>
          </w:p>
          <w:p w14:paraId="6D69E755">
            <w:pPr>
              <w:pStyle w:val="11"/>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3.3本项目的特定资格要求：</w:t>
            </w:r>
            <w:r>
              <w:rPr>
                <w:rFonts w:hint="eastAsia"/>
                <w:color w:val="auto"/>
                <w:highlight w:val="none"/>
                <w:u w:val="none"/>
                <w:shd w:val="clear" w:color="auto" w:fill="auto"/>
              </w:rPr>
              <w:t>供应商须具备</w:t>
            </w:r>
            <w:r>
              <w:rPr>
                <w:rFonts w:hint="eastAsia"/>
                <w:color w:val="auto"/>
                <w:highlight w:val="none"/>
                <w:u w:val="none"/>
                <w:shd w:val="clear" w:color="auto" w:fill="auto"/>
                <w:lang w:val="en-US" w:eastAsia="zh-CN"/>
              </w:rPr>
              <w:t>市政公用工程施工总承包</w:t>
            </w:r>
            <w:r>
              <w:rPr>
                <w:rFonts w:hint="eastAsia"/>
                <w:color w:val="auto"/>
                <w:highlight w:val="none"/>
                <w:u w:val="none"/>
                <w:shd w:val="clear" w:color="auto" w:fill="auto"/>
              </w:rPr>
              <w:t>叁级（含以上级）资质，及具有安全生产许可证；并在人员、设备、资金等方面具备相应的施工能力。其中，供应商拟派项目经理须具备</w:t>
            </w:r>
            <w:r>
              <w:rPr>
                <w:rFonts w:hint="eastAsia"/>
                <w:color w:val="auto"/>
                <w:highlight w:val="none"/>
                <w:u w:val="none"/>
                <w:shd w:val="clear" w:color="auto" w:fill="auto"/>
                <w:lang w:val="en-US" w:eastAsia="zh-CN"/>
              </w:rPr>
              <w:t>市政公用工程</w:t>
            </w:r>
            <w:r>
              <w:rPr>
                <w:rFonts w:hint="eastAsia"/>
                <w:color w:val="auto"/>
                <w:highlight w:val="none"/>
                <w:u w:val="none"/>
                <w:shd w:val="clear" w:color="auto" w:fill="auto"/>
              </w:rPr>
              <w:t>专业二级（含以上级）注册建造师执业资格，具备有效的安全生产考核合格证书（B类）。本项目不接受有在建、已中标未开工或已列为其他项目中标候选人第一名的建造师作为项目经理。专职安全员要求：具备有效的安全生产考核合格证书（C类）</w:t>
            </w:r>
            <w:r>
              <w:rPr>
                <w:rFonts w:hint="eastAsia" w:ascii="宋体" w:hAnsi="宋体"/>
                <w:color w:val="auto"/>
                <w:highlight w:val="none"/>
                <w:u w:val="none"/>
                <w:shd w:val="clear" w:color="auto" w:fill="auto"/>
              </w:rPr>
              <w:t>。</w:t>
            </w:r>
          </w:p>
        </w:tc>
      </w:tr>
      <w:tr w14:paraId="60FB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62" w:type="dxa"/>
            <w:vAlign w:val="center"/>
          </w:tcPr>
          <w:p w14:paraId="14B7A4BA">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42" w:type="dxa"/>
            <w:vAlign w:val="center"/>
          </w:tcPr>
          <w:p w14:paraId="5AAD9955">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775" w:type="dxa"/>
            <w:vAlign w:val="center"/>
          </w:tcPr>
          <w:p w14:paraId="5E8DBCFC">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磋商费用</w:t>
            </w:r>
          </w:p>
        </w:tc>
        <w:tc>
          <w:tcPr>
            <w:tcW w:w="6912" w:type="dxa"/>
            <w:vAlign w:val="center"/>
          </w:tcPr>
          <w:p w14:paraId="188A869D">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不论磋商结果如何，供应商均应自行承担所有与磋商有关的全部费用。 </w:t>
            </w:r>
          </w:p>
        </w:tc>
      </w:tr>
      <w:tr w14:paraId="1C45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CD6BCBF">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42" w:type="dxa"/>
            <w:vAlign w:val="center"/>
          </w:tcPr>
          <w:p w14:paraId="344A0F8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13</w:t>
            </w:r>
          </w:p>
        </w:tc>
        <w:tc>
          <w:tcPr>
            <w:tcW w:w="1775" w:type="dxa"/>
            <w:vAlign w:val="center"/>
          </w:tcPr>
          <w:p w14:paraId="2CC09B9F">
            <w:pPr>
              <w:keepNext w:val="0"/>
              <w:keepLines w:val="0"/>
              <w:pageBreakBefore w:val="0"/>
              <w:kinsoku/>
              <w:wordWrap/>
              <w:overflowPunct/>
              <w:topLinePunct w:val="0"/>
              <w:autoSpaceDE/>
              <w:autoSpaceDN/>
              <w:bidi w:val="0"/>
              <w:adjustRightInd/>
              <w:spacing w:line="380" w:lineRule="exact"/>
              <w:ind w:left="0" w:leftChars="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sz w:val="21"/>
                <w:szCs w:val="21"/>
                <w:highlight w:val="none"/>
              </w:rPr>
              <w:t>磋商报价及</w:t>
            </w:r>
            <w:r>
              <w:rPr>
                <w:rFonts w:hint="eastAsia" w:ascii="宋体" w:hAnsi="宋体" w:eastAsia="宋体" w:cs="宋体"/>
                <w:color w:val="auto"/>
                <w:sz w:val="21"/>
                <w:szCs w:val="21"/>
                <w:highlight w:val="none"/>
                <w:lang w:val="en-US" w:eastAsia="zh-CN"/>
              </w:rPr>
              <w:t>预算</w:t>
            </w:r>
            <w:r>
              <w:rPr>
                <w:rFonts w:hint="eastAsia" w:ascii="宋体" w:hAnsi="宋体" w:eastAsia="宋体" w:cs="宋体"/>
                <w:color w:val="auto"/>
                <w:sz w:val="21"/>
                <w:szCs w:val="21"/>
                <w:highlight w:val="none"/>
              </w:rPr>
              <w:t>控制价</w:t>
            </w:r>
          </w:p>
        </w:tc>
        <w:tc>
          <w:tcPr>
            <w:tcW w:w="6912" w:type="dxa"/>
            <w:vAlign w:val="center"/>
          </w:tcPr>
          <w:p w14:paraId="179CA5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13.1磋商报价应按磋商文件中相关附表格式填写。</w:t>
            </w:r>
            <w:r>
              <w:rPr>
                <w:rFonts w:hint="eastAsia" w:ascii="宋体" w:hAnsi="宋体" w:eastAsia="宋体" w:cs="宋体"/>
                <w:color w:val="auto"/>
                <w:kern w:val="0"/>
                <w:sz w:val="21"/>
                <w:szCs w:val="21"/>
                <w:highlight w:val="none"/>
                <w:shd w:val="clear" w:color="auto" w:fill="auto"/>
              </w:rPr>
              <w:t>本工程预算价为人民币</w:t>
            </w:r>
            <w:r>
              <w:rPr>
                <w:rFonts w:hint="eastAsia" w:ascii="宋体" w:hAnsi="宋体" w:cs="宋体"/>
                <w:b/>
                <w:bCs/>
                <w:color w:val="0000FF"/>
                <w:kern w:val="0"/>
                <w:sz w:val="21"/>
                <w:szCs w:val="21"/>
                <w:highlight w:val="none"/>
                <w:u w:val="single"/>
                <w:shd w:val="clear" w:color="auto" w:fill="auto"/>
                <w:lang w:val="en-US" w:eastAsia="zh-CN"/>
              </w:rPr>
              <w:t xml:space="preserve"> </w:t>
            </w:r>
            <w:r>
              <w:rPr>
                <w:rFonts w:hint="eastAsia" w:ascii="宋体" w:hAnsi="宋体" w:cs="宋体"/>
                <w:b/>
                <w:bCs/>
                <w:color w:val="000000" w:themeColor="text1"/>
                <w:kern w:val="0"/>
                <w:sz w:val="21"/>
                <w:szCs w:val="21"/>
                <w:highlight w:val="none"/>
                <w:u w:val="single"/>
                <w:shd w:val="clear" w:color="auto" w:fill="auto"/>
                <w:lang w:val="en-US" w:eastAsia="zh-CN"/>
                <w14:textFill>
                  <w14:solidFill>
                    <w14:schemeClr w14:val="tx1"/>
                  </w14:solidFill>
                </w14:textFill>
              </w:rPr>
              <w:t>1299500.00</w:t>
            </w:r>
            <w:r>
              <w:rPr>
                <w:rFonts w:hint="eastAsia" w:ascii="宋体" w:hAnsi="宋体" w:eastAsia="宋体" w:cs="宋体"/>
                <w:b/>
                <w:bCs/>
                <w:color w:val="000000" w:themeColor="text1"/>
                <w:kern w:val="0"/>
                <w:sz w:val="21"/>
                <w:szCs w:val="21"/>
                <w:highlight w:val="none"/>
                <w:u w:val="single"/>
                <w:shd w:val="clear" w:color="auto" w:fill="auto"/>
                <w:lang w:val="en-US" w:eastAsia="zh-CN"/>
                <w14:textFill>
                  <w14:solidFill>
                    <w14:schemeClr w14:val="tx1"/>
                  </w14:solidFill>
                </w14:textFill>
              </w:rPr>
              <w:t>元</w:t>
            </w:r>
            <w:r>
              <w:rPr>
                <w:rFonts w:hint="eastAsia" w:ascii="宋体" w:hAnsi="宋体" w:eastAsia="宋体" w:cs="宋体"/>
                <w:b w:val="0"/>
                <w:bCs w:val="0"/>
                <w:color w:val="000000" w:themeColor="text1"/>
                <w:kern w:val="0"/>
                <w:sz w:val="21"/>
                <w:szCs w:val="21"/>
                <w:highlight w:val="none"/>
                <w:u w:val="none"/>
                <w:shd w:val="clear" w:color="auto" w:fill="auto"/>
                <w:lang w:val="en-US" w:eastAsia="zh-CN"/>
                <w14:textFill>
                  <w14:solidFill>
                    <w14:schemeClr w14:val="tx1"/>
                  </w14:solidFill>
                </w14:textFill>
              </w:rPr>
              <w:t>，</w:t>
            </w:r>
            <w:r>
              <w:rPr>
                <w:rFonts w:hint="eastAsia" w:ascii="宋体" w:hAnsi="宋体" w:cs="宋体"/>
                <w:b/>
                <w:bCs/>
                <w:color w:val="000000" w:themeColor="text1"/>
                <w:kern w:val="0"/>
                <w:sz w:val="21"/>
                <w:szCs w:val="21"/>
                <w:highlight w:val="none"/>
                <w:u w:val="none"/>
                <w:shd w:val="clear" w:color="auto" w:fill="auto"/>
                <w:lang w:val="en-US" w:eastAsia="zh-CN"/>
                <w14:textFill>
                  <w14:solidFill>
                    <w14:schemeClr w14:val="tx1"/>
                  </w14:solidFill>
                </w14:textFill>
              </w:rPr>
              <w:t>经采购人调整本项目</w:t>
            </w:r>
            <w:r>
              <w:rPr>
                <w:rFonts w:hint="eastAsia" w:ascii="宋体" w:hAnsi="宋体" w:eastAsia="宋体" w:cs="宋体"/>
                <w:b/>
                <w:bCs/>
                <w:color w:val="000000" w:themeColor="text1"/>
                <w:kern w:val="0"/>
                <w:sz w:val="21"/>
                <w:szCs w:val="21"/>
                <w:highlight w:val="none"/>
                <w:shd w:val="clear" w:color="auto" w:fill="auto"/>
                <w14:textFill>
                  <w14:solidFill>
                    <w14:schemeClr w14:val="tx1"/>
                  </w14:solidFill>
                </w14:textFill>
              </w:rPr>
              <w:t>控制价（最高磋商限价）为人民币</w:t>
            </w:r>
            <w:r>
              <w:rPr>
                <w:rFonts w:hint="eastAsia" w:ascii="宋体" w:hAnsi="宋体" w:cs="宋体"/>
                <w:b/>
                <w:bCs/>
                <w:color w:val="000000" w:themeColor="text1"/>
                <w:kern w:val="0"/>
                <w:sz w:val="21"/>
                <w:szCs w:val="21"/>
                <w:highlight w:val="none"/>
                <w:u w:val="single"/>
                <w:shd w:val="clear" w:color="auto" w:fill="auto"/>
                <w:lang w:val="en-US" w:eastAsia="zh-CN"/>
                <w14:textFill>
                  <w14:solidFill>
                    <w14:schemeClr w14:val="tx1"/>
                  </w14:solidFill>
                </w14:textFill>
              </w:rPr>
              <w:t xml:space="preserve"> 1195540.00</w:t>
            </w:r>
            <w:r>
              <w:rPr>
                <w:rFonts w:hint="eastAsia" w:ascii="宋体" w:hAnsi="宋体" w:eastAsia="宋体" w:cs="宋体"/>
                <w:b/>
                <w:bCs/>
                <w:color w:val="000000" w:themeColor="text1"/>
                <w:kern w:val="0"/>
                <w:sz w:val="21"/>
                <w:szCs w:val="21"/>
                <w:highlight w:val="none"/>
                <w:u w:val="single"/>
                <w:shd w:val="clear" w:color="auto" w:fill="auto"/>
                <w:lang w:val="en-US" w:eastAsia="zh-CN"/>
                <w14:textFill>
                  <w14:solidFill>
                    <w14:schemeClr w14:val="tx1"/>
                  </w14:solidFill>
                </w14:textFill>
              </w:rPr>
              <w:t>元</w:t>
            </w:r>
            <w:r>
              <w:rPr>
                <w:rFonts w:hint="eastAsia" w:ascii="宋体" w:hAnsi="宋体" w:cs="宋体"/>
                <w:b/>
                <w:bCs/>
                <w:color w:val="000000" w:themeColor="text1"/>
                <w:kern w:val="0"/>
                <w:sz w:val="21"/>
                <w:szCs w:val="21"/>
                <w:highlight w:val="none"/>
                <w:u w:val="none"/>
                <w:shd w:val="clear" w:color="auto" w:fill="auto"/>
                <w:lang w:val="en-US" w:eastAsia="zh-CN"/>
                <w14:textFill>
                  <w14:solidFill>
                    <w14:schemeClr w14:val="tx1"/>
                  </w14:solidFill>
                </w14:textFill>
              </w:rPr>
              <w:t>。</w:t>
            </w:r>
            <w:r>
              <w:rPr>
                <w:rFonts w:hint="eastAsia" w:ascii="宋体" w:hAnsi="宋体" w:eastAsia="宋体" w:cs="宋体"/>
                <w:color w:val="auto"/>
                <w:sz w:val="21"/>
                <w:szCs w:val="21"/>
                <w:highlight w:val="none"/>
                <w:shd w:val="clear" w:color="auto" w:fill="auto"/>
              </w:rPr>
              <w:t>供应商磋商总报价不得高于本工程最高磋商限价，否则被视为无效报价，无效报价将不予评审。</w:t>
            </w:r>
          </w:p>
          <w:p w14:paraId="43B17115">
            <w:pPr>
              <w:pStyle w:val="14"/>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13.2供应商应在规定时间内在</w:t>
            </w:r>
            <w:r>
              <w:rPr>
                <w:rFonts w:hint="eastAsia" w:hAnsi="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系统上提交最后报价，超出评委设定的最后报价时限或其最后报价超出招标控制价导致已通过评审的响应文件无效的，按供应商在提交响应文件截止时间后撤回响应文件处理。</w:t>
            </w:r>
          </w:p>
          <w:p w14:paraId="44C1E0F0">
            <w:pPr>
              <w:keepNext w:val="0"/>
              <w:keepLines w:val="0"/>
              <w:pageBreakBefore w:val="0"/>
              <w:widowControl/>
              <w:kinsoku/>
              <w:wordWrap/>
              <w:overflowPunct/>
              <w:topLinePunct w:val="0"/>
              <w:autoSpaceDE/>
              <w:autoSpaceDN/>
              <w:bidi w:val="0"/>
              <w:adjustRightInd/>
              <w:snapToGrid w:val="0"/>
              <w:spacing w:line="380" w:lineRule="exact"/>
              <w:ind w:left="0" w:lef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注：</w:t>
            </w:r>
            <w:r>
              <w:rPr>
                <w:rFonts w:hint="eastAsia" w:ascii="宋体" w:hAnsi="宋体" w:eastAsia="宋体" w:cs="宋体"/>
                <w:b/>
                <w:color w:val="auto"/>
                <w:sz w:val="21"/>
                <w:szCs w:val="21"/>
                <w:highlight w:val="none"/>
                <w:lang w:eastAsia="zh-CN"/>
              </w:rPr>
              <w:t>供应商的磋商报价不得超过本工程</w:t>
            </w:r>
            <w:r>
              <w:rPr>
                <w:rFonts w:hint="eastAsia" w:ascii="宋体" w:hAnsi="宋体" w:eastAsia="宋体" w:cs="宋体"/>
                <w:b/>
                <w:bCs/>
                <w:color w:val="auto"/>
                <w:sz w:val="21"/>
                <w:szCs w:val="21"/>
                <w:highlight w:val="none"/>
                <w:lang w:eastAsia="zh-CN"/>
              </w:rPr>
              <w:t>预算</w:t>
            </w:r>
            <w:r>
              <w:rPr>
                <w:rFonts w:hint="eastAsia" w:ascii="宋体" w:hAnsi="宋体" w:eastAsia="宋体" w:cs="宋体"/>
                <w:b/>
                <w:bCs/>
                <w:color w:val="auto"/>
                <w:sz w:val="21"/>
                <w:szCs w:val="21"/>
                <w:highlight w:val="none"/>
                <w:lang w:val="en-US" w:eastAsia="zh-CN"/>
              </w:rPr>
              <w:t>控制价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最高磋商限价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kern w:val="0"/>
                <w:sz w:val="21"/>
                <w:szCs w:val="21"/>
                <w:highlight w:val="none"/>
                <w:lang w:eastAsia="zh-CN"/>
              </w:rPr>
              <w:t>，否则作无效标处理；</w:t>
            </w:r>
            <w:r>
              <w:rPr>
                <w:rFonts w:hint="eastAsia" w:ascii="宋体" w:hAnsi="宋体" w:eastAsia="宋体" w:cs="宋体"/>
                <w:b/>
                <w:color w:val="auto"/>
                <w:sz w:val="21"/>
                <w:szCs w:val="21"/>
                <w:highlight w:val="none"/>
              </w:rPr>
              <w:t>供应商的第二次磋商报价不得高于该供应商第一次磋商报价，否则做无效标处理。如供应商维持</w:t>
            </w:r>
            <w:r>
              <w:rPr>
                <w:rFonts w:hint="eastAsia" w:ascii="宋体" w:hAnsi="宋体" w:eastAsia="宋体" w:cs="宋体"/>
                <w:b/>
                <w:color w:val="auto"/>
                <w:sz w:val="21"/>
                <w:szCs w:val="21"/>
                <w:highlight w:val="none"/>
                <w:lang w:eastAsia="zh-CN"/>
              </w:rPr>
              <w:t>磋商</w:t>
            </w:r>
            <w:r>
              <w:rPr>
                <w:rFonts w:hint="eastAsia" w:ascii="宋体" w:hAnsi="宋体" w:eastAsia="宋体" w:cs="宋体"/>
                <w:b/>
                <w:color w:val="auto"/>
                <w:sz w:val="21"/>
                <w:szCs w:val="21"/>
                <w:highlight w:val="none"/>
              </w:rPr>
              <w:t>报价不变，以原磋商报价作为供应商最后报价</w:t>
            </w:r>
            <w:r>
              <w:rPr>
                <w:rFonts w:hint="eastAsia" w:ascii="宋体" w:hAnsi="宋体" w:eastAsia="宋体" w:cs="宋体"/>
                <w:b/>
                <w:bCs/>
                <w:color w:val="auto"/>
                <w:sz w:val="21"/>
                <w:szCs w:val="21"/>
                <w:highlight w:val="none"/>
              </w:rPr>
              <w:t>；如供应商需要改变原磋商报价时，</w:t>
            </w:r>
            <w:r>
              <w:rPr>
                <w:rFonts w:hint="eastAsia" w:ascii="宋体" w:hAnsi="宋体" w:eastAsia="宋体" w:cs="宋体"/>
                <w:b/>
                <w:color w:val="auto"/>
                <w:sz w:val="21"/>
                <w:szCs w:val="21"/>
                <w:highlight w:val="none"/>
              </w:rPr>
              <w:t>供应商应预先准备好调整后的</w:t>
            </w:r>
            <w:r>
              <w:rPr>
                <w:rFonts w:hint="eastAsia" w:ascii="宋体" w:hAnsi="宋体" w:eastAsia="宋体" w:cs="宋体"/>
                <w:b/>
                <w:color w:val="auto"/>
                <w:sz w:val="21"/>
                <w:szCs w:val="21"/>
                <w:highlight w:val="none"/>
                <w:lang w:eastAsia="zh-CN"/>
              </w:rPr>
              <w:t>已标价的工程量清单</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 xml:space="preserve"> </w:t>
            </w:r>
          </w:p>
        </w:tc>
      </w:tr>
      <w:tr w14:paraId="7F30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764DAB1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42" w:type="dxa"/>
            <w:vAlign w:val="center"/>
          </w:tcPr>
          <w:p w14:paraId="489BF661">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14.1</w:t>
            </w:r>
          </w:p>
        </w:tc>
        <w:tc>
          <w:tcPr>
            <w:tcW w:w="1775" w:type="dxa"/>
            <w:vAlign w:val="center"/>
          </w:tcPr>
          <w:p w14:paraId="309AE1F6">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响应文件有效期</w:t>
            </w:r>
          </w:p>
        </w:tc>
        <w:tc>
          <w:tcPr>
            <w:tcW w:w="6912" w:type="dxa"/>
            <w:vAlign w:val="top"/>
          </w:tcPr>
          <w:p w14:paraId="3EAB9D52">
            <w:pPr>
              <w:pageBreakBefore w:val="0"/>
              <w:widowControl w:val="0"/>
              <w:tabs>
                <w:tab w:val="left" w:pos="1305"/>
              </w:tabs>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响应文件递交截止时间之日起90天，有效期不足的响应文件将被拒绝。</w:t>
            </w:r>
          </w:p>
        </w:tc>
      </w:tr>
      <w:tr w14:paraId="242C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3534C67E">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942" w:type="dxa"/>
            <w:vAlign w:val="center"/>
          </w:tcPr>
          <w:p w14:paraId="367CB897">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15</w:t>
            </w:r>
          </w:p>
        </w:tc>
        <w:tc>
          <w:tcPr>
            <w:tcW w:w="1775" w:type="dxa"/>
            <w:vAlign w:val="center"/>
          </w:tcPr>
          <w:p w14:paraId="48A95ED6">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cs="宋体"/>
                <w:color w:val="auto"/>
                <w:position w:val="-2"/>
                <w:sz w:val="21"/>
                <w:szCs w:val="21"/>
                <w:highlight w:val="none"/>
                <w:lang w:eastAsia="zh-CN"/>
              </w:rPr>
              <w:t>磋商</w:t>
            </w:r>
            <w:r>
              <w:rPr>
                <w:rFonts w:hint="eastAsia" w:ascii="宋体" w:hAnsi="宋体" w:eastAsia="宋体" w:cs="宋体"/>
                <w:color w:val="auto"/>
                <w:position w:val="-2"/>
                <w:sz w:val="21"/>
                <w:szCs w:val="21"/>
                <w:highlight w:val="none"/>
              </w:rPr>
              <w:t>保证金</w:t>
            </w:r>
          </w:p>
        </w:tc>
        <w:tc>
          <w:tcPr>
            <w:tcW w:w="6912" w:type="dxa"/>
            <w:vAlign w:val="top"/>
          </w:tcPr>
          <w:p w14:paraId="665E28EB">
            <w:pPr>
              <w:pageBreakBefore w:val="0"/>
              <w:widowControl w:val="0"/>
              <w:tabs>
                <w:tab w:val="left" w:pos="1305"/>
              </w:tabs>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本项目无需缴纳磋商保证金</w:t>
            </w:r>
          </w:p>
        </w:tc>
      </w:tr>
      <w:tr w14:paraId="3D02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09EFD49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942" w:type="dxa"/>
            <w:vAlign w:val="center"/>
          </w:tcPr>
          <w:p w14:paraId="559C051E">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775" w:type="dxa"/>
            <w:vAlign w:val="center"/>
          </w:tcPr>
          <w:p w14:paraId="3B53EE13">
            <w:pPr>
              <w:pStyle w:val="4"/>
              <w:pageBreakBefore w:val="0"/>
              <w:widowControl w:val="0"/>
              <w:kinsoku/>
              <w:wordWrap/>
              <w:overflowPunct/>
              <w:topLinePunct w:val="0"/>
              <w:autoSpaceDE/>
              <w:autoSpaceDN/>
              <w:bidi w:val="0"/>
              <w:adjustRightInd/>
              <w:spacing w:before="0" w:after="0" w:line="380" w:lineRule="exact"/>
              <w:ind w:left="0"/>
              <w:jc w:val="center"/>
              <w:textAlignment w:val="auto"/>
              <w:rPr>
                <w:rFonts w:hint="eastAsia" w:ascii="宋体" w:hAnsi="宋体" w:eastAsia="宋体" w:cs="宋体"/>
                <w:b w:val="0"/>
                <w:bCs/>
                <w:color w:val="auto"/>
                <w:sz w:val="21"/>
                <w:szCs w:val="21"/>
                <w:highlight w:val="none"/>
                <w:lang w:eastAsia="zh-CN"/>
              </w:rPr>
            </w:pPr>
            <w:bookmarkStart w:id="54" w:name="_Toc19911"/>
            <w:bookmarkStart w:id="55" w:name="_Toc27452"/>
            <w:bookmarkStart w:id="56" w:name="_Toc19954"/>
            <w:r>
              <w:rPr>
                <w:rFonts w:hint="eastAsia" w:ascii="宋体" w:hAnsi="宋体" w:eastAsia="宋体" w:cs="宋体"/>
                <w:b w:val="0"/>
                <w:bCs/>
                <w:color w:val="auto"/>
                <w:sz w:val="21"/>
                <w:szCs w:val="21"/>
                <w:highlight w:val="none"/>
              </w:rPr>
              <w:t>响应文件的</w:t>
            </w:r>
            <w:r>
              <w:rPr>
                <w:rFonts w:hint="eastAsia" w:ascii="宋体" w:hAnsi="宋体" w:eastAsia="宋体" w:cs="宋体"/>
                <w:b w:val="0"/>
                <w:bCs/>
                <w:color w:val="auto"/>
                <w:sz w:val="21"/>
                <w:szCs w:val="21"/>
                <w:highlight w:val="none"/>
                <w:lang w:eastAsia="zh-CN"/>
              </w:rPr>
              <w:t>制作</w:t>
            </w:r>
            <w:bookmarkEnd w:id="54"/>
            <w:bookmarkEnd w:id="55"/>
            <w:bookmarkEnd w:id="56"/>
          </w:p>
          <w:p w14:paraId="49ED90AE">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eastAsia="zh-CN"/>
              </w:rPr>
            </w:pPr>
          </w:p>
        </w:tc>
        <w:tc>
          <w:tcPr>
            <w:tcW w:w="6912" w:type="dxa"/>
            <w:vAlign w:val="center"/>
          </w:tcPr>
          <w:p w14:paraId="0C0FE32A">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6EB90356">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供应商法定代表人（负责人）或授权委托人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3DA91AA0">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16.3响应文件不得涂改，若有修改错漏处，须法定代表人（负责人）或授权委托人签字（或个人CA签章）。响应文件因字迹潦草或表达不清所引起的后果由供应商负责。</w:t>
            </w:r>
          </w:p>
          <w:p w14:paraId="33EFE4BA">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16.4磋商前准备 </w:t>
            </w:r>
          </w:p>
          <w:p w14:paraId="26848866">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16.4.1本项目实行在线磋商，采用电子响应文件。若供应商参与磋商，自行承担磋商一切费用。 </w:t>
            </w:r>
          </w:p>
          <w:p w14:paraId="474D9E9B">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16.4.2各供应商在截标前应确保成为广西政府采购云平台正式注册入库供应商，并完成CA数字证书申领。如因未注册入库、未办理CA数字证书等原因造成无法磋商或磋商失败等后果由供应商自行承担。</w:t>
            </w:r>
          </w:p>
          <w:p w14:paraId="1BA2E823">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16.4.3供应商将广西政府采购云平台电子交易客户端下载、安装完成后，可通过账号密码或CA登录客户端进行响应文件制作。客户端请至网站下载专区查看，如有问题可拨打广西政府采购云平台客户服务热线 95763 进行咨询。</w:t>
            </w:r>
          </w:p>
        </w:tc>
      </w:tr>
      <w:tr w14:paraId="007D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62" w:type="dxa"/>
            <w:vAlign w:val="center"/>
          </w:tcPr>
          <w:p w14:paraId="1A4BC7E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942" w:type="dxa"/>
            <w:vAlign w:val="center"/>
          </w:tcPr>
          <w:p w14:paraId="4EFC023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w:t>
            </w:r>
          </w:p>
        </w:tc>
        <w:tc>
          <w:tcPr>
            <w:tcW w:w="1775" w:type="dxa"/>
            <w:vAlign w:val="center"/>
          </w:tcPr>
          <w:p w14:paraId="42C7ED9C">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p>
        </w:tc>
        <w:tc>
          <w:tcPr>
            <w:tcW w:w="6912" w:type="dxa"/>
            <w:vAlign w:val="center"/>
          </w:tcPr>
          <w:p w14:paraId="70016C3E">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于</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27</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日</w:t>
            </w:r>
            <w:r>
              <w:rPr>
                <w:rFonts w:hint="eastAsia" w:ascii="宋体" w:hAnsi="宋体" w:cs="宋体"/>
                <w:color w:val="000000" w:themeColor="text1"/>
                <w:sz w:val="2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时30分</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之前将</w:t>
            </w:r>
            <w:r>
              <w:rPr>
                <w:rFonts w:hint="eastAsia" w:ascii="宋体" w:hAnsi="宋体" w:eastAsia="宋体" w:cs="宋体"/>
                <w:color w:val="auto"/>
                <w:sz w:val="21"/>
                <w:szCs w:val="21"/>
                <w:highlight w:val="none"/>
                <w:u w:val="none"/>
                <w:lang w:val="en-US" w:eastAsia="zh-CN"/>
              </w:rPr>
              <w:t>电子响应文件上传到广西政府采购云平台。</w:t>
            </w:r>
            <w:r>
              <w:rPr>
                <w:rFonts w:hint="eastAsia" w:ascii="宋体" w:hAnsi="宋体"/>
                <w:color w:val="auto"/>
                <w:szCs w:val="21"/>
                <w:highlight w:val="none"/>
              </w:rPr>
              <w:t>电子响应文件</w:t>
            </w:r>
            <w:r>
              <w:rPr>
                <w:rFonts w:hint="eastAsia" w:ascii="宋体" w:hAnsi="宋体" w:eastAsia="宋体" w:cs="宋体"/>
                <w:color w:val="auto"/>
                <w:sz w:val="21"/>
                <w:szCs w:val="21"/>
                <w:highlight w:val="none"/>
                <w:u w:val="none"/>
                <w:lang w:val="en-US" w:eastAsia="zh-CN"/>
              </w:rPr>
              <w:t>应按照本项目磋商文件和广西政府采购云平台的要求编制、加密传输响应文件。供应商在使用系统进行响应的过程中遇到涉及平台使用的任何问题，可致电广西政府采购云平台技术支持热线咨询，联系方式：95763</w:t>
            </w:r>
            <w:r>
              <w:rPr>
                <w:rFonts w:hint="eastAsia" w:ascii="宋体" w:hAnsi="宋体" w:eastAsia="宋体" w:cs="宋体"/>
                <w:color w:val="auto"/>
                <w:sz w:val="21"/>
                <w:szCs w:val="21"/>
                <w:highlight w:val="none"/>
              </w:rPr>
              <w:t>。</w:t>
            </w:r>
          </w:p>
        </w:tc>
      </w:tr>
      <w:tr w14:paraId="2B9E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2" w:type="dxa"/>
            <w:vAlign w:val="center"/>
          </w:tcPr>
          <w:p w14:paraId="10A0F006">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lang w:eastAsia="zh-CN"/>
              </w:rPr>
            </w:pPr>
            <w:r>
              <w:rPr>
                <w:rFonts w:hint="eastAsia" w:ascii="宋体" w:hAnsi="宋体" w:eastAsia="宋体" w:cs="宋体"/>
                <w:color w:val="auto"/>
                <w:position w:val="-2"/>
                <w:sz w:val="21"/>
                <w:szCs w:val="21"/>
                <w:highlight w:val="none"/>
                <w:lang w:val="en-US" w:eastAsia="zh-CN"/>
              </w:rPr>
              <w:t>9</w:t>
            </w:r>
          </w:p>
        </w:tc>
        <w:tc>
          <w:tcPr>
            <w:tcW w:w="942" w:type="dxa"/>
            <w:vAlign w:val="center"/>
          </w:tcPr>
          <w:p w14:paraId="5E4B6DBD">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18.2</w:t>
            </w:r>
          </w:p>
        </w:tc>
        <w:tc>
          <w:tcPr>
            <w:tcW w:w="1775" w:type="dxa"/>
            <w:vAlign w:val="center"/>
          </w:tcPr>
          <w:p w14:paraId="71CF574D">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sz w:val="21"/>
                <w:szCs w:val="21"/>
                <w:highlight w:val="none"/>
                <w:lang w:eastAsia="zh-CN"/>
              </w:rPr>
              <w:t>响应文件解密时间</w:t>
            </w:r>
          </w:p>
        </w:tc>
        <w:tc>
          <w:tcPr>
            <w:tcW w:w="6912" w:type="dxa"/>
            <w:vAlign w:val="center"/>
          </w:tcPr>
          <w:p w14:paraId="12CE8E97">
            <w:pPr>
              <w:pStyle w:val="10"/>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响应文件解密时间</w:t>
            </w:r>
            <w:r>
              <w:rPr>
                <w:rFonts w:hint="eastAsia" w:ascii="宋体" w:hAnsi="宋体" w:eastAsia="宋体" w:cs="宋体"/>
                <w:b w:val="0"/>
                <w:bCs w:val="0"/>
                <w:color w:val="auto"/>
                <w:kern w:val="2"/>
                <w:sz w:val="21"/>
                <w:szCs w:val="21"/>
                <w:highlight w:val="none"/>
                <w:lang w:eastAsia="zh-CN"/>
              </w:rPr>
              <w:t>：截标时间后</w:t>
            </w:r>
            <w:r>
              <w:rPr>
                <w:rFonts w:hint="eastAsia" w:ascii="宋体" w:hAnsi="宋体" w:eastAsia="宋体" w:cs="宋体"/>
                <w:b w:val="0"/>
                <w:bCs w:val="0"/>
                <w:color w:val="auto"/>
                <w:kern w:val="2"/>
                <w:sz w:val="21"/>
                <w:szCs w:val="21"/>
                <w:highlight w:val="none"/>
                <w:u w:val="none"/>
                <w:lang w:eastAsia="zh-CN"/>
              </w:rPr>
              <w:t>30</w:t>
            </w:r>
            <w:r>
              <w:rPr>
                <w:rFonts w:hint="eastAsia" w:ascii="宋体" w:hAnsi="宋体" w:eastAsia="宋体" w:cs="宋体"/>
                <w:b w:val="0"/>
                <w:bCs w:val="0"/>
                <w:color w:val="auto"/>
                <w:kern w:val="2"/>
                <w:sz w:val="21"/>
                <w:szCs w:val="21"/>
                <w:highlight w:val="none"/>
                <w:lang w:eastAsia="zh-CN"/>
              </w:rPr>
              <w:t>分钟内供应商可以登录广西政府采购云平台，用“项目采购-开标评标”功能进行解密响应文件。若供应商在规定时间内无法解密或解密失败，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eastAsia="宋体" w:cs="宋体"/>
                <w:b/>
                <w:bCs/>
                <w:color w:val="auto"/>
                <w:kern w:val="2"/>
                <w:sz w:val="21"/>
                <w:szCs w:val="21"/>
                <w:highlight w:val="none"/>
                <w:lang w:eastAsia="zh-CN"/>
              </w:rPr>
              <w:t>【在接到无法解密或解密失败的通知后，供应商可根据自身实际情况按通知时要求的时间到桂林市公共资源交易</w:t>
            </w:r>
            <w:r>
              <w:rPr>
                <w:rFonts w:hint="eastAsia" w:ascii="宋体" w:hAnsi="宋体" w:eastAsia="宋体" w:cs="宋体"/>
                <w:b/>
                <w:bCs/>
                <w:color w:val="000000" w:themeColor="text1"/>
                <w:kern w:val="2"/>
                <w:sz w:val="21"/>
                <w:szCs w:val="21"/>
                <w:highlight w:val="none"/>
                <w:lang w:eastAsia="zh-CN"/>
                <w14:textFill>
                  <w14:solidFill>
                    <w14:schemeClr w14:val="tx1"/>
                  </w14:solidFill>
                </w14:textFill>
              </w:rPr>
              <w:t>中心</w:t>
            </w:r>
            <w:r>
              <w:rPr>
                <w:rFonts w:hint="eastAsia" w:ascii="宋体" w:hAnsi="宋体" w:cs="宋体"/>
                <w:b/>
                <w:bCs/>
                <w:color w:val="000000" w:themeColor="text1"/>
                <w:kern w:val="2"/>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bCs/>
                <w:color w:val="000000" w:themeColor="text1"/>
                <w:kern w:val="2"/>
                <w:sz w:val="21"/>
                <w:szCs w:val="21"/>
                <w:highlight w:val="none"/>
                <w:lang w:eastAsia="zh-CN"/>
                <w14:textFill>
                  <w14:solidFill>
                    <w14:schemeClr w14:val="tx1"/>
                  </w14:solidFill>
                </w14:textFill>
              </w:rPr>
              <w:t>号</w:t>
            </w:r>
            <w:r>
              <w:rPr>
                <w:rFonts w:hint="eastAsia" w:ascii="宋体" w:hAnsi="宋体" w:eastAsia="宋体" w:cs="宋体"/>
                <w:b/>
                <w:bCs/>
                <w:color w:val="auto"/>
                <w:kern w:val="2"/>
                <w:sz w:val="21"/>
                <w:szCs w:val="21"/>
                <w:highlight w:val="none"/>
                <w:lang w:eastAsia="zh-CN"/>
              </w:rPr>
              <w:t>政采开标</w:t>
            </w:r>
            <w:r>
              <w:rPr>
                <w:rFonts w:hint="eastAsia" w:ascii="宋体" w:hAnsi="宋体" w:cs="宋体"/>
                <w:b/>
                <w:bCs/>
                <w:color w:val="auto"/>
                <w:kern w:val="2"/>
                <w:sz w:val="21"/>
                <w:szCs w:val="21"/>
                <w:highlight w:val="none"/>
                <w:lang w:val="en-US" w:eastAsia="zh-CN"/>
              </w:rPr>
              <w:t>仓</w:t>
            </w:r>
            <w:r>
              <w:rPr>
                <w:rFonts w:hint="eastAsia" w:ascii="宋体" w:hAnsi="宋体" w:eastAsia="宋体" w:cs="宋体"/>
                <w:b/>
                <w:bCs/>
                <w:color w:val="auto"/>
                <w:kern w:val="2"/>
                <w:sz w:val="21"/>
                <w:szCs w:val="21"/>
                <w:highlight w:val="none"/>
                <w:lang w:eastAsia="zh-CN"/>
              </w:rPr>
              <w:t>现场提交或以电子邮件的形式（以通知时所告知的电子邮箱地址为准）提交电子备份响应文件】</w:t>
            </w:r>
            <w:r>
              <w:rPr>
                <w:rFonts w:hint="eastAsia" w:ascii="宋体" w:hAnsi="宋体" w:eastAsia="宋体" w:cs="宋体"/>
                <w:b w:val="0"/>
                <w:bCs w:val="0"/>
                <w:color w:val="auto"/>
                <w:kern w:val="2"/>
                <w:sz w:val="21"/>
                <w:szCs w:val="21"/>
                <w:highlight w:val="none"/>
                <w:lang w:eastAsia="zh-CN"/>
              </w:rPr>
              <w:t>，若供应商在规定时间内无法解密或解密失败且未提供电子备份响应文件的(包含提供的电子备份文件无效或无法解密的情况)，视为无效响应。</w:t>
            </w:r>
          </w:p>
        </w:tc>
      </w:tr>
      <w:tr w14:paraId="3431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2" w:type="dxa"/>
            <w:vAlign w:val="center"/>
          </w:tcPr>
          <w:p w14:paraId="13764ED8">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942" w:type="dxa"/>
            <w:vAlign w:val="center"/>
          </w:tcPr>
          <w:p w14:paraId="5F22E930">
            <w:pPr>
              <w:pageBreakBefore w:val="0"/>
              <w:widowControl w:val="0"/>
              <w:kinsoku/>
              <w:wordWrap/>
              <w:overflowPunct/>
              <w:topLinePunct w:val="0"/>
              <w:autoSpaceDE/>
              <w:autoSpaceDN/>
              <w:bidi w:val="0"/>
              <w:adjustRightInd/>
              <w:spacing w:line="380" w:lineRule="exact"/>
              <w:ind w:left="0" w:firstLine="105" w:firstLineChars="50"/>
              <w:jc w:val="center"/>
              <w:textAlignment w:val="auto"/>
              <w:rPr>
                <w:rFonts w:hint="eastAsia" w:ascii="宋体" w:hAnsi="宋体" w:eastAsia="宋体" w:cs="宋体"/>
                <w:color w:val="auto"/>
                <w:position w:val="-2"/>
                <w:sz w:val="21"/>
                <w:szCs w:val="21"/>
                <w:highlight w:val="none"/>
              </w:rPr>
            </w:pPr>
            <w:r>
              <w:rPr>
                <w:rFonts w:hint="eastAsia" w:ascii="宋体" w:hAnsi="宋体" w:eastAsia="宋体" w:cs="宋体"/>
                <w:color w:val="auto"/>
                <w:position w:val="-2"/>
                <w:sz w:val="21"/>
                <w:szCs w:val="21"/>
                <w:highlight w:val="none"/>
              </w:rPr>
              <w:t>19.1</w:t>
            </w:r>
          </w:p>
        </w:tc>
        <w:tc>
          <w:tcPr>
            <w:tcW w:w="1775" w:type="dxa"/>
            <w:vAlign w:val="center"/>
          </w:tcPr>
          <w:p w14:paraId="00548EFA">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磋商小组组成</w:t>
            </w:r>
          </w:p>
        </w:tc>
        <w:tc>
          <w:tcPr>
            <w:tcW w:w="6912" w:type="dxa"/>
            <w:vAlign w:val="center"/>
          </w:tcPr>
          <w:p w14:paraId="5837E652">
            <w:pPr>
              <w:pageBreakBefore w:val="0"/>
              <w:widowControl w:val="0"/>
              <w:kinsoku/>
              <w:wordWrap/>
              <w:overflowPunct/>
              <w:topLinePunct w:val="0"/>
              <w:autoSpaceDE/>
              <w:autoSpaceDN/>
              <w:bidi w:val="0"/>
              <w:adjustRightInd/>
              <w:spacing w:line="380" w:lineRule="exact"/>
              <w:ind w:left="0" w:hanging="14" w:hangingChars="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人，其中采购人代表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1 </w:t>
            </w:r>
            <w:r>
              <w:rPr>
                <w:rFonts w:hint="eastAsia" w:ascii="宋体" w:hAnsi="宋体" w:eastAsia="宋体" w:cs="宋体"/>
                <w:color w:val="auto"/>
                <w:sz w:val="21"/>
                <w:szCs w:val="21"/>
                <w:highlight w:val="none"/>
              </w:rPr>
              <w:t>人，</w:t>
            </w:r>
            <w:r>
              <w:rPr>
                <w:rFonts w:hint="eastAsia" w:ascii="宋体" w:hAnsi="宋体"/>
                <w:color w:val="auto"/>
                <w:szCs w:val="21"/>
                <w:highlight w:val="none"/>
              </w:rPr>
              <w:t>技术、经济等</w:t>
            </w:r>
            <w:r>
              <w:rPr>
                <w:rFonts w:hint="eastAsia" w:ascii="宋体" w:hAnsi="宋体" w:eastAsia="宋体" w:cs="宋体"/>
                <w:color w:val="auto"/>
                <w:sz w:val="21"/>
                <w:szCs w:val="21"/>
                <w:highlight w:val="none"/>
              </w:rPr>
              <w:t>专家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2 </w:t>
            </w:r>
            <w:r>
              <w:rPr>
                <w:rFonts w:hint="eastAsia" w:ascii="宋体" w:hAnsi="宋体" w:eastAsia="宋体" w:cs="宋体"/>
                <w:color w:val="auto"/>
                <w:sz w:val="21"/>
                <w:szCs w:val="21"/>
                <w:highlight w:val="none"/>
              </w:rPr>
              <w:t>人。</w:t>
            </w:r>
          </w:p>
        </w:tc>
      </w:tr>
      <w:tr w14:paraId="6905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62" w:type="dxa"/>
            <w:vAlign w:val="center"/>
          </w:tcPr>
          <w:p w14:paraId="0B40A4A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942" w:type="dxa"/>
            <w:vAlign w:val="center"/>
          </w:tcPr>
          <w:p w14:paraId="19CEFF7F">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w:t>
            </w:r>
          </w:p>
        </w:tc>
        <w:tc>
          <w:tcPr>
            <w:tcW w:w="1775" w:type="dxa"/>
            <w:vAlign w:val="center"/>
          </w:tcPr>
          <w:p w14:paraId="4211DDA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磋商时间、地点、人员</w:t>
            </w:r>
          </w:p>
        </w:tc>
        <w:tc>
          <w:tcPr>
            <w:tcW w:w="6912" w:type="dxa"/>
            <w:vAlign w:val="top"/>
          </w:tcPr>
          <w:p w14:paraId="67F7650C">
            <w:pPr>
              <w:pageBreakBefore w:val="0"/>
              <w:widowControl w:val="0"/>
              <w:kinsoku/>
              <w:wordWrap/>
              <w:overflowPunct/>
              <w:topLinePunct w:val="0"/>
              <w:autoSpaceDE/>
              <w:autoSpaceDN/>
              <w:bidi w:val="0"/>
              <w:adjustRightInd/>
              <w:spacing w:line="380" w:lineRule="exact"/>
              <w:ind w:left="0" w:hanging="315" w:hangingChars="1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19.2.1磋商时间：</w:t>
            </w:r>
            <w:r>
              <w:rPr>
                <w:rFonts w:hint="eastAsia" w:ascii="宋体" w:hAnsi="宋体" w:cs="宋体"/>
                <w:color w:val="auto"/>
                <w:sz w:val="21"/>
                <w:szCs w:val="21"/>
                <w:highlight w:val="none"/>
                <w:lang w:eastAsia="zh-CN"/>
              </w:rPr>
              <w:t>首次</w:t>
            </w:r>
            <w:r>
              <w:rPr>
                <w:rFonts w:hint="eastAsia" w:ascii="宋体" w:hAnsi="宋体" w:eastAsia="宋体" w:cs="宋体"/>
                <w:color w:val="auto"/>
                <w:sz w:val="21"/>
                <w:szCs w:val="21"/>
                <w:highlight w:val="none"/>
              </w:rPr>
              <w:t>响应文件递交截止时间后。</w:t>
            </w:r>
          </w:p>
          <w:p w14:paraId="27E9A71F">
            <w:pPr>
              <w:pageBreakBefore w:val="0"/>
              <w:widowControl w:val="0"/>
              <w:kinsoku/>
              <w:wordWrap/>
              <w:overflowPunct/>
              <w:topLinePunct w:val="0"/>
              <w:autoSpaceDE/>
              <w:autoSpaceDN/>
              <w:bidi w:val="0"/>
              <w:adjustRightInd/>
              <w:spacing w:line="380" w:lineRule="exact"/>
              <w:ind w:lef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19.2.2磋商地点：</w:t>
            </w:r>
            <w:r>
              <w:rPr>
                <w:rFonts w:hint="eastAsia" w:ascii="宋体" w:hAnsi="宋体" w:eastAsia="宋体" w:cs="宋体"/>
                <w:b/>
                <w:bCs/>
                <w:color w:val="auto"/>
                <w:sz w:val="21"/>
                <w:szCs w:val="21"/>
                <w:highlight w:val="none"/>
              </w:rPr>
              <w:t>供应商代表在响应文件提交当天实时登陆“广西政府采购云平台”，按磋商小组要求在线等候参与磋商及提交最后报价。因供应商未保持实时在线，导致磋商小组无法及时与其取得联系，从而造成供应商未按规定参与磋商或报价的，其不利后果由供应商自行承担</w:t>
            </w:r>
            <w:r>
              <w:rPr>
                <w:rFonts w:hint="eastAsia" w:ascii="宋体" w:hAnsi="宋体" w:eastAsia="宋体" w:cs="宋体"/>
                <w:color w:val="auto"/>
                <w:sz w:val="21"/>
                <w:szCs w:val="21"/>
                <w:highlight w:val="none"/>
                <w:lang w:eastAsia="zh-CN"/>
              </w:rPr>
              <w:t>。</w:t>
            </w:r>
          </w:p>
          <w:p w14:paraId="7992A662">
            <w:pPr>
              <w:pageBreakBefore w:val="0"/>
              <w:widowControl w:val="0"/>
              <w:kinsoku/>
              <w:wordWrap/>
              <w:overflowPunct/>
              <w:topLinePunct w:val="0"/>
              <w:autoSpaceDE/>
              <w:autoSpaceDN/>
              <w:bidi w:val="0"/>
              <w:adjustRightInd/>
              <w:spacing w:line="380" w:lineRule="exact"/>
              <w:ind w:left="0" w:hanging="14" w:hangingChars="7"/>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19.2.3磋商参加人员：</w:t>
            </w:r>
            <w:r>
              <w:rPr>
                <w:rFonts w:hint="eastAsia" w:ascii="宋体" w:hAnsi="宋体" w:eastAsia="宋体" w:cs="宋体"/>
                <w:b w:val="0"/>
                <w:bCs w:val="0"/>
                <w:color w:val="auto"/>
                <w:sz w:val="21"/>
                <w:szCs w:val="21"/>
                <w:highlight w:val="none"/>
              </w:rPr>
              <w:t>供应商法定代表人、负责人、自然人或相应的委托代理人参加磋商。请供应商实时登陆“广西政府采购云平台”等候在线磋商</w:t>
            </w:r>
            <w:r>
              <w:rPr>
                <w:rFonts w:hint="eastAsia" w:ascii="宋体" w:hAnsi="宋体" w:eastAsia="宋体" w:cs="宋体"/>
                <w:color w:val="auto"/>
                <w:sz w:val="21"/>
                <w:szCs w:val="21"/>
                <w:highlight w:val="none"/>
              </w:rPr>
              <w:t>。</w:t>
            </w:r>
          </w:p>
          <w:p w14:paraId="6A31E2F0">
            <w:pPr>
              <w:pageBreakBefore w:val="0"/>
              <w:widowControl w:val="0"/>
              <w:tabs>
                <w:tab w:val="left" w:pos="1140"/>
              </w:tabs>
              <w:kinsoku/>
              <w:wordWrap/>
              <w:overflowPunct/>
              <w:topLinePunct w:val="0"/>
              <w:autoSpaceDE/>
              <w:autoSpaceDN/>
              <w:bidi w:val="0"/>
              <w:adjustRightInd/>
              <w:spacing w:line="38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r>
              <w:rPr>
                <w:rFonts w:hint="eastAsia" w:ascii="宋体" w:hAnsi="宋体" w:eastAsia="宋体" w:cs="宋体"/>
                <w:color w:val="auto"/>
                <w:sz w:val="21"/>
                <w:szCs w:val="21"/>
                <w:highlight w:val="none"/>
              </w:rPr>
              <w:t>。</w:t>
            </w:r>
          </w:p>
        </w:tc>
      </w:tr>
      <w:tr w14:paraId="031F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6D774EFF">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942" w:type="dxa"/>
            <w:vAlign w:val="center"/>
          </w:tcPr>
          <w:p w14:paraId="7CF5BBD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p>
        </w:tc>
        <w:tc>
          <w:tcPr>
            <w:tcW w:w="1775" w:type="dxa"/>
            <w:vAlign w:val="center"/>
          </w:tcPr>
          <w:p w14:paraId="221E1BF3">
            <w:pPr>
              <w:pStyle w:val="14"/>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评审办法</w:t>
            </w:r>
          </w:p>
        </w:tc>
        <w:tc>
          <w:tcPr>
            <w:tcW w:w="6912" w:type="dxa"/>
            <w:vAlign w:val="center"/>
          </w:tcPr>
          <w:p w14:paraId="2FEAF9E5">
            <w:pPr>
              <w:pageBreakBefore w:val="0"/>
              <w:widowControl w:val="0"/>
              <w:tabs>
                <w:tab w:val="left" w:pos="1140"/>
              </w:tabs>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具体详见第四章评审办法。</w:t>
            </w:r>
          </w:p>
        </w:tc>
      </w:tr>
      <w:tr w14:paraId="70A4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292270E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942" w:type="dxa"/>
            <w:vAlign w:val="center"/>
          </w:tcPr>
          <w:p w14:paraId="320E1600">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1775" w:type="dxa"/>
            <w:vAlign w:val="center"/>
          </w:tcPr>
          <w:p w14:paraId="415058B5">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w:t>
            </w:r>
          </w:p>
        </w:tc>
        <w:tc>
          <w:tcPr>
            <w:tcW w:w="6912" w:type="dxa"/>
            <w:vAlign w:val="center"/>
          </w:tcPr>
          <w:p w14:paraId="6B4E0754">
            <w:pPr>
              <w:pageBreakBefore w:val="0"/>
              <w:widowControl w:val="0"/>
              <w:kinsoku/>
              <w:wordWrap/>
              <w:overflowPunct/>
              <w:topLinePunct w:val="0"/>
              <w:autoSpaceDE/>
              <w:autoSpaceDN/>
              <w:bidi w:val="0"/>
              <w:adjustRightInd/>
              <w:spacing w:line="380" w:lineRule="exact"/>
              <w:ind w:left="0" w:hanging="14" w:hangingChars="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144FA14C">
            <w:pPr>
              <w:pageBreakBefore w:val="0"/>
              <w:widowControl w:val="0"/>
              <w:kinsoku/>
              <w:wordWrap/>
              <w:overflowPunct/>
              <w:topLinePunct w:val="0"/>
              <w:autoSpaceDE/>
              <w:autoSpaceDN/>
              <w:bidi w:val="0"/>
              <w:adjustRightInd/>
              <w:spacing w:line="380" w:lineRule="exact"/>
              <w:ind w:left="0" w:hanging="14" w:hangingChars="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⑴查询渠道：“信用中国”网站(www.creditchina.gov.cn)、中国政府采购网(www.ccgp.gov.cn)等；</w:t>
            </w:r>
          </w:p>
          <w:p w14:paraId="7C95E226">
            <w:pPr>
              <w:pageBreakBefore w:val="0"/>
              <w:widowControl w:val="0"/>
              <w:kinsoku/>
              <w:wordWrap/>
              <w:overflowPunct/>
              <w:topLinePunct w:val="0"/>
              <w:autoSpaceDE/>
              <w:autoSpaceDN/>
              <w:bidi w:val="0"/>
              <w:adjustRightInd/>
              <w:spacing w:line="380" w:lineRule="exact"/>
              <w:ind w:left="0" w:hanging="315" w:hanging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⑵查询时间：成交通知书发出前；</w:t>
            </w:r>
          </w:p>
          <w:p w14:paraId="42414CF6">
            <w:pPr>
              <w:pageBreakBefore w:val="0"/>
              <w:widowControl w:val="0"/>
              <w:kinsoku/>
              <w:wordWrap/>
              <w:overflowPunct/>
              <w:topLinePunct w:val="0"/>
              <w:autoSpaceDE/>
              <w:autoSpaceDN/>
              <w:bidi w:val="0"/>
              <w:adjustRightInd/>
              <w:spacing w:line="380" w:lineRule="exact"/>
              <w:ind w:left="0" w:hanging="14" w:hangingChars="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⑶信用信息查询记录和证据留存方式：在查询网站中直接打印查询记录，打印材料作为采购活动资料保存；</w:t>
            </w:r>
          </w:p>
          <w:p w14:paraId="76AEA743">
            <w:pPr>
              <w:pageBreakBefore w:val="0"/>
              <w:widowControl w:val="0"/>
              <w:kinsoku/>
              <w:wordWrap/>
              <w:overflowPunct/>
              <w:topLinePunct w:val="0"/>
              <w:autoSpaceDE/>
              <w:autoSpaceDN/>
              <w:bidi w:val="0"/>
              <w:adjustRightInd/>
              <w:spacing w:line="380" w:lineRule="exact"/>
              <w:ind w:left="0" w:hanging="14" w:hangingChars="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4647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2" w:type="dxa"/>
            <w:vAlign w:val="center"/>
          </w:tcPr>
          <w:p w14:paraId="290DD727">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942" w:type="dxa"/>
            <w:vAlign w:val="center"/>
          </w:tcPr>
          <w:p w14:paraId="7D9DB393">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1775" w:type="dxa"/>
            <w:vAlign w:val="center"/>
          </w:tcPr>
          <w:p w14:paraId="60164EE0">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成交结果公告</w:t>
            </w:r>
          </w:p>
          <w:p w14:paraId="23B92619">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及成交通知书</w:t>
            </w:r>
          </w:p>
        </w:tc>
        <w:tc>
          <w:tcPr>
            <w:tcW w:w="6912" w:type="dxa"/>
            <w:vAlign w:val="top"/>
          </w:tcPr>
          <w:p w14:paraId="1182BFBB">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27.1采购代理机构于</w:t>
            </w:r>
            <w:r>
              <w:rPr>
                <w:rFonts w:hint="eastAsia" w:ascii="宋体" w:hAnsi="宋体" w:cs="宋体"/>
                <w:color w:val="auto"/>
                <w:sz w:val="21"/>
                <w:szCs w:val="21"/>
                <w:highlight w:val="none"/>
                <w:lang w:eastAsia="zh-CN"/>
              </w:rPr>
              <w:t>评审</w:t>
            </w:r>
            <w:r>
              <w:rPr>
                <w:rFonts w:hint="eastAsia" w:ascii="宋体" w:hAnsi="宋体" w:eastAsia="宋体" w:cs="宋体"/>
                <w:color w:val="auto"/>
                <w:sz w:val="21"/>
                <w:szCs w:val="21"/>
                <w:highlight w:val="none"/>
              </w:rPr>
              <w:t>结束后两个工作日内将评审报告送交采购人，采购人应当自收到评审报告五个工作日内在评审报告推荐的成交候选</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中按顺序确定成交供应商，采购代理机构在成交供应商确定之日起两个工作日内发出成交通知书，并在指定媒体上公告成交信息。</w:t>
            </w:r>
          </w:p>
          <w:p w14:paraId="6F9B8676">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27.2在发布成交公告的同时，采购代理机构向成交供应商发出成交通知书。成交供应商自接到通知之日起七个工作日内，办理成交通知书领取手续。</w:t>
            </w:r>
          </w:p>
        </w:tc>
      </w:tr>
      <w:tr w14:paraId="2D77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62" w:type="dxa"/>
            <w:vAlign w:val="center"/>
          </w:tcPr>
          <w:p w14:paraId="36E0035C">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942" w:type="dxa"/>
            <w:vAlign w:val="center"/>
          </w:tcPr>
          <w:p w14:paraId="69AC4B37">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1775" w:type="dxa"/>
            <w:vAlign w:val="center"/>
          </w:tcPr>
          <w:p w14:paraId="20C6C827">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912" w:type="dxa"/>
            <w:vAlign w:val="center"/>
          </w:tcPr>
          <w:p w14:paraId="2BD42B66">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根据《桂林市财政局关于贯彻落实政府采购优化营商环境百日攻坚行动方案的通知》（市财采〔2020〕24号）第四条的规定，本项目免收履约保证金。</w:t>
            </w:r>
          </w:p>
        </w:tc>
      </w:tr>
      <w:tr w14:paraId="0485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66E9EA78">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942" w:type="dxa"/>
            <w:vAlign w:val="center"/>
          </w:tcPr>
          <w:p w14:paraId="2218854F">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1775" w:type="dxa"/>
            <w:vAlign w:val="center"/>
          </w:tcPr>
          <w:p w14:paraId="73FFE0B5">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签订合同时间</w:t>
            </w:r>
          </w:p>
        </w:tc>
        <w:tc>
          <w:tcPr>
            <w:tcW w:w="6912" w:type="dxa"/>
            <w:vAlign w:val="top"/>
          </w:tcPr>
          <w:p w14:paraId="1795F834">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eastAsia="zh-CN"/>
              </w:rPr>
              <w:t>成交通知书</w:t>
            </w:r>
            <w:r>
              <w:rPr>
                <w:rFonts w:hint="eastAsia" w:ascii="宋体" w:hAnsi="宋体" w:eastAsia="宋体" w:cs="宋体"/>
                <w:bCs/>
                <w:color w:val="auto"/>
                <w:kern w:val="0"/>
                <w:sz w:val="21"/>
                <w:szCs w:val="21"/>
                <w:highlight w:val="none"/>
              </w:rPr>
              <w:t>发出之日起</w:t>
            </w:r>
            <w:r>
              <w:rPr>
                <w:rFonts w:hint="eastAsia" w:ascii="宋体" w:hAnsi="宋体" w:eastAsia="宋体" w:cs="宋体"/>
                <w:bCs/>
                <w:color w:val="auto"/>
                <w:kern w:val="0"/>
                <w:sz w:val="21"/>
                <w:szCs w:val="21"/>
                <w:highlight w:val="none"/>
                <w:lang w:val="en-US" w:eastAsia="zh-CN"/>
              </w:rPr>
              <w:t>8个工作日</w:t>
            </w:r>
            <w:r>
              <w:rPr>
                <w:rFonts w:hint="eastAsia" w:ascii="宋体" w:hAnsi="宋体" w:eastAsia="宋体" w:cs="宋体"/>
                <w:bCs/>
                <w:color w:val="auto"/>
                <w:kern w:val="0"/>
                <w:sz w:val="21"/>
                <w:szCs w:val="21"/>
                <w:highlight w:val="none"/>
              </w:rPr>
              <w:t>内签订合同</w:t>
            </w:r>
            <w:r>
              <w:rPr>
                <w:rFonts w:hint="eastAsia" w:ascii="宋体" w:hAnsi="宋体" w:eastAsia="宋体" w:cs="宋体"/>
                <w:color w:val="auto"/>
                <w:sz w:val="21"/>
                <w:szCs w:val="21"/>
                <w:highlight w:val="none"/>
              </w:rPr>
              <w:t>。成交供应商领取成交通知书后，应按规定与采购人签订合同。</w:t>
            </w:r>
          </w:p>
        </w:tc>
      </w:tr>
      <w:tr w14:paraId="1642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3E3A46F0">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942" w:type="dxa"/>
            <w:vAlign w:val="center"/>
          </w:tcPr>
          <w:p w14:paraId="4E9B1C7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w:t>
            </w:r>
          </w:p>
        </w:tc>
        <w:tc>
          <w:tcPr>
            <w:tcW w:w="1775" w:type="dxa"/>
            <w:vAlign w:val="center"/>
          </w:tcPr>
          <w:p w14:paraId="060A1B00">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合同备案存档</w:t>
            </w:r>
          </w:p>
        </w:tc>
        <w:tc>
          <w:tcPr>
            <w:tcW w:w="6912" w:type="dxa"/>
            <w:vAlign w:val="center"/>
          </w:tcPr>
          <w:p w14:paraId="300205A9">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政府采购合同双方自签订之日起一个工作日内将合同原件</w:t>
            </w:r>
            <w:r>
              <w:rPr>
                <w:rFonts w:hint="eastAsia" w:ascii="宋体" w:hAnsi="宋体" w:cs="宋体"/>
                <w:color w:val="auto"/>
                <w:sz w:val="21"/>
                <w:szCs w:val="21"/>
                <w:highlight w:val="none"/>
                <w:lang w:eastAsia="zh-CN"/>
              </w:rPr>
              <w:t>两</w:t>
            </w:r>
            <w:r>
              <w:rPr>
                <w:rFonts w:hint="eastAsia" w:ascii="宋体" w:hAnsi="宋体" w:eastAsia="宋体" w:cs="宋体"/>
                <w:color w:val="auto"/>
                <w:sz w:val="21"/>
                <w:szCs w:val="21"/>
                <w:highlight w:val="none"/>
              </w:rPr>
              <w:t>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cs="宋体"/>
                <w:color w:val="auto"/>
                <w:sz w:val="21"/>
                <w:szCs w:val="21"/>
                <w:highlight w:val="none"/>
                <w:lang w:val="en-US" w:eastAsia="zh-CN"/>
              </w:rPr>
              <w:t>采购代理机构</w:t>
            </w:r>
            <w:r>
              <w:rPr>
                <w:rFonts w:hint="eastAsia" w:ascii="宋体" w:hAnsi="宋体" w:eastAsia="宋体" w:cs="宋体"/>
                <w:color w:val="auto"/>
                <w:sz w:val="21"/>
                <w:szCs w:val="21"/>
                <w:highlight w:val="none"/>
              </w:rPr>
              <w:t>存档。</w:t>
            </w:r>
          </w:p>
        </w:tc>
      </w:tr>
      <w:tr w14:paraId="70BF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1D3D5183">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942" w:type="dxa"/>
            <w:vAlign w:val="center"/>
          </w:tcPr>
          <w:p w14:paraId="216CBA81">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1775" w:type="dxa"/>
            <w:vAlign w:val="center"/>
          </w:tcPr>
          <w:p w14:paraId="5D1E84A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tc>
        <w:tc>
          <w:tcPr>
            <w:tcW w:w="6912" w:type="dxa"/>
            <w:vAlign w:val="top"/>
          </w:tcPr>
          <w:p w14:paraId="156B7840">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人领取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通知书前，向</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代理机构一次性付清</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代理服务费，本项目</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代理服务收费标准参照计价格[2002]1980号《招标代理服务收费管理暂行办法》</w:t>
            </w:r>
            <w:r>
              <w:rPr>
                <w:rFonts w:hint="eastAsia" w:ascii="宋体" w:hAnsi="宋体" w:eastAsia="宋体" w:cs="宋体"/>
                <w:color w:val="auto"/>
                <w:sz w:val="21"/>
                <w:szCs w:val="21"/>
                <w:highlight w:val="none"/>
                <w:lang w:eastAsia="zh-CN"/>
              </w:rPr>
              <w:t>工程类</w:t>
            </w:r>
            <w:r>
              <w:rPr>
                <w:rFonts w:hint="eastAsia" w:ascii="宋体" w:hAnsi="宋体" w:eastAsia="宋体" w:cs="宋体"/>
                <w:color w:val="auto"/>
                <w:sz w:val="21"/>
                <w:szCs w:val="21"/>
                <w:highlight w:val="none"/>
              </w:rPr>
              <w:t>收费标准向</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人收取（不足人民币</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000元的，按</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000元支付）。</w:t>
            </w:r>
          </w:p>
        </w:tc>
      </w:tr>
      <w:tr w14:paraId="0FAF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3E5B75A4">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942" w:type="dxa"/>
            <w:vAlign w:val="center"/>
          </w:tcPr>
          <w:p w14:paraId="19594CEA">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775" w:type="dxa"/>
            <w:vAlign w:val="center"/>
          </w:tcPr>
          <w:p w14:paraId="37897A5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解释权</w:t>
            </w:r>
          </w:p>
        </w:tc>
        <w:tc>
          <w:tcPr>
            <w:tcW w:w="6912" w:type="dxa"/>
            <w:vAlign w:val="top"/>
          </w:tcPr>
          <w:p w14:paraId="34B17084">
            <w:pPr>
              <w:pageBreakBefore w:val="0"/>
              <w:widowControl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6A9D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2" w:type="dxa"/>
            <w:vAlign w:val="center"/>
          </w:tcPr>
          <w:p w14:paraId="568E1BF2">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942" w:type="dxa"/>
            <w:vAlign w:val="center"/>
          </w:tcPr>
          <w:p w14:paraId="1D66AB16">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p>
        </w:tc>
        <w:tc>
          <w:tcPr>
            <w:tcW w:w="1775" w:type="dxa"/>
            <w:vAlign w:val="center"/>
          </w:tcPr>
          <w:p w14:paraId="77450114">
            <w:pPr>
              <w:pageBreakBefore w:val="0"/>
              <w:widowControl w:val="0"/>
              <w:kinsoku/>
              <w:wordWrap/>
              <w:overflowPunct/>
              <w:topLinePunct w:val="0"/>
              <w:autoSpaceDE/>
              <w:autoSpaceDN/>
              <w:bidi w:val="0"/>
              <w:adjustRightInd/>
              <w:spacing w:line="380"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监督管理机构</w:t>
            </w:r>
          </w:p>
        </w:tc>
        <w:tc>
          <w:tcPr>
            <w:tcW w:w="6912" w:type="dxa"/>
            <w:vAlign w:val="center"/>
          </w:tcPr>
          <w:p w14:paraId="32FF6478">
            <w:pPr>
              <w:pageBreakBefore w:val="0"/>
              <w:kinsoku/>
              <w:wordWrap/>
              <w:overflowPunct/>
              <w:topLinePunct w:val="0"/>
              <w:autoSpaceDE/>
              <w:autoSpaceDN/>
              <w:bidi w:val="0"/>
              <w:adjustRightInd/>
              <w:spacing w:line="380" w:lineRule="exact"/>
              <w:ind w:left="0"/>
              <w:textAlignment w:val="auto"/>
              <w:rPr>
                <w:rFonts w:hint="eastAsia" w:ascii="宋体" w:hAnsi="宋体" w:eastAsia="宋体" w:cs="宋体"/>
                <w:color w:val="auto"/>
                <w:sz w:val="21"/>
                <w:szCs w:val="21"/>
                <w:highlight w:val="none"/>
              </w:rPr>
            </w:pPr>
            <w:r>
              <w:rPr>
                <w:rFonts w:hint="eastAsia" w:ascii="宋体" w:hAnsi="宋体" w:cs="宋体"/>
                <w:color w:val="auto"/>
                <w:kern w:val="0"/>
                <w:szCs w:val="21"/>
                <w:highlight w:val="none"/>
                <w:shd w:val="clear" w:color="auto" w:fill="auto"/>
              </w:rPr>
              <w:t>桂林市雁山区政府采购管理办公室</w:t>
            </w:r>
            <w:r>
              <w:rPr>
                <w:rFonts w:hint="eastAsia" w:ascii="宋体" w:hAnsi="宋体" w:cs="宋体"/>
                <w:color w:val="auto"/>
                <w:szCs w:val="21"/>
                <w:highlight w:val="none"/>
                <w:shd w:val="clear" w:color="auto" w:fill="auto"/>
              </w:rPr>
              <w:t xml:space="preserve"> </w:t>
            </w:r>
            <w:r>
              <w:rPr>
                <w:rFonts w:ascii="宋体" w:hAnsi="宋体" w:cs="宋体"/>
                <w:color w:val="auto"/>
                <w:szCs w:val="21"/>
                <w:highlight w:val="none"/>
                <w:shd w:val="clear" w:color="auto" w:fill="auto"/>
              </w:rPr>
              <w:t xml:space="preserve"> </w:t>
            </w:r>
            <w:r>
              <w:rPr>
                <w:rFonts w:hint="eastAsia" w:ascii="宋体" w:hAnsi="宋体" w:cs="宋体"/>
                <w:color w:val="auto"/>
                <w:szCs w:val="21"/>
                <w:highlight w:val="none"/>
                <w:shd w:val="clear" w:color="auto" w:fill="auto"/>
              </w:rPr>
              <w:t xml:space="preserve"> </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联系电话：</w:t>
            </w:r>
            <w:r>
              <w:rPr>
                <w:rFonts w:ascii="宋体" w:hAnsi="宋体" w:cs="宋体"/>
                <w:color w:val="auto"/>
                <w:kern w:val="0"/>
                <w:szCs w:val="21"/>
                <w:highlight w:val="none"/>
                <w:shd w:val="clear" w:color="auto" w:fill="auto"/>
              </w:rPr>
              <w:t>0773-3551959</w:t>
            </w:r>
            <w:r>
              <w:rPr>
                <w:rStyle w:val="43"/>
                <w:rFonts w:hint="eastAsia" w:ascii="宋体" w:hAnsi="宋体"/>
                <w:color w:val="auto"/>
                <w:szCs w:val="21"/>
                <w:highlight w:val="none"/>
                <w:shd w:val="clear" w:color="auto" w:fill="auto"/>
              </w:rPr>
              <w:t xml:space="preserve"> </w:t>
            </w:r>
          </w:p>
        </w:tc>
      </w:tr>
    </w:tbl>
    <w:p w14:paraId="65EFE5F3">
      <w:pPr>
        <w:pStyle w:val="20"/>
        <w:ind w:left="0" w:leftChars="0" w:firstLine="0" w:firstLineChars="0"/>
        <w:rPr>
          <w:rFonts w:hint="eastAsia" w:ascii="宋体" w:hAnsi="宋体" w:eastAsia="宋体" w:cs="宋体"/>
          <w:b/>
          <w:color w:val="auto"/>
          <w:sz w:val="21"/>
          <w:szCs w:val="21"/>
          <w:highlight w:val="none"/>
        </w:rPr>
      </w:pPr>
    </w:p>
    <w:p w14:paraId="7374E1C7">
      <w:pPr>
        <w:pStyle w:val="3"/>
        <w:pageBreakBefore w:val="0"/>
        <w:widowControl w:val="0"/>
        <w:tabs>
          <w:tab w:val="left" w:pos="567"/>
        </w:tabs>
        <w:kinsoku/>
        <w:wordWrap/>
        <w:overflowPunct/>
        <w:topLinePunct w:val="0"/>
        <w:bidi w:val="0"/>
        <w:spacing w:line="440" w:lineRule="exact"/>
        <w:jc w:val="both"/>
        <w:textAlignment w:val="auto"/>
        <w:rPr>
          <w:rFonts w:hint="eastAsia" w:ascii="宋体" w:hAnsi="宋体" w:eastAsia="宋体" w:cs="宋体"/>
          <w:b/>
          <w:bCs w:val="0"/>
          <w:color w:val="auto"/>
          <w:sz w:val="21"/>
          <w:szCs w:val="21"/>
          <w:highlight w:val="none"/>
        </w:rPr>
        <w:sectPr>
          <w:footerReference r:id="rId8" w:type="first"/>
          <w:footerReference r:id="rId7" w:type="default"/>
          <w:pgSz w:w="11906" w:h="16838"/>
          <w:pgMar w:top="1077" w:right="1115" w:bottom="1191" w:left="1131" w:header="851" w:footer="992" w:gutter="0"/>
          <w:pgNumType w:fmt="decimal"/>
          <w:cols w:space="720" w:num="1"/>
          <w:titlePg/>
          <w:docGrid w:type="lines" w:linePitch="312" w:charSpace="0"/>
        </w:sectPr>
      </w:pPr>
      <w:bookmarkStart w:id="57" w:name="_Toc27120"/>
      <w:bookmarkStart w:id="58" w:name="_Toc22792"/>
    </w:p>
    <w:p w14:paraId="4E2B5210">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bookmarkStart w:id="59" w:name="_Toc19520"/>
      <w:r>
        <w:rPr>
          <w:rFonts w:hint="eastAsia" w:ascii="宋体" w:hAnsi="宋体" w:eastAsia="宋体" w:cs="宋体"/>
          <w:b/>
          <w:bCs w:val="0"/>
          <w:color w:val="auto"/>
          <w:sz w:val="21"/>
          <w:szCs w:val="21"/>
          <w:highlight w:val="none"/>
        </w:rPr>
        <w:t>一、总则</w:t>
      </w:r>
      <w:bookmarkEnd w:id="57"/>
      <w:bookmarkEnd w:id="58"/>
      <w:bookmarkEnd w:id="59"/>
    </w:p>
    <w:p w14:paraId="75D0BE88">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60" w:name="_Toc6626"/>
      <w:bookmarkStart w:id="61" w:name="_Toc3367"/>
      <w:r>
        <w:rPr>
          <w:rFonts w:hint="eastAsia" w:ascii="宋体" w:hAnsi="宋体" w:eastAsia="宋体" w:cs="宋体"/>
          <w:color w:val="auto"/>
          <w:sz w:val="21"/>
          <w:szCs w:val="21"/>
          <w:highlight w:val="none"/>
        </w:rPr>
        <w:t>1. 适应范围</w:t>
      </w:r>
      <w:bookmarkEnd w:id="60"/>
      <w:bookmarkEnd w:id="61"/>
    </w:p>
    <w:p w14:paraId="2B5B7688">
      <w:pPr>
        <w:pageBreakBefore w:val="0"/>
        <w:widowControl w:val="0"/>
        <w:kinsoku/>
        <w:wordWrap/>
        <w:overflowPunct/>
        <w:topLinePunct w:val="0"/>
        <w:bidi w:val="0"/>
        <w:snapToGrid/>
        <w:spacing w:line="380" w:lineRule="exact"/>
        <w:ind w:left="0" w:leftChars="0"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项目名称及项目编号</w:t>
      </w:r>
    </w:p>
    <w:p w14:paraId="726FE88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eastAsia="宋体" w:cs="宋体"/>
          <w:b w:val="0"/>
          <w:bCs w:val="0"/>
          <w:color w:val="auto"/>
          <w:kern w:val="2"/>
          <w:sz w:val="21"/>
          <w:szCs w:val="21"/>
          <w:highlight w:val="none"/>
          <w:u w:val="none"/>
          <w:lang w:val="en-US" w:eastAsia="zh-CN" w:bidi="ar-SA"/>
        </w:rPr>
        <w:t>乡村工匠产业园污水管网改造提升项目</w:t>
      </w:r>
    </w:p>
    <w:p w14:paraId="6CD05B5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项目编号：</w:t>
      </w:r>
      <w:r>
        <w:rPr>
          <w:rFonts w:hint="eastAsia" w:ascii="宋体" w:hAnsi="宋体" w:eastAsia="宋体" w:cs="宋体"/>
          <w:b w:val="0"/>
          <w:bCs w:val="0"/>
          <w:color w:val="000000" w:themeColor="text1"/>
          <w:kern w:val="2"/>
          <w:sz w:val="21"/>
          <w:szCs w:val="21"/>
          <w:highlight w:val="none"/>
          <w:u w:val="none"/>
          <w:lang w:val="en-US" w:eastAsia="zh-CN" w:bidi="ar-SA"/>
          <w14:textFill>
            <w14:solidFill>
              <w14:schemeClr w14:val="tx1"/>
            </w14:solidFill>
          </w14:textFill>
        </w:rPr>
        <w:t>GLZC2026-C2-990312-HCJS</w:t>
      </w:r>
    </w:p>
    <w:p w14:paraId="59205865">
      <w:pPr>
        <w:pStyle w:val="9"/>
        <w:rPr>
          <w:rFonts w:hint="eastAsia" w:ascii="宋体" w:hAnsi="宋体" w:cs="宋体"/>
          <w:color w:val="000000" w:themeColor="text1"/>
          <w:szCs w:val="21"/>
          <w:highlight w:val="none"/>
          <w:shd w:val="clear" w:color="auto" w:fill="auto"/>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shd w:val="clear" w:color="auto" w:fill="auto"/>
          <w14:textFill>
            <w14:solidFill>
              <w14:schemeClr w14:val="tx1"/>
            </w14:solidFill>
          </w14:textFill>
        </w:rPr>
        <w:t>要求工期：</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自合同签订之日起</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 xml:space="preserve"> 180</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个日历天内完工。</w:t>
      </w:r>
    </w:p>
    <w:p w14:paraId="4A328BB9">
      <w:pPr>
        <w:spacing w:line="400" w:lineRule="exact"/>
        <w:ind w:firstLine="411" w:firstLineChars="196"/>
        <w:rPr>
          <w:rFonts w:hint="default"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lang w:val="en-US" w:eastAsia="zh-CN"/>
        </w:rPr>
        <w:t>1.3</w:t>
      </w:r>
      <w:r>
        <w:rPr>
          <w:rFonts w:hint="eastAsia" w:cs="宋体"/>
          <w:color w:val="auto"/>
          <w:highlight w:val="none"/>
          <w:shd w:val="clear" w:color="auto" w:fill="auto"/>
        </w:rPr>
        <w:t>质量标准：</w:t>
      </w:r>
      <w:r>
        <w:rPr>
          <w:rFonts w:hint="eastAsia" w:ascii="宋体" w:hAnsi="宋体"/>
          <w:color w:val="auto"/>
          <w:szCs w:val="21"/>
          <w:highlight w:val="none"/>
          <w:u w:val="single"/>
          <w:shd w:val="clear" w:color="auto" w:fill="auto"/>
        </w:rPr>
        <w:t>国家现行有关工程施工质量验收规范合格标准</w:t>
      </w:r>
      <w:r>
        <w:rPr>
          <w:rFonts w:hint="eastAsia" w:ascii="宋体" w:hAnsi="宋体"/>
          <w:color w:val="auto"/>
          <w:szCs w:val="21"/>
          <w:highlight w:val="none"/>
          <w:shd w:val="clear" w:color="auto" w:fill="auto"/>
        </w:rPr>
        <w:t>。</w:t>
      </w:r>
    </w:p>
    <w:p w14:paraId="7AFA4437">
      <w:pPr>
        <w:pageBreakBefore w:val="0"/>
        <w:widowControl w:val="0"/>
        <w:kinsoku/>
        <w:wordWrap/>
        <w:overflowPunct/>
        <w:topLinePunct w:val="0"/>
        <w:bidi w:val="0"/>
        <w:snapToGrid/>
        <w:spacing w:line="380" w:lineRule="exact"/>
        <w:ind w:left="0" w:leftChars="0"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本竞争性磋商文件（以下简称磋商文件）适用于本磋商项目的磋商、评审、合同履约、验收、付款等行为（法律、法规另有规定的，从其规定）。</w:t>
      </w:r>
    </w:p>
    <w:p w14:paraId="0D51F290">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62" w:name="_Toc28336"/>
      <w:bookmarkStart w:id="63" w:name="_Toc2845"/>
      <w:r>
        <w:rPr>
          <w:rFonts w:hint="eastAsia" w:ascii="宋体" w:hAnsi="宋体" w:eastAsia="宋体" w:cs="宋体"/>
          <w:color w:val="auto"/>
          <w:sz w:val="21"/>
          <w:szCs w:val="21"/>
          <w:highlight w:val="none"/>
        </w:rPr>
        <w:t>2. 定义</w:t>
      </w:r>
      <w:bookmarkEnd w:id="62"/>
      <w:bookmarkEnd w:id="63"/>
    </w:p>
    <w:p w14:paraId="339FE4E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2.1“供应商”是指符合本次采购项目的供应商资格并提交响应文件、参加磋商的供应商。如果该供应商在本次磋商中成交，即成为“成交供应商”。</w:t>
      </w:r>
    </w:p>
    <w:p w14:paraId="3ADDCF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2.2“货物”系指按磋商文件规定，供应商须向采购人提供的一切设备、保险、税金、备品备件、工具、手册及其它有关技术资料和材料。</w:t>
      </w:r>
    </w:p>
    <w:p w14:paraId="059B4CD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2.3“服务”系指按磋商文件规定，供应商须承担的安装、调试、技术协助、校准、培训、技术指导以及其他类似的义务。</w:t>
      </w:r>
    </w:p>
    <w:p w14:paraId="0836162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2.4“项目”系指供应商按磋商文件规定向采购人提供的货物和服务。</w:t>
      </w:r>
    </w:p>
    <w:p w14:paraId="0495808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2.5“书面形式”包括信函、传真、电报等。</w:t>
      </w:r>
    </w:p>
    <w:p w14:paraId="68DCFDBC">
      <w:pPr>
        <w:pStyle w:val="4"/>
        <w:pageBreakBefore w:val="0"/>
        <w:widowControl w:val="0"/>
        <w:numPr>
          <w:ilvl w:val="0"/>
          <w:numId w:val="2"/>
        </w:numPr>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64" w:name="_Toc13017"/>
      <w:bookmarkStart w:id="65" w:name="_Toc25441"/>
      <w:r>
        <w:rPr>
          <w:rFonts w:hint="eastAsia" w:ascii="宋体" w:hAnsi="宋体" w:eastAsia="宋体" w:cs="宋体"/>
          <w:color w:val="auto"/>
          <w:sz w:val="21"/>
          <w:szCs w:val="21"/>
          <w:highlight w:val="none"/>
        </w:rPr>
        <w:t>供应商资格</w:t>
      </w:r>
      <w:bookmarkEnd w:id="64"/>
      <w:bookmarkEnd w:id="65"/>
      <w:bookmarkStart w:id="66" w:name="_Toc9216"/>
      <w:bookmarkStart w:id="67" w:name="_Toc16496"/>
    </w:p>
    <w:p w14:paraId="2BDA850D">
      <w:pPr>
        <w:pStyle w:val="4"/>
        <w:pageBreakBefore w:val="0"/>
        <w:widowControl w:val="0"/>
        <w:numPr>
          <w:ilvl w:val="0"/>
          <w:numId w:val="0"/>
        </w:numPr>
        <w:kinsoku/>
        <w:wordWrap/>
        <w:overflowPunct/>
        <w:topLinePunct w:val="0"/>
        <w:bidi w:val="0"/>
        <w:snapToGrid/>
        <w:spacing w:before="0" w:after="0" w:line="380" w:lineRule="exact"/>
        <w:ind w:leftChars="200"/>
        <w:textAlignment w:val="auto"/>
        <w:rPr>
          <w:rFonts w:ascii="宋体" w:hAnsi="宋体" w:cs="宋体"/>
          <w:b w:val="0"/>
          <w:color w:val="auto"/>
          <w:sz w:val="21"/>
          <w:szCs w:val="21"/>
          <w:highlight w:val="none"/>
          <w:shd w:val="clear" w:color="auto" w:fill="auto"/>
        </w:rPr>
      </w:pPr>
      <w:r>
        <w:rPr>
          <w:rFonts w:hint="eastAsia" w:ascii="宋体" w:hAnsi="宋体" w:cs="宋体"/>
          <w:b w:val="0"/>
          <w:color w:val="auto"/>
          <w:sz w:val="21"/>
          <w:szCs w:val="21"/>
          <w:highlight w:val="none"/>
          <w:shd w:val="clear" w:color="auto" w:fill="auto"/>
        </w:rPr>
        <w:t>详见供应商须知前附表。</w:t>
      </w:r>
    </w:p>
    <w:p w14:paraId="424013F7">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磋商费用</w:t>
      </w:r>
      <w:bookmarkEnd w:id="66"/>
      <w:bookmarkEnd w:id="67"/>
    </w:p>
    <w:p w14:paraId="1ADBBE34">
      <w:pPr>
        <w:pageBreakBefore w:val="0"/>
        <w:widowControl w:val="0"/>
        <w:tabs>
          <w:tab w:val="left" w:pos="1635"/>
        </w:tabs>
        <w:kinsoku/>
        <w:wordWrap/>
        <w:overflowPunct/>
        <w:topLinePunct w:val="0"/>
        <w:bidi w:val="0"/>
        <w:snapToGrid/>
        <w:spacing w:line="380" w:lineRule="exact"/>
        <w:ind w:left="0" w:leftChars="0"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不论磋商结果如何，供应商均应自行承担所有与磋商有关的全部费用。</w:t>
      </w:r>
    </w:p>
    <w:p w14:paraId="22791722">
      <w:pPr>
        <w:pStyle w:val="4"/>
        <w:pageBreakBefore w:val="0"/>
        <w:widowControl w:val="0"/>
        <w:numPr>
          <w:ilvl w:val="0"/>
          <w:numId w:val="3"/>
        </w:numPr>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68" w:name="_Toc22877"/>
      <w:bookmarkStart w:id="69" w:name="_Toc31376"/>
      <w:r>
        <w:rPr>
          <w:rFonts w:hint="eastAsia" w:ascii="宋体" w:hAnsi="宋体" w:eastAsia="宋体" w:cs="宋体"/>
          <w:color w:val="auto"/>
          <w:sz w:val="21"/>
          <w:szCs w:val="21"/>
          <w:highlight w:val="none"/>
        </w:rPr>
        <w:t>联合体要求</w:t>
      </w:r>
      <w:bookmarkEnd w:id="68"/>
      <w:bookmarkEnd w:id="69"/>
    </w:p>
    <w:p w14:paraId="1195C03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本项目不接受联合体参与磋商</w:t>
      </w:r>
    </w:p>
    <w:p w14:paraId="724A3FD2">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70" w:name="_Toc18940"/>
      <w:bookmarkStart w:id="71" w:name="_Toc4152"/>
      <w:r>
        <w:rPr>
          <w:rFonts w:hint="eastAsia" w:ascii="宋体" w:hAnsi="宋体" w:eastAsia="宋体" w:cs="宋体"/>
          <w:color w:val="auto"/>
          <w:sz w:val="21"/>
          <w:szCs w:val="21"/>
          <w:highlight w:val="none"/>
        </w:rPr>
        <w:t>6. 质疑和投诉</w:t>
      </w:r>
      <w:bookmarkEnd w:id="70"/>
      <w:bookmarkEnd w:id="71"/>
      <w:r>
        <w:rPr>
          <w:rFonts w:hint="eastAsia" w:ascii="宋体" w:hAnsi="宋体" w:eastAsia="宋体" w:cs="宋体"/>
          <w:color w:val="auto"/>
          <w:sz w:val="21"/>
          <w:szCs w:val="21"/>
          <w:highlight w:val="none"/>
        </w:rPr>
        <w:tab/>
      </w:r>
    </w:p>
    <w:p w14:paraId="1DB6B2CB">
      <w:pPr>
        <w:pageBreakBefore w:val="0"/>
        <w:widowControl w:val="0"/>
        <w:tabs>
          <w:tab w:val="left" w:pos="2190"/>
        </w:tabs>
        <w:kinsoku/>
        <w:wordWrap/>
        <w:overflowPunct/>
        <w:topLinePunct w:val="0"/>
        <w:bidi w:val="0"/>
        <w:snapToGrid/>
        <w:spacing w:line="380" w:lineRule="exact"/>
        <w:ind w:left="0" w:leftChars="0" w:firstLine="435"/>
        <w:textAlignment w:val="auto"/>
        <w:rPr>
          <w:rFonts w:hint="eastAsia" w:ascii="宋体" w:hAnsi="宋体" w:eastAsia="宋体" w:cs="宋体"/>
          <w:color w:val="auto"/>
          <w:sz w:val="21"/>
          <w:szCs w:val="21"/>
          <w:highlight w:val="none"/>
          <w:u w:val="none"/>
        </w:rPr>
      </w:pPr>
      <w:bookmarkStart w:id="72" w:name="_Toc8195"/>
      <w:bookmarkStart w:id="73" w:name="_Toc26087"/>
      <w:r>
        <w:rPr>
          <w:rFonts w:hint="eastAsia" w:ascii="宋体" w:hAnsi="宋体" w:eastAsia="宋体" w:cs="宋体"/>
          <w:color w:val="auto"/>
          <w:sz w:val="21"/>
          <w:szCs w:val="21"/>
          <w:highlight w:val="none"/>
          <w:u w:val="none"/>
        </w:rPr>
        <w:t>6.1</w:t>
      </w:r>
      <w:r>
        <w:rPr>
          <w:rFonts w:hint="eastAsia" w:hAnsi="宋体"/>
          <w:color w:val="auto"/>
          <w:highlight w:val="none"/>
        </w:rPr>
        <w:t>供应商对政府采购活动事项有疑问的，可以向采购人、采购代理机构提出询问</w:t>
      </w:r>
      <w:r>
        <w:rPr>
          <w:rFonts w:hint="eastAsia" w:ascii="宋体" w:hAnsi="宋体" w:eastAsia="宋体" w:cs="宋体"/>
          <w:color w:val="auto"/>
          <w:sz w:val="21"/>
          <w:szCs w:val="21"/>
          <w:highlight w:val="none"/>
          <w:u w:val="none"/>
        </w:rPr>
        <w:t>。</w:t>
      </w:r>
    </w:p>
    <w:p w14:paraId="6C915446">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2</w:t>
      </w:r>
      <w:r>
        <w:rPr>
          <w:rFonts w:ascii="宋体" w:hAnsi="宋体"/>
          <w:color w:val="auto"/>
          <w:szCs w:val="21"/>
          <w:highlight w:val="none"/>
        </w:rPr>
        <w:t>供应商认为磋商文件使自己的合法权益受到损害的，应当</w:t>
      </w:r>
      <w:r>
        <w:rPr>
          <w:rFonts w:hint="eastAsia" w:ascii="宋体" w:hAnsi="宋体"/>
          <w:color w:val="auto"/>
          <w:szCs w:val="21"/>
          <w:highlight w:val="none"/>
        </w:rPr>
        <w:t>在公告期限届满之日起</w:t>
      </w:r>
      <w:r>
        <w:rPr>
          <w:rFonts w:ascii="宋体" w:hAnsi="宋体"/>
          <w:color w:val="auto"/>
          <w:szCs w:val="21"/>
          <w:highlight w:val="none"/>
        </w:rPr>
        <w:t>七个工作日内，以书面形式向采购代理机构提出质疑。供应商认为采购过程或成交结果使自己的合法权益受到损害的，应当在</w:t>
      </w:r>
      <w:r>
        <w:rPr>
          <w:rFonts w:hint="eastAsia" w:ascii="宋体" w:hAnsi="宋体"/>
          <w:color w:val="auto"/>
          <w:szCs w:val="21"/>
          <w:highlight w:val="none"/>
        </w:rPr>
        <w:t>各</w:t>
      </w:r>
      <w:r>
        <w:rPr>
          <w:rFonts w:ascii="宋体" w:hAnsi="宋体"/>
          <w:color w:val="auto"/>
          <w:szCs w:val="21"/>
          <w:highlight w:val="none"/>
        </w:rPr>
        <w:t>采购程序环节结束之日或成交公告期限届满之日起七个工作日内，以书面形式</w:t>
      </w:r>
      <w:r>
        <w:rPr>
          <w:rFonts w:hint="eastAsia" w:ascii="宋体" w:hAnsi="宋体"/>
          <w:color w:val="auto"/>
          <w:szCs w:val="21"/>
          <w:highlight w:val="none"/>
        </w:rPr>
        <w:t>向</w:t>
      </w:r>
      <w:r>
        <w:rPr>
          <w:rFonts w:ascii="宋体" w:hAnsi="宋体"/>
          <w:color w:val="auto"/>
          <w:szCs w:val="21"/>
          <w:highlight w:val="none"/>
        </w:rPr>
        <w:t>采购代理机构提出质疑</w:t>
      </w:r>
      <w:r>
        <w:rPr>
          <w:rFonts w:hint="eastAsia" w:ascii="宋体" w:hAnsi="宋体" w:cs="宋体"/>
          <w:b/>
          <w:color w:val="auto"/>
          <w:szCs w:val="21"/>
          <w:highlight w:val="none"/>
        </w:rPr>
        <w:t>（“质疑函”格式见附表1）</w:t>
      </w:r>
      <w:r>
        <w:rPr>
          <w:rFonts w:ascii="宋体" w:hAnsi="宋体"/>
          <w:color w:val="auto"/>
          <w:szCs w:val="21"/>
          <w:highlight w:val="none"/>
        </w:rPr>
        <w:t>。</w:t>
      </w:r>
      <w:r>
        <w:rPr>
          <w:rFonts w:hint="eastAsia" w:ascii="宋体" w:hAnsi="宋体" w:cs="宋体"/>
          <w:color w:val="auto"/>
          <w:szCs w:val="21"/>
          <w:highlight w:val="none"/>
        </w:rPr>
        <w:t>否则，采购代理机构有权拒收。</w:t>
      </w:r>
    </w:p>
    <w:p w14:paraId="5E38FE39">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5C363D3F">
      <w:pPr>
        <w:tabs>
          <w:tab w:val="left" w:pos="2190"/>
        </w:tabs>
        <w:wordWrap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供应商在法定质疑期内应一次性提出与项目相关的质疑，供应商在提出与项目相关的质疑前应当做好全面且详细的工作，采购代理机构不再受理供应商针对同一采购程序环节的再次质疑。</w:t>
      </w:r>
    </w:p>
    <w:p w14:paraId="6969DAC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3</w:t>
      </w:r>
      <w:r>
        <w:rPr>
          <w:rFonts w:hint="eastAsia" w:ascii="宋体" w:hAnsi="宋体"/>
          <w:color w:val="auto"/>
          <w:szCs w:val="21"/>
          <w:highlight w:val="none"/>
        </w:rPr>
        <w:t>供应商对采购代理机构的质疑答复不满意或者采购代理机构未在规定的时间内作出答复的，可以在答复期满后十五个工作日内向本级财政部门投诉</w:t>
      </w:r>
      <w:r>
        <w:rPr>
          <w:rFonts w:hint="eastAsia" w:ascii="宋体" w:hAnsi="宋体" w:cs="宋体"/>
          <w:b/>
          <w:color w:val="auto"/>
          <w:szCs w:val="21"/>
          <w:highlight w:val="none"/>
        </w:rPr>
        <w:t>（“投诉书”格式见附表2）</w:t>
      </w:r>
      <w:r>
        <w:rPr>
          <w:rFonts w:hint="eastAsia" w:ascii="宋体" w:hAnsi="宋体"/>
          <w:color w:val="auto"/>
          <w:szCs w:val="21"/>
          <w:highlight w:val="none"/>
        </w:rPr>
        <w:t>。</w:t>
      </w:r>
    </w:p>
    <w:p w14:paraId="1E670EE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4</w:t>
      </w:r>
      <w:r>
        <w:rPr>
          <w:rFonts w:hint="eastAsia" w:ascii="宋体" w:hAnsi="宋体"/>
          <w:color w:val="auto"/>
          <w:szCs w:val="21"/>
          <w:highlight w:val="none"/>
        </w:rPr>
        <w:t>供应商提出质疑、投诉，应当遵守中华人民共和国财政部令第</w:t>
      </w:r>
      <w:r>
        <w:rPr>
          <w:rFonts w:ascii="宋体" w:hAnsi="宋体"/>
          <w:color w:val="auto"/>
          <w:szCs w:val="21"/>
          <w:highlight w:val="none"/>
        </w:rPr>
        <w:t>94</w:t>
      </w:r>
      <w:r>
        <w:rPr>
          <w:rFonts w:hint="eastAsia" w:ascii="宋体" w:hAnsi="宋体"/>
          <w:color w:val="auto"/>
          <w:szCs w:val="21"/>
          <w:highlight w:val="none"/>
        </w:rPr>
        <w:t>号《政府采购质疑和投诉办法》的相关规定，且采用书面形式。质疑函、投诉书均应明确阐述磋商文件、采购过程或成交结果中使自己合法权益受到损害的实质性内容，并提供相关事实、依据和证据及其来源。</w:t>
      </w:r>
    </w:p>
    <w:p w14:paraId="587A0798">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供应商提出质疑应当提交质疑函和必要的证明材料，针对同一采购程序环节的质疑必须在法定质疑期内一次性提出。质疑函应当包括下列内容：</w:t>
      </w:r>
    </w:p>
    <w:p w14:paraId="5FED7AB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（1）供应商的姓名或者名称、地址、邮编、联系人及联系电话；</w:t>
      </w:r>
    </w:p>
    <w:p w14:paraId="4D3E28E7">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（2）质疑项目的名称、编号；</w:t>
      </w:r>
    </w:p>
    <w:p w14:paraId="2EE9D2B6">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6398AC56">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（4）事实依据；</w:t>
      </w:r>
    </w:p>
    <w:p w14:paraId="0B2A3DFE">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（5）必要的法律依据；</w:t>
      </w:r>
    </w:p>
    <w:p w14:paraId="397FD2BA">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（6）提出质疑的日期。</w:t>
      </w:r>
    </w:p>
    <w:p w14:paraId="2F691994">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供应商为自然人的，应当由本人签字；供应商为法人或者其他组织的，应当由法定代表人、主要负责人，或者其授权代表签字或者盖章，并加盖公章。</w:t>
      </w:r>
    </w:p>
    <w:p w14:paraId="20699ABB">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接收质疑函方式：以书面形式</w:t>
      </w:r>
    </w:p>
    <w:bookmarkEnd w:id="72"/>
    <w:bookmarkEnd w:id="73"/>
    <w:p w14:paraId="2FD68CCA">
      <w:pPr>
        <w:tabs>
          <w:tab w:val="left" w:pos="2190"/>
        </w:tabs>
        <w:spacing w:line="400" w:lineRule="exact"/>
        <w:ind w:firstLine="435"/>
        <w:rPr>
          <w:rFonts w:hint="default" w:ascii="宋体" w:hAnsi="宋体" w:eastAsia="宋体" w:cs="宋体"/>
          <w:color w:val="auto"/>
          <w:highlight w:val="none"/>
          <w:shd w:val="clear" w:color="auto" w:fill="auto"/>
          <w:lang w:val="en-US" w:eastAsia="zh-CN"/>
        </w:rPr>
      </w:pPr>
      <w:bookmarkStart w:id="74" w:name="_Toc6998"/>
      <w:bookmarkStart w:id="75" w:name="_Toc5032"/>
      <w:r>
        <w:rPr>
          <w:rFonts w:hint="eastAsia" w:ascii="宋体" w:hAnsi="宋体"/>
          <w:color w:val="auto"/>
          <w:highlight w:val="none"/>
          <w:shd w:val="clear" w:color="auto" w:fill="auto"/>
        </w:rPr>
        <w:t>质疑联系部门：</w:t>
      </w:r>
      <w:r>
        <w:rPr>
          <w:rFonts w:hint="eastAsia" w:ascii="宋体" w:hAnsi="宋体" w:cs="宋体"/>
          <w:color w:val="auto"/>
          <w:sz w:val="21"/>
          <w:szCs w:val="21"/>
          <w:highlight w:val="none"/>
          <w:shd w:val="clear" w:color="auto" w:fill="auto"/>
          <w:lang w:val="en-US" w:eastAsia="zh-CN"/>
        </w:rPr>
        <w:t>华春建设工程项目管理有限责任公司</w:t>
      </w:r>
      <w:r>
        <w:rPr>
          <w:rFonts w:hint="eastAsia" w:ascii="宋体" w:hAnsi="宋体"/>
          <w:color w:val="auto"/>
          <w:highlight w:val="none"/>
          <w:shd w:val="clear" w:color="auto" w:fill="auto"/>
        </w:rPr>
        <w:t xml:space="preserve">  联系电话：</w:t>
      </w:r>
      <w:r>
        <w:rPr>
          <w:rFonts w:hint="eastAsia" w:ascii="宋体" w:hAnsi="宋体"/>
          <w:color w:val="auto"/>
          <w:highlight w:val="none"/>
          <w:shd w:val="clear" w:color="auto" w:fill="auto"/>
          <w:lang w:val="en-US" w:eastAsia="zh-CN"/>
        </w:rPr>
        <w:t>0773-5888885</w:t>
      </w:r>
    </w:p>
    <w:p w14:paraId="6A12A856">
      <w:pPr>
        <w:tabs>
          <w:tab w:val="left" w:pos="2190"/>
        </w:tabs>
        <w:spacing w:line="400" w:lineRule="exact"/>
        <w:ind w:firstLine="435"/>
        <w:rPr>
          <w:rFonts w:hint="eastAsia" w:ascii="宋体" w:hAnsi="宋体" w:eastAsia="宋体" w:cs="宋体"/>
          <w:color w:val="auto"/>
          <w:highlight w:val="none"/>
          <w:shd w:val="clear" w:color="auto" w:fill="auto"/>
          <w:lang w:val="en-US" w:eastAsia="zh-CN"/>
        </w:rPr>
      </w:pPr>
      <w:r>
        <w:rPr>
          <w:rFonts w:hint="eastAsia" w:ascii="宋体" w:hAnsi="宋体"/>
          <w:color w:val="auto"/>
          <w:highlight w:val="none"/>
          <w:shd w:val="clear" w:color="auto" w:fill="auto"/>
        </w:rPr>
        <w:t>通讯地址：</w:t>
      </w:r>
      <w:r>
        <w:rPr>
          <w:rFonts w:hint="eastAsia" w:ascii="宋体" w:hAnsi="宋体" w:eastAsia="宋体" w:cs="宋体"/>
          <w:color w:val="auto"/>
          <w:sz w:val="21"/>
          <w:szCs w:val="21"/>
          <w:highlight w:val="none"/>
          <w:shd w:val="clear" w:color="auto" w:fill="auto"/>
          <w:lang w:val="en-US" w:eastAsia="zh-CN"/>
        </w:rPr>
        <w:t>桂林市环城北一路39号4号楼四楼</w:t>
      </w:r>
    </w:p>
    <w:p w14:paraId="0983D260">
      <w:pPr>
        <w:tabs>
          <w:tab w:val="left" w:pos="2190"/>
        </w:tabs>
        <w:spacing w:line="400" w:lineRule="exact"/>
        <w:ind w:firstLine="435"/>
        <w:rPr>
          <w:rFonts w:ascii="宋体" w:hAnsi="宋体" w:cs="宋体"/>
          <w:color w:val="auto"/>
          <w:highlight w:val="none"/>
          <w:shd w:val="clear" w:color="auto" w:fill="auto"/>
        </w:rPr>
      </w:pPr>
      <w:r>
        <w:rPr>
          <w:rFonts w:hint="eastAsia" w:ascii="宋体" w:hAnsi="宋体" w:cs="宋体"/>
          <w:color w:val="auto"/>
          <w:highlight w:val="none"/>
          <w:shd w:val="clear" w:color="auto" w:fill="auto"/>
        </w:rPr>
        <w:t>现场提交质疑办理业务时间（北京时间）：每天</w:t>
      </w:r>
      <w:r>
        <w:rPr>
          <w:rFonts w:ascii="宋体" w:hAnsi="宋体" w:cs="宋体"/>
          <w:color w:val="auto"/>
          <w:highlight w:val="none"/>
          <w:shd w:val="clear" w:color="auto" w:fill="auto"/>
        </w:rPr>
        <w:t>9</w:t>
      </w:r>
      <w:r>
        <w:rPr>
          <w:rFonts w:hint="eastAsia" w:ascii="宋体" w:hAnsi="宋体" w:cs="宋体"/>
          <w:color w:val="auto"/>
          <w:highlight w:val="none"/>
          <w:shd w:val="clear" w:color="auto" w:fill="auto"/>
        </w:rPr>
        <w:t>时</w:t>
      </w:r>
      <w:r>
        <w:rPr>
          <w:rFonts w:ascii="宋体" w:hAnsi="宋体" w:cs="宋体"/>
          <w:color w:val="auto"/>
          <w:highlight w:val="none"/>
          <w:shd w:val="clear" w:color="auto" w:fill="auto"/>
        </w:rPr>
        <w:t>0</w:t>
      </w:r>
      <w:r>
        <w:rPr>
          <w:rFonts w:hint="eastAsia" w:ascii="宋体" w:hAnsi="宋体" w:cs="宋体"/>
          <w:color w:val="auto"/>
          <w:highlight w:val="none"/>
          <w:shd w:val="clear" w:color="auto" w:fill="auto"/>
        </w:rPr>
        <w:t>0分到12时00分，14时30分到17时</w:t>
      </w:r>
      <w:r>
        <w:rPr>
          <w:rFonts w:ascii="宋体" w:hAnsi="宋体" w:cs="宋体"/>
          <w:color w:val="auto"/>
          <w:highlight w:val="none"/>
          <w:shd w:val="clear" w:color="auto" w:fill="auto"/>
        </w:rPr>
        <w:t>3</w:t>
      </w:r>
      <w:r>
        <w:rPr>
          <w:rFonts w:hint="eastAsia" w:ascii="宋体" w:hAnsi="宋体" w:cs="宋体"/>
          <w:color w:val="auto"/>
          <w:highlight w:val="none"/>
          <w:shd w:val="clear" w:color="auto" w:fill="auto"/>
        </w:rPr>
        <w:t>0分，业务时间以外、双休日和法定节假日不办理业务。</w:t>
      </w:r>
      <w:r>
        <w:rPr>
          <w:rFonts w:hint="eastAsia" w:ascii="宋体" w:hAnsi="宋体" w:cs="宋体"/>
          <w:color w:val="auto"/>
          <w:szCs w:val="21"/>
          <w:highlight w:val="none"/>
          <w:shd w:val="clear" w:color="auto" w:fill="auto"/>
        </w:rPr>
        <w:t xml:space="preserve">       </w:t>
      </w:r>
    </w:p>
    <w:p w14:paraId="1A1932D2">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转包与分包</w:t>
      </w:r>
      <w:bookmarkEnd w:id="74"/>
      <w:bookmarkEnd w:id="75"/>
    </w:p>
    <w:p w14:paraId="3AC6F93A">
      <w:pPr>
        <w:pageBreakBefore w:val="0"/>
        <w:widowControl w:val="0"/>
        <w:tabs>
          <w:tab w:val="left" w:pos="2190"/>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shd w:val="clear" w:color="auto" w:fill="FFFFFF"/>
        </w:rPr>
        <w:t>.1本项目不允许转包。</w:t>
      </w:r>
    </w:p>
    <w:p w14:paraId="4F6718E7">
      <w:pPr>
        <w:pageBreakBefore w:val="0"/>
        <w:widowControl w:val="0"/>
        <w:tabs>
          <w:tab w:val="left" w:pos="2190"/>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7.2本项目不可以分包。</w:t>
      </w:r>
    </w:p>
    <w:p w14:paraId="36D3FEDB">
      <w:pPr>
        <w:pageBreakBefore w:val="0"/>
        <w:widowControl w:val="0"/>
        <w:tabs>
          <w:tab w:val="left" w:pos="2190"/>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7.3本项目不允许挂靠。</w:t>
      </w:r>
    </w:p>
    <w:p w14:paraId="3CF17327">
      <w:pPr>
        <w:pageBreakBefore w:val="0"/>
        <w:widowControl w:val="0"/>
        <w:tabs>
          <w:tab w:val="left" w:pos="2190"/>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7.4如发现有以上行为，采购人有权终止合同，所有损失由成交供应商承担。</w:t>
      </w:r>
    </w:p>
    <w:p w14:paraId="003394D0">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76" w:name="_Toc15097"/>
      <w:bookmarkStart w:id="77" w:name="_Toc3368"/>
      <w:r>
        <w:rPr>
          <w:rFonts w:hint="eastAsia" w:ascii="宋体" w:hAnsi="宋体" w:eastAsia="宋体" w:cs="宋体"/>
          <w:color w:val="auto"/>
          <w:sz w:val="21"/>
          <w:szCs w:val="21"/>
          <w:highlight w:val="none"/>
        </w:rPr>
        <w:t>8. 特别说明</w:t>
      </w:r>
      <w:bookmarkEnd w:id="76"/>
      <w:bookmarkEnd w:id="77"/>
    </w:p>
    <w:p w14:paraId="57B0301E">
      <w:pPr>
        <w:pageBreakBefore w:val="0"/>
        <w:widowControl w:val="0"/>
        <w:tabs>
          <w:tab w:val="left" w:pos="1635"/>
        </w:tabs>
        <w:kinsoku/>
        <w:wordWrap/>
        <w:overflowPunct/>
        <w:topLinePunct w:val="0"/>
        <w:bidi w:val="0"/>
        <w:snapToGrid/>
        <w:spacing w:line="380" w:lineRule="exact"/>
        <w:ind w:left="0" w:lef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8.1关联供应商不得参加同一合同项下政府采购活动，否则响应文件将被视为无效：</w:t>
      </w:r>
    </w:p>
    <w:p w14:paraId="3E2D8299">
      <w:pPr>
        <w:pageBreakBefore w:val="0"/>
        <w:widowControl w:val="0"/>
        <w:tabs>
          <w:tab w:val="left" w:pos="1635"/>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（1）单位负责人为同一人或者存在直接控股、管理关系的，不得参加同一合同项下的政府采购活动。</w:t>
      </w:r>
    </w:p>
    <w:p w14:paraId="0218344D">
      <w:pPr>
        <w:pageBreakBefore w:val="0"/>
        <w:widowControl w:val="0"/>
        <w:tabs>
          <w:tab w:val="left" w:pos="1635"/>
        </w:tabs>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）为本采购项目提供整体设计、规范编制或者项目管理、监理、检测等服务的供应商，不得再参加本次采购活动。</w:t>
      </w:r>
    </w:p>
    <w:p w14:paraId="2A3628C8">
      <w:pPr>
        <w:tabs>
          <w:tab w:val="left" w:pos="1635"/>
        </w:tabs>
        <w:wordWrap w:val="0"/>
        <w:spacing w:line="360" w:lineRule="exact"/>
        <w:ind w:firstLine="420" w:firstLineChars="200"/>
        <w:rPr>
          <w:rFonts w:ascii="宋体" w:hAnsi="宋体"/>
          <w:color w:val="auto"/>
          <w:szCs w:val="21"/>
          <w:highlight w:val="none"/>
        </w:rPr>
      </w:pPr>
      <w:bookmarkStart w:id="78" w:name="_Toc5168"/>
      <w:bookmarkStart w:id="79" w:name="_Toc22498"/>
      <w:bookmarkStart w:id="80" w:name="_Toc29496"/>
      <w:r>
        <w:rPr>
          <w:rFonts w:hint="eastAsia" w:ascii="宋体" w:hAnsi="宋体"/>
          <w:color w:val="auto"/>
          <w:szCs w:val="21"/>
          <w:highlight w:val="none"/>
        </w:rPr>
        <w:t>8.2供应商磋商所使用的资格、信誉、荣誉、业绩与企业认证必须为本法人所拥有，供应商磋商所使用的采购项目实施人员必须为供应商员工。</w:t>
      </w:r>
    </w:p>
    <w:p w14:paraId="00FF51DB">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8.3供应商应仔细阅读竞争性磋商文件的所有内容，按照竞争性磋商文件的要求提交响应文件，并对所提供的全部资料的真实性承担法律责任。</w:t>
      </w:r>
    </w:p>
    <w:p w14:paraId="7FF3801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8.4供应商在采购活动中提供任何虚假材料，其响应文件作无效处理，并报监管部门查处；成交后发现的，成交供应商须依照《中华人民共和国消费者权益保护法》规定赔偿采购人，且民事赔偿并不免除违法供应商的行政与刑事责任。</w:t>
      </w:r>
    </w:p>
    <w:p w14:paraId="0292C4A6">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both"/>
        <w:textAlignment w:val="auto"/>
        <w:rPr>
          <w:rFonts w:hint="eastAsia" w:ascii="宋体" w:hAnsi="宋体" w:eastAsia="宋体" w:cs="宋体"/>
          <w:b/>
          <w:bCs w:val="0"/>
          <w:color w:val="auto"/>
          <w:sz w:val="21"/>
          <w:szCs w:val="21"/>
          <w:highlight w:val="none"/>
        </w:rPr>
      </w:pPr>
    </w:p>
    <w:p w14:paraId="1067EB16">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二、磋商文件</w:t>
      </w:r>
      <w:bookmarkEnd w:id="78"/>
      <w:bookmarkEnd w:id="79"/>
      <w:bookmarkEnd w:id="80"/>
    </w:p>
    <w:p w14:paraId="4FD10498">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lang w:val="pt-BR"/>
        </w:rPr>
      </w:pPr>
      <w:bookmarkStart w:id="81" w:name="_Toc18964"/>
      <w:bookmarkStart w:id="82" w:name="_Toc20057"/>
      <w:r>
        <w:rPr>
          <w:rFonts w:hint="eastAsia" w:ascii="宋体" w:hAnsi="宋体" w:eastAsia="宋体" w:cs="宋体"/>
          <w:color w:val="auto"/>
          <w:sz w:val="21"/>
          <w:szCs w:val="21"/>
          <w:highlight w:val="none"/>
          <w:lang w:val="pt-BR"/>
        </w:rPr>
        <w:t xml:space="preserve">9. </w:t>
      </w:r>
      <w:r>
        <w:rPr>
          <w:rFonts w:hint="eastAsia" w:ascii="宋体" w:hAnsi="宋体" w:eastAsia="宋体" w:cs="宋体"/>
          <w:color w:val="auto"/>
          <w:sz w:val="21"/>
          <w:szCs w:val="21"/>
          <w:highlight w:val="none"/>
        </w:rPr>
        <w:t>磋商文件的构成</w:t>
      </w:r>
      <w:bookmarkEnd w:id="81"/>
      <w:bookmarkEnd w:id="82"/>
    </w:p>
    <w:p w14:paraId="0F18C2C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（1）竞争性磋商公告；</w:t>
      </w:r>
    </w:p>
    <w:p w14:paraId="461DECE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（2）供应商须知；</w:t>
      </w:r>
    </w:p>
    <w:p w14:paraId="356E9AA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（3）工程量清单</w:t>
      </w:r>
      <w:r>
        <w:rPr>
          <w:rFonts w:hint="eastAsia" w:ascii="宋体" w:hAnsi="宋体" w:eastAsia="宋体" w:cs="宋体"/>
          <w:bCs/>
          <w:color w:val="auto"/>
          <w:sz w:val="21"/>
          <w:szCs w:val="21"/>
          <w:highlight w:val="none"/>
        </w:rPr>
        <w:t>；</w:t>
      </w:r>
    </w:p>
    <w:p w14:paraId="6141652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（4）评审办法；</w:t>
      </w:r>
    </w:p>
    <w:p w14:paraId="03A49BEE">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（5）采购合同（合同主要条款及格式）；</w:t>
      </w:r>
    </w:p>
    <w:p w14:paraId="5D54BDD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（6）响应文件（格式）</w:t>
      </w:r>
      <w:r>
        <w:rPr>
          <w:rFonts w:hint="eastAsia" w:ascii="宋体" w:hAnsi="宋体" w:eastAsia="宋体" w:cs="宋体"/>
          <w:color w:val="auto"/>
          <w:sz w:val="21"/>
          <w:szCs w:val="21"/>
          <w:highlight w:val="none"/>
          <w:lang w:eastAsia="zh-CN"/>
        </w:rPr>
        <w:t>；</w:t>
      </w:r>
    </w:p>
    <w:p w14:paraId="1E071C1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bookmarkStart w:id="83" w:name="_Toc9103"/>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图纸。</w:t>
      </w:r>
    </w:p>
    <w:p w14:paraId="478119CD">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84" w:name="_Toc17932"/>
      <w:r>
        <w:rPr>
          <w:rFonts w:hint="eastAsia" w:ascii="宋体" w:hAnsi="宋体" w:eastAsia="宋体" w:cs="宋体"/>
          <w:color w:val="auto"/>
          <w:sz w:val="21"/>
          <w:szCs w:val="21"/>
          <w:highlight w:val="none"/>
        </w:rPr>
        <w:t>10. 磋商文件的澄清与修改</w:t>
      </w:r>
      <w:bookmarkEnd w:id="83"/>
      <w:bookmarkEnd w:id="84"/>
    </w:p>
    <w:p w14:paraId="3C2C6C58">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提交首次响应文件截止之日前，采购代理机构可以对已发出的磋商文件进行必要澄清、答复、修改或补充，澄清或者修改的内容可能影响响应文件编制的，澄清或者修改的内容作为磋商文件的组成部分。采购代理机构应当在提交首次响应文件递交截止时间</w:t>
      </w:r>
      <w:r>
        <w:rPr>
          <w:rFonts w:hint="eastAsia" w:ascii="宋体" w:hAnsi="宋体" w:eastAsia="宋体" w:cs="宋体"/>
          <w:b/>
          <w:bCs/>
          <w:color w:val="auto"/>
          <w:sz w:val="21"/>
          <w:szCs w:val="21"/>
          <w:highlight w:val="none"/>
        </w:rPr>
        <w:t>五日</w:t>
      </w:r>
      <w:r>
        <w:rPr>
          <w:rFonts w:hint="eastAsia" w:ascii="宋体" w:hAnsi="宋体" w:eastAsia="宋体" w:cs="宋体"/>
          <w:color w:val="auto"/>
          <w:sz w:val="21"/>
          <w:szCs w:val="21"/>
          <w:highlight w:val="none"/>
        </w:rPr>
        <w:t>前在本项目竞争性磋商公告发布的同一媒体上发布更正公告，不足</w:t>
      </w:r>
      <w:r>
        <w:rPr>
          <w:rFonts w:hint="eastAsia" w:ascii="宋体" w:hAnsi="宋体" w:eastAsia="宋体" w:cs="宋体"/>
          <w:b/>
          <w:bCs/>
          <w:color w:val="auto"/>
          <w:sz w:val="21"/>
          <w:szCs w:val="21"/>
          <w:highlight w:val="none"/>
        </w:rPr>
        <w:t>五日</w:t>
      </w:r>
      <w:r>
        <w:rPr>
          <w:rFonts w:hint="eastAsia" w:ascii="宋体" w:hAnsi="宋体" w:eastAsia="宋体" w:cs="宋体"/>
          <w:color w:val="auto"/>
          <w:sz w:val="21"/>
          <w:szCs w:val="21"/>
          <w:highlight w:val="none"/>
        </w:rPr>
        <w:t>的，应当顺延首次响应文件递交截止时间。</w:t>
      </w:r>
    </w:p>
    <w:p w14:paraId="70F1486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10.2</w:t>
      </w:r>
      <w:r>
        <w:rPr>
          <w:rFonts w:hint="eastAsia" w:ascii="宋体" w:hAnsi="宋体" w:eastAsia="宋体" w:cs="宋体"/>
          <w:b/>
          <w:bCs/>
          <w:color w:val="auto"/>
          <w:sz w:val="21"/>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3997AD49">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10.3澄清或者修改的内容为磋商文件的组成部分。当澄清或者修改通知就同一内容的表述不一致时，以最后发出的文件为准。</w:t>
      </w:r>
    </w:p>
    <w:p w14:paraId="32D4C9C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磋商文件的澄清或者修改都应该通过本项目采购代理机构以法定形式发布，采购人非通过本机构，不得擅自澄清或者修改磋商文件。</w:t>
      </w:r>
    </w:p>
    <w:p w14:paraId="4051CAE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10.5采购单位可以视采购具体情况，延长响应文件截止时间和磋商时间，在本项目竞争性磋商公告发布的同一媒体上发布变更公告。</w:t>
      </w:r>
    </w:p>
    <w:p w14:paraId="29729CC2">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bookmarkStart w:id="85" w:name="_Toc20830"/>
      <w:bookmarkStart w:id="86" w:name="_Toc26857"/>
      <w:bookmarkStart w:id="87" w:name="_Toc17820"/>
    </w:p>
    <w:p w14:paraId="2C3CA8E5">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三、竞争性磋商响应文件的编制</w:t>
      </w:r>
      <w:bookmarkEnd w:id="85"/>
      <w:bookmarkEnd w:id="86"/>
      <w:bookmarkEnd w:id="87"/>
    </w:p>
    <w:p w14:paraId="337DA37F">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b/>
          <w:color w:val="auto"/>
          <w:sz w:val="21"/>
          <w:szCs w:val="21"/>
          <w:highlight w:val="none"/>
          <w:lang w:val="en-US" w:eastAsia="zh-CN"/>
        </w:rPr>
      </w:pPr>
      <w:bookmarkStart w:id="88" w:name="_Toc19747"/>
      <w:r>
        <w:rPr>
          <w:rFonts w:hint="eastAsia" w:ascii="宋体" w:hAnsi="宋体" w:eastAsia="宋体" w:cs="宋体"/>
          <w:b/>
          <w:color w:val="auto"/>
          <w:sz w:val="21"/>
          <w:szCs w:val="21"/>
          <w:highlight w:val="none"/>
          <w:lang w:val="en-US" w:eastAsia="zh-CN"/>
        </w:rPr>
        <w:t>11.竞争性磋商响应文件编制基本要求</w:t>
      </w:r>
      <w:bookmarkEnd w:id="88"/>
    </w:p>
    <w:p w14:paraId="5D3A8087">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11.1 本项目实行电子响应，供应商应准备电子响应文件：</w:t>
      </w:r>
    </w:p>
    <w:p w14:paraId="5F7A93D6">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11.1.1 电子响应文件按广西政府采购云平台要求及本磋商文件要求制作、加密并递交。具体操作流程可参考《政府采购项目电子交易管理操作指南-供应商》，指南可在广西政府采购网（访问地址http://zfcg.gxzf.gov.cn/）—办事服务—下载专区下载。  </w:t>
      </w:r>
    </w:p>
    <w:p w14:paraId="0D043BB2">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竞争性磋商响应文件（以下简称响应文件）的组成及要求</w:t>
      </w:r>
    </w:p>
    <w:p w14:paraId="2123B162">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2.1</w:t>
      </w:r>
      <w:r>
        <w:rPr>
          <w:rFonts w:hint="eastAsia" w:ascii="宋体" w:hAnsi="宋体" w:eastAsia="宋体" w:cs="宋体"/>
          <w:b/>
          <w:bCs/>
          <w:color w:val="auto"/>
          <w:sz w:val="21"/>
          <w:szCs w:val="21"/>
          <w:highlight w:val="none"/>
        </w:rPr>
        <w:t>响应文件组成【格式见第六章“响应文件（格式）”】</w:t>
      </w:r>
    </w:p>
    <w:p w14:paraId="258C6F2B">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资格性响应证明材料：</w:t>
      </w:r>
    </w:p>
    <w:p w14:paraId="45D8967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（1）供应商相应的法定代表人、负责人、自然人身份证正反两面复印件</w:t>
      </w:r>
      <w:r>
        <w:rPr>
          <w:rFonts w:hint="eastAsia" w:ascii="宋体" w:hAnsi="宋体" w:eastAsia="宋体" w:cs="宋体"/>
          <w:b/>
          <w:bCs/>
          <w:color w:val="auto"/>
          <w:sz w:val="21"/>
          <w:szCs w:val="21"/>
          <w:highlight w:val="none"/>
        </w:rPr>
        <w:t>（必须提供）</w:t>
      </w:r>
      <w:r>
        <w:rPr>
          <w:rFonts w:hint="eastAsia" w:ascii="宋体" w:hAnsi="宋体" w:eastAsia="宋体" w:cs="宋体"/>
          <w:color w:val="auto"/>
          <w:sz w:val="21"/>
          <w:szCs w:val="21"/>
          <w:highlight w:val="none"/>
        </w:rPr>
        <w:t>；</w:t>
      </w:r>
    </w:p>
    <w:p w14:paraId="00C266C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授权委托书原件、委托代理人身份证正反面复印件以及由县级以上（含县级）社会养老保险经办机构出具的供应商为委托代理人交纳的响应文件递交截止时间前半年内任意连续三个月社保证明复印件</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（委托代理时必须提供）</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除供应商为以下三种情形的：</w:t>
      </w:r>
    </w:p>
    <w:p w14:paraId="7B8381E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①如供应商为截标时间前60日以内成立的公司，可以提供供应商与委托代理人签订的劳动合同复印件代替社保证明复印件；</w:t>
      </w:r>
    </w:p>
    <w:p w14:paraId="6EDFD40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②如供应商为事业单位，可以提供事业单位机构编制管理证复印件或事业单位机构为其发放工资的工资条复印件代替社保证明复印件；</w:t>
      </w:r>
    </w:p>
    <w:p w14:paraId="2CE1BCE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③如委托代理人为免缴纳社保人员，提供免缴纳社保的证明材料复印件及供应商与委托代理人签订的劳动合同复印件代替社保证明复印件。</w:t>
      </w:r>
    </w:p>
    <w:p w14:paraId="708B8A79">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【属自然人的应提供由县级以上（含县级）社会养老保险经办机构出具的自然人本人及委托代理人所交纳的响应文件递交截止时间前半年内任意连续三个月社保证明复印件</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（委托代理时必须提供）</w:t>
      </w:r>
      <w:r>
        <w:rPr>
          <w:rFonts w:hint="eastAsia" w:ascii="宋体" w:hAnsi="宋体" w:cs="宋体"/>
          <w:b/>
          <w:bCs/>
          <w:color w:val="auto"/>
          <w:sz w:val="21"/>
          <w:szCs w:val="21"/>
          <w:highlight w:val="none"/>
          <w:lang w:eastAsia="zh-CN"/>
        </w:rPr>
        <w:t>；</w:t>
      </w:r>
    </w:p>
    <w:p w14:paraId="1F3D882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（3）供应商参加政府采购活动前3年内在经营活动中没有重大违法记录及有关信用信息的书面声明</w:t>
      </w:r>
      <w:r>
        <w:rPr>
          <w:rFonts w:hint="eastAsia" w:ascii="宋体" w:hAnsi="宋体" w:eastAsia="宋体" w:cs="宋体"/>
          <w:b/>
          <w:bCs/>
          <w:color w:val="auto"/>
          <w:sz w:val="21"/>
          <w:szCs w:val="21"/>
          <w:highlight w:val="none"/>
        </w:rPr>
        <w:t>（必须提供）；</w:t>
      </w:r>
    </w:p>
    <w:p w14:paraId="7214D244">
      <w:pPr>
        <w:pageBreakBefore w:val="0"/>
        <w:widowControl w:val="0"/>
        <w:numPr>
          <w:ilvl w:val="0"/>
          <w:numId w:val="0"/>
        </w:numPr>
        <w:kinsoku/>
        <w:wordWrap/>
        <w:overflowPunct/>
        <w:topLinePunct w:val="0"/>
        <w:bidi w:val="0"/>
        <w:snapToGrid/>
        <w:spacing w:line="38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供应商的法人或者其他组织营业执照等证明文件复印件</w:t>
      </w:r>
      <w:r>
        <w:rPr>
          <w:rFonts w:hint="eastAsia" w:ascii="宋体" w:hAnsi="宋体" w:eastAsia="宋体" w:cs="宋体"/>
          <w:b/>
          <w:bCs/>
          <w:color w:val="auto"/>
          <w:sz w:val="21"/>
          <w:szCs w:val="21"/>
          <w:highlight w:val="none"/>
        </w:rPr>
        <w:t>（必须提供，自然人除外）；</w:t>
      </w:r>
    </w:p>
    <w:p w14:paraId="3C4FA504">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2A97F8E">
      <w:pPr>
        <w:pageBreakBefore w:val="0"/>
        <w:widowControl w:val="0"/>
        <w:numPr>
          <w:ilvl w:val="0"/>
          <w:numId w:val="0"/>
        </w:numPr>
        <w:kinsoku/>
        <w:wordWrap/>
        <w:overflowPunct/>
        <w:topLinePunct w:val="0"/>
        <w:bidi w:val="0"/>
        <w:snapToGrid/>
        <w:spacing w:line="380" w:lineRule="exact"/>
        <w:ind w:left="0" w:leftChars="0" w:firstLine="420" w:firstLineChars="0"/>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（5）供应商相应有效的企业资质证书副本及安全生产许可证副本</w:t>
      </w:r>
      <w:r>
        <w:rPr>
          <w:rFonts w:hint="eastAsia" w:ascii="宋体" w:hAnsi="宋体" w:cs="宋体"/>
          <w:bCs/>
          <w:color w:val="auto"/>
          <w:kern w:val="0"/>
          <w:sz w:val="21"/>
          <w:szCs w:val="21"/>
          <w:highlight w:val="none"/>
          <w:lang w:val="en-US" w:eastAsia="zh-CN" w:bidi="ar-SA"/>
        </w:rPr>
        <w:t>复印件</w:t>
      </w:r>
      <w:r>
        <w:rPr>
          <w:rFonts w:hint="eastAsia" w:ascii="宋体" w:hAnsi="宋体" w:eastAsia="宋体" w:cs="宋体"/>
          <w:bCs/>
          <w:color w:val="auto"/>
          <w:kern w:val="0"/>
          <w:sz w:val="21"/>
          <w:szCs w:val="21"/>
          <w:highlight w:val="none"/>
          <w:lang w:val="en-US" w:eastAsia="zh-CN" w:bidi="ar-SA"/>
        </w:rPr>
        <w:t>、拟投入项目经理的注册建造师执业资格证书及安全生产考核合格证书（B类）</w:t>
      </w:r>
      <w:r>
        <w:rPr>
          <w:rFonts w:hint="eastAsia" w:ascii="宋体" w:hAnsi="宋体" w:cs="宋体"/>
          <w:bCs/>
          <w:color w:val="auto"/>
          <w:kern w:val="0"/>
          <w:sz w:val="21"/>
          <w:szCs w:val="21"/>
          <w:highlight w:val="none"/>
          <w:lang w:val="en-US" w:eastAsia="zh-CN" w:bidi="ar-SA"/>
        </w:rPr>
        <w:t>复印件</w:t>
      </w:r>
      <w:r>
        <w:rPr>
          <w:rFonts w:hint="eastAsia" w:ascii="宋体" w:hAnsi="宋体" w:cs="宋体"/>
          <w:color w:val="auto"/>
          <w:kern w:val="0"/>
          <w:szCs w:val="21"/>
          <w:highlight w:val="none"/>
          <w:shd w:val="clear" w:color="auto" w:fill="auto"/>
        </w:rPr>
        <w:t>及安全员的安全生产考核合格证书复印件（C类）</w:t>
      </w:r>
      <w:r>
        <w:rPr>
          <w:rFonts w:hint="eastAsia" w:ascii="宋体" w:hAnsi="宋体" w:cs="宋体"/>
          <w:color w:val="auto"/>
          <w:kern w:val="0"/>
          <w:szCs w:val="21"/>
          <w:highlight w:val="none"/>
          <w:shd w:val="clear" w:color="auto" w:fill="auto"/>
          <w:lang w:eastAsia="zh-CN"/>
        </w:rPr>
        <w:t>；</w:t>
      </w:r>
      <w:r>
        <w:rPr>
          <w:rFonts w:hint="eastAsia" w:ascii="宋体" w:hAnsi="宋体" w:eastAsia="宋体" w:cs="宋体"/>
          <w:b/>
          <w:bCs w:val="0"/>
          <w:color w:val="auto"/>
          <w:kern w:val="0"/>
          <w:sz w:val="21"/>
          <w:szCs w:val="21"/>
          <w:highlight w:val="none"/>
          <w:lang w:val="en-US" w:eastAsia="zh-CN" w:bidi="ar-SA"/>
        </w:rPr>
        <w:t>（必须提供）</w:t>
      </w:r>
      <w:r>
        <w:rPr>
          <w:rFonts w:hint="eastAsia" w:ascii="宋体" w:hAnsi="宋体" w:eastAsia="宋体" w:cs="宋体"/>
          <w:bCs/>
          <w:color w:val="auto"/>
          <w:kern w:val="0"/>
          <w:sz w:val="21"/>
          <w:szCs w:val="21"/>
          <w:highlight w:val="none"/>
          <w:lang w:val="en-US" w:eastAsia="zh-CN"/>
        </w:rPr>
        <w:t>；</w:t>
      </w:r>
    </w:p>
    <w:p w14:paraId="7D2A08D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firstLine="420" w:firstLineChars="0"/>
        <w:textAlignment w:val="auto"/>
        <w:rPr>
          <w:rFonts w:hint="eastAsia"/>
          <w:lang w:val="en-US" w:eastAsia="zh-CN"/>
        </w:rPr>
      </w:pP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w:t>
      </w:r>
      <w:r>
        <w:rPr>
          <w:rFonts w:hint="eastAsia" w:ascii="宋体" w:hAnsi="宋体" w:cs="Arial"/>
          <w:color w:val="auto"/>
          <w:kern w:val="0"/>
          <w:szCs w:val="21"/>
          <w:highlight w:val="none"/>
        </w:rPr>
        <w:t>项目经理无在建工程承诺书</w:t>
      </w:r>
      <w:r>
        <w:rPr>
          <w:rFonts w:hint="eastAsia" w:ascii="宋体" w:hAnsi="宋体"/>
          <w:b/>
          <w:color w:val="auto"/>
          <w:highlight w:val="none"/>
        </w:rPr>
        <w:t>（</w:t>
      </w:r>
      <w:r>
        <w:rPr>
          <w:rFonts w:hint="eastAsia" w:ascii="宋体" w:hAnsi="宋体" w:cs="宋体"/>
          <w:b/>
          <w:bCs/>
          <w:color w:val="auto"/>
          <w:highlight w:val="none"/>
        </w:rPr>
        <w:t>格式自拟，</w:t>
      </w:r>
      <w:r>
        <w:rPr>
          <w:rFonts w:hint="eastAsia" w:ascii="宋体" w:hAnsi="宋体"/>
          <w:b/>
          <w:color w:val="auto"/>
          <w:highlight w:val="none"/>
        </w:rPr>
        <w:t>必须提供）</w:t>
      </w:r>
      <w:r>
        <w:rPr>
          <w:rFonts w:hint="eastAsia" w:ascii="宋体" w:hAnsi="宋体" w:eastAsia="宋体" w:cs="宋体"/>
          <w:b/>
          <w:bCs w:val="0"/>
          <w:color w:val="auto"/>
          <w:kern w:val="0"/>
          <w:sz w:val="21"/>
          <w:szCs w:val="21"/>
          <w:highlight w:val="none"/>
          <w:lang w:val="en-US" w:eastAsia="zh-CN"/>
        </w:rPr>
        <w:t>；</w:t>
      </w:r>
    </w:p>
    <w:p w14:paraId="2FB2F8DF">
      <w:pPr>
        <w:pageBreakBefore w:val="0"/>
        <w:widowControl w:val="0"/>
        <w:numPr>
          <w:ilvl w:val="0"/>
          <w:numId w:val="0"/>
        </w:numPr>
        <w:kinsoku/>
        <w:wordWrap/>
        <w:overflowPunct/>
        <w:topLinePunct w:val="0"/>
        <w:bidi w:val="0"/>
        <w:snapToGrid/>
        <w:spacing w:line="38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cs="宋体"/>
          <w:color w:val="auto"/>
          <w:kern w:val="0"/>
          <w:szCs w:val="21"/>
          <w:highlight w:val="none"/>
          <w:shd w:val="clear" w:color="auto" w:fill="auto"/>
          <w:lang w:val="en-US" w:eastAsia="zh-CN"/>
        </w:rPr>
        <w:t>（7）</w:t>
      </w:r>
      <w:r>
        <w:rPr>
          <w:rFonts w:hint="eastAsia" w:ascii="宋体" w:hAnsi="宋体" w:cs="宋体"/>
          <w:color w:val="auto"/>
          <w:kern w:val="0"/>
          <w:szCs w:val="21"/>
          <w:highlight w:val="none"/>
          <w:shd w:val="clear" w:color="auto" w:fill="auto"/>
        </w:rPr>
        <w:t>供应商近三年中任一年度经第三方审计的财务状况报告复印件（或银行出具的资信证明或财政部门认可的政府采购专业担保机构出具的投标担保函）</w:t>
      </w:r>
      <w:r>
        <w:rPr>
          <w:rFonts w:hint="eastAsia" w:ascii="宋体" w:hAnsi="宋体" w:cs="宋体"/>
          <w:b/>
          <w:bCs/>
          <w:color w:val="auto"/>
          <w:kern w:val="0"/>
          <w:szCs w:val="21"/>
          <w:highlight w:val="none"/>
          <w:shd w:val="clear" w:color="auto" w:fill="auto"/>
        </w:rPr>
        <w:t>（必须提供）；</w:t>
      </w:r>
    </w:p>
    <w:p w14:paraId="1B461E2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firstLine="420" w:firstLineChars="0"/>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供应商近半年内任意一个月或任一季度依法缴纳税收的证明材料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增值税</w:t>
      </w:r>
      <w:r>
        <w:rPr>
          <w:rFonts w:hint="eastAsia" w:ascii="宋体" w:hAnsi="宋体" w:eastAsia="宋体" w:cs="宋体"/>
          <w:color w:val="auto"/>
          <w:sz w:val="21"/>
          <w:szCs w:val="21"/>
          <w:highlight w:val="none"/>
          <w:lang w:eastAsia="zh-CN"/>
        </w:rPr>
        <w:t>缴纳</w:t>
      </w:r>
      <w:r>
        <w:rPr>
          <w:rFonts w:hint="eastAsia" w:ascii="宋体" w:hAnsi="宋体" w:eastAsia="宋体" w:cs="宋体"/>
          <w:color w:val="auto"/>
          <w:sz w:val="21"/>
          <w:szCs w:val="21"/>
          <w:highlight w:val="none"/>
        </w:rPr>
        <w:t>发票(税收完税证明)或企业所得税完税证明或税务部门出具的免税证明</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复印件</w:t>
      </w:r>
      <w:r>
        <w:rPr>
          <w:rFonts w:hint="eastAsia" w:ascii="宋体" w:hAnsi="宋体" w:eastAsia="宋体" w:cs="宋体"/>
          <w:b/>
          <w:bCs/>
          <w:color w:val="auto"/>
          <w:sz w:val="21"/>
          <w:szCs w:val="21"/>
          <w:highlight w:val="none"/>
        </w:rPr>
        <w:t>（必须提供）</w:t>
      </w:r>
      <w:r>
        <w:rPr>
          <w:rFonts w:hint="eastAsia" w:ascii="宋体" w:hAnsi="宋体" w:cs="宋体"/>
          <w:b/>
          <w:bCs/>
          <w:color w:val="auto"/>
          <w:sz w:val="21"/>
          <w:szCs w:val="21"/>
          <w:highlight w:val="none"/>
          <w:lang w:eastAsia="zh-CN"/>
        </w:rPr>
        <w:t>；</w:t>
      </w:r>
    </w:p>
    <w:p w14:paraId="1CCE4631">
      <w:pPr>
        <w:pStyle w:val="20"/>
        <w:keepNext w:val="0"/>
        <w:keepLines w:val="0"/>
        <w:pageBreakBefore w:val="0"/>
        <w:widowControl w:val="0"/>
        <w:kinsoku/>
        <w:wordWrap/>
        <w:overflowPunct/>
        <w:topLinePunct w:val="0"/>
        <w:autoSpaceDE/>
        <w:autoSpaceDN/>
        <w:bidi w:val="0"/>
        <w:adjustRightInd/>
        <w:snapToGrid/>
        <w:spacing w:after="0" w:line="380" w:lineRule="exact"/>
        <w:ind w:left="0" w:leftChars="0" w:firstLine="422"/>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9</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p>
    <w:p w14:paraId="082C5CBE">
      <w:pPr>
        <w:pStyle w:val="20"/>
        <w:keepNext w:val="0"/>
        <w:keepLines w:val="0"/>
        <w:pageBreakBefore w:val="0"/>
        <w:widowControl w:val="0"/>
        <w:kinsoku/>
        <w:wordWrap/>
        <w:overflowPunct/>
        <w:topLinePunct w:val="0"/>
        <w:autoSpaceDE/>
        <w:autoSpaceDN/>
        <w:bidi w:val="0"/>
        <w:adjustRightInd/>
        <w:snapToGrid/>
        <w:spacing w:after="0" w:line="380" w:lineRule="exact"/>
        <w:ind w:left="0" w:leftChars="0" w:firstLine="422"/>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符合性响应证明材料：</w:t>
      </w:r>
    </w:p>
    <w:p w14:paraId="5A3AD24F">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bookmarkStart w:id="89" w:name="_Toc16312"/>
      <w:bookmarkStart w:id="90" w:name="_Toc28932"/>
      <w:bookmarkStart w:id="91" w:name="_Toc2809"/>
      <w:r>
        <w:rPr>
          <w:rFonts w:hint="eastAsia" w:ascii="宋体" w:hAnsi="宋体" w:eastAsia="宋体" w:cs="宋体"/>
          <w:color w:val="auto"/>
          <w:sz w:val="21"/>
          <w:szCs w:val="21"/>
          <w:highlight w:val="none"/>
          <w:lang w:val="en-US"/>
        </w:rPr>
        <w:t>（1）响应函</w:t>
      </w:r>
      <w:r>
        <w:rPr>
          <w:rFonts w:hint="eastAsia" w:ascii="宋体" w:hAnsi="宋体"/>
          <w:color w:val="auto"/>
          <w:szCs w:val="21"/>
          <w:highlight w:val="none"/>
        </w:rPr>
        <w:t>及响应函附录</w:t>
      </w:r>
      <w:r>
        <w:rPr>
          <w:rFonts w:hint="eastAsia" w:ascii="宋体" w:hAnsi="宋体" w:eastAsia="宋体" w:cs="宋体"/>
          <w:color w:val="auto"/>
          <w:sz w:val="21"/>
          <w:szCs w:val="21"/>
          <w:highlight w:val="none"/>
          <w:lang w:val="en-US"/>
        </w:rPr>
        <w:t>（格式见附件）</w:t>
      </w:r>
      <w:r>
        <w:rPr>
          <w:rFonts w:hint="eastAsia" w:ascii="宋体" w:hAnsi="宋体" w:eastAsia="宋体" w:cs="宋体"/>
          <w:b/>
          <w:bCs/>
          <w:color w:val="auto"/>
          <w:sz w:val="21"/>
          <w:szCs w:val="21"/>
          <w:highlight w:val="none"/>
          <w:lang w:val="en-US"/>
        </w:rPr>
        <w:t>（必须提供）</w:t>
      </w:r>
      <w:bookmarkEnd w:id="89"/>
      <w:r>
        <w:rPr>
          <w:rFonts w:hint="eastAsia" w:ascii="宋体" w:hAnsi="宋体" w:eastAsia="宋体" w:cs="宋体"/>
          <w:color w:val="auto"/>
          <w:sz w:val="21"/>
          <w:szCs w:val="21"/>
          <w:highlight w:val="none"/>
          <w:lang w:val="en-US" w:eastAsia="zh-CN"/>
        </w:rPr>
        <w:t>；</w:t>
      </w:r>
      <w:bookmarkEnd w:id="90"/>
      <w:bookmarkEnd w:id="91"/>
    </w:p>
    <w:p w14:paraId="20372F3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lang w:eastAsia="zh-CN"/>
        </w:rPr>
        <w:t>（</w:t>
      </w:r>
      <w:r>
        <w:rPr>
          <w:rFonts w:hint="eastAsia" w:ascii="宋体" w:hAnsi="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已标价工程量清单</w:t>
      </w:r>
      <w:r>
        <w:rPr>
          <w:rFonts w:hint="eastAsia" w:ascii="宋体" w:hAnsi="宋体" w:eastAsia="宋体" w:cs="宋体"/>
          <w:b/>
          <w:bCs w:val="0"/>
          <w:color w:val="auto"/>
          <w:kern w:val="0"/>
          <w:sz w:val="21"/>
          <w:szCs w:val="21"/>
          <w:highlight w:val="none"/>
        </w:rPr>
        <w:t>（必须提供）</w:t>
      </w:r>
      <w:r>
        <w:rPr>
          <w:rFonts w:hint="eastAsia" w:ascii="宋体" w:hAnsi="宋体" w:eastAsia="宋体" w:cs="宋体"/>
          <w:b w:val="0"/>
          <w:bCs/>
          <w:color w:val="auto"/>
          <w:kern w:val="0"/>
          <w:sz w:val="21"/>
          <w:szCs w:val="21"/>
          <w:highlight w:val="none"/>
          <w:lang w:eastAsia="zh-CN"/>
        </w:rPr>
        <w:t>；</w:t>
      </w:r>
    </w:p>
    <w:p w14:paraId="139982C5">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olor w:val="auto"/>
          <w:szCs w:val="21"/>
          <w:highlight w:val="none"/>
        </w:rPr>
        <w:t>项目管理机构组成表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必须提供)</w:t>
      </w:r>
      <w:r>
        <w:rPr>
          <w:rFonts w:hint="eastAsia" w:ascii="宋体" w:hAnsi="宋体" w:eastAsia="宋体" w:cs="宋体"/>
          <w:color w:val="auto"/>
          <w:sz w:val="21"/>
          <w:szCs w:val="21"/>
          <w:highlight w:val="none"/>
        </w:rPr>
        <w:t>；</w:t>
      </w:r>
    </w:p>
    <w:p w14:paraId="29EE2B2D">
      <w:pPr>
        <w:pageBreakBefore w:val="0"/>
        <w:widowControl w:val="0"/>
        <w:numPr>
          <w:ilvl w:val="0"/>
          <w:numId w:val="0"/>
        </w:numPr>
        <w:kinsoku/>
        <w:wordWrap/>
        <w:overflowPunct/>
        <w:topLinePunct w:val="0"/>
        <w:bidi w:val="0"/>
        <w:snapToGrid/>
        <w:spacing w:line="38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bCs/>
          <w:color w:val="auto"/>
          <w:kern w:val="0"/>
          <w:sz w:val="21"/>
          <w:szCs w:val="21"/>
          <w:highlight w:val="none"/>
        </w:rPr>
        <w:t>施工组织设计</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780BA8B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kern w:val="0"/>
          <w:sz w:val="21"/>
          <w:szCs w:val="21"/>
          <w:highlight w:val="none"/>
        </w:rPr>
        <w:t>（</w:t>
      </w:r>
      <w:r>
        <w:rPr>
          <w:rFonts w:hint="eastAsia" w:ascii="宋体" w:hAnsi="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）城乡清洁工程渣土清运承诺书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p>
    <w:p w14:paraId="4CF01A3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color w:val="auto"/>
          <w:szCs w:val="21"/>
          <w:highlight w:val="none"/>
        </w:rPr>
        <w:t>建设工程项目管理承诺书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Cs/>
          <w:color w:val="auto"/>
          <w:kern w:val="0"/>
          <w:sz w:val="21"/>
          <w:szCs w:val="21"/>
          <w:highlight w:val="none"/>
          <w:lang w:eastAsia="zh-CN"/>
        </w:rPr>
        <w:t>。</w:t>
      </w:r>
    </w:p>
    <w:p w14:paraId="7BEBDC12">
      <w:pPr>
        <w:pStyle w:val="20"/>
        <w:pageBreakBefore w:val="0"/>
        <w:widowControl w:val="0"/>
        <w:kinsoku/>
        <w:wordWrap/>
        <w:overflowPunct/>
        <w:topLinePunct w:val="0"/>
        <w:bidi w:val="0"/>
        <w:snapToGrid/>
        <w:spacing w:line="380" w:lineRule="exact"/>
        <w:ind w:left="0" w:leftChars="0" w:firstLine="422"/>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rPr>
        <w:t>其他有效证明材料</w:t>
      </w:r>
    </w:p>
    <w:p w14:paraId="09AE0982">
      <w:pPr>
        <w:keepNext w:val="0"/>
        <w:keepLines w:val="0"/>
        <w:pageBreakBefore w:val="0"/>
        <w:widowControl w:val="0"/>
        <w:kinsoku/>
        <w:wordWrap/>
        <w:overflowPunct/>
        <w:topLinePunct w:val="0"/>
        <w:autoSpaceDE/>
        <w:autoSpaceDN/>
        <w:bidi w:val="0"/>
        <w:adjustRightInd/>
        <w:snapToGrid/>
        <w:spacing w:line="31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2023</w:t>
      </w:r>
      <w:r>
        <w:rPr>
          <w:rFonts w:hint="eastAsia" w:ascii="宋体" w:hAnsi="宋体" w:eastAsia="宋体" w:cs="宋体"/>
          <w:color w:val="auto"/>
          <w:sz w:val="21"/>
          <w:szCs w:val="21"/>
          <w:highlight w:val="none"/>
          <w:lang w:eastAsia="zh-CN"/>
        </w:rPr>
        <w:t>年1月1日以来具有同类项目业绩的相关证明材料</w:t>
      </w:r>
      <w:r>
        <w:rPr>
          <w:rFonts w:hint="eastAsia" w:ascii="宋体" w:hAnsi="宋体" w:eastAsia="宋体" w:cs="宋体"/>
          <w:color w:val="auto"/>
          <w:sz w:val="21"/>
          <w:szCs w:val="21"/>
          <w:highlight w:val="none"/>
        </w:rPr>
        <w:t>（无不良记录，以中标、成交通知书或签订的合同</w:t>
      </w:r>
      <w:r>
        <w:rPr>
          <w:rFonts w:hint="eastAsia" w:ascii="宋体" w:hAnsi="宋体" w:eastAsia="宋体" w:cs="宋体"/>
          <w:color w:val="auto"/>
          <w:sz w:val="21"/>
          <w:szCs w:val="21"/>
          <w:highlight w:val="none"/>
          <w:lang w:eastAsia="zh-CN"/>
        </w:rPr>
        <w:t>复印件</w:t>
      </w:r>
      <w:r>
        <w:rPr>
          <w:rFonts w:hint="eastAsia" w:ascii="宋体" w:hAnsi="宋体" w:eastAsia="宋体" w:cs="宋体"/>
          <w:color w:val="auto"/>
          <w:sz w:val="21"/>
          <w:szCs w:val="21"/>
          <w:highlight w:val="none"/>
        </w:rPr>
        <w:t>为准，并能清晰反映</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的名称、</w:t>
      </w:r>
      <w:r>
        <w:rPr>
          <w:rFonts w:hint="eastAsia" w:ascii="宋体" w:hAnsi="宋体" w:eastAsia="宋体" w:cs="宋体"/>
          <w:color w:val="auto"/>
          <w:sz w:val="21"/>
          <w:szCs w:val="21"/>
          <w:highlight w:val="none"/>
          <w:lang w:eastAsia="zh-CN"/>
        </w:rPr>
        <w:t>采购内容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、采购时间</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（如有，请提供）；</w:t>
      </w:r>
    </w:p>
    <w:p w14:paraId="4D60EE6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）供应商可结合本项目</w:t>
      </w:r>
      <w:r>
        <w:rPr>
          <w:rFonts w:hint="eastAsia" w:ascii="宋体" w:hAnsi="宋体" w:cs="宋体"/>
          <w:color w:val="auto"/>
          <w:sz w:val="21"/>
          <w:szCs w:val="21"/>
          <w:highlight w:val="none"/>
          <w:lang w:val="en-US" w:eastAsia="zh-CN"/>
        </w:rPr>
        <w:t>评审办法中</w:t>
      </w:r>
      <w:r>
        <w:rPr>
          <w:rFonts w:hint="eastAsia" w:ascii="宋体" w:hAnsi="宋体" w:eastAsia="宋体" w:cs="宋体"/>
          <w:color w:val="auto"/>
          <w:sz w:val="21"/>
          <w:szCs w:val="21"/>
          <w:highlight w:val="none"/>
        </w:rPr>
        <w:t>的自身情况自行提交其它相关证明材料。</w:t>
      </w:r>
    </w:p>
    <w:p w14:paraId="770D28A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供应商应按竞争性磋商文件第六章“响应文件（格式）”编制响应文件。</w:t>
      </w:r>
    </w:p>
    <w:p w14:paraId="31B3153C">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特别说明：</w:t>
      </w:r>
    </w:p>
    <w:p w14:paraId="68379F62">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（1）响</w:t>
      </w:r>
      <w:r>
        <w:rPr>
          <w:rFonts w:hint="eastAsia" w:ascii="宋体" w:hAnsi="宋体" w:eastAsia="宋体" w:cs="宋体"/>
          <w:b/>
          <w:color w:val="auto"/>
          <w:sz w:val="21"/>
          <w:szCs w:val="21"/>
          <w:highlight w:val="none"/>
        </w:rPr>
        <w:t>应文件（电子响应文件），其中电子响应文件中所须加盖公章部分均采用CA签章。若磋商文件中有专门标注的某关联点，并要求供应商在电子</w:t>
      </w:r>
      <w:r>
        <w:rPr>
          <w:rFonts w:hint="eastAsia" w:ascii="宋体" w:hAnsi="宋体" w:eastAsia="宋体" w:cs="宋体"/>
          <w:b/>
          <w:color w:val="auto"/>
          <w:sz w:val="21"/>
          <w:szCs w:val="21"/>
          <w:highlight w:val="none"/>
          <w:lang w:eastAsia="zh-CN"/>
        </w:rPr>
        <w:t>响应</w:t>
      </w:r>
      <w:r>
        <w:rPr>
          <w:rFonts w:hint="eastAsia" w:ascii="宋体" w:hAnsi="宋体" w:eastAsia="宋体" w:cs="宋体"/>
          <w:b/>
          <w:color w:val="auto"/>
          <w:sz w:val="21"/>
          <w:szCs w:val="21"/>
          <w:highlight w:val="none"/>
        </w:rPr>
        <w:t>系统中作出磋商响应的，如供应商未对关联点进行响应或者在响应文件其它内容进行描述，造成电子评审不能查询的责任由供应商自行承担。</w:t>
      </w:r>
    </w:p>
    <w:p w14:paraId="573481AC">
      <w:pPr>
        <w:pageBreakBefore w:val="0"/>
        <w:widowControl w:val="0"/>
        <w:numPr>
          <w:ilvl w:val="0"/>
          <w:numId w:val="0"/>
        </w:numPr>
        <w:kinsoku/>
        <w:wordWrap/>
        <w:overflowPunct/>
        <w:topLinePunct w:val="0"/>
        <w:bidi w:val="0"/>
        <w:snapToGrid/>
        <w:spacing w:line="380" w:lineRule="exact"/>
        <w:ind w:left="0" w:lef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kern w:val="2"/>
          <w:sz w:val="21"/>
          <w:szCs w:val="21"/>
          <w:highlight w:val="none"/>
          <w:lang w:val="en-US" w:eastAsia="zh-CN" w:bidi="ar-SA"/>
        </w:rPr>
        <w:t>（2）</w:t>
      </w:r>
      <w:r>
        <w:rPr>
          <w:rFonts w:hint="eastAsia" w:ascii="宋体" w:hAnsi="宋体" w:eastAsia="宋体" w:cs="宋体"/>
          <w:b/>
          <w:bCs/>
          <w:color w:val="auto"/>
          <w:sz w:val="21"/>
          <w:szCs w:val="21"/>
          <w:highlight w:val="none"/>
          <w:lang w:eastAsia="zh-CN"/>
        </w:rPr>
        <w:t>磋商文件</w:t>
      </w:r>
      <w:r>
        <w:rPr>
          <w:rFonts w:hint="eastAsia" w:ascii="宋体" w:hAnsi="宋体" w:eastAsia="宋体" w:cs="宋体"/>
          <w:b/>
          <w:bCs/>
          <w:color w:val="auto"/>
          <w:sz w:val="21"/>
          <w:szCs w:val="21"/>
          <w:highlight w:val="none"/>
        </w:rPr>
        <w:t>要求法定代表人（负责人）或委托代理人签字的部分必须签字然后扫描或者拍照做成 pdf 格式上传</w:t>
      </w:r>
      <w:r>
        <w:rPr>
          <w:rFonts w:hint="eastAsia" w:ascii="宋体" w:hAnsi="宋体" w:eastAsia="宋体" w:cs="宋体"/>
          <w:b/>
          <w:bCs/>
          <w:color w:val="auto"/>
          <w:sz w:val="21"/>
          <w:szCs w:val="21"/>
          <w:highlight w:val="none"/>
          <w:lang w:eastAsia="zh-CN"/>
        </w:rPr>
        <w:t>（或加盖个人</w:t>
      </w:r>
      <w:r>
        <w:rPr>
          <w:rFonts w:hint="eastAsia" w:ascii="宋体" w:hAnsi="宋体" w:eastAsia="宋体" w:cs="宋体"/>
          <w:b/>
          <w:bCs/>
          <w:color w:val="auto"/>
          <w:sz w:val="21"/>
          <w:szCs w:val="21"/>
          <w:highlight w:val="none"/>
          <w:lang w:val="en-US" w:eastAsia="zh-CN"/>
        </w:rPr>
        <w:t>CA签章</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，无签字的视为</w:t>
      </w:r>
      <w:r>
        <w:rPr>
          <w:rFonts w:hint="eastAsia" w:ascii="宋体" w:hAnsi="宋体" w:eastAsia="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无效。</w:t>
      </w:r>
    </w:p>
    <w:p w14:paraId="0A2471BD">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92" w:name="_Toc13660"/>
      <w:bookmarkStart w:id="93" w:name="_Toc2180"/>
      <w:r>
        <w:rPr>
          <w:rFonts w:hint="eastAsia" w:ascii="宋体" w:hAnsi="宋体" w:eastAsia="宋体" w:cs="宋体"/>
          <w:color w:val="auto"/>
          <w:sz w:val="21"/>
          <w:szCs w:val="21"/>
          <w:highlight w:val="none"/>
        </w:rPr>
        <w:t>12. 响应文件的语言及计量</w:t>
      </w:r>
      <w:bookmarkEnd w:id="92"/>
      <w:bookmarkEnd w:id="93"/>
    </w:p>
    <w:p w14:paraId="724322C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4A2B3AD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磋商计量单位，磋商文件已有明确规定的，使用磋商文件规定的计量单位；磋商文件没有规定的，应采用中华人民共和国法定计量单位（货币单位：人民币元），否则视同未响应。</w:t>
      </w:r>
    </w:p>
    <w:p w14:paraId="46F97FD2">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94" w:name="_Toc10838"/>
      <w:bookmarkStart w:id="95" w:name="_Toc3058"/>
      <w:r>
        <w:rPr>
          <w:rFonts w:hint="eastAsia" w:ascii="宋体" w:hAnsi="宋体" w:eastAsia="宋体" w:cs="宋体"/>
          <w:color w:val="auto"/>
          <w:sz w:val="21"/>
          <w:szCs w:val="21"/>
          <w:highlight w:val="none"/>
        </w:rPr>
        <w:t>13. 磋商报价及采购预算金额</w:t>
      </w:r>
      <w:bookmarkEnd w:id="94"/>
      <w:bookmarkEnd w:id="95"/>
    </w:p>
    <w:p w14:paraId="19C2BB76">
      <w:pPr>
        <w:keepNext w:val="0"/>
        <w:keepLines w:val="0"/>
        <w:pageBreakBefore w:val="0"/>
        <w:widowControl w:val="0"/>
        <w:kinsoku/>
        <w:wordWrap/>
        <w:overflowPunct/>
        <w:topLinePunct w:val="0"/>
        <w:autoSpaceDE/>
        <w:autoSpaceDN/>
        <w:bidi w:val="0"/>
        <w:adjustRightInd/>
        <w:snapToGrid/>
        <w:spacing w:line="38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13.1磋商总报价应按采购文件中相关附表格式填写。</w:t>
      </w:r>
    </w:p>
    <w:p w14:paraId="7BE309D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供应商应在规定时间内在广西政府采购云平台系统上提交最后报价，超出评委设定的最后报价时限或其最后报价超出招标控制价导致已通过评审的响应文件无效的，按供应商在提交响应文件截止时间后撤回响应文件处理。</w:t>
      </w:r>
    </w:p>
    <w:p w14:paraId="57E3114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13.3供应商应按第六章“响应文件（格式）”的要求在响应函中进行报价并填写工程量清单相应表格。</w:t>
      </w:r>
    </w:p>
    <w:p w14:paraId="6E8A455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13.4供应商按照采购人提供的工程量清单填写本合同各工程子目的单价、合价和总额价。磋商小组将按照下述规定对磋商报价进行算术性错误修正及其他错误修正。</w:t>
      </w:r>
    </w:p>
    <w:p w14:paraId="426BA227">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13.4.1磋商报价有算术错误的，磋商小组按以下原则对磋商报价进行修正，修正的价格经供应商书面确认后具有约束力。供应商不接受修正价格的，磋商小组应否决其投标。</w:t>
      </w:r>
    </w:p>
    <w:p w14:paraId="543815D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（1）响应文件中的大写金额与小写金额不一致的，以大写金额为准；</w:t>
      </w:r>
    </w:p>
    <w:p w14:paraId="69D36E0B">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（2）总价金额与依据单价计算出的结果不一致的，以单价金额为准修正总价，但单价金额小数点有明显错误的除外；</w:t>
      </w:r>
    </w:p>
    <w:p w14:paraId="181298C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（3）当单价与数量相乘不等于合价时，以单价计算为准，如果单价有明显的小数点位置差错，应以标出的合价为准，同时对单价予以修正；</w:t>
      </w:r>
    </w:p>
    <w:p w14:paraId="5C3AD675">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（4）当各子目的合价累计不等于总价时，应以各子目合价累计数为准，修正总价。</w:t>
      </w:r>
    </w:p>
    <w:p w14:paraId="50B4F18B">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13.4.2工程量清单中的磋商报价有其他错误的，磋商小组按以下原则对磋商报价进行修正，修正的价格经供应商书面确认后具有约束力。供应商不接受修正价格的，磋商小组应否决其投标。</w:t>
      </w:r>
    </w:p>
    <w:p w14:paraId="1B7D366E">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031BFA87">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10734381">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（3）当单价与数量的乘积与合价（金额）虽然一致，但供应商修改了该子目的工程数量，则其合价按采购人给定的工程数量乘以供应商所报单价予以修正。</w:t>
      </w:r>
    </w:p>
    <w:p w14:paraId="14FF239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13.4.3修正后的最终磋商报价若超过招标控制价，磋商小组应否决其投标。</w:t>
      </w:r>
    </w:p>
    <w:p w14:paraId="3801AD6E">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13.5供应商应充分了解本项目的总体情况以及影响磋商报价的其他要素。</w:t>
      </w:r>
    </w:p>
    <w:p w14:paraId="01ED5A78">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13.6供应商在投标截止时间前修改响应函中的磋商报价，应同时修改响应文件“已标价工程量清单”中的相应报价。</w:t>
      </w:r>
    </w:p>
    <w:p w14:paraId="58A0F78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13.7供应商如果发现工程量清单中的数量与图纸中数量不一致时，应立即通知采购人核查，除非采购人予以更正，否则，应以工程量清单中列出的数量为准。</w:t>
      </w:r>
    </w:p>
    <w:p w14:paraId="4E1B2093">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13.8在合同实施期间，供应商填写的单价、合价和总额价是否由于物价波动进行价格调整按照合同条款的规定处理。</w:t>
      </w:r>
    </w:p>
    <w:p w14:paraId="3BF86564">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96" w:name="_Toc30554"/>
      <w:bookmarkStart w:id="97" w:name="_Toc26881"/>
      <w:r>
        <w:rPr>
          <w:rFonts w:hint="eastAsia" w:ascii="宋体" w:hAnsi="宋体" w:eastAsia="宋体" w:cs="宋体"/>
          <w:color w:val="auto"/>
          <w:sz w:val="21"/>
          <w:szCs w:val="21"/>
          <w:highlight w:val="none"/>
        </w:rPr>
        <w:t>14. 响应文件有效期</w:t>
      </w:r>
      <w:bookmarkEnd w:id="96"/>
      <w:bookmarkEnd w:id="97"/>
    </w:p>
    <w:p w14:paraId="07B3D65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响应文件有效期：响应文件递交截止时间之日起90天，有效期不足的响应文件将被拒绝。</w:t>
      </w:r>
    </w:p>
    <w:p w14:paraId="75EE109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出现特殊情况下，需要延长响应文件有效期的，采购代理机构</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通知供应商延长响应文件有效期。供应商同意延长的，但不能修改响应文件。供应商拒绝延长的，其响应文件无效。</w:t>
      </w:r>
    </w:p>
    <w:p w14:paraId="51221D33">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98" w:name="_Toc22602"/>
      <w:bookmarkStart w:id="99" w:name="_Toc20698"/>
      <w:r>
        <w:rPr>
          <w:rFonts w:hint="eastAsia" w:ascii="宋体" w:hAnsi="宋体" w:eastAsia="宋体" w:cs="宋体"/>
          <w:color w:val="auto"/>
          <w:sz w:val="21"/>
          <w:szCs w:val="21"/>
          <w:highlight w:val="none"/>
        </w:rPr>
        <w:t xml:space="preserve">15. </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rPr>
        <w:t>保证金</w:t>
      </w:r>
      <w:bookmarkEnd w:id="98"/>
      <w:bookmarkEnd w:id="99"/>
    </w:p>
    <w:p w14:paraId="426D394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本项目无需缴纳磋商保证金。</w:t>
      </w:r>
    </w:p>
    <w:p w14:paraId="6C9D3473">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lang w:eastAsia="zh-CN"/>
        </w:rPr>
      </w:pPr>
      <w:bookmarkStart w:id="100" w:name="_Toc387"/>
      <w:bookmarkStart w:id="101" w:name="_Toc30118"/>
      <w:r>
        <w:rPr>
          <w:rFonts w:hint="eastAsia" w:ascii="宋体" w:hAnsi="宋体" w:eastAsia="宋体" w:cs="宋体"/>
          <w:color w:val="auto"/>
          <w:sz w:val="21"/>
          <w:szCs w:val="21"/>
          <w:highlight w:val="none"/>
        </w:rPr>
        <w:t>16. 响应文件的</w:t>
      </w:r>
      <w:bookmarkEnd w:id="100"/>
      <w:r>
        <w:rPr>
          <w:rFonts w:hint="eastAsia" w:ascii="宋体" w:hAnsi="宋体" w:eastAsia="宋体" w:cs="宋体"/>
          <w:color w:val="auto"/>
          <w:sz w:val="21"/>
          <w:szCs w:val="21"/>
          <w:highlight w:val="none"/>
          <w:lang w:eastAsia="zh-CN"/>
        </w:rPr>
        <w:t>制作</w:t>
      </w:r>
      <w:bookmarkEnd w:id="101"/>
    </w:p>
    <w:p w14:paraId="4445810A">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1A84A11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16.2供应商法定代表人（负责人）或授权委托人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4CAADD5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16.3响应文件不得涂改，若有修改错漏处，须法定代表人（负责人）或授权委托人签字（或个人CA签章）。响应文件因字迹潦草或表达不清所引起的后果由供应商负责。</w:t>
      </w:r>
    </w:p>
    <w:p w14:paraId="5DD51A3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16.4磋商前准备 </w:t>
      </w:r>
    </w:p>
    <w:p w14:paraId="7668F4F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16.4.1本项目实行在线磋商，采用电子响应文件。若供应商参与磋商，自行承担磋商一切费用。 </w:t>
      </w:r>
    </w:p>
    <w:p w14:paraId="75FC0BA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16.4.2各供应商在截标前应确保成为广西政府采购云平台正式注册入库供应商，并完成CA数字证书申领。如因未注册入库、未办理CA数字证书等原因造成无法磋商或磋商失败等后果由供应商自行承担。</w:t>
      </w:r>
    </w:p>
    <w:p w14:paraId="1FD0522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16.4.3供应商将广西政府采购云平台电子交易客户端下载、安装完成后，可通过账号密码或CA登录客户端进行响应文件制作。客户端请至网站下载专区查看，如有问题可拨打广西政府采购云平台客户服务热线 95763 进行咨询。</w:t>
      </w:r>
    </w:p>
    <w:p w14:paraId="39B7BAE2">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02" w:name="_Toc9738"/>
      <w:r>
        <w:rPr>
          <w:rFonts w:hint="eastAsia" w:ascii="宋体" w:hAnsi="宋体" w:eastAsia="宋体" w:cs="宋体"/>
          <w:color w:val="auto"/>
          <w:sz w:val="21"/>
          <w:szCs w:val="21"/>
          <w:highlight w:val="none"/>
        </w:rPr>
        <w:t>17. 响应文件的修改和撤回</w:t>
      </w:r>
      <w:bookmarkEnd w:id="102"/>
    </w:p>
    <w:p w14:paraId="448DF77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17.1 </w:t>
      </w:r>
      <w:r>
        <w:rPr>
          <w:rFonts w:hint="eastAsia" w:ascii="宋体" w:hAnsi="宋体" w:eastAsia="宋体" w:cs="宋体"/>
          <w:color w:val="auto"/>
          <w:sz w:val="21"/>
          <w:szCs w:val="21"/>
          <w:highlight w:val="none"/>
          <w:lang w:eastAsia="zh-CN"/>
        </w:rPr>
        <w:t>响应文件递交截止时间前可以撤回电子响应文件。补充或者修改电子响应文件的，应当先行撤回原文件，补充、修改后重新传输递交，响应文件递交截止时间前未完成传输的，视为撤回响应文件。</w:t>
      </w:r>
    </w:p>
    <w:p w14:paraId="7311B35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在响应文件递交截止时间后的响应文件有效期内，供应商不得撤回其响应文件。</w:t>
      </w:r>
    </w:p>
    <w:p w14:paraId="4C0BB5E7">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lang w:eastAsia="zh-CN"/>
        </w:rPr>
      </w:pPr>
      <w:bookmarkStart w:id="103" w:name="_Toc30156"/>
      <w:bookmarkStart w:id="104" w:name="_Toc24690"/>
      <w:r>
        <w:rPr>
          <w:rFonts w:hint="eastAsia" w:ascii="宋体" w:hAnsi="宋体" w:eastAsia="宋体" w:cs="宋体"/>
          <w:color w:val="auto"/>
          <w:sz w:val="21"/>
          <w:szCs w:val="21"/>
          <w:highlight w:val="none"/>
        </w:rPr>
        <w:t>18. 响应文件的递交</w:t>
      </w:r>
      <w:r>
        <w:rPr>
          <w:rFonts w:hint="eastAsia" w:ascii="宋体" w:hAnsi="宋体" w:eastAsia="宋体" w:cs="宋体"/>
          <w:color w:val="auto"/>
          <w:sz w:val="21"/>
          <w:szCs w:val="21"/>
          <w:highlight w:val="none"/>
          <w:lang w:eastAsia="zh-CN"/>
        </w:rPr>
        <w:t>和解密</w:t>
      </w:r>
      <w:bookmarkEnd w:id="103"/>
      <w:bookmarkEnd w:id="104"/>
    </w:p>
    <w:p w14:paraId="602CEE2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18.1响应文件递交截止时间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于20</w:t>
      </w:r>
      <w:r>
        <w:rPr>
          <w:rFonts w:hint="eastAsia" w:ascii="宋体" w:hAnsi="宋体" w:eastAsia="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年</w:t>
      </w:r>
      <w:r>
        <w:rPr>
          <w:rFonts w:hint="eastAsia" w:ascii="宋体" w:hAnsi="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lang w:eastAsia="zh-CN"/>
        </w:rPr>
        <w:t>月</w:t>
      </w:r>
      <w:r>
        <w:rPr>
          <w:rFonts w:hint="eastAsia" w:ascii="宋体" w:hAnsi="宋体" w:cs="宋体"/>
          <w:color w:val="auto"/>
          <w:sz w:val="21"/>
          <w:szCs w:val="21"/>
          <w:highlight w:val="none"/>
          <w:u w:val="single"/>
          <w:lang w:val="en-US" w:eastAsia="zh-CN"/>
        </w:rPr>
        <w:t xml:space="preserve">27 </w:t>
      </w:r>
      <w:r>
        <w:rPr>
          <w:rFonts w:hint="eastAsia" w:ascii="宋体" w:hAnsi="宋体" w:eastAsia="宋体" w:cs="宋体"/>
          <w:color w:val="auto"/>
          <w:sz w:val="21"/>
          <w:szCs w:val="21"/>
          <w:highlight w:val="none"/>
          <w:u w:val="single"/>
          <w:lang w:eastAsia="zh-CN"/>
        </w:rPr>
        <w:t>日</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时30分</w:t>
      </w:r>
      <w:r>
        <w:rPr>
          <w:rFonts w:hint="eastAsia" w:ascii="宋体" w:hAnsi="宋体" w:eastAsia="宋体" w:cs="宋体"/>
          <w:color w:val="auto"/>
          <w:sz w:val="21"/>
          <w:szCs w:val="21"/>
          <w:highlight w:val="none"/>
          <w:u w:val="none"/>
          <w:lang w:val="en-US" w:eastAsia="zh-CN"/>
        </w:rPr>
        <w:t>之前将电子响应文件上传到广西政府采购云平台。</w:t>
      </w:r>
      <w:r>
        <w:rPr>
          <w:rFonts w:hint="eastAsia" w:ascii="宋体" w:hAnsi="宋体"/>
          <w:color w:val="auto"/>
          <w:szCs w:val="21"/>
          <w:highlight w:val="none"/>
        </w:rPr>
        <w:t>电子响应文件</w:t>
      </w:r>
      <w:r>
        <w:rPr>
          <w:rFonts w:hint="eastAsia" w:ascii="宋体" w:hAnsi="宋体" w:eastAsia="宋体" w:cs="宋体"/>
          <w:color w:val="auto"/>
          <w:sz w:val="21"/>
          <w:szCs w:val="21"/>
          <w:highlight w:val="none"/>
          <w:u w:val="none"/>
          <w:lang w:val="en-US" w:eastAsia="zh-CN"/>
        </w:rPr>
        <w:t>应按照本项目磋商文件和广西政府采购云平台的要求编制、加密传输响应文件。供应商在使用系统进行响应的过程中遇到涉及平台使用的任何问题，可致电广西政府采购云平台技术支持热线咨询，联系方式：95763</w:t>
      </w:r>
      <w:r>
        <w:rPr>
          <w:rFonts w:hint="eastAsia" w:ascii="宋体" w:hAnsi="宋体" w:eastAsia="宋体" w:cs="宋体"/>
          <w:color w:val="auto"/>
          <w:sz w:val="21"/>
          <w:szCs w:val="21"/>
          <w:highlight w:val="none"/>
        </w:rPr>
        <w:t>。</w:t>
      </w:r>
    </w:p>
    <w:p w14:paraId="2DD5E86A">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18.2响应文件解密时间：截标时</w:t>
      </w:r>
      <w:r>
        <w:rPr>
          <w:rFonts w:hint="eastAsia" w:ascii="宋体" w:hAnsi="宋体" w:eastAsia="宋体" w:cs="宋体"/>
          <w:color w:val="auto"/>
          <w:sz w:val="21"/>
          <w:szCs w:val="21"/>
          <w:highlight w:val="none"/>
          <w:u w:val="none"/>
        </w:rPr>
        <w:t>间后30分钟内供应商可以登录广西政府采购云平台，用“项目采购-开标评标”功能进行解密磋商文件。若供应商在规定时间内无法解密或解密失败，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eastAsia="宋体" w:cs="宋体"/>
          <w:b/>
          <w:bCs/>
          <w:color w:val="auto"/>
          <w:sz w:val="21"/>
          <w:szCs w:val="21"/>
          <w:highlight w:val="none"/>
          <w:u w:val="none"/>
        </w:rPr>
        <w:t>【在接到无法解密或解密失败的通知后，供应商可根据自身实际情况按通知时要求的时间到桂林市</w:t>
      </w:r>
      <w:r>
        <w:rPr>
          <w:rFonts w:hint="eastAsia" w:ascii="宋体" w:hAnsi="宋体" w:eastAsia="宋体" w:cs="宋体"/>
          <w:b/>
          <w:bCs/>
          <w:color w:val="000000" w:themeColor="text1"/>
          <w:sz w:val="21"/>
          <w:szCs w:val="21"/>
          <w:highlight w:val="none"/>
          <w:u w:val="none"/>
          <w14:textFill>
            <w14:solidFill>
              <w14:schemeClr w14:val="tx1"/>
            </w14:solidFill>
          </w14:textFill>
        </w:rPr>
        <w:t>公共资源交易中心</w:t>
      </w:r>
      <w:r>
        <w:rPr>
          <w:rFonts w:hint="eastAsia" w:ascii="宋体" w:hAnsi="宋体" w:cs="宋体"/>
          <w:b/>
          <w:bCs/>
          <w:color w:val="000000" w:themeColor="text1"/>
          <w:sz w:val="21"/>
          <w:szCs w:val="21"/>
          <w:highlight w:val="none"/>
          <w:u w:val="none"/>
          <w:lang w:val="en-US" w:eastAsia="zh-CN"/>
          <w14:textFill>
            <w14:solidFill>
              <w14:schemeClr w14:val="tx1"/>
            </w14:solidFill>
          </w14:textFill>
        </w:rPr>
        <w:t>9号开标室</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bCs/>
          <w:color w:val="000000" w:themeColor="text1"/>
          <w:sz w:val="21"/>
          <w:szCs w:val="21"/>
          <w:highlight w:val="none"/>
          <w:u w:val="none"/>
          <w14:textFill>
            <w14:solidFill>
              <w14:schemeClr w14:val="tx1"/>
            </w14:solidFill>
          </w14:textFill>
        </w:rPr>
        <w:t>号</w:t>
      </w:r>
      <w:r>
        <w:rPr>
          <w:rFonts w:hint="eastAsia" w:ascii="宋体" w:hAnsi="宋体" w:cs="宋体"/>
          <w:b/>
          <w:bCs/>
          <w:color w:val="000000" w:themeColor="text1"/>
          <w:sz w:val="21"/>
          <w:szCs w:val="21"/>
          <w:highlight w:val="none"/>
          <w:u w:val="none"/>
          <w:lang w:val="en-US" w:eastAsia="zh-CN"/>
          <w14:textFill>
            <w14:solidFill>
              <w14:schemeClr w14:val="tx1"/>
            </w14:solidFill>
          </w14:textFill>
        </w:rPr>
        <w:t>政采</w:t>
      </w:r>
      <w:bookmarkStart w:id="1821" w:name="_GoBack"/>
      <w:bookmarkEnd w:id="1821"/>
      <w:r>
        <w:rPr>
          <w:rFonts w:hint="eastAsia" w:ascii="宋体" w:hAnsi="宋体" w:eastAsia="宋体" w:cs="宋体"/>
          <w:b/>
          <w:bCs/>
          <w:color w:val="000000" w:themeColor="text1"/>
          <w:sz w:val="21"/>
          <w:szCs w:val="21"/>
          <w:highlight w:val="none"/>
          <w:u w:val="none"/>
          <w14:textFill>
            <w14:solidFill>
              <w14:schemeClr w14:val="tx1"/>
            </w14:solidFill>
          </w14:textFill>
        </w:rPr>
        <w:t>开标</w:t>
      </w:r>
      <w:r>
        <w:rPr>
          <w:rFonts w:hint="eastAsia" w:ascii="宋体" w:hAnsi="宋体" w:cs="宋体"/>
          <w:b/>
          <w:bCs/>
          <w:color w:val="000000" w:themeColor="text1"/>
          <w:sz w:val="21"/>
          <w:szCs w:val="21"/>
          <w:highlight w:val="none"/>
          <w:u w:val="none"/>
          <w:lang w:val="en-US" w:eastAsia="zh-CN"/>
          <w14:textFill>
            <w14:solidFill>
              <w14:schemeClr w14:val="tx1"/>
            </w14:solidFill>
          </w14:textFill>
        </w:rPr>
        <w:t>仓</w:t>
      </w:r>
      <w:r>
        <w:rPr>
          <w:rFonts w:hint="eastAsia" w:ascii="宋体" w:hAnsi="宋体" w:eastAsia="宋体" w:cs="宋体"/>
          <w:b/>
          <w:bCs/>
          <w:color w:val="000000" w:themeColor="text1"/>
          <w:sz w:val="21"/>
          <w:szCs w:val="21"/>
          <w:highlight w:val="none"/>
          <w:u w:val="none"/>
          <w14:textFill>
            <w14:solidFill>
              <w14:schemeClr w14:val="tx1"/>
            </w14:solidFill>
          </w14:textFill>
        </w:rPr>
        <w:t>现场提</w:t>
      </w:r>
      <w:r>
        <w:rPr>
          <w:rFonts w:hint="eastAsia" w:ascii="宋体" w:hAnsi="宋体" w:eastAsia="宋体" w:cs="宋体"/>
          <w:b/>
          <w:bCs/>
          <w:color w:val="auto"/>
          <w:sz w:val="21"/>
          <w:szCs w:val="21"/>
          <w:highlight w:val="none"/>
          <w:u w:val="none"/>
        </w:rPr>
        <w:t>交或以电子邮件的形式（以通知时所告知的电子邮箱地址为准）提交电子备份响应文件】</w:t>
      </w:r>
      <w:r>
        <w:rPr>
          <w:rFonts w:hint="eastAsia" w:ascii="宋体" w:hAnsi="宋体" w:eastAsia="宋体" w:cs="宋体"/>
          <w:color w:val="auto"/>
          <w:sz w:val="21"/>
          <w:szCs w:val="21"/>
          <w:highlight w:val="none"/>
          <w:u w:val="none"/>
        </w:rPr>
        <w:t>，若供应商在规定时间内无法解密或解密失败且未提供电子备份响应文件的(包含提供的电子备份文件无效或无法解密的情况)，视为响应文件撤回</w:t>
      </w:r>
      <w:r>
        <w:rPr>
          <w:rFonts w:hint="eastAsia" w:ascii="宋体" w:hAnsi="宋体" w:eastAsia="宋体" w:cs="宋体"/>
          <w:color w:val="auto"/>
          <w:sz w:val="21"/>
          <w:szCs w:val="21"/>
          <w:highlight w:val="none"/>
        </w:rPr>
        <w:t>。</w:t>
      </w:r>
    </w:p>
    <w:p w14:paraId="6F59036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除竞争性磋商文件另有规定外，供应商所递交的响应文件不予退还。</w:t>
      </w:r>
    </w:p>
    <w:p w14:paraId="78865E3E">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18.4 </w:t>
      </w:r>
      <w:r>
        <w:rPr>
          <w:rFonts w:hint="eastAsia" w:ascii="宋体" w:hAnsi="宋体" w:eastAsia="宋体" w:cs="宋体"/>
          <w:color w:val="auto"/>
          <w:sz w:val="21"/>
          <w:szCs w:val="21"/>
          <w:highlight w:val="none"/>
        </w:rPr>
        <w:t>电子响应文件的相关说明</w:t>
      </w:r>
    </w:p>
    <w:p w14:paraId="055681F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（1）供应商进行电子</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应安装客户端软件，并按照采购文件和电子交易平台的要求编制并加密响应文件。供应商未按规定加密的响应文件，电子交易平台将拒收。供应商应当在</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截止时间前完成响应文件的传输递交，并可以补充、修改或者撤回响应文件。补充或者修改响应文件的，应当先行撤回原文件，补充、修改后重新传输递交。</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截止时间前未完成传输的，视为撤回响应文件。</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截止时间后递交的响应文件，电子交易平台将拒收。 </w:t>
      </w:r>
    </w:p>
    <w:p w14:paraId="3F9AF35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（2）如有特殊情况，采购代理机构延长截止时间和开标时间，采购代理机构和供应商的权利和义务将受到新的截止时间和开标时间的约束。</w:t>
      </w:r>
    </w:p>
    <w:p w14:paraId="289A5708">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bookmarkStart w:id="105" w:name="_Toc5807"/>
      <w:bookmarkStart w:id="106" w:name="_Toc2433"/>
      <w:bookmarkStart w:id="107" w:name="_Toc2647"/>
    </w:p>
    <w:p w14:paraId="264A2EFB">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四、竞争性磋商（简称磋商）与评审</w:t>
      </w:r>
      <w:bookmarkEnd w:id="105"/>
      <w:bookmarkEnd w:id="106"/>
      <w:bookmarkEnd w:id="107"/>
    </w:p>
    <w:p w14:paraId="017F41D9">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08" w:name="_Toc31588"/>
      <w:bookmarkStart w:id="109" w:name="_Toc11021"/>
      <w:r>
        <w:rPr>
          <w:rFonts w:hint="eastAsia" w:ascii="宋体" w:hAnsi="宋体" w:eastAsia="宋体" w:cs="宋体"/>
          <w:color w:val="auto"/>
          <w:sz w:val="21"/>
          <w:szCs w:val="21"/>
          <w:highlight w:val="none"/>
        </w:rPr>
        <w:t>19. 磋商小组组成及磋商时间、地点、人员</w:t>
      </w:r>
      <w:bookmarkEnd w:id="108"/>
      <w:bookmarkEnd w:id="109"/>
    </w:p>
    <w:p w14:paraId="23B6930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 磋商小组组成：</w:t>
      </w:r>
    </w:p>
    <w:p w14:paraId="4223CCF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人，其中采购人代表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1 </w:t>
      </w:r>
      <w:r>
        <w:rPr>
          <w:rFonts w:hint="eastAsia" w:ascii="宋体" w:hAnsi="宋体" w:eastAsia="宋体" w:cs="宋体"/>
          <w:color w:val="auto"/>
          <w:sz w:val="21"/>
          <w:szCs w:val="21"/>
          <w:highlight w:val="none"/>
        </w:rPr>
        <w:t>人，技术、经济等专家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2 </w:t>
      </w:r>
      <w:r>
        <w:rPr>
          <w:rFonts w:hint="eastAsia" w:ascii="宋体" w:hAnsi="宋体" w:eastAsia="宋体" w:cs="宋体"/>
          <w:color w:val="auto"/>
          <w:sz w:val="21"/>
          <w:szCs w:val="21"/>
          <w:highlight w:val="none"/>
        </w:rPr>
        <w:t>人。</w:t>
      </w:r>
    </w:p>
    <w:p w14:paraId="74ECC9B5">
      <w:pPr>
        <w:pageBreakBefore w:val="0"/>
        <w:widowControl w:val="0"/>
        <w:kinsoku/>
        <w:wordWrap/>
        <w:overflowPunct/>
        <w:topLinePunct w:val="0"/>
        <w:bidi w:val="0"/>
        <w:snapToGrid/>
        <w:spacing w:line="380" w:lineRule="exact"/>
        <w:ind w:left="0" w:lef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19.2 磋商时间、地点、人员：</w:t>
      </w:r>
      <w:r>
        <w:rPr>
          <w:rFonts w:hint="eastAsia" w:ascii="宋体" w:hAnsi="宋体" w:cs="宋体"/>
          <w:color w:val="auto"/>
          <w:sz w:val="21"/>
          <w:szCs w:val="21"/>
          <w:highlight w:val="none"/>
          <w:lang w:val="en-US" w:eastAsia="zh-CN"/>
        </w:rPr>
        <w:t>详见供应商须知前附表。</w:t>
      </w:r>
    </w:p>
    <w:p w14:paraId="35E157EC">
      <w:pPr>
        <w:keepNext w:val="0"/>
        <w:keepLines w:val="0"/>
        <w:pageBreakBefore w:val="0"/>
        <w:widowControl w:val="0"/>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auto"/>
          <w:sz w:val="21"/>
          <w:szCs w:val="21"/>
          <w:highlight w:val="none"/>
        </w:rPr>
      </w:pPr>
      <w:bookmarkStart w:id="110" w:name="_Toc6288"/>
      <w:r>
        <w:rPr>
          <w:rFonts w:hint="eastAsia" w:ascii="宋体" w:hAnsi="宋体" w:eastAsia="宋体" w:cs="宋体"/>
          <w:color w:val="auto"/>
          <w:sz w:val="21"/>
          <w:szCs w:val="21"/>
          <w:highlight w:val="none"/>
        </w:rPr>
        <w:t>19.2.1磋商时间：</w:t>
      </w:r>
      <w:r>
        <w:rPr>
          <w:rFonts w:hint="eastAsia" w:ascii="宋体" w:hAnsi="宋体" w:cs="宋体"/>
          <w:color w:val="auto"/>
          <w:sz w:val="21"/>
          <w:szCs w:val="21"/>
          <w:highlight w:val="none"/>
          <w:lang w:eastAsia="zh-CN"/>
        </w:rPr>
        <w:t>首次</w:t>
      </w:r>
      <w:r>
        <w:rPr>
          <w:rFonts w:hint="eastAsia" w:ascii="宋体" w:hAnsi="宋体" w:eastAsia="宋体" w:cs="宋体"/>
          <w:color w:val="auto"/>
          <w:sz w:val="21"/>
          <w:szCs w:val="21"/>
          <w:highlight w:val="none"/>
        </w:rPr>
        <w:t>响应文件递交截止时间后。</w:t>
      </w:r>
    </w:p>
    <w:p w14:paraId="2BA586B5">
      <w:pPr>
        <w:keepNext w:val="0"/>
        <w:keepLines w:val="0"/>
        <w:pageBreakBefore w:val="0"/>
        <w:widowControl w:val="0"/>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19.2.2磋商地点：</w:t>
      </w:r>
      <w:r>
        <w:rPr>
          <w:rFonts w:hint="eastAsia" w:ascii="宋体" w:hAnsi="宋体" w:eastAsia="宋体" w:cs="宋体"/>
          <w:b/>
          <w:bCs/>
          <w:color w:val="auto"/>
          <w:sz w:val="21"/>
          <w:szCs w:val="21"/>
          <w:highlight w:val="none"/>
        </w:rPr>
        <w:t>供应商代表在响应文件提交当天实时登陆“广西政府采购云平台”，按磋商小组要求在线等候参与磋商及提交最后报价。因供应商未保持实时在线，导致磋商小组无法及时与其取得联系，从而造成供应商未按规定参与磋商或报价的，其不利后果由供应商自行承担</w:t>
      </w:r>
      <w:r>
        <w:rPr>
          <w:rFonts w:hint="eastAsia" w:ascii="宋体" w:hAnsi="宋体" w:eastAsia="宋体" w:cs="宋体"/>
          <w:color w:val="auto"/>
          <w:sz w:val="21"/>
          <w:szCs w:val="21"/>
          <w:highlight w:val="none"/>
          <w:lang w:eastAsia="zh-CN"/>
        </w:rPr>
        <w:t>。</w:t>
      </w:r>
    </w:p>
    <w:p w14:paraId="06629F8B">
      <w:pPr>
        <w:keepNext w:val="0"/>
        <w:keepLines w:val="0"/>
        <w:pageBreakBefore w:val="0"/>
        <w:widowControl w:val="0"/>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19.2.3磋商参加人员：</w:t>
      </w:r>
      <w:r>
        <w:rPr>
          <w:rFonts w:hint="eastAsia" w:ascii="宋体" w:hAnsi="宋体" w:eastAsia="宋体" w:cs="宋体"/>
          <w:b w:val="0"/>
          <w:bCs w:val="0"/>
          <w:color w:val="auto"/>
          <w:sz w:val="21"/>
          <w:szCs w:val="21"/>
          <w:highlight w:val="none"/>
        </w:rPr>
        <w:t>供应商法定代表人、负责人、自然人或相应的委托代理人参加磋商。请供应商实时登陆“广西政府采购云平台”等候在线磋商</w:t>
      </w:r>
      <w:r>
        <w:rPr>
          <w:rFonts w:hint="eastAsia" w:ascii="宋体" w:hAnsi="宋体" w:eastAsia="宋体" w:cs="宋体"/>
          <w:color w:val="auto"/>
          <w:sz w:val="21"/>
          <w:szCs w:val="21"/>
          <w:highlight w:val="none"/>
        </w:rPr>
        <w:t>。</w:t>
      </w:r>
    </w:p>
    <w:p w14:paraId="07E9A65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color w:val="auto"/>
          <w:sz w:val="21"/>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r>
        <w:rPr>
          <w:rFonts w:hint="eastAsia" w:ascii="宋体" w:hAnsi="宋体" w:eastAsia="宋体" w:cs="宋体"/>
          <w:color w:val="auto"/>
          <w:sz w:val="21"/>
          <w:szCs w:val="21"/>
          <w:highlight w:val="none"/>
        </w:rPr>
        <w:t>。</w:t>
      </w:r>
      <w:bookmarkEnd w:id="110"/>
    </w:p>
    <w:p w14:paraId="5CF6E86E">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11" w:name="_Toc21088"/>
      <w:bookmarkStart w:id="112" w:name="_Toc25258"/>
      <w:r>
        <w:rPr>
          <w:rFonts w:hint="eastAsia" w:ascii="宋体" w:hAnsi="宋体" w:eastAsia="宋体" w:cs="宋体"/>
          <w:color w:val="auto"/>
          <w:sz w:val="21"/>
          <w:szCs w:val="21"/>
          <w:highlight w:val="none"/>
        </w:rPr>
        <w:t>20. 评审原则</w:t>
      </w:r>
      <w:bookmarkEnd w:id="111"/>
      <w:bookmarkEnd w:id="112"/>
    </w:p>
    <w:p w14:paraId="5E013FD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 磋商小组必须坚持公平、公正、科学和择优的原则。</w:t>
      </w:r>
    </w:p>
    <w:p w14:paraId="06B1928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 评审办法：综合评分法，具体详见第四章评审办法。</w:t>
      </w:r>
    </w:p>
    <w:p w14:paraId="7C27312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磋商小组应按磋商文件进行评审，不得擅自更改评审办法。</w:t>
      </w:r>
    </w:p>
    <w:p w14:paraId="3F490D7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 在评审过程中，磋商小组任何人不得对某个供应商发表任何倾向性意见，不得向其他磋商小组成员明示或者暗示自己的评审意见。</w:t>
      </w:r>
    </w:p>
    <w:p w14:paraId="75E9B16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0A7FB055">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 响应文件最后报价出现前后不一致的，除竞争性磋商文件另有规定外，按照下列规定修正：</w:t>
      </w:r>
    </w:p>
    <w:p w14:paraId="7653EF61">
      <w:pPr>
        <w:pStyle w:val="27"/>
        <w:keepNext w:val="0"/>
        <w:keepLines w:val="0"/>
        <w:pageBreakBefore w:val="0"/>
        <w:widowControl w:val="0"/>
        <w:tabs>
          <w:tab w:val="left" w:pos="1099"/>
        </w:tabs>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响应文件中磋商报价表内容与响应文件中相应内容不一致的，以最后磋商报价表为准；</w:t>
      </w:r>
    </w:p>
    <w:p w14:paraId="7B0DBA3F">
      <w:pPr>
        <w:pStyle w:val="27"/>
        <w:keepNext w:val="0"/>
        <w:keepLines w:val="0"/>
        <w:pageBreakBefore w:val="0"/>
        <w:widowControl w:val="0"/>
        <w:tabs>
          <w:tab w:val="left" w:pos="1099"/>
        </w:tabs>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大写金额和小写金额不一致的，以大写金额为准；</w:t>
      </w:r>
    </w:p>
    <w:p w14:paraId="46F6A341">
      <w:pPr>
        <w:pStyle w:val="27"/>
        <w:keepNext w:val="0"/>
        <w:keepLines w:val="0"/>
        <w:pageBreakBefore w:val="0"/>
        <w:widowControl w:val="0"/>
        <w:tabs>
          <w:tab w:val="left" w:pos="1099"/>
        </w:tabs>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单价金额小数点或者百分比有明显错位的，以报价表的总价为准，并修改单价；</w:t>
      </w:r>
    </w:p>
    <w:p w14:paraId="09C232D1">
      <w:pPr>
        <w:pStyle w:val="27"/>
        <w:keepNext w:val="0"/>
        <w:keepLines w:val="0"/>
        <w:pageBreakBefore w:val="0"/>
        <w:widowControl w:val="0"/>
        <w:tabs>
          <w:tab w:val="left" w:pos="1099"/>
        </w:tabs>
        <w:kinsoku/>
        <w:wordWrap/>
        <w:overflowPunct/>
        <w:topLinePunct w:val="0"/>
        <w:autoSpaceDE/>
        <w:autoSpaceDN/>
        <w:bidi w:val="0"/>
        <w:adjustRightInd/>
        <w:snapToGrid/>
        <w:spacing w:line="38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总价金额与按单价汇总金额不一致的，以单价金额计算结果为准。</w:t>
      </w:r>
    </w:p>
    <w:p w14:paraId="2ABA5D13">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70B84D9">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13" w:name="_Toc27193"/>
      <w:bookmarkStart w:id="114" w:name="_Toc21012"/>
      <w:r>
        <w:rPr>
          <w:rFonts w:hint="eastAsia" w:ascii="宋体" w:hAnsi="宋体" w:eastAsia="宋体" w:cs="宋体"/>
          <w:color w:val="auto"/>
          <w:sz w:val="21"/>
          <w:szCs w:val="21"/>
          <w:highlight w:val="none"/>
        </w:rPr>
        <w:t>21. 评审程序及磋商要求</w:t>
      </w:r>
      <w:bookmarkEnd w:id="113"/>
      <w:bookmarkEnd w:id="114"/>
    </w:p>
    <w:p w14:paraId="3D51CEE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21.1磋商小组成员的通讯工具或相关电子设备交由桂林市公共资源交易中心统一保管后到达评标室，采购代理机构核实磋商小组成员身份，告知回避要求，宣布评审工作纪律和程序，</w:t>
      </w:r>
      <w:r>
        <w:rPr>
          <w:rFonts w:hint="eastAsia" w:hAnsi="宋体"/>
          <w:color w:val="auto"/>
          <w:szCs w:val="21"/>
          <w:highlight w:val="none"/>
        </w:rPr>
        <w:t>组织磋商小组推选磋商小组组长，采购人代表不得担任组长</w:t>
      </w:r>
      <w:r>
        <w:rPr>
          <w:rFonts w:hint="eastAsia" w:ascii="宋体" w:hAnsi="宋体" w:eastAsia="宋体" w:cs="宋体"/>
          <w:color w:val="auto"/>
          <w:sz w:val="21"/>
          <w:szCs w:val="21"/>
          <w:highlight w:val="none"/>
        </w:rPr>
        <w:t>。</w:t>
      </w:r>
    </w:p>
    <w:p w14:paraId="0FD18A5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70EDDF6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21.3 磋商小组依据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 </w:t>
      </w:r>
    </w:p>
    <w:p w14:paraId="2358EA3B">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 。</w:t>
      </w:r>
    </w:p>
    <w:p w14:paraId="3B1D49CB">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21.4.1 查询渠道：《国家企业信用信息公示系统》（网址：www.gsxt.gov.cn/index.html）</w:t>
      </w:r>
    </w:p>
    <w:p w14:paraId="039AF45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21.4.2 审查流程：</w:t>
      </w:r>
    </w:p>
    <w:p w14:paraId="1A99FF9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（1）进入《国家企业信用信息公示系统》（网址：www.gsxt.gov.cn/index.html），输入企业名称，进入企业信息主页面；</w:t>
      </w:r>
    </w:p>
    <w:p w14:paraId="6CFD945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（2）查看主页“股东及出资信息”栏，或年报中的“股东及出资信息”栏信息；</w:t>
      </w:r>
    </w:p>
    <w:p w14:paraId="7BDEF74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（3）将各供应商的股东及出资信息进行比对，得出审查结论；</w:t>
      </w:r>
    </w:p>
    <w:p w14:paraId="2E668DD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（4）将相关资料作为评审资料打印存档。</w:t>
      </w:r>
    </w:p>
    <w:p w14:paraId="2173F978">
      <w:pPr>
        <w:tabs>
          <w:tab w:val="left" w:pos="1305"/>
        </w:tabs>
        <w:wordWrap w:val="0"/>
        <w:spacing w:line="360" w:lineRule="exact"/>
        <w:ind w:firstLine="420" w:firstLineChars="200"/>
        <w:rPr>
          <w:rFonts w:hint="eastAsia" w:ascii="宋体" w:hAnsi="宋体"/>
          <w:b w:val="0"/>
          <w:bCs/>
          <w:color w:val="auto"/>
          <w:szCs w:val="21"/>
          <w:highlight w:val="none"/>
        </w:rPr>
      </w:pPr>
      <w:r>
        <w:rPr>
          <w:rFonts w:hint="eastAsia" w:ascii="宋体" w:hAnsi="宋体"/>
          <w:b w:val="0"/>
          <w:bCs/>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5D3315EB">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21.5 磋商小组如发现供应商提供的证明文件不齐全或不符合规定格式的，应一次性告知供应商，供应商应在规定的时间内</w:t>
      </w:r>
      <w:r>
        <w:rPr>
          <w:rFonts w:hint="eastAsia" w:ascii="宋体" w:hAnsi="宋体" w:eastAsia="宋体" w:cs="宋体"/>
          <w:b/>
          <w:bCs/>
          <w:color w:val="auto"/>
          <w:sz w:val="21"/>
          <w:szCs w:val="21"/>
          <w:highlight w:val="none"/>
          <w:lang w:eastAsia="zh-CN"/>
        </w:rPr>
        <w:t>线上</w:t>
      </w:r>
      <w:r>
        <w:rPr>
          <w:rFonts w:hint="eastAsia" w:ascii="宋体" w:hAnsi="宋体" w:eastAsia="宋体" w:cs="宋体"/>
          <w:b/>
          <w:bCs/>
          <w:color w:val="auto"/>
          <w:sz w:val="21"/>
          <w:szCs w:val="21"/>
          <w:highlight w:val="none"/>
        </w:rPr>
        <w:t>补正或更正。</w:t>
      </w:r>
    </w:p>
    <w:p w14:paraId="5DEE2A6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个人CA签章)</w:t>
      </w:r>
      <w:r>
        <w:rPr>
          <w:rFonts w:hint="eastAsia" w:ascii="宋体" w:hAnsi="宋体" w:eastAsia="宋体" w:cs="宋体"/>
          <w:color w:val="auto"/>
          <w:sz w:val="21"/>
          <w:szCs w:val="21"/>
          <w:highlight w:val="none"/>
        </w:rPr>
        <w:t>或者加盖供应商公章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p>
    <w:p w14:paraId="51830EB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根据磋商文件规定的程序、评定成交的标准等事项与实质性响应竞争性磋商文件要求的供应商进行磋商。未实质性响应磋商文件的响应文件按无效处理，磋商小组应当告知有关供应商。 </w:t>
      </w:r>
    </w:p>
    <w:p w14:paraId="66969E1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磋商小组所有成员应当按已确定的磋商顺序集中与单一供应商分别进行磋商，并给予所有实质性响应竞争性磋商文件要求的供应商平等的磋商机会。 </w:t>
      </w:r>
    </w:p>
    <w:p w14:paraId="2C82A58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磋商中，磋商小组不得透露与磋商有关的其他供应商的技术资料、价格和其他信息。 </w:t>
      </w:r>
    </w:p>
    <w:p w14:paraId="19652D9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磋商小组对磋商过程和重要磋商内容进行记录，磋商双方在记录上签字确认。 </w:t>
      </w:r>
    </w:p>
    <w:p w14:paraId="6820EF6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在磋商过程中，磋商小组可以根据磋商文件和磋商情况实质性变动项目需求中的技术、服务要求以及合同草案条款，但不得变动磋商文件中的其他内容。实质性变动的内容，须经采购人代表确认。 </w:t>
      </w:r>
    </w:p>
    <w:p w14:paraId="5AB81F6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对磋商文件作出的实质性变动是磋商文件的有效组成部分，磋商小组应当及时</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rPr>
        <w:t>广西政府采购云平台</w:t>
      </w:r>
      <w:r>
        <w:rPr>
          <w:rFonts w:hint="eastAsia" w:ascii="宋体" w:hAnsi="宋体" w:eastAsia="宋体" w:cs="宋体"/>
          <w:color w:val="auto"/>
          <w:sz w:val="21"/>
          <w:szCs w:val="21"/>
          <w:highlight w:val="none"/>
          <w:lang w:eastAsia="zh-CN"/>
        </w:rPr>
        <w:t>同时</w:t>
      </w:r>
      <w:r>
        <w:rPr>
          <w:rFonts w:hint="eastAsia" w:ascii="宋体" w:hAnsi="宋体" w:eastAsia="宋体" w:cs="宋体"/>
          <w:color w:val="auto"/>
          <w:sz w:val="21"/>
          <w:szCs w:val="21"/>
          <w:highlight w:val="none"/>
        </w:rPr>
        <w:t xml:space="preserve">通知所有参加磋商的供应商。 </w:t>
      </w:r>
    </w:p>
    <w:p w14:paraId="1EC699A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供应商应当按照磋商文件的变动情况和磋商小组的要求重新提交响应文件，并由其法定代表人、负责人、</w:t>
      </w:r>
      <w:r>
        <w:rPr>
          <w:rFonts w:hint="eastAsia" w:ascii="宋体" w:hAnsi="宋体" w:eastAsia="宋体" w:cs="宋体"/>
          <w:color w:val="auto"/>
          <w:sz w:val="21"/>
          <w:szCs w:val="21"/>
          <w:highlight w:val="none"/>
          <w:lang w:eastAsia="zh-CN"/>
        </w:rPr>
        <w:t>自然人或相应的授权委托代表签字（个人</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或者加盖供应商公章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 xml:space="preserve">。逾时不交的，视同放弃磋商。 </w:t>
      </w:r>
    </w:p>
    <w:p w14:paraId="19729B7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最后报价 </w:t>
      </w:r>
    </w:p>
    <w:p w14:paraId="07530096">
      <w:pPr>
        <w:wordWrap w:val="0"/>
        <w:spacing w:line="360" w:lineRule="exact"/>
        <w:ind w:firstLine="420" w:firstLineChars="200"/>
        <w:rPr>
          <w:rFonts w:ascii="宋体" w:hAnsi="宋体"/>
          <w:color w:val="auto"/>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.1 磋商文件能够详细列明采购标的的质量要求的，磋商结束后，磋商小组应当要求所有继续参加磋商的供应商在规定时间内</w:t>
      </w:r>
      <w:r>
        <w:rPr>
          <w:rFonts w:hint="eastAsia" w:ascii="宋体" w:hAnsi="宋体" w:eastAsia="宋体" w:cs="宋体"/>
          <w:color w:val="auto"/>
          <w:sz w:val="21"/>
          <w:szCs w:val="21"/>
          <w:highlight w:val="none"/>
          <w:lang w:eastAsia="zh-CN"/>
        </w:rPr>
        <w:t>线上</w:t>
      </w:r>
      <w:r>
        <w:rPr>
          <w:rFonts w:hint="eastAsia" w:ascii="宋体" w:hAnsi="宋体" w:eastAsia="宋体" w:cs="宋体"/>
          <w:color w:val="auto"/>
          <w:sz w:val="21"/>
          <w:szCs w:val="21"/>
          <w:highlight w:val="none"/>
        </w:rPr>
        <w:t>提交最后报价，提交最后报价的供应商不得少于 3 家。</w:t>
      </w:r>
      <w:r>
        <w:rPr>
          <w:rFonts w:hint="eastAsia" w:ascii="宋体" w:hAnsi="宋体"/>
          <w:b/>
          <w:color w:val="auto"/>
          <w:szCs w:val="21"/>
          <w:highlight w:val="none"/>
        </w:rPr>
        <w:t>在</w:t>
      </w:r>
      <w:r>
        <w:rPr>
          <w:rFonts w:ascii="宋体" w:hAnsi="宋体"/>
          <w:b/>
          <w:color w:val="auto"/>
          <w:szCs w:val="21"/>
          <w:highlight w:val="none"/>
        </w:rPr>
        <w:t>磋商</w:t>
      </w:r>
      <w:r>
        <w:rPr>
          <w:rFonts w:hint="eastAsia" w:ascii="宋体" w:hAnsi="宋体"/>
          <w:b/>
          <w:color w:val="auto"/>
          <w:szCs w:val="21"/>
          <w:highlight w:val="none"/>
        </w:rPr>
        <w:t>过程中，如供应商维持</w:t>
      </w:r>
      <w:r>
        <w:rPr>
          <w:rFonts w:ascii="宋体" w:hAnsi="宋体"/>
          <w:b/>
          <w:color w:val="auto"/>
          <w:szCs w:val="21"/>
          <w:highlight w:val="none"/>
        </w:rPr>
        <w:t>磋商</w:t>
      </w:r>
      <w:r>
        <w:rPr>
          <w:rFonts w:hint="eastAsia" w:ascii="宋体" w:hAnsi="宋体"/>
          <w:b/>
          <w:color w:val="auto"/>
          <w:szCs w:val="21"/>
          <w:highlight w:val="none"/>
        </w:rPr>
        <w:t>报价不变，以原</w:t>
      </w:r>
      <w:r>
        <w:rPr>
          <w:rFonts w:ascii="宋体" w:hAnsi="宋体"/>
          <w:b/>
          <w:color w:val="auto"/>
          <w:szCs w:val="21"/>
          <w:highlight w:val="none"/>
        </w:rPr>
        <w:t>磋商</w:t>
      </w:r>
      <w:r>
        <w:rPr>
          <w:rFonts w:hint="eastAsia" w:ascii="宋体" w:hAnsi="宋体"/>
          <w:b/>
          <w:color w:val="auto"/>
          <w:szCs w:val="21"/>
          <w:highlight w:val="none"/>
        </w:rPr>
        <w:t>报价作为供应商最后报价；如供应商需要改变原</w:t>
      </w:r>
      <w:r>
        <w:rPr>
          <w:rFonts w:ascii="宋体" w:hAnsi="宋体"/>
          <w:b/>
          <w:color w:val="auto"/>
          <w:szCs w:val="21"/>
          <w:highlight w:val="none"/>
        </w:rPr>
        <w:t>磋商</w:t>
      </w:r>
      <w:r>
        <w:rPr>
          <w:rFonts w:hint="eastAsia" w:ascii="宋体" w:hAnsi="宋体"/>
          <w:b/>
          <w:color w:val="auto"/>
          <w:szCs w:val="21"/>
          <w:highlight w:val="none"/>
        </w:rPr>
        <w:t>报价时，供应商应在最后报价时将预先准备好调整后的报价清单计价表，在采购代理机构开启新一轮报价时，通过“上传附件”功能上传。如供应商在</w:t>
      </w:r>
      <w:r>
        <w:rPr>
          <w:rFonts w:ascii="宋体" w:hAnsi="宋体"/>
          <w:b/>
          <w:color w:val="auto"/>
          <w:szCs w:val="21"/>
          <w:highlight w:val="none"/>
        </w:rPr>
        <w:t>磋商</w:t>
      </w:r>
      <w:r>
        <w:rPr>
          <w:rFonts w:hint="eastAsia" w:ascii="宋体" w:hAnsi="宋体"/>
          <w:b/>
          <w:color w:val="auto"/>
          <w:szCs w:val="21"/>
          <w:highlight w:val="none"/>
        </w:rPr>
        <w:t>过程中，改变原报价且未按</w:t>
      </w:r>
      <w:r>
        <w:rPr>
          <w:rFonts w:ascii="宋体" w:hAnsi="宋体"/>
          <w:b/>
          <w:color w:val="auto"/>
          <w:szCs w:val="21"/>
          <w:highlight w:val="none"/>
        </w:rPr>
        <w:t>磋商</w:t>
      </w:r>
      <w:r>
        <w:rPr>
          <w:rFonts w:hint="eastAsia" w:ascii="宋体" w:hAnsi="宋体"/>
          <w:b/>
          <w:color w:val="auto"/>
          <w:szCs w:val="21"/>
          <w:highlight w:val="none"/>
        </w:rPr>
        <w:t>文件要求提供调整后的报价清单计价表的，其报价不予认可，视供应商维持原</w:t>
      </w:r>
      <w:r>
        <w:rPr>
          <w:rFonts w:ascii="宋体" w:hAnsi="宋体"/>
          <w:b/>
          <w:color w:val="auto"/>
          <w:szCs w:val="21"/>
          <w:highlight w:val="none"/>
        </w:rPr>
        <w:t>磋商</w:t>
      </w:r>
      <w:r>
        <w:rPr>
          <w:rFonts w:hint="eastAsia" w:ascii="宋体" w:hAnsi="宋体"/>
          <w:b/>
          <w:color w:val="auto"/>
          <w:szCs w:val="21"/>
          <w:highlight w:val="none"/>
        </w:rPr>
        <w:t>报价不变。</w:t>
      </w:r>
    </w:p>
    <w:p w14:paraId="7BFE852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.2 根据《政府采购竞争性磋商采购方式管理暂行办法》（财库〔2014〕214号）第二十一条规定，市场竞争不充分的科研项目，以及需要扶持的科技成果转化项目，提交最后报价的供应商可以为2家。</w:t>
      </w:r>
    </w:p>
    <w:p w14:paraId="39944E8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根据《财政部关于政府采购竞争性磋商采购方式管理暂行办法有关问题的补充通知》（财库〔2015〕124号）的规定，如采购项目为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 </w:t>
      </w:r>
    </w:p>
    <w:p w14:paraId="3015A4C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kern w:val="0"/>
          <w:sz w:val="21"/>
          <w:szCs w:val="21"/>
          <w:highlight w:val="none"/>
        </w:rPr>
        <w:t>最后报价是供应商响应文件的有效组成部分</w:t>
      </w:r>
      <w:r>
        <w:rPr>
          <w:rFonts w:hint="eastAsia" w:ascii="宋体" w:hAnsi="宋体" w:eastAsia="宋体" w:cs="宋体"/>
          <w:color w:val="auto"/>
          <w:spacing w:val="-4"/>
          <w:sz w:val="21"/>
          <w:szCs w:val="21"/>
          <w:highlight w:val="none"/>
        </w:rPr>
        <w:t>。</w:t>
      </w:r>
    </w:p>
    <w:p w14:paraId="2A0AB36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8.4</w:t>
      </w:r>
      <w:r>
        <w:rPr>
          <w:rFonts w:hint="eastAsia" w:ascii="宋体" w:hAnsi="宋体" w:eastAsia="宋体" w:cs="宋体"/>
          <w:color w:val="auto"/>
          <w:sz w:val="21"/>
          <w:szCs w:val="21"/>
          <w:highlight w:val="none"/>
        </w:rPr>
        <w:t xml:space="preserve">已提交响应文件的供应商，在提交最后报价之前，可以根据磋商情况书面退出磋商。 </w:t>
      </w:r>
    </w:p>
    <w:p w14:paraId="79E1E23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未书面退出磋商的供应商在规定时间内</w:t>
      </w:r>
      <w:r>
        <w:rPr>
          <w:rFonts w:hint="eastAsia" w:ascii="宋体" w:hAnsi="宋体" w:eastAsia="宋体" w:cs="宋体"/>
          <w:color w:val="auto"/>
          <w:sz w:val="21"/>
          <w:szCs w:val="21"/>
          <w:highlight w:val="none"/>
          <w:lang w:eastAsia="zh-CN"/>
        </w:rPr>
        <w:t>线上</w:t>
      </w:r>
      <w:r>
        <w:rPr>
          <w:rFonts w:hint="eastAsia" w:ascii="宋体" w:hAnsi="宋体" w:eastAsia="宋体" w:cs="宋体"/>
          <w:color w:val="auto"/>
          <w:sz w:val="21"/>
          <w:szCs w:val="21"/>
          <w:highlight w:val="none"/>
        </w:rPr>
        <w:t xml:space="preserve">提交最后报价，其最后报价超出采购预算导致已通过评审的响应文件无效的，按供应商在提交响应文件截止时间后撤回响应文件处理。 </w:t>
      </w:r>
    </w:p>
    <w:p w14:paraId="304E95A1">
      <w:pPr>
        <w:widowControl/>
        <w:tabs>
          <w:tab w:val="left" w:pos="540"/>
        </w:tabs>
        <w:wordWrap w:val="0"/>
        <w:spacing w:line="360" w:lineRule="exact"/>
        <w:ind w:firstLine="420" w:firstLineChars="200"/>
        <w:jc w:val="left"/>
        <w:rPr>
          <w:rFonts w:hint="eastAsia" w:ascii="宋体" w:hAnsi="宋体" w:cs="Arial"/>
          <w:color w:val="auto"/>
          <w:kern w:val="0"/>
          <w:szCs w:val="21"/>
          <w:highlight w:val="none"/>
        </w:rPr>
      </w:pPr>
      <w:r>
        <w:rPr>
          <w:rFonts w:hint="eastAsia" w:ascii="宋体" w:hAnsi="宋体"/>
          <w:color w:val="auto"/>
          <w:szCs w:val="21"/>
          <w:highlight w:val="none"/>
        </w:rPr>
        <w:t>21.9综合比较与评价</w:t>
      </w:r>
    </w:p>
    <w:p w14:paraId="01D029F3">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21.9.1 磋商小组按竞争性磋商文件中规定的评审办法，对资格性审查和符合性审查合格的响应文件进行商务和技术评估，综合比较与评价。</w:t>
      </w:r>
    </w:p>
    <w:p w14:paraId="59D2FB4B">
      <w:pPr>
        <w:tabs>
          <w:tab w:val="left" w:pos="1140"/>
        </w:tabs>
        <w:wordWrap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1.9.2采购代理机构对评审数据进行校对、核对，对畸高、畸低的重大差异评分提示磋商小组复核或书面说明理由。</w:t>
      </w:r>
    </w:p>
    <w:p w14:paraId="7DB72E3A">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21.10 在评审过程中出现法律法规和磋商文件均没有明确规定的情形时，由磋商小组现场协商解决，协商不一致的，由全体磋商小组投票表决，以得票率二分之一以上专家的意见为准。</w:t>
      </w:r>
    </w:p>
    <w:p w14:paraId="484279E4">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21.11采购代理机构发现磋商小组有明显的违规倾向或歧视现象，或不按评审办法进行，或其他不正常行为的，应当及时制止。如制止无效，应及时向</w:t>
      </w:r>
      <w:r>
        <w:rPr>
          <w:rFonts w:hint="eastAsia" w:ascii="宋体" w:hAnsi="宋体" w:eastAsia="宋体" w:cs="宋体"/>
          <w:color w:val="auto"/>
          <w:sz w:val="21"/>
          <w:szCs w:val="21"/>
          <w:highlight w:val="none"/>
        </w:rPr>
        <w:t>政府采购监督管理机构</w:t>
      </w:r>
      <w:r>
        <w:rPr>
          <w:rFonts w:hint="eastAsia" w:ascii="宋体" w:hAnsi="宋体"/>
          <w:color w:val="auto"/>
          <w:szCs w:val="21"/>
          <w:highlight w:val="none"/>
        </w:rPr>
        <w:t>报告。</w:t>
      </w:r>
    </w:p>
    <w:p w14:paraId="6426C8CA">
      <w:pPr>
        <w:tabs>
          <w:tab w:val="left" w:pos="1140"/>
        </w:tabs>
        <w:wordWrap w:val="0"/>
        <w:spacing w:line="380" w:lineRule="exact"/>
        <w:ind w:firstLine="422" w:firstLineChars="200"/>
        <w:rPr>
          <w:rFonts w:hint="eastAsia" w:ascii="宋体" w:hAnsi="宋体" w:cs="宋体"/>
          <w:b/>
          <w:bCs/>
          <w:color w:val="auto"/>
          <w:kern w:val="0"/>
          <w:sz w:val="21"/>
          <w:szCs w:val="21"/>
          <w:highlight w:val="none"/>
        </w:rPr>
      </w:pPr>
      <w:r>
        <w:rPr>
          <w:rFonts w:hint="eastAsia" w:ascii="宋体" w:hAnsi="宋体"/>
          <w:b/>
          <w:bCs/>
          <w:color w:val="auto"/>
          <w:szCs w:val="21"/>
          <w:highlight w:val="none"/>
          <w:lang w:val="en-US" w:eastAsia="zh-CN"/>
        </w:rPr>
        <w:t>21.12</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kern w:val="0"/>
          <w:sz w:val="21"/>
          <w:szCs w:val="21"/>
          <w:highlight w:val="none"/>
        </w:rPr>
        <w:t>异常低价响应审查</w:t>
      </w:r>
    </w:p>
    <w:p w14:paraId="1D1587F5">
      <w:pPr>
        <w:tabs>
          <w:tab w:val="left" w:pos="1140"/>
        </w:tabs>
        <w:wordWrap w:val="0"/>
        <w:spacing w:line="380" w:lineRule="exact"/>
        <w:ind w:firstLine="422" w:firstLineChars="200"/>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w:t>
      </w:r>
      <w:r>
        <w:rPr>
          <w:rFonts w:hint="eastAsia" w:ascii="宋体" w:hAnsi="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rPr>
        <w:t>.1</w:t>
      </w:r>
      <w:r>
        <w:rPr>
          <w:rFonts w:hint="eastAsia" w:ascii="宋体" w:hAnsi="宋体" w:cs="宋体"/>
          <w:b/>
          <w:bCs/>
          <w:color w:val="auto"/>
          <w:kern w:val="0"/>
          <w:sz w:val="21"/>
          <w:szCs w:val="21"/>
          <w:highlight w:val="none"/>
          <w:lang w:val="en-US" w:eastAsia="zh-CN"/>
        </w:rPr>
        <w:t>2</w:t>
      </w:r>
      <w:r>
        <w:rPr>
          <w:rFonts w:hint="eastAsia" w:ascii="宋体" w:hAnsi="宋体" w:cs="宋体"/>
          <w:b/>
          <w:bCs/>
          <w:color w:val="auto"/>
          <w:kern w:val="0"/>
          <w:sz w:val="21"/>
          <w:szCs w:val="21"/>
          <w:highlight w:val="none"/>
        </w:rPr>
        <w:t>.1异常低价响应情形（本项目在评审过程中出现下列情形之一的，磋商小组应当启动异常低价响应审查程序）：</w:t>
      </w:r>
    </w:p>
    <w:p w14:paraId="609990F0">
      <w:pPr>
        <w:tabs>
          <w:tab w:val="left" w:pos="1140"/>
        </w:tabs>
        <w:wordWrap w:val="0"/>
        <w:spacing w:line="380" w:lineRule="exact"/>
        <w:ind w:firstLine="422" w:firstLineChars="200"/>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1</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响应报价低于全部通过符合性审查供应商响应报价平均值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2D4AB42C">
      <w:pPr>
        <w:tabs>
          <w:tab w:val="left" w:pos="1140"/>
        </w:tabs>
        <w:wordWrap w:val="0"/>
        <w:spacing w:line="380" w:lineRule="exact"/>
        <w:ind w:firstLine="422" w:firstLineChars="200"/>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w:t>
      </w:r>
      <w:r>
        <w:rPr>
          <w:rFonts w:ascii="宋体" w:hAnsi="宋体" w:cs="宋体"/>
          <w:b/>
          <w:bCs/>
          <w:color w:val="auto"/>
          <w:kern w:val="0"/>
          <w:sz w:val="21"/>
          <w:szCs w:val="21"/>
          <w:highlight w:val="none"/>
        </w:rPr>
        <w:t>响应报价低于通过符合性审查的次低报价供应商响应报价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143D8BF9">
      <w:pPr>
        <w:tabs>
          <w:tab w:val="left" w:pos="1140"/>
        </w:tabs>
        <w:wordWrap w:val="0"/>
        <w:spacing w:line="380" w:lineRule="exact"/>
        <w:ind w:firstLine="422" w:firstLineChars="200"/>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（3）</w:t>
      </w:r>
      <w:r>
        <w:rPr>
          <w:rFonts w:ascii="宋体" w:hAnsi="宋体" w:cs="宋体"/>
          <w:b/>
          <w:bCs/>
          <w:color w:val="auto"/>
          <w:kern w:val="0"/>
          <w:sz w:val="21"/>
          <w:szCs w:val="21"/>
          <w:highlight w:val="none"/>
        </w:rPr>
        <w:t>响应报价低于采购项目</w:t>
      </w:r>
      <w:r>
        <w:rPr>
          <w:rFonts w:hint="eastAsia" w:ascii="宋体" w:hAnsi="宋体" w:cs="宋体"/>
          <w:b/>
          <w:bCs/>
          <w:color w:val="auto"/>
          <w:kern w:val="0"/>
          <w:sz w:val="21"/>
          <w:szCs w:val="21"/>
          <w:highlight w:val="none"/>
        </w:rPr>
        <w:t>采购预算金额65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采购项目</w:t>
      </w:r>
      <w:r>
        <w:rPr>
          <w:rFonts w:hint="eastAsia" w:ascii="宋体" w:hAnsi="宋体" w:cs="宋体"/>
          <w:b/>
          <w:bCs/>
          <w:color w:val="auto"/>
          <w:kern w:val="0"/>
          <w:sz w:val="21"/>
          <w:szCs w:val="21"/>
          <w:highlight w:val="none"/>
        </w:rPr>
        <w:t>采购预算金额</w:t>
      </w:r>
      <w:r>
        <w:rPr>
          <w:rFonts w:ascii="宋体" w:hAnsi="宋体" w:cs="宋体"/>
          <w:b/>
          <w:bCs/>
          <w:color w:val="auto"/>
          <w:kern w:val="0"/>
          <w:sz w:val="21"/>
          <w:szCs w:val="21"/>
          <w:highlight w:val="none"/>
        </w:rPr>
        <w:t>×</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5247D886">
      <w:pPr>
        <w:tabs>
          <w:tab w:val="left" w:pos="1140"/>
        </w:tabs>
        <w:wordWrap w:val="0"/>
        <w:spacing w:line="380" w:lineRule="exact"/>
        <w:ind w:firstLine="422" w:firstLineChars="200"/>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（4）磋商小组</w:t>
      </w:r>
      <w:r>
        <w:rPr>
          <w:rFonts w:ascii="宋体" w:hAnsi="宋体" w:cs="宋体"/>
          <w:b/>
          <w:bCs/>
          <w:color w:val="auto"/>
          <w:kern w:val="0"/>
          <w:sz w:val="21"/>
          <w:szCs w:val="21"/>
          <w:highlight w:val="none"/>
        </w:rPr>
        <w:t xml:space="preserve">基于专业判断，认为供应商报价过低，有可能影响产品质量或者不能诚信履约的其他情形。 </w:t>
      </w:r>
    </w:p>
    <w:p w14:paraId="2D59FA2E">
      <w:pPr>
        <w:tabs>
          <w:tab w:val="left" w:pos="1140"/>
        </w:tabs>
        <w:wordWrap w:val="0"/>
        <w:spacing w:line="380" w:lineRule="exact"/>
        <w:ind w:firstLine="422" w:firstLineChars="200"/>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21.12</w:t>
      </w:r>
      <w:r>
        <w:rPr>
          <w:rFonts w:hint="eastAsia" w:ascii="宋体" w:hAnsi="宋体" w:cs="宋体"/>
          <w:b/>
          <w:bCs/>
          <w:color w:val="auto"/>
          <w:kern w:val="0"/>
          <w:sz w:val="21"/>
          <w:szCs w:val="21"/>
          <w:highlight w:val="none"/>
        </w:rPr>
        <w:t>.2</w:t>
      </w:r>
      <w:bookmarkStart w:id="115" w:name="OLE_LINK40"/>
      <w:r>
        <w:rPr>
          <w:rFonts w:hint="eastAsia" w:ascii="宋体" w:hAnsi="宋体" w:cs="宋体"/>
          <w:b/>
          <w:bCs/>
          <w:color w:val="auto"/>
          <w:kern w:val="0"/>
          <w:sz w:val="21"/>
          <w:szCs w:val="21"/>
          <w:highlight w:val="none"/>
        </w:rPr>
        <w:t>异常低价竞标审查</w:t>
      </w:r>
      <w:bookmarkEnd w:id="115"/>
      <w:r>
        <w:rPr>
          <w:rFonts w:hint="eastAsia" w:ascii="宋体" w:hAnsi="宋体" w:cs="宋体"/>
          <w:b/>
          <w:bCs/>
          <w:color w:val="auto"/>
          <w:kern w:val="0"/>
          <w:sz w:val="21"/>
          <w:szCs w:val="21"/>
          <w:highlight w:val="none"/>
        </w:rPr>
        <w:t>流程：</w:t>
      </w:r>
    </w:p>
    <w:p w14:paraId="2BFE6C67">
      <w:pPr>
        <w:spacing w:line="420" w:lineRule="atLeast"/>
        <w:ind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kern w:val="0"/>
          <w:sz w:val="21"/>
          <w:szCs w:val="21"/>
          <w:highlight w:val="none"/>
        </w:rPr>
        <w:t>磋商小组启动异常低价竞标审查程序后，应当要求相关供应商在评审现场合理的时间内提供书面说明及必要的证明材料，对磋商价格作出解释。书面说明、证明材料主要是项目具体成本测算等与报价合理性相关的说明、材料。磋商小组应当结合同类产品在主要电商平台的价格、该行业当地薪资水平等情况，依据专业经验对报价合理性进行判断。如果供应商不提供书面说明、证明材料，或者提供的书面说明、证明材料不能证明其报价合理性的，磋商小组应当将其作为响应文件无效处理。以上审查相关情况应当在评审报告中记录。</w:t>
      </w:r>
    </w:p>
    <w:p w14:paraId="4EB9A339">
      <w:pPr>
        <w:pStyle w:val="11"/>
        <w:rPr>
          <w:rFonts w:hint="default" w:eastAsia="宋体"/>
          <w:lang w:val="en-US" w:eastAsia="zh-CN"/>
        </w:rPr>
      </w:pPr>
    </w:p>
    <w:p w14:paraId="3B968272">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lang w:eastAsia="zh-CN"/>
        </w:rPr>
      </w:pPr>
      <w:bookmarkStart w:id="116" w:name="_Toc32470"/>
      <w:bookmarkStart w:id="117" w:name="_Toc18722"/>
      <w:r>
        <w:rPr>
          <w:rFonts w:hint="eastAsia" w:ascii="宋体" w:hAnsi="宋体" w:eastAsia="宋体" w:cs="宋体"/>
          <w:color w:val="auto"/>
          <w:sz w:val="21"/>
          <w:szCs w:val="21"/>
          <w:highlight w:val="none"/>
        </w:rPr>
        <w:t xml:space="preserve">22. </w:t>
      </w:r>
      <w:bookmarkEnd w:id="116"/>
      <w:bookmarkEnd w:id="117"/>
      <w:r>
        <w:rPr>
          <w:rFonts w:hint="eastAsia" w:ascii="宋体" w:hAnsi="宋体" w:eastAsia="宋体" w:cs="宋体"/>
          <w:color w:val="auto"/>
          <w:sz w:val="21"/>
          <w:szCs w:val="21"/>
          <w:highlight w:val="none"/>
        </w:rPr>
        <w:t>推荐及确定成交候选供应商原则</w:t>
      </w:r>
    </w:p>
    <w:p w14:paraId="21732E0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r>
        <w:rPr>
          <w:rFonts w:hint="eastAsia" w:ascii="宋体" w:hAnsi="宋体"/>
          <w:color w:val="auto"/>
          <w:szCs w:val="21"/>
          <w:highlight w:val="none"/>
        </w:rPr>
        <w:t>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r>
        <w:rPr>
          <w:rFonts w:hint="eastAsia" w:ascii="宋体" w:hAnsi="宋体" w:eastAsia="宋体" w:cs="宋体"/>
          <w:color w:val="auto"/>
          <w:sz w:val="21"/>
          <w:szCs w:val="21"/>
          <w:highlight w:val="none"/>
        </w:rPr>
        <w:t>。</w:t>
      </w:r>
    </w:p>
    <w:p w14:paraId="58BC50AA">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color w:val="auto"/>
          <w:szCs w:val="21"/>
          <w:highlight w:val="none"/>
        </w:rPr>
        <w:t>采购单位应当确定磋商小组推荐排名第一的成交候选供应商为成交供应商</w:t>
      </w:r>
      <w:r>
        <w:rPr>
          <w:rFonts w:hint="eastAsia" w:ascii="宋体" w:hAnsi="宋体" w:eastAsia="宋体" w:cs="宋体"/>
          <w:color w:val="auto"/>
          <w:sz w:val="21"/>
          <w:szCs w:val="21"/>
          <w:highlight w:val="none"/>
        </w:rPr>
        <w:t>。</w:t>
      </w:r>
    </w:p>
    <w:p w14:paraId="298A0DA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22.3排名第一的成交候选供应商放弃成交、因不可抗力提出不能履行合同，或因失信行为被取消成交候选</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资格的，采购单位可以确定排名第二的成交候选供应商为成交供应商或重新采购。</w:t>
      </w:r>
    </w:p>
    <w:p w14:paraId="5499258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w:t>
      </w:r>
      <w:r>
        <w:rPr>
          <w:rFonts w:hint="eastAsia" w:ascii="宋体" w:hAnsi="宋体"/>
          <w:color w:val="auto"/>
          <w:szCs w:val="21"/>
          <w:highlight w:val="none"/>
        </w:rPr>
        <w:t>排名第二的成交候选供应商因前款规定的同样原因不能签订合同的，采购单位可以确定排名第三的成交候选</w:t>
      </w:r>
      <w:r>
        <w:rPr>
          <w:rFonts w:hint="eastAsia" w:ascii="宋体" w:hAnsi="宋体"/>
          <w:color w:val="auto"/>
          <w:szCs w:val="21"/>
          <w:highlight w:val="none"/>
          <w:lang w:eastAsia="zh-CN"/>
        </w:rPr>
        <w:t>供应商</w:t>
      </w:r>
      <w:r>
        <w:rPr>
          <w:rFonts w:hint="eastAsia" w:ascii="宋体" w:hAnsi="宋体"/>
          <w:color w:val="auto"/>
          <w:szCs w:val="21"/>
          <w:highlight w:val="none"/>
        </w:rPr>
        <w:t>为成交供应商</w:t>
      </w:r>
      <w:r>
        <w:rPr>
          <w:rFonts w:ascii="宋体" w:hAnsi="宋体"/>
          <w:color w:val="auto"/>
          <w:szCs w:val="21"/>
          <w:highlight w:val="none"/>
        </w:rPr>
        <w:t>或重新采购</w:t>
      </w:r>
      <w:r>
        <w:rPr>
          <w:rFonts w:hint="eastAsia" w:ascii="宋体" w:hAnsi="宋体" w:eastAsia="宋体" w:cs="宋体"/>
          <w:color w:val="auto"/>
          <w:sz w:val="21"/>
          <w:szCs w:val="21"/>
          <w:highlight w:val="none"/>
        </w:rPr>
        <w:t>。</w:t>
      </w:r>
    </w:p>
    <w:p w14:paraId="359B70F6">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18" w:name="_Toc21715"/>
      <w:bookmarkStart w:id="119" w:name="_Toc15332"/>
      <w:r>
        <w:rPr>
          <w:rFonts w:hint="eastAsia" w:ascii="宋体" w:hAnsi="宋体" w:eastAsia="宋体" w:cs="宋体"/>
          <w:color w:val="auto"/>
          <w:sz w:val="21"/>
          <w:szCs w:val="21"/>
          <w:highlight w:val="none"/>
        </w:rPr>
        <w:t>23. 属于下列情况之一者，响应文件无效</w:t>
      </w:r>
      <w:bookmarkEnd w:id="118"/>
      <w:bookmarkEnd w:id="119"/>
    </w:p>
    <w:p w14:paraId="362FF7B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（1）未按磋商文件规定完整</w:t>
      </w:r>
      <w:r>
        <w:rPr>
          <w:rFonts w:hint="eastAsia" w:ascii="宋体" w:hAnsi="宋体" w:eastAsia="宋体" w:cs="宋体"/>
          <w:color w:val="auto"/>
          <w:sz w:val="21"/>
          <w:szCs w:val="21"/>
          <w:highlight w:val="none"/>
          <w:lang w:val="en-US" w:eastAsia="zh-CN"/>
        </w:rPr>
        <w:t>线上</w:t>
      </w:r>
      <w:r>
        <w:rPr>
          <w:rFonts w:hint="eastAsia" w:ascii="宋体" w:hAnsi="宋体" w:eastAsia="宋体" w:cs="宋体"/>
          <w:color w:val="auto"/>
          <w:sz w:val="21"/>
          <w:szCs w:val="21"/>
          <w:highlight w:val="none"/>
        </w:rPr>
        <w:t>提交响应文件或未按规定要求</w:t>
      </w:r>
      <w:r>
        <w:rPr>
          <w:rFonts w:hint="eastAsia" w:ascii="宋体" w:hAnsi="宋体" w:eastAsia="宋体" w:cs="宋体"/>
          <w:color w:val="auto"/>
          <w:sz w:val="21"/>
          <w:szCs w:val="21"/>
          <w:highlight w:val="none"/>
          <w:lang w:eastAsia="zh-CN"/>
        </w:rPr>
        <w:t>线上</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rPr>
        <w:t>的；</w:t>
      </w:r>
    </w:p>
    <w:p w14:paraId="22CEE71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（2）不具备磋商文件规定的资格要求的；</w:t>
      </w:r>
    </w:p>
    <w:p w14:paraId="350CC00A">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197010F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）响应文件未按磋商文件的内容和要求编制，或提供虚假材料的；</w:t>
      </w:r>
    </w:p>
    <w:p w14:paraId="42671675">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）响应文件有效期、质量要求、工期要求不能满足采购文件要求的；</w:t>
      </w:r>
    </w:p>
    <w:p w14:paraId="3535676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）供应商未就工程量清单中的所有内容作完整唯一报价的；</w:t>
      </w:r>
    </w:p>
    <w:p w14:paraId="4043841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）未在磋商小组规定的时间内提交响应文件(包括最后报价)的；</w:t>
      </w:r>
    </w:p>
    <w:p w14:paraId="3F292F7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）超越了按照法律法规规定必须获得行政许可或者行政审批的经营范围的；</w:t>
      </w:r>
    </w:p>
    <w:p w14:paraId="72979CD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）未满足磋商文件实质性要求的或者响应文件有采购人不能接受的附加条件的；</w:t>
      </w:r>
    </w:p>
    <w:p w14:paraId="66F44924">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）响应文件实质性要求未做变动，供应商最后报价高于第一次报价的；</w:t>
      </w:r>
    </w:p>
    <w:p w14:paraId="56A206C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）不符合法律、法规和磋商文件规定的其他实质性要求和条件的。</w:t>
      </w:r>
    </w:p>
    <w:p w14:paraId="26BE838F">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供应商有下列情形之一的视为供应商相互串通磋商，响应文件将被视为无效</w:t>
      </w:r>
    </w:p>
    <w:p w14:paraId="5652174B">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（1）不同供应商的响应文件由同一单位或者个人编制；或不同供应商报名的IP地址一致的；</w:t>
      </w:r>
    </w:p>
    <w:p w14:paraId="61EBBA4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（2）不同供应商委托同一单位或者个人办理磋商事宜；</w:t>
      </w:r>
    </w:p>
    <w:p w14:paraId="16357846">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（3）不同的供应商的响应文件载明的项目管理员为同一个人；</w:t>
      </w:r>
    </w:p>
    <w:p w14:paraId="5996C95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（4）不同供应商的响应文件异常一致或竞标报价呈规律性差异；</w:t>
      </w:r>
    </w:p>
    <w:p w14:paraId="476D73F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（5）不同供应商的响应文件相互混</w:t>
      </w:r>
      <w:r>
        <w:rPr>
          <w:rFonts w:hint="eastAsia" w:ascii="宋体" w:hAnsi="宋体" w:eastAsia="宋体" w:cs="宋体"/>
          <w:color w:val="auto"/>
          <w:sz w:val="21"/>
          <w:szCs w:val="21"/>
          <w:highlight w:val="none"/>
          <w:lang w:eastAsia="zh-CN"/>
        </w:rPr>
        <w:t>编</w:t>
      </w:r>
      <w:r>
        <w:rPr>
          <w:rFonts w:hint="eastAsia" w:ascii="宋体" w:hAnsi="宋体" w:eastAsia="宋体" w:cs="宋体"/>
          <w:color w:val="auto"/>
          <w:sz w:val="21"/>
          <w:szCs w:val="21"/>
          <w:highlight w:val="none"/>
        </w:rPr>
        <w:t>。</w:t>
      </w:r>
    </w:p>
    <w:p w14:paraId="175531AB">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20" w:name="_Toc27786"/>
      <w:bookmarkStart w:id="121" w:name="_Toc5714"/>
      <w:r>
        <w:rPr>
          <w:rFonts w:hint="eastAsia" w:ascii="宋体" w:hAnsi="宋体" w:eastAsia="宋体" w:cs="宋体"/>
          <w:color w:val="auto"/>
          <w:sz w:val="21"/>
          <w:szCs w:val="21"/>
          <w:highlight w:val="none"/>
        </w:rPr>
        <w:t>24. 出现下列情形之一的，采购人或者采购代理机构应当终止竞争性磋商采购活动，发布项目终止公告并说明原因，重新开展采购活动</w:t>
      </w:r>
      <w:bookmarkEnd w:id="120"/>
      <w:bookmarkEnd w:id="121"/>
    </w:p>
    <w:p w14:paraId="30F83A90">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（1）因情况变化，不再符合规定的竞争性磋商采购方式适用情形的；</w:t>
      </w:r>
    </w:p>
    <w:p w14:paraId="76C00CF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（2）出现影响采购公正的违法、违规行为的； </w:t>
      </w:r>
    </w:p>
    <w:p w14:paraId="01DB25C8">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（3）在采购过程中符合竞争要求的供应商或者报价未超过采购预算的供应商不足3家的。</w:t>
      </w:r>
      <w:r>
        <w:rPr>
          <w:rFonts w:hint="eastAsia" w:ascii="宋体" w:hAnsi="宋体" w:eastAsia="宋体" w:cs="宋体"/>
          <w:b/>
          <w:bCs/>
          <w:color w:val="auto"/>
          <w:sz w:val="21"/>
          <w:szCs w:val="21"/>
          <w:highlight w:val="none"/>
        </w:rPr>
        <w:t xml:space="preserve">（除财库〔2014〕214 号《政府采购竞争性磋商采购方式管理暂行办法》第二十一条第三款规定的情形外） </w:t>
      </w:r>
    </w:p>
    <w:p w14:paraId="218EF4CC">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22" w:name="_Toc19910"/>
      <w:bookmarkStart w:id="123" w:name="_Toc19105"/>
      <w:r>
        <w:rPr>
          <w:rFonts w:hint="eastAsia" w:ascii="宋体" w:hAnsi="宋体" w:eastAsia="宋体" w:cs="宋体"/>
          <w:color w:val="auto"/>
          <w:sz w:val="21"/>
          <w:szCs w:val="21"/>
          <w:highlight w:val="none"/>
        </w:rPr>
        <w:t>25. 磋商过程的监控</w:t>
      </w:r>
      <w:bookmarkEnd w:id="122"/>
      <w:bookmarkEnd w:id="123"/>
    </w:p>
    <w:p w14:paraId="73B1BE4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本项目磋商过程实行全程录音、录像监控，供应商在磋商过程中所进行的试图影响磋商结果的不公正活动，可能导致其磋商被拒绝。</w:t>
      </w:r>
    </w:p>
    <w:p w14:paraId="733620F1">
      <w:pPr>
        <w:pStyle w:val="4"/>
        <w:pageBreakBefore w:val="0"/>
        <w:widowControl w:val="0"/>
        <w:numPr>
          <w:ilvl w:val="0"/>
          <w:numId w:val="4"/>
        </w:numPr>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24" w:name="_Toc14787"/>
      <w:bookmarkStart w:id="125" w:name="_Toc26291"/>
      <w:r>
        <w:rPr>
          <w:rFonts w:hint="eastAsia" w:ascii="宋体" w:hAnsi="宋体" w:eastAsia="宋体" w:cs="宋体"/>
          <w:color w:val="auto"/>
          <w:sz w:val="21"/>
          <w:szCs w:val="21"/>
          <w:highlight w:val="none"/>
        </w:rPr>
        <w:t>信用查询</w:t>
      </w:r>
      <w:bookmarkEnd w:id="124"/>
      <w:bookmarkEnd w:id="125"/>
    </w:p>
    <w:p w14:paraId="0304646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68C05E1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⑴查询渠道：“信用中国”网站(www.creditchina.gov.cn)、中国政府采购网(www.ccgp.gov.cn)等；</w:t>
      </w:r>
    </w:p>
    <w:p w14:paraId="2BC610C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⑵查询时间：成交通知书发出前；</w:t>
      </w:r>
    </w:p>
    <w:p w14:paraId="29CC616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⑶信用信息查询记录和证据留存方式：在查询网站中直接打印查询记录，打印材料作为采购活动资料保存；</w:t>
      </w:r>
    </w:p>
    <w:p w14:paraId="3FD1470E">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p w14:paraId="1BF3337C">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26" w:name="_Toc9438"/>
      <w:bookmarkStart w:id="127" w:name="_Toc25468"/>
      <w:r>
        <w:rPr>
          <w:rFonts w:hint="eastAsia" w:ascii="宋体" w:hAnsi="宋体" w:eastAsia="宋体" w:cs="宋体"/>
          <w:color w:val="auto"/>
          <w:sz w:val="21"/>
          <w:szCs w:val="21"/>
          <w:highlight w:val="none"/>
        </w:rPr>
        <w:t>27. 成交结果公告及成交通知书</w:t>
      </w:r>
      <w:bookmarkEnd w:id="126"/>
      <w:bookmarkEnd w:id="127"/>
    </w:p>
    <w:p w14:paraId="66CD82AC">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 采购代理机构于</w:t>
      </w:r>
      <w:r>
        <w:rPr>
          <w:rFonts w:hint="eastAsia" w:ascii="宋体" w:hAnsi="宋体" w:cs="宋体"/>
          <w:color w:val="auto"/>
          <w:sz w:val="21"/>
          <w:szCs w:val="21"/>
          <w:highlight w:val="none"/>
          <w:lang w:eastAsia="zh-CN"/>
        </w:rPr>
        <w:t>评审</w:t>
      </w:r>
      <w:r>
        <w:rPr>
          <w:rFonts w:hint="eastAsia" w:ascii="宋体" w:hAnsi="宋体" w:eastAsia="宋体" w:cs="宋体"/>
          <w:color w:val="auto"/>
          <w:sz w:val="21"/>
          <w:szCs w:val="21"/>
          <w:highlight w:val="none"/>
        </w:rPr>
        <w:t>结束后两个工作日内将评审报告送交采购人，采购人应当自收到评审报告五个工作日内在评审报告推荐的成交候选</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中按顺序确定成交供应商，采购代理机构在成交供应商确定之日起两个工作日内发出成交通知书，并在指定媒体上公告成交信息。</w:t>
      </w:r>
    </w:p>
    <w:p w14:paraId="4A65116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 在发布成交公告的同时，采购代理机构向成交供应商发出成交通知书。成交供应商自接到通知之日起七个工作日内，办理成交通知书领取手续。</w:t>
      </w:r>
    </w:p>
    <w:p w14:paraId="75B1D27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 采购代理机构无义务向未成交的供应商解释未成交原因和退还响应文件。</w:t>
      </w:r>
    </w:p>
    <w:p w14:paraId="0A38E61D">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bookmarkStart w:id="128" w:name="_Toc24102"/>
      <w:bookmarkStart w:id="129" w:name="_Toc25593"/>
      <w:bookmarkStart w:id="130" w:name="_Toc6064"/>
    </w:p>
    <w:p w14:paraId="0A0CCA9C">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五、签订合同</w:t>
      </w:r>
      <w:bookmarkEnd w:id="128"/>
      <w:bookmarkEnd w:id="129"/>
      <w:bookmarkEnd w:id="130"/>
    </w:p>
    <w:p w14:paraId="159835FD">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bookmarkStart w:id="131" w:name="_Toc26520"/>
      <w:bookmarkStart w:id="132" w:name="_Toc1032"/>
      <w:r>
        <w:rPr>
          <w:rFonts w:hint="eastAsia" w:ascii="宋体" w:hAnsi="宋体" w:eastAsia="宋体" w:cs="宋体"/>
          <w:color w:val="auto"/>
          <w:sz w:val="21"/>
          <w:szCs w:val="21"/>
          <w:highlight w:val="none"/>
        </w:rPr>
        <w:t>28. 履约保证金</w:t>
      </w:r>
      <w:bookmarkEnd w:id="131"/>
      <w:bookmarkEnd w:id="132"/>
    </w:p>
    <w:p w14:paraId="7C5FF06A">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bookmarkStart w:id="133" w:name="_Toc4956"/>
      <w:bookmarkStart w:id="134" w:name="_Toc22004"/>
      <w:r>
        <w:rPr>
          <w:rFonts w:hint="eastAsia" w:ascii="宋体" w:hAnsi="宋体"/>
          <w:bCs/>
          <w:color w:val="auto"/>
          <w:szCs w:val="21"/>
          <w:highlight w:val="none"/>
        </w:rPr>
        <w:t>根据《桂林市财政局关于贯彻落实政府采购优化营商环境百日攻坚行动方案的通知》（市财采〔2020〕24号）第四条的规定，本项目免收履约保证金</w:t>
      </w:r>
      <w:r>
        <w:rPr>
          <w:rFonts w:hint="eastAsia" w:ascii="宋体" w:hAnsi="宋体" w:eastAsia="宋体" w:cs="宋体"/>
          <w:color w:val="auto"/>
          <w:sz w:val="21"/>
          <w:szCs w:val="21"/>
          <w:highlight w:val="none"/>
        </w:rPr>
        <w:t>。</w:t>
      </w:r>
    </w:p>
    <w:p w14:paraId="32AA6CFC">
      <w:pPr>
        <w:pStyle w:val="4"/>
        <w:pageBreakBefore w:val="0"/>
        <w:widowControl w:val="0"/>
        <w:kinsoku/>
        <w:wordWrap/>
        <w:overflowPunct/>
        <w:topLinePunct w:val="0"/>
        <w:bidi w:val="0"/>
        <w:snapToGrid/>
        <w:spacing w:before="0" w:after="0" w:line="380" w:lineRule="exact"/>
        <w:ind w:left="0" w:lef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签订合同</w:t>
      </w:r>
      <w:bookmarkEnd w:id="133"/>
      <w:bookmarkEnd w:id="134"/>
    </w:p>
    <w:p w14:paraId="12958C76">
      <w:pPr>
        <w:pageBreakBefore w:val="0"/>
        <w:widowControl w:val="0"/>
        <w:kinsoku/>
        <w:wordWrap/>
        <w:overflowPunct/>
        <w:topLinePunct w:val="0"/>
        <w:bidi w:val="0"/>
        <w:snapToGrid/>
        <w:spacing w:line="38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29.1 签订合同时间：</w:t>
      </w:r>
      <w:r>
        <w:rPr>
          <w:rFonts w:hint="eastAsia" w:ascii="宋体" w:hAnsi="宋体" w:eastAsia="宋体" w:cs="宋体"/>
          <w:b/>
          <w:bCs/>
          <w:color w:val="auto"/>
          <w:sz w:val="21"/>
          <w:szCs w:val="21"/>
          <w:highlight w:val="none"/>
          <w:lang w:eastAsia="zh-CN"/>
        </w:rPr>
        <w:t>成交通知书</w:t>
      </w:r>
      <w:r>
        <w:rPr>
          <w:rFonts w:hint="eastAsia" w:ascii="宋体" w:hAnsi="宋体" w:eastAsia="宋体" w:cs="宋体"/>
          <w:b/>
          <w:bCs/>
          <w:color w:val="auto"/>
          <w:sz w:val="21"/>
          <w:szCs w:val="21"/>
          <w:highlight w:val="none"/>
        </w:rPr>
        <w:t>发出之日起8个工作日内签订合同。成交供应商领取成交通知书后，应按规定与采购人签订合同。</w:t>
      </w:r>
    </w:p>
    <w:p w14:paraId="394FDE5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522F4E99">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（1）成交后不与采购人签订合同的（不可抗力除外）；</w:t>
      </w:r>
    </w:p>
    <w:p w14:paraId="136F03BD">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（2）将成交项目转让给他人，或者在响应文件中未说明，且未经采购人同意，将成交项目分包给他人的；</w:t>
      </w:r>
    </w:p>
    <w:p w14:paraId="06D1F44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（3）拒绝履行合同义务的。</w:t>
      </w:r>
    </w:p>
    <w:p w14:paraId="4BC03553">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 合同备案存档：政府采购合同双方自签订之日起一个工作日内将合同原件</w:t>
      </w:r>
      <w:r>
        <w:rPr>
          <w:rFonts w:hint="eastAsia" w:ascii="宋体" w:hAnsi="宋体" w:cs="宋体"/>
          <w:color w:val="auto"/>
          <w:sz w:val="21"/>
          <w:szCs w:val="21"/>
          <w:highlight w:val="none"/>
          <w:lang w:eastAsia="zh-CN"/>
        </w:rPr>
        <w:t>两</w:t>
      </w:r>
      <w:r>
        <w:rPr>
          <w:rFonts w:hint="eastAsia" w:ascii="宋体" w:hAnsi="宋体" w:eastAsia="宋体" w:cs="宋体"/>
          <w:color w:val="auto"/>
          <w:sz w:val="21"/>
          <w:szCs w:val="21"/>
          <w:highlight w:val="none"/>
        </w:rPr>
        <w:t>份交采购代理机构，采购代理机构将政府采购合同在省级以上人民政府财政部门指定媒体上公告。采购人于合同签订之日起七个工作日内将一份合同原件送本级财政部门备案，</w:t>
      </w:r>
      <w:r>
        <w:rPr>
          <w:rFonts w:hint="eastAsia" w:ascii="宋体" w:hAnsi="宋体" w:cs="宋体"/>
          <w:bCs/>
          <w:color w:val="auto"/>
          <w:kern w:val="0"/>
          <w:szCs w:val="21"/>
          <w:highlight w:val="none"/>
          <w:shd w:val="clear" w:color="auto" w:fill="auto"/>
        </w:rPr>
        <w:t>一份由采购代理机构存档</w:t>
      </w:r>
      <w:r>
        <w:rPr>
          <w:rFonts w:hint="eastAsia" w:ascii="宋体" w:hAnsi="宋体" w:eastAsia="宋体" w:cs="宋体"/>
          <w:color w:val="auto"/>
          <w:sz w:val="21"/>
          <w:szCs w:val="21"/>
          <w:highlight w:val="none"/>
        </w:rPr>
        <w:t>。</w:t>
      </w:r>
    </w:p>
    <w:p w14:paraId="062A5512">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bookmarkStart w:id="135" w:name="_Toc16348"/>
      <w:bookmarkStart w:id="136" w:name="_Toc26986"/>
      <w:bookmarkStart w:id="137" w:name="_Toc17898"/>
    </w:p>
    <w:p w14:paraId="1A2FD7C0">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both"/>
        <w:textAlignment w:val="auto"/>
        <w:rPr>
          <w:rFonts w:hint="eastAsia" w:ascii="宋体" w:hAnsi="宋体" w:eastAsia="宋体" w:cs="宋体"/>
          <w:b/>
          <w:bCs w:val="0"/>
          <w:color w:val="auto"/>
          <w:sz w:val="21"/>
          <w:szCs w:val="21"/>
          <w:highlight w:val="none"/>
        </w:rPr>
      </w:pPr>
    </w:p>
    <w:p w14:paraId="21352C93">
      <w:pPr>
        <w:pStyle w:val="3"/>
        <w:keepNext/>
        <w:keepLines/>
        <w:pageBreakBefore w:val="0"/>
        <w:widowControl w:val="0"/>
        <w:tabs>
          <w:tab w:val="left" w:pos="567"/>
        </w:tabs>
        <w:kinsoku/>
        <w:wordWrap/>
        <w:overflowPunct/>
        <w:topLinePunct w:val="0"/>
        <w:autoSpaceDE/>
        <w:autoSpaceDN/>
        <w:bidi w:val="0"/>
        <w:adjustRightInd/>
        <w:snapToGrid/>
        <w:spacing w:before="0" w:after="0" w:line="380" w:lineRule="exact"/>
        <w:ind w:left="0" w:leftChars="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六、其他事项</w:t>
      </w:r>
      <w:bookmarkEnd w:id="135"/>
      <w:bookmarkEnd w:id="136"/>
      <w:bookmarkEnd w:id="137"/>
    </w:p>
    <w:p w14:paraId="4BFA9454">
      <w:pPr>
        <w:pStyle w:val="4"/>
        <w:spacing w:line="400" w:lineRule="exact"/>
        <w:ind w:firstLine="422" w:firstLineChars="200"/>
        <w:rPr>
          <w:rFonts w:ascii="宋体" w:hAnsi="宋体" w:cs="宋体"/>
          <w:color w:val="auto"/>
          <w:sz w:val="21"/>
          <w:szCs w:val="21"/>
          <w:highlight w:val="none"/>
          <w:shd w:val="clear" w:color="auto" w:fill="auto"/>
        </w:rPr>
      </w:pPr>
      <w:bookmarkStart w:id="138" w:name="_Toc3434"/>
      <w:bookmarkStart w:id="139" w:name="_Toc28647"/>
      <w:bookmarkStart w:id="140" w:name="_Toc20283"/>
      <w:r>
        <w:rPr>
          <w:rFonts w:hint="eastAsia" w:ascii="宋体" w:hAnsi="宋体" w:cs="宋体"/>
          <w:color w:val="auto"/>
          <w:sz w:val="21"/>
          <w:szCs w:val="21"/>
          <w:highlight w:val="none"/>
          <w:shd w:val="clear" w:color="auto" w:fill="auto"/>
        </w:rPr>
        <w:t>30. 采购代理服务费</w:t>
      </w:r>
      <w:bookmarkEnd w:id="138"/>
      <w:bookmarkEnd w:id="139"/>
      <w:bookmarkEnd w:id="140"/>
    </w:p>
    <w:p w14:paraId="616D5A44">
      <w:pPr>
        <w:spacing w:line="400" w:lineRule="exact"/>
        <w:ind w:firstLine="420"/>
        <w:rPr>
          <w:rFonts w:hint="eastAsia" w:ascii="宋体" w:hAnsi="宋体" w:eastAsia="宋体" w:cs="宋体"/>
          <w:color w:val="auto"/>
          <w:szCs w:val="21"/>
          <w:highlight w:val="none"/>
          <w:shd w:val="clear" w:color="auto" w:fill="auto"/>
        </w:rPr>
      </w:pPr>
      <w:bookmarkStart w:id="141" w:name="_Toc12374"/>
      <w:r>
        <w:rPr>
          <w:rFonts w:hint="eastAsia" w:ascii="宋体" w:hAnsi="宋体" w:cs="宋体"/>
          <w:color w:val="auto"/>
          <w:highlight w:val="none"/>
          <w:shd w:val="clear" w:color="auto" w:fill="auto"/>
        </w:rPr>
        <w:t>30.1</w:t>
      </w:r>
      <w:r>
        <w:rPr>
          <w:rFonts w:hint="eastAsia" w:ascii="宋体" w:hAnsi="宋体" w:cs="宋体"/>
          <w:color w:val="auto"/>
          <w:szCs w:val="21"/>
          <w:highlight w:val="none"/>
          <w:shd w:val="clear" w:color="auto" w:fill="auto"/>
        </w:rPr>
        <w:t>成交供应商在领取成交通知书前，向采购代理机构一</w:t>
      </w:r>
      <w:r>
        <w:rPr>
          <w:rFonts w:hint="eastAsia" w:ascii="宋体" w:hAnsi="宋体" w:eastAsia="宋体" w:cs="宋体"/>
          <w:color w:val="auto"/>
          <w:szCs w:val="21"/>
          <w:highlight w:val="none"/>
          <w:shd w:val="clear" w:color="auto" w:fill="auto"/>
        </w:rPr>
        <w:t>次性付清采购代理服务费，</w:t>
      </w:r>
      <w:r>
        <w:rPr>
          <w:rFonts w:hint="eastAsia" w:ascii="宋体" w:hAnsi="宋体" w:eastAsia="宋体" w:cs="宋体"/>
          <w:color w:val="auto"/>
          <w:szCs w:val="21"/>
          <w:highlight w:val="none"/>
          <w:shd w:val="clear" w:color="auto" w:fill="auto"/>
          <w:lang w:eastAsia="zh-CN"/>
        </w:rPr>
        <w:t>本项目的采购代理服务收费标准按计价格[2002]1980号《招标代理服务收费管理暂行办法》</w:t>
      </w:r>
      <w:r>
        <w:rPr>
          <w:rFonts w:hint="eastAsia" w:ascii="宋体" w:hAnsi="宋体" w:eastAsia="宋体" w:cs="宋体"/>
          <w:color w:val="auto"/>
          <w:szCs w:val="21"/>
          <w:highlight w:val="none"/>
          <w:shd w:val="clear" w:color="auto" w:fill="auto"/>
          <w:lang w:val="en-US" w:eastAsia="zh-CN"/>
        </w:rPr>
        <w:t>工程</w:t>
      </w:r>
      <w:r>
        <w:rPr>
          <w:rFonts w:hint="eastAsia" w:ascii="宋体" w:hAnsi="宋体" w:eastAsia="宋体" w:cs="宋体"/>
          <w:color w:val="auto"/>
          <w:szCs w:val="21"/>
          <w:highlight w:val="none"/>
          <w:shd w:val="clear" w:color="auto" w:fill="auto"/>
          <w:lang w:eastAsia="zh-CN"/>
        </w:rPr>
        <w:t>类收费标准向成交供应商收取</w:t>
      </w:r>
      <w:r>
        <w:rPr>
          <w:rFonts w:hint="eastAsia" w:ascii="宋体" w:hAnsi="宋体" w:eastAsia="宋体" w:cs="宋体"/>
          <w:color w:val="auto"/>
          <w:sz w:val="21"/>
          <w:szCs w:val="21"/>
          <w:highlight w:val="none"/>
        </w:rPr>
        <w:t>（不足人民币</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000元的，按</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000元支付）。</w:t>
      </w:r>
    </w:p>
    <w:tbl>
      <w:tblPr>
        <w:tblStyle w:val="21"/>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14:paraId="3678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shd w:val="clear" w:color="auto" w:fill="FFFFFF"/>
            <w:noWrap w:val="0"/>
            <w:vAlign w:val="top"/>
          </w:tcPr>
          <w:p w14:paraId="4EC5C3C3">
            <w:pPr>
              <w:spacing w:line="400" w:lineRule="exact"/>
              <w:ind w:left="23"/>
              <w:rPr>
                <w:rFonts w:ascii="宋体" w:hAnsi="宋体" w:cs="宋体"/>
                <w:b/>
                <w:bCs/>
                <w:color w:val="auto"/>
                <w:szCs w:val="21"/>
                <w:highlight w:val="none"/>
                <w:shd w:val="clear" w:color="auto" w:fill="auto"/>
              </w:rPr>
            </w:pPr>
            <w:r>
              <w:rPr>
                <w:rFonts w:ascii="宋体" w:hAnsi="宋体" w:cs="宋体"/>
                <w:b/>
                <w:bCs/>
                <w:color w:val="auto"/>
                <w:szCs w:val="21"/>
                <w:highlight w:val="none"/>
                <w:shd w:val="clear" w:color="auto" w:fill="auto"/>
              </w:rPr>
              <mc:AlternateContent>
                <mc:Choice Requires="wps">
                  <w:drawing>
                    <wp:anchor distT="0" distB="0" distL="114300" distR="114300" simplePos="0" relativeHeight="251668480"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68480;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BIfZRv0AQAA6wMAAA4AAABkcnMvZTJvRG9jLnhtbK1TzY7T&#10;MBC+I/EOlu80bXcbIGq6hy3LBUEl4AGmjtNY8p883qZ9CV4AiRucOHLnbVgeg7ETyrJceiAHZ8b+&#10;/Hm+z+Pl1cFotpcBlbM1n02mnEkrXKPsrubv3908ecYZRrANaGdlzY8S+dXq8aNl7ys5d53TjQyM&#10;SCxWva95F6OvigJFJw3gxHlpabF1wUCkNOyKJkBP7EYX8+m0LHoXGh+ckIg0ux4W+cgYziF0bauE&#10;XDtxa6SNA2uQGiJJwk555KtcbdtKEd+0LcrIdM1JacwjHULxNo3FagnVLoDvlBhLgHNKeKDJgLJ0&#10;6IlqDRHYbVD/UBklgkPXxolwphiEZEdIxWz6wJu3HXiZtZDV6E+m4/+jFa/3m8BUU/OSMwuGLvzu&#10;47cfHz7//P6JxruvX1iZTOo9VoS9tpswZug3ISk+tMGkP2lhh2zs8WSsPEQmaHJ2WV6UTxecCVor&#10;FxeXs0UiLf7s9gHjS+kMS0HNtbJJOFSwf4VxgP6GpGltWV/z54t54gTqwpZun0LjSQnaXd6LTqvm&#10;RmmddmDYba91YHtInZC/sYS/YOmQNWA34PJSgkHVSWhe2IbFoyePLD0NnkowsuFMS3pJKcrICEqf&#10;gyT12iZqmft01JmMHqxN0dY1x+x4kTLqgWza2K+pye7nFN9/o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BIfZRv0AQAA6wMAAA4AAAAAAAAAAQAgAAAAJQEAAGRycy9lMm9Eb2MueG1sUEsF&#10;BgAAAAAGAAYAWQEAAIsF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shd w:val="clear" w:color="auto" w:fill="auto"/>
              </w:rPr>
              <w:t>费率           服务类型</w:t>
            </w:r>
          </w:p>
          <w:p w14:paraId="51611558">
            <w:pPr>
              <w:spacing w:line="400" w:lineRule="exact"/>
              <w:ind w:left="23"/>
              <w:rPr>
                <w:rFonts w:ascii="宋体" w:hAnsi="宋体" w:cs="宋体"/>
                <w:b/>
                <w:bCs/>
                <w:color w:val="auto"/>
                <w:szCs w:val="21"/>
                <w:highlight w:val="none"/>
                <w:shd w:val="clear" w:color="auto" w:fill="auto"/>
              </w:rPr>
            </w:pPr>
            <w:r>
              <w:rPr>
                <w:rFonts w:ascii="宋体" w:hAnsi="宋体" w:cs="宋体"/>
                <w:b/>
                <w:bCs/>
                <w:color w:val="auto"/>
                <w:szCs w:val="21"/>
                <w:highlight w:val="none"/>
                <w:shd w:val="clear" w:color="auto" w:fill="auto"/>
              </w:rPr>
              <mc:AlternateContent>
                <mc:Choice Requires="wps">
                  <w:drawing>
                    <wp:anchor distT="0" distB="0" distL="114300" distR="114300" simplePos="0" relativeHeight="251669504"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9504;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5CB3F993">
            <w:pPr>
              <w:spacing w:line="400" w:lineRule="exact"/>
              <w:ind w:left="23"/>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中标金额（万元）</w:t>
            </w:r>
          </w:p>
        </w:tc>
        <w:tc>
          <w:tcPr>
            <w:tcW w:w="2225" w:type="dxa"/>
            <w:shd w:val="clear" w:color="auto" w:fill="FFFFFF"/>
            <w:noWrap w:val="0"/>
            <w:vAlign w:val="center"/>
          </w:tcPr>
          <w:p w14:paraId="188212BA">
            <w:pPr>
              <w:spacing w:line="400" w:lineRule="exact"/>
              <w:ind w:left="23"/>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货物招标</w:t>
            </w:r>
          </w:p>
        </w:tc>
        <w:tc>
          <w:tcPr>
            <w:tcW w:w="2225" w:type="dxa"/>
            <w:shd w:val="clear" w:color="auto" w:fill="FFFFFF"/>
            <w:noWrap w:val="0"/>
            <w:vAlign w:val="center"/>
          </w:tcPr>
          <w:p w14:paraId="67660FD3">
            <w:pPr>
              <w:spacing w:line="400" w:lineRule="exact"/>
              <w:ind w:left="23"/>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服务招标</w:t>
            </w:r>
          </w:p>
        </w:tc>
        <w:tc>
          <w:tcPr>
            <w:tcW w:w="2225" w:type="dxa"/>
            <w:shd w:val="clear" w:color="auto" w:fill="FFFFFF"/>
            <w:noWrap w:val="0"/>
            <w:vAlign w:val="center"/>
          </w:tcPr>
          <w:p w14:paraId="47E075E1">
            <w:pPr>
              <w:spacing w:line="400" w:lineRule="exact"/>
              <w:ind w:left="23"/>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工程招标</w:t>
            </w:r>
          </w:p>
        </w:tc>
      </w:tr>
      <w:tr w14:paraId="3251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429DC9EA">
            <w:pPr>
              <w:spacing w:line="400" w:lineRule="exact"/>
              <w:ind w:left="23"/>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100以下</w:t>
            </w:r>
          </w:p>
        </w:tc>
        <w:tc>
          <w:tcPr>
            <w:tcW w:w="2225" w:type="dxa"/>
            <w:noWrap w:val="0"/>
            <w:vAlign w:val="top"/>
          </w:tcPr>
          <w:p w14:paraId="1598F4B0">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p>
        </w:tc>
        <w:tc>
          <w:tcPr>
            <w:tcW w:w="2225" w:type="dxa"/>
            <w:noWrap w:val="0"/>
            <w:vAlign w:val="top"/>
          </w:tcPr>
          <w:p w14:paraId="29DAA350">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p>
        </w:tc>
        <w:tc>
          <w:tcPr>
            <w:tcW w:w="2225" w:type="dxa"/>
            <w:noWrap w:val="0"/>
            <w:vAlign w:val="top"/>
          </w:tcPr>
          <w:p w14:paraId="297931AC">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p>
        </w:tc>
      </w:tr>
      <w:tr w14:paraId="0133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6716F822">
            <w:pPr>
              <w:spacing w:line="400" w:lineRule="exact"/>
              <w:ind w:left="23"/>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100-500</w:t>
            </w:r>
          </w:p>
        </w:tc>
        <w:tc>
          <w:tcPr>
            <w:tcW w:w="2225" w:type="dxa"/>
            <w:noWrap w:val="0"/>
            <w:vAlign w:val="top"/>
          </w:tcPr>
          <w:p w14:paraId="65D43E3A">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p>
        </w:tc>
        <w:tc>
          <w:tcPr>
            <w:tcW w:w="2225" w:type="dxa"/>
            <w:noWrap w:val="0"/>
            <w:vAlign w:val="top"/>
          </w:tcPr>
          <w:p w14:paraId="6764DA9A">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0.8%</w:t>
            </w:r>
          </w:p>
        </w:tc>
        <w:tc>
          <w:tcPr>
            <w:tcW w:w="2225" w:type="dxa"/>
            <w:noWrap w:val="0"/>
            <w:vAlign w:val="top"/>
          </w:tcPr>
          <w:p w14:paraId="7DA8EAB0">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0.7%</w:t>
            </w:r>
          </w:p>
        </w:tc>
      </w:tr>
      <w:tr w14:paraId="1DCC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14869A2">
            <w:pPr>
              <w:spacing w:line="400" w:lineRule="exact"/>
              <w:ind w:left="23"/>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500-1000</w:t>
            </w:r>
          </w:p>
        </w:tc>
        <w:tc>
          <w:tcPr>
            <w:tcW w:w="2225" w:type="dxa"/>
            <w:noWrap w:val="0"/>
            <w:vAlign w:val="top"/>
          </w:tcPr>
          <w:p w14:paraId="63F63469">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0.8%</w:t>
            </w:r>
          </w:p>
        </w:tc>
        <w:tc>
          <w:tcPr>
            <w:tcW w:w="2225" w:type="dxa"/>
            <w:noWrap w:val="0"/>
            <w:vAlign w:val="top"/>
          </w:tcPr>
          <w:p w14:paraId="5B94D75D">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0.45%</w:t>
            </w:r>
          </w:p>
        </w:tc>
        <w:tc>
          <w:tcPr>
            <w:tcW w:w="2225" w:type="dxa"/>
            <w:noWrap w:val="0"/>
            <w:vAlign w:val="top"/>
          </w:tcPr>
          <w:p w14:paraId="17A46B6E">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0.55%</w:t>
            </w:r>
          </w:p>
        </w:tc>
      </w:tr>
      <w:tr w14:paraId="219D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15E2A87A">
            <w:pPr>
              <w:spacing w:line="400" w:lineRule="exact"/>
              <w:ind w:left="23"/>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1000-5000</w:t>
            </w:r>
          </w:p>
        </w:tc>
        <w:tc>
          <w:tcPr>
            <w:tcW w:w="2225" w:type="dxa"/>
            <w:noWrap w:val="0"/>
            <w:vAlign w:val="top"/>
          </w:tcPr>
          <w:p w14:paraId="0CFDC704">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0.5%</w:t>
            </w:r>
          </w:p>
        </w:tc>
        <w:tc>
          <w:tcPr>
            <w:tcW w:w="2225" w:type="dxa"/>
            <w:noWrap w:val="0"/>
            <w:vAlign w:val="top"/>
          </w:tcPr>
          <w:p w14:paraId="52DB6F4D">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0.25%</w:t>
            </w:r>
          </w:p>
        </w:tc>
        <w:tc>
          <w:tcPr>
            <w:tcW w:w="2225" w:type="dxa"/>
            <w:noWrap w:val="0"/>
            <w:vAlign w:val="top"/>
          </w:tcPr>
          <w:p w14:paraId="763FD074">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0.35%</w:t>
            </w:r>
          </w:p>
        </w:tc>
      </w:tr>
      <w:tr w14:paraId="1A85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375EC364">
            <w:pPr>
              <w:spacing w:line="400" w:lineRule="exact"/>
              <w:ind w:left="23"/>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5000-10000</w:t>
            </w:r>
          </w:p>
        </w:tc>
        <w:tc>
          <w:tcPr>
            <w:tcW w:w="2225" w:type="dxa"/>
            <w:noWrap w:val="0"/>
            <w:vAlign w:val="top"/>
          </w:tcPr>
          <w:p w14:paraId="46382849">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0.25%</w:t>
            </w:r>
          </w:p>
        </w:tc>
        <w:tc>
          <w:tcPr>
            <w:tcW w:w="2225" w:type="dxa"/>
            <w:noWrap w:val="0"/>
            <w:vAlign w:val="top"/>
          </w:tcPr>
          <w:p w14:paraId="499A855E">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0.1%</w:t>
            </w:r>
          </w:p>
        </w:tc>
        <w:tc>
          <w:tcPr>
            <w:tcW w:w="2225" w:type="dxa"/>
            <w:noWrap w:val="0"/>
            <w:vAlign w:val="top"/>
          </w:tcPr>
          <w:p w14:paraId="19A892EF">
            <w:pPr>
              <w:spacing w:line="400" w:lineRule="exact"/>
              <w:ind w:left="23"/>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0.2%</w:t>
            </w:r>
          </w:p>
        </w:tc>
      </w:tr>
    </w:tbl>
    <w:p w14:paraId="4142998F">
      <w:pPr>
        <w:spacing w:line="400" w:lineRule="exact"/>
        <w:ind w:left="25"/>
        <w:rPr>
          <w:rFonts w:ascii="宋体" w:hAnsi="宋体" w:cs="宋体"/>
          <w:color w:val="auto"/>
          <w:szCs w:val="20"/>
          <w:highlight w:val="none"/>
          <w:shd w:val="clear" w:color="auto" w:fill="auto"/>
        </w:rPr>
      </w:pPr>
      <w:r>
        <w:rPr>
          <w:rFonts w:hint="eastAsia" w:ascii="宋体" w:hAnsi="宋体" w:cs="宋体"/>
          <w:color w:val="auto"/>
          <w:szCs w:val="20"/>
          <w:highlight w:val="none"/>
          <w:shd w:val="clear" w:color="auto" w:fill="auto"/>
        </w:rPr>
        <w:t>注：采购代理服务收费按差额定率累进法计算。</w:t>
      </w:r>
    </w:p>
    <w:p w14:paraId="6B4AE81C">
      <w:pPr>
        <w:spacing w:line="400" w:lineRule="exact"/>
        <w:ind w:firstLine="422"/>
        <w:rPr>
          <w:rFonts w:ascii="宋体" w:hAnsi="宋体" w:cs="宋体"/>
          <w:bCs/>
          <w:color w:val="auto"/>
          <w:highlight w:val="none"/>
          <w:shd w:val="clear" w:color="auto" w:fill="auto"/>
        </w:rPr>
      </w:pPr>
      <w:r>
        <w:rPr>
          <w:rFonts w:hint="eastAsia" w:ascii="宋体" w:hAnsi="宋体" w:cs="宋体"/>
          <w:bCs/>
          <w:color w:val="auto"/>
          <w:highlight w:val="none"/>
          <w:shd w:val="clear" w:color="auto" w:fill="auto"/>
        </w:rPr>
        <w:t>30.2采购代理服务费交纳账户：</w:t>
      </w:r>
    </w:p>
    <w:p w14:paraId="5153659E">
      <w:pPr>
        <w:pStyle w:val="14"/>
        <w:snapToGrid w:val="0"/>
        <w:spacing w:line="400" w:lineRule="exact"/>
        <w:ind w:firstLine="630" w:firstLineChars="300"/>
        <w:rPr>
          <w:rFonts w:hint="eastAsia" w:ascii="Times New Roman" w:hAnsi="Times New Roman" w:eastAsia="宋体"/>
          <w:color w:val="auto"/>
          <w:highlight w:val="none"/>
          <w:shd w:val="clear" w:color="auto" w:fill="auto"/>
          <w:lang w:eastAsia="zh-CN"/>
        </w:rPr>
      </w:pPr>
      <w:bookmarkStart w:id="142" w:name="_Toc15204"/>
      <w:r>
        <w:rPr>
          <w:rFonts w:hint="eastAsia" w:ascii="Times New Roman" w:hAnsi="Times New Roman"/>
          <w:color w:val="auto"/>
          <w:highlight w:val="none"/>
          <w:shd w:val="clear" w:color="auto" w:fill="auto"/>
        </w:rPr>
        <w:t>开户名称：</w:t>
      </w:r>
      <w:r>
        <w:rPr>
          <w:rFonts w:hint="eastAsia" w:ascii="Times New Roman" w:hAnsi="Times New Roman" w:eastAsia="宋体" w:cs="Times New Roman"/>
          <w:color w:val="auto"/>
          <w:highlight w:val="none"/>
          <w:shd w:val="clear" w:color="auto" w:fill="auto"/>
        </w:rPr>
        <w:t>华春建设工程项目管理有限责任公司桂林高新分公司</w:t>
      </w:r>
    </w:p>
    <w:p w14:paraId="41B330BD">
      <w:pPr>
        <w:pStyle w:val="14"/>
        <w:snapToGrid w:val="0"/>
        <w:spacing w:line="400" w:lineRule="exact"/>
        <w:ind w:firstLine="630" w:firstLineChars="300"/>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lang w:eastAsia="zh-CN"/>
        </w:rPr>
        <w:t>开户银行：</w:t>
      </w:r>
      <w:r>
        <w:rPr>
          <w:rFonts w:hint="eastAsia" w:ascii="Times New Roman" w:hAnsi="Times New Roman" w:eastAsia="宋体" w:cs="Times New Roman"/>
          <w:color w:val="auto"/>
          <w:highlight w:val="none"/>
          <w:shd w:val="clear" w:color="auto" w:fill="auto"/>
        </w:rPr>
        <w:t>桂林银行观音阁支行</w:t>
      </w:r>
      <w:r>
        <w:rPr>
          <w:rFonts w:hint="eastAsia" w:ascii="Times New Roman" w:hAnsi="Times New Roman" w:eastAsia="宋体" w:cs="Times New Roman"/>
          <w:color w:val="auto"/>
          <w:highlight w:val="none"/>
          <w:shd w:val="clear" w:color="auto" w:fill="auto"/>
          <w:lang w:eastAsia="zh-CN"/>
        </w:rPr>
        <w:t xml:space="preserve"> </w:t>
      </w:r>
    </w:p>
    <w:p w14:paraId="6EA566F8">
      <w:pPr>
        <w:pStyle w:val="14"/>
        <w:snapToGrid w:val="0"/>
        <w:spacing w:line="400" w:lineRule="exact"/>
        <w:ind w:firstLine="630" w:firstLineChars="300"/>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lang w:eastAsia="zh-CN"/>
        </w:rPr>
        <w:t>账    号：</w:t>
      </w:r>
      <w:r>
        <w:rPr>
          <w:rFonts w:hint="eastAsia" w:ascii="Times New Roman" w:hAnsi="Times New Roman" w:eastAsia="宋体" w:cs="Times New Roman"/>
          <w:color w:val="auto"/>
          <w:highlight w:val="none"/>
          <w:shd w:val="clear" w:color="auto" w:fill="auto"/>
        </w:rPr>
        <w:t xml:space="preserve">6600 1007 6982 9000 10 </w:t>
      </w:r>
    </w:p>
    <w:p w14:paraId="1674EF0D">
      <w:pPr>
        <w:spacing w:line="400" w:lineRule="exact"/>
        <w:ind w:firstLine="422" w:firstLineChars="200"/>
        <w:rPr>
          <w:rFonts w:ascii="宋体" w:hAnsi="宋体" w:cs="宋体"/>
          <w:color w:val="auto"/>
          <w:szCs w:val="21"/>
          <w:highlight w:val="none"/>
          <w:shd w:val="clear" w:color="auto" w:fill="auto"/>
        </w:rPr>
      </w:pPr>
      <w:bookmarkStart w:id="143" w:name="_Toc7494"/>
      <w:r>
        <w:rPr>
          <w:rStyle w:val="28"/>
          <w:rFonts w:hint="eastAsia" w:ascii="宋体" w:hAnsi="宋体" w:cs="宋体"/>
          <w:color w:val="auto"/>
          <w:sz w:val="21"/>
          <w:szCs w:val="21"/>
          <w:highlight w:val="none"/>
          <w:shd w:val="clear" w:color="auto" w:fill="auto"/>
        </w:rPr>
        <w:t xml:space="preserve">31. </w:t>
      </w:r>
      <w:bookmarkEnd w:id="141"/>
      <w:r>
        <w:rPr>
          <w:rStyle w:val="28"/>
          <w:rFonts w:hint="eastAsia" w:ascii="宋体" w:hAnsi="宋体" w:cs="宋体"/>
          <w:color w:val="auto"/>
          <w:sz w:val="21"/>
          <w:szCs w:val="21"/>
          <w:highlight w:val="none"/>
          <w:shd w:val="clear" w:color="auto" w:fill="auto"/>
        </w:rPr>
        <w:t>编制依据</w:t>
      </w:r>
      <w:bookmarkEnd w:id="142"/>
      <w:bookmarkEnd w:id="143"/>
      <w:r>
        <w:rPr>
          <w:rFonts w:hint="eastAsia" w:ascii="宋体" w:hAnsi="宋体" w:cs="宋体"/>
          <w:color w:val="auto"/>
          <w:szCs w:val="21"/>
          <w:highlight w:val="none"/>
          <w:shd w:val="clear" w:color="auto" w:fill="auto"/>
        </w:rPr>
        <w:t>：本竞争性磋商文件是根据《中华人民共和国政府采购法》、《中华人民共和国政府采购法实施条例》、《政府采购竞争性磋商采购方式管理暂行办法》和政府采购管理有关规定编制。</w:t>
      </w:r>
    </w:p>
    <w:p w14:paraId="570759D5">
      <w:pPr>
        <w:snapToGrid w:val="0"/>
        <w:spacing w:line="400" w:lineRule="exact"/>
        <w:ind w:firstLine="422" w:firstLineChars="200"/>
        <w:rPr>
          <w:rFonts w:ascii="宋体" w:hAnsi="宋体" w:cs="宋体"/>
          <w:color w:val="auto"/>
          <w:szCs w:val="21"/>
          <w:highlight w:val="none"/>
          <w:shd w:val="clear" w:color="auto" w:fill="auto"/>
        </w:rPr>
      </w:pPr>
      <w:bookmarkStart w:id="144" w:name="_Toc28899"/>
      <w:bookmarkStart w:id="145" w:name="_Toc27500"/>
      <w:r>
        <w:rPr>
          <w:rStyle w:val="28"/>
          <w:rFonts w:hint="eastAsia" w:ascii="宋体" w:hAnsi="宋体" w:cs="宋体"/>
          <w:color w:val="auto"/>
          <w:sz w:val="21"/>
          <w:szCs w:val="21"/>
          <w:highlight w:val="none"/>
          <w:shd w:val="clear" w:color="auto" w:fill="auto"/>
        </w:rPr>
        <w:t>32. 监督管理机构</w:t>
      </w:r>
      <w:bookmarkEnd w:id="144"/>
      <w:bookmarkEnd w:id="145"/>
      <w:r>
        <w:rPr>
          <w:rFonts w:hint="eastAsia" w:ascii="宋体" w:hAnsi="宋体" w:cs="宋体"/>
          <w:color w:val="auto"/>
          <w:szCs w:val="21"/>
          <w:highlight w:val="none"/>
          <w:shd w:val="clear" w:color="auto" w:fill="auto"/>
        </w:rPr>
        <w:t>：</w:t>
      </w:r>
      <w:r>
        <w:rPr>
          <w:rFonts w:hint="eastAsia" w:ascii="宋体" w:hAnsi="宋体"/>
          <w:color w:val="auto"/>
          <w:szCs w:val="21"/>
          <w:highlight w:val="none"/>
          <w:shd w:val="clear" w:color="auto" w:fill="auto"/>
        </w:rPr>
        <w:t>桂林市雁山区政府采购管理办公室     联系电话：0773-</w:t>
      </w:r>
      <w:r>
        <w:rPr>
          <w:rFonts w:ascii="宋体" w:hAnsi="宋体"/>
          <w:color w:val="auto"/>
          <w:szCs w:val="21"/>
          <w:highlight w:val="none"/>
          <w:shd w:val="clear" w:color="auto" w:fill="auto"/>
        </w:rPr>
        <w:t>3551959</w:t>
      </w:r>
      <w:r>
        <w:rPr>
          <w:rFonts w:hint="eastAsia" w:ascii="宋体" w:hAnsi="宋体"/>
          <w:color w:val="auto"/>
          <w:szCs w:val="21"/>
          <w:highlight w:val="none"/>
          <w:shd w:val="clear" w:color="auto" w:fill="auto"/>
        </w:rPr>
        <w:t xml:space="preserve"> </w:t>
      </w:r>
    </w:p>
    <w:p w14:paraId="4FA6F80F">
      <w:pPr>
        <w:pageBreakBefore w:val="0"/>
        <w:widowControl w:val="0"/>
        <w:kinsoku/>
        <w:wordWrap/>
        <w:overflowPunct/>
        <w:topLinePunct w:val="0"/>
        <w:bidi w:val="0"/>
        <w:snapToGrid w:val="0"/>
        <w:spacing w:line="440" w:lineRule="exact"/>
        <w:ind w:firstLine="422"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33.</w:t>
      </w:r>
      <w:r>
        <w:rPr>
          <w:rStyle w:val="28"/>
          <w:rFonts w:hint="eastAsia" w:ascii="宋体" w:hAnsi="宋体" w:eastAsia="宋体" w:cs="宋体"/>
          <w:color w:val="auto"/>
          <w:sz w:val="21"/>
          <w:szCs w:val="21"/>
          <w:highlight w:val="none"/>
        </w:rPr>
        <w:t xml:space="preserve"> </w:t>
      </w:r>
      <w:r>
        <w:rPr>
          <w:rFonts w:hint="eastAsia" w:ascii="宋体" w:hAnsi="宋体" w:cs="宋体"/>
          <w:b/>
          <w:bCs/>
          <w:color w:val="auto"/>
          <w:sz w:val="21"/>
          <w:szCs w:val="21"/>
          <w:highlight w:val="none"/>
          <w:lang w:val="en-US" w:eastAsia="zh-CN"/>
        </w:rPr>
        <w:t xml:space="preserve">《广西线上“政采贷”政策告知函》详见附表4。 </w:t>
      </w:r>
      <w:r>
        <w:rPr>
          <w:rFonts w:hint="eastAsia" w:ascii="宋体" w:hAnsi="宋体" w:cs="宋体"/>
          <w:color w:val="auto"/>
          <w:sz w:val="21"/>
          <w:szCs w:val="21"/>
          <w:highlight w:val="none"/>
          <w:lang w:val="en-US" w:eastAsia="zh-CN"/>
        </w:rPr>
        <w:t xml:space="preserve"> </w:t>
      </w:r>
    </w:p>
    <w:p w14:paraId="56EA266C">
      <w:pPr>
        <w:pageBreakBefore w:val="0"/>
        <w:widowControl w:val="0"/>
        <w:kinsoku/>
        <w:wordWrap/>
        <w:overflowPunct/>
        <w:topLinePunct w:val="0"/>
        <w:bidi w:val="0"/>
        <w:spacing w:line="440" w:lineRule="exact"/>
        <w:textAlignment w:val="auto"/>
        <w:rPr>
          <w:rFonts w:hint="eastAsia" w:ascii="宋体" w:hAnsi="宋体" w:eastAsia="宋体" w:cs="宋体"/>
          <w:color w:val="auto"/>
          <w:sz w:val="21"/>
          <w:szCs w:val="21"/>
          <w:highlight w:val="none"/>
          <w:lang w:eastAsia="zh-CN"/>
        </w:rPr>
      </w:pPr>
    </w:p>
    <w:p w14:paraId="6C33A34A">
      <w:pPr>
        <w:pStyle w:val="13"/>
        <w:rPr>
          <w:rFonts w:hint="eastAsia" w:ascii="宋体" w:hAnsi="宋体" w:eastAsia="宋体" w:cs="宋体"/>
          <w:color w:val="auto"/>
          <w:sz w:val="21"/>
          <w:szCs w:val="21"/>
          <w:highlight w:val="none"/>
          <w:lang w:eastAsia="zh-CN"/>
        </w:rPr>
      </w:pPr>
    </w:p>
    <w:p w14:paraId="7B129313">
      <w:pPr>
        <w:pStyle w:val="13"/>
        <w:rPr>
          <w:rFonts w:hint="eastAsia" w:ascii="宋体" w:hAnsi="宋体" w:eastAsia="宋体" w:cs="宋体"/>
          <w:color w:val="auto"/>
          <w:sz w:val="21"/>
          <w:szCs w:val="21"/>
          <w:highlight w:val="none"/>
          <w:lang w:eastAsia="zh-CN"/>
        </w:rPr>
      </w:pPr>
    </w:p>
    <w:p w14:paraId="2692F889">
      <w:pPr>
        <w:snapToGrid w:val="0"/>
        <w:rPr>
          <w:rFonts w:hint="eastAsia" w:ascii="宋体" w:hAnsi="宋体" w:eastAsia="宋体" w:cs="宋体"/>
          <w:b/>
          <w:color w:val="auto"/>
          <w:kern w:val="0"/>
          <w:sz w:val="21"/>
          <w:szCs w:val="21"/>
          <w:highlight w:val="none"/>
        </w:rPr>
        <w:sectPr>
          <w:pgSz w:w="11906" w:h="16838"/>
          <w:pgMar w:top="1418" w:right="1115" w:bottom="1418" w:left="1131" w:header="851" w:footer="992" w:gutter="0"/>
          <w:pgNumType w:fmt="decimal"/>
          <w:cols w:space="720" w:num="1"/>
          <w:titlePg/>
          <w:docGrid w:type="lines" w:linePitch="312" w:charSpace="0"/>
        </w:sectPr>
      </w:pPr>
    </w:p>
    <w:p w14:paraId="17CCCE7F">
      <w:pPr>
        <w:snapToGrid w:val="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附表1：</w:t>
      </w:r>
    </w:p>
    <w:p w14:paraId="47C038DD">
      <w:pPr>
        <w:spacing w:line="46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质疑函（格式）</w:t>
      </w:r>
    </w:p>
    <w:p w14:paraId="7822637D">
      <w:pPr>
        <w:snapToGrid w:val="0"/>
        <w:spacing w:line="360" w:lineRule="exact"/>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一、质疑供应商基本信息：</w:t>
      </w:r>
    </w:p>
    <w:p w14:paraId="4954B3A6">
      <w:pPr>
        <w:snapToGrid w:val="0"/>
        <w:spacing w:line="36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质疑供应商：</w:t>
      </w:r>
    </w:p>
    <w:p w14:paraId="4139E2E7">
      <w:pPr>
        <w:snapToGrid w:val="0"/>
        <w:spacing w:line="36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地址：邮编：</w:t>
      </w:r>
    </w:p>
    <w:p w14:paraId="2606BF22">
      <w:pPr>
        <w:snapToGrid w:val="0"/>
        <w:spacing w:line="36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联系人：联系电话：</w:t>
      </w:r>
    </w:p>
    <w:p w14:paraId="1E4D6322">
      <w:pPr>
        <w:snapToGrid w:val="0"/>
        <w:spacing w:line="36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授权代表：</w:t>
      </w:r>
    </w:p>
    <w:p w14:paraId="0A5222A3">
      <w:pPr>
        <w:snapToGrid w:val="0"/>
        <w:spacing w:line="36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联系电话：</w:t>
      </w:r>
    </w:p>
    <w:p w14:paraId="23C702CE">
      <w:pPr>
        <w:snapToGrid w:val="0"/>
        <w:spacing w:line="36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地址：邮编：</w:t>
      </w:r>
    </w:p>
    <w:p w14:paraId="4B3E0F11">
      <w:pPr>
        <w:snapToGrid w:val="0"/>
        <w:spacing w:line="360" w:lineRule="exact"/>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二、质疑项目基本情况：</w:t>
      </w:r>
    </w:p>
    <w:p w14:paraId="6540A1FF">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质疑</w:t>
      </w:r>
      <w:r>
        <w:rPr>
          <w:rFonts w:hint="eastAsia" w:ascii="宋体" w:hAnsi="宋体" w:eastAsia="宋体" w:cs="宋体"/>
          <w:color w:val="auto"/>
          <w:kern w:val="0"/>
          <w:sz w:val="21"/>
          <w:szCs w:val="21"/>
          <w:highlight w:val="none"/>
        </w:rPr>
        <w:t>项目的名称：</w:t>
      </w:r>
    </w:p>
    <w:p w14:paraId="70AB8E72">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质疑</w:t>
      </w:r>
      <w:r>
        <w:rPr>
          <w:rFonts w:hint="eastAsia" w:ascii="宋体" w:hAnsi="宋体" w:eastAsia="宋体" w:cs="宋体"/>
          <w:color w:val="auto"/>
          <w:kern w:val="0"/>
          <w:sz w:val="21"/>
          <w:szCs w:val="21"/>
          <w:highlight w:val="none"/>
        </w:rPr>
        <w:t>项目的编号：</w:t>
      </w:r>
    </w:p>
    <w:p w14:paraId="06D599CB">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采购人名称：</w:t>
      </w:r>
    </w:p>
    <w:p w14:paraId="5077323F">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质疑事项：</w:t>
      </w:r>
    </w:p>
    <w:p w14:paraId="1A6836E0">
      <w:pPr>
        <w:spacing w:line="360" w:lineRule="exact"/>
        <w:ind w:left="25" w:leftChars="12" w:firstLine="308" w:firstLineChars="14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□采购文件   采购文件获取日期：</w:t>
      </w:r>
    </w:p>
    <w:p w14:paraId="05BBFAAC">
      <w:pPr>
        <w:spacing w:line="360" w:lineRule="exact"/>
        <w:ind w:left="25" w:leftChars="12" w:firstLine="308" w:firstLineChars="14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□采购过程   </w:t>
      </w:r>
    </w:p>
    <w:p w14:paraId="25B862F3">
      <w:pPr>
        <w:spacing w:line="360" w:lineRule="exact"/>
        <w:ind w:left="25" w:leftChars="12" w:firstLine="308" w:firstLineChars="147"/>
        <w:rPr>
          <w:rFonts w:hint="eastAsia" w:ascii="宋体" w:hAnsi="宋体" w:eastAsia="宋体" w:cs="宋体"/>
          <w:bCs/>
          <w:color w:val="auto"/>
          <w:kern w:val="0"/>
          <w:sz w:val="21"/>
          <w:szCs w:val="21"/>
          <w:highlight w:val="none"/>
          <w:u w:val="single"/>
        </w:rPr>
      </w:pPr>
      <w:r>
        <w:rPr>
          <w:rFonts w:hint="eastAsia" w:ascii="宋体" w:hAnsi="宋体" w:eastAsia="宋体" w:cs="宋体"/>
          <w:color w:val="auto"/>
          <w:kern w:val="0"/>
          <w:sz w:val="21"/>
          <w:szCs w:val="21"/>
          <w:highlight w:val="none"/>
        </w:rPr>
        <w:t xml:space="preserve">□成交结果   </w:t>
      </w:r>
    </w:p>
    <w:p w14:paraId="5822EED2">
      <w:pPr>
        <w:spacing w:line="360" w:lineRule="exact"/>
        <w:ind w:left="25" w:leftChars="12" w:firstLine="413" w:firstLineChars="196"/>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三、质疑事项具体内容</w:t>
      </w:r>
    </w:p>
    <w:p w14:paraId="738F39AF">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质疑事项1：</w:t>
      </w:r>
    </w:p>
    <w:p w14:paraId="68C292F4">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事实依据：</w:t>
      </w:r>
    </w:p>
    <w:p w14:paraId="3540EC4B">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法律依据：</w:t>
      </w:r>
    </w:p>
    <w:p w14:paraId="62AA2B65">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质疑事项2</w:t>
      </w:r>
    </w:p>
    <w:p w14:paraId="04C6D434">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14:paraId="6714A6A6">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四、与质疑事项相关的质疑请求：</w:t>
      </w:r>
    </w:p>
    <w:p w14:paraId="38E9B65D">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请求：</w:t>
      </w:r>
    </w:p>
    <w:p w14:paraId="26C49723">
      <w:pPr>
        <w:spacing w:line="360" w:lineRule="exact"/>
        <w:ind w:left="25" w:leftChars="12" w:firstLine="308" w:firstLineChars="147"/>
        <w:rPr>
          <w:rFonts w:hint="eastAsia" w:ascii="宋体" w:hAnsi="宋体" w:eastAsia="宋体" w:cs="宋体"/>
          <w:color w:val="auto"/>
          <w:kern w:val="0"/>
          <w:sz w:val="21"/>
          <w:szCs w:val="21"/>
          <w:highlight w:val="none"/>
        </w:rPr>
      </w:pPr>
    </w:p>
    <w:p w14:paraId="3CE1A4AB">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签字（签章）：                                       公章：</w:t>
      </w:r>
    </w:p>
    <w:p w14:paraId="1CF0EA5E">
      <w:pPr>
        <w:spacing w:line="360" w:lineRule="exact"/>
        <w:ind w:left="25" w:leftChars="12" w:firstLine="308" w:firstLineChars="147"/>
        <w:rPr>
          <w:rFonts w:hint="eastAsia" w:ascii="宋体" w:hAnsi="宋体" w:eastAsia="宋体" w:cs="宋体"/>
          <w:color w:val="auto"/>
          <w:kern w:val="0"/>
          <w:sz w:val="21"/>
          <w:szCs w:val="21"/>
          <w:highlight w:val="none"/>
        </w:rPr>
      </w:pPr>
    </w:p>
    <w:p w14:paraId="5D580D49">
      <w:pPr>
        <w:spacing w:line="36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w:t>
      </w:r>
    </w:p>
    <w:p w14:paraId="0306E347">
      <w:pPr>
        <w:snapToGrid w:val="0"/>
        <w:spacing w:line="340" w:lineRule="exact"/>
        <w:rPr>
          <w:rFonts w:hint="eastAsia" w:ascii="宋体" w:hAnsi="宋体" w:eastAsia="宋体" w:cs="宋体"/>
          <w:b/>
          <w:color w:val="auto"/>
          <w:kern w:val="0"/>
          <w:sz w:val="21"/>
          <w:szCs w:val="21"/>
          <w:highlight w:val="none"/>
        </w:rPr>
      </w:pPr>
    </w:p>
    <w:p w14:paraId="540D301E">
      <w:pPr>
        <w:snapToGrid w:val="0"/>
        <w:spacing w:line="340" w:lineRule="exac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说明：</w:t>
      </w:r>
    </w:p>
    <w:p w14:paraId="236FF758">
      <w:pPr>
        <w:spacing w:line="340" w:lineRule="exact"/>
        <w:ind w:left="25" w:leftChars="12" w:firstLine="310" w:firstLineChars="147"/>
        <w:rPr>
          <w:rFonts w:hint="eastAsia" w:ascii="宋体" w:hAnsi="宋体" w:eastAsia="宋体" w:cs="宋体"/>
          <w:b/>
          <w:bCs/>
          <w:color w:val="auto"/>
          <w:kern w:val="0"/>
          <w:sz w:val="21"/>
          <w:szCs w:val="21"/>
          <w:highlight w:val="none"/>
        </w:rPr>
      </w:pPr>
      <w:r>
        <w:rPr>
          <w:rFonts w:hint="eastAsia" w:ascii="宋体" w:hAnsi="宋体" w:eastAsia="宋体" w:cs="宋体"/>
          <w:b/>
          <w:color w:val="auto"/>
          <w:kern w:val="0"/>
          <w:sz w:val="21"/>
          <w:szCs w:val="21"/>
          <w:highlight w:val="none"/>
        </w:rPr>
        <w:t>1.供应商提出质疑时，应提交质疑函和必要的证明材料</w:t>
      </w:r>
      <w:r>
        <w:rPr>
          <w:rFonts w:hint="eastAsia" w:ascii="宋体" w:hAnsi="宋体" w:eastAsia="宋体" w:cs="宋体"/>
          <w:b/>
          <w:bCs/>
          <w:color w:val="auto"/>
          <w:kern w:val="0"/>
          <w:sz w:val="21"/>
          <w:szCs w:val="21"/>
          <w:highlight w:val="none"/>
        </w:rPr>
        <w:t>。</w:t>
      </w:r>
    </w:p>
    <w:p w14:paraId="0366F752">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92B52B0">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3.质疑函的质疑事项应具体、明确，并有必要的事实依据和法律依据。</w:t>
      </w:r>
    </w:p>
    <w:p w14:paraId="5CB5ED23">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4.质疑函的质疑请求应与质疑事项相关。</w:t>
      </w:r>
    </w:p>
    <w:p w14:paraId="4CB9B0F1">
      <w:pPr>
        <w:spacing w:line="340" w:lineRule="exact"/>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6.质疑供应商为法人或者其他组织的，质疑函应由法定代表人、主要负责人，或者其授权代表签字或者盖章，并加盖公章。</w:t>
      </w:r>
    </w:p>
    <w:p w14:paraId="3580D0AF">
      <w:pPr>
        <w:snapToGrid w:val="0"/>
        <w:rPr>
          <w:rFonts w:hint="eastAsia" w:ascii="宋体" w:hAnsi="宋体" w:eastAsia="宋体" w:cs="宋体"/>
          <w:b/>
          <w:color w:val="auto"/>
          <w:kern w:val="0"/>
          <w:sz w:val="21"/>
          <w:szCs w:val="21"/>
          <w:highlight w:val="none"/>
        </w:rPr>
        <w:sectPr>
          <w:footerReference r:id="rId9" w:type="default"/>
          <w:pgSz w:w="11906" w:h="16839"/>
          <w:pgMar w:top="1431" w:right="1158" w:bottom="1362" w:left="1151" w:header="0" w:footer="1200" w:gutter="0"/>
          <w:pgNumType w:fmt="decimal"/>
          <w:cols w:space="720" w:num="1"/>
        </w:sectPr>
      </w:pPr>
    </w:p>
    <w:p w14:paraId="68106A76">
      <w:pPr>
        <w:snapToGrid w:val="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附表2：</w:t>
      </w:r>
    </w:p>
    <w:p w14:paraId="268BC6BF">
      <w:pPr>
        <w:spacing w:line="460" w:lineRule="exact"/>
        <w:jc w:val="center"/>
        <w:rPr>
          <w:rFonts w:hint="eastAsia" w:ascii="宋体" w:hAnsi="宋体" w:eastAsia="宋体" w:cs="宋体"/>
          <w:color w:val="auto"/>
          <w:kern w:val="0"/>
          <w:sz w:val="21"/>
          <w:szCs w:val="21"/>
          <w:highlight w:val="none"/>
        </w:rPr>
      </w:pPr>
    </w:p>
    <w:p w14:paraId="343AFC12">
      <w:pPr>
        <w:spacing w:line="46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投诉书（格式）</w:t>
      </w:r>
    </w:p>
    <w:p w14:paraId="50C5A22D">
      <w:pPr>
        <w:snapToGrid w:val="0"/>
        <w:spacing w:line="400" w:lineRule="exact"/>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一、投诉相关主体基本情况：</w:t>
      </w:r>
    </w:p>
    <w:p w14:paraId="3A733A21">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供应商：</w:t>
      </w:r>
    </w:p>
    <w:p w14:paraId="1AE2A2E2">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地址：邮编：</w:t>
      </w:r>
    </w:p>
    <w:p w14:paraId="2853EF15">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法定代表人/主要负责人：</w:t>
      </w:r>
    </w:p>
    <w:p w14:paraId="7F31E11A">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联系电话：</w:t>
      </w:r>
    </w:p>
    <w:p w14:paraId="56D061AE">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授权代表：联系电话：</w:t>
      </w:r>
    </w:p>
    <w:p w14:paraId="44139075">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地址：邮编：</w:t>
      </w:r>
    </w:p>
    <w:p w14:paraId="42F516C4">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被投诉人1：</w:t>
      </w:r>
    </w:p>
    <w:p w14:paraId="56C47DEF">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地址：邮编：</w:t>
      </w:r>
    </w:p>
    <w:p w14:paraId="596901A2">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联系人：联系电话：</w:t>
      </w:r>
    </w:p>
    <w:p w14:paraId="4CDF70FF">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被投诉人2：</w:t>
      </w:r>
    </w:p>
    <w:p w14:paraId="79613F6E">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w:t>
      </w:r>
    </w:p>
    <w:p w14:paraId="1408DF00">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相关供应商：</w:t>
      </w:r>
    </w:p>
    <w:p w14:paraId="08C0D896">
      <w:pPr>
        <w:snapToGrid w:val="0"/>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地址：邮编：</w:t>
      </w:r>
    </w:p>
    <w:p w14:paraId="60A20228">
      <w:pPr>
        <w:snapToGrid w:val="0"/>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联系人：联系电话：</w:t>
      </w:r>
    </w:p>
    <w:p w14:paraId="5EFD370F">
      <w:pPr>
        <w:snapToGrid w:val="0"/>
        <w:spacing w:line="400" w:lineRule="exact"/>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二、投诉项目基本情况：</w:t>
      </w:r>
    </w:p>
    <w:p w14:paraId="38E00168">
      <w:pPr>
        <w:spacing w:line="40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采购</w:t>
      </w:r>
      <w:r>
        <w:rPr>
          <w:rFonts w:hint="eastAsia" w:ascii="宋体" w:hAnsi="宋体" w:eastAsia="宋体" w:cs="宋体"/>
          <w:color w:val="auto"/>
          <w:kern w:val="0"/>
          <w:sz w:val="21"/>
          <w:szCs w:val="21"/>
          <w:highlight w:val="none"/>
        </w:rPr>
        <w:t>项目的名称：</w:t>
      </w:r>
    </w:p>
    <w:p w14:paraId="52A453C0">
      <w:pPr>
        <w:spacing w:line="40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采购</w:t>
      </w:r>
      <w:r>
        <w:rPr>
          <w:rFonts w:hint="eastAsia" w:ascii="宋体" w:hAnsi="宋体" w:eastAsia="宋体" w:cs="宋体"/>
          <w:color w:val="auto"/>
          <w:kern w:val="0"/>
          <w:sz w:val="21"/>
          <w:szCs w:val="21"/>
          <w:highlight w:val="none"/>
        </w:rPr>
        <w:t>项目的编号：</w:t>
      </w:r>
    </w:p>
    <w:p w14:paraId="215BB44B">
      <w:pPr>
        <w:spacing w:line="400" w:lineRule="exact"/>
        <w:ind w:left="25" w:leftChars="12" w:firstLine="413" w:firstLineChars="197"/>
        <w:rPr>
          <w:rFonts w:hint="eastAsia" w:ascii="宋体" w:hAnsi="宋体" w:eastAsia="宋体" w:cs="宋体"/>
          <w:bCs/>
          <w:color w:val="auto"/>
          <w:kern w:val="0"/>
          <w:sz w:val="21"/>
          <w:szCs w:val="21"/>
          <w:highlight w:val="none"/>
          <w:u w:val="single"/>
        </w:rPr>
      </w:pPr>
      <w:r>
        <w:rPr>
          <w:rFonts w:hint="eastAsia" w:ascii="宋体" w:hAnsi="宋体" w:eastAsia="宋体" w:cs="宋体"/>
          <w:color w:val="auto"/>
          <w:kern w:val="0"/>
          <w:sz w:val="21"/>
          <w:szCs w:val="21"/>
          <w:highlight w:val="none"/>
        </w:rPr>
        <w:t>采购人名称：</w:t>
      </w:r>
    </w:p>
    <w:p w14:paraId="694F551F">
      <w:pPr>
        <w:spacing w:line="400" w:lineRule="exact"/>
        <w:ind w:left="25" w:leftChars="12" w:firstLine="413" w:firstLineChars="197"/>
        <w:rPr>
          <w:rFonts w:hint="eastAsia" w:ascii="宋体" w:hAnsi="宋体" w:eastAsia="宋体" w:cs="宋体"/>
          <w:bCs/>
          <w:color w:val="auto"/>
          <w:kern w:val="0"/>
          <w:sz w:val="21"/>
          <w:szCs w:val="21"/>
          <w:highlight w:val="none"/>
          <w:u w:val="single"/>
        </w:rPr>
      </w:pPr>
      <w:r>
        <w:rPr>
          <w:rFonts w:hint="eastAsia" w:ascii="宋体" w:hAnsi="宋体" w:eastAsia="宋体" w:cs="宋体"/>
          <w:color w:val="auto"/>
          <w:kern w:val="0"/>
          <w:sz w:val="21"/>
          <w:szCs w:val="21"/>
          <w:highlight w:val="none"/>
        </w:rPr>
        <w:t>代理机构名称：</w:t>
      </w:r>
    </w:p>
    <w:p w14:paraId="1F5F4914">
      <w:pPr>
        <w:spacing w:line="400" w:lineRule="exact"/>
        <w:ind w:left="25" w:leftChars="12" w:firstLine="413" w:firstLineChars="197"/>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采购文件公告：</w:t>
      </w:r>
      <w:r>
        <w:rPr>
          <w:rFonts w:hint="eastAsia" w:ascii="宋体" w:hAnsi="宋体" w:eastAsia="宋体" w:cs="宋体"/>
          <w:bCs/>
          <w:color w:val="auto"/>
          <w:kern w:val="0"/>
          <w:sz w:val="21"/>
          <w:szCs w:val="21"/>
          <w:highlight w:val="none"/>
          <w:u w:val="single"/>
        </w:rPr>
        <w:t>是/否</w:t>
      </w:r>
      <w:r>
        <w:rPr>
          <w:rFonts w:hint="eastAsia" w:ascii="宋体" w:hAnsi="宋体" w:eastAsia="宋体" w:cs="宋体"/>
          <w:bCs/>
          <w:color w:val="auto"/>
          <w:kern w:val="0"/>
          <w:sz w:val="21"/>
          <w:szCs w:val="21"/>
          <w:highlight w:val="none"/>
        </w:rPr>
        <w:t>公告期限：</w:t>
      </w:r>
    </w:p>
    <w:p w14:paraId="7F0643B3">
      <w:pPr>
        <w:spacing w:line="400" w:lineRule="exact"/>
        <w:ind w:left="25" w:leftChars="12" w:firstLine="413" w:firstLineChars="197"/>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采购结果公告：</w:t>
      </w:r>
      <w:r>
        <w:rPr>
          <w:rFonts w:hint="eastAsia" w:ascii="宋体" w:hAnsi="宋体" w:eastAsia="宋体" w:cs="宋体"/>
          <w:bCs/>
          <w:color w:val="auto"/>
          <w:kern w:val="0"/>
          <w:sz w:val="21"/>
          <w:szCs w:val="21"/>
          <w:highlight w:val="none"/>
          <w:u w:val="single"/>
        </w:rPr>
        <w:t>是/否</w:t>
      </w:r>
      <w:r>
        <w:rPr>
          <w:rFonts w:hint="eastAsia" w:ascii="宋体" w:hAnsi="宋体" w:eastAsia="宋体" w:cs="宋体"/>
          <w:bCs/>
          <w:color w:val="auto"/>
          <w:kern w:val="0"/>
          <w:sz w:val="21"/>
          <w:szCs w:val="21"/>
          <w:highlight w:val="none"/>
        </w:rPr>
        <w:t>公告期限：</w:t>
      </w:r>
    </w:p>
    <w:p w14:paraId="315380E4">
      <w:pPr>
        <w:spacing w:line="400" w:lineRule="exact"/>
        <w:ind w:left="25" w:leftChars="12" w:firstLine="413" w:firstLineChars="196"/>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三、质疑基本情况</w:t>
      </w:r>
    </w:p>
    <w:p w14:paraId="1398A35D">
      <w:pPr>
        <w:spacing w:line="400" w:lineRule="exact"/>
        <w:ind w:left="25" w:leftChars="12" w:firstLine="833" w:firstLineChars="3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投诉人于年月日，向提出质疑，质疑事项为：</w:t>
      </w:r>
    </w:p>
    <w:p w14:paraId="1416B4F3">
      <w:pPr>
        <w:spacing w:line="400" w:lineRule="exact"/>
        <w:rPr>
          <w:rFonts w:hint="eastAsia" w:ascii="宋体" w:hAnsi="宋体" w:eastAsia="宋体" w:cs="宋体"/>
          <w:bCs/>
          <w:color w:val="auto"/>
          <w:kern w:val="0"/>
          <w:sz w:val="21"/>
          <w:szCs w:val="21"/>
          <w:highlight w:val="none"/>
          <w:u w:val="single"/>
        </w:rPr>
      </w:pPr>
    </w:p>
    <w:p w14:paraId="0F2219BB">
      <w:pPr>
        <w:spacing w:line="400" w:lineRule="exact"/>
        <w:rPr>
          <w:rFonts w:hint="eastAsia" w:ascii="宋体" w:hAnsi="宋体" w:eastAsia="宋体" w:cs="宋体"/>
          <w:bCs/>
          <w:color w:val="auto"/>
          <w:kern w:val="0"/>
          <w:sz w:val="21"/>
          <w:szCs w:val="21"/>
          <w:highlight w:val="none"/>
          <w:u w:val="single"/>
        </w:rPr>
      </w:pPr>
    </w:p>
    <w:p w14:paraId="4410386A">
      <w:pPr>
        <w:spacing w:line="40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u w:val="single"/>
        </w:rPr>
        <w:t>采购人/代理机构</w:t>
      </w:r>
      <w:r>
        <w:rPr>
          <w:rFonts w:hint="eastAsia" w:ascii="宋体" w:hAnsi="宋体" w:eastAsia="宋体" w:cs="宋体"/>
          <w:bCs/>
          <w:color w:val="auto"/>
          <w:kern w:val="0"/>
          <w:sz w:val="21"/>
          <w:szCs w:val="21"/>
          <w:highlight w:val="none"/>
        </w:rPr>
        <w:t>于</w:t>
      </w:r>
      <w:r>
        <w:rPr>
          <w:rFonts w:hint="eastAsia" w:ascii="宋体" w:hAnsi="宋体" w:eastAsia="宋体" w:cs="宋体"/>
          <w:color w:val="auto"/>
          <w:kern w:val="0"/>
          <w:sz w:val="21"/>
          <w:szCs w:val="21"/>
          <w:highlight w:val="none"/>
        </w:rPr>
        <w:t>年月日，</w:t>
      </w:r>
      <w:r>
        <w:rPr>
          <w:rFonts w:hint="eastAsia" w:ascii="宋体" w:hAnsi="宋体" w:eastAsia="宋体" w:cs="宋体"/>
          <w:bCs/>
          <w:color w:val="auto"/>
          <w:kern w:val="0"/>
          <w:sz w:val="21"/>
          <w:szCs w:val="21"/>
          <w:highlight w:val="none"/>
        </w:rPr>
        <w:t xml:space="preserve">就质疑事项作出了答复/没有在法定期限内作出答复。                                                                                             </w:t>
      </w:r>
    </w:p>
    <w:p w14:paraId="0B4883B6">
      <w:pPr>
        <w:spacing w:line="400" w:lineRule="exact"/>
        <w:ind w:left="25" w:leftChars="12" w:firstLine="413" w:firstLineChars="196"/>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四、投诉事项具体内容</w:t>
      </w:r>
    </w:p>
    <w:p w14:paraId="6D964295">
      <w:pPr>
        <w:spacing w:line="400" w:lineRule="exact"/>
        <w:ind w:left="25" w:leftChars="12" w:firstLine="413" w:firstLineChars="197"/>
        <w:rPr>
          <w:rFonts w:hint="eastAsia" w:ascii="宋体" w:hAnsi="宋体" w:eastAsia="宋体" w:cs="宋体"/>
          <w:bCs/>
          <w:color w:val="auto"/>
          <w:kern w:val="0"/>
          <w:sz w:val="21"/>
          <w:szCs w:val="21"/>
          <w:highlight w:val="none"/>
          <w:u w:val="single"/>
        </w:rPr>
      </w:pPr>
      <w:r>
        <w:rPr>
          <w:rFonts w:hint="eastAsia" w:ascii="宋体" w:hAnsi="宋体" w:eastAsia="宋体" w:cs="宋体"/>
          <w:color w:val="auto"/>
          <w:kern w:val="0"/>
          <w:sz w:val="21"/>
          <w:szCs w:val="21"/>
          <w:highlight w:val="none"/>
        </w:rPr>
        <w:t>投诉事项1：</w:t>
      </w:r>
    </w:p>
    <w:p w14:paraId="51DD4B3E">
      <w:pPr>
        <w:spacing w:line="400" w:lineRule="exact"/>
        <w:ind w:firstLine="420" w:firstLineChars="200"/>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事实依据：</w:t>
      </w:r>
    </w:p>
    <w:p w14:paraId="28737FFA">
      <w:pPr>
        <w:spacing w:line="400" w:lineRule="exact"/>
        <w:ind w:left="25" w:leftChars="12" w:firstLine="413" w:firstLineChars="197"/>
        <w:rPr>
          <w:rFonts w:hint="eastAsia" w:ascii="宋体" w:hAnsi="宋体" w:eastAsia="宋体" w:cs="宋体"/>
          <w:color w:val="auto"/>
          <w:kern w:val="0"/>
          <w:sz w:val="21"/>
          <w:szCs w:val="21"/>
          <w:highlight w:val="none"/>
        </w:rPr>
      </w:pPr>
    </w:p>
    <w:p w14:paraId="2B1B9512">
      <w:pPr>
        <w:spacing w:line="400" w:lineRule="exact"/>
        <w:ind w:firstLine="420" w:firstLineChars="200"/>
        <w:rPr>
          <w:rFonts w:hint="eastAsia" w:ascii="宋体" w:hAnsi="宋体" w:eastAsia="宋体" w:cs="宋体"/>
          <w:bCs/>
          <w:color w:val="auto"/>
          <w:kern w:val="0"/>
          <w:sz w:val="21"/>
          <w:szCs w:val="21"/>
          <w:highlight w:val="none"/>
          <w:u w:val="single"/>
        </w:rPr>
        <w:sectPr>
          <w:footerReference r:id="rId10" w:type="default"/>
          <w:pgSz w:w="11906" w:h="16839"/>
          <w:pgMar w:top="1431" w:right="1158" w:bottom="1362" w:left="1151" w:header="0" w:footer="1200" w:gutter="0"/>
          <w:pgNumType w:fmt="decimal"/>
          <w:cols w:space="720" w:num="1"/>
        </w:sectPr>
      </w:pPr>
      <w:r>
        <w:rPr>
          <w:rFonts w:hint="eastAsia" w:ascii="宋体" w:hAnsi="宋体" w:eastAsia="宋体" w:cs="宋体"/>
          <w:bCs/>
          <w:color w:val="auto"/>
          <w:kern w:val="0"/>
          <w:sz w:val="21"/>
          <w:szCs w:val="21"/>
          <w:highlight w:val="none"/>
        </w:rPr>
        <w:t>法律依据：</w:t>
      </w:r>
    </w:p>
    <w:p w14:paraId="2DA0BEEE">
      <w:pPr>
        <w:spacing w:line="40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 xml:space="preserve">投诉事项2  </w:t>
      </w:r>
    </w:p>
    <w:p w14:paraId="7434E601">
      <w:pPr>
        <w:spacing w:line="400" w:lineRule="exact"/>
        <w:ind w:left="25" w:leftChars="12" w:firstLine="413" w:firstLineChars="197"/>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w:t>
      </w:r>
    </w:p>
    <w:p w14:paraId="2926994E">
      <w:pPr>
        <w:spacing w:line="400" w:lineRule="exact"/>
        <w:ind w:left="25" w:leftChars="12" w:firstLine="413" w:firstLineChars="196"/>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五、与投诉事项相关的投诉请求：</w:t>
      </w:r>
    </w:p>
    <w:p w14:paraId="7652F4AE">
      <w:pPr>
        <w:spacing w:line="40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请求：</w:t>
      </w:r>
    </w:p>
    <w:p w14:paraId="6E5EA3A6">
      <w:pPr>
        <w:spacing w:line="400" w:lineRule="exact"/>
        <w:ind w:left="25" w:leftChars="12" w:firstLine="308" w:firstLineChars="147"/>
        <w:rPr>
          <w:rFonts w:hint="eastAsia" w:ascii="宋体" w:hAnsi="宋体" w:eastAsia="宋体" w:cs="宋体"/>
          <w:color w:val="auto"/>
          <w:kern w:val="0"/>
          <w:sz w:val="21"/>
          <w:szCs w:val="21"/>
          <w:highlight w:val="none"/>
        </w:rPr>
      </w:pPr>
    </w:p>
    <w:p w14:paraId="68012008">
      <w:pPr>
        <w:spacing w:line="40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签字（签章）：                                       公章：</w:t>
      </w:r>
    </w:p>
    <w:p w14:paraId="4AEDC02F">
      <w:pPr>
        <w:spacing w:line="400" w:lineRule="exact"/>
        <w:ind w:left="25" w:leftChars="12" w:firstLine="308" w:firstLineChars="147"/>
        <w:rPr>
          <w:rFonts w:hint="eastAsia" w:ascii="宋体" w:hAnsi="宋体" w:eastAsia="宋体" w:cs="宋体"/>
          <w:color w:val="auto"/>
          <w:kern w:val="0"/>
          <w:sz w:val="21"/>
          <w:szCs w:val="21"/>
          <w:highlight w:val="none"/>
        </w:rPr>
      </w:pPr>
    </w:p>
    <w:p w14:paraId="108800B1">
      <w:pPr>
        <w:spacing w:line="400" w:lineRule="exact"/>
        <w:ind w:left="25" w:leftChars="12" w:firstLine="413" w:firstLineChars="197"/>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w:t>
      </w:r>
    </w:p>
    <w:p w14:paraId="0A0982C3">
      <w:pPr>
        <w:spacing w:line="360" w:lineRule="exact"/>
        <w:ind w:left="25" w:leftChars="12" w:firstLine="413" w:firstLineChars="197"/>
        <w:rPr>
          <w:rFonts w:hint="eastAsia" w:ascii="宋体" w:hAnsi="宋体" w:eastAsia="宋体" w:cs="宋体"/>
          <w:color w:val="auto"/>
          <w:kern w:val="0"/>
          <w:sz w:val="21"/>
          <w:szCs w:val="21"/>
          <w:highlight w:val="none"/>
        </w:rPr>
      </w:pPr>
    </w:p>
    <w:p w14:paraId="18DE4C99">
      <w:pPr>
        <w:snapToGrid w:val="0"/>
        <w:spacing w:line="340" w:lineRule="exact"/>
        <w:rPr>
          <w:rFonts w:hint="eastAsia" w:ascii="宋体" w:hAnsi="宋体" w:eastAsia="宋体" w:cs="宋体"/>
          <w:b/>
          <w:color w:val="auto"/>
          <w:kern w:val="0"/>
          <w:sz w:val="21"/>
          <w:szCs w:val="21"/>
          <w:highlight w:val="none"/>
        </w:rPr>
      </w:pPr>
    </w:p>
    <w:p w14:paraId="194A711C">
      <w:pPr>
        <w:snapToGrid w:val="0"/>
        <w:spacing w:line="340" w:lineRule="exac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说明：</w:t>
      </w:r>
    </w:p>
    <w:p w14:paraId="1803B57E">
      <w:pPr>
        <w:spacing w:line="340" w:lineRule="exact"/>
        <w:ind w:left="25" w:leftChars="12" w:firstLine="310" w:firstLineChars="147"/>
        <w:rPr>
          <w:rFonts w:hint="eastAsia" w:ascii="宋体" w:hAnsi="宋体" w:eastAsia="宋体" w:cs="宋体"/>
          <w:b/>
          <w:bCs/>
          <w:color w:val="auto"/>
          <w:kern w:val="0"/>
          <w:sz w:val="21"/>
          <w:szCs w:val="21"/>
          <w:highlight w:val="none"/>
        </w:rPr>
      </w:pPr>
      <w:r>
        <w:rPr>
          <w:rFonts w:hint="eastAsia" w:ascii="宋体" w:hAnsi="宋体" w:eastAsia="宋体" w:cs="宋体"/>
          <w:b/>
          <w:color w:val="auto"/>
          <w:kern w:val="0"/>
          <w:sz w:val="21"/>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 w:val="21"/>
          <w:szCs w:val="21"/>
          <w:highlight w:val="none"/>
        </w:rPr>
        <w:t>。</w:t>
      </w:r>
    </w:p>
    <w:p w14:paraId="325EA86A">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4A21B71">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3.投诉书应简要列明质疑事项，质疑函、质疑答复等作为附件材料提供。</w:t>
      </w:r>
    </w:p>
    <w:p w14:paraId="2024F114">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4.投诉书的投诉事项应具体、明确，并有必要的事实依据和法律依据。</w:t>
      </w:r>
    </w:p>
    <w:p w14:paraId="0487CFB1">
      <w:pPr>
        <w:spacing w:line="340" w:lineRule="exact"/>
        <w:ind w:left="25" w:leftChars="12" w:firstLine="310" w:firstLineChars="147"/>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5.投诉书的投诉请求应与投诉事项相关。</w:t>
      </w:r>
    </w:p>
    <w:p w14:paraId="6513DD08">
      <w:pPr>
        <w:spacing w:line="340" w:lineRule="exact"/>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6.</w:t>
      </w:r>
      <w:r>
        <w:rPr>
          <w:rFonts w:hint="eastAsia" w:ascii="宋体" w:hAnsi="宋体" w:eastAsia="宋体" w:cs="宋体"/>
          <w:b/>
          <w:color w:val="auto"/>
          <w:sz w:val="21"/>
          <w:szCs w:val="21"/>
          <w:highlight w:val="none"/>
        </w:rPr>
        <w:t>投诉人为法人或者其他组织的，投诉书应由法定代表人、主要负责人，或者其授权代表签字或者盖章，并加盖公章。</w:t>
      </w:r>
    </w:p>
    <w:p w14:paraId="03773ECB">
      <w:pPr>
        <w:spacing w:line="340" w:lineRule="exact"/>
        <w:ind w:left="25" w:leftChars="12" w:firstLine="310" w:firstLineChars="147"/>
        <w:rPr>
          <w:rFonts w:hint="eastAsia" w:ascii="宋体" w:hAnsi="宋体" w:eastAsia="宋体" w:cs="宋体"/>
          <w:b/>
          <w:color w:val="auto"/>
          <w:kern w:val="0"/>
          <w:sz w:val="21"/>
          <w:szCs w:val="21"/>
          <w:highlight w:val="none"/>
        </w:rPr>
      </w:pPr>
    </w:p>
    <w:p w14:paraId="40089587">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08F196D1">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76BFB4E2">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1EFE70F1">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40A73707">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319E70E5">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4CB29A3C">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68698D6C">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58B11E50">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pPr>
    </w:p>
    <w:p w14:paraId="5F565234">
      <w:pPr>
        <w:pStyle w:val="11"/>
        <w:spacing w:before="191" w:line="219" w:lineRule="auto"/>
        <w:ind w:left="9"/>
        <w:rPr>
          <w:color w:val="auto"/>
          <w:spacing w:val="-8"/>
          <w:sz w:val="24"/>
          <w:szCs w:val="24"/>
          <w:highlight w:val="none"/>
          <w14:textOutline w14:w="4358" w14:cap="sq" w14:cmpd="sng">
            <w14:solidFill>
              <w14:srgbClr w14:val="000000"/>
            </w14:solidFill>
            <w14:prstDash w14:val="solid"/>
            <w14:bevel/>
          </w14:textOutline>
        </w:rPr>
        <w:sectPr>
          <w:footerReference r:id="rId11" w:type="default"/>
          <w:pgSz w:w="11906" w:h="16839"/>
          <w:pgMar w:top="1431" w:right="1158" w:bottom="1362" w:left="1151" w:header="0" w:footer="1200" w:gutter="0"/>
          <w:pgNumType w:fmt="decimal"/>
          <w:cols w:space="720" w:num="1"/>
        </w:sectPr>
      </w:pPr>
    </w:p>
    <w:p w14:paraId="0F24763A">
      <w:pPr>
        <w:snapToGrid w:val="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附表 3:</w:t>
      </w:r>
    </w:p>
    <w:p w14:paraId="5924576E">
      <w:pPr>
        <w:pStyle w:val="11"/>
        <w:keepNext w:val="0"/>
        <w:keepLines w:val="0"/>
        <w:pageBreakBefore w:val="0"/>
        <w:widowControl w:val="0"/>
        <w:kinsoku/>
        <w:wordWrap/>
        <w:overflowPunct/>
        <w:topLinePunct w:val="0"/>
        <w:autoSpaceDE/>
        <w:autoSpaceDN/>
        <w:bidi w:val="0"/>
        <w:adjustRightInd/>
        <w:snapToGrid/>
        <w:spacing w:after="0" w:line="400" w:lineRule="atLeast"/>
        <w:ind w:left="0"/>
        <w:jc w:val="center"/>
        <w:textAlignment w:val="auto"/>
        <w:rPr>
          <w:color w:val="auto"/>
          <w:sz w:val="24"/>
          <w:szCs w:val="24"/>
          <w:highlight w:val="none"/>
        </w:rPr>
      </w:pPr>
      <w:r>
        <w:rPr>
          <w:color w:val="auto"/>
          <w:spacing w:val="9"/>
          <w:sz w:val="24"/>
          <w:szCs w:val="24"/>
          <w:highlight w:val="none"/>
          <w14:textOutline w14:w="5793" w14:cap="sq" w14:cmpd="sng">
            <w14:solidFill>
              <w14:srgbClr w14:val="000000"/>
            </w14:solidFill>
            <w14:prstDash w14:val="solid"/>
            <w14:bevel/>
          </w14:textOutline>
        </w:rPr>
        <w:t>政府采购项目合同验收报告（格式）</w:t>
      </w:r>
    </w:p>
    <w:p w14:paraId="47A4F67D">
      <w:pPr>
        <w:spacing w:line="242" w:lineRule="auto"/>
        <w:rPr>
          <w:rFonts w:ascii="Arial"/>
          <w:color w:val="auto"/>
          <w:sz w:val="21"/>
          <w:highlight w:val="none"/>
        </w:rPr>
      </w:pPr>
    </w:p>
    <w:p w14:paraId="5534D457">
      <w:pPr>
        <w:spacing w:line="243" w:lineRule="auto"/>
        <w:rPr>
          <w:rFonts w:ascii="Arial"/>
          <w:color w:val="auto"/>
          <w:sz w:val="21"/>
          <w:highlight w:val="none"/>
        </w:rPr>
      </w:pPr>
    </w:p>
    <w:p w14:paraId="3260EC86">
      <w:pPr>
        <w:spacing w:line="243" w:lineRule="auto"/>
        <w:rPr>
          <w:rFonts w:ascii="Arial"/>
          <w:color w:val="auto"/>
          <w:sz w:val="21"/>
          <w:highlight w:val="none"/>
        </w:rPr>
      </w:pPr>
    </w:p>
    <w:p w14:paraId="39FBD880">
      <w:pPr>
        <w:spacing w:before="65" w:line="229" w:lineRule="auto"/>
        <w:jc w:val="right"/>
        <w:rPr>
          <w:rFonts w:ascii="仿宋" w:hAnsi="仿宋" w:eastAsia="仿宋" w:cs="仿宋"/>
          <w:color w:val="auto"/>
          <w:sz w:val="20"/>
          <w:szCs w:val="20"/>
          <w:highlight w:val="none"/>
        </w:rPr>
      </w:pPr>
      <w:r>
        <w:rPr>
          <w:rFonts w:ascii="仿宋" w:hAnsi="仿宋" w:eastAsia="仿宋" w:cs="仿宋"/>
          <w:color w:val="auto"/>
          <w:spacing w:val="7"/>
          <w:sz w:val="20"/>
          <w:szCs w:val="20"/>
          <w:highlight w:val="none"/>
        </w:rPr>
        <w:t>根据政府采购项目（</w:t>
      </w:r>
      <w:r>
        <w:rPr>
          <w:rFonts w:ascii="仿宋" w:hAnsi="仿宋" w:eastAsia="仿宋" w:cs="仿宋"/>
          <w:color w:val="auto"/>
          <w:spacing w:val="7"/>
          <w:sz w:val="20"/>
          <w:szCs w:val="20"/>
          <w:highlight w:val="none"/>
          <w:u w:val="single" w:color="auto"/>
        </w:rPr>
        <w:t>采购合同编号</w:t>
      </w:r>
      <w:r>
        <w:rPr>
          <w:rFonts w:ascii="仿宋" w:hAnsi="仿宋" w:eastAsia="仿宋" w:cs="仿宋"/>
          <w:color w:val="auto"/>
          <w:spacing w:val="2"/>
          <w:sz w:val="20"/>
          <w:szCs w:val="20"/>
          <w:highlight w:val="none"/>
          <w:u w:val="single" w:color="auto"/>
        </w:rPr>
        <w:t>：</w:t>
      </w:r>
      <w:r>
        <w:rPr>
          <w:rFonts w:ascii="仿宋" w:hAnsi="仿宋" w:eastAsia="仿宋" w:cs="仿宋"/>
          <w:color w:val="auto"/>
          <w:spacing w:val="17"/>
          <w:sz w:val="20"/>
          <w:szCs w:val="20"/>
          <w:highlight w:val="none"/>
          <w:u w:val="single" w:color="auto"/>
        </w:rPr>
        <w:t xml:space="preserve"> </w:t>
      </w:r>
      <w:r>
        <w:rPr>
          <w:rFonts w:ascii="仿宋" w:hAnsi="仿宋" w:eastAsia="仿宋" w:cs="仿宋"/>
          <w:color w:val="auto"/>
          <w:spacing w:val="-70"/>
          <w:sz w:val="20"/>
          <w:szCs w:val="20"/>
          <w:highlight w:val="none"/>
        </w:rPr>
        <w:t xml:space="preserve"> </w:t>
      </w:r>
      <w:r>
        <w:rPr>
          <w:rFonts w:ascii="仿宋" w:hAnsi="仿宋" w:eastAsia="仿宋" w:cs="仿宋"/>
          <w:color w:val="auto"/>
          <w:spacing w:val="2"/>
          <w:sz w:val="20"/>
          <w:szCs w:val="20"/>
          <w:highlight w:val="none"/>
        </w:rPr>
        <w:t>）</w:t>
      </w:r>
      <w:r>
        <w:rPr>
          <w:rFonts w:ascii="仿宋" w:hAnsi="仿宋" w:eastAsia="仿宋" w:cs="仿宋"/>
          <w:color w:val="auto"/>
          <w:spacing w:val="7"/>
          <w:sz w:val="20"/>
          <w:szCs w:val="20"/>
          <w:highlight w:val="none"/>
        </w:rPr>
        <w:t>的约定，我单位对（</w:t>
      </w:r>
      <w:r>
        <w:rPr>
          <w:rFonts w:ascii="仿宋" w:hAnsi="仿宋" w:eastAsia="仿宋" w:cs="仿宋"/>
          <w:color w:val="auto"/>
          <w:spacing w:val="53"/>
          <w:sz w:val="20"/>
          <w:szCs w:val="20"/>
          <w:highlight w:val="none"/>
          <w:u w:val="single" w:color="auto"/>
        </w:rPr>
        <w:t xml:space="preserve"> </w:t>
      </w:r>
      <w:r>
        <w:rPr>
          <w:rFonts w:ascii="仿宋" w:hAnsi="仿宋" w:eastAsia="仿宋" w:cs="仿宋"/>
          <w:color w:val="auto"/>
          <w:spacing w:val="7"/>
          <w:sz w:val="20"/>
          <w:szCs w:val="20"/>
          <w:highlight w:val="none"/>
          <w:u w:val="single" w:color="auto"/>
        </w:rPr>
        <w:t>项目名称</w:t>
      </w:r>
      <w:r>
        <w:rPr>
          <w:rFonts w:ascii="仿宋" w:hAnsi="仿宋" w:eastAsia="仿宋" w:cs="仿宋"/>
          <w:color w:val="auto"/>
          <w:spacing w:val="38"/>
          <w:sz w:val="20"/>
          <w:szCs w:val="20"/>
          <w:highlight w:val="none"/>
          <w:u w:val="single" w:color="auto"/>
        </w:rPr>
        <w:t xml:space="preserve"> </w:t>
      </w:r>
      <w:r>
        <w:rPr>
          <w:rFonts w:ascii="仿宋" w:hAnsi="仿宋" w:eastAsia="仿宋" w:cs="仿宋"/>
          <w:color w:val="auto"/>
          <w:spacing w:val="7"/>
          <w:sz w:val="20"/>
          <w:szCs w:val="20"/>
          <w:highlight w:val="none"/>
        </w:rPr>
        <w:t>）政府采购项目中</w:t>
      </w:r>
      <w:r>
        <w:rPr>
          <w:rFonts w:ascii="仿宋" w:hAnsi="仿宋" w:eastAsia="仿宋" w:cs="仿宋"/>
          <w:color w:val="auto"/>
          <w:spacing w:val="6"/>
          <w:sz w:val="20"/>
          <w:szCs w:val="20"/>
          <w:highlight w:val="none"/>
        </w:rPr>
        <w:t>标（或成</w:t>
      </w:r>
    </w:p>
    <w:p w14:paraId="7C2BDB86">
      <w:pPr>
        <w:spacing w:before="73" w:line="221" w:lineRule="auto"/>
        <w:rPr>
          <w:rFonts w:ascii="仿宋" w:hAnsi="仿宋" w:eastAsia="仿宋" w:cs="仿宋"/>
          <w:color w:val="auto"/>
          <w:sz w:val="20"/>
          <w:szCs w:val="20"/>
          <w:highlight w:val="none"/>
        </w:rPr>
      </w:pPr>
      <w:r>
        <w:rPr>
          <w:rFonts w:ascii="仿宋" w:hAnsi="仿宋" w:eastAsia="仿宋" w:cs="仿宋"/>
          <w:color w:val="auto"/>
          <w:spacing w:val="6"/>
          <w:sz w:val="20"/>
          <w:szCs w:val="20"/>
          <w:highlight w:val="none"/>
        </w:rPr>
        <w:t>交）供应商</w:t>
      </w:r>
      <w:r>
        <w:rPr>
          <w:rFonts w:ascii="仿宋" w:hAnsi="仿宋" w:eastAsia="仿宋" w:cs="仿宋"/>
          <w:color w:val="auto"/>
          <w:spacing w:val="6"/>
          <w:sz w:val="20"/>
          <w:szCs w:val="20"/>
          <w:highlight w:val="none"/>
          <w:u w:val="single" w:color="auto"/>
        </w:rPr>
        <w:t>（</w:t>
      </w:r>
      <w:r>
        <w:rPr>
          <w:rFonts w:ascii="仿宋" w:hAnsi="仿宋" w:eastAsia="仿宋" w:cs="仿宋"/>
          <w:color w:val="auto"/>
          <w:spacing w:val="72"/>
          <w:sz w:val="20"/>
          <w:szCs w:val="20"/>
          <w:highlight w:val="none"/>
          <w:u w:val="single" w:color="auto"/>
        </w:rPr>
        <w:t xml:space="preserve"> </w:t>
      </w:r>
      <w:r>
        <w:rPr>
          <w:rFonts w:ascii="仿宋" w:hAnsi="仿宋" w:eastAsia="仿宋" w:cs="仿宋"/>
          <w:color w:val="auto"/>
          <w:spacing w:val="6"/>
          <w:sz w:val="20"/>
          <w:szCs w:val="20"/>
          <w:highlight w:val="none"/>
          <w:u w:val="single" w:color="auto"/>
        </w:rPr>
        <w:t>公司名称</w:t>
      </w:r>
      <w:r>
        <w:rPr>
          <w:rFonts w:ascii="仿宋" w:hAnsi="仿宋" w:eastAsia="仿宋" w:cs="仿宋"/>
          <w:color w:val="auto"/>
          <w:spacing w:val="38"/>
          <w:sz w:val="20"/>
          <w:szCs w:val="20"/>
          <w:highlight w:val="none"/>
          <w:u w:val="single" w:color="auto"/>
        </w:rPr>
        <w:t xml:space="preserve"> </w:t>
      </w:r>
      <w:r>
        <w:rPr>
          <w:rFonts w:ascii="仿宋" w:hAnsi="仿宋" w:eastAsia="仿宋" w:cs="仿宋"/>
          <w:color w:val="auto"/>
          <w:spacing w:val="6"/>
          <w:sz w:val="20"/>
          <w:szCs w:val="20"/>
          <w:highlight w:val="none"/>
          <w:u w:val="single" w:color="auto"/>
        </w:rPr>
        <w:t xml:space="preserve">） </w:t>
      </w:r>
      <w:r>
        <w:rPr>
          <w:rFonts w:ascii="仿宋" w:hAnsi="仿宋" w:eastAsia="仿宋" w:cs="仿宋"/>
          <w:color w:val="auto"/>
          <w:spacing w:val="-84"/>
          <w:sz w:val="20"/>
          <w:szCs w:val="20"/>
          <w:highlight w:val="none"/>
        </w:rPr>
        <w:t xml:space="preserve"> </w:t>
      </w:r>
      <w:r>
        <w:rPr>
          <w:rFonts w:ascii="仿宋" w:hAnsi="仿宋" w:eastAsia="仿宋" w:cs="仿宋"/>
          <w:color w:val="auto"/>
          <w:spacing w:val="6"/>
          <w:sz w:val="20"/>
          <w:szCs w:val="20"/>
          <w:highlight w:val="none"/>
        </w:rPr>
        <w:t>提供的货物（或工程、服务）进行了验收，验收情况如下：</w:t>
      </w:r>
    </w:p>
    <w:tbl>
      <w:tblPr>
        <w:tblStyle w:val="50"/>
        <w:tblW w:w="8449" w:type="dxa"/>
        <w:tblInd w:w="5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8"/>
        <w:gridCol w:w="1917"/>
        <w:gridCol w:w="695"/>
        <w:gridCol w:w="102"/>
        <w:gridCol w:w="2100"/>
        <w:gridCol w:w="178"/>
        <w:gridCol w:w="684"/>
        <w:gridCol w:w="1435"/>
      </w:tblGrid>
      <w:tr w14:paraId="508E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255" w:type="dxa"/>
            <w:gridSpan w:val="2"/>
            <w:vAlign w:val="top"/>
          </w:tcPr>
          <w:p w14:paraId="6FCB3C77">
            <w:pPr>
              <w:pStyle w:val="49"/>
              <w:spacing w:before="172" w:line="228" w:lineRule="auto"/>
              <w:ind w:left="1103"/>
              <w:rPr>
                <w:color w:val="auto"/>
                <w:highlight w:val="none"/>
              </w:rPr>
            </w:pPr>
            <w:r>
              <w:rPr>
                <w:color w:val="auto"/>
                <w:spacing w:val="6"/>
                <w:highlight w:val="none"/>
              </w:rPr>
              <w:t>验收方式：</w:t>
            </w:r>
          </w:p>
        </w:tc>
        <w:tc>
          <w:tcPr>
            <w:tcW w:w="5194" w:type="dxa"/>
            <w:gridSpan w:val="6"/>
            <w:vAlign w:val="top"/>
          </w:tcPr>
          <w:p w14:paraId="70725F0A">
            <w:pPr>
              <w:pStyle w:val="49"/>
              <w:spacing w:before="172" w:line="196" w:lineRule="auto"/>
              <w:ind w:left="1823"/>
              <w:rPr>
                <w:color w:val="auto"/>
                <w:highlight w:val="none"/>
              </w:rPr>
            </w:pPr>
            <w:r>
              <w:rPr>
                <w:rFonts w:ascii="微软雅黑" w:hAnsi="微软雅黑" w:eastAsia="微软雅黑" w:cs="微软雅黑"/>
                <w:color w:val="auto"/>
                <w:spacing w:val="-15"/>
                <w:highlight w:val="none"/>
              </w:rPr>
              <w:t>口</w:t>
            </w:r>
            <w:r>
              <w:rPr>
                <w:rFonts w:ascii="微软雅黑" w:hAnsi="微软雅黑" w:eastAsia="微软雅黑" w:cs="微软雅黑"/>
                <w:color w:val="auto"/>
                <w:spacing w:val="-13"/>
                <w:highlight w:val="none"/>
              </w:rPr>
              <w:t xml:space="preserve"> </w:t>
            </w:r>
            <w:r>
              <w:rPr>
                <w:color w:val="auto"/>
                <w:spacing w:val="-15"/>
                <w:highlight w:val="none"/>
              </w:rPr>
              <w:t>自行验收</w:t>
            </w:r>
            <w:r>
              <w:rPr>
                <w:color w:val="auto"/>
                <w:spacing w:val="23"/>
                <w:highlight w:val="none"/>
              </w:rPr>
              <w:t xml:space="preserve"> </w:t>
            </w:r>
            <w:r>
              <w:rPr>
                <w:rFonts w:ascii="微软雅黑" w:hAnsi="微软雅黑" w:eastAsia="微软雅黑" w:cs="微软雅黑"/>
                <w:color w:val="auto"/>
                <w:spacing w:val="-15"/>
                <w:highlight w:val="none"/>
              </w:rPr>
              <w:t>口</w:t>
            </w:r>
            <w:r>
              <w:rPr>
                <w:color w:val="auto"/>
                <w:spacing w:val="-15"/>
                <w:highlight w:val="none"/>
              </w:rPr>
              <w:t>委托验收</w:t>
            </w:r>
          </w:p>
        </w:tc>
      </w:tr>
      <w:tr w14:paraId="6E3AE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8" w:type="dxa"/>
            <w:vAlign w:val="top"/>
          </w:tcPr>
          <w:p w14:paraId="027DDFF4">
            <w:pPr>
              <w:pStyle w:val="49"/>
              <w:spacing w:before="234" w:line="229" w:lineRule="auto"/>
              <w:ind w:left="458"/>
              <w:rPr>
                <w:color w:val="auto"/>
                <w:highlight w:val="none"/>
              </w:rPr>
            </w:pPr>
            <w:r>
              <w:rPr>
                <w:color w:val="auto"/>
                <w:spacing w:val="5"/>
                <w:highlight w:val="none"/>
              </w:rPr>
              <w:t>序号</w:t>
            </w:r>
          </w:p>
        </w:tc>
        <w:tc>
          <w:tcPr>
            <w:tcW w:w="1917" w:type="dxa"/>
            <w:vAlign w:val="top"/>
          </w:tcPr>
          <w:p w14:paraId="3A3191EF">
            <w:pPr>
              <w:pStyle w:val="49"/>
              <w:spacing w:before="234" w:line="230" w:lineRule="auto"/>
              <w:ind w:left="698"/>
              <w:rPr>
                <w:color w:val="auto"/>
                <w:highlight w:val="none"/>
              </w:rPr>
            </w:pPr>
            <w:r>
              <w:rPr>
                <w:color w:val="auto"/>
                <w:highlight w:val="none"/>
              </w:rPr>
              <w:t>名</w:t>
            </w:r>
            <w:r>
              <w:rPr>
                <w:color w:val="auto"/>
                <w:spacing w:val="12"/>
                <w:highlight w:val="none"/>
              </w:rPr>
              <w:t xml:space="preserve"> </w:t>
            </w:r>
            <w:r>
              <w:rPr>
                <w:color w:val="auto"/>
                <w:highlight w:val="none"/>
              </w:rPr>
              <w:t>称</w:t>
            </w:r>
          </w:p>
        </w:tc>
        <w:tc>
          <w:tcPr>
            <w:tcW w:w="2897" w:type="dxa"/>
            <w:gridSpan w:val="3"/>
            <w:vAlign w:val="top"/>
          </w:tcPr>
          <w:p w14:paraId="6842375A">
            <w:pPr>
              <w:pStyle w:val="49"/>
              <w:spacing w:before="75" w:line="227" w:lineRule="auto"/>
              <w:ind w:left="91"/>
              <w:rPr>
                <w:color w:val="auto"/>
                <w:highlight w:val="none"/>
              </w:rPr>
            </w:pPr>
            <w:r>
              <w:rPr>
                <w:color w:val="auto"/>
                <w:spacing w:val="8"/>
                <w:highlight w:val="none"/>
              </w:rPr>
              <w:t>货物型号规格、标准及配置等</w:t>
            </w:r>
          </w:p>
          <w:p w14:paraId="1FB7A3D5">
            <w:pPr>
              <w:pStyle w:val="49"/>
              <w:spacing w:before="73" w:line="220" w:lineRule="auto"/>
              <w:ind w:left="411"/>
              <w:rPr>
                <w:color w:val="auto"/>
                <w:highlight w:val="none"/>
              </w:rPr>
            </w:pPr>
            <w:r>
              <w:rPr>
                <w:color w:val="auto"/>
                <w:spacing w:val="7"/>
                <w:highlight w:val="none"/>
              </w:rPr>
              <w:t>（或服务内容、标准）</w:t>
            </w:r>
          </w:p>
        </w:tc>
        <w:tc>
          <w:tcPr>
            <w:tcW w:w="862" w:type="dxa"/>
            <w:gridSpan w:val="2"/>
            <w:vAlign w:val="top"/>
          </w:tcPr>
          <w:p w14:paraId="5A404929">
            <w:pPr>
              <w:pStyle w:val="49"/>
              <w:spacing w:before="234" w:line="228" w:lineRule="auto"/>
              <w:ind w:left="227"/>
              <w:rPr>
                <w:color w:val="auto"/>
                <w:highlight w:val="none"/>
              </w:rPr>
            </w:pPr>
            <w:r>
              <w:rPr>
                <w:color w:val="auto"/>
                <w:spacing w:val="3"/>
                <w:highlight w:val="none"/>
              </w:rPr>
              <w:t>数量</w:t>
            </w:r>
          </w:p>
        </w:tc>
        <w:tc>
          <w:tcPr>
            <w:tcW w:w="1435" w:type="dxa"/>
            <w:vAlign w:val="top"/>
          </w:tcPr>
          <w:p w14:paraId="7F948F06">
            <w:pPr>
              <w:pStyle w:val="49"/>
              <w:spacing w:before="234" w:line="228" w:lineRule="auto"/>
              <w:ind w:left="459"/>
              <w:rPr>
                <w:color w:val="auto"/>
                <w:highlight w:val="none"/>
              </w:rPr>
            </w:pPr>
            <w:r>
              <w:rPr>
                <w:color w:val="auto"/>
                <w:highlight w:val="none"/>
              </w:rPr>
              <w:t>金</w:t>
            </w:r>
            <w:r>
              <w:rPr>
                <w:color w:val="auto"/>
                <w:spacing w:val="13"/>
                <w:highlight w:val="none"/>
              </w:rPr>
              <w:t xml:space="preserve"> </w:t>
            </w:r>
            <w:r>
              <w:rPr>
                <w:color w:val="auto"/>
                <w:highlight w:val="none"/>
              </w:rPr>
              <w:t>额</w:t>
            </w:r>
          </w:p>
        </w:tc>
      </w:tr>
      <w:tr w14:paraId="72B03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0953963F">
            <w:pPr>
              <w:rPr>
                <w:rFonts w:ascii="Arial"/>
                <w:color w:val="auto"/>
                <w:sz w:val="21"/>
                <w:highlight w:val="none"/>
              </w:rPr>
            </w:pPr>
          </w:p>
        </w:tc>
        <w:tc>
          <w:tcPr>
            <w:tcW w:w="1917" w:type="dxa"/>
            <w:vAlign w:val="top"/>
          </w:tcPr>
          <w:p w14:paraId="6AFDA322">
            <w:pPr>
              <w:rPr>
                <w:rFonts w:ascii="Arial"/>
                <w:color w:val="auto"/>
                <w:sz w:val="21"/>
                <w:highlight w:val="none"/>
              </w:rPr>
            </w:pPr>
          </w:p>
        </w:tc>
        <w:tc>
          <w:tcPr>
            <w:tcW w:w="2897" w:type="dxa"/>
            <w:gridSpan w:val="3"/>
            <w:vAlign w:val="top"/>
          </w:tcPr>
          <w:p w14:paraId="37FEF4DC">
            <w:pPr>
              <w:rPr>
                <w:rFonts w:ascii="Arial"/>
                <w:color w:val="auto"/>
                <w:sz w:val="21"/>
                <w:highlight w:val="none"/>
              </w:rPr>
            </w:pPr>
          </w:p>
        </w:tc>
        <w:tc>
          <w:tcPr>
            <w:tcW w:w="862" w:type="dxa"/>
            <w:gridSpan w:val="2"/>
            <w:vAlign w:val="top"/>
          </w:tcPr>
          <w:p w14:paraId="6682AE42">
            <w:pPr>
              <w:rPr>
                <w:rFonts w:ascii="Arial"/>
                <w:color w:val="auto"/>
                <w:sz w:val="21"/>
                <w:highlight w:val="none"/>
              </w:rPr>
            </w:pPr>
          </w:p>
        </w:tc>
        <w:tc>
          <w:tcPr>
            <w:tcW w:w="1435" w:type="dxa"/>
            <w:vAlign w:val="top"/>
          </w:tcPr>
          <w:p w14:paraId="3C91EB27">
            <w:pPr>
              <w:rPr>
                <w:rFonts w:ascii="Arial"/>
                <w:color w:val="auto"/>
                <w:sz w:val="21"/>
                <w:highlight w:val="none"/>
              </w:rPr>
            </w:pPr>
          </w:p>
        </w:tc>
      </w:tr>
      <w:tr w14:paraId="2E65B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6B706830">
            <w:pPr>
              <w:rPr>
                <w:rFonts w:ascii="Arial"/>
                <w:color w:val="auto"/>
                <w:sz w:val="21"/>
                <w:highlight w:val="none"/>
              </w:rPr>
            </w:pPr>
          </w:p>
        </w:tc>
        <w:tc>
          <w:tcPr>
            <w:tcW w:w="1917" w:type="dxa"/>
            <w:vAlign w:val="top"/>
          </w:tcPr>
          <w:p w14:paraId="423B3C98">
            <w:pPr>
              <w:rPr>
                <w:rFonts w:ascii="Arial"/>
                <w:color w:val="auto"/>
                <w:sz w:val="21"/>
                <w:highlight w:val="none"/>
              </w:rPr>
            </w:pPr>
          </w:p>
        </w:tc>
        <w:tc>
          <w:tcPr>
            <w:tcW w:w="2897" w:type="dxa"/>
            <w:gridSpan w:val="3"/>
            <w:vAlign w:val="top"/>
          </w:tcPr>
          <w:p w14:paraId="7A9839A3">
            <w:pPr>
              <w:rPr>
                <w:rFonts w:ascii="Arial"/>
                <w:color w:val="auto"/>
                <w:sz w:val="21"/>
                <w:highlight w:val="none"/>
              </w:rPr>
            </w:pPr>
          </w:p>
        </w:tc>
        <w:tc>
          <w:tcPr>
            <w:tcW w:w="862" w:type="dxa"/>
            <w:gridSpan w:val="2"/>
            <w:vAlign w:val="top"/>
          </w:tcPr>
          <w:p w14:paraId="79AAB823">
            <w:pPr>
              <w:rPr>
                <w:rFonts w:ascii="Arial"/>
                <w:color w:val="auto"/>
                <w:sz w:val="21"/>
                <w:highlight w:val="none"/>
              </w:rPr>
            </w:pPr>
          </w:p>
        </w:tc>
        <w:tc>
          <w:tcPr>
            <w:tcW w:w="1435" w:type="dxa"/>
            <w:vAlign w:val="top"/>
          </w:tcPr>
          <w:p w14:paraId="4285B0DC">
            <w:pPr>
              <w:rPr>
                <w:rFonts w:ascii="Arial"/>
                <w:color w:val="auto"/>
                <w:sz w:val="21"/>
                <w:highlight w:val="none"/>
              </w:rPr>
            </w:pPr>
          </w:p>
        </w:tc>
      </w:tr>
      <w:tr w14:paraId="0EEBB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338" w:type="dxa"/>
            <w:vAlign w:val="top"/>
          </w:tcPr>
          <w:p w14:paraId="215648FF">
            <w:pPr>
              <w:rPr>
                <w:rFonts w:ascii="Arial"/>
                <w:color w:val="auto"/>
                <w:sz w:val="21"/>
                <w:highlight w:val="none"/>
              </w:rPr>
            </w:pPr>
          </w:p>
        </w:tc>
        <w:tc>
          <w:tcPr>
            <w:tcW w:w="1917" w:type="dxa"/>
            <w:vAlign w:val="top"/>
          </w:tcPr>
          <w:p w14:paraId="19D05297">
            <w:pPr>
              <w:rPr>
                <w:rFonts w:ascii="Arial"/>
                <w:color w:val="auto"/>
                <w:sz w:val="21"/>
                <w:highlight w:val="none"/>
              </w:rPr>
            </w:pPr>
          </w:p>
        </w:tc>
        <w:tc>
          <w:tcPr>
            <w:tcW w:w="2897" w:type="dxa"/>
            <w:gridSpan w:val="3"/>
            <w:vAlign w:val="top"/>
          </w:tcPr>
          <w:p w14:paraId="6A85A9A3">
            <w:pPr>
              <w:rPr>
                <w:rFonts w:ascii="Arial"/>
                <w:color w:val="auto"/>
                <w:sz w:val="21"/>
                <w:highlight w:val="none"/>
              </w:rPr>
            </w:pPr>
          </w:p>
        </w:tc>
        <w:tc>
          <w:tcPr>
            <w:tcW w:w="862" w:type="dxa"/>
            <w:gridSpan w:val="2"/>
            <w:vAlign w:val="top"/>
          </w:tcPr>
          <w:p w14:paraId="2C5FDB8D">
            <w:pPr>
              <w:rPr>
                <w:rFonts w:ascii="Arial"/>
                <w:color w:val="auto"/>
                <w:sz w:val="21"/>
                <w:highlight w:val="none"/>
              </w:rPr>
            </w:pPr>
          </w:p>
        </w:tc>
        <w:tc>
          <w:tcPr>
            <w:tcW w:w="1435" w:type="dxa"/>
            <w:vAlign w:val="top"/>
          </w:tcPr>
          <w:p w14:paraId="606DAF40">
            <w:pPr>
              <w:rPr>
                <w:rFonts w:ascii="Arial"/>
                <w:color w:val="auto"/>
                <w:sz w:val="21"/>
                <w:highlight w:val="none"/>
              </w:rPr>
            </w:pPr>
          </w:p>
        </w:tc>
      </w:tr>
      <w:tr w14:paraId="496C5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152" w:type="dxa"/>
            <w:gridSpan w:val="5"/>
            <w:vAlign w:val="top"/>
          </w:tcPr>
          <w:p w14:paraId="4D3C1D8E">
            <w:pPr>
              <w:pStyle w:val="49"/>
              <w:spacing w:before="161" w:line="229" w:lineRule="auto"/>
              <w:ind w:left="2821"/>
              <w:rPr>
                <w:color w:val="auto"/>
                <w:highlight w:val="none"/>
              </w:rPr>
            </w:pPr>
            <w:r>
              <w:rPr>
                <w:color w:val="auto"/>
                <w:highlight w:val="none"/>
              </w:rPr>
              <w:t>合</w:t>
            </w:r>
            <w:r>
              <w:rPr>
                <w:color w:val="auto"/>
                <w:spacing w:val="13"/>
                <w:highlight w:val="none"/>
              </w:rPr>
              <w:t xml:space="preserve"> </w:t>
            </w:r>
            <w:r>
              <w:rPr>
                <w:color w:val="auto"/>
                <w:highlight w:val="none"/>
              </w:rPr>
              <w:t>计</w:t>
            </w:r>
          </w:p>
        </w:tc>
        <w:tc>
          <w:tcPr>
            <w:tcW w:w="862" w:type="dxa"/>
            <w:gridSpan w:val="2"/>
            <w:vAlign w:val="top"/>
          </w:tcPr>
          <w:p w14:paraId="0320ECA0">
            <w:pPr>
              <w:rPr>
                <w:rFonts w:ascii="Arial"/>
                <w:color w:val="auto"/>
                <w:sz w:val="21"/>
                <w:highlight w:val="none"/>
              </w:rPr>
            </w:pPr>
          </w:p>
        </w:tc>
        <w:tc>
          <w:tcPr>
            <w:tcW w:w="1435" w:type="dxa"/>
            <w:vAlign w:val="top"/>
          </w:tcPr>
          <w:p w14:paraId="6770E681">
            <w:pPr>
              <w:rPr>
                <w:rFonts w:ascii="Arial"/>
                <w:color w:val="auto"/>
                <w:sz w:val="21"/>
                <w:highlight w:val="none"/>
              </w:rPr>
            </w:pPr>
          </w:p>
        </w:tc>
      </w:tr>
      <w:tr w14:paraId="1CE67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8449" w:type="dxa"/>
            <w:gridSpan w:val="8"/>
            <w:vAlign w:val="top"/>
          </w:tcPr>
          <w:p w14:paraId="04D7B4B1">
            <w:pPr>
              <w:pStyle w:val="49"/>
              <w:spacing w:before="238" w:line="228" w:lineRule="auto"/>
              <w:ind w:left="15"/>
              <w:rPr>
                <w:color w:val="auto"/>
                <w:highlight w:val="none"/>
              </w:rPr>
            </w:pPr>
            <w:r>
              <w:rPr>
                <w:color w:val="auto"/>
                <w:spacing w:val="6"/>
                <w:highlight w:val="none"/>
              </w:rPr>
              <w:t>合计大写金额：</w:t>
            </w:r>
          </w:p>
        </w:tc>
      </w:tr>
      <w:tr w14:paraId="4D4A2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338" w:type="dxa"/>
            <w:vAlign w:val="top"/>
          </w:tcPr>
          <w:p w14:paraId="17EBA8CE">
            <w:pPr>
              <w:pStyle w:val="49"/>
              <w:spacing w:before="240" w:line="227" w:lineRule="auto"/>
              <w:ind w:left="44"/>
              <w:rPr>
                <w:color w:val="auto"/>
                <w:highlight w:val="none"/>
              </w:rPr>
            </w:pPr>
            <w:r>
              <w:rPr>
                <w:color w:val="auto"/>
                <w:spacing w:val="7"/>
                <w:highlight w:val="none"/>
              </w:rPr>
              <w:t>实际供货日期</w:t>
            </w:r>
          </w:p>
        </w:tc>
        <w:tc>
          <w:tcPr>
            <w:tcW w:w="2714" w:type="dxa"/>
            <w:gridSpan w:val="3"/>
            <w:vAlign w:val="top"/>
          </w:tcPr>
          <w:p w14:paraId="59218981">
            <w:pPr>
              <w:rPr>
                <w:rFonts w:ascii="Arial"/>
                <w:color w:val="auto"/>
                <w:sz w:val="21"/>
                <w:highlight w:val="none"/>
              </w:rPr>
            </w:pPr>
          </w:p>
        </w:tc>
        <w:tc>
          <w:tcPr>
            <w:tcW w:w="2278" w:type="dxa"/>
            <w:gridSpan w:val="2"/>
            <w:vAlign w:val="top"/>
          </w:tcPr>
          <w:p w14:paraId="5A6A2BD7">
            <w:pPr>
              <w:pStyle w:val="49"/>
              <w:spacing w:before="240" w:line="227" w:lineRule="auto"/>
              <w:ind w:left="324"/>
              <w:rPr>
                <w:color w:val="auto"/>
                <w:highlight w:val="none"/>
              </w:rPr>
            </w:pPr>
            <w:r>
              <w:rPr>
                <w:color w:val="auto"/>
                <w:spacing w:val="8"/>
                <w:highlight w:val="none"/>
              </w:rPr>
              <w:t>合同交货验收日期</w:t>
            </w:r>
          </w:p>
        </w:tc>
        <w:tc>
          <w:tcPr>
            <w:tcW w:w="2119" w:type="dxa"/>
            <w:gridSpan w:val="2"/>
            <w:vAlign w:val="top"/>
          </w:tcPr>
          <w:p w14:paraId="2BC2B305">
            <w:pPr>
              <w:rPr>
                <w:rFonts w:ascii="Arial"/>
                <w:color w:val="auto"/>
                <w:sz w:val="21"/>
                <w:highlight w:val="none"/>
              </w:rPr>
            </w:pPr>
          </w:p>
        </w:tc>
      </w:tr>
      <w:tr w14:paraId="4610A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38" w:type="dxa"/>
            <w:vAlign w:val="top"/>
          </w:tcPr>
          <w:p w14:paraId="0CAE0018">
            <w:pPr>
              <w:rPr>
                <w:rFonts w:ascii="Arial"/>
                <w:color w:val="auto"/>
                <w:sz w:val="21"/>
                <w:highlight w:val="none"/>
              </w:rPr>
            </w:pPr>
          </w:p>
        </w:tc>
        <w:tc>
          <w:tcPr>
            <w:tcW w:w="2714" w:type="dxa"/>
            <w:gridSpan w:val="3"/>
            <w:vAlign w:val="top"/>
          </w:tcPr>
          <w:p w14:paraId="21468774">
            <w:pPr>
              <w:rPr>
                <w:rFonts w:ascii="Arial"/>
                <w:color w:val="auto"/>
                <w:sz w:val="21"/>
                <w:highlight w:val="none"/>
              </w:rPr>
            </w:pPr>
          </w:p>
        </w:tc>
        <w:tc>
          <w:tcPr>
            <w:tcW w:w="2278" w:type="dxa"/>
            <w:gridSpan w:val="2"/>
            <w:vAlign w:val="top"/>
          </w:tcPr>
          <w:p w14:paraId="3702592B">
            <w:pPr>
              <w:rPr>
                <w:rFonts w:ascii="Arial"/>
                <w:color w:val="auto"/>
                <w:sz w:val="21"/>
                <w:highlight w:val="none"/>
              </w:rPr>
            </w:pPr>
          </w:p>
        </w:tc>
        <w:tc>
          <w:tcPr>
            <w:tcW w:w="2119" w:type="dxa"/>
            <w:gridSpan w:val="2"/>
            <w:vAlign w:val="top"/>
          </w:tcPr>
          <w:p w14:paraId="3567B769">
            <w:pPr>
              <w:rPr>
                <w:rFonts w:ascii="Arial"/>
                <w:color w:val="auto"/>
                <w:sz w:val="21"/>
                <w:highlight w:val="none"/>
              </w:rPr>
            </w:pPr>
          </w:p>
        </w:tc>
      </w:tr>
      <w:tr w14:paraId="67C3E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338" w:type="dxa"/>
            <w:vAlign w:val="top"/>
          </w:tcPr>
          <w:p w14:paraId="5DD386BB">
            <w:pPr>
              <w:spacing w:line="332" w:lineRule="auto"/>
              <w:rPr>
                <w:rFonts w:ascii="Arial"/>
                <w:color w:val="auto"/>
                <w:sz w:val="21"/>
                <w:highlight w:val="none"/>
              </w:rPr>
            </w:pPr>
          </w:p>
          <w:p w14:paraId="1F23F624">
            <w:pPr>
              <w:pStyle w:val="49"/>
              <w:spacing w:before="65" w:line="263" w:lineRule="auto"/>
              <w:ind w:left="113" w:right="171" w:hanging="3"/>
              <w:rPr>
                <w:color w:val="auto"/>
                <w:highlight w:val="none"/>
              </w:rPr>
            </w:pPr>
            <w:r>
              <w:rPr>
                <w:color w:val="auto"/>
                <w:spacing w:val="8"/>
                <w:highlight w:val="none"/>
              </w:rPr>
              <w:t>验收具体内</w:t>
            </w:r>
            <w:r>
              <w:rPr>
                <w:color w:val="auto"/>
                <w:highlight w:val="none"/>
              </w:rPr>
              <w:t xml:space="preserve"> 容</w:t>
            </w:r>
          </w:p>
        </w:tc>
        <w:tc>
          <w:tcPr>
            <w:tcW w:w="7111" w:type="dxa"/>
            <w:gridSpan w:val="7"/>
            <w:vAlign w:val="top"/>
          </w:tcPr>
          <w:p w14:paraId="6C286774">
            <w:pPr>
              <w:pStyle w:val="49"/>
              <w:spacing w:before="79" w:line="255" w:lineRule="auto"/>
              <w:ind w:left="103" w:right="103" w:firstLine="9"/>
              <w:rPr>
                <w:rFonts w:ascii="微软雅黑" w:hAnsi="微软雅黑" w:eastAsia="微软雅黑" w:cs="微软雅黑"/>
                <w:color w:val="auto"/>
                <w:highlight w:val="none"/>
              </w:rPr>
            </w:pPr>
            <w:r>
              <w:rPr>
                <w:color w:val="auto"/>
                <w:spacing w:val="8"/>
                <w:highlight w:val="none"/>
              </w:rPr>
              <w:t>（应按采购合同、采购文件、投标响应文件及验收方案等进行验收；并核对</w:t>
            </w:r>
            <w:r>
              <w:rPr>
                <w:color w:val="auto"/>
                <w:spacing w:val="14"/>
                <w:highlight w:val="none"/>
              </w:rPr>
              <w:t xml:space="preserve"> </w:t>
            </w:r>
            <w:r>
              <w:rPr>
                <w:color w:val="auto"/>
                <w:spacing w:val="9"/>
                <w:highlight w:val="none"/>
              </w:rPr>
              <w:t>中标或者成交供应商在安装调试等方面是否违反合同</w:t>
            </w:r>
            <w:r>
              <w:rPr>
                <w:color w:val="auto"/>
                <w:spacing w:val="8"/>
                <w:highlight w:val="none"/>
              </w:rPr>
              <w:t>约定或服务规范要求、</w:t>
            </w:r>
            <w:r>
              <w:rPr>
                <w:color w:val="auto"/>
                <w:highlight w:val="none"/>
              </w:rPr>
              <w:t xml:space="preserve"> </w:t>
            </w:r>
            <w:r>
              <w:rPr>
                <w:color w:val="auto"/>
                <w:spacing w:val="9"/>
                <w:highlight w:val="none"/>
              </w:rPr>
              <w:t xml:space="preserve">提供的质量保证证明材料是否齐全、应有的配件及附件是否达到合同约定  </w:t>
            </w:r>
            <w:r>
              <w:rPr>
                <w:color w:val="auto"/>
                <w:spacing w:val="11"/>
                <w:highlight w:val="none"/>
              </w:rPr>
              <w:t>等。可附件</w:t>
            </w:r>
            <w:r>
              <w:rPr>
                <w:rFonts w:ascii="微软雅黑" w:hAnsi="微软雅黑" w:eastAsia="微软雅黑" w:cs="微软雅黑"/>
                <w:color w:val="auto"/>
                <w:spacing w:val="11"/>
                <w:highlight w:val="none"/>
              </w:rPr>
              <w:t>)</w:t>
            </w:r>
          </w:p>
        </w:tc>
      </w:tr>
      <w:tr w14:paraId="2DF1C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4" w:hRule="atLeast"/>
        </w:trPr>
        <w:tc>
          <w:tcPr>
            <w:tcW w:w="1338" w:type="dxa"/>
            <w:vMerge w:val="restart"/>
            <w:tcBorders>
              <w:bottom w:val="nil"/>
            </w:tcBorders>
            <w:vAlign w:val="top"/>
          </w:tcPr>
          <w:p w14:paraId="60D0AD9B">
            <w:pPr>
              <w:spacing w:line="267" w:lineRule="auto"/>
              <w:rPr>
                <w:rFonts w:ascii="Arial"/>
                <w:color w:val="auto"/>
                <w:sz w:val="21"/>
                <w:highlight w:val="none"/>
              </w:rPr>
            </w:pPr>
          </w:p>
          <w:p w14:paraId="10C4635E">
            <w:pPr>
              <w:spacing w:line="268" w:lineRule="auto"/>
              <w:rPr>
                <w:rFonts w:ascii="Arial"/>
                <w:color w:val="auto"/>
                <w:sz w:val="21"/>
                <w:highlight w:val="none"/>
              </w:rPr>
            </w:pPr>
          </w:p>
          <w:p w14:paraId="2A8F79FE">
            <w:pPr>
              <w:spacing w:line="268" w:lineRule="auto"/>
              <w:rPr>
                <w:rFonts w:ascii="Arial"/>
                <w:color w:val="auto"/>
                <w:sz w:val="21"/>
                <w:highlight w:val="none"/>
              </w:rPr>
            </w:pPr>
          </w:p>
          <w:p w14:paraId="2A1AEE68">
            <w:pPr>
              <w:pStyle w:val="49"/>
              <w:spacing w:before="66" w:line="261" w:lineRule="auto"/>
              <w:ind w:left="114" w:right="171" w:hanging="4"/>
              <w:rPr>
                <w:color w:val="auto"/>
                <w:highlight w:val="none"/>
              </w:rPr>
            </w:pPr>
            <w:r>
              <w:rPr>
                <w:color w:val="auto"/>
                <w:spacing w:val="8"/>
                <w:highlight w:val="none"/>
              </w:rPr>
              <w:t>验收小组意</w:t>
            </w:r>
            <w:r>
              <w:rPr>
                <w:color w:val="auto"/>
                <w:highlight w:val="none"/>
              </w:rPr>
              <w:t xml:space="preserve"> 见</w:t>
            </w:r>
          </w:p>
        </w:tc>
        <w:tc>
          <w:tcPr>
            <w:tcW w:w="7111" w:type="dxa"/>
            <w:gridSpan w:val="7"/>
            <w:vAlign w:val="top"/>
          </w:tcPr>
          <w:p w14:paraId="6FA2CDC6">
            <w:pPr>
              <w:spacing w:line="247" w:lineRule="auto"/>
              <w:rPr>
                <w:rFonts w:ascii="Arial"/>
                <w:color w:val="auto"/>
                <w:sz w:val="21"/>
                <w:highlight w:val="none"/>
              </w:rPr>
            </w:pPr>
          </w:p>
          <w:p w14:paraId="72C15BDE">
            <w:pPr>
              <w:spacing w:line="248" w:lineRule="auto"/>
              <w:rPr>
                <w:rFonts w:ascii="Arial"/>
                <w:color w:val="auto"/>
                <w:sz w:val="21"/>
                <w:highlight w:val="none"/>
              </w:rPr>
            </w:pPr>
          </w:p>
          <w:p w14:paraId="61D632D8">
            <w:pPr>
              <w:pStyle w:val="49"/>
              <w:spacing w:before="65" w:line="228" w:lineRule="auto"/>
              <w:ind w:left="5"/>
              <w:rPr>
                <w:color w:val="auto"/>
                <w:highlight w:val="none"/>
              </w:rPr>
            </w:pPr>
            <w:r>
              <w:rPr>
                <w:color w:val="auto"/>
                <w:spacing w:val="7"/>
                <w:highlight w:val="none"/>
              </w:rPr>
              <w:t>验收结论性意见：</w:t>
            </w:r>
          </w:p>
        </w:tc>
      </w:tr>
      <w:tr w14:paraId="134DD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1338" w:type="dxa"/>
            <w:vMerge w:val="continue"/>
            <w:tcBorders>
              <w:top w:val="nil"/>
            </w:tcBorders>
            <w:vAlign w:val="top"/>
          </w:tcPr>
          <w:p w14:paraId="4718284C">
            <w:pPr>
              <w:rPr>
                <w:rFonts w:ascii="Arial"/>
                <w:color w:val="auto"/>
                <w:sz w:val="21"/>
                <w:highlight w:val="none"/>
              </w:rPr>
            </w:pPr>
          </w:p>
        </w:tc>
        <w:tc>
          <w:tcPr>
            <w:tcW w:w="7111" w:type="dxa"/>
            <w:gridSpan w:val="7"/>
            <w:vAlign w:val="top"/>
          </w:tcPr>
          <w:p w14:paraId="035F078F">
            <w:pPr>
              <w:pStyle w:val="49"/>
              <w:spacing w:before="85" w:line="600" w:lineRule="exact"/>
              <w:ind w:left="7"/>
              <w:rPr>
                <w:color w:val="auto"/>
                <w:highlight w:val="none"/>
              </w:rPr>
            </w:pPr>
            <w:r>
              <w:rPr>
                <w:color w:val="auto"/>
                <w:spacing w:val="8"/>
                <w:position w:val="30"/>
                <w:highlight w:val="none"/>
              </w:rPr>
              <w:t>有异议的意见和说明理由：</w:t>
            </w:r>
          </w:p>
          <w:p w14:paraId="14170066">
            <w:pPr>
              <w:pStyle w:val="49"/>
              <w:spacing w:line="210" w:lineRule="auto"/>
              <w:ind w:left="6"/>
              <w:rPr>
                <w:color w:val="auto"/>
                <w:highlight w:val="none"/>
              </w:rPr>
            </w:pPr>
            <w:r>
              <w:rPr>
                <w:color w:val="auto"/>
                <w:spacing w:val="3"/>
                <w:highlight w:val="none"/>
              </w:rPr>
              <w:t>签字：</w:t>
            </w:r>
          </w:p>
        </w:tc>
      </w:tr>
      <w:tr w14:paraId="02CB3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8449" w:type="dxa"/>
            <w:gridSpan w:val="8"/>
            <w:vAlign w:val="top"/>
          </w:tcPr>
          <w:p w14:paraId="1BE25EF0">
            <w:pPr>
              <w:pStyle w:val="49"/>
              <w:spacing w:before="178" w:line="228" w:lineRule="auto"/>
              <w:ind w:left="110"/>
              <w:rPr>
                <w:color w:val="auto"/>
                <w:highlight w:val="none"/>
              </w:rPr>
            </w:pPr>
            <w:r>
              <w:rPr>
                <w:color w:val="auto"/>
                <w:spacing w:val="7"/>
                <w:highlight w:val="none"/>
              </w:rPr>
              <w:t>验收小组成员签字：</w:t>
            </w:r>
          </w:p>
        </w:tc>
      </w:tr>
      <w:tr w14:paraId="021E7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8449" w:type="dxa"/>
            <w:gridSpan w:val="8"/>
            <w:vAlign w:val="top"/>
          </w:tcPr>
          <w:p w14:paraId="4D235C0E">
            <w:pPr>
              <w:pStyle w:val="49"/>
              <w:spacing w:before="87" w:line="600" w:lineRule="exact"/>
              <w:ind w:left="111"/>
              <w:rPr>
                <w:color w:val="auto"/>
                <w:highlight w:val="none"/>
              </w:rPr>
            </w:pPr>
            <w:r>
              <w:rPr>
                <w:color w:val="auto"/>
                <w:spacing w:val="8"/>
                <w:position w:val="30"/>
                <w:highlight w:val="none"/>
              </w:rPr>
              <w:t>监督人员或其他相关人员签字：</w:t>
            </w:r>
          </w:p>
          <w:p w14:paraId="2200C612">
            <w:pPr>
              <w:pStyle w:val="49"/>
              <w:spacing w:line="209" w:lineRule="auto"/>
              <w:ind w:left="113"/>
              <w:rPr>
                <w:color w:val="auto"/>
                <w:highlight w:val="none"/>
              </w:rPr>
            </w:pPr>
            <w:r>
              <w:rPr>
                <w:color w:val="auto"/>
                <w:spacing w:val="8"/>
                <w:highlight w:val="none"/>
              </w:rPr>
              <w:t>或受邀机构的意见（盖章</w:t>
            </w:r>
            <w:r>
              <w:rPr>
                <w:color w:val="auto"/>
                <w:spacing w:val="4"/>
                <w:highlight w:val="none"/>
              </w:rPr>
              <w:t>）：</w:t>
            </w:r>
          </w:p>
        </w:tc>
      </w:tr>
      <w:tr w14:paraId="4093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3" w:hRule="atLeast"/>
        </w:trPr>
        <w:tc>
          <w:tcPr>
            <w:tcW w:w="3950" w:type="dxa"/>
            <w:gridSpan w:val="3"/>
            <w:tcBorders>
              <w:right w:val="single" w:color="000000" w:sz="2" w:space="0"/>
            </w:tcBorders>
            <w:vAlign w:val="top"/>
          </w:tcPr>
          <w:p w14:paraId="66BD67E2">
            <w:pPr>
              <w:pStyle w:val="49"/>
              <w:spacing w:before="89" w:line="600" w:lineRule="exact"/>
              <w:ind w:left="130"/>
              <w:rPr>
                <w:color w:val="auto"/>
                <w:highlight w:val="none"/>
              </w:rPr>
            </w:pPr>
            <w:r>
              <w:rPr>
                <w:color w:val="auto"/>
                <w:spacing w:val="7"/>
                <w:position w:val="30"/>
                <w:highlight w:val="none"/>
              </w:rPr>
              <w:t>中标或者成交供应商负责人签字或盖章：</w:t>
            </w:r>
          </w:p>
          <w:p w14:paraId="1D9B57CA">
            <w:pPr>
              <w:pStyle w:val="49"/>
              <w:spacing w:before="1" w:line="215" w:lineRule="auto"/>
              <w:ind w:left="111"/>
              <w:rPr>
                <w:color w:val="auto"/>
                <w:highlight w:val="none"/>
              </w:rPr>
            </w:pPr>
            <w:r>
              <w:rPr>
                <w:color w:val="auto"/>
                <w:spacing w:val="3"/>
                <w:highlight w:val="none"/>
              </w:rPr>
              <w:t>联系电话：</w:t>
            </w:r>
            <w:r>
              <w:rPr>
                <w:color w:val="auto"/>
                <w:spacing w:val="25"/>
                <w:highlight w:val="none"/>
              </w:rPr>
              <w:t xml:space="preserve"> </w:t>
            </w:r>
            <w:r>
              <w:rPr>
                <w:color w:val="auto"/>
                <w:spacing w:val="3"/>
                <w:highlight w:val="none"/>
              </w:rPr>
              <w:t>年</w:t>
            </w:r>
            <w:r>
              <w:rPr>
                <w:color w:val="auto"/>
                <w:spacing w:val="12"/>
                <w:highlight w:val="none"/>
              </w:rPr>
              <w:t xml:space="preserve">  </w:t>
            </w:r>
            <w:r>
              <w:rPr>
                <w:color w:val="auto"/>
                <w:spacing w:val="3"/>
                <w:highlight w:val="none"/>
              </w:rPr>
              <w:t>月</w:t>
            </w:r>
            <w:r>
              <w:rPr>
                <w:color w:val="auto"/>
                <w:spacing w:val="27"/>
                <w:highlight w:val="none"/>
              </w:rPr>
              <w:t xml:space="preserve">  </w:t>
            </w:r>
            <w:r>
              <w:rPr>
                <w:color w:val="auto"/>
                <w:spacing w:val="3"/>
                <w:highlight w:val="none"/>
              </w:rPr>
              <w:t>日</w:t>
            </w:r>
          </w:p>
        </w:tc>
        <w:tc>
          <w:tcPr>
            <w:tcW w:w="4499" w:type="dxa"/>
            <w:gridSpan w:val="5"/>
            <w:tcBorders>
              <w:left w:val="single" w:color="000000" w:sz="2" w:space="0"/>
            </w:tcBorders>
            <w:vAlign w:val="top"/>
          </w:tcPr>
          <w:p w14:paraId="12BDD415">
            <w:pPr>
              <w:pStyle w:val="49"/>
              <w:spacing w:before="89" w:line="600" w:lineRule="exact"/>
              <w:ind w:left="209"/>
              <w:rPr>
                <w:color w:val="auto"/>
                <w:highlight w:val="none"/>
              </w:rPr>
            </w:pPr>
            <w:r>
              <w:rPr>
                <w:color w:val="auto"/>
                <w:spacing w:val="9"/>
                <w:position w:val="30"/>
                <w:highlight w:val="none"/>
              </w:rPr>
              <w:t>采购人或受托机构的意见（盖章</w:t>
            </w:r>
            <w:r>
              <w:rPr>
                <w:color w:val="auto"/>
                <w:spacing w:val="1"/>
                <w:position w:val="30"/>
                <w:highlight w:val="none"/>
              </w:rPr>
              <w:t>）：</w:t>
            </w:r>
          </w:p>
          <w:p w14:paraId="71C4B848">
            <w:pPr>
              <w:pStyle w:val="49"/>
              <w:spacing w:before="1" w:line="215" w:lineRule="auto"/>
              <w:ind w:left="210"/>
              <w:rPr>
                <w:color w:val="auto"/>
                <w:highlight w:val="none"/>
              </w:rPr>
            </w:pPr>
            <w:r>
              <w:rPr>
                <w:color w:val="auto"/>
                <w:spacing w:val="3"/>
                <w:highlight w:val="none"/>
              </w:rPr>
              <w:t>联系电话：</w:t>
            </w:r>
            <w:r>
              <w:rPr>
                <w:color w:val="auto"/>
                <w:spacing w:val="25"/>
                <w:highlight w:val="none"/>
              </w:rPr>
              <w:t xml:space="preserve"> </w:t>
            </w:r>
            <w:r>
              <w:rPr>
                <w:color w:val="auto"/>
                <w:spacing w:val="3"/>
                <w:highlight w:val="none"/>
              </w:rPr>
              <w:t>年</w:t>
            </w:r>
            <w:r>
              <w:rPr>
                <w:color w:val="auto"/>
                <w:spacing w:val="12"/>
                <w:highlight w:val="none"/>
              </w:rPr>
              <w:t xml:space="preserve">  </w:t>
            </w:r>
            <w:r>
              <w:rPr>
                <w:color w:val="auto"/>
                <w:spacing w:val="3"/>
                <w:highlight w:val="none"/>
              </w:rPr>
              <w:t>月</w:t>
            </w:r>
            <w:r>
              <w:rPr>
                <w:color w:val="auto"/>
                <w:spacing w:val="27"/>
                <w:highlight w:val="none"/>
              </w:rPr>
              <w:t xml:space="preserve">  </w:t>
            </w:r>
            <w:r>
              <w:rPr>
                <w:color w:val="auto"/>
                <w:spacing w:val="3"/>
                <w:highlight w:val="none"/>
              </w:rPr>
              <w:t>日</w:t>
            </w:r>
          </w:p>
        </w:tc>
      </w:tr>
    </w:tbl>
    <w:p w14:paraId="25571EEF">
      <w:pPr>
        <w:rPr>
          <w:rFonts w:ascii="Arial"/>
          <w:color w:val="auto"/>
          <w:sz w:val="21"/>
          <w:highlight w:val="none"/>
        </w:rPr>
      </w:pPr>
    </w:p>
    <w:p w14:paraId="71E1CEC6">
      <w:pPr>
        <w:rPr>
          <w:rFonts w:ascii="Arial" w:hAnsi="Arial" w:eastAsia="Arial" w:cs="Arial"/>
          <w:color w:val="auto"/>
          <w:sz w:val="21"/>
          <w:szCs w:val="21"/>
          <w:highlight w:val="none"/>
        </w:rPr>
        <w:sectPr>
          <w:footerReference r:id="rId12" w:type="default"/>
          <w:pgSz w:w="11906" w:h="16839"/>
          <w:pgMar w:top="1431" w:right="1158" w:bottom="1362" w:left="1151" w:header="0" w:footer="1200" w:gutter="0"/>
          <w:pgNumType w:fmt="decimal"/>
          <w:cols w:space="720" w:num="1"/>
        </w:sectPr>
      </w:pPr>
    </w:p>
    <w:p w14:paraId="6D77FC53">
      <w:pPr>
        <w:keepNext w:val="0"/>
        <w:keepLines w:val="0"/>
        <w:pageBreakBefore w:val="0"/>
        <w:widowControl w:val="0"/>
        <w:kinsoku/>
        <w:wordWrap/>
        <w:overflowPunct/>
        <w:topLinePunct w:val="0"/>
        <w:autoSpaceDE/>
        <w:autoSpaceDN/>
        <w:bidi w:val="0"/>
        <w:adjustRightInd/>
        <w:snapToGrid/>
        <w:spacing w:line="231" w:lineRule="auto"/>
        <w:ind w:left="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6"/>
          <w:sz w:val="24"/>
          <w:szCs w:val="24"/>
          <w:highlight w:val="none"/>
        </w:rPr>
        <w:t>附表</w:t>
      </w:r>
      <w:r>
        <w:rPr>
          <w:rFonts w:hint="eastAsia" w:ascii="宋体" w:hAnsi="宋体" w:cs="宋体"/>
          <w:b/>
          <w:bCs/>
          <w:color w:val="auto"/>
          <w:spacing w:val="-6"/>
          <w:sz w:val="24"/>
          <w:szCs w:val="24"/>
          <w:highlight w:val="none"/>
          <w:lang w:val="en-US" w:eastAsia="zh-CN"/>
        </w:rPr>
        <w:t>4</w:t>
      </w:r>
      <w:r>
        <w:rPr>
          <w:rFonts w:hint="eastAsia" w:ascii="宋体" w:hAnsi="宋体" w:eastAsia="宋体" w:cs="宋体"/>
          <w:b/>
          <w:bCs/>
          <w:color w:val="auto"/>
          <w:spacing w:val="-6"/>
          <w:sz w:val="24"/>
          <w:szCs w:val="24"/>
          <w:highlight w:val="none"/>
        </w:rPr>
        <w:t>：《广西线上“政采贷”政策告知函》</w:t>
      </w:r>
    </w:p>
    <w:p w14:paraId="3BD6A490">
      <w:pPr>
        <w:rPr>
          <w:rFonts w:hint="eastAsia" w:ascii="宋体" w:hAnsi="宋体" w:eastAsia="宋体" w:cs="宋体"/>
          <w:color w:val="auto"/>
          <w:sz w:val="21"/>
          <w:szCs w:val="21"/>
          <w:highlight w:val="none"/>
          <w:lang w:eastAsia="zh-CN"/>
        </w:rPr>
      </w:pPr>
      <w:bookmarkStart w:id="146" w:name="_Toc27104"/>
      <w:r>
        <w:rPr>
          <w:rFonts w:ascii="宋体" w:hAnsi="宋体" w:cs="宋体"/>
          <w:b/>
          <w:color w:val="auto"/>
          <w:kern w:val="0"/>
          <w:sz w:val="32"/>
          <w:szCs w:val="32"/>
          <w:highlight w:val="none"/>
        </w:rPr>
        <w:drawing>
          <wp:inline distT="0" distB="0" distL="114300" distR="114300">
            <wp:extent cx="5902960" cy="8350885"/>
            <wp:effectExtent l="0" t="0" r="2540" b="1206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8"/>
                    <a:stretch>
                      <a:fillRect/>
                    </a:stretch>
                  </pic:blipFill>
                  <pic:spPr>
                    <a:xfrm>
                      <a:off x="0" y="0"/>
                      <a:ext cx="5902960" cy="8350885"/>
                    </a:xfrm>
                    <a:prstGeom prst="rect">
                      <a:avLst/>
                    </a:prstGeom>
                    <a:noFill/>
                    <a:ln>
                      <a:noFill/>
                    </a:ln>
                  </pic:spPr>
                </pic:pic>
              </a:graphicData>
            </a:graphic>
          </wp:inline>
        </w:drawing>
      </w:r>
      <w:bookmarkEnd w:id="146"/>
    </w:p>
    <w:p w14:paraId="6FB2D9E4">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color w:val="auto"/>
          <w:sz w:val="21"/>
          <w:szCs w:val="21"/>
          <w:highlight w:val="none"/>
        </w:rPr>
      </w:pPr>
      <w:bookmarkStart w:id="147" w:name="_Toc28939"/>
      <w:bookmarkStart w:id="148" w:name="_Toc2989"/>
    </w:p>
    <w:p w14:paraId="6514E788">
      <w:pPr>
        <w:rPr>
          <w:rFonts w:hint="eastAsia"/>
          <w:color w:val="auto"/>
          <w:highlight w:val="none"/>
        </w:rPr>
      </w:pPr>
    </w:p>
    <w:p w14:paraId="531E3FB7">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color w:val="auto"/>
          <w:sz w:val="28"/>
          <w:szCs w:val="28"/>
          <w:highlight w:val="none"/>
          <w:lang w:eastAsia="zh-CN"/>
        </w:rPr>
      </w:pPr>
      <w:bookmarkStart w:id="149" w:name="_Toc23263"/>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eastAsia="zh-CN"/>
        </w:rPr>
        <w:t>工程量清单</w:t>
      </w:r>
      <w:bookmarkEnd w:id="147"/>
      <w:bookmarkEnd w:id="149"/>
    </w:p>
    <w:p w14:paraId="42A85A90">
      <w:pPr>
        <w:pStyle w:val="14"/>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auto"/>
          <w:sz w:val="21"/>
          <w:szCs w:val="21"/>
          <w:highlight w:val="none"/>
        </w:rPr>
      </w:pPr>
      <w:bookmarkStart w:id="150" w:name="_Toc164138057"/>
      <w:bookmarkStart w:id="151" w:name="_Toc160609998"/>
      <w:bookmarkStart w:id="152" w:name="_Toc194308407"/>
    </w:p>
    <w:tbl>
      <w:tblPr>
        <w:tblStyle w:val="21"/>
        <w:tblW w:w="96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660"/>
      </w:tblGrid>
      <w:tr w14:paraId="6C7D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72221C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一、工程概况:</w:t>
            </w:r>
          </w:p>
        </w:tc>
      </w:tr>
      <w:tr w14:paraId="54EB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47E6B9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本工程为乡村工匠产业园污水管网改造提升项目，地址位于桂林市雁山区。</w:t>
            </w:r>
          </w:p>
        </w:tc>
      </w:tr>
      <w:tr w14:paraId="232B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6AA02DEE">
            <w:pPr>
              <w:jc w:val="left"/>
              <w:rPr>
                <w:rFonts w:hint="eastAsia" w:ascii="宋体" w:hAnsi="宋体" w:eastAsia="宋体" w:cs="宋体"/>
                <w:i w:val="0"/>
                <w:iCs w:val="0"/>
                <w:color w:val="000000"/>
                <w:sz w:val="21"/>
                <w:szCs w:val="21"/>
                <w:u w:val="none"/>
              </w:rPr>
            </w:pPr>
          </w:p>
        </w:tc>
      </w:tr>
      <w:tr w14:paraId="5981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05E021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二、预算编制内容：</w:t>
            </w:r>
          </w:p>
        </w:tc>
      </w:tr>
      <w:tr w14:paraId="06E0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083028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图纸设计范围内的内容。</w:t>
            </w:r>
          </w:p>
        </w:tc>
      </w:tr>
      <w:tr w14:paraId="5CB7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12B70822">
            <w:pPr>
              <w:jc w:val="left"/>
              <w:rPr>
                <w:rFonts w:hint="eastAsia" w:ascii="宋体" w:hAnsi="宋体" w:eastAsia="宋体" w:cs="宋体"/>
                <w:i w:val="0"/>
                <w:iCs w:val="0"/>
                <w:color w:val="000000"/>
                <w:sz w:val="21"/>
                <w:szCs w:val="21"/>
                <w:u w:val="none"/>
              </w:rPr>
            </w:pPr>
          </w:p>
        </w:tc>
      </w:tr>
      <w:tr w14:paraId="5282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42898A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三、编制依据：</w:t>
            </w:r>
          </w:p>
        </w:tc>
      </w:tr>
      <w:tr w14:paraId="3555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67E001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（1）施工图设计文件。</w:t>
            </w:r>
          </w:p>
        </w:tc>
      </w:tr>
      <w:tr w14:paraId="06C4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47F5F9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（2）《建设工程工程量清单计价规范》（GB50500-2013）。</w:t>
            </w:r>
          </w:p>
        </w:tc>
      </w:tr>
      <w:tr w14:paraId="4AE1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7D9897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（3）《&lt;建设工程工程量清单计价规范&gt;广西壮族自治区实施细则》。</w:t>
            </w:r>
          </w:p>
        </w:tc>
      </w:tr>
      <w:tr w14:paraId="12A0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9" w:hRule="atLeast"/>
        </w:trPr>
        <w:tc>
          <w:tcPr>
            <w:tcW w:w="9660" w:type="dxa"/>
            <w:tcBorders>
              <w:top w:val="nil"/>
              <w:left w:val="nil"/>
              <w:bottom w:val="nil"/>
              <w:right w:val="nil"/>
            </w:tcBorders>
            <w:shd w:val="clear" w:color="auto" w:fill="auto"/>
            <w:vAlign w:val="center"/>
          </w:tcPr>
          <w:p w14:paraId="57E0E4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（4）《房屋建筑与装饰工程工程量计算规范》（GB50854-2013）、《通用安装工程工程量计算规范》（GB50856-</w:t>
            </w:r>
            <w:r>
              <w:rPr>
                <w:rFonts w:hint="eastAsia" w:ascii="宋体" w:hAnsi="宋体" w:eastAsia="宋体" w:cs="宋体"/>
                <w:i w:val="0"/>
                <w:iCs w:val="0"/>
                <w:color w:val="000000"/>
                <w:kern w:val="0"/>
                <w:sz w:val="21"/>
                <w:szCs w:val="21"/>
                <w:u w:val="none"/>
                <w:lang w:val="en-US" w:eastAsia="zh-CN" w:bidi="ar"/>
              </w:rPr>
              <w:t>2013）。</w:t>
            </w:r>
          </w:p>
        </w:tc>
      </w:tr>
      <w:tr w14:paraId="0A27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5FE44F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（5）《&lt;建设工程工程量计算规范&gt;广西壮族自治区实施细则》（修订本）。</w:t>
            </w:r>
          </w:p>
        </w:tc>
      </w:tr>
      <w:tr w14:paraId="1E89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790003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（6）2022年《广西壮族自治区市政工程消耗量定额》及其配套的费用定额。</w:t>
            </w:r>
          </w:p>
        </w:tc>
      </w:tr>
      <w:tr w14:paraId="2DD0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493E40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（7）2021年《广西壮族自治区园林绿化工程消耗量定额》及其配套的费用定额。</w:t>
            </w:r>
          </w:p>
        </w:tc>
      </w:tr>
      <w:tr w14:paraId="724F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4" w:hRule="atLeast"/>
        </w:trPr>
        <w:tc>
          <w:tcPr>
            <w:tcW w:w="9660" w:type="dxa"/>
            <w:tcBorders>
              <w:top w:val="nil"/>
              <w:left w:val="nil"/>
              <w:bottom w:val="nil"/>
              <w:right w:val="nil"/>
            </w:tcBorders>
            <w:shd w:val="clear" w:color="auto" w:fill="auto"/>
            <w:vAlign w:val="center"/>
          </w:tcPr>
          <w:p w14:paraId="7AE552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（8）《自治区住房城乡建设厅关于建筑业实施营业税改征增值税后广西壮族自治区建设工程计价依据调整的通知》(桂</w:t>
            </w:r>
            <w:r>
              <w:rPr>
                <w:rFonts w:hint="eastAsia" w:ascii="宋体" w:hAnsi="宋体" w:eastAsia="宋体" w:cs="宋体"/>
                <w:i w:val="0"/>
                <w:iCs w:val="0"/>
                <w:color w:val="000000"/>
                <w:kern w:val="0"/>
                <w:sz w:val="21"/>
                <w:szCs w:val="21"/>
                <w:u w:val="none"/>
                <w:lang w:val="en-US" w:eastAsia="zh-CN" w:bidi="ar"/>
              </w:rPr>
              <w:t>建标[2016]17号文)；</w:t>
            </w:r>
          </w:p>
        </w:tc>
      </w:tr>
      <w:tr w14:paraId="4C64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9660" w:type="dxa"/>
            <w:tcBorders>
              <w:top w:val="nil"/>
              <w:left w:val="nil"/>
              <w:bottom w:val="nil"/>
              <w:right w:val="nil"/>
            </w:tcBorders>
            <w:shd w:val="clear" w:color="auto" w:fill="auto"/>
            <w:vAlign w:val="center"/>
          </w:tcPr>
          <w:p w14:paraId="05210F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（9）《自治区住房城乡建设厅关于印发广西壮族自治区房屋建筑和市政基础设施工程安全生产责任保险计价规定的通</w:t>
            </w:r>
            <w:r>
              <w:rPr>
                <w:rFonts w:hint="eastAsia" w:ascii="宋体" w:hAnsi="宋体" w:eastAsia="宋体" w:cs="宋体"/>
                <w:i w:val="0"/>
                <w:iCs w:val="0"/>
                <w:color w:val="000000"/>
                <w:kern w:val="0"/>
                <w:sz w:val="21"/>
                <w:szCs w:val="21"/>
                <w:u w:val="none"/>
                <w:lang w:val="en-US" w:eastAsia="zh-CN" w:bidi="ar"/>
              </w:rPr>
              <w:t>知》(桂建发[2023]6号文)；</w:t>
            </w:r>
          </w:p>
        </w:tc>
      </w:tr>
      <w:tr w14:paraId="4B81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76F986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（10）《关于调整建设工程定额人工费及有关费率的通知》（桂建标[2023]7号文）；</w:t>
            </w:r>
          </w:p>
        </w:tc>
      </w:tr>
      <w:tr w14:paraId="3EE8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 w:hRule="atLeast"/>
        </w:trPr>
        <w:tc>
          <w:tcPr>
            <w:tcW w:w="9660" w:type="dxa"/>
            <w:tcBorders>
              <w:top w:val="nil"/>
              <w:left w:val="nil"/>
              <w:bottom w:val="nil"/>
              <w:right w:val="nil"/>
            </w:tcBorders>
            <w:shd w:val="clear" w:color="auto" w:fill="auto"/>
            <w:vAlign w:val="center"/>
          </w:tcPr>
          <w:p w14:paraId="0DDD36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（11）《关于调整建设工程计价增值税税率的通知》（桂建标[2019]12号文）；</w:t>
            </w:r>
          </w:p>
        </w:tc>
      </w:tr>
      <w:tr w14:paraId="0ED6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169554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（12）材料信息价按2025年《桂林市建设工程造价信息》第9期桂林市信息价计取，信息价没有的参考市场价。</w:t>
            </w:r>
          </w:p>
        </w:tc>
      </w:tr>
      <w:tr w14:paraId="47FF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212E1BA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BA6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329ACE02">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四、其他说明：</w:t>
            </w:r>
          </w:p>
        </w:tc>
      </w:tr>
      <w:tr w14:paraId="7B36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0A138D3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本工程土方弃运距离暂按5km考虑，结算时按实际运输距离计算。</w:t>
            </w:r>
          </w:p>
        </w:tc>
      </w:tr>
      <w:tr w14:paraId="3AEB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0A94D7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4E4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8" w:hRule="atLeast"/>
        </w:trPr>
        <w:tc>
          <w:tcPr>
            <w:tcW w:w="9660" w:type="dxa"/>
            <w:tcBorders>
              <w:top w:val="nil"/>
              <w:left w:val="nil"/>
              <w:bottom w:val="nil"/>
              <w:right w:val="nil"/>
            </w:tcBorders>
            <w:shd w:val="clear" w:color="auto" w:fill="auto"/>
            <w:vAlign w:val="center"/>
          </w:tcPr>
          <w:p w14:paraId="1B586B2A">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磋商报价说明</w:t>
            </w:r>
            <w:r>
              <w:rPr>
                <w:rFonts w:hint="eastAsia" w:hAnsi="宋体" w:cs="宋体"/>
                <w:i w:val="0"/>
                <w:iCs w:val="0"/>
                <w:color w:val="000000"/>
                <w:kern w:val="0"/>
                <w:sz w:val="21"/>
                <w:szCs w:val="21"/>
                <w:u w:val="none"/>
                <w:lang w:val="en-US" w:eastAsia="zh-CN" w:bidi="ar"/>
              </w:rPr>
              <w:t>：</w:t>
            </w:r>
          </w:p>
        </w:tc>
      </w:tr>
      <w:tr w14:paraId="6801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1906B211">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1.工程量清单中的每一子目须填入单价或价格，且只允许有一个报价。</w:t>
            </w:r>
          </w:p>
        </w:tc>
      </w:tr>
      <w:tr w14:paraId="7A0B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68014F3D">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2.符合合同条款规定的全部费用应认为已被计入有标价的工程量清单所列各子目之中，未列子目不予计量的工作，其费用应视为已分摊在本合同工程的有关子目的单价或总价之中。</w:t>
            </w:r>
          </w:p>
        </w:tc>
      </w:tr>
      <w:tr w14:paraId="16F1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70B3CBD3">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3.工程量清单中各项金额均以人民币（元）结算。</w:t>
            </w:r>
          </w:p>
        </w:tc>
      </w:tr>
      <w:tr w14:paraId="2B4A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13E72D4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4.供应商应采用综合单价进行工程量清单报价，不得采用总价让利或以百分比让利等形式进行报价。 </w:t>
            </w:r>
          </w:p>
        </w:tc>
      </w:tr>
      <w:tr w14:paraId="4EDD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4300E5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3FC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551FCE3B">
            <w:pPr>
              <w:keepNext w:val="0"/>
              <w:keepLines w:val="0"/>
              <w:pageBreakBefore w:val="0"/>
              <w:widowControl/>
              <w:suppressLineNumbers w:val="0"/>
              <w:tabs>
                <w:tab w:val="left" w:pos="210"/>
              </w:tabs>
              <w:kinsoku/>
              <w:wordWrap/>
              <w:overflowPunct/>
              <w:topLinePunct w:val="0"/>
              <w:autoSpaceDE/>
              <w:autoSpaceDN/>
              <w:bidi w:val="0"/>
              <w:adjustRightInd/>
              <w:snapToGrid/>
              <w:spacing w:line="360" w:lineRule="exact"/>
              <w:jc w:val="left"/>
              <w:textAlignment w:val="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注意事项及要求：</w:t>
            </w:r>
          </w:p>
        </w:tc>
      </w:tr>
      <w:tr w14:paraId="6A13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4CCAD73B">
            <w:pPr>
              <w:keepNext w:val="0"/>
              <w:keepLines w:val="0"/>
              <w:pageBreakBefore w:val="0"/>
              <w:widowControl/>
              <w:suppressLineNumbers w:val="0"/>
              <w:tabs>
                <w:tab w:val="left" w:pos="210"/>
              </w:tabs>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1.严格按国家标准及本项目工程量清单、主管部门规定要求施工；</w:t>
            </w:r>
          </w:p>
        </w:tc>
      </w:tr>
      <w:tr w14:paraId="2584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0B6386D3">
            <w:pPr>
              <w:pStyle w:val="10"/>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2.要求工期：自合同签订之日起</w:t>
            </w:r>
            <w:r>
              <w:rPr>
                <w:rFonts w:hint="eastAsia" w:ascii="宋体" w:hAnsi="宋体" w:eastAsia="宋体" w:cs="宋体"/>
                <w:i w:val="0"/>
                <w:iCs w:val="0"/>
                <w:color w:val="000000" w:themeColor="text1"/>
                <w:kern w:val="0"/>
                <w:sz w:val="21"/>
                <w:szCs w:val="21"/>
                <w:u w:val="single"/>
                <w:lang w:val="en-US" w:eastAsia="zh-CN" w:bidi="ar"/>
                <w14:textFill>
                  <w14:solidFill>
                    <w14:schemeClr w14:val="tx1"/>
                  </w14:solidFill>
                </w14:textFill>
              </w:rPr>
              <w:t xml:space="preserve">  </w:t>
            </w:r>
            <w:r>
              <w:rPr>
                <w:rFonts w:hint="eastAsia" w:ascii="宋体" w:hAnsi="宋体" w:cs="宋体"/>
                <w:i w:val="0"/>
                <w:iCs w:val="0"/>
                <w:color w:val="000000" w:themeColor="text1"/>
                <w:kern w:val="0"/>
                <w:sz w:val="21"/>
                <w:szCs w:val="21"/>
                <w:u w:val="single"/>
                <w:lang w:val="en-US" w:eastAsia="zh-CN" w:bidi="ar"/>
                <w14:textFill>
                  <w14:solidFill>
                    <w14:schemeClr w14:val="tx1"/>
                  </w14:solidFill>
                </w14:textFill>
              </w:rPr>
              <w:t>180</w:t>
            </w:r>
            <w:r>
              <w:rPr>
                <w:rFonts w:hint="eastAsia" w:ascii="宋体" w:hAnsi="宋体" w:eastAsia="宋体" w:cs="宋体"/>
                <w:i w:val="0"/>
                <w:iCs w:val="0"/>
                <w:color w:val="000000" w:themeColor="text1"/>
                <w:kern w:val="0"/>
                <w:sz w:val="21"/>
                <w:szCs w:val="21"/>
                <w:u w:val="singl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个日历天内完工；</w:t>
            </w:r>
          </w:p>
        </w:tc>
      </w:tr>
      <w:tr w14:paraId="279B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1925B3D1">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3.质量标准：国家现行有关工程施工质量验收规范合格标准。</w:t>
            </w:r>
          </w:p>
        </w:tc>
      </w:tr>
      <w:tr w14:paraId="471E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19ADCAFD">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4.本工程预算总金额为人民币：</w:t>
            </w: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1299500.00</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元；</w:t>
            </w:r>
          </w:p>
        </w:tc>
      </w:tr>
      <w:tr w14:paraId="1564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581F693F">
            <w:pPr>
              <w:pStyle w:val="14"/>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控制价（最高磋商限价）为人民币：</w:t>
            </w:r>
            <w:r>
              <w:rPr>
                <w:rFonts w:hint="eastAsia" w:hAnsi="宋体" w:cs="宋体"/>
                <w:b/>
                <w:bCs/>
                <w:i w:val="0"/>
                <w:iCs w:val="0"/>
                <w:color w:val="000000" w:themeColor="text1"/>
                <w:kern w:val="0"/>
                <w:sz w:val="21"/>
                <w:szCs w:val="21"/>
                <w:u w:val="none"/>
                <w:lang w:val="en-US" w:eastAsia="zh-CN" w:bidi="ar"/>
                <w14:textFill>
                  <w14:solidFill>
                    <w14:schemeClr w14:val="tx1"/>
                  </w14:solidFill>
                </w14:textFill>
              </w:rPr>
              <w:t>1195540.00</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元，供应商磋商总报价不得高于本工程最高磋商限价，否则被视为无效报价，无效报价将不予评审。</w:t>
            </w:r>
          </w:p>
        </w:tc>
      </w:tr>
      <w:tr w14:paraId="1FC4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60" w:type="dxa"/>
            <w:tcBorders>
              <w:top w:val="nil"/>
              <w:left w:val="nil"/>
              <w:bottom w:val="nil"/>
              <w:right w:val="nil"/>
            </w:tcBorders>
            <w:shd w:val="clear" w:color="auto" w:fill="auto"/>
            <w:vAlign w:val="center"/>
          </w:tcPr>
          <w:p w14:paraId="6DF576E8">
            <w:pPr>
              <w:keepNext w:val="0"/>
              <w:keepLines w:val="0"/>
              <w:pageBreakBefore w:val="0"/>
              <w:widowControl/>
              <w:suppressLineNumbers w:val="0"/>
              <w:tabs>
                <w:tab w:val="left" w:pos="210"/>
              </w:tabs>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所属行业：所属行业依照《中小企业划型标准规定》（工信部联企业〔2011〕300号）及《国民经济行业分类》（GB/T4754-2017）的有关规定执行，本工程在《统计上大中小微型企业划分标准》中所属行业均为“建筑业”。</w:t>
            </w:r>
          </w:p>
        </w:tc>
      </w:tr>
    </w:tbl>
    <w:p w14:paraId="29EC1EEA">
      <w:pPr>
        <w:pStyle w:val="14"/>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auto"/>
          <w:sz w:val="21"/>
          <w:szCs w:val="21"/>
          <w:highlight w:val="none"/>
        </w:rPr>
      </w:pPr>
    </w:p>
    <w:p w14:paraId="131A1342">
      <w:pPr>
        <w:pStyle w:val="14"/>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auto"/>
          <w:sz w:val="21"/>
          <w:szCs w:val="21"/>
          <w:highlight w:val="none"/>
        </w:rPr>
      </w:pPr>
    </w:p>
    <w:p w14:paraId="675F056C">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auto"/>
          <w:sz w:val="21"/>
          <w:szCs w:val="21"/>
          <w:highlight w:val="none"/>
        </w:rPr>
      </w:pPr>
    </w:p>
    <w:p w14:paraId="7214E8A0">
      <w:pPr>
        <w:pStyle w:val="14"/>
        <w:keepNext w:val="0"/>
        <w:keepLines w:val="0"/>
        <w:pageBreakBefore w:val="0"/>
        <w:widowControl w:val="0"/>
        <w:kinsoku/>
        <w:wordWrap/>
        <w:overflowPunct/>
        <w:topLinePunct w:val="0"/>
        <w:autoSpaceDE/>
        <w:autoSpaceDN/>
        <w:bidi w:val="0"/>
        <w:snapToGrid/>
        <w:spacing w:line="380" w:lineRule="exact"/>
        <w:textAlignment w:val="auto"/>
        <w:rPr>
          <w:rFonts w:hint="eastAsia" w:ascii="宋体" w:hAnsi="宋体" w:eastAsia="宋体" w:cs="宋体"/>
          <w:b/>
          <w:color w:val="auto"/>
          <w:sz w:val="21"/>
          <w:szCs w:val="21"/>
          <w:highlight w:val="none"/>
        </w:rPr>
      </w:pPr>
    </w:p>
    <w:bookmarkEnd w:id="148"/>
    <w:bookmarkEnd w:id="150"/>
    <w:bookmarkEnd w:id="151"/>
    <w:bookmarkEnd w:id="152"/>
    <w:p w14:paraId="2A1C6CA8">
      <w:pPr>
        <w:pStyle w:val="2"/>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440" w:lineRule="exact"/>
        <w:jc w:val="center"/>
        <w:textAlignment w:val="auto"/>
        <w:rPr>
          <w:rFonts w:hint="eastAsia" w:ascii="宋体" w:hAnsi="宋体" w:eastAsia="宋体" w:cs="宋体"/>
          <w:color w:val="auto"/>
          <w:sz w:val="28"/>
          <w:szCs w:val="28"/>
          <w:highlight w:val="none"/>
          <w:lang w:eastAsia="zh-CN"/>
        </w:rPr>
      </w:pPr>
      <w:bookmarkStart w:id="153" w:name="_Toc5828"/>
    </w:p>
    <w:p w14:paraId="49301998">
      <w:pPr>
        <w:pStyle w:val="2"/>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440" w:lineRule="exact"/>
        <w:jc w:val="both"/>
        <w:textAlignment w:val="auto"/>
        <w:rPr>
          <w:rFonts w:hint="eastAsia" w:ascii="宋体" w:hAnsi="宋体" w:eastAsia="宋体" w:cs="宋体"/>
          <w:color w:val="auto"/>
          <w:sz w:val="28"/>
          <w:szCs w:val="28"/>
          <w:highlight w:val="none"/>
          <w:lang w:eastAsia="zh-CN"/>
        </w:rPr>
      </w:pPr>
    </w:p>
    <w:p w14:paraId="74D27335">
      <w:pPr>
        <w:rPr>
          <w:rFonts w:hint="eastAsia"/>
          <w:color w:val="auto"/>
          <w:highlight w:val="none"/>
          <w:lang w:eastAsia="zh-CN"/>
        </w:rPr>
      </w:pPr>
    </w:p>
    <w:p w14:paraId="7F110626">
      <w:pPr>
        <w:pStyle w:val="2"/>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440" w:lineRule="exact"/>
        <w:jc w:val="center"/>
        <w:textAlignment w:val="auto"/>
        <w:rPr>
          <w:rFonts w:hint="eastAsia" w:ascii="宋体" w:hAnsi="宋体" w:eastAsia="宋体" w:cs="宋体"/>
          <w:color w:val="auto"/>
          <w:sz w:val="28"/>
          <w:szCs w:val="28"/>
          <w:highlight w:val="none"/>
          <w:lang w:eastAsia="zh-CN"/>
        </w:rPr>
      </w:pPr>
    </w:p>
    <w:p w14:paraId="6FE0B84A">
      <w:pPr>
        <w:pStyle w:val="2"/>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440" w:lineRule="exact"/>
        <w:jc w:val="both"/>
        <w:textAlignment w:val="auto"/>
        <w:rPr>
          <w:rFonts w:hint="eastAsia" w:ascii="宋体" w:hAnsi="宋体" w:eastAsia="宋体" w:cs="宋体"/>
          <w:color w:val="auto"/>
          <w:sz w:val="28"/>
          <w:szCs w:val="28"/>
          <w:highlight w:val="none"/>
          <w:lang w:eastAsia="zh-CN"/>
        </w:rPr>
      </w:pPr>
    </w:p>
    <w:p w14:paraId="63ABC860">
      <w:pPr>
        <w:rPr>
          <w:rFonts w:hint="eastAsia" w:ascii="宋体" w:hAnsi="宋体" w:eastAsia="宋体" w:cs="宋体"/>
          <w:color w:val="auto"/>
          <w:sz w:val="28"/>
          <w:szCs w:val="28"/>
          <w:highlight w:val="none"/>
          <w:lang w:eastAsia="zh-CN"/>
        </w:rPr>
      </w:pPr>
    </w:p>
    <w:p w14:paraId="0355D2B0">
      <w:pPr>
        <w:rPr>
          <w:rFonts w:hint="eastAsia" w:ascii="宋体" w:hAnsi="宋体" w:eastAsia="宋体" w:cs="宋体"/>
          <w:color w:val="auto"/>
          <w:sz w:val="28"/>
          <w:szCs w:val="28"/>
          <w:highlight w:val="none"/>
          <w:lang w:eastAsia="zh-CN"/>
        </w:rPr>
      </w:pPr>
    </w:p>
    <w:p w14:paraId="07AFCECA">
      <w:pPr>
        <w:pStyle w:val="5"/>
        <w:rPr>
          <w:rFonts w:hint="eastAsia" w:ascii="宋体" w:hAnsi="宋体" w:eastAsia="宋体" w:cs="宋体"/>
          <w:color w:val="auto"/>
          <w:sz w:val="28"/>
          <w:szCs w:val="28"/>
          <w:highlight w:val="none"/>
          <w:lang w:eastAsia="zh-CN"/>
        </w:rPr>
      </w:pPr>
    </w:p>
    <w:p w14:paraId="21357874">
      <w:pPr>
        <w:rPr>
          <w:rFonts w:hint="eastAsia" w:ascii="宋体" w:hAnsi="宋体" w:eastAsia="宋体" w:cs="宋体"/>
          <w:color w:val="auto"/>
          <w:sz w:val="28"/>
          <w:szCs w:val="28"/>
          <w:highlight w:val="none"/>
          <w:lang w:eastAsia="zh-CN"/>
        </w:rPr>
      </w:pPr>
    </w:p>
    <w:p w14:paraId="38A6B7A5">
      <w:pPr>
        <w:pStyle w:val="5"/>
        <w:rPr>
          <w:rFonts w:hint="eastAsia" w:ascii="宋体" w:hAnsi="宋体" w:eastAsia="宋体" w:cs="宋体"/>
          <w:color w:val="auto"/>
          <w:sz w:val="28"/>
          <w:szCs w:val="28"/>
          <w:highlight w:val="none"/>
          <w:lang w:eastAsia="zh-CN"/>
        </w:rPr>
      </w:pPr>
    </w:p>
    <w:p w14:paraId="58855861">
      <w:pPr>
        <w:rPr>
          <w:rFonts w:hint="eastAsia" w:ascii="宋体" w:hAnsi="宋体" w:eastAsia="宋体" w:cs="宋体"/>
          <w:color w:val="auto"/>
          <w:sz w:val="28"/>
          <w:szCs w:val="28"/>
          <w:highlight w:val="none"/>
          <w:lang w:eastAsia="zh-CN"/>
        </w:rPr>
      </w:pPr>
    </w:p>
    <w:p w14:paraId="0169F5CD">
      <w:pPr>
        <w:pStyle w:val="5"/>
        <w:rPr>
          <w:rFonts w:hint="eastAsia" w:ascii="宋体" w:hAnsi="宋体" w:eastAsia="宋体" w:cs="宋体"/>
          <w:color w:val="auto"/>
          <w:sz w:val="28"/>
          <w:szCs w:val="28"/>
          <w:highlight w:val="none"/>
          <w:lang w:eastAsia="zh-CN"/>
        </w:rPr>
      </w:pPr>
    </w:p>
    <w:p w14:paraId="51A88768">
      <w:pPr>
        <w:rPr>
          <w:rFonts w:hint="eastAsia" w:ascii="宋体" w:hAnsi="宋体" w:eastAsia="宋体" w:cs="宋体"/>
          <w:color w:val="auto"/>
          <w:sz w:val="28"/>
          <w:szCs w:val="28"/>
          <w:highlight w:val="none"/>
          <w:lang w:eastAsia="zh-CN"/>
        </w:rPr>
      </w:pPr>
    </w:p>
    <w:p w14:paraId="7109A998">
      <w:pPr>
        <w:rPr>
          <w:rFonts w:hint="eastAsia" w:ascii="宋体" w:hAnsi="宋体" w:eastAsia="宋体" w:cs="宋体"/>
          <w:color w:val="auto"/>
          <w:sz w:val="28"/>
          <w:szCs w:val="28"/>
          <w:highlight w:val="none"/>
          <w:lang w:eastAsia="zh-CN"/>
        </w:rPr>
      </w:pPr>
    </w:p>
    <w:p w14:paraId="46F6EC5D">
      <w:pPr>
        <w:rPr>
          <w:rFonts w:hint="eastAsia" w:ascii="宋体" w:hAnsi="宋体" w:eastAsia="宋体" w:cs="宋体"/>
          <w:color w:val="auto"/>
          <w:sz w:val="28"/>
          <w:szCs w:val="28"/>
          <w:highlight w:val="none"/>
          <w:lang w:eastAsia="zh-CN"/>
        </w:rPr>
      </w:pPr>
    </w:p>
    <w:p w14:paraId="6B57F1DB">
      <w:pPr>
        <w:rPr>
          <w:rFonts w:hint="eastAsia" w:ascii="宋体" w:hAnsi="宋体" w:eastAsia="宋体" w:cs="宋体"/>
          <w:color w:val="auto"/>
          <w:sz w:val="28"/>
          <w:szCs w:val="28"/>
          <w:highlight w:val="none"/>
          <w:lang w:eastAsia="zh-CN"/>
        </w:rPr>
      </w:pPr>
    </w:p>
    <w:p w14:paraId="60122C8B">
      <w:pPr>
        <w:rPr>
          <w:rFonts w:hint="eastAsia" w:ascii="宋体" w:hAnsi="宋体" w:eastAsia="宋体" w:cs="宋体"/>
          <w:color w:val="auto"/>
          <w:sz w:val="28"/>
          <w:szCs w:val="28"/>
          <w:highlight w:val="none"/>
          <w:lang w:eastAsia="zh-CN"/>
        </w:rPr>
      </w:pPr>
    </w:p>
    <w:p w14:paraId="0CA4AC8C">
      <w:pPr>
        <w:rPr>
          <w:rFonts w:hint="eastAsia" w:ascii="宋体" w:hAnsi="宋体" w:eastAsia="宋体" w:cs="宋体"/>
          <w:color w:val="auto"/>
          <w:sz w:val="28"/>
          <w:szCs w:val="28"/>
          <w:highlight w:val="none"/>
          <w:lang w:eastAsia="zh-CN"/>
        </w:rPr>
      </w:pPr>
    </w:p>
    <w:p w14:paraId="57A704CF">
      <w:pPr>
        <w:rPr>
          <w:rFonts w:hint="eastAsia" w:ascii="宋体" w:hAnsi="宋体" w:eastAsia="宋体" w:cs="宋体"/>
          <w:color w:val="auto"/>
          <w:sz w:val="28"/>
          <w:szCs w:val="28"/>
          <w:highlight w:val="none"/>
          <w:lang w:eastAsia="zh-CN"/>
        </w:rPr>
      </w:pPr>
    </w:p>
    <w:p w14:paraId="13D06161">
      <w:pPr>
        <w:rPr>
          <w:rFonts w:hint="eastAsia" w:ascii="宋体" w:hAnsi="宋体" w:eastAsia="宋体" w:cs="宋体"/>
          <w:color w:val="auto"/>
          <w:sz w:val="28"/>
          <w:szCs w:val="28"/>
          <w:highlight w:val="none"/>
          <w:lang w:eastAsia="zh-CN"/>
        </w:rPr>
      </w:pPr>
    </w:p>
    <w:p w14:paraId="125F3FC5">
      <w:pPr>
        <w:rPr>
          <w:rFonts w:hint="eastAsia" w:ascii="宋体" w:hAnsi="宋体" w:eastAsia="宋体" w:cs="宋体"/>
          <w:color w:val="auto"/>
          <w:sz w:val="28"/>
          <w:szCs w:val="28"/>
          <w:highlight w:val="none"/>
          <w:lang w:eastAsia="zh-CN"/>
        </w:rPr>
      </w:pPr>
    </w:p>
    <w:p w14:paraId="4B59D4CE">
      <w:pPr>
        <w:rPr>
          <w:rFonts w:hint="eastAsia" w:ascii="宋体" w:hAnsi="宋体" w:eastAsia="宋体" w:cs="宋体"/>
          <w:color w:val="auto"/>
          <w:sz w:val="28"/>
          <w:szCs w:val="28"/>
          <w:highlight w:val="none"/>
          <w:lang w:eastAsia="zh-CN"/>
        </w:rPr>
      </w:pPr>
    </w:p>
    <w:p w14:paraId="45B8D9E3">
      <w:pPr>
        <w:rPr>
          <w:rFonts w:hint="eastAsia" w:ascii="宋体" w:hAnsi="宋体" w:eastAsia="宋体" w:cs="宋体"/>
          <w:color w:val="auto"/>
          <w:sz w:val="28"/>
          <w:szCs w:val="28"/>
          <w:highlight w:val="none"/>
          <w:lang w:eastAsia="zh-CN"/>
        </w:rPr>
      </w:pPr>
    </w:p>
    <w:p w14:paraId="6D8CF943">
      <w:pPr>
        <w:rPr>
          <w:rFonts w:hint="eastAsia" w:ascii="宋体" w:hAnsi="宋体" w:eastAsia="宋体" w:cs="宋体"/>
          <w:color w:val="auto"/>
          <w:sz w:val="28"/>
          <w:szCs w:val="28"/>
          <w:highlight w:val="none"/>
          <w:lang w:eastAsia="zh-CN"/>
        </w:rPr>
      </w:pPr>
    </w:p>
    <w:p w14:paraId="0D90A577">
      <w:pPr>
        <w:rPr>
          <w:rFonts w:hint="eastAsia" w:ascii="宋体" w:hAnsi="宋体" w:eastAsia="宋体" w:cs="宋体"/>
          <w:color w:val="auto"/>
          <w:sz w:val="28"/>
          <w:szCs w:val="28"/>
          <w:highlight w:val="none"/>
          <w:lang w:eastAsia="zh-CN"/>
        </w:rPr>
      </w:pPr>
    </w:p>
    <w:p w14:paraId="1CF3B246">
      <w:pPr>
        <w:rPr>
          <w:rFonts w:hint="eastAsia" w:ascii="宋体" w:hAnsi="宋体" w:eastAsia="宋体" w:cs="宋体"/>
          <w:color w:val="auto"/>
          <w:sz w:val="28"/>
          <w:szCs w:val="28"/>
          <w:highlight w:val="none"/>
          <w:lang w:eastAsia="zh-CN"/>
        </w:rPr>
      </w:pPr>
    </w:p>
    <w:p w14:paraId="15704536">
      <w:pPr>
        <w:pStyle w:val="2"/>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44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lang w:eastAsia="zh-CN"/>
        </w:rPr>
        <w:t>第四章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评审办法</w:t>
      </w:r>
      <w:bookmarkEnd w:id="153"/>
    </w:p>
    <w:p w14:paraId="7AF26FAF">
      <w:pPr>
        <w:pStyle w:val="14"/>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一、评审依据及方式</w:t>
      </w:r>
      <w:r>
        <w:rPr>
          <w:rFonts w:hint="eastAsia" w:ascii="宋体" w:hAnsi="宋体" w:eastAsia="宋体" w:cs="宋体"/>
          <w:b/>
          <w:bCs/>
          <w:color w:val="auto"/>
          <w:sz w:val="21"/>
          <w:szCs w:val="21"/>
          <w:highlight w:val="none"/>
          <w:lang w:eastAsia="zh-CN"/>
        </w:rPr>
        <w:t>；</w:t>
      </w:r>
    </w:p>
    <w:p w14:paraId="7032029D">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1.评审依据：磋商小组以竞争性磋商文件和响应文件为评审依据，</w:t>
      </w:r>
      <w:r>
        <w:rPr>
          <w:rFonts w:hint="eastAsia" w:ascii="宋体" w:hAnsi="宋体" w:eastAsia="宋体" w:cs="宋体"/>
          <w:color w:val="auto"/>
          <w:sz w:val="21"/>
          <w:szCs w:val="21"/>
          <w:highlight w:val="none"/>
          <w:lang w:val="en-US" w:eastAsia="zh-CN"/>
        </w:rPr>
        <w:t>对磋商供应商的响应文件按百分制打分</w:t>
      </w:r>
      <w:r>
        <w:rPr>
          <w:rFonts w:hint="eastAsia" w:ascii="宋体" w:hAnsi="宋体" w:eastAsia="宋体" w:cs="宋体"/>
          <w:color w:val="auto"/>
          <w:sz w:val="21"/>
          <w:szCs w:val="21"/>
          <w:highlight w:val="none"/>
        </w:rPr>
        <w:t>。</w:t>
      </w:r>
    </w:p>
    <w:p w14:paraId="79FF89D1">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2.评审方式：以封闭方式进行评审。</w:t>
      </w:r>
    </w:p>
    <w:p w14:paraId="522BF829">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3.根据财库〔2012〕69号文规定，采购人和采购代理机构，磋商小组成员要严格遵守政府采购相关法律制度，依法履行各自职责，公正、客观、审慎地组织和参与评审工作。</w:t>
      </w:r>
    </w:p>
    <w:p w14:paraId="2BF6E269">
      <w:pPr>
        <w:pStyle w:val="14"/>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二、评审办法</w:t>
      </w:r>
    </w:p>
    <w:p w14:paraId="688CF1A5">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（一）对进入详评的，采用综合评分法。</w:t>
      </w:r>
    </w:p>
    <w:p w14:paraId="02036646">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（二）计分办法（按四舍五入取至小数点后二位）。</w:t>
      </w:r>
    </w:p>
    <w:p w14:paraId="5C7CE8EA">
      <w:pPr>
        <w:pStyle w:val="14"/>
        <w:keepNext w:val="0"/>
        <w:keepLines w:val="0"/>
        <w:pageBreakBefore w:val="0"/>
        <w:widowControl w:val="0"/>
        <w:kinsoku/>
        <w:wordWrap/>
        <w:overflowPunct/>
        <w:topLinePunct w:val="0"/>
        <w:autoSpaceDE/>
        <w:autoSpaceDN/>
        <w:bidi w:val="0"/>
        <w:adjustRightInd/>
        <w:snapToGrid/>
        <w:spacing w:line="380" w:lineRule="exact"/>
        <w:ind w:left="0" w:lef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bCs w:val="0"/>
          <w:color w:val="auto"/>
          <w:sz w:val="21"/>
          <w:szCs w:val="21"/>
          <w:highlight w:val="none"/>
          <w:lang w:val="en-US" w:eastAsia="zh-CN"/>
        </w:rPr>
        <w:t>1</w:t>
      </w:r>
      <w:r>
        <w:rPr>
          <w:rFonts w:hint="eastAsia" w:hAnsi="宋体" w:cs="宋体"/>
          <w:b/>
          <w:bCs w:val="0"/>
          <w:color w:val="auto"/>
          <w:sz w:val="21"/>
          <w:szCs w:val="21"/>
          <w:highlight w:val="none"/>
          <w:lang w:val="en-US" w:eastAsia="zh-CN"/>
        </w:rPr>
        <w:t>、</w:t>
      </w:r>
      <w:r>
        <w:rPr>
          <w:rFonts w:hint="eastAsia" w:ascii="宋体" w:hAnsi="宋体" w:eastAsia="宋体" w:cs="宋体"/>
          <w:b/>
          <w:color w:val="auto"/>
          <w:sz w:val="21"/>
          <w:szCs w:val="21"/>
          <w:highlight w:val="none"/>
        </w:rPr>
        <w:t>价格分……………………………………………………………………………</w:t>
      </w:r>
      <w:r>
        <w:rPr>
          <w:rFonts w:hint="eastAsia" w:ascii="宋体" w:hAnsi="宋体" w:eastAsia="宋体" w:cs="宋体"/>
          <w:b/>
          <w:bCs w:val="0"/>
          <w:color w:val="auto"/>
          <w:sz w:val="21"/>
          <w:szCs w:val="21"/>
          <w:highlight w:val="none"/>
        </w:rPr>
        <w:t>……</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满分30</w:t>
      </w:r>
      <w:r>
        <w:rPr>
          <w:rFonts w:hint="eastAsia" w:ascii="宋体" w:hAnsi="宋体" w:eastAsia="宋体" w:cs="宋体"/>
          <w:b/>
          <w:color w:val="auto"/>
          <w:sz w:val="21"/>
          <w:szCs w:val="21"/>
          <w:highlight w:val="none"/>
        </w:rPr>
        <w:t>分</w:t>
      </w:r>
    </w:p>
    <w:p w14:paraId="06B1E4C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color w:val="auto"/>
          <w:sz w:val="21"/>
          <w:szCs w:val="21"/>
          <w:highlight w:val="none"/>
        </w:rPr>
        <w:t>专门面向中小企业采购的项目</w:t>
      </w:r>
      <w:r>
        <w:rPr>
          <w:rFonts w:hint="eastAsia" w:ascii="宋体" w:hAnsi="宋体" w:eastAsia="宋体" w:cs="宋体"/>
          <w:b w:val="0"/>
          <w:bCs/>
          <w:color w:val="auto"/>
          <w:sz w:val="21"/>
          <w:szCs w:val="21"/>
          <w:highlight w:val="none"/>
        </w:rPr>
        <w:t>（供应商应为中小微企业、监狱企业、残疾人福利性单位)，不再执行价格评审优惠的扶持政策。即评标价=最终报价。</w:t>
      </w:r>
    </w:p>
    <w:p w14:paraId="66C51D9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按照《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BEE11C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符合《关于促进残疾人就业政府采购政策的通知》(财库〔2017〕141号)规定条件，认定为残疾人福利性单位的，在政府采购活动中，残疾人福利性单位视同小型、微型企业。残疾人福利性单位参加政府采购活动时，应当提供该通知规定的《残疾人福利性单位声明函》，并对声明的真实性负责。</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人为残疾人福利性单位的，随</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结果公告其《残疾人福利性单位声明函》，接受社会监督。</w:t>
      </w:r>
    </w:p>
    <w:p w14:paraId="5905F4F5">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（2）以进入评审的最低的评标价为</w:t>
      </w:r>
      <w:r>
        <w:rPr>
          <w:rFonts w:hint="eastAsia" w:ascii="宋体" w:hAnsi="宋体" w:eastAsia="宋体" w:cs="宋体"/>
          <w:b w:val="0"/>
          <w:bCs/>
          <w:color w:val="auto"/>
          <w:sz w:val="21"/>
          <w:szCs w:val="21"/>
          <w:highlight w:val="none"/>
          <w:lang w:val="en-US" w:eastAsia="zh-CN"/>
        </w:rPr>
        <w:t>30</w:t>
      </w:r>
      <w:r>
        <w:rPr>
          <w:rFonts w:hint="eastAsia" w:ascii="宋体" w:hAnsi="宋体" w:eastAsia="宋体" w:cs="宋体"/>
          <w:b w:val="0"/>
          <w:bCs/>
          <w:color w:val="auto"/>
          <w:sz w:val="21"/>
          <w:szCs w:val="21"/>
          <w:highlight w:val="none"/>
        </w:rPr>
        <w:t>分。</w:t>
      </w:r>
    </w:p>
    <w:p w14:paraId="4E830F4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（3）某供应商价格分 = 供应商最低评</w:t>
      </w:r>
      <w:r>
        <w:rPr>
          <w:rFonts w:hint="eastAsia" w:ascii="宋体" w:hAnsi="宋体" w:eastAsia="宋体" w:cs="宋体"/>
          <w:b w:val="0"/>
          <w:bCs/>
          <w:color w:val="auto"/>
          <w:sz w:val="21"/>
          <w:szCs w:val="21"/>
          <w:highlight w:val="none"/>
          <w:lang w:eastAsia="zh-CN"/>
        </w:rPr>
        <w:t>审</w:t>
      </w:r>
      <w:r>
        <w:rPr>
          <w:rFonts w:hint="eastAsia" w:ascii="宋体" w:hAnsi="宋体" w:eastAsia="宋体" w:cs="宋体"/>
          <w:b w:val="0"/>
          <w:bCs/>
          <w:color w:val="auto"/>
          <w:sz w:val="21"/>
          <w:szCs w:val="21"/>
          <w:highlight w:val="none"/>
        </w:rPr>
        <w:t>报价/某供应商评</w:t>
      </w:r>
      <w:r>
        <w:rPr>
          <w:rFonts w:hint="eastAsia" w:ascii="宋体" w:hAnsi="宋体" w:eastAsia="宋体" w:cs="宋体"/>
          <w:b w:val="0"/>
          <w:bCs/>
          <w:color w:val="auto"/>
          <w:sz w:val="21"/>
          <w:szCs w:val="21"/>
          <w:highlight w:val="none"/>
          <w:lang w:eastAsia="zh-CN"/>
        </w:rPr>
        <w:t>审</w:t>
      </w:r>
      <w:r>
        <w:rPr>
          <w:rFonts w:hint="eastAsia" w:ascii="宋体" w:hAnsi="宋体" w:eastAsia="宋体" w:cs="宋体"/>
          <w:b w:val="0"/>
          <w:bCs/>
          <w:color w:val="auto"/>
          <w:sz w:val="21"/>
          <w:szCs w:val="21"/>
          <w:highlight w:val="none"/>
        </w:rPr>
        <w:t>报价×</w:t>
      </w:r>
      <w:r>
        <w:rPr>
          <w:rFonts w:hint="eastAsia" w:ascii="宋体" w:hAnsi="宋体" w:eastAsia="宋体" w:cs="宋体"/>
          <w:b w:val="0"/>
          <w:bCs/>
          <w:color w:val="auto"/>
          <w:sz w:val="21"/>
          <w:szCs w:val="21"/>
          <w:highlight w:val="none"/>
          <w:lang w:val="en-US" w:eastAsia="zh-CN"/>
        </w:rPr>
        <w:t>30</w:t>
      </w:r>
      <w:r>
        <w:rPr>
          <w:rFonts w:hint="eastAsia" w:ascii="宋体" w:hAnsi="宋体" w:eastAsia="宋体" w:cs="宋体"/>
          <w:b w:val="0"/>
          <w:bCs/>
          <w:color w:val="auto"/>
          <w:sz w:val="21"/>
          <w:szCs w:val="21"/>
          <w:highlight w:val="none"/>
        </w:rPr>
        <w:t>分。</w:t>
      </w:r>
    </w:p>
    <w:p w14:paraId="47EB0B34">
      <w:pPr>
        <w:keepNext w:val="0"/>
        <w:keepLines w:val="0"/>
        <w:pageBreakBefore w:val="0"/>
        <w:widowControl w:val="0"/>
        <w:tabs>
          <w:tab w:val="left" w:pos="4214"/>
        </w:tabs>
        <w:kinsoku/>
        <w:wordWrap/>
        <w:overflowPunct/>
        <w:topLinePunct w:val="0"/>
        <w:autoSpaceDE/>
        <w:autoSpaceDN/>
        <w:bidi w:val="0"/>
        <w:adjustRightInd/>
        <w:snapToGrid/>
        <w:spacing w:line="38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bCs/>
          <w:color w:val="auto"/>
          <w:szCs w:val="21"/>
          <w:highlight w:val="none"/>
        </w:rPr>
        <w:t>施工组织设计</w:t>
      </w:r>
      <w:r>
        <w:rPr>
          <w:rFonts w:hint="eastAsia" w:ascii="宋体" w:hAnsi="宋体"/>
          <w:b/>
          <w:color w:val="auto"/>
          <w:szCs w:val="21"/>
          <w:highlight w:val="none"/>
        </w:rPr>
        <w:t>……………………………………………………………………</w:t>
      </w:r>
      <w:r>
        <w:rPr>
          <w:rFonts w:hint="eastAsia" w:ascii="宋体" w:hAnsi="宋体"/>
          <w:b/>
          <w:bCs/>
          <w:color w:val="auto"/>
          <w:szCs w:val="21"/>
          <w:highlight w:val="none"/>
        </w:rPr>
        <w:t>……</w:t>
      </w:r>
      <w:r>
        <w:rPr>
          <w:rFonts w:hint="eastAsia" w:ascii="宋体" w:hAnsi="宋体"/>
          <w:b/>
          <w:color w:val="auto"/>
          <w:szCs w:val="21"/>
          <w:highlight w:val="none"/>
        </w:rPr>
        <w:t>……满分</w:t>
      </w:r>
      <w:r>
        <w:rPr>
          <w:rFonts w:hint="eastAsia" w:ascii="宋体" w:hAnsi="宋体"/>
          <w:b/>
          <w:color w:val="auto"/>
          <w:szCs w:val="21"/>
          <w:highlight w:val="none"/>
          <w:lang w:val="en-US" w:eastAsia="zh-CN"/>
        </w:rPr>
        <w:t>6</w:t>
      </w:r>
      <w:r>
        <w:rPr>
          <w:rFonts w:hint="eastAsia" w:ascii="宋体" w:hAnsi="宋体"/>
          <w:b/>
          <w:color w:val="auto"/>
          <w:szCs w:val="21"/>
          <w:highlight w:val="none"/>
        </w:rPr>
        <w:t>0分</w:t>
      </w:r>
    </w:p>
    <w:p w14:paraId="03FD94B9">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（1）总体概述（满分</w:t>
      </w:r>
      <w:r>
        <w:rPr>
          <w:rFonts w:hint="eastAsia" w:ascii="宋体" w:hAnsi="宋体"/>
          <w:b/>
          <w:bCs/>
          <w:color w:val="auto"/>
          <w:szCs w:val="21"/>
          <w:highlight w:val="none"/>
          <w:lang w:val="en-US" w:eastAsia="zh-CN"/>
        </w:rPr>
        <w:t>3</w:t>
      </w:r>
      <w:r>
        <w:rPr>
          <w:rFonts w:hint="eastAsia" w:ascii="宋体" w:hAnsi="宋体"/>
          <w:b/>
          <w:bCs/>
          <w:color w:val="auto"/>
          <w:szCs w:val="21"/>
          <w:highlight w:val="none"/>
        </w:rPr>
        <w:t>分）</w:t>
      </w:r>
    </w:p>
    <w:p w14:paraId="3893D5B9">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一档（0分）：对项目认识不足，表达不清晰，措施不具体；施工段划分不合理。</w:t>
      </w:r>
    </w:p>
    <w:p w14:paraId="5FCE1FA3">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二档（1分）：对项目总体有认识，有一定的措施但部分不具体；施工段划分较合理，符合规范要求。 </w:t>
      </w:r>
    </w:p>
    <w:p w14:paraId="4561F50E">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三档（2分）：对项目总体有一定认识，表达清晰、完整，措施具体有效；施工段划分清晰，符合规范要求。 </w:t>
      </w:r>
    </w:p>
    <w:p w14:paraId="3B3F7AB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四档（3分）：对项目总体有深刻认识，表达清晰、完整、严谨、合理，措施先进、具体、有效、成熟；施工段划分清晰、合理，符合规范要求。</w:t>
      </w:r>
    </w:p>
    <w:p w14:paraId="39E44F1B">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color w:val="auto"/>
          <w:szCs w:val="21"/>
          <w:highlight w:val="none"/>
        </w:rPr>
      </w:pPr>
      <w:r>
        <w:rPr>
          <w:rFonts w:hint="eastAsia" w:ascii="宋体" w:hAnsi="宋体"/>
          <w:b/>
          <w:bCs/>
          <w:color w:val="auto"/>
          <w:szCs w:val="21"/>
          <w:highlight w:val="none"/>
        </w:rPr>
        <w:t>（2）主要施工方法（满分</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分）</w:t>
      </w:r>
    </w:p>
    <w:p w14:paraId="1E801F9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一档（0分）：各主要分部施工方法不能满足项目需求，没有施工技术方案，不能指导具体施工并确保安全；</w:t>
      </w:r>
    </w:p>
    <w:p w14:paraId="7AA30FD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二档（3分）：各主要分部施工方法能满足项目需求，有施工技术方案，能指导具体施工并确保安全；</w:t>
      </w:r>
    </w:p>
    <w:p w14:paraId="3B8C3591">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三档（6分）：各主要分部施工方法符合项目实际，有较详尽的施工技术方案，工艺较好、方法科学合理、可行，能指导具体施工并确保安全； </w:t>
      </w:r>
    </w:p>
    <w:p w14:paraId="7655A4B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四档（10分）：各主要分部施工方法符合项目实际，有详尽的施工技术方案，工艺先进、方法科学合理、可行，能指导具体施工并确保安全。</w:t>
      </w:r>
    </w:p>
    <w:p w14:paraId="7F9C1CF9">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（3）施工进度、施工进度计划和各阶段进度的保证措施（满分</w:t>
      </w:r>
      <w:r>
        <w:rPr>
          <w:rFonts w:hint="eastAsia" w:ascii="宋体" w:hAnsi="宋体"/>
          <w:b/>
          <w:bCs/>
          <w:color w:val="auto"/>
          <w:szCs w:val="21"/>
          <w:highlight w:val="none"/>
          <w:lang w:val="en-US" w:eastAsia="zh-CN"/>
        </w:rPr>
        <w:t>6</w:t>
      </w:r>
      <w:r>
        <w:rPr>
          <w:rFonts w:hint="eastAsia" w:ascii="宋体" w:hAnsi="宋体"/>
          <w:b/>
          <w:bCs/>
          <w:color w:val="auto"/>
          <w:szCs w:val="21"/>
          <w:highlight w:val="none"/>
        </w:rPr>
        <w:t>分）</w:t>
      </w:r>
    </w:p>
    <w:p w14:paraId="2E3C07E9">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一档（0分）：关键线路不准确，计划编制不合理，关键节点的控制不可行；</w:t>
      </w:r>
    </w:p>
    <w:p w14:paraId="4D200DBE">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分）：关键线路基本准确，计划编制合理，关键节点的控制措施基本可行；</w:t>
      </w:r>
    </w:p>
    <w:p w14:paraId="65D9FFF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分）：关键线路清晰、准确、完整，计划编制可行，关键节点的控制措施合理、可行；</w:t>
      </w:r>
    </w:p>
    <w:p w14:paraId="498005D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四档（</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分）：关键线路清晰、准确、完整，计划编制合理、可行，关键节点的控制措施有力、合理、可行。</w:t>
      </w:r>
    </w:p>
    <w:p w14:paraId="363FC38C">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（4）劳动力、材料和机械、检测设备投入计划及其保证措施（满分</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分）</w:t>
      </w:r>
    </w:p>
    <w:p w14:paraId="71BFF28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一档（0分）：投入计划与进度计划不呼应，不能满足施工需要；</w:t>
      </w:r>
    </w:p>
    <w:p w14:paraId="72F2C86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二档（1分）：投入计划与进度计划呼应，基本满足施工需要，调配投入计划基本合理； </w:t>
      </w:r>
    </w:p>
    <w:p w14:paraId="71E43C0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分）：投入计划与进度计划呼应，基本满足施工需要，调配投入计划基本合理、准确；</w:t>
      </w:r>
    </w:p>
    <w:p w14:paraId="153AF9CF">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 xml:space="preserve">分）：投入计划与进度计划呼应，较好满足施工需要，调配投入计划合理、准确。 </w:t>
      </w:r>
    </w:p>
    <w:p w14:paraId="020801E0">
      <w:pPr>
        <w:widowControl/>
        <w:spacing w:line="400" w:lineRule="exact"/>
        <w:ind w:firstLine="445" w:firstLineChars="211"/>
        <w:jc w:val="both"/>
        <w:rPr>
          <w:rFonts w:ascii="宋体" w:hAnsi="宋体" w:cs="宋体"/>
          <w:b/>
          <w:bCs/>
          <w:color w:val="auto"/>
          <w:kern w:val="0"/>
          <w:szCs w:val="21"/>
          <w:highlight w:val="none"/>
          <w:shd w:val="clear" w:color="auto" w:fill="auto"/>
        </w:rPr>
      </w:pP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5</w:t>
      </w:r>
      <w:r>
        <w:rPr>
          <w:rFonts w:hint="eastAsia" w:ascii="宋体" w:hAnsi="宋体"/>
          <w:b/>
          <w:bCs/>
          <w:color w:val="auto"/>
          <w:szCs w:val="21"/>
          <w:highlight w:val="none"/>
          <w:lang w:eastAsia="zh-CN"/>
        </w:rPr>
        <w:t>）</w:t>
      </w:r>
      <w:r>
        <w:rPr>
          <w:rFonts w:hint="eastAsia" w:ascii="宋体" w:hAnsi="宋体" w:cs="宋体"/>
          <w:b/>
          <w:bCs/>
          <w:color w:val="auto"/>
          <w:kern w:val="0"/>
          <w:szCs w:val="21"/>
          <w:highlight w:val="none"/>
          <w:shd w:val="clear" w:color="auto" w:fill="auto"/>
        </w:rPr>
        <w:t>施工平面布置和临时设施布置总布置</w:t>
      </w: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6</w:t>
      </w:r>
      <w:r>
        <w:rPr>
          <w:rFonts w:hint="eastAsia" w:ascii="宋体" w:hAnsi="宋体"/>
          <w:b/>
          <w:bCs/>
          <w:color w:val="auto"/>
          <w:szCs w:val="21"/>
          <w:highlight w:val="none"/>
        </w:rPr>
        <w:t>分）</w:t>
      </w:r>
    </w:p>
    <w:p w14:paraId="74BF1F5D">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color w:val="auto"/>
          <w:kern w:val="0"/>
          <w:szCs w:val="21"/>
          <w:highlight w:val="none"/>
          <w:shd w:val="clear" w:color="auto" w:fill="auto"/>
          <w:lang w:eastAsia="zh-CN"/>
        </w:rPr>
      </w:pPr>
      <w:r>
        <w:rPr>
          <w:rFonts w:hint="eastAsia" w:ascii="宋体" w:hAnsi="宋体" w:eastAsia="宋体" w:cs="宋体"/>
          <w:b w:val="0"/>
          <w:bCs/>
          <w:color w:val="auto"/>
          <w:sz w:val="21"/>
          <w:szCs w:val="21"/>
          <w:highlight w:val="none"/>
        </w:rPr>
        <w:t>一档（0分）：</w:t>
      </w:r>
      <w:r>
        <w:rPr>
          <w:rFonts w:hint="eastAsia" w:ascii="宋体" w:hAnsi="宋体" w:cs="宋体"/>
          <w:color w:val="auto"/>
          <w:kern w:val="0"/>
          <w:szCs w:val="21"/>
          <w:highlight w:val="none"/>
          <w:shd w:val="clear" w:color="auto" w:fill="auto"/>
        </w:rPr>
        <w:t>总体布置不合理，不符合安全、文明生产要求</w:t>
      </w:r>
      <w:r>
        <w:rPr>
          <w:rFonts w:hint="eastAsia" w:ascii="宋体" w:hAnsi="宋体" w:cs="宋体"/>
          <w:color w:val="auto"/>
          <w:kern w:val="0"/>
          <w:szCs w:val="21"/>
          <w:highlight w:val="none"/>
          <w:shd w:val="clear" w:color="auto" w:fill="auto"/>
          <w:lang w:eastAsia="zh-CN"/>
        </w:rPr>
        <w:t>；</w:t>
      </w:r>
    </w:p>
    <w:p w14:paraId="2FA42A10">
      <w:pPr>
        <w:widowControl/>
        <w:spacing w:line="400" w:lineRule="exact"/>
        <w:ind w:firstLine="42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w:t>
      </w:r>
      <w:r>
        <w:rPr>
          <w:rFonts w:hint="eastAsia" w:ascii="宋体" w:hAnsi="宋体" w:cs="宋体"/>
          <w:color w:val="auto"/>
          <w:kern w:val="0"/>
          <w:szCs w:val="21"/>
          <w:highlight w:val="none"/>
          <w:shd w:val="clear" w:color="auto" w:fill="auto"/>
        </w:rPr>
        <w:t>总体布置基本合理，基本满足施工需要</w:t>
      </w:r>
      <w:r>
        <w:rPr>
          <w:rFonts w:hint="eastAsia" w:ascii="宋体" w:hAnsi="宋体" w:eastAsia="宋体" w:cs="宋体"/>
          <w:b w:val="0"/>
          <w:bCs/>
          <w:color w:val="auto"/>
          <w:sz w:val="21"/>
          <w:szCs w:val="21"/>
          <w:highlight w:val="none"/>
        </w:rPr>
        <w:t xml:space="preserve">； </w:t>
      </w:r>
    </w:p>
    <w:p w14:paraId="5095DC3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分）：</w:t>
      </w:r>
      <w:r>
        <w:rPr>
          <w:rFonts w:hint="eastAsia" w:ascii="宋体" w:hAnsi="宋体" w:cs="宋体"/>
          <w:color w:val="auto"/>
          <w:kern w:val="0"/>
          <w:szCs w:val="21"/>
          <w:highlight w:val="none"/>
          <w:shd w:val="clear" w:color="auto" w:fill="auto"/>
        </w:rPr>
        <w:t>总体布置合理，能满足施工需要，基本符合安全、文明生产要求</w:t>
      </w:r>
      <w:r>
        <w:rPr>
          <w:rFonts w:hint="eastAsia" w:ascii="宋体" w:hAnsi="宋体" w:eastAsia="宋体" w:cs="宋体"/>
          <w:b w:val="0"/>
          <w:bCs/>
          <w:color w:val="auto"/>
          <w:sz w:val="21"/>
          <w:szCs w:val="21"/>
          <w:highlight w:val="none"/>
        </w:rPr>
        <w:t>；</w:t>
      </w:r>
    </w:p>
    <w:p w14:paraId="0ED5649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b/>
          <w:bCs/>
          <w:color w:val="auto"/>
          <w:szCs w:val="21"/>
          <w:highlight w:val="none"/>
          <w:lang w:eastAsia="zh-CN"/>
        </w:rPr>
      </w:pPr>
      <w:r>
        <w:rPr>
          <w:rFonts w:hint="eastAsia" w:ascii="宋体" w:hAnsi="宋体" w:eastAsia="宋体" w:cs="宋体"/>
          <w:b w:val="0"/>
          <w:bCs/>
          <w:color w:val="auto"/>
          <w:sz w:val="21"/>
          <w:szCs w:val="21"/>
          <w:highlight w:val="none"/>
        </w:rPr>
        <w:t>四档（</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分）：</w:t>
      </w:r>
      <w:r>
        <w:rPr>
          <w:rFonts w:hint="eastAsia" w:ascii="宋体" w:hAnsi="宋体" w:cs="宋体"/>
          <w:color w:val="auto"/>
          <w:kern w:val="0"/>
          <w:szCs w:val="21"/>
          <w:highlight w:val="none"/>
          <w:shd w:val="clear" w:color="auto" w:fill="auto"/>
        </w:rPr>
        <w:t>总体布置有针对性、合理，较好满足施工需要，符合安全、文明生产要求</w:t>
      </w:r>
      <w:r>
        <w:rPr>
          <w:rFonts w:hint="eastAsia" w:ascii="宋体" w:hAnsi="宋体" w:eastAsia="宋体" w:cs="宋体"/>
          <w:b w:val="0"/>
          <w:bCs/>
          <w:color w:val="auto"/>
          <w:sz w:val="21"/>
          <w:szCs w:val="21"/>
          <w:highlight w:val="none"/>
        </w:rPr>
        <w:t>。</w:t>
      </w:r>
    </w:p>
    <w:p w14:paraId="62578BC8">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w:t>
      </w:r>
      <w:r>
        <w:rPr>
          <w:rFonts w:hint="eastAsia" w:ascii="宋体" w:hAnsi="宋体"/>
          <w:b/>
          <w:bCs/>
          <w:color w:val="auto"/>
          <w:szCs w:val="21"/>
          <w:highlight w:val="none"/>
          <w:lang w:val="en-US" w:eastAsia="zh-CN"/>
        </w:rPr>
        <w:t>6</w:t>
      </w:r>
      <w:r>
        <w:rPr>
          <w:rFonts w:hint="eastAsia" w:ascii="宋体" w:hAnsi="宋体"/>
          <w:b/>
          <w:bCs/>
          <w:color w:val="auto"/>
          <w:szCs w:val="21"/>
          <w:highlight w:val="none"/>
        </w:rPr>
        <w:t>）关键施工技术、工艺及工程实施的重点、难点和解决方案（满分</w:t>
      </w:r>
      <w:r>
        <w:rPr>
          <w:rFonts w:hint="eastAsia" w:ascii="宋体" w:hAnsi="宋体"/>
          <w:b/>
          <w:bCs/>
          <w:color w:val="auto"/>
          <w:szCs w:val="21"/>
          <w:highlight w:val="none"/>
          <w:lang w:val="en-US" w:eastAsia="zh-CN"/>
        </w:rPr>
        <w:t>12</w:t>
      </w:r>
      <w:r>
        <w:rPr>
          <w:rFonts w:hint="eastAsia" w:ascii="宋体" w:hAnsi="宋体"/>
          <w:b/>
          <w:bCs/>
          <w:color w:val="auto"/>
          <w:szCs w:val="21"/>
          <w:highlight w:val="none"/>
        </w:rPr>
        <w:t>分）</w:t>
      </w:r>
    </w:p>
    <w:p w14:paraId="057C441B">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一档（0分）：对项目关键技术有表述，对重点、难点有建议，解决方案不可行。</w:t>
      </w:r>
    </w:p>
    <w:p w14:paraId="5AB4F5E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二档（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 xml:space="preserve">分）：对项目关键技术有一定了解，对重点、难点有建议，解决方案基本可行。 </w:t>
      </w:r>
    </w:p>
    <w:p w14:paraId="3C16502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三档（</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eastAsia="zh-CN"/>
        </w:rPr>
        <w:t xml:space="preserve">分）：对项目关键技术、工艺有深入的表达，对重点、难点有合理的建议，解决方案经济、安全、基本可行。 </w:t>
      </w:r>
    </w:p>
    <w:p w14:paraId="0454EED3">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四档（1</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 xml:space="preserve">分）：对项目关键技术、工艺有深入的表达，对重点、难点有先进合理的施工措施并有可行的安全措施，解决方案完整、经济、安全、切实可行，措施得力。 </w:t>
      </w:r>
    </w:p>
    <w:p w14:paraId="3493374C">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w:t>
      </w:r>
      <w:r>
        <w:rPr>
          <w:rFonts w:hint="eastAsia" w:ascii="宋体" w:hAnsi="宋体"/>
          <w:b/>
          <w:bCs/>
          <w:color w:val="auto"/>
          <w:szCs w:val="21"/>
          <w:highlight w:val="none"/>
          <w:lang w:val="en-US" w:eastAsia="zh-CN"/>
        </w:rPr>
        <w:t>7</w:t>
      </w:r>
      <w:r>
        <w:rPr>
          <w:rFonts w:hint="eastAsia" w:ascii="宋体" w:hAnsi="宋体"/>
          <w:b/>
          <w:bCs/>
          <w:color w:val="auto"/>
          <w:szCs w:val="21"/>
          <w:highlight w:val="none"/>
        </w:rPr>
        <w:t>）安全文明施工措施（满分</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分）</w:t>
      </w:r>
    </w:p>
    <w:p w14:paraId="538C6A9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一档（0分）：安全文明措施不得力，采用规范不正确。</w:t>
      </w:r>
    </w:p>
    <w:p w14:paraId="78001719">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二档（3分）：有基本合理的措施，采用规范正确。 </w:t>
      </w:r>
    </w:p>
    <w:p w14:paraId="6371DF2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三档（6分）：针对项目实际情况，有合理的措施且具体、完整，采用规范正确。 </w:t>
      </w:r>
    </w:p>
    <w:p w14:paraId="2577265F">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四档（10分）：针对项目实际情况，有先进、具体、完整、可行的实施措施，采用规范正确、清晰。 </w:t>
      </w:r>
    </w:p>
    <w:p w14:paraId="33C6D568">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b/>
          <w:bCs/>
          <w:color w:val="auto"/>
          <w:szCs w:val="21"/>
          <w:highlight w:val="none"/>
          <w:lang w:val="en-US" w:eastAsia="zh-CN"/>
        </w:rPr>
        <w:t>8</w:t>
      </w:r>
      <w:r>
        <w:rPr>
          <w:rFonts w:hint="eastAsia" w:ascii="宋体" w:hAnsi="宋体"/>
          <w:b/>
          <w:bCs/>
          <w:color w:val="auto"/>
          <w:szCs w:val="21"/>
          <w:highlight w:val="none"/>
        </w:rPr>
        <w:t>）质量保证与承诺（满分</w:t>
      </w:r>
      <w:r>
        <w:rPr>
          <w:rFonts w:hint="eastAsia" w:ascii="宋体" w:hAnsi="宋体"/>
          <w:b/>
          <w:bCs/>
          <w:color w:val="auto"/>
          <w:szCs w:val="21"/>
          <w:highlight w:val="none"/>
          <w:lang w:val="en-US" w:eastAsia="zh-CN"/>
        </w:rPr>
        <w:t>6</w:t>
      </w:r>
      <w:r>
        <w:rPr>
          <w:rFonts w:hint="eastAsia" w:ascii="宋体" w:hAnsi="宋体"/>
          <w:b/>
          <w:bCs/>
          <w:color w:val="auto"/>
          <w:szCs w:val="21"/>
          <w:highlight w:val="none"/>
        </w:rPr>
        <w:t>分）</w:t>
      </w:r>
    </w:p>
    <w:p w14:paraId="0E5A602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一档（0分）：措施不可行。</w:t>
      </w:r>
    </w:p>
    <w:p w14:paraId="7C7682D5">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 xml:space="preserve">分）：针对项目实际提出先进、可行、具体的保证措施，满足招标文件的质量要求。 </w:t>
      </w:r>
    </w:p>
    <w:p w14:paraId="4C9BC2EE">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 xml:space="preserve">分）：具体措施可行，满足采购文件的质量要求。 </w:t>
      </w:r>
    </w:p>
    <w:p w14:paraId="394ADBB7">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color w:val="auto"/>
          <w:szCs w:val="21"/>
          <w:highlight w:val="none"/>
        </w:rPr>
      </w:pPr>
      <w:r>
        <w:rPr>
          <w:rFonts w:hint="eastAsia" w:ascii="宋体" w:hAnsi="宋体" w:eastAsia="宋体" w:cs="宋体"/>
          <w:b w:val="0"/>
          <w:bCs/>
          <w:color w:val="auto"/>
          <w:sz w:val="21"/>
          <w:szCs w:val="21"/>
          <w:highlight w:val="none"/>
        </w:rPr>
        <w:t>四档（</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 xml:space="preserve">分）：针对项目实际提出先进、可行、具体的保证措施，超过采购文件的质量要求及施工验收规范要求。 </w:t>
      </w:r>
    </w:p>
    <w:p w14:paraId="2C2ED467">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b/>
          <w:bCs/>
          <w:color w:val="auto"/>
          <w:szCs w:val="21"/>
          <w:highlight w:val="none"/>
          <w:lang w:val="en-US" w:eastAsia="zh-CN"/>
        </w:rPr>
        <w:t>9</w:t>
      </w:r>
      <w:r>
        <w:rPr>
          <w:rFonts w:hint="eastAsia" w:ascii="宋体" w:hAnsi="宋体"/>
          <w:b/>
          <w:bCs/>
          <w:color w:val="auto"/>
          <w:szCs w:val="21"/>
          <w:highlight w:val="none"/>
        </w:rPr>
        <w:t>）新技术应用与承诺（满分</w:t>
      </w:r>
      <w:r>
        <w:rPr>
          <w:rFonts w:hint="eastAsia" w:ascii="宋体" w:hAnsi="宋体"/>
          <w:b/>
          <w:bCs/>
          <w:color w:val="auto"/>
          <w:szCs w:val="21"/>
          <w:highlight w:val="none"/>
          <w:lang w:val="en-US" w:eastAsia="zh-CN"/>
        </w:rPr>
        <w:t>3</w:t>
      </w:r>
      <w:r>
        <w:rPr>
          <w:rFonts w:hint="eastAsia" w:ascii="宋体" w:hAnsi="宋体"/>
          <w:b/>
          <w:bCs/>
          <w:color w:val="auto"/>
          <w:szCs w:val="21"/>
          <w:highlight w:val="none"/>
        </w:rPr>
        <w:t>分）</w:t>
      </w:r>
    </w:p>
    <w:p w14:paraId="6590D24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一档（0分）：采用的新技术针对性不强或验证材料不可靠，对节约投资和工期没有具体收益。</w:t>
      </w:r>
    </w:p>
    <w:p w14:paraId="7B9E9E18">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 xml:space="preserve">分）：有新技术措施，但验证材料不充分，对节约投资和工期可能有一定收益，对采用新技术可能产生的风险预见不足。 </w:t>
      </w:r>
    </w:p>
    <w:p w14:paraId="71DE18CC">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分）：针对项目实际，提出采用新技术的具体措施。新技术的验证材料可靠，对节约投资和工期有保证措施。对采用新技术可能产生的风险有一定的预见。</w:t>
      </w:r>
    </w:p>
    <w:p w14:paraId="36CA85B6">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四档（</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分）：针对项目实际，提出采用新技术的具体措施。新技术的验证材料可靠，对节约投资和工期的保证措施得力、具体、严谨。对采用新技术可能产生的风险预见充分，对新技术的实施有安全生产的可靠方案。</w:t>
      </w:r>
    </w:p>
    <w:p w14:paraId="518FC182">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380" w:lineRule="exact"/>
        <w:ind w:left="0" w:leftChars="0" w:firstLine="422" w:firstLineChars="200"/>
        <w:textAlignment w:val="auto"/>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3、拟投入主要管理人员配置</w:t>
      </w:r>
      <w:r>
        <w:rPr>
          <w:rFonts w:hint="eastAsia" w:ascii="宋体" w:hAnsi="宋体" w:eastAsia="宋体" w:cs="宋体"/>
          <w:b/>
          <w:bCs/>
          <w:color w:val="auto"/>
          <w:sz w:val="21"/>
          <w:szCs w:val="21"/>
          <w:highlight w:val="none"/>
        </w:rPr>
        <w:t>………………………</w:t>
      </w:r>
      <w:r>
        <w:rPr>
          <w:rFonts w:hint="eastAsia" w:ascii="宋体" w:hAnsi="宋体" w:eastAsia="宋体" w:cs="宋体"/>
          <w:b/>
          <w:bCs w:val="0"/>
          <w:color w:val="auto"/>
          <w:kern w:val="2"/>
          <w:sz w:val="21"/>
          <w:szCs w:val="21"/>
          <w:highlight w:val="none"/>
          <w:lang w:val="en-US" w:eastAsia="zh-CN" w:bidi="ar-SA"/>
        </w:rPr>
        <w:t>……………</w:t>
      </w:r>
      <w:r>
        <w:rPr>
          <w:rFonts w:hint="eastAsia" w:ascii="宋体" w:hAnsi="宋体" w:eastAsia="宋体" w:cs="宋体"/>
          <w:b/>
          <w:bCs/>
          <w:color w:val="auto"/>
          <w:sz w:val="21"/>
          <w:szCs w:val="21"/>
          <w:highlight w:val="none"/>
        </w:rPr>
        <w:t>……………………</w:t>
      </w:r>
      <w:r>
        <w:rPr>
          <w:rFonts w:hint="eastAsia" w:ascii="宋体" w:hAnsi="宋体" w:eastAsia="宋体" w:cs="宋体"/>
          <w:b/>
          <w:bCs w:val="0"/>
          <w:color w:val="auto"/>
          <w:kern w:val="2"/>
          <w:sz w:val="21"/>
          <w:szCs w:val="21"/>
          <w:highlight w:val="none"/>
          <w:lang w:val="en-US" w:eastAsia="zh-CN" w:bidi="ar-SA"/>
        </w:rPr>
        <w:t>…………</w:t>
      </w:r>
      <w:r>
        <w:rPr>
          <w:rFonts w:hint="eastAsia" w:ascii="宋体" w:hAnsi="宋体" w:eastAsia="宋体" w:cs="宋体"/>
          <w:b/>
          <w:bCs/>
          <w:color w:val="auto"/>
          <w:sz w:val="21"/>
          <w:szCs w:val="21"/>
          <w:highlight w:val="none"/>
          <w:lang w:eastAsia="zh-CN"/>
        </w:rPr>
        <w:t>满分</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p>
    <w:p w14:paraId="2788C508">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（1）项目经理职称：具有初级工程师职称的得1分，具有中级及以上工程师职称的得2分。（满分2分）</w:t>
      </w:r>
    </w:p>
    <w:p w14:paraId="5B3DE933">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（2）技术负责人职称：具有高级工程师职称且职称专业为市政公用工程的得2分。（满分2分）</w:t>
      </w:r>
    </w:p>
    <w:p w14:paraId="4D008F8B">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（3）安全员：具备有效的岗位证书及安全生产考核合格证书（C类）且同时具有中级工程师及以上职称的得1分。（满分1分）</w:t>
      </w:r>
    </w:p>
    <w:p w14:paraId="498DB882">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380" w:lineRule="exact"/>
        <w:ind w:left="0" w:leftChars="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业绩分</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满分</w:t>
      </w:r>
      <w:r>
        <w:rPr>
          <w:rFonts w:hint="eastAsia" w:ascii="宋体" w:hAnsi="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p>
    <w:p w14:paraId="0D4FCFD9">
      <w:pPr>
        <w:pStyle w:val="30"/>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供应商202</w:t>
      </w:r>
      <w:r>
        <w:rPr>
          <w:rFonts w:hint="eastAsia"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年</w:t>
      </w:r>
      <w:r>
        <w:rPr>
          <w:rFonts w:hint="eastAsia" w:cs="宋体"/>
          <w:b w:val="0"/>
          <w:bCs/>
          <w:color w:val="000000" w:themeColor="text1"/>
          <w:sz w:val="21"/>
          <w:szCs w:val="21"/>
          <w:highlight w:val="none"/>
          <w:lang w:val="en-US" w:eastAsia="zh-CN"/>
          <w14:textFill>
            <w14:solidFill>
              <w14:schemeClr w14:val="tx1"/>
            </w14:solidFill>
          </w14:textFill>
        </w:rPr>
        <w:t>1月1日</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以来具有本工程类似业绩的每个得</w:t>
      </w:r>
      <w:r>
        <w:rPr>
          <w:rFonts w:hint="eastAsia"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分，满分5分[（业绩证明材料须提供中标（成交）通知书或施工承包合同协议书复印并加盖供应商公章（CA签章）]。</w:t>
      </w:r>
    </w:p>
    <w:p w14:paraId="525B90D6">
      <w:pPr>
        <w:pStyle w:val="30"/>
        <w:keepNext w:val="0"/>
        <w:keepLines w:val="0"/>
        <w:pageBreakBefore w:val="0"/>
        <w:widowControl w:val="0"/>
        <w:kinsoku/>
        <w:wordWrap/>
        <w:overflowPunct/>
        <w:topLinePunct w:val="0"/>
        <w:autoSpaceDE/>
        <w:autoSpaceDN/>
        <w:bidi w:val="0"/>
        <w:adjustRightInd/>
        <w:snapToGrid/>
        <w:spacing w:line="380" w:lineRule="exact"/>
        <w:ind w:left="0" w:leftChars="0" w:firstLine="422" w:firstLineChars="200"/>
        <w:textAlignment w:val="auto"/>
        <w:rPr>
          <w:rFonts w:hint="default" w:ascii="宋体" w:hAnsi="宋体" w:eastAsia="宋体" w:cs="宋体"/>
          <w:b/>
          <w:color w:val="auto"/>
          <w:sz w:val="21"/>
          <w:szCs w:val="21"/>
          <w:highlight w:val="none"/>
          <w:lang w:val="en-US" w:eastAsia="zh-CN"/>
        </w:rPr>
      </w:pPr>
      <w:r>
        <w:rPr>
          <w:rFonts w:hint="eastAsia" w:cs="宋体"/>
          <w:b/>
          <w:color w:val="auto"/>
          <w:sz w:val="21"/>
          <w:szCs w:val="21"/>
          <w:highlight w:val="none"/>
          <w:lang w:val="en-US" w:eastAsia="zh-CN"/>
        </w:rPr>
        <w:t>5、</w:t>
      </w:r>
      <w:r>
        <w:rPr>
          <w:rFonts w:hint="eastAsia" w:ascii="宋体" w:hAnsi="宋体" w:eastAsia="宋体" w:cs="宋体"/>
          <w:b/>
          <w:color w:val="auto"/>
          <w:sz w:val="21"/>
          <w:szCs w:val="21"/>
          <w:highlight w:val="none"/>
          <w:lang w:val="en-US" w:eastAsia="zh-CN"/>
        </w:rPr>
        <w:t>综合得分＝1+2+3</w:t>
      </w:r>
      <w:r>
        <w:rPr>
          <w:rFonts w:hint="eastAsia" w:cs="宋体"/>
          <w:b/>
          <w:color w:val="auto"/>
          <w:sz w:val="21"/>
          <w:szCs w:val="21"/>
          <w:highlight w:val="none"/>
          <w:lang w:val="en-US" w:eastAsia="zh-CN"/>
        </w:rPr>
        <w:t>+4</w:t>
      </w:r>
    </w:p>
    <w:p w14:paraId="435E012F">
      <w:pPr>
        <w:keepNext w:val="0"/>
        <w:keepLines w:val="0"/>
        <w:pageBreakBefore w:val="0"/>
        <w:widowControl w:val="0"/>
        <w:tabs>
          <w:tab w:val="left" w:pos="1305"/>
        </w:tabs>
        <w:kinsoku/>
        <w:wordWrap/>
        <w:overflowPunct/>
        <w:topLinePunct w:val="0"/>
        <w:autoSpaceDE/>
        <w:autoSpaceDN/>
        <w:bidi w:val="0"/>
        <w:adjustRightInd/>
        <w:snapToGrid/>
        <w:spacing w:line="38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推荐成交候选</w:t>
      </w:r>
      <w:r>
        <w:rPr>
          <w:rFonts w:hint="eastAsia" w:ascii="宋体"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原则</w:t>
      </w:r>
    </w:p>
    <w:p w14:paraId="4013EBFA">
      <w:pPr>
        <w:keepNext w:val="0"/>
        <w:keepLines w:val="0"/>
        <w:pageBreakBefore w:val="0"/>
        <w:widowControl w:val="0"/>
        <w:tabs>
          <w:tab w:val="left" w:pos="1305"/>
        </w:tabs>
        <w:kinsoku/>
        <w:wordWrap/>
        <w:overflowPunct/>
        <w:topLinePunct w:val="0"/>
        <w:autoSpaceDE/>
        <w:autoSpaceDN/>
        <w:bidi w:val="0"/>
        <w:adjustRightInd/>
        <w:snapToGrid/>
        <w:spacing w:line="38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olor w:val="auto"/>
          <w:szCs w:val="21"/>
          <w:highlight w:val="none"/>
        </w:rPr>
        <w:t>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r>
        <w:rPr>
          <w:rFonts w:hint="eastAsia" w:ascii="宋体" w:hAnsi="宋体" w:eastAsia="宋体" w:cs="宋体"/>
          <w:color w:val="auto"/>
          <w:sz w:val="21"/>
          <w:szCs w:val="21"/>
          <w:highlight w:val="none"/>
        </w:rPr>
        <w:t>。</w:t>
      </w:r>
    </w:p>
    <w:p w14:paraId="3981A37B">
      <w:pPr>
        <w:keepNext w:val="0"/>
        <w:keepLines w:val="0"/>
        <w:pageBreakBefore w:val="0"/>
        <w:widowControl w:val="0"/>
        <w:tabs>
          <w:tab w:val="left" w:pos="1305"/>
        </w:tabs>
        <w:kinsoku/>
        <w:wordWrap/>
        <w:overflowPunct/>
        <w:topLinePunct w:val="0"/>
        <w:autoSpaceDE/>
        <w:autoSpaceDN/>
        <w:bidi w:val="0"/>
        <w:adjustRightInd/>
        <w:snapToGrid/>
        <w:spacing w:line="38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olor w:val="auto"/>
          <w:szCs w:val="21"/>
          <w:highlight w:val="none"/>
        </w:rPr>
        <w:t>采购单位应当确定磋商小组推荐排名第一的成交候选供应商为成交供应商</w:t>
      </w:r>
      <w:r>
        <w:rPr>
          <w:rFonts w:hint="eastAsia" w:ascii="宋体" w:hAnsi="宋体" w:eastAsia="宋体" w:cs="宋体"/>
          <w:color w:val="auto"/>
          <w:sz w:val="21"/>
          <w:szCs w:val="21"/>
          <w:highlight w:val="none"/>
        </w:rPr>
        <w:t>。</w:t>
      </w:r>
    </w:p>
    <w:p w14:paraId="69D761A3">
      <w:pPr>
        <w:keepNext w:val="0"/>
        <w:keepLines w:val="0"/>
        <w:pageBreakBefore w:val="0"/>
        <w:widowControl w:val="0"/>
        <w:tabs>
          <w:tab w:val="left" w:pos="1305"/>
        </w:tabs>
        <w:kinsoku/>
        <w:wordWrap/>
        <w:overflowPunct/>
        <w:topLinePunct w:val="0"/>
        <w:autoSpaceDE/>
        <w:autoSpaceDN/>
        <w:bidi w:val="0"/>
        <w:adjustRightInd/>
        <w:snapToGrid/>
        <w:spacing w:line="38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（3）排名第一的成交候选供应商放弃成交、因不可抗力提出不能履行合同，或因失信行为被取消成交候选</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资格的，采购单位可以确定排名第二的成交候选供应商为成交供应商或重新采购。</w:t>
      </w:r>
    </w:p>
    <w:p w14:paraId="46B18E73">
      <w:pPr>
        <w:keepNext w:val="0"/>
        <w:keepLines w:val="0"/>
        <w:pageBreakBefore w:val="0"/>
        <w:widowControl w:val="0"/>
        <w:tabs>
          <w:tab w:val="left" w:pos="1305"/>
        </w:tabs>
        <w:kinsoku/>
        <w:wordWrap/>
        <w:overflowPunct/>
        <w:topLinePunct w:val="0"/>
        <w:autoSpaceDE/>
        <w:autoSpaceDN/>
        <w:bidi w:val="0"/>
        <w:adjustRightInd/>
        <w:snapToGrid/>
        <w:spacing w:line="38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olor w:val="auto"/>
          <w:szCs w:val="21"/>
          <w:highlight w:val="none"/>
        </w:rPr>
        <w:t>排名第二的成交候选供应商因前款规定的同样原因不能签订合同的，采购单位可以确定排名第三的成交候选</w:t>
      </w:r>
      <w:r>
        <w:rPr>
          <w:rFonts w:hint="eastAsia" w:ascii="宋体" w:hAnsi="宋体"/>
          <w:color w:val="auto"/>
          <w:szCs w:val="21"/>
          <w:highlight w:val="none"/>
          <w:lang w:eastAsia="zh-CN"/>
        </w:rPr>
        <w:t>供应商</w:t>
      </w:r>
      <w:r>
        <w:rPr>
          <w:rFonts w:hint="eastAsia" w:ascii="宋体" w:hAnsi="宋体"/>
          <w:color w:val="auto"/>
          <w:szCs w:val="21"/>
          <w:highlight w:val="none"/>
        </w:rPr>
        <w:t>为成交供应商</w:t>
      </w:r>
      <w:r>
        <w:rPr>
          <w:rFonts w:ascii="宋体" w:hAnsi="宋体"/>
          <w:color w:val="auto"/>
          <w:szCs w:val="21"/>
          <w:highlight w:val="none"/>
        </w:rPr>
        <w:t>或重新采购</w:t>
      </w:r>
      <w:r>
        <w:rPr>
          <w:rFonts w:hint="eastAsia" w:ascii="宋体" w:hAnsi="宋体" w:eastAsia="宋体" w:cs="宋体"/>
          <w:color w:val="auto"/>
          <w:sz w:val="21"/>
          <w:szCs w:val="21"/>
          <w:highlight w:val="none"/>
        </w:rPr>
        <w:t>。</w:t>
      </w:r>
    </w:p>
    <w:p w14:paraId="479A2EE1">
      <w:pPr>
        <w:keepNext w:val="0"/>
        <w:keepLines w:val="0"/>
        <w:pageBreakBefore w:val="0"/>
        <w:widowControl w:val="0"/>
        <w:tabs>
          <w:tab w:val="left" w:pos="1305"/>
        </w:tabs>
        <w:kinsoku/>
        <w:wordWrap/>
        <w:overflowPunct/>
        <w:topLinePunct w:val="0"/>
        <w:autoSpaceDE/>
        <w:autoSpaceDN/>
        <w:bidi w:val="0"/>
        <w:adjustRightInd/>
        <w:snapToGrid/>
        <w:spacing w:line="380" w:lineRule="exac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四、特别说明</w:t>
      </w:r>
    </w:p>
    <w:p w14:paraId="41586E89">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default" w:ascii="宋体" w:hAnsi="宋体" w:eastAsia="宋体"/>
          <w:b/>
          <w:bCs/>
          <w:color w:val="auto"/>
          <w:szCs w:val="21"/>
          <w:highlight w:val="none"/>
          <w:u w:val="double"/>
          <w:lang w:val="en-US" w:eastAsia="zh-CN"/>
        </w:rPr>
      </w:pPr>
      <w:r>
        <w:rPr>
          <w:rFonts w:hint="eastAsia" w:ascii="宋体" w:hAnsi="宋体"/>
          <w:b/>
          <w:bCs/>
          <w:color w:val="auto"/>
          <w:szCs w:val="21"/>
          <w:highlight w:val="none"/>
          <w:u w:val="double"/>
        </w:rPr>
        <w:t>评审时，</w:t>
      </w:r>
      <w:r>
        <w:rPr>
          <w:rFonts w:hint="eastAsia" w:ascii="宋体" w:hAnsi="宋体"/>
          <w:b/>
          <w:bCs/>
          <w:color w:val="auto"/>
          <w:szCs w:val="21"/>
          <w:highlight w:val="none"/>
          <w:u w:val="double"/>
          <w:lang w:val="en-US" w:eastAsia="zh-CN"/>
        </w:rPr>
        <w:t>供应商的报价出现下列情形之一的，磋商小组应当启动异常低价响应审查程序；</w:t>
      </w:r>
    </w:p>
    <w:p w14:paraId="5E9B2991">
      <w:pPr>
        <w:pStyle w:val="25"/>
        <w:ind w:firstLine="422" w:firstLineChars="200"/>
        <w:rPr>
          <w:rFonts w:hint="default" w:ascii="宋体" w:hAnsi="宋体" w:eastAsia="宋体" w:cs="Times New Roman"/>
          <w:b/>
          <w:bCs/>
          <w:color w:val="auto"/>
          <w:spacing w:val="0"/>
          <w:kern w:val="2"/>
          <w:sz w:val="21"/>
          <w:szCs w:val="21"/>
          <w:highlight w:val="none"/>
          <w:u w:val="double"/>
          <w:lang w:val="en-US" w:eastAsia="zh-CN" w:bidi="ar-SA"/>
        </w:rPr>
      </w:pPr>
      <w:r>
        <w:rPr>
          <w:rFonts w:hint="eastAsia" w:ascii="宋体" w:hAnsi="宋体" w:eastAsia="宋体" w:cs="Times New Roman"/>
          <w:b/>
          <w:bCs/>
          <w:color w:val="auto"/>
          <w:spacing w:val="0"/>
          <w:kern w:val="2"/>
          <w:sz w:val="21"/>
          <w:szCs w:val="21"/>
          <w:highlight w:val="none"/>
          <w:u w:val="double"/>
          <w:lang w:val="en-US" w:eastAsia="zh-CN" w:bidi="ar-SA"/>
        </w:rPr>
        <w:t>1.异常低价响应情形：</w:t>
      </w:r>
    </w:p>
    <w:p w14:paraId="58C3E53F">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eastAsia"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 xml:space="preserve">（1）响应报价低于全部通过符合性审查供应商响应报价平均值65%的，即响应报价＜全部通过符合性审查供应商响应报价平均值×65%； </w:t>
      </w:r>
    </w:p>
    <w:p w14:paraId="783E2770">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eastAsia"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 xml:space="preserve">（2）响应报价低于通过符合性审查的次低报价供应商响应报价65%的，即响应报价＜通过符合性审查的次低报价供应商响应报价×65%； </w:t>
      </w:r>
    </w:p>
    <w:p w14:paraId="46F6030D">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eastAsia"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 xml:space="preserve">（3）响应报价低于采购项目采购预算金额65%的，即响应报价＜采购项目采购预算金额×65%； </w:t>
      </w:r>
    </w:p>
    <w:p w14:paraId="7C2F9352">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eastAsia"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 xml:space="preserve">（4）磋商小组基于专业判断，认为供应商报价过低，有可能影响产品质量或者不能诚信履约的其他情形。 </w:t>
      </w:r>
    </w:p>
    <w:p w14:paraId="22A120F8">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eastAsia"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21.13.2异常低价竞标审查流程：</w:t>
      </w:r>
    </w:p>
    <w:p w14:paraId="08F45895">
      <w:pPr>
        <w:keepNext w:val="0"/>
        <w:keepLines w:val="0"/>
        <w:pageBreakBefore w:val="0"/>
        <w:widowControl w:val="0"/>
        <w:tabs>
          <w:tab w:val="left" w:pos="1140"/>
        </w:tabs>
        <w:kinsoku/>
        <w:wordWrap/>
        <w:overflowPunct/>
        <w:topLinePunct w:val="0"/>
        <w:autoSpaceDE/>
        <w:autoSpaceDN/>
        <w:bidi w:val="0"/>
        <w:adjustRightInd/>
        <w:snapToGrid/>
        <w:spacing w:line="380" w:lineRule="exact"/>
        <w:ind w:firstLine="422" w:firstLineChars="200"/>
        <w:textAlignment w:val="auto"/>
        <w:rPr>
          <w:rFonts w:hint="default" w:ascii="宋体" w:hAnsi="宋体" w:eastAsia="宋体" w:cs="Times New Roman"/>
          <w:b/>
          <w:bCs/>
          <w:color w:val="auto"/>
          <w:szCs w:val="21"/>
          <w:highlight w:val="none"/>
          <w:u w:val="double"/>
          <w:lang w:val="en-US" w:eastAsia="zh-CN"/>
        </w:rPr>
      </w:pPr>
      <w:r>
        <w:rPr>
          <w:rFonts w:hint="eastAsia" w:ascii="宋体" w:hAnsi="宋体" w:eastAsia="宋体" w:cs="Times New Roman"/>
          <w:b/>
          <w:bCs/>
          <w:color w:val="auto"/>
          <w:szCs w:val="21"/>
          <w:highlight w:val="none"/>
          <w:u w:val="double"/>
          <w:lang w:val="en-US" w:eastAsia="zh-CN"/>
        </w:rPr>
        <w:t>磋商小组启动异常低价竞标审查程序后，应当要求相关供应商在评审现场合理的时间内提供书面说明及必要的证明材料，对磋商价格作出解释。书面说明、证明材料主要是项目具体成本测算等与报价合理性相关的说明、材料。磋商小组应当结合同类产品在主要电商平台的价格、该行业当地薪资水平等情况，依据专业经验对报价合理性进行判断。如果供应商不提供书面说明、证明材料，或者提供的书面说明、证明材料不能证明其报价合理性的，磋商小组应当将其作为响应文件无效处理。以上审查相关情况应当在评审报告中记录。</w:t>
      </w:r>
    </w:p>
    <w:p w14:paraId="5772DDE7">
      <w:pPr>
        <w:pStyle w:val="25"/>
        <w:ind w:firstLine="491" w:firstLineChars="0"/>
        <w:rPr>
          <w:rFonts w:hint="eastAsia" w:ascii="宋体" w:hAnsi="宋体" w:eastAsia="宋体" w:cs="宋体"/>
          <w:color w:val="auto"/>
          <w:sz w:val="21"/>
          <w:szCs w:val="21"/>
          <w:highlight w:val="none"/>
        </w:rPr>
      </w:pPr>
    </w:p>
    <w:p w14:paraId="527917B0">
      <w:pPr>
        <w:pStyle w:val="25"/>
        <w:rPr>
          <w:rFonts w:hint="eastAsia" w:ascii="宋体" w:hAnsi="宋体" w:eastAsia="宋体" w:cs="宋体"/>
          <w:color w:val="auto"/>
          <w:sz w:val="21"/>
          <w:szCs w:val="21"/>
          <w:highlight w:val="none"/>
        </w:rPr>
      </w:pPr>
    </w:p>
    <w:p w14:paraId="77D087FE">
      <w:pPr>
        <w:pStyle w:val="25"/>
        <w:rPr>
          <w:rFonts w:hint="eastAsia" w:ascii="宋体" w:hAnsi="宋体" w:eastAsia="宋体" w:cs="宋体"/>
          <w:color w:val="auto"/>
          <w:sz w:val="21"/>
          <w:szCs w:val="21"/>
          <w:highlight w:val="none"/>
        </w:rPr>
      </w:pPr>
    </w:p>
    <w:p w14:paraId="495D95CF">
      <w:pPr>
        <w:pStyle w:val="25"/>
        <w:rPr>
          <w:rFonts w:hint="eastAsia" w:ascii="宋体" w:hAnsi="宋体" w:eastAsia="宋体" w:cs="宋体"/>
          <w:color w:val="auto"/>
          <w:sz w:val="21"/>
          <w:szCs w:val="21"/>
          <w:highlight w:val="none"/>
        </w:rPr>
      </w:pPr>
    </w:p>
    <w:p w14:paraId="71D1F5F2">
      <w:pPr>
        <w:pStyle w:val="25"/>
        <w:rPr>
          <w:rFonts w:hint="eastAsia" w:ascii="宋体" w:hAnsi="宋体" w:eastAsia="宋体" w:cs="宋体"/>
          <w:color w:val="auto"/>
          <w:sz w:val="21"/>
          <w:szCs w:val="21"/>
          <w:highlight w:val="none"/>
        </w:rPr>
      </w:pPr>
    </w:p>
    <w:p w14:paraId="0A848715">
      <w:pPr>
        <w:pStyle w:val="25"/>
        <w:rPr>
          <w:rFonts w:hint="eastAsia" w:ascii="宋体" w:hAnsi="宋体" w:eastAsia="宋体" w:cs="宋体"/>
          <w:color w:val="auto"/>
          <w:sz w:val="21"/>
          <w:szCs w:val="21"/>
          <w:highlight w:val="none"/>
        </w:rPr>
      </w:pPr>
    </w:p>
    <w:p w14:paraId="727F4A71">
      <w:pPr>
        <w:pStyle w:val="25"/>
        <w:rPr>
          <w:rFonts w:hint="eastAsia" w:ascii="宋体" w:hAnsi="宋体" w:eastAsia="宋体" w:cs="宋体"/>
          <w:color w:val="auto"/>
          <w:sz w:val="21"/>
          <w:szCs w:val="21"/>
          <w:highlight w:val="none"/>
        </w:rPr>
      </w:pPr>
    </w:p>
    <w:p w14:paraId="7BDB3872">
      <w:pPr>
        <w:pStyle w:val="25"/>
        <w:rPr>
          <w:rFonts w:hint="eastAsia" w:ascii="宋体" w:hAnsi="宋体" w:eastAsia="宋体" w:cs="宋体"/>
          <w:color w:val="auto"/>
          <w:sz w:val="21"/>
          <w:szCs w:val="21"/>
          <w:highlight w:val="none"/>
        </w:rPr>
      </w:pPr>
    </w:p>
    <w:p w14:paraId="1E84FCD9">
      <w:pPr>
        <w:pStyle w:val="25"/>
        <w:rPr>
          <w:rFonts w:hint="eastAsia" w:ascii="宋体" w:hAnsi="宋体" w:eastAsia="宋体" w:cs="宋体"/>
          <w:color w:val="auto"/>
          <w:sz w:val="21"/>
          <w:szCs w:val="21"/>
          <w:highlight w:val="none"/>
        </w:rPr>
      </w:pPr>
    </w:p>
    <w:p w14:paraId="5ECBE08A">
      <w:pPr>
        <w:pStyle w:val="25"/>
        <w:rPr>
          <w:rFonts w:hint="eastAsia" w:ascii="宋体" w:hAnsi="宋体" w:eastAsia="宋体" w:cs="宋体"/>
          <w:color w:val="auto"/>
          <w:sz w:val="21"/>
          <w:szCs w:val="21"/>
          <w:highlight w:val="none"/>
        </w:rPr>
      </w:pPr>
    </w:p>
    <w:p w14:paraId="7FB5F9E8">
      <w:pPr>
        <w:pStyle w:val="25"/>
        <w:rPr>
          <w:rFonts w:hint="eastAsia" w:ascii="宋体" w:hAnsi="宋体" w:eastAsia="宋体" w:cs="宋体"/>
          <w:color w:val="auto"/>
          <w:sz w:val="21"/>
          <w:szCs w:val="21"/>
          <w:highlight w:val="none"/>
        </w:rPr>
      </w:pPr>
    </w:p>
    <w:p w14:paraId="4DFD7963">
      <w:pPr>
        <w:pStyle w:val="25"/>
        <w:rPr>
          <w:rFonts w:hint="eastAsia" w:ascii="宋体" w:hAnsi="宋体" w:eastAsia="宋体" w:cs="宋体"/>
          <w:color w:val="auto"/>
          <w:sz w:val="21"/>
          <w:szCs w:val="21"/>
          <w:highlight w:val="none"/>
        </w:rPr>
      </w:pPr>
    </w:p>
    <w:p w14:paraId="02B6E8A7">
      <w:pPr>
        <w:pStyle w:val="25"/>
        <w:rPr>
          <w:rFonts w:hint="eastAsia" w:ascii="宋体" w:hAnsi="宋体" w:eastAsia="宋体" w:cs="宋体"/>
          <w:color w:val="auto"/>
          <w:sz w:val="21"/>
          <w:szCs w:val="21"/>
          <w:highlight w:val="none"/>
        </w:rPr>
      </w:pPr>
    </w:p>
    <w:p w14:paraId="60B07859">
      <w:pPr>
        <w:pStyle w:val="25"/>
        <w:rPr>
          <w:rFonts w:hint="eastAsia" w:ascii="宋体" w:hAnsi="宋体" w:eastAsia="宋体" w:cs="宋体"/>
          <w:color w:val="auto"/>
          <w:sz w:val="21"/>
          <w:szCs w:val="21"/>
          <w:highlight w:val="none"/>
        </w:rPr>
      </w:pPr>
    </w:p>
    <w:p w14:paraId="16845893">
      <w:pPr>
        <w:pStyle w:val="25"/>
        <w:rPr>
          <w:rFonts w:hint="eastAsia" w:ascii="宋体" w:hAnsi="宋体" w:eastAsia="宋体" w:cs="宋体"/>
          <w:color w:val="auto"/>
          <w:sz w:val="21"/>
          <w:szCs w:val="21"/>
          <w:highlight w:val="none"/>
        </w:rPr>
      </w:pPr>
    </w:p>
    <w:p w14:paraId="08F8FF99">
      <w:pPr>
        <w:pStyle w:val="25"/>
        <w:rPr>
          <w:rFonts w:hint="eastAsia" w:ascii="宋体" w:hAnsi="宋体" w:eastAsia="宋体" w:cs="宋体"/>
          <w:color w:val="auto"/>
          <w:sz w:val="21"/>
          <w:szCs w:val="21"/>
          <w:highlight w:val="none"/>
        </w:rPr>
      </w:pPr>
    </w:p>
    <w:p w14:paraId="5798415D">
      <w:pPr>
        <w:pStyle w:val="25"/>
        <w:rPr>
          <w:rFonts w:hint="eastAsia" w:ascii="宋体" w:hAnsi="宋体" w:eastAsia="宋体" w:cs="宋体"/>
          <w:color w:val="auto"/>
          <w:sz w:val="21"/>
          <w:szCs w:val="21"/>
          <w:highlight w:val="none"/>
        </w:rPr>
      </w:pPr>
    </w:p>
    <w:p w14:paraId="78112E4B">
      <w:pPr>
        <w:pStyle w:val="25"/>
        <w:rPr>
          <w:rFonts w:hint="eastAsia" w:ascii="宋体" w:hAnsi="宋体" w:eastAsia="宋体" w:cs="宋体"/>
          <w:color w:val="auto"/>
          <w:sz w:val="21"/>
          <w:szCs w:val="21"/>
          <w:highlight w:val="none"/>
        </w:rPr>
      </w:pPr>
    </w:p>
    <w:p w14:paraId="48FEF0D7">
      <w:pPr>
        <w:pStyle w:val="25"/>
        <w:rPr>
          <w:rFonts w:hint="eastAsia" w:ascii="宋体" w:hAnsi="宋体" w:eastAsia="宋体" w:cs="宋体"/>
          <w:color w:val="auto"/>
          <w:sz w:val="21"/>
          <w:szCs w:val="21"/>
          <w:highlight w:val="none"/>
        </w:rPr>
      </w:pPr>
    </w:p>
    <w:p w14:paraId="197B81ED">
      <w:pPr>
        <w:pStyle w:val="25"/>
        <w:rPr>
          <w:rFonts w:hint="eastAsia" w:ascii="宋体" w:hAnsi="宋体" w:eastAsia="宋体" w:cs="宋体"/>
          <w:color w:val="auto"/>
          <w:sz w:val="21"/>
          <w:szCs w:val="21"/>
          <w:highlight w:val="none"/>
        </w:rPr>
      </w:pPr>
    </w:p>
    <w:p w14:paraId="2A33D18A">
      <w:pPr>
        <w:pStyle w:val="25"/>
        <w:rPr>
          <w:rFonts w:hint="eastAsia" w:ascii="宋体" w:hAnsi="宋体" w:eastAsia="宋体" w:cs="宋体"/>
          <w:color w:val="auto"/>
          <w:sz w:val="21"/>
          <w:szCs w:val="21"/>
          <w:highlight w:val="none"/>
        </w:rPr>
      </w:pPr>
    </w:p>
    <w:p w14:paraId="767D36C8">
      <w:pPr>
        <w:pStyle w:val="25"/>
        <w:rPr>
          <w:rFonts w:hint="eastAsia" w:ascii="宋体" w:hAnsi="宋体" w:eastAsia="宋体" w:cs="宋体"/>
          <w:color w:val="auto"/>
          <w:sz w:val="21"/>
          <w:szCs w:val="21"/>
          <w:highlight w:val="none"/>
        </w:rPr>
      </w:pPr>
    </w:p>
    <w:p w14:paraId="4CDB7300">
      <w:pPr>
        <w:pStyle w:val="25"/>
        <w:rPr>
          <w:rFonts w:hint="eastAsia" w:ascii="宋体" w:hAnsi="宋体" w:eastAsia="宋体" w:cs="宋体"/>
          <w:color w:val="auto"/>
          <w:sz w:val="21"/>
          <w:szCs w:val="21"/>
          <w:highlight w:val="none"/>
        </w:rPr>
      </w:pPr>
    </w:p>
    <w:p w14:paraId="5D713D20">
      <w:pPr>
        <w:pStyle w:val="25"/>
        <w:rPr>
          <w:rFonts w:hint="eastAsia" w:ascii="宋体" w:hAnsi="宋体" w:eastAsia="宋体" w:cs="宋体"/>
          <w:color w:val="auto"/>
          <w:sz w:val="21"/>
          <w:szCs w:val="21"/>
          <w:highlight w:val="none"/>
        </w:rPr>
      </w:pPr>
    </w:p>
    <w:p w14:paraId="679C674C">
      <w:pPr>
        <w:pStyle w:val="25"/>
        <w:rPr>
          <w:rFonts w:hint="eastAsia" w:ascii="宋体" w:hAnsi="宋体" w:eastAsia="宋体" w:cs="宋体"/>
          <w:color w:val="auto"/>
          <w:sz w:val="21"/>
          <w:szCs w:val="21"/>
          <w:highlight w:val="none"/>
        </w:rPr>
      </w:pPr>
    </w:p>
    <w:p w14:paraId="09923225">
      <w:pPr>
        <w:pStyle w:val="25"/>
        <w:rPr>
          <w:rFonts w:hint="eastAsia" w:ascii="宋体" w:hAnsi="宋体" w:eastAsia="宋体" w:cs="宋体"/>
          <w:color w:val="auto"/>
          <w:sz w:val="21"/>
          <w:szCs w:val="21"/>
          <w:highlight w:val="none"/>
        </w:rPr>
      </w:pPr>
    </w:p>
    <w:p w14:paraId="59CA9FA1">
      <w:pPr>
        <w:pStyle w:val="25"/>
        <w:rPr>
          <w:rFonts w:hint="eastAsia" w:ascii="宋体" w:hAnsi="宋体" w:eastAsia="宋体" w:cs="宋体"/>
          <w:color w:val="auto"/>
          <w:sz w:val="21"/>
          <w:szCs w:val="21"/>
          <w:highlight w:val="none"/>
        </w:rPr>
      </w:pPr>
    </w:p>
    <w:p w14:paraId="534FE61D">
      <w:pPr>
        <w:pStyle w:val="25"/>
        <w:rPr>
          <w:rFonts w:hint="eastAsia" w:ascii="宋体" w:hAnsi="宋体" w:eastAsia="宋体" w:cs="宋体"/>
          <w:color w:val="auto"/>
          <w:sz w:val="21"/>
          <w:szCs w:val="21"/>
          <w:highlight w:val="none"/>
        </w:rPr>
      </w:pPr>
    </w:p>
    <w:p w14:paraId="22260416">
      <w:pPr>
        <w:pStyle w:val="25"/>
        <w:rPr>
          <w:rFonts w:hint="eastAsia" w:ascii="宋体" w:hAnsi="宋体" w:eastAsia="宋体" w:cs="宋体"/>
          <w:color w:val="auto"/>
          <w:sz w:val="21"/>
          <w:szCs w:val="21"/>
          <w:highlight w:val="none"/>
        </w:rPr>
      </w:pPr>
    </w:p>
    <w:p w14:paraId="39D9B176">
      <w:pPr>
        <w:pStyle w:val="25"/>
        <w:rPr>
          <w:rFonts w:hint="eastAsia" w:ascii="宋体" w:hAnsi="宋体" w:eastAsia="宋体" w:cs="宋体"/>
          <w:color w:val="auto"/>
          <w:sz w:val="21"/>
          <w:szCs w:val="21"/>
          <w:highlight w:val="none"/>
        </w:rPr>
      </w:pPr>
    </w:p>
    <w:p w14:paraId="4EC679EC">
      <w:pPr>
        <w:pStyle w:val="25"/>
        <w:rPr>
          <w:rFonts w:hint="eastAsia" w:ascii="宋体" w:hAnsi="宋体" w:eastAsia="宋体" w:cs="宋体"/>
          <w:color w:val="auto"/>
          <w:sz w:val="21"/>
          <w:szCs w:val="21"/>
          <w:highlight w:val="none"/>
        </w:rPr>
      </w:pPr>
    </w:p>
    <w:p w14:paraId="715EAC28">
      <w:pPr>
        <w:pStyle w:val="25"/>
        <w:rPr>
          <w:rFonts w:hint="eastAsia" w:ascii="宋体" w:hAnsi="宋体" w:eastAsia="宋体" w:cs="宋体"/>
          <w:color w:val="auto"/>
          <w:sz w:val="21"/>
          <w:szCs w:val="21"/>
          <w:highlight w:val="none"/>
        </w:rPr>
      </w:pPr>
    </w:p>
    <w:p w14:paraId="1A5B181D">
      <w:pPr>
        <w:pStyle w:val="25"/>
        <w:rPr>
          <w:rFonts w:hint="eastAsia" w:ascii="宋体" w:hAnsi="宋体" w:eastAsia="宋体" w:cs="宋体"/>
          <w:color w:val="auto"/>
          <w:sz w:val="21"/>
          <w:szCs w:val="21"/>
          <w:highlight w:val="none"/>
        </w:rPr>
      </w:pPr>
    </w:p>
    <w:p w14:paraId="769C0658">
      <w:pPr>
        <w:pStyle w:val="2"/>
        <w:numPr>
          <w:ilvl w:val="0"/>
          <w:numId w:val="0"/>
        </w:numPr>
        <w:tabs>
          <w:tab w:val="left" w:pos="0"/>
        </w:tabs>
        <w:autoSpaceDE w:val="0"/>
        <w:autoSpaceDN w:val="0"/>
        <w:adjustRightInd w:val="0"/>
        <w:spacing w:before="0" w:after="0" w:line="360" w:lineRule="auto"/>
        <w:jc w:val="center"/>
        <w:rPr>
          <w:rFonts w:hint="eastAsia" w:ascii="宋体" w:hAnsi="宋体" w:eastAsia="宋体" w:cs="宋体"/>
          <w:color w:val="auto"/>
          <w:sz w:val="28"/>
          <w:szCs w:val="28"/>
          <w:highlight w:val="none"/>
        </w:rPr>
      </w:pPr>
      <w:bookmarkStart w:id="154" w:name="_Toc4774"/>
      <w:bookmarkStart w:id="155" w:name="_Toc25717"/>
      <w:bookmarkStart w:id="156" w:name="_Toc5821"/>
      <w:bookmarkStart w:id="157" w:name="_Toc8466"/>
      <w:r>
        <w:rPr>
          <w:rFonts w:hint="eastAsia" w:ascii="宋体" w:hAnsi="宋体" w:eastAsia="宋体" w:cs="宋体"/>
          <w:color w:val="auto"/>
          <w:sz w:val="28"/>
          <w:szCs w:val="28"/>
          <w:highlight w:val="none"/>
          <w:lang w:eastAsia="zh-CN"/>
        </w:rPr>
        <w:t>第五章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采购合同（合同主要条款及格式）</w:t>
      </w:r>
      <w:bookmarkEnd w:id="154"/>
      <w:bookmarkEnd w:id="155"/>
      <w:bookmarkEnd w:id="156"/>
      <w:bookmarkEnd w:id="157"/>
    </w:p>
    <w:p w14:paraId="6D774957">
      <w:pPr>
        <w:spacing w:line="500" w:lineRule="exact"/>
        <w:ind w:firstLine="3200" w:firstLineChars="1000"/>
        <w:jc w:val="left"/>
        <w:rPr>
          <w:rFonts w:ascii="宋体" w:hAnsi="宋体" w:cs="宋体"/>
          <w:bCs/>
          <w:color w:val="auto"/>
          <w:sz w:val="32"/>
          <w:szCs w:val="32"/>
          <w:highlight w:val="none"/>
          <w:shd w:val="clear" w:color="auto" w:fill="auto"/>
        </w:rPr>
      </w:pPr>
      <w:bookmarkStart w:id="158" w:name="_Toc24269"/>
      <w:bookmarkStart w:id="159" w:name="_Toc10014"/>
      <w:bookmarkStart w:id="160" w:name="_Toc6509"/>
      <w:bookmarkStart w:id="161" w:name="_Toc2274"/>
      <w:r>
        <w:rPr>
          <w:rFonts w:hint="eastAsia" w:ascii="宋体" w:hAnsi="宋体" w:cs="宋体"/>
          <w:bCs/>
          <w:color w:val="auto"/>
          <w:sz w:val="32"/>
          <w:szCs w:val="32"/>
          <w:highlight w:val="none"/>
          <w:shd w:val="clear" w:color="auto" w:fill="auto"/>
        </w:rPr>
        <w:t>（GF—2017—0201）</w:t>
      </w:r>
    </w:p>
    <w:p w14:paraId="4B47A784">
      <w:pPr>
        <w:spacing w:line="500" w:lineRule="exact"/>
        <w:jc w:val="center"/>
        <w:rPr>
          <w:rFonts w:ascii="宋体" w:hAnsi="宋体" w:cs="宋体"/>
          <w:b/>
          <w:color w:val="auto"/>
          <w:sz w:val="52"/>
          <w:szCs w:val="52"/>
          <w:highlight w:val="none"/>
          <w:shd w:val="clear" w:color="auto" w:fill="auto"/>
        </w:rPr>
      </w:pPr>
    </w:p>
    <w:p w14:paraId="0C4C59C5">
      <w:pPr>
        <w:spacing w:line="500" w:lineRule="exact"/>
        <w:jc w:val="center"/>
        <w:rPr>
          <w:rFonts w:ascii="宋体" w:hAnsi="宋体" w:cs="宋体"/>
          <w:b/>
          <w:color w:val="auto"/>
          <w:sz w:val="52"/>
          <w:szCs w:val="52"/>
          <w:highlight w:val="none"/>
          <w:shd w:val="clear" w:color="auto" w:fill="auto"/>
        </w:rPr>
      </w:pPr>
    </w:p>
    <w:p w14:paraId="6D7CA196">
      <w:pPr>
        <w:spacing w:line="500" w:lineRule="exact"/>
        <w:jc w:val="center"/>
        <w:rPr>
          <w:rFonts w:ascii="宋体" w:hAnsi="宋体" w:cs="宋体"/>
          <w:b/>
          <w:color w:val="auto"/>
          <w:sz w:val="52"/>
          <w:szCs w:val="52"/>
          <w:highlight w:val="none"/>
          <w:shd w:val="clear" w:color="auto" w:fill="auto"/>
        </w:rPr>
      </w:pPr>
    </w:p>
    <w:p w14:paraId="7C94C88F">
      <w:pPr>
        <w:spacing w:line="500" w:lineRule="exact"/>
        <w:jc w:val="center"/>
        <w:rPr>
          <w:rFonts w:ascii="宋体" w:hAnsi="宋体" w:cs="宋体"/>
          <w:b/>
          <w:color w:val="auto"/>
          <w:sz w:val="52"/>
          <w:szCs w:val="52"/>
          <w:highlight w:val="none"/>
          <w:shd w:val="clear" w:color="auto" w:fill="auto"/>
        </w:rPr>
      </w:pPr>
    </w:p>
    <w:p w14:paraId="46042E69">
      <w:pPr>
        <w:spacing w:line="600" w:lineRule="exact"/>
        <w:jc w:val="center"/>
        <w:rPr>
          <w:rFonts w:ascii="宋体" w:hAnsi="宋体" w:cs="宋体"/>
          <w:b/>
          <w:color w:val="auto"/>
          <w:sz w:val="52"/>
          <w:szCs w:val="52"/>
          <w:highlight w:val="none"/>
          <w:shd w:val="clear" w:color="auto" w:fill="auto"/>
        </w:rPr>
      </w:pPr>
      <w:r>
        <w:rPr>
          <w:rFonts w:hint="eastAsia" w:ascii="宋体" w:hAnsi="宋体" w:cs="宋体"/>
          <w:b/>
          <w:color w:val="auto"/>
          <w:sz w:val="52"/>
          <w:szCs w:val="52"/>
          <w:highlight w:val="none"/>
          <w:shd w:val="clear" w:color="auto" w:fill="auto"/>
        </w:rPr>
        <w:t>建设工程施工合同</w:t>
      </w:r>
    </w:p>
    <w:p w14:paraId="0542A374">
      <w:pPr>
        <w:spacing w:line="600" w:lineRule="exact"/>
        <w:jc w:val="center"/>
        <w:rPr>
          <w:rFonts w:ascii="宋体" w:hAnsi="宋体" w:cs="宋体"/>
          <w:b/>
          <w:color w:val="auto"/>
          <w:sz w:val="52"/>
          <w:szCs w:val="52"/>
          <w:highlight w:val="none"/>
          <w:shd w:val="clear" w:color="auto" w:fill="auto"/>
        </w:rPr>
      </w:pPr>
      <w:r>
        <w:rPr>
          <w:rFonts w:hint="eastAsia" w:ascii="宋体" w:hAnsi="宋体" w:cs="宋体"/>
          <w:b/>
          <w:color w:val="auto"/>
          <w:sz w:val="32"/>
          <w:szCs w:val="32"/>
          <w:highlight w:val="none"/>
          <w:shd w:val="clear" w:color="auto" w:fill="auto"/>
        </w:rPr>
        <w:t>（示范文本）</w:t>
      </w:r>
    </w:p>
    <w:p w14:paraId="1736D383">
      <w:pPr>
        <w:spacing w:line="500" w:lineRule="exact"/>
        <w:jc w:val="center"/>
        <w:rPr>
          <w:rFonts w:ascii="宋体" w:hAnsi="宋体" w:cs="宋体"/>
          <w:b/>
          <w:color w:val="auto"/>
          <w:sz w:val="52"/>
          <w:szCs w:val="52"/>
          <w:highlight w:val="none"/>
          <w:shd w:val="clear" w:color="auto" w:fill="auto"/>
        </w:rPr>
      </w:pPr>
    </w:p>
    <w:p w14:paraId="10CDC98F">
      <w:pPr>
        <w:spacing w:line="500" w:lineRule="exact"/>
        <w:jc w:val="center"/>
        <w:rPr>
          <w:rFonts w:ascii="宋体" w:hAnsi="宋体" w:cs="宋体"/>
          <w:b/>
          <w:color w:val="auto"/>
          <w:sz w:val="72"/>
          <w:szCs w:val="72"/>
          <w:highlight w:val="none"/>
          <w:shd w:val="clear" w:color="auto" w:fill="auto"/>
        </w:rPr>
      </w:pPr>
    </w:p>
    <w:p w14:paraId="040FA2A7">
      <w:pPr>
        <w:spacing w:line="500" w:lineRule="exact"/>
        <w:jc w:val="center"/>
        <w:rPr>
          <w:rFonts w:ascii="宋体" w:hAnsi="宋体" w:cs="宋体"/>
          <w:b/>
          <w:color w:val="auto"/>
          <w:sz w:val="72"/>
          <w:szCs w:val="72"/>
          <w:highlight w:val="none"/>
          <w:shd w:val="clear" w:color="auto" w:fill="auto"/>
        </w:rPr>
      </w:pPr>
    </w:p>
    <w:p w14:paraId="5DCEF44F">
      <w:pPr>
        <w:spacing w:line="500" w:lineRule="exact"/>
        <w:rPr>
          <w:rFonts w:ascii="宋体" w:hAnsi="宋体" w:cs="宋体"/>
          <w:b/>
          <w:color w:val="auto"/>
          <w:sz w:val="28"/>
          <w:szCs w:val="28"/>
          <w:highlight w:val="none"/>
          <w:shd w:val="clear" w:color="auto" w:fill="auto"/>
        </w:rPr>
      </w:pPr>
    </w:p>
    <w:p w14:paraId="2C19A8A1">
      <w:pPr>
        <w:spacing w:line="500" w:lineRule="exact"/>
        <w:rPr>
          <w:rFonts w:ascii="宋体" w:hAnsi="宋体" w:cs="宋体"/>
          <w:b/>
          <w:color w:val="auto"/>
          <w:sz w:val="28"/>
          <w:szCs w:val="28"/>
          <w:highlight w:val="none"/>
          <w:shd w:val="clear" w:color="auto" w:fill="auto"/>
        </w:rPr>
      </w:pPr>
    </w:p>
    <w:p w14:paraId="73833BAD">
      <w:pPr>
        <w:spacing w:line="500" w:lineRule="exact"/>
        <w:rPr>
          <w:rFonts w:ascii="宋体" w:hAnsi="宋体" w:cs="宋体"/>
          <w:b/>
          <w:color w:val="auto"/>
          <w:sz w:val="28"/>
          <w:szCs w:val="28"/>
          <w:highlight w:val="none"/>
          <w:shd w:val="clear" w:color="auto" w:fill="auto"/>
        </w:rPr>
      </w:pPr>
    </w:p>
    <w:p w14:paraId="0185F909">
      <w:pPr>
        <w:spacing w:line="500" w:lineRule="exact"/>
        <w:ind w:right="2719" w:rightChars="1295"/>
        <w:jc w:val="distribute"/>
        <w:rPr>
          <w:rFonts w:ascii="宋体" w:hAnsi="宋体" w:cs="宋体"/>
          <w:b/>
          <w:color w:val="auto"/>
          <w:sz w:val="32"/>
          <w:szCs w:val="28"/>
          <w:highlight w:val="none"/>
          <w:shd w:val="clear" w:color="auto" w:fill="auto"/>
        </w:rPr>
      </w:pPr>
      <w:r>
        <w:rPr>
          <w:rFonts w:ascii="宋体" w:hAnsi="宋体" w:cs="宋体"/>
          <w:color w:val="auto"/>
          <w:highlight w:val="none"/>
          <w:shd w:val="clear" w:color="auto" w:fill="auto"/>
        </w:rPr>
        <mc:AlternateContent>
          <mc:Choice Requires="wps">
            <w:drawing>
              <wp:anchor distT="0" distB="0" distL="114300" distR="114300" simplePos="0" relativeHeight="251670528" behindDoc="0" locked="0" layoutInCell="1" allowOverlap="1">
                <wp:simplePos x="0" y="0"/>
                <wp:positionH relativeFrom="column">
                  <wp:posOffset>4579620</wp:posOffset>
                </wp:positionH>
                <wp:positionV relativeFrom="paragraph">
                  <wp:posOffset>120015</wp:posOffset>
                </wp:positionV>
                <wp:extent cx="638175" cy="4572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0" y="0"/>
                          <a:ext cx="638175" cy="457200"/>
                        </a:xfrm>
                        <a:prstGeom prst="rect">
                          <a:avLst/>
                        </a:prstGeom>
                        <a:noFill/>
                        <a:ln w="9525" cap="flat" cmpd="sng">
                          <a:solidFill>
                            <a:srgbClr val="FFFFFF"/>
                          </a:solidFill>
                          <a:prstDash val="solid"/>
                          <a:miter/>
                          <a:headEnd type="none" w="med" len="med"/>
                          <a:tailEnd type="none" w="med" len="med"/>
                        </a:ln>
                        <a:effectLst/>
                      </wps:spPr>
                      <wps:txbx>
                        <w:txbxContent>
                          <w:p w14:paraId="161D5544">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60.6pt;margin-top:9.45pt;height:36pt;width:50.25pt;z-index:251670528;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gbNZAgoCAAAaBAAADgAAAGRycy9lMm9Eb2MueG1srVPN&#10;jtMwEL4j8Q6W7zRtobtL1HQlKOWCAGnhAVxnkljynzxuk74AvAEnLtx5rj4HYyeUZbnsgRySyczn&#10;b2a+Ga9vB6PZEQIqZyu+mM05AytdrWxb8c+fds9uOMMobC20s1DxEyC/3Tx9su59CUvXOV1DYERi&#10;sex9xbsYfVkUKDswAmfOg6Vg44IRkX5DW9RB9MRudLGcz6+K3oXaBycBkbzbMcgnxvAYQtc0SsLW&#10;yYMBG0fWAFpEagk75ZFvcrVNAzJ+aBqEyHTFqdOY35SE7H16F5u1KNsgfKfkVIJ4TAkPejJCWUp6&#10;odqKKNghqH+ojJLBoWviTDpTjI1kRaiLxfyBNned8JB7IanRX0TH/0cr3x8/BqZq2gTOrDA08PO3&#10;r+fvP88/vrBFkqf3WBLqzhMuDq/ckKCTH8mZuh6aYNKX+mEUJ3FPF3FhiEyS8+r5zeJ6xZmk0IvV&#10;Na1CYin+HPYB41twhiWj4oFmlyUVx3cYR+hvSMpl3U5pTX5Rasv6ir9cLRO9oJ1saBfINJ76Qttm&#10;GnRa1elIOoGh3b/WgR0F7cUuP1M1f8FSvq3AbsTlUIKJ0qgIIVsdiPqNrVk8edLO0pXhqRgDNWca&#10;6IYlKyOjUPoxSJJE25QE8v5OzacxjHInKw77gUiTuXf1iUZz8EG1HemWh1OkCK1MFnha77ST9//J&#10;vn+lN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puuF9gAAAAJAQAADwAAAAAAAAABACAAAAAi&#10;AAAAZHJzL2Rvd25yZXYueG1sUEsBAhQAFAAAAAgAh07iQIGzWQIKAgAAGgQAAA4AAAAAAAAAAQAg&#10;AAAAJwEAAGRycy9lMm9Eb2MueG1sUEsFBgAAAAAGAAYAWQEAAKMFAAAAAA==&#10;">
                <v:fill on="f" focussize="0,0"/>
                <v:stroke color="#FFFFFF" joinstyle="miter"/>
                <v:imagedata o:title=""/>
                <o:lock v:ext="edit" aspectratio="f"/>
                <v:textbox>
                  <w:txbxContent>
                    <w:p w14:paraId="161D5544">
                      <w:pPr>
                        <w:rPr>
                          <w:b/>
                          <w:bCs/>
                          <w:sz w:val="32"/>
                        </w:rPr>
                      </w:pPr>
                      <w:r>
                        <w:rPr>
                          <w:rFonts w:hint="eastAsia"/>
                          <w:b/>
                          <w:bCs/>
                          <w:sz w:val="32"/>
                        </w:rPr>
                        <w:t>制定</w:t>
                      </w:r>
                    </w:p>
                  </w:txbxContent>
                </v:textbox>
              </v:shape>
            </w:pict>
          </mc:Fallback>
        </mc:AlternateContent>
      </w:r>
      <w:r>
        <w:rPr>
          <w:rFonts w:hint="eastAsia" w:ascii="宋体" w:hAnsi="宋体" w:cs="宋体"/>
          <w:b/>
          <w:color w:val="auto"/>
          <w:sz w:val="32"/>
          <w:szCs w:val="28"/>
          <w:highlight w:val="none"/>
          <w:shd w:val="clear" w:color="auto" w:fill="auto"/>
        </w:rPr>
        <w:t xml:space="preserve">               住房城乡建设部</w:t>
      </w:r>
    </w:p>
    <w:p w14:paraId="1FD9CE89">
      <w:pPr>
        <w:spacing w:line="500" w:lineRule="exact"/>
        <w:ind w:right="2719" w:rightChars="1295"/>
        <w:jc w:val="distribute"/>
        <w:rPr>
          <w:rFonts w:ascii="宋体" w:hAnsi="宋体" w:cs="宋体"/>
          <w:b/>
          <w:color w:val="auto"/>
          <w:sz w:val="32"/>
          <w:szCs w:val="28"/>
          <w:highlight w:val="none"/>
          <w:shd w:val="clear" w:color="auto" w:fill="auto"/>
        </w:rPr>
      </w:pPr>
      <w:r>
        <w:rPr>
          <w:rFonts w:hint="eastAsia" w:ascii="宋体" w:hAnsi="宋体" w:cs="宋体"/>
          <w:b/>
          <w:color w:val="auto"/>
          <w:sz w:val="32"/>
          <w:szCs w:val="28"/>
          <w:highlight w:val="none"/>
          <w:shd w:val="clear" w:color="auto" w:fill="auto"/>
        </w:rPr>
        <w:t xml:space="preserve">               国家工商行政管理总局</w:t>
      </w:r>
    </w:p>
    <w:p w14:paraId="75863754">
      <w:pPr>
        <w:spacing w:line="500" w:lineRule="exact"/>
        <w:rPr>
          <w:rFonts w:ascii="宋体" w:hAnsi="宋体" w:cs="宋体"/>
          <w:b/>
          <w:color w:val="auto"/>
          <w:highlight w:val="none"/>
          <w:shd w:val="clear" w:color="auto" w:fill="auto"/>
        </w:rPr>
      </w:pPr>
    </w:p>
    <w:p w14:paraId="69EAAAA4">
      <w:pPr>
        <w:pStyle w:val="56"/>
        <w:spacing w:line="500" w:lineRule="exact"/>
        <w:jc w:val="center"/>
        <w:outlineLvl w:val="1"/>
        <w:rPr>
          <w:rFonts w:ascii="宋体" w:hAnsi="宋体" w:cs="宋体"/>
          <w:color w:val="auto"/>
          <w:sz w:val="28"/>
          <w:szCs w:val="28"/>
          <w:highlight w:val="none"/>
          <w:shd w:val="clear" w:color="auto" w:fill="auto"/>
        </w:rPr>
      </w:pPr>
      <w:r>
        <w:rPr>
          <w:rFonts w:hint="eastAsia" w:ascii="宋体" w:hAnsi="宋体" w:cs="宋体"/>
          <w:b w:val="0"/>
          <w:color w:val="auto"/>
          <w:highlight w:val="none"/>
          <w:shd w:val="clear" w:color="auto" w:fill="auto"/>
        </w:rPr>
        <w:br w:type="page"/>
      </w:r>
      <w:bookmarkStart w:id="162" w:name="_Toc25738"/>
      <w:r>
        <w:rPr>
          <w:rFonts w:hint="eastAsia" w:ascii="宋体" w:hAnsi="宋体" w:cs="宋体"/>
          <w:color w:val="auto"/>
          <w:sz w:val="28"/>
          <w:szCs w:val="28"/>
          <w:highlight w:val="none"/>
          <w:shd w:val="clear" w:color="auto" w:fill="auto"/>
        </w:rPr>
        <w:t>说  明</w:t>
      </w:r>
      <w:bookmarkEnd w:id="162"/>
    </w:p>
    <w:p w14:paraId="5AC8F1B8">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0867B7AD">
      <w:pPr>
        <w:spacing w:line="400" w:lineRule="exact"/>
        <w:rPr>
          <w:rFonts w:ascii="宋体" w:hAnsi="宋体" w:cs="宋体"/>
          <w:bCs/>
          <w:color w:val="auto"/>
          <w:highlight w:val="none"/>
          <w:shd w:val="clear" w:color="auto" w:fill="auto"/>
        </w:rPr>
      </w:pPr>
      <w:r>
        <w:rPr>
          <w:rFonts w:hint="eastAsia" w:ascii="宋体" w:hAnsi="宋体" w:cs="宋体"/>
          <w:bCs/>
          <w:color w:val="auto"/>
          <w:highlight w:val="none"/>
          <w:shd w:val="clear" w:color="auto" w:fill="auto"/>
        </w:rPr>
        <w:t>一、《示范文本》的组成</w:t>
      </w:r>
    </w:p>
    <w:p w14:paraId="2490FBC7">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《示范文本》由合同协议书、通用合同条款和专用合同条款三部分组成。</w:t>
      </w:r>
    </w:p>
    <w:p w14:paraId="4B9EE539">
      <w:pPr>
        <w:spacing w:line="400" w:lineRule="exact"/>
        <w:rPr>
          <w:rFonts w:ascii="宋体" w:hAnsi="宋体" w:cs="宋体"/>
          <w:color w:val="auto"/>
          <w:highlight w:val="none"/>
          <w:shd w:val="clear" w:color="auto" w:fill="auto"/>
        </w:rPr>
      </w:pPr>
      <w:r>
        <w:rPr>
          <w:rFonts w:hint="eastAsia" w:ascii="宋体" w:hAnsi="宋体" w:cs="宋体"/>
          <w:color w:val="auto"/>
          <w:highlight w:val="none"/>
          <w:shd w:val="clear" w:color="auto" w:fill="auto"/>
        </w:rPr>
        <w:t>（一）合同协议书</w:t>
      </w:r>
    </w:p>
    <w:p w14:paraId="3644DD4E">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55718A20">
      <w:pPr>
        <w:spacing w:line="400" w:lineRule="exact"/>
        <w:rPr>
          <w:rFonts w:ascii="宋体" w:hAnsi="宋体" w:cs="宋体"/>
          <w:color w:val="auto"/>
          <w:highlight w:val="none"/>
          <w:shd w:val="clear" w:color="auto" w:fill="auto"/>
        </w:rPr>
      </w:pPr>
      <w:r>
        <w:rPr>
          <w:rFonts w:hint="eastAsia" w:ascii="宋体" w:hAnsi="宋体" w:cs="宋体"/>
          <w:color w:val="auto"/>
          <w:highlight w:val="none"/>
          <w:shd w:val="clear" w:color="auto" w:fill="auto"/>
        </w:rPr>
        <w:t>（二）通用合同条款</w:t>
      </w:r>
    </w:p>
    <w:p w14:paraId="7392EF0C">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通用合同条款是合同当事人根据《中华人民共和国建筑法》、《中华人民共和国民法典》等法律法规的规定，就工程建设的实施及相关事项，对合同当事人的权利义务作出的原则性约定。</w:t>
      </w:r>
    </w:p>
    <w:p w14:paraId="31236FA5">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7EF6B18">
      <w:pPr>
        <w:spacing w:line="400" w:lineRule="exact"/>
        <w:rPr>
          <w:rFonts w:ascii="宋体" w:hAnsi="宋体" w:cs="宋体"/>
          <w:color w:val="auto"/>
          <w:highlight w:val="none"/>
          <w:shd w:val="clear" w:color="auto" w:fill="auto"/>
        </w:rPr>
      </w:pPr>
      <w:r>
        <w:rPr>
          <w:rFonts w:hint="eastAsia" w:ascii="宋体" w:hAnsi="宋体" w:cs="宋体"/>
          <w:color w:val="auto"/>
          <w:highlight w:val="none"/>
          <w:shd w:val="clear" w:color="auto" w:fill="auto"/>
        </w:rPr>
        <w:t>（三）专用合同条款</w:t>
      </w:r>
    </w:p>
    <w:p w14:paraId="25634A25">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64B0417D">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1.专用合同条款的编号应与相应的通用合同条款的编号一致；</w:t>
      </w:r>
    </w:p>
    <w:p w14:paraId="1595991D">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2.合同当事人可以通过对专用合同条款的修改，满足具体建设工程的特殊要求，避免直接修改通用合同条款；</w:t>
      </w:r>
    </w:p>
    <w:p w14:paraId="20495684">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3.在专用合同条款中有横道线的地方，合同当事人可针对相应的通用合同条款进行细化、完善、补充、修改或另行约定；如无细化、完善、补充、修改或另行约定，则填写“无”或划“/”。</w:t>
      </w:r>
    </w:p>
    <w:p w14:paraId="12B29FEA">
      <w:pPr>
        <w:spacing w:line="400" w:lineRule="exact"/>
        <w:rPr>
          <w:rFonts w:ascii="宋体" w:hAnsi="宋体" w:cs="宋体"/>
          <w:b/>
          <w:color w:val="auto"/>
          <w:highlight w:val="none"/>
          <w:shd w:val="clear" w:color="auto" w:fill="auto"/>
        </w:rPr>
      </w:pPr>
      <w:r>
        <w:rPr>
          <w:rFonts w:hint="eastAsia" w:ascii="宋体" w:hAnsi="宋体" w:cs="宋体"/>
          <w:bCs/>
          <w:color w:val="auto"/>
          <w:highlight w:val="none"/>
          <w:shd w:val="clear" w:color="auto" w:fill="auto"/>
        </w:rPr>
        <w:t>二、《示范文本》的性质和适用范围</w:t>
      </w:r>
    </w:p>
    <w:p w14:paraId="5607DB1E">
      <w:pPr>
        <w:spacing w:line="400" w:lineRule="exact"/>
        <w:ind w:firstLine="420" w:firstLineChars="200"/>
        <w:rPr>
          <w:rFonts w:ascii="宋体" w:hAnsi="宋体" w:cs="宋体"/>
          <w:color w:val="auto"/>
          <w:sz w:val="28"/>
          <w:szCs w:val="28"/>
          <w:highlight w:val="none"/>
          <w:shd w:val="clear" w:color="auto" w:fill="auto"/>
        </w:rPr>
        <w:sectPr>
          <w:footerReference r:id="rId14" w:type="first"/>
          <w:footerReference r:id="rId13" w:type="default"/>
          <w:pgSz w:w="11906" w:h="16838"/>
          <w:pgMar w:top="1247" w:right="1247" w:bottom="1247" w:left="1247" w:header="851" w:footer="992" w:gutter="0"/>
          <w:pgBorders>
            <w:top w:val="none" w:sz="0" w:space="0"/>
            <w:left w:val="none" w:sz="0" w:space="0"/>
            <w:bottom w:val="none" w:sz="0" w:space="0"/>
            <w:right w:val="none" w:sz="0" w:space="0"/>
          </w:pgBorders>
          <w:cols w:space="720" w:num="1"/>
          <w:titlePg/>
          <w:docGrid w:linePitch="312" w:charSpace="0"/>
        </w:sectPr>
      </w:pPr>
      <w:r>
        <w:rPr>
          <w:rFonts w:hint="eastAsia" w:ascii="宋体" w:hAnsi="宋体" w:cs="宋体"/>
          <w:color w:val="auto"/>
          <w:highlight w:val="none"/>
          <w:shd w:val="clear" w:color="auto" w:fill="auto"/>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7B5DE997">
      <w:pPr>
        <w:pStyle w:val="31"/>
        <w:spacing w:line="340" w:lineRule="exact"/>
        <w:jc w:val="center"/>
        <w:rPr>
          <w:rFonts w:ascii="宋体"/>
          <w:color w:val="auto"/>
          <w:sz w:val="32"/>
          <w:highlight w:val="none"/>
        </w:rPr>
      </w:pPr>
      <w:bookmarkStart w:id="163" w:name="_Toc256000031"/>
      <w:bookmarkStart w:id="164" w:name="_Toc522201558"/>
      <w:r>
        <w:rPr>
          <w:rFonts w:ascii="宋体"/>
          <w:color w:val="auto"/>
          <w:sz w:val="32"/>
          <w:highlight w:val="none"/>
        </w:rPr>
        <w:t>第一部分 合同协议书</w:t>
      </w:r>
      <w:bookmarkEnd w:id="163"/>
      <w:bookmarkEnd w:id="164"/>
    </w:p>
    <w:p w14:paraId="0B044B12">
      <w:pPr>
        <w:pStyle w:val="35"/>
        <w:adjustRightInd w:val="0"/>
        <w:snapToGrid w:val="0"/>
        <w:spacing w:line="400" w:lineRule="exact"/>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506D9E41">
      <w:pPr>
        <w:pStyle w:val="35"/>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38CCD54">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lang w:eastAsia="zh-CN"/>
        </w:rPr>
        <w:t>民法典</w:t>
      </w:r>
      <w:r>
        <w:rPr>
          <w:rFonts w:hint="eastAsia" w:ascii="宋体" w:hAnsi="宋体" w:cs="宋体"/>
          <w:color w:val="auto"/>
          <w:szCs w:val="21"/>
          <w:highlight w:val="none"/>
        </w:rPr>
        <w:t>》、《中华人民共和国建筑法》及有关法律规定，遵循平等、自愿、公平和诚实信用的原则，双方就</w:t>
      </w:r>
      <w:r>
        <w:rPr>
          <w:rFonts w:hint="eastAsia" w:ascii="宋体" w:hAnsi="宋体" w:cs="宋体"/>
          <w:color w:val="0000FF"/>
          <w:szCs w:val="21"/>
          <w:highlight w:val="none"/>
          <w:u w:val="single"/>
          <w:lang w:val="en-US" w:eastAsia="zh-CN"/>
        </w:rPr>
        <w:t xml:space="preserve"> </w:t>
      </w:r>
      <w:r>
        <w:rPr>
          <w:rFonts w:hint="eastAsia" w:ascii="宋体" w:hAnsi="宋体" w:eastAsia="宋体" w:cs="宋体"/>
          <w:b w:val="0"/>
          <w:bCs w:val="0"/>
          <w:color w:val="auto"/>
          <w:kern w:val="2"/>
          <w:sz w:val="21"/>
          <w:szCs w:val="21"/>
          <w:highlight w:val="none"/>
          <w:u w:val="single"/>
          <w:lang w:val="en-US" w:eastAsia="zh-CN" w:bidi="ar-SA"/>
        </w:rPr>
        <w:t>乡村工匠产业园污水管网改造提升项目</w:t>
      </w:r>
      <w:r>
        <w:rPr>
          <w:rFonts w:hint="eastAsia" w:ascii="宋体" w:hAnsi="宋体" w:eastAsia="宋体" w:cs="宋体"/>
          <w:color w:val="auto"/>
          <w:szCs w:val="21"/>
          <w:highlight w:val="none"/>
          <w:lang w:val="en-US" w:eastAsia="zh-CN"/>
        </w:rPr>
        <w:t>建设</w:t>
      </w:r>
      <w:r>
        <w:rPr>
          <w:rFonts w:hint="eastAsia" w:ascii="宋体" w:hAnsi="宋体" w:cs="宋体"/>
          <w:color w:val="auto"/>
          <w:szCs w:val="21"/>
          <w:highlight w:val="none"/>
        </w:rPr>
        <w:t>及有关事项协商一致，共同达成如下协议：</w:t>
      </w:r>
      <w:bookmarkStart w:id="165" w:name="_Toc351203481"/>
    </w:p>
    <w:p w14:paraId="170BB812">
      <w:pPr>
        <w:pStyle w:val="36"/>
        <w:adjustRightInd w:val="0"/>
        <w:snapToGrid w:val="0"/>
        <w:spacing w:line="400" w:lineRule="exact"/>
        <w:ind w:firstLine="422"/>
        <w:outlineLvl w:val="0"/>
        <w:rPr>
          <w:rFonts w:ascii="宋体" w:hAnsi="宋体" w:cs="宋体"/>
          <w:b/>
          <w:color w:val="auto"/>
          <w:highlight w:val="none"/>
        </w:rPr>
      </w:pPr>
      <w:bookmarkStart w:id="166" w:name="_Toc406419153"/>
      <w:bookmarkStart w:id="167" w:name="_Toc522201559"/>
      <w:bookmarkStart w:id="168" w:name="_Toc406522028"/>
      <w:bookmarkStart w:id="169" w:name="_Toc20764"/>
      <w:r>
        <w:rPr>
          <w:rFonts w:hint="eastAsia" w:ascii="宋体" w:hAnsi="宋体" w:cs="宋体"/>
          <w:b/>
          <w:color w:val="auto"/>
          <w:highlight w:val="none"/>
        </w:rPr>
        <w:t>一、工程概况</w:t>
      </w:r>
      <w:bookmarkEnd w:id="165"/>
      <w:bookmarkEnd w:id="166"/>
      <w:bookmarkEnd w:id="167"/>
      <w:bookmarkEnd w:id="168"/>
      <w:bookmarkEnd w:id="169"/>
    </w:p>
    <w:p w14:paraId="7DBCDA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1.工程名称</w:t>
      </w:r>
      <w:r>
        <w:rPr>
          <w:rFonts w:hint="eastAsia" w:ascii="宋体" w:hAnsi="宋体" w:cs="宋体"/>
          <w:color w:val="auto"/>
          <w:szCs w:val="21"/>
          <w:highlight w:val="none"/>
          <w:u w:val="single"/>
        </w:rPr>
        <w:t>：</w:t>
      </w:r>
      <w:r>
        <w:rPr>
          <w:rFonts w:hint="eastAsia" w:ascii="宋体" w:hAnsi="宋体" w:eastAsia="宋体" w:cs="宋体"/>
          <w:b w:val="0"/>
          <w:bCs w:val="0"/>
          <w:color w:val="auto"/>
          <w:kern w:val="2"/>
          <w:sz w:val="21"/>
          <w:szCs w:val="21"/>
          <w:highlight w:val="none"/>
          <w:u w:val="single"/>
          <w:lang w:val="en-US" w:eastAsia="zh-CN" w:bidi="ar-SA"/>
        </w:rPr>
        <w:t>乡村工匠产业园污水管网改造提升项目</w:t>
      </w:r>
    </w:p>
    <w:p w14:paraId="40F567A5">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2.工程地点：</w:t>
      </w:r>
      <w:r>
        <w:rPr>
          <w:rFonts w:hint="eastAsia" w:ascii="宋体" w:hAnsi="宋体" w:cs="宋体"/>
          <w:b w:val="0"/>
          <w:bCs w:val="0"/>
          <w:color w:val="auto"/>
          <w:sz w:val="21"/>
          <w:szCs w:val="21"/>
          <w:highlight w:val="none"/>
          <w:u w:val="single"/>
          <w:lang w:val="en-US" w:eastAsia="zh-CN"/>
        </w:rPr>
        <w:t>雁山区柘木镇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040745B">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.工程内容：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shd w:val="clear" w:color="auto" w:fill="auto"/>
        </w:rPr>
        <w:t>详见施工图及工程量清单</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0507A91">
      <w:pPr>
        <w:pStyle w:val="35"/>
        <w:adjustRightInd w:val="0"/>
        <w:snapToGrid w:val="0"/>
        <w:spacing w:line="400" w:lineRule="exact"/>
        <w:ind w:firstLine="459"/>
        <w:rPr>
          <w:rFonts w:ascii="宋体" w:hAnsi="宋体" w:cs="宋体"/>
          <w:bCs/>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.工程承包范围：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shd w:val="clear" w:color="auto" w:fill="auto"/>
        </w:rPr>
        <w:t>详见施工图及工程量清单</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CB24249">
      <w:pPr>
        <w:pStyle w:val="36"/>
        <w:adjustRightInd w:val="0"/>
        <w:snapToGrid w:val="0"/>
        <w:spacing w:line="400" w:lineRule="exact"/>
        <w:ind w:firstLine="422"/>
        <w:outlineLvl w:val="0"/>
        <w:rPr>
          <w:rFonts w:ascii="宋体" w:hAnsi="宋体" w:cs="宋体"/>
          <w:b/>
          <w:color w:val="auto"/>
          <w:highlight w:val="none"/>
        </w:rPr>
      </w:pPr>
      <w:bookmarkStart w:id="170" w:name="_Toc406522029"/>
      <w:bookmarkStart w:id="171" w:name="_Toc349"/>
      <w:bookmarkStart w:id="172" w:name="_Toc406419154"/>
      <w:bookmarkStart w:id="173" w:name="_Toc522201560"/>
      <w:bookmarkStart w:id="174" w:name="_Toc351203482"/>
      <w:r>
        <w:rPr>
          <w:rFonts w:hint="eastAsia" w:ascii="宋体" w:hAnsi="宋体" w:cs="宋体"/>
          <w:b/>
          <w:color w:val="auto"/>
          <w:highlight w:val="none"/>
        </w:rPr>
        <w:t>二、合同工期</w:t>
      </w:r>
      <w:bookmarkEnd w:id="170"/>
      <w:bookmarkEnd w:id="171"/>
      <w:bookmarkEnd w:id="172"/>
      <w:bookmarkEnd w:id="173"/>
      <w:bookmarkEnd w:id="174"/>
    </w:p>
    <w:p w14:paraId="19506A70">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日。（实际开工日期以开工令为准）</w:t>
      </w:r>
    </w:p>
    <w:p w14:paraId="47D280EF">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6394684">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天。工期总日历天数与根据前述计划开竣工日期计算的工期天数不一致的，以工期总日历天数为准。</w:t>
      </w:r>
    </w:p>
    <w:p w14:paraId="428DF2B4">
      <w:pPr>
        <w:pStyle w:val="36"/>
        <w:adjustRightInd w:val="0"/>
        <w:snapToGrid w:val="0"/>
        <w:spacing w:line="400" w:lineRule="exact"/>
        <w:ind w:firstLine="422"/>
        <w:outlineLvl w:val="0"/>
        <w:rPr>
          <w:rFonts w:ascii="宋体" w:hAnsi="宋体" w:cs="宋体"/>
          <w:b/>
          <w:color w:val="auto"/>
          <w:highlight w:val="none"/>
        </w:rPr>
      </w:pPr>
      <w:bookmarkStart w:id="175" w:name="_Toc522201561"/>
      <w:bookmarkStart w:id="176" w:name="_Toc351203483"/>
      <w:bookmarkStart w:id="177" w:name="_Toc406419155"/>
      <w:bookmarkStart w:id="178" w:name="_Toc406522030"/>
      <w:bookmarkStart w:id="179" w:name="_Toc15140"/>
      <w:r>
        <w:rPr>
          <w:rFonts w:hint="eastAsia" w:ascii="宋体" w:hAnsi="宋体" w:cs="宋体"/>
          <w:b/>
          <w:color w:val="auto"/>
          <w:highlight w:val="none"/>
        </w:rPr>
        <w:t>三、质量标准</w:t>
      </w:r>
      <w:bookmarkEnd w:id="175"/>
      <w:bookmarkEnd w:id="176"/>
      <w:bookmarkEnd w:id="177"/>
      <w:bookmarkEnd w:id="178"/>
      <w:bookmarkEnd w:id="179"/>
    </w:p>
    <w:p w14:paraId="77C135AB">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工程质量符合</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shd w:val="clear" w:color="auto" w:fill="auto"/>
        </w:rPr>
        <w:t>国家现行有关工程施工质量验收规范合格标准</w:t>
      </w:r>
      <w:r>
        <w:rPr>
          <w:rFonts w:hint="eastAsia" w:ascii="宋体" w:hAnsi="宋体" w:cs="宋体"/>
          <w:color w:val="auto"/>
          <w:szCs w:val="21"/>
          <w:highlight w:val="none"/>
        </w:rPr>
        <w:t>。</w:t>
      </w:r>
    </w:p>
    <w:p w14:paraId="3DE0BCBE">
      <w:pPr>
        <w:pStyle w:val="36"/>
        <w:adjustRightInd w:val="0"/>
        <w:snapToGrid w:val="0"/>
        <w:spacing w:line="400" w:lineRule="exact"/>
        <w:ind w:firstLine="422"/>
        <w:outlineLvl w:val="0"/>
        <w:rPr>
          <w:rFonts w:ascii="宋体" w:hAnsi="宋体" w:cs="宋体"/>
          <w:b/>
          <w:color w:val="auto"/>
          <w:highlight w:val="none"/>
        </w:rPr>
      </w:pPr>
      <w:bookmarkStart w:id="180" w:name="_Toc406522031"/>
      <w:bookmarkStart w:id="181" w:name="_Toc522201562"/>
      <w:bookmarkStart w:id="182" w:name="_Toc8031"/>
      <w:bookmarkStart w:id="183" w:name="_Toc351203484"/>
      <w:bookmarkStart w:id="184" w:name="_Toc406419156"/>
      <w:r>
        <w:rPr>
          <w:rFonts w:hint="eastAsia" w:ascii="宋体" w:hAnsi="宋体" w:cs="宋体"/>
          <w:b/>
          <w:color w:val="auto"/>
          <w:highlight w:val="none"/>
        </w:rPr>
        <w:t>四、签约合同价与合同价格形式</w:t>
      </w:r>
      <w:bookmarkEnd w:id="180"/>
      <w:bookmarkEnd w:id="181"/>
      <w:bookmarkEnd w:id="182"/>
      <w:bookmarkEnd w:id="183"/>
      <w:bookmarkEnd w:id="184"/>
    </w:p>
    <w:p w14:paraId="1D0DAC9A">
      <w:pPr>
        <w:pStyle w:val="35"/>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 签约合同价为：</w:t>
      </w:r>
    </w:p>
    <w:p w14:paraId="0E75B9AB">
      <w:pPr>
        <w:pStyle w:val="35"/>
        <w:adjustRightInd w:val="0"/>
        <w:snapToGrid w:val="0"/>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总价：人民币（大写）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45F7B154">
      <w:pPr>
        <w:pStyle w:val="35"/>
        <w:adjustRightInd w:val="0"/>
        <w:snapToGrid w:val="0"/>
        <w:spacing w:line="400" w:lineRule="exact"/>
        <w:ind w:firstLine="525" w:firstLineChars="250"/>
        <w:rPr>
          <w:rFonts w:ascii="宋体" w:hAnsi="宋体" w:cs="宋体"/>
          <w:strike w:val="0"/>
          <w:color w:val="auto"/>
          <w:szCs w:val="21"/>
          <w:highlight w:val="none"/>
        </w:rPr>
      </w:pPr>
      <w:r>
        <w:rPr>
          <w:rFonts w:hint="eastAsia" w:ascii="宋体" w:hAnsi="宋体" w:cs="宋体"/>
          <w:strike w:val="0"/>
          <w:color w:val="auto"/>
          <w:szCs w:val="21"/>
          <w:highlight w:val="none"/>
        </w:rPr>
        <w:t>其中：</w:t>
      </w:r>
    </w:p>
    <w:p w14:paraId="1CFB5C21">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（1）投标报价：</w:t>
      </w:r>
    </w:p>
    <w:p w14:paraId="3A892E4F">
      <w:pPr>
        <w:pStyle w:val="35"/>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72680E80">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（2）安全文明施工费：</w:t>
      </w:r>
    </w:p>
    <w:p w14:paraId="0656FB85">
      <w:pPr>
        <w:pStyle w:val="35"/>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6E6AB9CE">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（3）规费：人民币（大写）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97642A2">
      <w:pPr>
        <w:pStyle w:val="35"/>
        <w:adjustRightInd w:val="0"/>
        <w:snapToGrid w:val="0"/>
        <w:spacing w:line="400" w:lineRule="exact"/>
        <w:ind w:firstLine="1050" w:firstLineChars="500"/>
        <w:rPr>
          <w:rFonts w:ascii="宋体" w:hAnsi="宋体" w:cs="宋体"/>
          <w:strike w:val="0"/>
          <w:color w:val="auto"/>
          <w:szCs w:val="21"/>
          <w:highlight w:val="none"/>
        </w:rPr>
      </w:pPr>
      <w:r>
        <w:rPr>
          <w:rFonts w:hint="eastAsia" w:ascii="宋体" w:hAnsi="宋体" w:cs="宋体"/>
          <w:strike w:val="0"/>
          <w:color w:val="auto"/>
          <w:szCs w:val="21"/>
          <w:highlight w:val="none"/>
        </w:rPr>
        <w:t>其中社会保险费：</w:t>
      </w:r>
    </w:p>
    <w:p w14:paraId="4632A8CE">
      <w:pPr>
        <w:pStyle w:val="35"/>
        <w:adjustRightInd w:val="0"/>
        <w:snapToGrid w:val="0"/>
        <w:spacing w:line="400" w:lineRule="exact"/>
        <w:ind w:left="420" w:leftChars="200" w:firstLine="638" w:firstLineChars="304"/>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03F7237">
      <w:pPr>
        <w:pStyle w:val="35"/>
        <w:adjustRightInd w:val="0"/>
        <w:snapToGrid w:val="0"/>
        <w:spacing w:line="400" w:lineRule="exact"/>
        <w:ind w:firstLine="945" w:firstLineChars="450"/>
        <w:rPr>
          <w:rFonts w:hint="eastAsia" w:ascii="宋体" w:hAnsi="宋体" w:eastAsia="宋体" w:cs="宋体"/>
          <w:strike w:val="0"/>
          <w:color w:val="auto"/>
          <w:szCs w:val="21"/>
          <w:highlight w:val="none"/>
          <w:lang w:eastAsia="zh-CN"/>
        </w:rPr>
      </w:pPr>
      <w:r>
        <w:rPr>
          <w:rFonts w:hint="eastAsia" w:ascii="宋体" w:hAnsi="宋体" w:cs="宋体"/>
          <w:strike w:val="0"/>
          <w:color w:val="auto"/>
          <w:szCs w:val="21"/>
          <w:highlight w:val="none"/>
          <w:lang w:eastAsia="zh-CN"/>
        </w:rPr>
        <w:t>其他：</w:t>
      </w: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49C9B5C3">
      <w:pPr>
        <w:pStyle w:val="35"/>
        <w:numPr>
          <w:ilvl w:val="0"/>
          <w:numId w:val="5"/>
        </w:numPr>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增值税：</w:t>
      </w:r>
    </w:p>
    <w:p w14:paraId="3EFA4044">
      <w:pPr>
        <w:pStyle w:val="35"/>
        <w:adjustRightInd w:val="0"/>
        <w:snapToGrid w:val="0"/>
        <w:spacing w:line="400" w:lineRule="exact"/>
        <w:ind w:left="420" w:leftChars="200"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1BC0707">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（5）材料和工程设备暂估价金额：</w:t>
      </w:r>
    </w:p>
    <w:p w14:paraId="33D5B767">
      <w:pPr>
        <w:pStyle w:val="35"/>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43A26AA4">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（6）专业工程暂估价金额：</w:t>
      </w:r>
    </w:p>
    <w:p w14:paraId="1261734A">
      <w:pPr>
        <w:pStyle w:val="35"/>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6C161F0">
      <w:pPr>
        <w:pStyle w:val="35"/>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（7）暂列金额：</w:t>
      </w:r>
    </w:p>
    <w:p w14:paraId="62AE6A6E">
      <w:pPr>
        <w:pStyle w:val="35"/>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75C0F27D">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根据市住建〔2016〕34号文《关于市建成区、临桂新区、灵川县范围内建筑工程新增扬尘防治费用的通知》，另计扬尘防治费，本项目扬尘防治费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712C19AA">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 合同价格形式：</w:t>
      </w:r>
      <w:r>
        <w:rPr>
          <w:rFonts w:hint="eastAsia" w:ascii="宋体" w:hAnsi="宋体" w:cs="宋体"/>
          <w:color w:val="auto"/>
          <w:szCs w:val="21"/>
          <w:highlight w:val="none"/>
          <w:u w:val="single"/>
        </w:rPr>
        <w:t>采用固定综合单价合同形式</w:t>
      </w:r>
      <w:r>
        <w:rPr>
          <w:rFonts w:hint="eastAsia" w:ascii="宋体" w:hAnsi="宋体" w:cs="宋体"/>
          <w:color w:val="auto"/>
          <w:szCs w:val="21"/>
          <w:highlight w:val="none"/>
        </w:rPr>
        <w:t>。</w:t>
      </w:r>
    </w:p>
    <w:p w14:paraId="470319B8">
      <w:pPr>
        <w:pStyle w:val="36"/>
        <w:adjustRightInd w:val="0"/>
        <w:snapToGrid w:val="0"/>
        <w:spacing w:line="400" w:lineRule="exact"/>
        <w:ind w:firstLine="422"/>
        <w:outlineLvl w:val="0"/>
        <w:rPr>
          <w:rFonts w:ascii="宋体" w:hAnsi="宋体" w:cs="宋体"/>
          <w:b/>
          <w:color w:val="auto"/>
          <w:highlight w:val="none"/>
        </w:rPr>
      </w:pPr>
      <w:bookmarkStart w:id="185" w:name="_Toc351203485"/>
      <w:bookmarkStart w:id="186" w:name="_Toc10860"/>
      <w:bookmarkStart w:id="187" w:name="_Toc406419157"/>
      <w:bookmarkStart w:id="188" w:name="_Toc522201563"/>
      <w:bookmarkStart w:id="189" w:name="_Toc406522032"/>
      <w:r>
        <w:rPr>
          <w:rFonts w:hint="eastAsia" w:ascii="宋体" w:hAnsi="宋体" w:cs="宋体"/>
          <w:b/>
          <w:color w:val="auto"/>
          <w:highlight w:val="none"/>
        </w:rPr>
        <w:t>五、</w:t>
      </w:r>
      <w:bookmarkEnd w:id="185"/>
      <w:r>
        <w:rPr>
          <w:rFonts w:hint="eastAsia" w:ascii="宋体" w:hAnsi="宋体" w:cs="宋体"/>
          <w:b/>
          <w:color w:val="auto"/>
          <w:highlight w:val="none"/>
        </w:rPr>
        <w:t>项目经理</w:t>
      </w:r>
      <w:bookmarkEnd w:id="186"/>
      <w:bookmarkEnd w:id="187"/>
      <w:bookmarkEnd w:id="188"/>
      <w:bookmarkEnd w:id="189"/>
    </w:p>
    <w:p w14:paraId="0B370A1E">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DD3488F">
      <w:pPr>
        <w:pStyle w:val="36"/>
        <w:adjustRightInd w:val="0"/>
        <w:snapToGrid w:val="0"/>
        <w:spacing w:line="400" w:lineRule="exact"/>
        <w:ind w:firstLine="422"/>
        <w:outlineLvl w:val="0"/>
        <w:rPr>
          <w:rFonts w:ascii="宋体" w:hAnsi="宋体" w:cs="宋体"/>
          <w:b/>
          <w:color w:val="auto"/>
          <w:highlight w:val="none"/>
        </w:rPr>
      </w:pPr>
      <w:bookmarkStart w:id="190" w:name="_Toc522201564"/>
      <w:bookmarkStart w:id="191" w:name="_Toc351203486"/>
      <w:bookmarkStart w:id="192" w:name="_Toc23735"/>
      <w:bookmarkStart w:id="193" w:name="_Toc406522033"/>
      <w:bookmarkStart w:id="194" w:name="_Toc406419158"/>
      <w:r>
        <w:rPr>
          <w:rFonts w:hint="eastAsia" w:ascii="宋体" w:hAnsi="宋体" w:cs="宋体"/>
          <w:b/>
          <w:color w:val="auto"/>
          <w:highlight w:val="none"/>
        </w:rPr>
        <w:t>六、合同文件构成</w:t>
      </w:r>
      <w:bookmarkEnd w:id="190"/>
      <w:bookmarkEnd w:id="191"/>
      <w:bookmarkEnd w:id="192"/>
      <w:bookmarkEnd w:id="193"/>
      <w:bookmarkEnd w:id="194"/>
    </w:p>
    <w:p w14:paraId="6499F3D4">
      <w:pPr>
        <w:pStyle w:val="35"/>
        <w:adjustRightInd w:val="0"/>
        <w:snapToGrid w:val="0"/>
        <w:spacing w:line="400" w:lineRule="exact"/>
        <w:ind w:firstLine="420" w:firstLineChars="200"/>
        <w:rPr>
          <w:rFonts w:ascii="宋体" w:hAnsi="宋体" w:cs="宋体"/>
          <w:color w:val="auto"/>
          <w:szCs w:val="21"/>
          <w:highlight w:val="none"/>
        </w:rPr>
      </w:pPr>
      <w:bookmarkStart w:id="195" w:name="_Toc351203487"/>
      <w:bookmarkStart w:id="196" w:name="_Toc406419159"/>
      <w:bookmarkStart w:id="197" w:name="_Toc406522034"/>
      <w:bookmarkStart w:id="198" w:name="_Toc7021"/>
      <w:r>
        <w:rPr>
          <w:rFonts w:hint="eastAsia" w:ascii="宋体" w:hAnsi="宋体" w:cs="宋体"/>
          <w:color w:val="auto"/>
          <w:szCs w:val="21"/>
          <w:highlight w:val="none"/>
        </w:rPr>
        <w:t>本协议书与下列文件一起构成合同文件：</w:t>
      </w:r>
    </w:p>
    <w:p w14:paraId="26542BF9">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（1）中标通知书（如果有）；</w:t>
      </w:r>
    </w:p>
    <w:p w14:paraId="6080D4DE">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232AF2DA">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（3）专用合同条款及其附件；</w:t>
      </w:r>
    </w:p>
    <w:p w14:paraId="7C698801">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（4）通用合同条款；</w:t>
      </w:r>
    </w:p>
    <w:p w14:paraId="6DB30054">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（5）技术标准和要求；</w:t>
      </w:r>
    </w:p>
    <w:p w14:paraId="7C30D680">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（6）图纸；</w:t>
      </w:r>
    </w:p>
    <w:p w14:paraId="154EB9A2">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（7）已标价工程量清单或预算书；</w:t>
      </w:r>
    </w:p>
    <w:p w14:paraId="78316257">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（8）其他合同文件。</w:t>
      </w:r>
    </w:p>
    <w:p w14:paraId="3D134D19">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29301741">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EDBB26E">
      <w:pPr>
        <w:pStyle w:val="36"/>
        <w:adjustRightInd w:val="0"/>
        <w:snapToGrid w:val="0"/>
        <w:spacing w:line="400" w:lineRule="exact"/>
        <w:ind w:firstLine="422"/>
        <w:outlineLvl w:val="0"/>
        <w:rPr>
          <w:rFonts w:ascii="宋体" w:hAnsi="宋体" w:cs="宋体"/>
          <w:b/>
          <w:color w:val="auto"/>
          <w:highlight w:val="none"/>
        </w:rPr>
      </w:pPr>
      <w:bookmarkStart w:id="199" w:name="_Toc522201565"/>
      <w:r>
        <w:rPr>
          <w:rFonts w:hint="eastAsia" w:ascii="宋体" w:hAnsi="宋体" w:cs="宋体"/>
          <w:b/>
          <w:color w:val="auto"/>
          <w:highlight w:val="none"/>
        </w:rPr>
        <w:t>七、承诺</w:t>
      </w:r>
      <w:bookmarkEnd w:id="195"/>
      <w:bookmarkEnd w:id="196"/>
      <w:bookmarkEnd w:id="197"/>
      <w:bookmarkEnd w:id="198"/>
      <w:bookmarkEnd w:id="199"/>
    </w:p>
    <w:p w14:paraId="337E4D89">
      <w:pPr>
        <w:pStyle w:val="35"/>
        <w:adjustRightInd w:val="0"/>
        <w:snapToGrid w:val="0"/>
        <w:spacing w:line="400" w:lineRule="exact"/>
        <w:ind w:firstLine="420" w:firstLineChars="200"/>
        <w:rPr>
          <w:rFonts w:ascii="宋体" w:hAnsi="宋体" w:cs="宋体"/>
          <w:color w:val="auto"/>
          <w:szCs w:val="21"/>
          <w:highlight w:val="none"/>
        </w:rPr>
      </w:pPr>
      <w:bookmarkStart w:id="200" w:name="_Toc406522035"/>
      <w:bookmarkStart w:id="201" w:name="_Toc351203488"/>
      <w:bookmarkStart w:id="202" w:name="_Toc11962"/>
      <w:bookmarkStart w:id="203" w:name="_Toc406419160"/>
      <w:r>
        <w:rPr>
          <w:rFonts w:hint="eastAsia" w:ascii="宋体" w:hAnsi="宋体" w:cs="宋体"/>
          <w:color w:val="auto"/>
          <w:szCs w:val="21"/>
          <w:highlight w:val="none"/>
        </w:rPr>
        <w:t>1.发包人承诺按照法律规定履行项目审批手续、筹集工程建设资金并按照合同约定的期限和方式支付合同价款。</w:t>
      </w:r>
    </w:p>
    <w:p w14:paraId="39829FA5">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2.承包人承诺按照法律规定及合同约定组织完成工程施工，确保工程质量和安全，不进行转包及违法分包，并在缺陷责任期及保修期内承担相应的工程维修责任。</w:t>
      </w:r>
    </w:p>
    <w:p w14:paraId="20E2F3B9">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3.发包人和承包人通过招投标形式签订合同的，双方理解并承诺不再就同一工程另行签订与合同实质性内容相背离的协议。</w:t>
      </w:r>
    </w:p>
    <w:p w14:paraId="0F51C881">
      <w:pPr>
        <w:pStyle w:val="36"/>
        <w:adjustRightInd w:val="0"/>
        <w:snapToGrid w:val="0"/>
        <w:spacing w:line="400" w:lineRule="exact"/>
        <w:ind w:firstLine="422"/>
        <w:outlineLvl w:val="0"/>
        <w:rPr>
          <w:rFonts w:ascii="宋体" w:hAnsi="宋体" w:cs="宋体"/>
          <w:b/>
          <w:color w:val="auto"/>
          <w:highlight w:val="none"/>
        </w:rPr>
      </w:pPr>
      <w:bookmarkStart w:id="204" w:name="_Toc522201566"/>
      <w:r>
        <w:rPr>
          <w:rFonts w:hint="eastAsia" w:ascii="宋体" w:hAnsi="宋体" w:cs="宋体"/>
          <w:b/>
          <w:color w:val="auto"/>
          <w:highlight w:val="none"/>
        </w:rPr>
        <w:t>八、词语含义</w:t>
      </w:r>
      <w:bookmarkEnd w:id="200"/>
      <w:bookmarkEnd w:id="201"/>
      <w:bookmarkEnd w:id="202"/>
      <w:bookmarkEnd w:id="203"/>
      <w:bookmarkEnd w:id="204"/>
    </w:p>
    <w:p w14:paraId="11711021">
      <w:pPr>
        <w:pStyle w:val="35"/>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本协议书中词语含义与第二部分通用合同条款中赋予的含义相同。</w:t>
      </w:r>
    </w:p>
    <w:p w14:paraId="50B8C065">
      <w:pPr>
        <w:pStyle w:val="36"/>
        <w:adjustRightInd w:val="0"/>
        <w:snapToGrid w:val="0"/>
        <w:spacing w:line="400" w:lineRule="exact"/>
        <w:ind w:firstLine="422"/>
        <w:outlineLvl w:val="0"/>
        <w:rPr>
          <w:rFonts w:ascii="宋体" w:hAnsi="宋体" w:cs="宋体"/>
          <w:b/>
          <w:color w:val="auto"/>
          <w:highlight w:val="none"/>
        </w:rPr>
      </w:pPr>
      <w:bookmarkStart w:id="205" w:name="_Toc22011"/>
      <w:bookmarkStart w:id="206" w:name="_Toc406522036"/>
      <w:bookmarkStart w:id="207" w:name="_Toc406419161"/>
      <w:bookmarkStart w:id="208" w:name="_Toc522201567"/>
      <w:bookmarkStart w:id="209" w:name="_Toc351203489"/>
      <w:r>
        <w:rPr>
          <w:rFonts w:hint="eastAsia" w:ascii="宋体" w:hAnsi="宋体" w:cs="宋体"/>
          <w:b/>
          <w:color w:val="auto"/>
          <w:highlight w:val="none"/>
        </w:rPr>
        <w:t>九、签订时间</w:t>
      </w:r>
      <w:bookmarkEnd w:id="205"/>
      <w:bookmarkEnd w:id="206"/>
      <w:bookmarkEnd w:id="207"/>
      <w:bookmarkEnd w:id="208"/>
      <w:bookmarkEnd w:id="209"/>
    </w:p>
    <w:p w14:paraId="502CBDC0">
      <w:pPr>
        <w:pStyle w:val="35"/>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46B01423">
      <w:pPr>
        <w:pStyle w:val="36"/>
        <w:adjustRightInd w:val="0"/>
        <w:snapToGrid w:val="0"/>
        <w:spacing w:line="400" w:lineRule="exact"/>
        <w:ind w:firstLine="422"/>
        <w:outlineLvl w:val="0"/>
        <w:rPr>
          <w:rFonts w:ascii="宋体" w:hAnsi="宋体" w:cs="宋体"/>
          <w:b/>
          <w:color w:val="auto"/>
          <w:highlight w:val="none"/>
        </w:rPr>
      </w:pPr>
      <w:bookmarkStart w:id="210" w:name="_Toc406419162"/>
      <w:bookmarkStart w:id="211" w:name="_Toc406522037"/>
      <w:bookmarkStart w:id="212" w:name="_Toc3692"/>
      <w:bookmarkStart w:id="213" w:name="_Toc351203490"/>
      <w:bookmarkStart w:id="214" w:name="_Toc522201568"/>
      <w:r>
        <w:rPr>
          <w:rFonts w:hint="eastAsia" w:ascii="宋体" w:hAnsi="宋体" w:cs="宋体"/>
          <w:b/>
          <w:color w:val="auto"/>
          <w:highlight w:val="none"/>
        </w:rPr>
        <w:t>十、签订地点</w:t>
      </w:r>
      <w:bookmarkEnd w:id="210"/>
      <w:bookmarkEnd w:id="211"/>
      <w:bookmarkEnd w:id="212"/>
      <w:bookmarkEnd w:id="213"/>
      <w:bookmarkEnd w:id="214"/>
    </w:p>
    <w:p w14:paraId="58DCC09D">
      <w:pPr>
        <w:pStyle w:val="35"/>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广西桂林市</w:t>
      </w:r>
      <w:r>
        <w:rPr>
          <w:rFonts w:hint="eastAsia" w:ascii="宋体" w:hAnsi="宋体" w:cs="宋体"/>
          <w:bCs/>
          <w:color w:val="auto"/>
          <w:szCs w:val="21"/>
          <w:highlight w:val="none"/>
          <w:u w:val="single"/>
          <w:lang w:val="en-US" w:eastAsia="zh-CN"/>
        </w:rPr>
        <w:t>雁山区柘木镇</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5E664ABB">
      <w:pPr>
        <w:pStyle w:val="36"/>
        <w:adjustRightInd w:val="0"/>
        <w:snapToGrid w:val="0"/>
        <w:spacing w:line="400" w:lineRule="exact"/>
        <w:ind w:firstLine="422"/>
        <w:outlineLvl w:val="0"/>
        <w:rPr>
          <w:rFonts w:ascii="宋体" w:hAnsi="宋体" w:cs="宋体"/>
          <w:b/>
          <w:color w:val="auto"/>
          <w:highlight w:val="none"/>
        </w:rPr>
      </w:pPr>
      <w:bookmarkStart w:id="215" w:name="_Toc351203491"/>
      <w:bookmarkStart w:id="216" w:name="_Toc406522038"/>
      <w:bookmarkStart w:id="217" w:name="_Toc406419163"/>
      <w:bookmarkStart w:id="218" w:name="_Toc9576"/>
      <w:bookmarkStart w:id="219" w:name="_Toc522201569"/>
      <w:r>
        <w:rPr>
          <w:rFonts w:hint="eastAsia" w:ascii="宋体" w:hAnsi="宋体" w:cs="宋体"/>
          <w:b/>
          <w:color w:val="auto"/>
          <w:highlight w:val="none"/>
        </w:rPr>
        <w:t>十一、补充协议</w:t>
      </w:r>
      <w:bookmarkEnd w:id="215"/>
      <w:bookmarkEnd w:id="216"/>
      <w:bookmarkEnd w:id="217"/>
      <w:bookmarkEnd w:id="218"/>
      <w:bookmarkEnd w:id="219"/>
    </w:p>
    <w:p w14:paraId="71467FC3">
      <w:pPr>
        <w:pStyle w:val="35"/>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7A34DFC9">
      <w:pPr>
        <w:pStyle w:val="36"/>
        <w:adjustRightInd w:val="0"/>
        <w:snapToGrid w:val="0"/>
        <w:spacing w:line="400" w:lineRule="exact"/>
        <w:ind w:firstLine="422"/>
        <w:outlineLvl w:val="0"/>
        <w:rPr>
          <w:rFonts w:ascii="宋体" w:hAnsi="宋体" w:cs="宋体"/>
          <w:b/>
          <w:color w:val="auto"/>
          <w:highlight w:val="none"/>
        </w:rPr>
      </w:pPr>
      <w:bookmarkStart w:id="220" w:name="_Toc522201570"/>
      <w:bookmarkStart w:id="221" w:name="_Toc406522039"/>
      <w:bookmarkStart w:id="222" w:name="_Toc406419164"/>
      <w:bookmarkStart w:id="223" w:name="_Toc351203492"/>
      <w:bookmarkStart w:id="224" w:name="_Toc32443"/>
      <w:r>
        <w:rPr>
          <w:rFonts w:hint="eastAsia" w:ascii="宋体" w:hAnsi="宋体" w:cs="宋体"/>
          <w:b/>
          <w:color w:val="auto"/>
          <w:highlight w:val="none"/>
        </w:rPr>
        <w:t>十二、合同生效</w:t>
      </w:r>
      <w:bookmarkEnd w:id="220"/>
      <w:bookmarkEnd w:id="221"/>
      <w:bookmarkEnd w:id="222"/>
      <w:bookmarkEnd w:id="223"/>
      <w:bookmarkEnd w:id="224"/>
    </w:p>
    <w:p w14:paraId="209FF8CB">
      <w:pPr>
        <w:pStyle w:val="35"/>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双方法定代表人或其委托代理人签字或盖章并加盖单位</w:t>
      </w:r>
      <w:r>
        <w:rPr>
          <w:rFonts w:hint="eastAsia" w:ascii="宋体" w:hAnsi="宋体" w:cs="宋体"/>
          <w:color w:val="auto"/>
          <w:szCs w:val="21"/>
          <w:highlight w:val="none"/>
          <w:u w:val="single"/>
          <w:lang w:eastAsia="zh-CN"/>
        </w:rPr>
        <w:t>公</w:t>
      </w:r>
      <w:r>
        <w:rPr>
          <w:rFonts w:hint="eastAsia" w:ascii="宋体" w:hAnsi="宋体" w:cs="宋体"/>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284B6C77">
      <w:pPr>
        <w:pStyle w:val="36"/>
        <w:adjustRightInd w:val="0"/>
        <w:snapToGrid w:val="0"/>
        <w:spacing w:line="400" w:lineRule="exact"/>
        <w:ind w:firstLine="422"/>
        <w:outlineLvl w:val="0"/>
        <w:rPr>
          <w:rFonts w:ascii="宋体" w:hAnsi="宋体" w:cs="宋体"/>
          <w:b/>
          <w:color w:val="auto"/>
          <w:highlight w:val="none"/>
        </w:rPr>
      </w:pPr>
      <w:bookmarkStart w:id="225" w:name="_Toc14945"/>
      <w:bookmarkStart w:id="226" w:name="_Toc351203493"/>
      <w:bookmarkStart w:id="227" w:name="_Toc406522040"/>
      <w:bookmarkStart w:id="228" w:name="_Toc522201571"/>
      <w:bookmarkStart w:id="229" w:name="_Toc406419165"/>
      <w:r>
        <w:rPr>
          <w:rFonts w:hint="eastAsia" w:ascii="宋体" w:hAnsi="宋体" w:cs="宋体"/>
          <w:b/>
          <w:color w:val="auto"/>
          <w:highlight w:val="none"/>
        </w:rPr>
        <w:t>十三、合同份数</w:t>
      </w:r>
      <w:bookmarkEnd w:id="225"/>
      <w:bookmarkEnd w:id="226"/>
      <w:bookmarkEnd w:id="227"/>
      <w:bookmarkEnd w:id="228"/>
      <w:bookmarkEnd w:id="229"/>
    </w:p>
    <w:p w14:paraId="23BB463F">
      <w:pPr>
        <w:pStyle w:val="35"/>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eastAsia="zh-CN"/>
        </w:rPr>
        <w:t>玖</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叁</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叁</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份，招标代理机构执</w:t>
      </w:r>
      <w:r>
        <w:rPr>
          <w:rFonts w:hint="eastAsia" w:ascii="宋体" w:hAnsi="宋体" w:cs="宋体"/>
          <w:bCs/>
          <w:color w:val="auto"/>
          <w:szCs w:val="21"/>
          <w:highlight w:val="none"/>
          <w:u w:val="single"/>
        </w:rPr>
        <w:t xml:space="preserve"> 壹 </w:t>
      </w:r>
      <w:r>
        <w:rPr>
          <w:rFonts w:hint="eastAsia" w:ascii="宋体" w:hAnsi="宋体" w:cs="宋体"/>
          <w:bCs/>
          <w:color w:val="auto"/>
          <w:szCs w:val="21"/>
          <w:highlight w:val="none"/>
        </w:rPr>
        <w:t>份。</w:t>
      </w:r>
    </w:p>
    <w:p w14:paraId="2DF8A189">
      <w:pPr>
        <w:pStyle w:val="35"/>
        <w:adjustRightInd w:val="0"/>
        <w:snapToGrid w:val="0"/>
        <w:spacing w:line="400" w:lineRule="exact"/>
        <w:ind w:firstLine="420" w:firstLineChars="200"/>
        <w:rPr>
          <w:rFonts w:ascii="宋体" w:hAnsi="宋体" w:cs="宋体"/>
          <w:bCs/>
          <w:color w:val="auto"/>
          <w:szCs w:val="21"/>
          <w:highlight w:val="none"/>
        </w:rPr>
      </w:pPr>
    </w:p>
    <w:tbl>
      <w:tblPr>
        <w:tblStyle w:val="22"/>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0792A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90C564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680A263C">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kern w:val="0"/>
                <w:sz w:val="21"/>
                <w:szCs w:val="21"/>
                <w:highlight w:val="none"/>
                <w:u w:val="none"/>
                <w:lang w:val="en-US" w:eastAsia="zh-CN"/>
              </w:rPr>
              <w:t xml:space="preserve"> </w:t>
            </w:r>
          </w:p>
        </w:tc>
        <w:tc>
          <w:tcPr>
            <w:tcW w:w="4597" w:type="dxa"/>
            <w:noWrap w:val="0"/>
            <w:vAlign w:val="top"/>
          </w:tcPr>
          <w:p w14:paraId="22296AC5">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承包人：（公章）</w:t>
            </w:r>
          </w:p>
          <w:p w14:paraId="155797F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highlight w:val="none"/>
                <w:u w:val="none"/>
                <w:lang w:val="en-US" w:eastAsia="zh-CN"/>
              </w:rPr>
              <w:t xml:space="preserve"> </w:t>
            </w:r>
          </w:p>
        </w:tc>
      </w:tr>
      <w:tr w14:paraId="3BED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4E297B1">
            <w:pPr>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1F893C5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7D2E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6B572B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72781DA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7C939E2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3EC5D24D">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31EE6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5FB9280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r>
              <w:rPr>
                <w:rFonts w:hint="eastAsia" w:ascii="宋体" w:hAnsi="宋体" w:eastAsia="宋体"/>
                <w:color w:val="auto"/>
                <w:kern w:val="0"/>
                <w:szCs w:val="21"/>
                <w:highlight w:val="none"/>
                <w:lang w:val="en-US" w:eastAsia="zh-CN"/>
              </w:rPr>
              <w:t xml:space="preserve"> </w:t>
            </w:r>
          </w:p>
        </w:tc>
        <w:tc>
          <w:tcPr>
            <w:tcW w:w="4597" w:type="dxa"/>
            <w:noWrap w:val="0"/>
            <w:vAlign w:val="top"/>
          </w:tcPr>
          <w:p w14:paraId="5A8F854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7972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3A8E91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地址： </w:t>
            </w:r>
          </w:p>
        </w:tc>
        <w:tc>
          <w:tcPr>
            <w:tcW w:w="4597" w:type="dxa"/>
            <w:noWrap w:val="0"/>
            <w:vAlign w:val="top"/>
          </w:tcPr>
          <w:p w14:paraId="7C1A5BA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0593B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0E2AB5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0F2B3140">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6BF8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2D13950">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4488F4FD">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r>
              <w:rPr>
                <w:rFonts w:hint="eastAsia" w:ascii="宋体" w:hAnsi="宋体" w:cs="宋体"/>
                <w:color w:val="auto"/>
                <w:kern w:val="0"/>
                <w:sz w:val="21"/>
                <w:szCs w:val="21"/>
                <w:highlight w:val="none"/>
                <w:u w:val="none"/>
                <w:lang w:val="en-US" w:eastAsia="zh-CN"/>
              </w:rPr>
              <w:t xml:space="preserve"> </w:t>
            </w:r>
          </w:p>
        </w:tc>
      </w:tr>
      <w:tr w14:paraId="282B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0C971DBD">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5FE2F23D">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5E15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0D49EA10">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7A81C010">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7C669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DFE83D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21645E7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77D20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8A7FF7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1428AEB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51C30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7DBC6CCB">
            <w:pPr>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133B7D6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开户名称： </w:t>
            </w:r>
          </w:p>
        </w:tc>
      </w:tr>
      <w:tr w14:paraId="612B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DA4979D">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5CFC1E29">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54CEB8D3">
      <w:pPr>
        <w:pStyle w:val="31"/>
        <w:jc w:val="center"/>
        <w:rPr>
          <w:rFonts w:eastAsia="黑体"/>
          <w:b w:val="0"/>
          <w:bCs w:val="0"/>
          <w:color w:val="auto"/>
          <w:sz w:val="32"/>
          <w:szCs w:val="32"/>
          <w:highlight w:val="none"/>
        </w:rPr>
      </w:pPr>
      <w:r>
        <w:rPr>
          <w:b w:val="0"/>
          <w:bCs w:val="0"/>
          <w:color w:val="auto"/>
          <w:highlight w:val="none"/>
        </w:rPr>
        <w:br w:type="page"/>
      </w:r>
      <w:bookmarkStart w:id="230" w:name="_Toc256000032"/>
      <w:bookmarkStart w:id="231" w:name="_Toc2370"/>
      <w:bookmarkStart w:id="232" w:name="_Toc351203494"/>
      <w:bookmarkStart w:id="233" w:name="_Toc522201572"/>
      <w:r>
        <w:rPr>
          <w:rFonts w:ascii="宋体"/>
          <w:color w:val="auto"/>
          <w:sz w:val="32"/>
          <w:highlight w:val="none"/>
        </w:rPr>
        <w:t>第二部分 通用合同条款</w:t>
      </w:r>
      <w:bookmarkEnd w:id="230"/>
      <w:bookmarkEnd w:id="231"/>
      <w:bookmarkEnd w:id="232"/>
      <w:bookmarkEnd w:id="233"/>
      <w:bookmarkStart w:id="234" w:name="_Toc337558727"/>
    </w:p>
    <w:bookmarkEnd w:id="234"/>
    <w:p w14:paraId="531D357F">
      <w:pPr>
        <w:pStyle w:val="4"/>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b w:val="0"/>
          <w:bCs w:val="0"/>
          <w:color w:val="auto"/>
          <w:sz w:val="28"/>
          <w:szCs w:val="28"/>
          <w:highlight w:val="none"/>
        </w:rPr>
      </w:pPr>
      <w:bookmarkStart w:id="235" w:name="_Toc16978"/>
    </w:p>
    <w:p w14:paraId="46874297">
      <w:pPr>
        <w:pStyle w:val="34"/>
        <w:ind w:left="63" w:right="63"/>
        <w:rPr>
          <w:rFonts w:hint="eastAsia" w:eastAsia="宋体"/>
          <w:color w:val="auto"/>
          <w:highlight w:val="none"/>
          <w:lang w:eastAsia="zh-CN"/>
        </w:rPr>
      </w:pPr>
      <w:r>
        <w:rPr>
          <w:rFonts w:hint="eastAsia" w:ascii="宋体" w:hAnsi="宋体" w:eastAsia="宋体" w:cs="宋体"/>
          <w:b w:val="0"/>
          <w:bCs w:val="0"/>
          <w:color w:val="auto"/>
          <w:sz w:val="24"/>
          <w:szCs w:val="24"/>
          <w:highlight w:val="none"/>
        </w:rPr>
        <w:t>本工程的施工合同通用条款按国家工商行政管理局和建设部颁布的：</w:t>
      </w:r>
      <w:bookmarkEnd w:id="235"/>
      <w:r>
        <w:rPr>
          <w:rFonts w:hint="eastAsia" w:ascii="宋体" w:hAnsi="宋体" w:eastAsia="宋体" w:cs="宋体"/>
          <w:b w:val="0"/>
          <w:bCs w:val="0"/>
          <w:color w:val="auto"/>
          <w:sz w:val="24"/>
          <w:szCs w:val="24"/>
          <w:highlight w:val="none"/>
        </w:rPr>
        <w:t>《建设工程施工合同（示范文本）》（GF-2017-0201）</w:t>
      </w:r>
      <w:r>
        <w:rPr>
          <w:rFonts w:hint="eastAsia" w:ascii="宋体" w:hAnsi="宋体" w:eastAsia="宋体" w:cs="宋体"/>
          <w:b w:val="0"/>
          <w:bCs w:val="0"/>
          <w:color w:val="auto"/>
          <w:sz w:val="24"/>
          <w:szCs w:val="24"/>
          <w:highlight w:val="none"/>
          <w:lang w:eastAsia="zh-CN"/>
        </w:rPr>
        <w:t>。</w:t>
      </w:r>
    </w:p>
    <w:p w14:paraId="5CB8BEB4">
      <w:pPr>
        <w:pStyle w:val="34"/>
        <w:ind w:left="63" w:right="63"/>
        <w:rPr>
          <w:color w:val="auto"/>
          <w:highlight w:val="none"/>
        </w:rPr>
      </w:pPr>
    </w:p>
    <w:p w14:paraId="52A7DC35">
      <w:pPr>
        <w:pStyle w:val="34"/>
        <w:ind w:left="63" w:right="63"/>
        <w:rPr>
          <w:color w:val="auto"/>
          <w:highlight w:val="none"/>
        </w:rPr>
      </w:pPr>
    </w:p>
    <w:p w14:paraId="2428A29F">
      <w:pPr>
        <w:pStyle w:val="34"/>
        <w:ind w:left="63" w:right="63"/>
        <w:rPr>
          <w:color w:val="auto"/>
          <w:highlight w:val="none"/>
        </w:rPr>
      </w:pPr>
    </w:p>
    <w:p w14:paraId="3848AEBB">
      <w:pPr>
        <w:pStyle w:val="34"/>
        <w:ind w:left="63" w:right="63"/>
        <w:rPr>
          <w:color w:val="auto"/>
          <w:highlight w:val="none"/>
        </w:rPr>
      </w:pPr>
    </w:p>
    <w:p w14:paraId="4D7EBB33">
      <w:pPr>
        <w:pStyle w:val="34"/>
        <w:ind w:left="63" w:right="63"/>
        <w:rPr>
          <w:color w:val="auto"/>
          <w:highlight w:val="none"/>
        </w:rPr>
      </w:pPr>
    </w:p>
    <w:p w14:paraId="36F0E7CF">
      <w:pPr>
        <w:pStyle w:val="34"/>
        <w:ind w:left="63" w:right="63"/>
        <w:rPr>
          <w:color w:val="auto"/>
          <w:highlight w:val="none"/>
        </w:rPr>
      </w:pPr>
    </w:p>
    <w:p w14:paraId="373C1A46">
      <w:pPr>
        <w:pStyle w:val="34"/>
        <w:ind w:left="63" w:right="63"/>
        <w:rPr>
          <w:color w:val="auto"/>
          <w:highlight w:val="none"/>
        </w:rPr>
      </w:pPr>
    </w:p>
    <w:p w14:paraId="15379128">
      <w:pPr>
        <w:pStyle w:val="34"/>
        <w:ind w:left="63" w:right="63"/>
        <w:rPr>
          <w:color w:val="auto"/>
          <w:highlight w:val="none"/>
        </w:rPr>
      </w:pPr>
    </w:p>
    <w:p w14:paraId="759E6384">
      <w:pPr>
        <w:pStyle w:val="34"/>
        <w:ind w:left="63" w:right="63"/>
        <w:rPr>
          <w:color w:val="auto"/>
          <w:highlight w:val="none"/>
        </w:rPr>
      </w:pPr>
    </w:p>
    <w:p w14:paraId="21B026E8">
      <w:pPr>
        <w:pStyle w:val="34"/>
        <w:ind w:left="63" w:right="63"/>
        <w:rPr>
          <w:color w:val="auto"/>
          <w:highlight w:val="none"/>
        </w:rPr>
      </w:pPr>
    </w:p>
    <w:p w14:paraId="2595926C">
      <w:pPr>
        <w:pStyle w:val="34"/>
        <w:ind w:left="63" w:right="63"/>
        <w:rPr>
          <w:color w:val="auto"/>
          <w:highlight w:val="none"/>
        </w:rPr>
      </w:pPr>
    </w:p>
    <w:p w14:paraId="1589FA56">
      <w:pPr>
        <w:pStyle w:val="34"/>
        <w:ind w:left="63" w:right="63"/>
        <w:rPr>
          <w:color w:val="auto"/>
          <w:highlight w:val="none"/>
        </w:rPr>
      </w:pPr>
    </w:p>
    <w:p w14:paraId="4CB96A82">
      <w:pPr>
        <w:pStyle w:val="34"/>
        <w:ind w:left="63" w:right="63"/>
        <w:rPr>
          <w:color w:val="auto"/>
          <w:highlight w:val="none"/>
        </w:rPr>
      </w:pPr>
    </w:p>
    <w:p w14:paraId="4F665616">
      <w:pPr>
        <w:pStyle w:val="34"/>
        <w:ind w:left="63" w:right="63"/>
        <w:rPr>
          <w:color w:val="auto"/>
          <w:highlight w:val="none"/>
        </w:rPr>
      </w:pPr>
    </w:p>
    <w:p w14:paraId="1CA26C04">
      <w:pPr>
        <w:pStyle w:val="34"/>
        <w:ind w:left="63" w:right="63"/>
        <w:rPr>
          <w:color w:val="auto"/>
          <w:highlight w:val="none"/>
        </w:rPr>
      </w:pPr>
    </w:p>
    <w:p w14:paraId="49F2EED1">
      <w:pPr>
        <w:pStyle w:val="34"/>
        <w:ind w:left="63" w:right="63"/>
        <w:rPr>
          <w:color w:val="auto"/>
          <w:highlight w:val="none"/>
        </w:rPr>
      </w:pPr>
    </w:p>
    <w:p w14:paraId="6B1DB9AD">
      <w:pPr>
        <w:pStyle w:val="34"/>
        <w:ind w:left="63" w:right="63"/>
        <w:rPr>
          <w:color w:val="auto"/>
          <w:highlight w:val="none"/>
        </w:rPr>
      </w:pPr>
    </w:p>
    <w:p w14:paraId="75BE6E7D">
      <w:pPr>
        <w:pStyle w:val="34"/>
        <w:ind w:left="63" w:right="63"/>
        <w:rPr>
          <w:color w:val="auto"/>
          <w:highlight w:val="none"/>
        </w:rPr>
      </w:pPr>
    </w:p>
    <w:p w14:paraId="34770A05">
      <w:pPr>
        <w:pStyle w:val="34"/>
        <w:ind w:left="63" w:right="63"/>
        <w:rPr>
          <w:color w:val="auto"/>
          <w:highlight w:val="none"/>
        </w:rPr>
      </w:pPr>
    </w:p>
    <w:p w14:paraId="1F8876A8">
      <w:pPr>
        <w:pStyle w:val="34"/>
        <w:ind w:left="63" w:right="63"/>
        <w:rPr>
          <w:color w:val="auto"/>
          <w:highlight w:val="none"/>
        </w:rPr>
      </w:pPr>
    </w:p>
    <w:p w14:paraId="09C74960">
      <w:pPr>
        <w:pStyle w:val="34"/>
        <w:ind w:left="63" w:right="63"/>
        <w:rPr>
          <w:color w:val="auto"/>
          <w:highlight w:val="none"/>
        </w:rPr>
      </w:pPr>
    </w:p>
    <w:p w14:paraId="441E0546">
      <w:pPr>
        <w:pStyle w:val="34"/>
        <w:ind w:left="63" w:right="63"/>
        <w:rPr>
          <w:color w:val="auto"/>
          <w:highlight w:val="none"/>
        </w:rPr>
      </w:pPr>
    </w:p>
    <w:p w14:paraId="776F52B4">
      <w:pPr>
        <w:pStyle w:val="34"/>
        <w:ind w:left="63" w:right="63"/>
        <w:rPr>
          <w:color w:val="auto"/>
          <w:highlight w:val="none"/>
        </w:rPr>
      </w:pPr>
    </w:p>
    <w:p w14:paraId="137968D6">
      <w:pPr>
        <w:pStyle w:val="34"/>
        <w:ind w:left="63" w:right="63"/>
        <w:rPr>
          <w:color w:val="auto"/>
          <w:highlight w:val="none"/>
        </w:rPr>
      </w:pPr>
    </w:p>
    <w:p w14:paraId="1339053F">
      <w:pPr>
        <w:pStyle w:val="34"/>
        <w:ind w:left="63" w:right="63"/>
        <w:rPr>
          <w:color w:val="auto"/>
          <w:highlight w:val="none"/>
        </w:rPr>
      </w:pPr>
    </w:p>
    <w:p w14:paraId="1073D7D6">
      <w:pPr>
        <w:pStyle w:val="34"/>
        <w:ind w:left="63" w:right="63"/>
        <w:rPr>
          <w:color w:val="auto"/>
          <w:highlight w:val="none"/>
        </w:rPr>
      </w:pPr>
    </w:p>
    <w:p w14:paraId="0507C9CF">
      <w:pPr>
        <w:pStyle w:val="34"/>
        <w:ind w:left="63" w:right="63"/>
        <w:rPr>
          <w:color w:val="auto"/>
          <w:highlight w:val="none"/>
        </w:rPr>
      </w:pPr>
    </w:p>
    <w:p w14:paraId="405A2F2F">
      <w:pPr>
        <w:pStyle w:val="34"/>
        <w:ind w:left="63" w:right="63"/>
        <w:rPr>
          <w:color w:val="auto"/>
          <w:highlight w:val="none"/>
        </w:rPr>
      </w:pPr>
    </w:p>
    <w:p w14:paraId="67063E90">
      <w:pPr>
        <w:pStyle w:val="34"/>
        <w:ind w:left="63" w:right="63"/>
        <w:rPr>
          <w:color w:val="auto"/>
          <w:highlight w:val="none"/>
        </w:rPr>
      </w:pPr>
    </w:p>
    <w:p w14:paraId="7627278E">
      <w:pPr>
        <w:pStyle w:val="31"/>
        <w:spacing w:line="400" w:lineRule="atLeast"/>
        <w:jc w:val="center"/>
        <w:rPr>
          <w:color w:val="auto"/>
          <w:highlight w:val="none"/>
        </w:rPr>
      </w:pPr>
      <w:bookmarkStart w:id="236" w:name="_Toc256000171"/>
      <w:r>
        <w:rPr>
          <w:rFonts w:ascii="宋体"/>
          <w:color w:val="auto"/>
          <w:sz w:val="32"/>
          <w:highlight w:val="none"/>
        </w:rPr>
        <w:t>第</w:t>
      </w:r>
      <w:r>
        <w:rPr>
          <w:rFonts w:hint="eastAsia" w:ascii="宋体"/>
          <w:color w:val="auto"/>
          <w:sz w:val="32"/>
          <w:highlight w:val="none"/>
        </w:rPr>
        <w:t>三</w:t>
      </w:r>
      <w:r>
        <w:rPr>
          <w:rFonts w:ascii="宋体"/>
          <w:color w:val="auto"/>
          <w:sz w:val="32"/>
          <w:highlight w:val="none"/>
        </w:rPr>
        <w:t>部分 专用合同条款</w:t>
      </w:r>
      <w:bookmarkEnd w:id="236"/>
    </w:p>
    <w:p w14:paraId="7DB8BF1E">
      <w:pPr>
        <w:pStyle w:val="31"/>
        <w:spacing w:line="380" w:lineRule="exact"/>
        <w:rPr>
          <w:rFonts w:ascii="宋体" w:cs="宋体"/>
          <w:color w:val="auto"/>
          <w:highlight w:val="none"/>
        </w:rPr>
      </w:pPr>
      <w:bookmarkStart w:id="237" w:name="_Toc522201723"/>
      <w:bookmarkStart w:id="238" w:name="_Toc406522213"/>
      <w:bookmarkStart w:id="239" w:name="_Toc418752235"/>
      <w:bookmarkStart w:id="240" w:name="_Toc497746774"/>
      <w:bookmarkStart w:id="241" w:name="_Toc418751789"/>
      <w:bookmarkStart w:id="242" w:name="_Toc351203633"/>
      <w:bookmarkStart w:id="243" w:name="_Toc256000172"/>
      <w:bookmarkStart w:id="244" w:name="_Toc497747171"/>
      <w:bookmarkStart w:id="245" w:name="_Toc484024116"/>
      <w:r>
        <w:rPr>
          <w:rFonts w:hint="eastAsia" w:ascii="宋体" w:cs="宋体"/>
          <w:color w:val="auto"/>
          <w:highlight w:val="none"/>
        </w:rPr>
        <w:t>1</w:t>
      </w:r>
      <w:bookmarkStart w:id="246" w:name="_Toc296503156"/>
      <w:bookmarkStart w:id="247" w:name="_Toc292559866"/>
      <w:bookmarkStart w:id="248" w:name="_Toc297048342"/>
      <w:bookmarkStart w:id="249" w:name="_Toc296890984"/>
      <w:bookmarkStart w:id="250" w:name="_Toc296944495"/>
      <w:bookmarkStart w:id="251" w:name="_Toc296347155"/>
      <w:bookmarkStart w:id="252" w:name="_Toc292559361"/>
      <w:bookmarkStart w:id="253" w:name="_Toc297120456"/>
      <w:bookmarkStart w:id="254" w:name="_Toc296346657"/>
      <w:bookmarkStart w:id="255" w:name="_Toc296891196"/>
      <w:r>
        <w:rPr>
          <w:rFonts w:hint="eastAsia" w:ascii="宋体" w:cs="宋体"/>
          <w:color w:val="auto"/>
          <w:highlight w:val="none"/>
        </w:rPr>
        <w:t>. 一般约定</w:t>
      </w:r>
      <w:bookmarkEnd w:id="237"/>
      <w:bookmarkEnd w:id="238"/>
      <w:bookmarkEnd w:id="239"/>
      <w:bookmarkEnd w:id="240"/>
      <w:bookmarkEnd w:id="241"/>
      <w:bookmarkEnd w:id="242"/>
      <w:bookmarkEnd w:id="243"/>
      <w:bookmarkEnd w:id="244"/>
    </w:p>
    <w:bookmarkEnd w:id="246"/>
    <w:bookmarkEnd w:id="247"/>
    <w:bookmarkEnd w:id="248"/>
    <w:bookmarkEnd w:id="249"/>
    <w:bookmarkEnd w:id="250"/>
    <w:bookmarkEnd w:id="251"/>
    <w:bookmarkEnd w:id="252"/>
    <w:bookmarkEnd w:id="253"/>
    <w:bookmarkEnd w:id="254"/>
    <w:bookmarkEnd w:id="255"/>
    <w:p w14:paraId="73BF6E83">
      <w:pPr>
        <w:pStyle w:val="31"/>
        <w:spacing w:line="380" w:lineRule="exact"/>
        <w:ind w:firstLine="422" w:firstLineChars="200"/>
        <w:rPr>
          <w:rFonts w:ascii="宋体" w:cs="宋体"/>
          <w:color w:val="auto"/>
          <w:highlight w:val="none"/>
        </w:rPr>
      </w:pPr>
      <w:bookmarkStart w:id="256" w:name="_Toc497747172"/>
      <w:bookmarkStart w:id="257" w:name="_Toc256000173"/>
      <w:bookmarkStart w:id="258" w:name="_Toc418751790"/>
      <w:bookmarkStart w:id="259" w:name="_Toc522201724"/>
      <w:bookmarkStart w:id="260" w:name="_Toc406522214"/>
      <w:bookmarkStart w:id="261" w:name="_Toc497746775"/>
      <w:bookmarkStart w:id="262" w:name="_Toc418752236"/>
      <w:r>
        <w:rPr>
          <w:rFonts w:hint="eastAsia" w:ascii="宋体" w:cs="宋体"/>
          <w:color w:val="auto"/>
          <w:highlight w:val="none"/>
        </w:rPr>
        <w:t>1.1 词语定义</w:t>
      </w:r>
      <w:bookmarkEnd w:id="256"/>
      <w:bookmarkEnd w:id="257"/>
      <w:bookmarkEnd w:id="258"/>
      <w:bookmarkEnd w:id="259"/>
      <w:bookmarkEnd w:id="260"/>
      <w:bookmarkEnd w:id="261"/>
      <w:bookmarkEnd w:id="262"/>
    </w:p>
    <w:p w14:paraId="0084BAA5">
      <w:pPr>
        <w:pStyle w:val="38"/>
        <w:spacing w:line="380" w:lineRule="exact"/>
        <w:rPr>
          <w:rFonts w:ascii="宋体" w:hAnsi="宋体" w:cs="宋体"/>
          <w:color w:val="auto"/>
          <w:highlight w:val="none"/>
        </w:rPr>
      </w:pPr>
      <w:r>
        <w:rPr>
          <w:rFonts w:hint="eastAsia" w:ascii="宋体" w:hAnsi="宋体" w:cs="宋体"/>
          <w:color w:val="auto"/>
          <w:highlight w:val="none"/>
        </w:rPr>
        <w:t>1.1.1合同</w:t>
      </w:r>
    </w:p>
    <w:p w14:paraId="783DBB4D">
      <w:pPr>
        <w:pStyle w:val="38"/>
        <w:spacing w:line="380" w:lineRule="exact"/>
        <w:rPr>
          <w:rFonts w:ascii="宋体" w:hAnsi="宋体" w:cs="宋体"/>
          <w:color w:val="auto"/>
          <w:highlight w:val="none"/>
          <w:u w:val="single"/>
        </w:rPr>
      </w:pPr>
      <w:r>
        <w:rPr>
          <w:rFonts w:hint="eastAsia" w:ascii="宋体" w:hAnsi="宋体" w:cs="宋体"/>
          <w:color w:val="auto"/>
          <w:highlight w:val="none"/>
        </w:rPr>
        <w:t>1.1.1.10其他合同文件包括：</w:t>
      </w:r>
      <w:r>
        <w:rPr>
          <w:rFonts w:hint="eastAsia" w:ascii="宋体" w:hAnsi="宋体" w:cs="宋体"/>
          <w:color w:val="auto"/>
          <w:highlight w:val="none"/>
          <w:u w:val="single"/>
        </w:rPr>
        <w:t>（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color w:val="auto"/>
          <w:highlight w:val="none"/>
        </w:rPr>
        <w:t>。</w:t>
      </w:r>
    </w:p>
    <w:p w14:paraId="43F6B133">
      <w:pPr>
        <w:pStyle w:val="38"/>
        <w:spacing w:line="380" w:lineRule="exact"/>
        <w:rPr>
          <w:rFonts w:ascii="宋体" w:hAnsi="宋体" w:cs="宋体"/>
          <w:color w:val="auto"/>
          <w:highlight w:val="none"/>
        </w:rPr>
      </w:pPr>
      <w:r>
        <w:rPr>
          <w:rFonts w:hint="eastAsia" w:ascii="宋体" w:hAnsi="宋体" w:cs="宋体"/>
          <w:color w:val="auto"/>
          <w:highlight w:val="none"/>
        </w:rPr>
        <w:t>1.1.2 合同当事人及其他相关方</w:t>
      </w:r>
    </w:p>
    <w:p w14:paraId="7C885584">
      <w:pPr>
        <w:pStyle w:val="38"/>
        <w:spacing w:line="380" w:lineRule="exact"/>
        <w:rPr>
          <w:rFonts w:ascii="宋体" w:hAnsi="宋体" w:cs="宋体"/>
          <w:color w:val="auto"/>
          <w:highlight w:val="none"/>
        </w:rPr>
      </w:pPr>
      <w:r>
        <w:rPr>
          <w:rFonts w:hint="eastAsia" w:ascii="宋体" w:hAnsi="宋体" w:cs="宋体"/>
          <w:color w:val="auto"/>
          <w:highlight w:val="none"/>
        </w:rPr>
        <w:t>1.1.2.4监理人：</w:t>
      </w:r>
    </w:p>
    <w:p w14:paraId="4319338A">
      <w:pPr>
        <w:pStyle w:val="38"/>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8298C2F">
      <w:pPr>
        <w:pStyle w:val="38"/>
        <w:spacing w:line="380" w:lineRule="exact"/>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BA4407A">
      <w:pPr>
        <w:pStyle w:val="38"/>
        <w:spacing w:line="380" w:lineRule="exact"/>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31AFDFB">
      <w:pPr>
        <w:pStyle w:val="38"/>
        <w:spacing w:line="380" w:lineRule="exact"/>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0D28F0BE">
      <w:pPr>
        <w:pStyle w:val="38"/>
        <w:spacing w:line="380" w:lineRule="exact"/>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3B51245F">
      <w:pPr>
        <w:pStyle w:val="38"/>
        <w:spacing w:line="380" w:lineRule="exact"/>
        <w:rPr>
          <w:rFonts w:ascii="宋体" w:hAnsi="宋体" w:cs="宋体"/>
          <w:color w:val="auto"/>
          <w:highlight w:val="none"/>
        </w:rPr>
      </w:pPr>
      <w:r>
        <w:rPr>
          <w:rFonts w:hint="eastAsia" w:ascii="宋体" w:hAnsi="宋体" w:cs="宋体"/>
          <w:color w:val="auto"/>
          <w:highlight w:val="none"/>
        </w:rPr>
        <w:t>1.1.2.5 设计人：</w:t>
      </w:r>
    </w:p>
    <w:p w14:paraId="79D54E2E">
      <w:pPr>
        <w:pStyle w:val="38"/>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90F4E80">
      <w:pPr>
        <w:pStyle w:val="38"/>
        <w:spacing w:line="380" w:lineRule="exact"/>
        <w:rPr>
          <w:rFonts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C36A20E">
      <w:pPr>
        <w:pStyle w:val="38"/>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CD59C3F">
      <w:pPr>
        <w:pStyle w:val="38"/>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BE81AC4">
      <w:pPr>
        <w:pStyle w:val="38"/>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918499D">
      <w:pPr>
        <w:pStyle w:val="38"/>
        <w:spacing w:line="380" w:lineRule="exact"/>
        <w:rPr>
          <w:rFonts w:ascii="宋体" w:hAnsi="宋体" w:cs="宋体"/>
          <w:color w:val="auto"/>
          <w:highlight w:val="none"/>
        </w:rPr>
      </w:pPr>
      <w:r>
        <w:rPr>
          <w:rFonts w:hint="eastAsia" w:ascii="宋体" w:hAnsi="宋体" w:cs="宋体"/>
          <w:color w:val="auto"/>
          <w:highlight w:val="none"/>
        </w:rPr>
        <w:t>1.1.3 工程和设备</w:t>
      </w:r>
    </w:p>
    <w:p w14:paraId="78A9A33F">
      <w:pPr>
        <w:pStyle w:val="38"/>
        <w:spacing w:line="380" w:lineRule="exact"/>
        <w:rPr>
          <w:rFonts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020C7A6F">
      <w:pPr>
        <w:pStyle w:val="38"/>
        <w:spacing w:line="380" w:lineRule="exact"/>
        <w:rPr>
          <w:rFonts w:ascii="宋体" w:hAnsi="宋体" w:cs="宋体"/>
          <w:color w:val="auto"/>
          <w:highlight w:val="none"/>
        </w:rPr>
      </w:pPr>
      <w:r>
        <w:rPr>
          <w:rFonts w:hint="eastAsia" w:ascii="宋体" w:hAnsi="宋体" w:cs="宋体"/>
          <w:color w:val="auto"/>
          <w:highlight w:val="none"/>
        </w:rPr>
        <w:t>1.1.3.9 永久占地包括：</w:t>
      </w:r>
      <w:r>
        <w:rPr>
          <w:rFonts w:hint="eastAsia" w:ascii="宋体" w:hAnsi="宋体" w:cs="宋体"/>
          <w:color w:val="auto"/>
          <w:highlight w:val="none"/>
          <w:u w:val="single"/>
        </w:rPr>
        <w:t xml:space="preserve">  为实施工程需永久占用的土地</w:t>
      </w:r>
      <w:r>
        <w:rPr>
          <w:rFonts w:ascii="宋体" w:hAnsi="宋体" w:cs="宋体"/>
          <w:color w:val="auto"/>
          <w:highlight w:val="none"/>
          <w:u w:val="single"/>
        </w:rPr>
        <w:t></w:t>
      </w:r>
      <w:r>
        <w:rPr>
          <w:rFonts w:hint="eastAsia" w:ascii="宋体" w:hAnsi="宋体" w:cs="宋体"/>
          <w:color w:val="auto"/>
          <w:highlight w:val="none"/>
        </w:rPr>
        <w:t>。</w:t>
      </w:r>
    </w:p>
    <w:p w14:paraId="52E23D56">
      <w:pPr>
        <w:pStyle w:val="38"/>
        <w:spacing w:line="380" w:lineRule="exact"/>
        <w:rPr>
          <w:rFonts w:ascii="宋体" w:hAnsi="宋体" w:cs="宋体"/>
          <w:color w:val="auto"/>
          <w:highlight w:val="none"/>
        </w:rPr>
      </w:pPr>
      <w:r>
        <w:rPr>
          <w:rFonts w:hint="eastAsia" w:ascii="宋体" w:hAnsi="宋体" w:cs="宋体"/>
          <w:color w:val="auto"/>
          <w:highlight w:val="none"/>
        </w:rPr>
        <w:t>1.1.3.10 临时占地包括：</w:t>
      </w:r>
      <w:r>
        <w:rPr>
          <w:rFonts w:hint="eastAsia" w:ascii="宋体" w:hAnsi="宋体" w:cs="宋体"/>
          <w:color w:val="auto"/>
          <w:highlight w:val="none"/>
          <w:u w:val="single"/>
        </w:rPr>
        <w:t xml:space="preserve"> 为实施工程需临时占用的土地 </w:t>
      </w:r>
      <w:r>
        <w:rPr>
          <w:rFonts w:hint="eastAsia" w:ascii="宋体" w:hAnsi="宋体" w:cs="宋体"/>
          <w:color w:val="auto"/>
          <w:highlight w:val="none"/>
        </w:rPr>
        <w:t>。</w:t>
      </w:r>
    </w:p>
    <w:p w14:paraId="6353791C">
      <w:pPr>
        <w:pStyle w:val="31"/>
        <w:spacing w:line="380" w:lineRule="exact"/>
        <w:ind w:firstLine="422" w:firstLineChars="200"/>
        <w:rPr>
          <w:rFonts w:ascii="宋体" w:cs="宋体"/>
          <w:color w:val="auto"/>
          <w:highlight w:val="none"/>
        </w:rPr>
      </w:pPr>
      <w:bookmarkStart w:id="263" w:name="_Toc256000174"/>
      <w:bookmarkStart w:id="264" w:name="_Toc406522215"/>
      <w:bookmarkStart w:id="265" w:name="_Toc418751791"/>
      <w:bookmarkStart w:id="266" w:name="_Toc522201725"/>
      <w:bookmarkStart w:id="267" w:name="_Toc497746776"/>
      <w:bookmarkStart w:id="268" w:name="_Toc418752237"/>
      <w:bookmarkStart w:id="269" w:name="_Toc497747173"/>
      <w:r>
        <w:rPr>
          <w:rFonts w:hint="eastAsia" w:ascii="宋体" w:cs="宋体"/>
          <w:color w:val="auto"/>
          <w:highlight w:val="none"/>
        </w:rPr>
        <w:t>1.3法律</w:t>
      </w:r>
      <w:bookmarkEnd w:id="263"/>
      <w:bookmarkEnd w:id="264"/>
      <w:bookmarkEnd w:id="265"/>
      <w:bookmarkEnd w:id="266"/>
      <w:bookmarkEnd w:id="267"/>
      <w:bookmarkEnd w:id="268"/>
      <w:bookmarkEnd w:id="269"/>
      <w:r>
        <w:rPr>
          <w:rFonts w:hint="eastAsia" w:ascii="宋体" w:cs="宋体"/>
          <w:color w:val="auto"/>
          <w:highlight w:val="none"/>
        </w:rPr>
        <w:t xml:space="preserve"> </w:t>
      </w:r>
    </w:p>
    <w:p w14:paraId="0F3FD8D6">
      <w:pPr>
        <w:pStyle w:val="38"/>
        <w:spacing w:line="380" w:lineRule="exact"/>
        <w:rPr>
          <w:rFonts w:ascii="宋体" w:hAnsi="宋体" w:cs="宋体"/>
          <w:color w:val="auto"/>
          <w:highlight w:val="none"/>
        </w:rPr>
      </w:pPr>
      <w:r>
        <w:rPr>
          <w:rFonts w:hint="eastAsia" w:ascii="宋体" w:hAnsi="宋体" w:cs="宋体"/>
          <w:color w:val="auto"/>
          <w:highlight w:val="none"/>
        </w:rPr>
        <w:t>适用于合同的其他规范性文件：</w:t>
      </w:r>
      <w:r>
        <w:rPr>
          <w:rFonts w:hint="eastAsia" w:ascii="宋体" w:hAnsi="宋体" w:cs="宋体"/>
          <w:color w:val="auto"/>
          <w:highlight w:val="none"/>
          <w:u w:val="single"/>
        </w:rPr>
        <w:t>同通用条款</w:t>
      </w:r>
      <w:r>
        <w:rPr>
          <w:rFonts w:hint="eastAsia" w:ascii="宋体" w:hAnsi="宋体" w:cs="宋体"/>
          <w:color w:val="auto"/>
          <w:highlight w:val="none"/>
        </w:rPr>
        <w:t>。</w:t>
      </w:r>
    </w:p>
    <w:p w14:paraId="6EEA7371">
      <w:pPr>
        <w:pStyle w:val="31"/>
        <w:spacing w:line="380" w:lineRule="exact"/>
        <w:ind w:firstLine="422" w:firstLineChars="200"/>
        <w:rPr>
          <w:rFonts w:ascii="宋体" w:cs="宋体"/>
          <w:color w:val="auto"/>
          <w:highlight w:val="none"/>
        </w:rPr>
      </w:pPr>
      <w:bookmarkStart w:id="270" w:name="_Toc497747174"/>
      <w:bookmarkStart w:id="271" w:name="_Toc497746777"/>
      <w:bookmarkStart w:id="272" w:name="_Toc418752238"/>
      <w:bookmarkStart w:id="273" w:name="_Toc256000175"/>
      <w:bookmarkStart w:id="274" w:name="_Toc522201726"/>
      <w:bookmarkStart w:id="275" w:name="_Toc406522216"/>
      <w:bookmarkStart w:id="276" w:name="_Toc418751792"/>
      <w:r>
        <w:rPr>
          <w:rFonts w:hint="eastAsia" w:ascii="宋体" w:cs="宋体"/>
          <w:color w:val="auto"/>
          <w:highlight w:val="none"/>
        </w:rPr>
        <w:t>1.4 标准和规范</w:t>
      </w:r>
      <w:bookmarkEnd w:id="270"/>
      <w:bookmarkEnd w:id="271"/>
      <w:bookmarkEnd w:id="272"/>
      <w:bookmarkEnd w:id="273"/>
      <w:bookmarkEnd w:id="274"/>
      <w:bookmarkEnd w:id="275"/>
      <w:bookmarkEnd w:id="276"/>
    </w:p>
    <w:p w14:paraId="2DCFF634">
      <w:pPr>
        <w:pStyle w:val="38"/>
        <w:spacing w:line="380" w:lineRule="exact"/>
        <w:rPr>
          <w:rFonts w:ascii="宋体" w:hAnsi="宋体" w:cs="宋体"/>
          <w:color w:val="auto"/>
          <w:highlight w:val="none"/>
        </w:rPr>
      </w:pPr>
      <w:r>
        <w:rPr>
          <w:rFonts w:hint="eastAsia" w:ascii="宋体" w:hAnsi="宋体" w:cs="宋体"/>
          <w:color w:val="auto"/>
          <w:highlight w:val="none"/>
        </w:rPr>
        <w:t>1.4.1适用于工程的标准规范包括：</w:t>
      </w:r>
      <w:r>
        <w:rPr>
          <w:rFonts w:hint="eastAsia" w:ascii="宋体" w:hAnsi="宋体" w:cs="宋体"/>
          <w:color w:val="auto"/>
          <w:highlight w:val="none"/>
          <w:u w:val="single"/>
        </w:rPr>
        <w:t>现行国家、地方、部门有关标准规范</w:t>
      </w:r>
      <w:r>
        <w:rPr>
          <w:rFonts w:hint="eastAsia" w:ascii="宋体" w:hAnsi="宋体" w:cs="宋体"/>
          <w:color w:val="auto"/>
          <w:highlight w:val="none"/>
        </w:rPr>
        <w:t>。</w:t>
      </w:r>
    </w:p>
    <w:p w14:paraId="5EE88E82">
      <w:pPr>
        <w:pStyle w:val="38"/>
        <w:spacing w:line="380" w:lineRule="exact"/>
        <w:rPr>
          <w:rFonts w:ascii="宋体" w:hAnsi="宋体" w:cs="宋体"/>
          <w:color w:val="auto"/>
          <w:highlight w:val="none"/>
        </w:rPr>
      </w:pPr>
      <w:r>
        <w:rPr>
          <w:rFonts w:hint="eastAsia" w:ascii="宋体" w:hAnsi="宋体" w:cs="宋体"/>
          <w:color w:val="auto"/>
          <w:highlight w:val="none"/>
        </w:rPr>
        <w:t>1.4.2 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A5352B9">
      <w:pPr>
        <w:pStyle w:val="38"/>
        <w:spacing w:line="380" w:lineRule="exact"/>
        <w:rPr>
          <w:rFonts w:ascii="宋体" w:hAnsi="宋体" w:cs="宋体"/>
          <w:color w:val="auto"/>
          <w:highlight w:val="none"/>
        </w:rPr>
      </w:pPr>
      <w:r>
        <w:rPr>
          <w:rFonts w:hint="eastAsia" w:ascii="宋体" w:hAnsi="宋体" w:cs="宋体"/>
          <w:color w:val="auto"/>
          <w:highlight w:val="none"/>
        </w:rPr>
        <w:t>发包人提供国外标准、规范的份数：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7ACA42E6">
      <w:pPr>
        <w:pStyle w:val="38"/>
        <w:spacing w:line="380" w:lineRule="exact"/>
        <w:rPr>
          <w:rFonts w:ascii="宋体" w:hAnsi="宋体" w:cs="宋体"/>
          <w:color w:val="auto"/>
          <w:highlight w:val="none"/>
        </w:rPr>
      </w:pPr>
      <w:r>
        <w:rPr>
          <w:rFonts w:hint="eastAsia" w:ascii="宋体" w:hAnsi="宋体" w:cs="宋体"/>
          <w:color w:val="auto"/>
          <w:highlight w:val="none"/>
        </w:rPr>
        <w:t>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2F076CE3">
      <w:pPr>
        <w:pStyle w:val="38"/>
        <w:spacing w:line="380" w:lineRule="exact"/>
        <w:rPr>
          <w:rFonts w:ascii="宋体" w:hAnsi="宋体" w:cs="宋体"/>
          <w:color w:val="auto"/>
          <w:highlight w:val="none"/>
        </w:rPr>
      </w:pPr>
      <w:r>
        <w:rPr>
          <w:rFonts w:hint="eastAsia" w:ascii="宋体" w:hAnsi="宋体" w:cs="宋体"/>
          <w:color w:val="auto"/>
          <w:highlight w:val="none"/>
        </w:rPr>
        <w:t>1.4.3发包人对工程的技术标准和功能要求的特殊要求：</w:t>
      </w:r>
      <w:r>
        <w:rPr>
          <w:rFonts w:hint="eastAsia" w:ascii="宋体" w:hAnsi="宋体" w:cs="宋体"/>
          <w:color w:val="auto"/>
          <w:highlight w:val="none"/>
          <w:u w:val="single"/>
        </w:rPr>
        <w:t xml:space="preserve">无 </w:t>
      </w:r>
      <w:r>
        <w:rPr>
          <w:rFonts w:hint="eastAsia" w:ascii="宋体" w:hAnsi="宋体" w:cs="宋体"/>
          <w:color w:val="auto"/>
          <w:highlight w:val="none"/>
        </w:rPr>
        <w:t>。</w:t>
      </w:r>
    </w:p>
    <w:p w14:paraId="6C627A9E">
      <w:pPr>
        <w:pStyle w:val="31"/>
        <w:spacing w:line="380" w:lineRule="exact"/>
        <w:ind w:firstLine="422" w:firstLineChars="200"/>
        <w:rPr>
          <w:rFonts w:ascii="宋体" w:cs="宋体"/>
          <w:color w:val="auto"/>
          <w:highlight w:val="none"/>
        </w:rPr>
      </w:pPr>
      <w:bookmarkStart w:id="277" w:name="_Toc522201727"/>
      <w:bookmarkStart w:id="278" w:name="_Toc256000176"/>
      <w:bookmarkStart w:id="279" w:name="_Toc497747175"/>
      <w:bookmarkStart w:id="280" w:name="_Toc418752239"/>
      <w:bookmarkStart w:id="281" w:name="_Toc497746778"/>
      <w:bookmarkStart w:id="282" w:name="_Toc418751793"/>
      <w:bookmarkStart w:id="283" w:name="_Toc406522217"/>
      <w:r>
        <w:rPr>
          <w:rFonts w:hint="eastAsia" w:ascii="宋体" w:cs="宋体"/>
          <w:color w:val="auto"/>
          <w:highlight w:val="none"/>
        </w:rPr>
        <w:t>1.5 合同文件的优先顺序</w:t>
      </w:r>
      <w:bookmarkEnd w:id="277"/>
      <w:bookmarkEnd w:id="278"/>
      <w:bookmarkEnd w:id="279"/>
      <w:bookmarkEnd w:id="280"/>
      <w:bookmarkEnd w:id="281"/>
      <w:bookmarkEnd w:id="282"/>
      <w:bookmarkEnd w:id="283"/>
    </w:p>
    <w:p w14:paraId="7A1475BD">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合同文件组成及优先顺序为：</w:t>
      </w:r>
    </w:p>
    <w:p w14:paraId="0D1BF979">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14:paraId="0F13A7FE">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（2）中标通知书（如果有）；</w:t>
      </w:r>
    </w:p>
    <w:p w14:paraId="335CD7BE">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（3）投标函及其附录（如果有）；</w:t>
      </w:r>
    </w:p>
    <w:p w14:paraId="7F81DE30">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（4）专用合同条款及其附件；</w:t>
      </w:r>
    </w:p>
    <w:p w14:paraId="2A57C2F3">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14:paraId="3D1E4A36">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（6）技术标准和要求 ；</w:t>
      </w:r>
    </w:p>
    <w:p w14:paraId="295F89EF">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（7）图纸（含图纸修改通知单及图纸设计变更文件） ；</w:t>
      </w:r>
    </w:p>
    <w:p w14:paraId="0BFD898A">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（8）已标价工程量清单 ；</w:t>
      </w:r>
    </w:p>
    <w:p w14:paraId="320DA2CC">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（9）其他合同文件（包括本工程预算控制价造价成果文件、招标文件等文件）；</w:t>
      </w:r>
    </w:p>
    <w:p w14:paraId="70ECB6B0">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10）《建设工程工程量清单计价规范（GB5050-2013）》及其广西实施细则及《关于建筑业实施营业税改征增值税后广西壮族自治区建设工程计价依据调整的通知》（桂建标〔2016〕17号）、《建设工程工程量清单计算规范（</w:t>
      </w:r>
      <w:r>
        <w:rPr>
          <w:rFonts w:hint="eastAsia" w:ascii="宋体" w:hAnsi="宋体" w:cs="宋体"/>
          <w:color w:val="auto"/>
          <w:kern w:val="0"/>
          <w:szCs w:val="21"/>
          <w:highlight w:val="none"/>
          <w:lang w:eastAsia="zh-CN"/>
        </w:rPr>
        <w:t>GB50854</w:t>
      </w:r>
      <w:r>
        <w:rPr>
          <w:rFonts w:hint="eastAsia" w:ascii="宋体" w:hAnsi="宋体" w:cs="宋体"/>
          <w:color w:val="auto"/>
          <w:kern w:val="0"/>
          <w:szCs w:val="21"/>
          <w:highlight w:val="none"/>
        </w:rPr>
        <w:t>～50862-2013）》及其广西实施细则（修订本）。</w:t>
      </w:r>
    </w:p>
    <w:p w14:paraId="29C783C1">
      <w:pPr>
        <w:pStyle w:val="31"/>
        <w:spacing w:line="380" w:lineRule="exact"/>
        <w:ind w:firstLine="420" w:firstLineChars="200"/>
        <w:rPr>
          <w:rFonts w:hint="eastAsia" w:ascii="宋体" w:hAnsi="宋体" w:eastAsia="宋体" w:cs="宋体"/>
          <w:b w:val="0"/>
          <w:bCs w:val="0"/>
          <w:color w:val="auto"/>
          <w:kern w:val="0"/>
          <w:sz w:val="21"/>
          <w:szCs w:val="15"/>
          <w:highlight w:val="none"/>
        </w:rPr>
      </w:pPr>
      <w:bookmarkStart w:id="284" w:name="_Toc256000177"/>
      <w:bookmarkStart w:id="285" w:name="_Toc406522218"/>
      <w:bookmarkStart w:id="286" w:name="_Toc497747176"/>
      <w:bookmarkStart w:id="287" w:name="_Toc418751794"/>
      <w:bookmarkStart w:id="288" w:name="_Toc497746779"/>
      <w:bookmarkStart w:id="289" w:name="_Toc418752240"/>
      <w:bookmarkStart w:id="290" w:name="_Toc522201728"/>
      <w:r>
        <w:rPr>
          <w:rFonts w:hint="eastAsia" w:ascii="宋体" w:hAnsi="宋体" w:eastAsia="宋体" w:cs="宋体"/>
          <w:b w:val="0"/>
          <w:bCs w:val="0"/>
          <w:color w:val="auto"/>
          <w:kern w:val="0"/>
          <w:sz w:val="21"/>
          <w:szCs w:val="15"/>
          <w:highlight w:val="none"/>
        </w:rPr>
        <w:t>说明：（6）、（7）、（8）、（9）填空内容分别限于技术标准和要求、图纸、已标价工程量清单或预算书、其他合同文件四者之一，其优先顺序可根据采取的不同合同方式由双方约定。</w:t>
      </w:r>
      <w:bookmarkEnd w:id="284"/>
    </w:p>
    <w:p w14:paraId="32C8D887">
      <w:pPr>
        <w:pStyle w:val="31"/>
        <w:spacing w:line="380" w:lineRule="exact"/>
        <w:ind w:firstLine="422" w:firstLineChars="200"/>
        <w:rPr>
          <w:rFonts w:ascii="宋体" w:cs="宋体"/>
          <w:color w:val="auto"/>
          <w:highlight w:val="none"/>
        </w:rPr>
      </w:pPr>
      <w:bookmarkStart w:id="291" w:name="_Toc256000178"/>
      <w:r>
        <w:rPr>
          <w:rFonts w:hint="eastAsia" w:ascii="宋体" w:cs="宋体"/>
          <w:color w:val="auto"/>
          <w:highlight w:val="none"/>
        </w:rPr>
        <w:t>1.6 图纸和承包人文件</w:t>
      </w:r>
      <w:bookmarkEnd w:id="285"/>
      <w:bookmarkEnd w:id="286"/>
      <w:bookmarkEnd w:id="287"/>
      <w:bookmarkEnd w:id="288"/>
      <w:bookmarkEnd w:id="289"/>
      <w:bookmarkEnd w:id="290"/>
      <w:bookmarkEnd w:id="291"/>
      <w:r>
        <w:rPr>
          <w:rFonts w:hint="eastAsia" w:ascii="宋体" w:cs="宋体"/>
          <w:color w:val="auto"/>
          <w:highlight w:val="none"/>
        </w:rPr>
        <w:tab/>
      </w:r>
    </w:p>
    <w:p w14:paraId="4980FD73">
      <w:pPr>
        <w:pStyle w:val="38"/>
        <w:spacing w:line="380" w:lineRule="exact"/>
        <w:rPr>
          <w:rFonts w:ascii="宋体" w:hAnsi="宋体" w:cs="宋体"/>
          <w:color w:val="auto"/>
          <w:highlight w:val="none"/>
        </w:rPr>
      </w:pPr>
      <w:r>
        <w:rPr>
          <w:rFonts w:hint="eastAsia" w:ascii="宋体" w:hAnsi="宋体" w:cs="宋体"/>
          <w:color w:val="auto"/>
          <w:highlight w:val="none"/>
        </w:rPr>
        <w:t>1.6.1 图纸的提供</w:t>
      </w:r>
    </w:p>
    <w:p w14:paraId="1B8D5659">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发包人向承包人提供图纸的期限：</w:t>
      </w:r>
      <w:r>
        <w:rPr>
          <w:rFonts w:hint="eastAsia" w:ascii="宋体" w:hAnsi="宋体" w:cs="宋体"/>
          <w:color w:val="auto"/>
          <w:szCs w:val="21"/>
          <w:highlight w:val="none"/>
          <w:u w:val="single"/>
        </w:rPr>
        <w:t>合同签订生效后7天内</w:t>
      </w:r>
      <w:r>
        <w:rPr>
          <w:rFonts w:hint="eastAsia" w:ascii="宋体" w:hAnsi="宋体" w:cs="宋体"/>
          <w:color w:val="auto"/>
          <w:szCs w:val="21"/>
          <w:highlight w:val="none"/>
        </w:rPr>
        <w:t>；</w:t>
      </w:r>
    </w:p>
    <w:p w14:paraId="4A0D1831">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hint="eastAsia" w:ascii="宋体" w:hAnsi="宋体" w:cs="宋体"/>
          <w:strike w:val="0"/>
          <w:dstrike w:val="0"/>
          <w:color w:val="auto"/>
          <w:szCs w:val="21"/>
          <w:highlight w:val="none"/>
          <w:u w:val="single"/>
        </w:rPr>
        <w:t>贰</w:t>
      </w:r>
      <w:r>
        <w:rPr>
          <w:rFonts w:hint="eastAsia" w:ascii="宋体" w:hAnsi="宋体" w:cs="宋体"/>
          <w:color w:val="auto"/>
          <w:szCs w:val="21"/>
          <w:highlight w:val="none"/>
          <w:u w:val="single"/>
        </w:rPr>
        <w:t>份，上述图纸及技术资料，未经监理工程师和发包人同意，承包人不得提供给与本工程无关的第三方。承包人需要增加图纸套数的，承包人自行复制，复制费用由承包人承担。</w:t>
      </w:r>
    </w:p>
    <w:p w14:paraId="615C7603">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kern w:val="0"/>
          <w:szCs w:val="21"/>
          <w:highlight w:val="none"/>
          <w:u w:val="single"/>
        </w:rPr>
        <w:t>全套施工图纸和其他技术资料</w:t>
      </w:r>
      <w:r>
        <w:rPr>
          <w:rFonts w:hint="eastAsia" w:ascii="宋体" w:hAnsi="宋体" w:cs="宋体"/>
          <w:color w:val="auto"/>
          <w:szCs w:val="21"/>
          <w:highlight w:val="none"/>
        </w:rPr>
        <w:t>。</w:t>
      </w:r>
    </w:p>
    <w:p w14:paraId="7F9B57ED">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 承包人文件</w:t>
      </w:r>
    </w:p>
    <w:p w14:paraId="35EBB94F">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需要由承包人提供的文件，包括：</w:t>
      </w:r>
      <w:r>
        <w:rPr>
          <w:rFonts w:hint="eastAsia" w:ascii="宋体" w:hAnsi="宋体" w:cs="宋体"/>
          <w:color w:val="auto"/>
          <w:szCs w:val="21"/>
          <w:highlight w:val="none"/>
          <w:u w:val="single"/>
        </w:rPr>
        <w:t>1、施工组织设计；2、工程进度计划；3、管理人员名单、职称、职务、上岗证等；4、安全文明施工措施；5、质量保证体系；6、每月25日前提供当月施工统计报表和下月进度计划各一份交监理工程师及发包人；7</w:t>
      </w:r>
      <w:r>
        <w:rPr>
          <w:rFonts w:hint="eastAsia" w:ascii="宋体" w:hAnsi="宋体" w:cs="宋体"/>
          <w:color w:val="auto"/>
          <w:szCs w:val="21"/>
          <w:highlight w:val="none"/>
          <w:u w:val="single"/>
          <w:lang w:val="zh-CN"/>
        </w:rPr>
        <w:t>、</w:t>
      </w:r>
      <w:r>
        <w:rPr>
          <w:rFonts w:hint="eastAsia" w:ascii="宋体" w:hAnsi="宋体" w:cs="宋体"/>
          <w:color w:val="auto"/>
          <w:szCs w:val="21"/>
          <w:highlight w:val="none"/>
          <w:u w:val="single"/>
        </w:rPr>
        <w:t>施工图以外的大样图、加工图、标准图、以及建筑装饰深化设计图纸设计优化建议等。但设计成果文件需经原设计单位审核及认可。最终设计成果归发包人所有。</w:t>
      </w:r>
    </w:p>
    <w:p w14:paraId="33827BEC">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开始施工前7天内  </w:t>
      </w:r>
      <w:r>
        <w:rPr>
          <w:rFonts w:hint="eastAsia" w:ascii="宋体" w:hAnsi="宋体" w:cs="宋体"/>
          <w:color w:val="auto"/>
          <w:szCs w:val="21"/>
          <w:highlight w:val="none"/>
        </w:rPr>
        <w:t>；</w:t>
      </w:r>
    </w:p>
    <w:p w14:paraId="5236A9DB">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 xml:space="preserve">  6</w:t>
      </w:r>
      <w:r>
        <w:rPr>
          <w:rFonts w:hint="eastAsia" w:ascii="宋体" w:hAnsi="宋体" w:cs="宋体"/>
          <w:color w:val="auto"/>
          <w:kern w:val="0"/>
          <w:szCs w:val="21"/>
          <w:highlight w:val="none"/>
          <w:u w:val="single"/>
        </w:rPr>
        <w:t>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F594AAD">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纸质版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8AD52C5">
      <w:pPr>
        <w:pStyle w:val="38"/>
        <w:spacing w:line="380" w:lineRule="exact"/>
        <w:rPr>
          <w:rFonts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收到承包人提供的文件后七天内 </w:t>
      </w:r>
      <w:r>
        <w:rPr>
          <w:rFonts w:hint="eastAsia" w:ascii="宋体" w:hAnsi="宋体" w:cs="宋体"/>
          <w:color w:val="auto"/>
          <w:highlight w:val="none"/>
        </w:rPr>
        <w:t>。</w:t>
      </w:r>
    </w:p>
    <w:p w14:paraId="56B1A3EB">
      <w:pPr>
        <w:pStyle w:val="38"/>
        <w:spacing w:line="380" w:lineRule="exact"/>
        <w:rPr>
          <w:rFonts w:ascii="宋体" w:hAnsi="宋体" w:cs="宋体"/>
          <w:color w:val="auto"/>
          <w:highlight w:val="none"/>
        </w:rPr>
      </w:pPr>
      <w:r>
        <w:rPr>
          <w:rFonts w:hint="eastAsia" w:ascii="宋体" w:hAnsi="宋体" w:cs="宋体"/>
          <w:color w:val="auto"/>
          <w:highlight w:val="none"/>
        </w:rPr>
        <w:t>1.6.5 现场图纸准备</w:t>
      </w:r>
    </w:p>
    <w:p w14:paraId="09589BA4">
      <w:pPr>
        <w:pStyle w:val="38"/>
        <w:spacing w:line="380" w:lineRule="exact"/>
        <w:rPr>
          <w:rFonts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20B5C5DC">
      <w:pPr>
        <w:pStyle w:val="31"/>
        <w:spacing w:line="380" w:lineRule="exact"/>
        <w:ind w:firstLine="422" w:firstLineChars="200"/>
        <w:rPr>
          <w:rFonts w:ascii="宋体" w:cs="宋体"/>
          <w:color w:val="auto"/>
          <w:highlight w:val="none"/>
        </w:rPr>
      </w:pPr>
      <w:bookmarkStart w:id="292" w:name="_Toc497747177"/>
      <w:bookmarkStart w:id="293" w:name="_Toc522201729"/>
      <w:bookmarkStart w:id="294" w:name="_Toc497746780"/>
      <w:bookmarkStart w:id="295" w:name="_Toc418752241"/>
      <w:bookmarkStart w:id="296" w:name="_Toc256000179"/>
      <w:bookmarkStart w:id="297" w:name="_Toc406522219"/>
      <w:bookmarkStart w:id="298" w:name="_Toc418751795"/>
      <w:r>
        <w:rPr>
          <w:rFonts w:hint="eastAsia" w:ascii="宋体" w:cs="宋体"/>
          <w:color w:val="auto"/>
          <w:highlight w:val="none"/>
        </w:rPr>
        <w:t>1.7 联络</w:t>
      </w:r>
      <w:bookmarkEnd w:id="292"/>
      <w:bookmarkEnd w:id="293"/>
      <w:bookmarkEnd w:id="294"/>
      <w:bookmarkEnd w:id="295"/>
      <w:bookmarkEnd w:id="296"/>
      <w:bookmarkEnd w:id="297"/>
      <w:bookmarkEnd w:id="298"/>
    </w:p>
    <w:p w14:paraId="3F85B6EB">
      <w:pPr>
        <w:pStyle w:val="38"/>
        <w:spacing w:line="380" w:lineRule="exact"/>
        <w:rPr>
          <w:rFonts w:ascii="宋体" w:hAnsi="宋体" w:cs="宋体"/>
          <w:color w:val="auto"/>
          <w:highlight w:val="none"/>
        </w:rPr>
      </w:pPr>
      <w:r>
        <w:rPr>
          <w:rFonts w:hint="eastAsia" w:ascii="宋体" w:hAnsi="宋体" w:cs="宋体"/>
          <w:color w:val="auto"/>
          <w:sz w:val="21"/>
          <w:szCs w:val="21"/>
          <w:highlight w:val="none"/>
        </w:rPr>
        <w:t>1.7.1发包人和承包人应当在</w:t>
      </w:r>
      <w:r>
        <w:rPr>
          <w:rFonts w:hint="eastAsia" w:ascii="宋体" w:hAnsi="宋体" w:cs="宋体"/>
          <w:color w:val="auto"/>
          <w:sz w:val="21"/>
          <w:szCs w:val="21"/>
          <w:highlight w:val="none"/>
          <w:u w:val="single"/>
        </w:rPr>
        <w:t xml:space="preserve">  7 </w:t>
      </w:r>
      <w:r>
        <w:rPr>
          <w:rFonts w:hint="eastAsia" w:ascii="宋体" w:hAnsi="宋体" w:cs="宋体"/>
          <w:color w:val="auto"/>
          <w:sz w:val="21"/>
          <w:szCs w:val="21"/>
          <w:highlight w:val="none"/>
        </w:rPr>
        <w:t>天内将与合同有关的通知、批准、证明、证书、指示、指令、要求、请求、同意、意见、确定和决定等书面函件送达对方当事人</w:t>
      </w:r>
      <w:r>
        <w:rPr>
          <w:rFonts w:hint="eastAsia" w:ascii="宋体" w:hAnsi="宋体" w:cs="宋体"/>
          <w:color w:val="auto"/>
          <w:highlight w:val="none"/>
        </w:rPr>
        <w:t>。</w:t>
      </w:r>
    </w:p>
    <w:p w14:paraId="1CC879C6">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1.7.2发包人接收文件的地点：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65CC3F8F">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3D7F3EF">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施工现场项目部</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1011C116">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01B6CAE3">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183B1C0F">
      <w:pPr>
        <w:pStyle w:val="38"/>
        <w:spacing w:line="380" w:lineRule="exact"/>
        <w:rPr>
          <w:rFonts w:ascii="宋体" w:hAnsi="宋体" w:cs="宋体"/>
          <w:color w:val="auto"/>
          <w:highlight w:val="none"/>
        </w:rPr>
      </w:pPr>
      <w:r>
        <w:rPr>
          <w:rFonts w:hint="eastAsia" w:ascii="宋体" w:hAnsi="宋体" w:cs="宋体"/>
          <w:color w:val="auto"/>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6F25FD0">
      <w:pPr>
        <w:pStyle w:val="31"/>
        <w:spacing w:line="380" w:lineRule="exact"/>
        <w:ind w:firstLine="422" w:firstLineChars="200"/>
        <w:rPr>
          <w:rFonts w:ascii="宋体" w:cs="宋体"/>
          <w:color w:val="auto"/>
          <w:highlight w:val="none"/>
        </w:rPr>
      </w:pPr>
      <w:bookmarkStart w:id="299" w:name="_Toc497747178"/>
      <w:bookmarkStart w:id="300" w:name="_Toc418751796"/>
      <w:bookmarkStart w:id="301" w:name="_Toc522201730"/>
      <w:bookmarkStart w:id="302" w:name="_Toc497746781"/>
      <w:bookmarkStart w:id="303" w:name="_Toc256000180"/>
      <w:bookmarkStart w:id="304" w:name="_Toc418752242"/>
      <w:bookmarkStart w:id="305" w:name="_Toc406522220"/>
      <w:r>
        <w:rPr>
          <w:rFonts w:hint="eastAsia" w:ascii="宋体" w:cs="宋体"/>
          <w:color w:val="auto"/>
          <w:highlight w:val="none"/>
        </w:rPr>
        <w:t>1.10 交通运输</w:t>
      </w:r>
      <w:bookmarkEnd w:id="299"/>
      <w:bookmarkEnd w:id="300"/>
      <w:bookmarkEnd w:id="301"/>
      <w:bookmarkEnd w:id="302"/>
      <w:bookmarkEnd w:id="303"/>
      <w:bookmarkEnd w:id="304"/>
      <w:bookmarkEnd w:id="305"/>
    </w:p>
    <w:p w14:paraId="7BD87C01">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w:t>
      </w:r>
      <w:bookmarkStart w:id="306" w:name="_Toc303539100"/>
      <w:bookmarkStart w:id="307" w:name="_Toc300934943"/>
      <w:bookmarkStart w:id="308" w:name="_Toc318581155"/>
      <w:bookmarkStart w:id="309" w:name="_Toc312677986"/>
      <w:bookmarkStart w:id="310" w:name="_Toc304295521"/>
      <w:r>
        <w:rPr>
          <w:rFonts w:hint="eastAsia" w:ascii="宋体" w:hAnsi="宋体" w:cs="宋体"/>
          <w:color w:val="auto"/>
          <w:sz w:val="21"/>
          <w:szCs w:val="21"/>
          <w:highlight w:val="none"/>
        </w:rPr>
        <w:t>.10.1 出入现场的权利</w:t>
      </w:r>
    </w:p>
    <w:p w14:paraId="3E024D8C">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关于出入现场的权利的约定：</w:t>
      </w:r>
      <w:r>
        <w:rPr>
          <w:rFonts w:hint="eastAsia" w:ascii="宋体" w:hAnsi="宋体" w:cs="宋体"/>
          <w:color w:val="auto"/>
          <w:sz w:val="21"/>
          <w:szCs w:val="21"/>
          <w:highlight w:val="none"/>
          <w:u w:val="single"/>
        </w:rPr>
        <w:t xml:space="preserve"> 除正常施工涉及的人员及车辆外，其他人员及车辆进出场内须经过发包人同意，且由承包人进行管理登记 </w:t>
      </w:r>
      <w:r>
        <w:rPr>
          <w:rFonts w:hint="eastAsia" w:ascii="宋体" w:hAnsi="宋体" w:cs="宋体"/>
          <w:color w:val="auto"/>
          <w:sz w:val="21"/>
          <w:szCs w:val="21"/>
          <w:highlight w:val="none"/>
        </w:rPr>
        <w:t>。</w:t>
      </w:r>
    </w:p>
    <w:bookmarkEnd w:id="306"/>
    <w:bookmarkEnd w:id="307"/>
    <w:bookmarkEnd w:id="308"/>
    <w:bookmarkEnd w:id="309"/>
    <w:bookmarkEnd w:id="310"/>
    <w:p w14:paraId="74018D23">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w:t>
      </w:r>
      <w:bookmarkStart w:id="311" w:name="_Toc318581156"/>
      <w:bookmarkStart w:id="312" w:name="_Toc300934944"/>
      <w:bookmarkStart w:id="313" w:name="_Toc303539101"/>
      <w:bookmarkStart w:id="314" w:name="_Toc312677987"/>
      <w:bookmarkStart w:id="315" w:name="_Toc304295522"/>
      <w:r>
        <w:rPr>
          <w:rFonts w:hint="eastAsia" w:ascii="宋体" w:hAnsi="宋体" w:cs="宋体"/>
          <w:color w:val="auto"/>
          <w:sz w:val="21"/>
          <w:szCs w:val="21"/>
          <w:highlight w:val="none"/>
        </w:rPr>
        <w:t>.10.3 场内交通</w:t>
      </w:r>
    </w:p>
    <w:p w14:paraId="7E302094">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关于场外交通和场内交通的边界的约定：</w:t>
      </w:r>
      <w:r>
        <w:rPr>
          <w:rFonts w:hint="eastAsia" w:ascii="宋体" w:hAnsi="宋体" w:cs="宋体"/>
          <w:color w:val="auto"/>
          <w:sz w:val="21"/>
          <w:szCs w:val="21"/>
          <w:highlight w:val="none"/>
          <w:u w:val="single"/>
        </w:rPr>
        <w:t xml:space="preserve">  规划批复总平用地红线  </w:t>
      </w:r>
      <w:r>
        <w:rPr>
          <w:rFonts w:hint="eastAsia" w:ascii="宋体" w:hAnsi="宋体" w:cs="宋体"/>
          <w:color w:val="auto"/>
          <w:sz w:val="21"/>
          <w:szCs w:val="21"/>
          <w:highlight w:val="none"/>
        </w:rPr>
        <w:t>。</w:t>
      </w:r>
    </w:p>
    <w:p w14:paraId="3DFBEAE0">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关于发包人向承包人免费提供满足工程施工需要的场内道路和交通设施的约定：</w:t>
      </w:r>
      <w:r>
        <w:rPr>
          <w:rFonts w:hint="eastAsia" w:ascii="宋体" w:hAnsi="宋体" w:cs="宋体"/>
          <w:color w:val="auto"/>
          <w:sz w:val="21"/>
          <w:szCs w:val="21"/>
          <w:highlight w:val="none"/>
          <w:u w:val="single"/>
        </w:rPr>
        <w:t>承包人负责场内道路和交通设施的修建并承担相应费用</w:t>
      </w:r>
      <w:r>
        <w:rPr>
          <w:rFonts w:hint="eastAsia" w:ascii="宋体" w:hAnsi="宋体" w:cs="宋体"/>
          <w:color w:val="auto"/>
          <w:sz w:val="21"/>
          <w:szCs w:val="21"/>
          <w:highlight w:val="none"/>
        </w:rPr>
        <w:t>。</w:t>
      </w:r>
      <w:bookmarkEnd w:id="311"/>
      <w:bookmarkEnd w:id="312"/>
      <w:bookmarkEnd w:id="313"/>
      <w:bookmarkEnd w:id="314"/>
      <w:bookmarkEnd w:id="315"/>
      <w:r>
        <w:rPr>
          <w:rFonts w:hint="eastAsia" w:ascii="宋体" w:hAnsi="宋体" w:cs="宋体"/>
          <w:color w:val="auto"/>
          <w:sz w:val="21"/>
          <w:szCs w:val="21"/>
          <w:highlight w:val="none"/>
        </w:rPr>
        <w:t xml:space="preserve">  </w:t>
      </w:r>
      <w:bookmarkStart w:id="316" w:name="_Toc318581157"/>
    </w:p>
    <w:p w14:paraId="5C6D1F43">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1.10.4超大件和超重件的运输</w:t>
      </w:r>
    </w:p>
    <w:p w14:paraId="60762E72">
      <w:pPr>
        <w:pStyle w:val="38"/>
        <w:spacing w:line="380" w:lineRule="exact"/>
        <w:rPr>
          <w:rFonts w:ascii="宋体" w:hAnsi="宋体" w:cs="宋体"/>
          <w:color w:val="auto"/>
          <w:highlight w:val="none"/>
        </w:rPr>
      </w:pPr>
      <w:r>
        <w:rPr>
          <w:rFonts w:hint="eastAsia" w:ascii="宋体" w:hAnsi="宋体" w:cs="宋体"/>
          <w:color w:val="auto"/>
          <w:sz w:val="21"/>
          <w:szCs w:val="21"/>
          <w:highlight w:val="none"/>
        </w:rPr>
        <w:t>运输超大件或超重件所需的道路和桥梁临时加固改造费用和其他有关费用由</w:t>
      </w:r>
      <w:r>
        <w:rPr>
          <w:rFonts w:hint="eastAsia" w:ascii="宋体" w:hAnsi="宋体" w:cs="宋体"/>
          <w:color w:val="auto"/>
          <w:sz w:val="21"/>
          <w:szCs w:val="21"/>
          <w:highlight w:val="none"/>
          <w:u w:val="single"/>
        </w:rPr>
        <w:t>承包人</w:t>
      </w:r>
      <w:r>
        <w:rPr>
          <w:rFonts w:hint="eastAsia" w:ascii="宋体" w:hAnsi="宋体" w:cs="宋体"/>
          <w:color w:val="auto"/>
          <w:sz w:val="21"/>
          <w:szCs w:val="21"/>
          <w:highlight w:val="none"/>
        </w:rPr>
        <w:t>承担。</w:t>
      </w:r>
    </w:p>
    <w:bookmarkEnd w:id="316"/>
    <w:p w14:paraId="0AEA9458">
      <w:pPr>
        <w:pStyle w:val="31"/>
        <w:spacing w:line="380" w:lineRule="exact"/>
        <w:ind w:firstLine="422" w:firstLineChars="200"/>
        <w:rPr>
          <w:rFonts w:ascii="宋体" w:cs="宋体"/>
          <w:color w:val="auto"/>
          <w:highlight w:val="none"/>
        </w:rPr>
      </w:pPr>
      <w:bookmarkStart w:id="317" w:name="_Toc418752243"/>
      <w:bookmarkStart w:id="318" w:name="_Toc497747179"/>
      <w:bookmarkStart w:id="319" w:name="_Toc256000181"/>
      <w:bookmarkStart w:id="320" w:name="_Toc418751797"/>
      <w:bookmarkStart w:id="321" w:name="_Toc522201731"/>
      <w:bookmarkStart w:id="322" w:name="_Toc406522221"/>
      <w:bookmarkStart w:id="323" w:name="_Toc497746782"/>
      <w:r>
        <w:rPr>
          <w:rFonts w:hint="eastAsia" w:ascii="宋体" w:cs="宋体"/>
          <w:color w:val="auto"/>
          <w:highlight w:val="none"/>
        </w:rPr>
        <w:t>1.11 知识产权</w:t>
      </w:r>
      <w:bookmarkEnd w:id="317"/>
      <w:bookmarkEnd w:id="318"/>
      <w:bookmarkEnd w:id="319"/>
      <w:bookmarkEnd w:id="320"/>
      <w:bookmarkEnd w:id="321"/>
      <w:bookmarkEnd w:id="322"/>
      <w:bookmarkEnd w:id="323"/>
    </w:p>
    <w:p w14:paraId="26B1D5A4">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1"/>
          <w:szCs w:val="21"/>
          <w:highlight w:val="none"/>
          <w:u w:val="single"/>
        </w:rPr>
        <w:t>著作权属于发包人</w:t>
      </w:r>
      <w:r>
        <w:rPr>
          <w:rFonts w:hint="eastAsia" w:ascii="宋体" w:hAnsi="宋体" w:cs="宋体"/>
          <w:color w:val="auto"/>
          <w:sz w:val="21"/>
          <w:szCs w:val="21"/>
          <w:highlight w:val="none"/>
        </w:rPr>
        <w:t>。</w:t>
      </w:r>
    </w:p>
    <w:p w14:paraId="086E5C73">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关于发包人提供的上述文件的使用限制的要求：</w:t>
      </w:r>
      <w:r>
        <w:rPr>
          <w:rFonts w:hint="eastAsia" w:ascii="宋体" w:hAnsi="宋体" w:cs="宋体"/>
          <w:color w:val="auto"/>
          <w:sz w:val="21"/>
          <w:szCs w:val="21"/>
          <w:highlight w:val="none"/>
          <w:u w:val="single"/>
        </w:rPr>
        <w:t>未经发包人同意，承包人不得为了合同以外的目的而复制、使用上述文件或将之提供给任何第三方</w:t>
      </w:r>
      <w:r>
        <w:rPr>
          <w:rFonts w:hint="eastAsia" w:ascii="宋体" w:hAnsi="宋体" w:cs="宋体"/>
          <w:color w:val="auto"/>
          <w:sz w:val="21"/>
          <w:szCs w:val="21"/>
          <w:highlight w:val="none"/>
        </w:rPr>
        <w:t>。</w:t>
      </w:r>
    </w:p>
    <w:p w14:paraId="15FB2D20">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1.11.2 关于承包人为实施工程所编制文件的著作权的归属：</w:t>
      </w:r>
      <w:r>
        <w:rPr>
          <w:rFonts w:hint="eastAsia" w:ascii="宋体" w:hAnsi="宋体" w:cs="宋体"/>
          <w:color w:val="auto"/>
          <w:sz w:val="21"/>
          <w:szCs w:val="21"/>
          <w:highlight w:val="none"/>
          <w:u w:val="single"/>
        </w:rPr>
        <w:t>除署名以外著作权属于发包人</w:t>
      </w:r>
      <w:r>
        <w:rPr>
          <w:rFonts w:hint="eastAsia" w:ascii="宋体" w:hAnsi="宋体" w:cs="宋体"/>
          <w:color w:val="auto"/>
          <w:sz w:val="21"/>
          <w:szCs w:val="21"/>
          <w:highlight w:val="none"/>
        </w:rPr>
        <w:t>。</w:t>
      </w:r>
    </w:p>
    <w:p w14:paraId="1D145A94">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关于承包人提供的上述文件的使用限制的要求：</w:t>
      </w:r>
      <w:r>
        <w:rPr>
          <w:rFonts w:hint="eastAsia" w:ascii="宋体" w:hAnsi="宋体" w:cs="宋体"/>
          <w:color w:val="auto"/>
          <w:sz w:val="21"/>
          <w:szCs w:val="21"/>
          <w:highlight w:val="none"/>
          <w:u w:val="single"/>
        </w:rPr>
        <w:t>未经发包人同意，承包人不得为了合同以外的目的而复制、使用上述文件或将之提供给任何第三方</w:t>
      </w:r>
      <w:r>
        <w:rPr>
          <w:rFonts w:hint="eastAsia" w:ascii="宋体" w:hAnsi="宋体" w:cs="宋体"/>
          <w:color w:val="auto"/>
          <w:sz w:val="21"/>
          <w:szCs w:val="21"/>
          <w:highlight w:val="none"/>
        </w:rPr>
        <w:t>。</w:t>
      </w:r>
    </w:p>
    <w:p w14:paraId="77D9864E">
      <w:pPr>
        <w:pStyle w:val="38"/>
        <w:spacing w:line="380" w:lineRule="exact"/>
        <w:rPr>
          <w:rFonts w:ascii="宋体" w:hAnsi="宋体" w:cs="宋体"/>
          <w:color w:val="auto"/>
          <w:sz w:val="21"/>
          <w:szCs w:val="21"/>
          <w:highlight w:val="none"/>
          <w:u w:val="single"/>
        </w:rPr>
      </w:pPr>
      <w:r>
        <w:rPr>
          <w:rFonts w:hint="eastAsia" w:ascii="宋体" w:hAnsi="宋体" w:cs="宋体"/>
          <w:color w:val="auto"/>
          <w:sz w:val="21"/>
          <w:szCs w:val="21"/>
          <w:highlight w:val="none"/>
        </w:rPr>
        <w:t>1.11.4 承包人在施工过程中所采用的专利、专有技术、技术秘密的使用费的承担方式：</w:t>
      </w:r>
      <w:r>
        <w:rPr>
          <w:rFonts w:hint="eastAsia" w:ascii="宋体" w:hAnsi="宋体" w:cs="宋体"/>
          <w:color w:val="auto"/>
          <w:sz w:val="21"/>
          <w:szCs w:val="21"/>
          <w:highlight w:val="none"/>
          <w:u w:val="single"/>
        </w:rPr>
        <w:t>由承包人承担</w:t>
      </w:r>
      <w:r>
        <w:rPr>
          <w:rFonts w:hint="eastAsia" w:ascii="宋体" w:hAnsi="宋体" w:cs="宋体"/>
          <w:color w:val="auto"/>
          <w:sz w:val="21"/>
          <w:szCs w:val="21"/>
          <w:highlight w:val="none"/>
        </w:rPr>
        <w:t>。</w:t>
      </w:r>
    </w:p>
    <w:p w14:paraId="5A315A02">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1.13工程量清单错误的修正</w:t>
      </w:r>
    </w:p>
    <w:p w14:paraId="02165B4A">
      <w:pPr>
        <w:pStyle w:val="38"/>
        <w:spacing w:line="380" w:lineRule="exact"/>
        <w:rPr>
          <w:rFonts w:ascii="宋体" w:hAnsi="宋体" w:cs="宋体"/>
          <w:color w:val="auto"/>
          <w:sz w:val="21"/>
          <w:szCs w:val="21"/>
          <w:highlight w:val="none"/>
          <w:u w:val="single"/>
        </w:rPr>
      </w:pPr>
      <w:r>
        <w:rPr>
          <w:rFonts w:hint="eastAsia" w:ascii="宋体" w:hAnsi="宋体" w:cs="宋体"/>
          <w:color w:val="auto"/>
          <w:sz w:val="21"/>
          <w:szCs w:val="21"/>
          <w:highlight w:val="none"/>
        </w:rPr>
        <w:t>出现工程量清单错误时，是否调整合同价格：</w:t>
      </w:r>
      <w:r>
        <w:rPr>
          <w:rFonts w:hint="eastAsia" w:ascii="宋体" w:hAnsi="宋体" w:cs="宋体"/>
          <w:color w:val="auto"/>
          <w:sz w:val="21"/>
          <w:szCs w:val="21"/>
          <w:highlight w:val="none"/>
          <w:u w:val="single"/>
        </w:rPr>
        <w:t>按《建设工程工程量清单计价规范（GB5050-2013）》及其广西实施细则、《建设工程工程量清单计算规范（</w:t>
      </w:r>
      <w:r>
        <w:rPr>
          <w:rFonts w:hint="eastAsia" w:ascii="宋体" w:hAnsi="宋体" w:cs="宋体"/>
          <w:color w:val="auto"/>
          <w:sz w:val="21"/>
          <w:szCs w:val="21"/>
          <w:highlight w:val="none"/>
          <w:u w:val="single"/>
          <w:lang w:eastAsia="zh-CN"/>
        </w:rPr>
        <w:t>GB50854</w:t>
      </w:r>
      <w:r>
        <w:rPr>
          <w:rFonts w:hint="eastAsia" w:ascii="宋体" w:hAnsi="宋体" w:cs="宋体"/>
          <w:color w:val="auto"/>
          <w:sz w:val="21"/>
          <w:szCs w:val="21"/>
          <w:highlight w:val="none"/>
          <w:u w:val="single"/>
        </w:rPr>
        <w:t>～50862-2013）》及其广西实施细则（修订本）等规定。</w:t>
      </w:r>
    </w:p>
    <w:p w14:paraId="54D9CA66">
      <w:pPr>
        <w:pStyle w:val="38"/>
        <w:spacing w:line="380" w:lineRule="exact"/>
        <w:rPr>
          <w:rFonts w:ascii="宋体" w:hAnsi="宋体" w:cs="宋体"/>
          <w:color w:val="auto"/>
          <w:highlight w:val="none"/>
        </w:rPr>
      </w:pPr>
      <w:r>
        <w:rPr>
          <w:rFonts w:hint="eastAsia" w:ascii="宋体" w:hAnsi="宋体" w:cs="宋体"/>
          <w:color w:val="auto"/>
          <w:sz w:val="21"/>
          <w:szCs w:val="21"/>
          <w:highlight w:val="none"/>
        </w:rPr>
        <w:t xml:space="preserve">允许调整合同价格的工程量偏差范围： </w:t>
      </w:r>
      <w:r>
        <w:rPr>
          <w:rFonts w:hint="eastAsia" w:ascii="宋体" w:hAnsi="宋体" w:cs="宋体"/>
          <w:color w:val="auto"/>
          <w:sz w:val="21"/>
          <w:szCs w:val="21"/>
          <w:highlight w:val="none"/>
          <w:u w:val="single"/>
        </w:rPr>
        <w:t>按《建设工程工程量清单计价规范（GB5050-2013）》及其广西实施细则、《建设工程工程量清单计算规范（</w:t>
      </w:r>
      <w:r>
        <w:rPr>
          <w:rFonts w:hint="eastAsia" w:ascii="宋体" w:hAnsi="宋体" w:cs="宋体"/>
          <w:color w:val="auto"/>
          <w:sz w:val="21"/>
          <w:szCs w:val="21"/>
          <w:highlight w:val="none"/>
          <w:u w:val="single"/>
          <w:lang w:eastAsia="zh-CN"/>
        </w:rPr>
        <w:t>GB50854</w:t>
      </w:r>
      <w:r>
        <w:rPr>
          <w:rFonts w:hint="eastAsia" w:ascii="宋体" w:hAnsi="宋体" w:cs="宋体"/>
          <w:color w:val="auto"/>
          <w:sz w:val="21"/>
          <w:szCs w:val="21"/>
          <w:highlight w:val="none"/>
          <w:u w:val="single"/>
        </w:rPr>
        <w:t>～50862-2013）》及其广西实施细则（修订本）等规定</w:t>
      </w:r>
      <w:r>
        <w:rPr>
          <w:rFonts w:hint="eastAsia" w:ascii="宋体" w:hAnsi="宋体" w:cs="宋体"/>
          <w:color w:val="auto"/>
          <w:sz w:val="21"/>
          <w:szCs w:val="21"/>
          <w:highlight w:val="none"/>
        </w:rPr>
        <w:t>。</w:t>
      </w:r>
    </w:p>
    <w:p w14:paraId="0A8956AE">
      <w:pPr>
        <w:pStyle w:val="31"/>
        <w:spacing w:line="380" w:lineRule="exact"/>
        <w:rPr>
          <w:rFonts w:ascii="宋体" w:cs="宋体"/>
          <w:color w:val="auto"/>
          <w:highlight w:val="none"/>
        </w:rPr>
      </w:pPr>
      <w:bookmarkStart w:id="324" w:name="_Toc497747180"/>
      <w:bookmarkStart w:id="325" w:name="_Toc256000182"/>
      <w:bookmarkStart w:id="326" w:name="_Toc406522222"/>
      <w:bookmarkStart w:id="327" w:name="_Toc418751798"/>
      <w:bookmarkStart w:id="328" w:name="_Toc497746783"/>
      <w:bookmarkStart w:id="329" w:name="_Toc522201732"/>
      <w:bookmarkStart w:id="330" w:name="_Toc351203634"/>
      <w:bookmarkStart w:id="331" w:name="_Toc418752244"/>
      <w:r>
        <w:rPr>
          <w:rFonts w:hint="eastAsia" w:ascii="宋体" w:cs="宋体"/>
          <w:color w:val="auto"/>
          <w:highlight w:val="none"/>
        </w:rPr>
        <w:t>2</w:t>
      </w:r>
      <w:bookmarkStart w:id="332" w:name="_Toc297120457"/>
      <w:bookmarkStart w:id="333" w:name="_Toc292559362"/>
      <w:bookmarkStart w:id="334" w:name="_Toc296944496"/>
      <w:bookmarkStart w:id="335" w:name="_Toc296891197"/>
      <w:bookmarkStart w:id="336" w:name="_Toc296347156"/>
      <w:bookmarkStart w:id="337" w:name="_Toc296890985"/>
      <w:bookmarkStart w:id="338" w:name="_Toc296346658"/>
      <w:bookmarkStart w:id="339" w:name="_Toc297048343"/>
      <w:bookmarkStart w:id="340" w:name="_Toc296503157"/>
      <w:bookmarkStart w:id="341" w:name="_Toc292559867"/>
      <w:r>
        <w:rPr>
          <w:rFonts w:hint="eastAsia" w:ascii="宋体" w:cs="宋体"/>
          <w:color w:val="auto"/>
          <w:highlight w:val="none"/>
        </w:rPr>
        <w:t>. 发包人</w:t>
      </w:r>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4CE7E97C">
      <w:pPr>
        <w:pStyle w:val="31"/>
        <w:spacing w:line="380" w:lineRule="exact"/>
        <w:ind w:firstLine="422" w:firstLineChars="200"/>
        <w:rPr>
          <w:rFonts w:ascii="宋体" w:cs="宋体"/>
          <w:color w:val="auto"/>
          <w:highlight w:val="none"/>
        </w:rPr>
      </w:pPr>
      <w:bookmarkStart w:id="342" w:name="_Toc418751799"/>
      <w:bookmarkStart w:id="343" w:name="_Toc406522223"/>
      <w:bookmarkStart w:id="344" w:name="_Toc256000183"/>
      <w:bookmarkStart w:id="345" w:name="_Toc522201733"/>
      <w:bookmarkStart w:id="346" w:name="_Toc497747181"/>
      <w:bookmarkStart w:id="347" w:name="_Toc418752245"/>
      <w:bookmarkStart w:id="348" w:name="_Toc497746784"/>
      <w:r>
        <w:rPr>
          <w:rFonts w:hint="eastAsia" w:ascii="宋体" w:cs="宋体"/>
          <w:color w:val="auto"/>
          <w:highlight w:val="none"/>
        </w:rPr>
        <w:t>2.2 发包人代表</w:t>
      </w:r>
      <w:bookmarkEnd w:id="342"/>
      <w:bookmarkEnd w:id="343"/>
      <w:bookmarkEnd w:id="344"/>
      <w:bookmarkEnd w:id="345"/>
      <w:bookmarkEnd w:id="346"/>
      <w:bookmarkEnd w:id="347"/>
      <w:bookmarkEnd w:id="348"/>
    </w:p>
    <w:p w14:paraId="7F7177D8">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发包人代表：</w:t>
      </w:r>
    </w:p>
    <w:p w14:paraId="2DE60EE7">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姓    名：</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67BD6D1F">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职    务：</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7F281BAD">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3F46EB5B">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1E8A452D">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4A8618F5">
      <w:pPr>
        <w:pStyle w:val="38"/>
        <w:spacing w:line="380" w:lineRule="exact"/>
        <w:rPr>
          <w:rFonts w:ascii="宋体" w:hAnsi="宋体" w:cs="宋体"/>
          <w:b/>
          <w:color w:val="auto"/>
          <w:sz w:val="21"/>
          <w:szCs w:val="21"/>
          <w:highlight w:val="none"/>
        </w:rPr>
      </w:pPr>
      <w:r>
        <w:rPr>
          <w:rFonts w:hint="eastAsia" w:ascii="宋体" w:hAnsi="宋体" w:cs="宋体"/>
          <w:color w:val="auto"/>
          <w:sz w:val="21"/>
          <w:szCs w:val="21"/>
          <w:highlight w:val="none"/>
        </w:rPr>
        <w:t>发包人对发包人代表的授权范围如下：</w:t>
      </w:r>
      <w:r>
        <w:rPr>
          <w:rFonts w:hint="eastAsia" w:ascii="宋体" w:hAnsi="宋体" w:cs="宋体"/>
          <w:color w:val="auto"/>
          <w:sz w:val="21"/>
          <w:szCs w:val="21"/>
          <w:highlight w:val="none"/>
          <w:u w:val="single"/>
        </w:rPr>
        <w:t>对工程进度、质量进行监督、办理中间交工工程验收手续，负责现场签证，解决由发包人授权处理的事宜</w:t>
      </w:r>
      <w:r>
        <w:rPr>
          <w:rFonts w:hint="eastAsia" w:ascii="宋体" w:hAnsi="宋体" w:cs="宋体"/>
          <w:color w:val="auto"/>
          <w:sz w:val="21"/>
          <w:szCs w:val="21"/>
          <w:highlight w:val="none"/>
        </w:rPr>
        <w:t>。</w:t>
      </w:r>
    </w:p>
    <w:p w14:paraId="43AA815F">
      <w:pPr>
        <w:pStyle w:val="31"/>
        <w:spacing w:line="380" w:lineRule="exact"/>
        <w:ind w:firstLine="422" w:firstLineChars="200"/>
        <w:rPr>
          <w:rFonts w:ascii="宋体" w:cs="宋体"/>
          <w:color w:val="auto"/>
          <w:highlight w:val="none"/>
        </w:rPr>
      </w:pPr>
      <w:bookmarkStart w:id="349" w:name="_Toc497746785"/>
      <w:bookmarkStart w:id="350" w:name="_Toc256000184"/>
      <w:bookmarkStart w:id="351" w:name="_Toc406522224"/>
      <w:bookmarkStart w:id="352" w:name="_Toc418751800"/>
      <w:bookmarkStart w:id="353" w:name="_Toc522201734"/>
      <w:bookmarkStart w:id="354" w:name="_Toc418752246"/>
      <w:bookmarkStart w:id="355" w:name="_Toc497747182"/>
      <w:r>
        <w:rPr>
          <w:rFonts w:hint="eastAsia" w:ascii="宋体" w:cs="宋体"/>
          <w:color w:val="auto"/>
          <w:highlight w:val="none"/>
        </w:rPr>
        <w:t>2.4 施工现场、施工条件和基础资料的提供</w:t>
      </w:r>
      <w:bookmarkEnd w:id="349"/>
      <w:bookmarkEnd w:id="350"/>
      <w:bookmarkEnd w:id="351"/>
      <w:bookmarkEnd w:id="352"/>
      <w:bookmarkEnd w:id="353"/>
      <w:bookmarkEnd w:id="354"/>
      <w:bookmarkEnd w:id="355"/>
    </w:p>
    <w:p w14:paraId="035F40ED">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2.4.1 提供施工现场</w:t>
      </w:r>
    </w:p>
    <w:p w14:paraId="21D2FC53">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关于发包人移交施工现场的期限要求：</w:t>
      </w:r>
      <w:r>
        <w:rPr>
          <w:rFonts w:hint="eastAsia" w:ascii="宋体" w:hAnsi="宋体" w:cs="宋体"/>
          <w:color w:val="auto"/>
          <w:sz w:val="21"/>
          <w:szCs w:val="21"/>
          <w:highlight w:val="none"/>
          <w:u w:val="single"/>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cs="宋体"/>
          <w:color w:val="auto"/>
          <w:sz w:val="21"/>
          <w:szCs w:val="21"/>
          <w:highlight w:val="none"/>
        </w:rPr>
        <w:t>。</w:t>
      </w:r>
    </w:p>
    <w:p w14:paraId="298EF1D4">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2.4.2 提供施工条件</w:t>
      </w:r>
    </w:p>
    <w:p w14:paraId="378DF041">
      <w:pPr>
        <w:pStyle w:val="38"/>
        <w:spacing w:line="380" w:lineRule="exact"/>
        <w:rPr>
          <w:rFonts w:ascii="宋体" w:hAnsi="宋体" w:cs="宋体"/>
          <w:color w:val="auto"/>
          <w:sz w:val="21"/>
          <w:szCs w:val="21"/>
          <w:highlight w:val="none"/>
          <w:u w:val="single"/>
        </w:rPr>
      </w:pPr>
      <w:r>
        <w:rPr>
          <w:rFonts w:hint="eastAsia" w:ascii="宋体" w:hAnsi="宋体" w:cs="宋体"/>
          <w:color w:val="auto"/>
          <w:sz w:val="21"/>
          <w:szCs w:val="21"/>
          <w:highlight w:val="none"/>
        </w:rPr>
        <w:t>关于发包人应负责提供施工所需要的条件，包括：</w:t>
      </w:r>
      <w:r>
        <w:rPr>
          <w:rFonts w:hint="eastAsia" w:ascii="宋体" w:hAnsi="宋体" w:cs="宋体"/>
          <w:color w:val="auto"/>
          <w:sz w:val="21"/>
          <w:szCs w:val="21"/>
          <w:highlight w:val="none"/>
          <w:u w:val="single"/>
        </w:rPr>
        <w:t>发包人可配合承包人办理开工所需手续及相关申请，费用由承包人自行解决，施工场地与公共道路的通道，由承包人负责实施，费用已包含在合同价中</w:t>
      </w:r>
      <w:r>
        <w:rPr>
          <w:rFonts w:hint="eastAsia" w:ascii="宋体" w:hAnsi="宋体" w:cs="宋体"/>
          <w:color w:val="auto"/>
          <w:sz w:val="21"/>
          <w:szCs w:val="21"/>
          <w:highlight w:val="none"/>
        </w:rPr>
        <w:t>。</w:t>
      </w:r>
    </w:p>
    <w:p w14:paraId="23F0F9A8">
      <w:pPr>
        <w:pStyle w:val="31"/>
        <w:spacing w:line="380" w:lineRule="exact"/>
        <w:ind w:firstLine="422" w:firstLineChars="200"/>
        <w:rPr>
          <w:rFonts w:ascii="宋体" w:cs="宋体"/>
          <w:color w:val="auto"/>
          <w:highlight w:val="none"/>
        </w:rPr>
      </w:pPr>
      <w:bookmarkStart w:id="356" w:name="_Toc497746786"/>
      <w:bookmarkStart w:id="357" w:name="_Toc406522225"/>
      <w:bookmarkStart w:id="358" w:name="_Toc418751801"/>
      <w:bookmarkStart w:id="359" w:name="_Toc418752247"/>
      <w:bookmarkStart w:id="360" w:name="_Toc256000185"/>
      <w:bookmarkStart w:id="361" w:name="_Toc497747183"/>
      <w:bookmarkStart w:id="362" w:name="_Toc522201735"/>
      <w:r>
        <w:rPr>
          <w:rFonts w:hint="eastAsia" w:ascii="宋体" w:cs="宋体"/>
          <w:color w:val="auto"/>
          <w:highlight w:val="none"/>
        </w:rPr>
        <w:t>2.5 资金来源证明及支付担保</w:t>
      </w:r>
      <w:bookmarkEnd w:id="356"/>
      <w:bookmarkEnd w:id="357"/>
      <w:bookmarkEnd w:id="358"/>
      <w:bookmarkEnd w:id="359"/>
      <w:bookmarkEnd w:id="360"/>
      <w:bookmarkEnd w:id="361"/>
      <w:bookmarkEnd w:id="362"/>
    </w:p>
    <w:p w14:paraId="33B1973B">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发包人提供资金来源证明的期限要求：</w:t>
      </w:r>
      <w:r>
        <w:rPr>
          <w:rFonts w:hint="eastAsia" w:ascii="宋体" w:hAnsi="宋体" w:cs="宋体"/>
          <w:color w:val="auto"/>
          <w:sz w:val="21"/>
          <w:szCs w:val="21"/>
          <w:highlight w:val="none"/>
          <w:u w:val="single"/>
        </w:rPr>
        <w:t xml:space="preserve"> 无 </w:t>
      </w:r>
      <w:r>
        <w:rPr>
          <w:rFonts w:hint="eastAsia" w:ascii="宋体" w:hAnsi="宋体" w:cs="宋体"/>
          <w:color w:val="auto"/>
          <w:sz w:val="21"/>
          <w:szCs w:val="21"/>
          <w:highlight w:val="none"/>
        </w:rPr>
        <w:t>。</w:t>
      </w:r>
    </w:p>
    <w:p w14:paraId="2010CB2F">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发包人是否提供支付担保：</w:t>
      </w:r>
      <w:r>
        <w:rPr>
          <w:rFonts w:hint="eastAsia" w:ascii="宋体" w:hAnsi="宋体" w:cs="宋体"/>
          <w:color w:val="auto"/>
          <w:sz w:val="21"/>
          <w:szCs w:val="21"/>
          <w:highlight w:val="none"/>
          <w:u w:val="single"/>
        </w:rPr>
        <w:t xml:space="preserve">    否　　　   </w:t>
      </w:r>
      <w:r>
        <w:rPr>
          <w:rFonts w:hint="eastAsia" w:ascii="宋体" w:hAnsi="宋体" w:cs="宋体"/>
          <w:color w:val="auto"/>
          <w:sz w:val="21"/>
          <w:szCs w:val="21"/>
          <w:highlight w:val="none"/>
        </w:rPr>
        <w:t>。</w:t>
      </w:r>
    </w:p>
    <w:p w14:paraId="7B509516">
      <w:pPr>
        <w:pStyle w:val="38"/>
        <w:spacing w:line="380" w:lineRule="exact"/>
        <w:rPr>
          <w:rFonts w:ascii="宋体" w:hAnsi="宋体" w:cs="宋体"/>
          <w:color w:val="auto"/>
          <w:highlight w:val="none"/>
          <w:u w:val="single"/>
        </w:rPr>
      </w:pPr>
      <w:r>
        <w:rPr>
          <w:rFonts w:hint="eastAsia" w:ascii="宋体" w:hAnsi="宋体" w:cs="宋体"/>
          <w:color w:val="auto"/>
          <w:sz w:val="21"/>
          <w:szCs w:val="21"/>
          <w:highlight w:val="none"/>
        </w:rPr>
        <w:t>发包人提供支付担保的形式：</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787C9305">
      <w:pPr>
        <w:pStyle w:val="31"/>
        <w:spacing w:line="380" w:lineRule="exact"/>
        <w:rPr>
          <w:rFonts w:ascii="宋体" w:cs="宋体"/>
          <w:color w:val="auto"/>
          <w:highlight w:val="none"/>
        </w:rPr>
      </w:pPr>
      <w:bookmarkStart w:id="363" w:name="_Toc497747184"/>
      <w:bookmarkStart w:id="364" w:name="_Toc351203635"/>
      <w:bookmarkStart w:id="365" w:name="_Toc256000186"/>
      <w:bookmarkStart w:id="366" w:name="_Toc522201736"/>
      <w:bookmarkStart w:id="367" w:name="_Toc418752248"/>
      <w:bookmarkStart w:id="368" w:name="_Toc418751802"/>
      <w:bookmarkStart w:id="369" w:name="_Toc406522226"/>
      <w:bookmarkStart w:id="370" w:name="_Toc497746787"/>
      <w:r>
        <w:rPr>
          <w:rFonts w:hint="eastAsia" w:ascii="宋体" w:cs="宋体"/>
          <w:color w:val="auto"/>
          <w:highlight w:val="none"/>
        </w:rPr>
        <w:t>3</w:t>
      </w:r>
      <w:bookmarkStart w:id="371" w:name="_Toc296891198"/>
      <w:bookmarkStart w:id="372" w:name="_Toc296503158"/>
      <w:bookmarkStart w:id="373" w:name="_Toc297120458"/>
      <w:bookmarkStart w:id="374" w:name="_Toc296347157"/>
      <w:bookmarkStart w:id="375" w:name="_Toc292559868"/>
      <w:bookmarkStart w:id="376" w:name="_Toc297048344"/>
      <w:bookmarkStart w:id="377" w:name="_Toc292559363"/>
      <w:bookmarkStart w:id="378" w:name="_Toc296346659"/>
      <w:bookmarkStart w:id="379" w:name="_Toc296890986"/>
      <w:bookmarkStart w:id="380" w:name="_Toc296944497"/>
      <w:r>
        <w:rPr>
          <w:rFonts w:hint="eastAsia" w:ascii="宋体" w:cs="宋体"/>
          <w:color w:val="auto"/>
          <w:highlight w:val="none"/>
        </w:rPr>
        <w:t>. 承包人</w:t>
      </w:r>
      <w:bookmarkEnd w:id="363"/>
      <w:bookmarkEnd w:id="364"/>
      <w:bookmarkEnd w:id="365"/>
      <w:bookmarkEnd w:id="366"/>
      <w:bookmarkEnd w:id="367"/>
      <w:bookmarkEnd w:id="368"/>
      <w:bookmarkEnd w:id="369"/>
      <w:bookmarkEnd w:id="370"/>
    </w:p>
    <w:bookmarkEnd w:id="371"/>
    <w:bookmarkEnd w:id="372"/>
    <w:bookmarkEnd w:id="373"/>
    <w:bookmarkEnd w:id="374"/>
    <w:bookmarkEnd w:id="375"/>
    <w:bookmarkEnd w:id="376"/>
    <w:bookmarkEnd w:id="377"/>
    <w:bookmarkEnd w:id="378"/>
    <w:bookmarkEnd w:id="379"/>
    <w:bookmarkEnd w:id="380"/>
    <w:p w14:paraId="66E4FF34">
      <w:pPr>
        <w:pStyle w:val="31"/>
        <w:spacing w:line="380" w:lineRule="exact"/>
        <w:ind w:firstLine="422" w:firstLineChars="200"/>
        <w:rPr>
          <w:rFonts w:ascii="宋体" w:cs="宋体"/>
          <w:color w:val="auto"/>
          <w:highlight w:val="none"/>
        </w:rPr>
      </w:pPr>
      <w:bookmarkStart w:id="381" w:name="_Toc418751803"/>
      <w:bookmarkStart w:id="382" w:name="_Toc418752249"/>
      <w:bookmarkStart w:id="383" w:name="_Toc497746788"/>
      <w:bookmarkStart w:id="384" w:name="_Toc522201737"/>
      <w:bookmarkStart w:id="385" w:name="_Toc406522227"/>
      <w:bookmarkStart w:id="386" w:name="_Toc497747185"/>
      <w:bookmarkStart w:id="387" w:name="_Toc256000187"/>
      <w:r>
        <w:rPr>
          <w:rFonts w:hint="eastAsia" w:ascii="宋体" w:cs="宋体"/>
          <w:color w:val="auto"/>
          <w:highlight w:val="none"/>
        </w:rPr>
        <w:t>3.1 承包人的一般义务</w:t>
      </w:r>
      <w:bookmarkEnd w:id="381"/>
      <w:bookmarkEnd w:id="382"/>
      <w:bookmarkEnd w:id="383"/>
      <w:bookmarkEnd w:id="384"/>
      <w:bookmarkEnd w:id="385"/>
      <w:bookmarkEnd w:id="386"/>
      <w:bookmarkEnd w:id="387"/>
    </w:p>
    <w:p w14:paraId="080EDB74">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工程具备竣工验收条件，承包人按工程竣工验收有关规定，向发包人提交符合《建设工程文件归档整理规范》内容</w:t>
      </w:r>
      <w:r>
        <w:rPr>
          <w:rFonts w:hint="eastAsia" w:ascii="宋体" w:hAnsi="宋体" w:cs="宋体"/>
          <w:strike w:val="0"/>
          <w:color w:val="auto"/>
          <w:szCs w:val="21"/>
          <w:highlight w:val="none"/>
          <w:u w:val="single"/>
        </w:rPr>
        <w:t>装订成册</w:t>
      </w:r>
      <w:r>
        <w:rPr>
          <w:rFonts w:hint="eastAsia" w:ascii="宋体" w:hAnsi="宋体" w:cs="宋体"/>
          <w:color w:val="auto"/>
          <w:szCs w:val="21"/>
          <w:highlight w:val="none"/>
          <w:u w:val="single"/>
        </w:rPr>
        <w:t>的完整竣工竣工图</w:t>
      </w:r>
      <w:r>
        <w:rPr>
          <w:rFonts w:hint="eastAsia" w:ascii="宋体" w:hAnsi="宋体" w:cs="宋体"/>
          <w:color w:val="auto"/>
          <w:szCs w:val="21"/>
          <w:highlight w:val="none"/>
        </w:rPr>
        <w:t>。</w:t>
      </w:r>
    </w:p>
    <w:p w14:paraId="3BE1B719">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承包人需要提交的竣工资料套数：</w:t>
      </w:r>
      <w:r>
        <w:rPr>
          <w:rFonts w:hint="eastAsia" w:ascii="宋体" w:hAnsi="宋体" w:cs="宋体"/>
          <w:color w:val="auto"/>
          <w:szCs w:val="21"/>
          <w:highlight w:val="none"/>
          <w:u w:val="single"/>
        </w:rPr>
        <w:t xml:space="preserve">  承包人向发包人提交竣工档案份数为一式四份；备案资料一式两份；建设工程质量监督档案一式两份  </w:t>
      </w:r>
      <w:r>
        <w:rPr>
          <w:rFonts w:hint="eastAsia" w:ascii="宋体" w:hAnsi="宋体" w:cs="宋体"/>
          <w:color w:val="auto"/>
          <w:szCs w:val="21"/>
          <w:highlight w:val="none"/>
        </w:rPr>
        <w:t>。</w:t>
      </w:r>
    </w:p>
    <w:p w14:paraId="534B19D1">
      <w:pPr>
        <w:pStyle w:val="33"/>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承包人提交的竣工资料的费用承担：</w:t>
      </w:r>
      <w:r>
        <w:rPr>
          <w:rFonts w:hint="eastAsia" w:ascii="宋体" w:hAnsi="宋体" w:cs="宋体"/>
          <w:color w:val="auto"/>
          <w:szCs w:val="21"/>
          <w:highlight w:val="none"/>
          <w:u w:val="single"/>
        </w:rPr>
        <w:t xml:space="preserve">  由承包人承担相关费用 </w:t>
      </w:r>
      <w:r>
        <w:rPr>
          <w:rFonts w:hint="eastAsia" w:ascii="宋体" w:hAnsi="宋体" w:cs="宋体"/>
          <w:color w:val="auto"/>
          <w:szCs w:val="21"/>
          <w:highlight w:val="none"/>
        </w:rPr>
        <w:t>。</w:t>
      </w:r>
    </w:p>
    <w:p w14:paraId="40579A72">
      <w:pPr>
        <w:pStyle w:val="33"/>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承包人提交的竣工资料移交时间：</w:t>
      </w:r>
      <w:r>
        <w:rPr>
          <w:rFonts w:hint="eastAsia" w:ascii="宋体" w:hAnsi="宋体" w:cs="宋体"/>
          <w:color w:val="auto"/>
          <w:szCs w:val="21"/>
          <w:highlight w:val="none"/>
          <w:u w:val="single"/>
        </w:rPr>
        <w:t xml:space="preserve">  工程竣工验收合格后30天内  </w:t>
      </w:r>
      <w:r>
        <w:rPr>
          <w:rFonts w:hint="eastAsia" w:ascii="宋体" w:hAnsi="宋体" w:cs="宋体"/>
          <w:color w:val="auto"/>
          <w:szCs w:val="21"/>
          <w:highlight w:val="none"/>
        </w:rPr>
        <w:t>。</w:t>
      </w:r>
    </w:p>
    <w:p w14:paraId="30CFF4E6">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承包人提交的竣工资料形式要求：</w:t>
      </w:r>
      <w:r>
        <w:rPr>
          <w:rFonts w:hint="eastAsia" w:ascii="宋体" w:hAnsi="宋体" w:cs="宋体"/>
          <w:color w:val="auto"/>
          <w:szCs w:val="21"/>
          <w:highlight w:val="none"/>
          <w:u w:val="single"/>
        </w:rPr>
        <w:t>竣工档案（竣工档案的内容：施工单位竣工验收文件、施工文件、竣工图（按城市建设档案馆要求整理，相关费用由承包人承担）、备案资料（应由承包人提供的部分按桂林市住建局要求整理）、建设工程质量监督档案（应由承包人提供的部分按桂林市建设工程质量监督管理站要求整理）</w:t>
      </w:r>
      <w:r>
        <w:rPr>
          <w:rFonts w:hint="eastAsia" w:ascii="宋体" w:hAnsi="宋体" w:cs="宋体"/>
          <w:color w:val="auto"/>
          <w:szCs w:val="21"/>
          <w:highlight w:val="none"/>
        </w:rPr>
        <w:t>。</w:t>
      </w:r>
    </w:p>
    <w:p w14:paraId="145335D7">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（10）承包人应履行的其他义务：</w:t>
      </w:r>
      <w:r>
        <w:rPr>
          <w:rFonts w:hint="eastAsia" w:ascii="宋体" w:hAnsi="宋体" w:cs="宋体"/>
          <w:color w:val="auto"/>
          <w:szCs w:val="21"/>
          <w:highlight w:val="none"/>
          <w:u w:val="single"/>
        </w:rPr>
        <w:t>①施工用水、用电按表计量，费用由承包人承担，由承包人指派专人配合发包人的计量工作，水费及电费按发包人要求进行交付；单位工程内其他单位用水、用电由承包人与相关用水、用电单位协商解决。②本工程在施工过程中如存在多个施工单位同时作业时，承包人必须顾全大局、相互协作、密切配合，严格服从发包人和监理单位的协调指挥；承包人须积极协调解决施工过程中存在的各类问题，处理好与相邻施工单位的施工接口关系，否则，发包人有权要求承包人整改或另行指定其他单位来完成相关配合工作，其发生的费用从承包人的工程进度款中扣除，且并不需要承包人同意。承包人应始终采取各种合理的预防措施，对于存在的问题及时反映，对于需要发包人协调解决的问题，要提前提出，否则，由此所造成的损失由承包人承担 。③承包人负责办理施工有关的交通特别通告证、有害污水、环卫、环保和噪音等审批手续，并承担费用，如因承包人未交纳相关费用，发包人有权从工程款中扣除用于支付相关费用并计入结算。承包人负责满足施工期间政府职能部门对工地消防设施有关要求，并承担相关费用。④承包人应负责协调解决本项目当地居民对工程施工的人为干扰，施工机械进出、材料运输如需通过村道及村民土地；承包人应当协调与施工现场周边农村及村民的关系，并承担相关费用，确保项目施工顺利进行。⑤承包人应始终采取各种合理的预防措施，防止承包人员或其内部发生任何非法的、骚动的或无序的行为，以保持安定，保护现场及第三人的财产和人身安全。⑥为发包人依法发包的专业工程承包商提供总承包管理与协调服务，并为专业工程承包商提供一切施工方便。为发包人和监理人在施工现场提供必要的办公室和办公桌椅等设备。⑦按建设行政主管部门有关规定配合发包人其他工程的施工等。⑧施工期间和施工完毕后，均应及时对施工场地和为其施工提供的公共道路进行保洁、维护以及维修，产生的垃圾和被破坏的场地，必须遵照监理人和发包人的指示进行清理、修复，并根据实际情况将场地恢复到原有状态，费用自理。⑨由于本工程施工现场为居民区，承包人应合理安排施工时间，确保做到不影响周边居民的正常生活，对居民的合理意见应积极整改，确保工程顺利进行。⑩配合发包人做好安全文明工程、领导检查、宣传等工作。以上相关费用均由承包人承担，并在投标报价清单中综合考虑，不再另计。</w:t>
      </w:r>
      <w:r>
        <w:rPr>
          <w:rFonts w:ascii="Cambria Math" w:hAnsi="Cambria Math" w:cs="Cambria Math"/>
          <w:color w:val="auto"/>
          <w:szCs w:val="21"/>
          <w:highlight w:val="none"/>
          <w:u w:val="single"/>
        </w:rPr>
        <w:t>⑪</w:t>
      </w:r>
      <w:r>
        <w:rPr>
          <w:rFonts w:hint="eastAsia" w:ascii="宋体" w:hAnsi="宋体" w:cs="宋体"/>
          <w:color w:val="auto"/>
          <w:szCs w:val="21"/>
          <w:highlight w:val="none"/>
          <w:u w:val="single"/>
        </w:rPr>
        <w:t>承包人在工程施工期间由于承包人原因引起的责任事故，全部由承包人承担经济责任和法律责任。</w:t>
      </w:r>
      <w:r>
        <w:rPr>
          <w:rFonts w:ascii="Cambria Math" w:hAnsi="Cambria Math" w:cs="Cambria Math"/>
          <w:color w:val="auto"/>
          <w:szCs w:val="21"/>
          <w:highlight w:val="none"/>
          <w:u w:val="single"/>
        </w:rPr>
        <w:t>⑫</w:t>
      </w:r>
      <w:r>
        <w:rPr>
          <w:rFonts w:hint="eastAsia" w:ascii="宋体" w:hAnsi="宋体" w:cs="宋体"/>
          <w:color w:val="auto"/>
          <w:szCs w:val="21"/>
          <w:highlight w:val="none"/>
          <w:u w:val="single"/>
        </w:rPr>
        <w:t>满足国家、行业、控制标准和验收规范，在质量管理过程中达到或超过质量标准，杜绝重大设备一般及以上质量事故，确保工程无永久性缺陷。</w:t>
      </w:r>
    </w:p>
    <w:p w14:paraId="15F34343">
      <w:pPr>
        <w:pStyle w:val="31"/>
        <w:spacing w:line="380" w:lineRule="exact"/>
        <w:ind w:firstLine="422" w:firstLineChars="200"/>
        <w:rPr>
          <w:rFonts w:ascii="宋体" w:cs="宋体"/>
          <w:color w:val="auto"/>
          <w:highlight w:val="none"/>
        </w:rPr>
      </w:pPr>
      <w:bookmarkStart w:id="388" w:name="_Toc403578942"/>
      <w:bookmarkStart w:id="389" w:name="_Toc497747186"/>
      <w:bookmarkStart w:id="390" w:name="_Toc418518118"/>
      <w:bookmarkStart w:id="391" w:name="_Toc418751804"/>
      <w:bookmarkStart w:id="392" w:name="_Toc418061319"/>
      <w:bookmarkStart w:id="393" w:name="_Toc256000188"/>
      <w:bookmarkStart w:id="394" w:name="_Toc373227708"/>
      <w:bookmarkStart w:id="395" w:name="_Toc418752250"/>
      <w:bookmarkStart w:id="396" w:name="_Toc497746789"/>
      <w:bookmarkStart w:id="397" w:name="_Toc418518354"/>
      <w:bookmarkStart w:id="398" w:name="_Toc373478355"/>
      <w:bookmarkStart w:id="399" w:name="_Toc389065274"/>
      <w:bookmarkStart w:id="400" w:name="_Toc522201738"/>
      <w:r>
        <w:rPr>
          <w:rFonts w:hint="eastAsia" w:ascii="宋体" w:cs="宋体"/>
          <w:color w:val="auto"/>
          <w:highlight w:val="none"/>
        </w:rPr>
        <w:t>3.2 项目经理</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2170B5CD">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 xml:space="preserve">3.2.1 </w:t>
      </w:r>
      <w:r>
        <w:rPr>
          <w:rFonts w:hint="eastAsia" w:ascii="宋体" w:hAnsi="宋体" w:cs="宋体"/>
          <w:color w:val="auto"/>
          <w:szCs w:val="21"/>
          <w:highlight w:val="none"/>
        </w:rPr>
        <w:t>项目经理：</w:t>
      </w:r>
    </w:p>
    <w:p w14:paraId="07EBA04B">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BBA918">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17E10F8">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建造师执业资格等级：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CC7702">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3126179">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建造师执业印章号：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0F1025">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安全生产考核合格证书号：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541E5DE">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BA57716">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929DE1E">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65F61B4">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承包人对项目经理的授权范围如下： </w:t>
      </w:r>
      <w:r>
        <w:rPr>
          <w:rFonts w:hint="eastAsia" w:ascii="宋体" w:hAnsi="宋体" w:cs="宋体"/>
          <w:color w:val="auto"/>
          <w:szCs w:val="21"/>
          <w:highlight w:val="none"/>
          <w:u w:val="single"/>
        </w:rPr>
        <w:t>（1）对本工程的建设进行全面管理，行使合同约定的权利，履行合同约定的义务；（2）负责本工程的施工组织方案制定和施工组织设计；（3）负责本工程的劳动力组织和机械设备组织；（4）经发包人同意分包的专业工程，项目经理参与选择并使用具有相应资质的分包人； （5）合同约定由承包人采购的材料、工程设备，项目经理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但未经承包人盖章同意不得以承包人名义向外融资、 采购材料设备、 租用建筑周转材料、 雇佣劳动力、签订分包合同等从事一切为承包人设立义务或责任的行为</w:t>
      </w:r>
      <w:r>
        <w:rPr>
          <w:rFonts w:hint="eastAsia" w:ascii="宋体" w:hAnsi="宋体" w:cs="宋体"/>
          <w:color w:val="auto"/>
          <w:szCs w:val="21"/>
          <w:highlight w:val="none"/>
        </w:rPr>
        <w:t>。</w:t>
      </w:r>
    </w:p>
    <w:p w14:paraId="2B2B52FE">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关于项目经理每月在施工现场的时间要求：</w:t>
      </w:r>
      <w:r>
        <w:rPr>
          <w:rFonts w:hint="eastAsia" w:ascii="宋体" w:hAnsi="宋体" w:cs="宋体"/>
          <w:color w:val="auto"/>
          <w:szCs w:val="21"/>
          <w:highlight w:val="none"/>
          <w:u w:val="single"/>
        </w:rPr>
        <w:t xml:space="preserve">  不少于22个工作日,若项目经理每月在岗时间少于22个工作日，发包人有权更换项目经理，由此造成的一切损失由承包人承担</w:t>
      </w:r>
      <w:r>
        <w:rPr>
          <w:rFonts w:hint="eastAsia" w:ascii="宋体" w:hAnsi="宋体" w:cs="宋体"/>
          <w:color w:val="auto"/>
          <w:szCs w:val="21"/>
          <w:highlight w:val="none"/>
        </w:rPr>
        <w:t>。</w:t>
      </w:r>
    </w:p>
    <w:p w14:paraId="525E10AE">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承包人不提交上述文件的，项目经理无权履行职责，发包人有权要求更换项目经理，由此增加的费用和延误的工期由承包人承担</w:t>
      </w:r>
      <w:r>
        <w:rPr>
          <w:rFonts w:hint="eastAsia" w:ascii="宋体" w:hAnsi="宋体" w:cs="宋体"/>
          <w:color w:val="auto"/>
          <w:szCs w:val="21"/>
          <w:highlight w:val="none"/>
        </w:rPr>
        <w:t>。</w:t>
      </w:r>
    </w:p>
    <w:p w14:paraId="56827241">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项目经理每月在岗带班时间不得少于22天。未经发包人同意或正当理由，项目经理每月在岗带班时间少于22天的，少在岗带班一天，发包人有权处违约金 500元/日（人民币）</w:t>
      </w:r>
      <w:r>
        <w:rPr>
          <w:rFonts w:hint="eastAsia" w:ascii="宋体" w:hAnsi="宋体" w:cs="宋体"/>
          <w:color w:val="auto"/>
          <w:szCs w:val="21"/>
          <w:highlight w:val="none"/>
        </w:rPr>
        <w:t>。</w:t>
      </w:r>
    </w:p>
    <w:p w14:paraId="3844B3A2">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10000元/人•次（人民币）</w:t>
      </w:r>
      <w:r>
        <w:rPr>
          <w:rFonts w:hint="eastAsia" w:ascii="宋体" w:hAnsi="宋体" w:cs="宋体"/>
          <w:color w:val="auto"/>
          <w:szCs w:val="21"/>
          <w:highlight w:val="none"/>
        </w:rPr>
        <w:t>。</w:t>
      </w:r>
    </w:p>
    <w:p w14:paraId="20BD54E0">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承包人无正当理由拒绝更换项目经理的违约责任：</w:t>
      </w:r>
      <w:r>
        <w:rPr>
          <w:rFonts w:hint="eastAsia" w:ascii="宋体" w:hAnsi="宋体" w:cs="宋体"/>
          <w:color w:val="auto"/>
          <w:szCs w:val="21"/>
          <w:highlight w:val="none"/>
          <w:u w:val="single"/>
        </w:rPr>
        <w:t>因承包人项目经理不称职，发包人要求调换而未及时调换的，视为承包人违约，必须向发包人交纳处罚金5000元/人•次（人民币）</w:t>
      </w:r>
      <w:r>
        <w:rPr>
          <w:rFonts w:hint="eastAsia" w:ascii="宋体" w:hAnsi="宋体" w:cs="宋体"/>
          <w:color w:val="auto"/>
          <w:szCs w:val="21"/>
          <w:highlight w:val="none"/>
        </w:rPr>
        <w:t>。</w:t>
      </w:r>
    </w:p>
    <w:p w14:paraId="6E988230">
      <w:pPr>
        <w:pStyle w:val="31"/>
        <w:spacing w:line="380" w:lineRule="exact"/>
        <w:ind w:firstLine="422" w:firstLineChars="200"/>
        <w:rPr>
          <w:rFonts w:ascii="宋体" w:cs="宋体"/>
          <w:color w:val="auto"/>
          <w:highlight w:val="none"/>
        </w:rPr>
      </w:pPr>
      <w:bookmarkStart w:id="401" w:name="_Toc418518119"/>
      <w:bookmarkStart w:id="402" w:name="_Toc389065275"/>
      <w:bookmarkStart w:id="403" w:name="_Toc418751805"/>
      <w:bookmarkStart w:id="404" w:name="_Toc497747187"/>
      <w:bookmarkStart w:id="405" w:name="_Toc418752251"/>
      <w:bookmarkStart w:id="406" w:name="_Toc522201739"/>
      <w:bookmarkStart w:id="407" w:name="_Toc403578943"/>
      <w:bookmarkStart w:id="408" w:name="_Toc256000189"/>
      <w:bookmarkStart w:id="409" w:name="_Toc418518355"/>
      <w:bookmarkStart w:id="410" w:name="_Toc373478356"/>
      <w:bookmarkStart w:id="411" w:name="_Toc373227709"/>
      <w:bookmarkStart w:id="412" w:name="_Toc497746790"/>
      <w:bookmarkStart w:id="413" w:name="_Toc418061320"/>
      <w:r>
        <w:rPr>
          <w:rFonts w:hint="eastAsia" w:ascii="宋体" w:cs="宋体"/>
          <w:color w:val="auto"/>
          <w:highlight w:val="none"/>
        </w:rPr>
        <w:t>3.3 承包人人员</w:t>
      </w:r>
      <w:bookmarkEnd w:id="401"/>
      <w:bookmarkEnd w:id="402"/>
      <w:bookmarkEnd w:id="403"/>
      <w:bookmarkEnd w:id="404"/>
      <w:bookmarkEnd w:id="405"/>
      <w:bookmarkEnd w:id="406"/>
      <w:bookmarkEnd w:id="407"/>
      <w:bookmarkEnd w:id="408"/>
      <w:bookmarkEnd w:id="409"/>
      <w:bookmarkEnd w:id="410"/>
      <w:bookmarkEnd w:id="411"/>
      <w:bookmarkEnd w:id="412"/>
      <w:bookmarkEnd w:id="413"/>
    </w:p>
    <w:p w14:paraId="54457470">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承包人提交项目管理机构及施工现场管理人员安排报告（格式见合同附件6）的期限：</w:t>
      </w:r>
      <w:r>
        <w:rPr>
          <w:rFonts w:hint="eastAsia" w:ascii="宋体" w:hAnsi="宋体" w:cs="宋体"/>
          <w:color w:val="auto"/>
          <w:szCs w:val="21"/>
          <w:highlight w:val="none"/>
          <w:u w:val="single"/>
        </w:rPr>
        <w:t>开工前7日内</w:t>
      </w:r>
      <w:r>
        <w:rPr>
          <w:rFonts w:hint="eastAsia" w:ascii="宋体" w:hAnsi="宋体" w:cs="宋体"/>
          <w:color w:val="auto"/>
          <w:szCs w:val="21"/>
          <w:highlight w:val="none"/>
        </w:rPr>
        <w:t>。</w:t>
      </w:r>
    </w:p>
    <w:p w14:paraId="26F54F90">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szCs w:val="21"/>
          <w:highlight w:val="none"/>
          <w:u w:val="single"/>
        </w:rPr>
        <w:t>因承包人主要施工管理人员不称职，发包人要求调换而无正当理由拒绝撤换或未及时调换的，视为承包人违约，必须向发包人交纳处罚金，处罚标准：技术负责人3000元/人•次（人民币）；专业工程师1000元/人•次（人民币）</w:t>
      </w:r>
      <w:r>
        <w:rPr>
          <w:rFonts w:hint="eastAsia" w:ascii="宋体" w:hAnsi="宋体" w:cs="宋体"/>
          <w:color w:val="auto"/>
          <w:szCs w:val="21"/>
          <w:highlight w:val="none"/>
        </w:rPr>
        <w:t>。</w:t>
      </w:r>
    </w:p>
    <w:p w14:paraId="2E94262F">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经建设单位及监理单位批准同意后</w:t>
      </w:r>
      <w:r>
        <w:rPr>
          <w:rFonts w:hint="eastAsia" w:ascii="宋体" w:hAnsi="宋体" w:cs="宋体"/>
          <w:color w:val="auto"/>
          <w:szCs w:val="21"/>
          <w:highlight w:val="none"/>
        </w:rPr>
        <w:t>。</w:t>
      </w:r>
    </w:p>
    <w:p w14:paraId="55244F4F">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szCs w:val="21"/>
          <w:highlight w:val="none"/>
          <w:u w:val="single"/>
        </w:rPr>
        <w:t>项目技术负责人、专职安全员及其承诺的其它在场管理人员未经发包人书面同意不准擅自更换，擅自更换项目技术负责人处 3000元/人•次（人民币）违约金；擅自更换专职安全员处1000元/人•次（人民币）违约金；擅自更换其它在场管理人员处500元/人•次（人民币）违约金</w:t>
      </w:r>
      <w:r>
        <w:rPr>
          <w:rFonts w:hint="eastAsia" w:ascii="宋体" w:hAnsi="宋体" w:cs="宋体"/>
          <w:color w:val="auto"/>
          <w:szCs w:val="21"/>
          <w:highlight w:val="none"/>
        </w:rPr>
        <w:t>。</w:t>
      </w:r>
    </w:p>
    <w:p w14:paraId="133F18B7">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300元/人•次（人民币）</w:t>
      </w:r>
      <w:r>
        <w:rPr>
          <w:rFonts w:hint="eastAsia" w:ascii="宋体" w:hAnsi="宋体" w:cs="宋体"/>
          <w:color w:val="auto"/>
          <w:szCs w:val="21"/>
          <w:highlight w:val="none"/>
        </w:rPr>
        <w:t>。</w:t>
      </w:r>
    </w:p>
    <w:p w14:paraId="071B1DD1">
      <w:pPr>
        <w:pStyle w:val="31"/>
        <w:spacing w:line="380" w:lineRule="exact"/>
        <w:ind w:firstLine="422" w:firstLineChars="200"/>
        <w:rPr>
          <w:rFonts w:ascii="宋体" w:cs="宋体"/>
          <w:color w:val="auto"/>
          <w:highlight w:val="none"/>
        </w:rPr>
      </w:pPr>
      <w:bookmarkStart w:id="414" w:name="_Toc418751806"/>
      <w:bookmarkStart w:id="415" w:name="_Toc389065276"/>
      <w:bookmarkStart w:id="416" w:name="_Toc418518356"/>
      <w:bookmarkStart w:id="417" w:name="_Toc373227710"/>
      <w:bookmarkStart w:id="418" w:name="_Toc418752252"/>
      <w:bookmarkStart w:id="419" w:name="_Toc373478357"/>
      <w:bookmarkStart w:id="420" w:name="_Toc497747188"/>
      <w:bookmarkStart w:id="421" w:name="_Toc418061321"/>
      <w:bookmarkStart w:id="422" w:name="_Toc497746791"/>
      <w:bookmarkStart w:id="423" w:name="_Toc418518120"/>
      <w:bookmarkStart w:id="424" w:name="_Toc522201740"/>
      <w:bookmarkStart w:id="425" w:name="_Toc403578944"/>
      <w:bookmarkStart w:id="426" w:name="_Toc256000190"/>
      <w:r>
        <w:rPr>
          <w:rFonts w:hint="eastAsia" w:ascii="宋体" w:cs="宋体"/>
          <w:color w:val="auto"/>
          <w:highlight w:val="none"/>
        </w:rPr>
        <w:t>3</w:t>
      </w:r>
      <w:bookmarkStart w:id="427" w:name="_Toc297048345"/>
      <w:bookmarkStart w:id="428" w:name="_Toc296944498"/>
      <w:bookmarkStart w:id="429" w:name="_Toc296346660"/>
      <w:bookmarkStart w:id="430" w:name="_Toc296347158"/>
      <w:bookmarkStart w:id="431" w:name="_Toc292559869"/>
      <w:bookmarkStart w:id="432" w:name="_Toc300934945"/>
      <w:bookmarkStart w:id="433" w:name="_Toc296891199"/>
      <w:bookmarkStart w:id="434" w:name="_Toc297123492"/>
      <w:bookmarkStart w:id="435" w:name="_Toc296890987"/>
      <w:bookmarkStart w:id="436" w:name="_Toc297120459"/>
      <w:bookmarkStart w:id="437" w:name="_Toc312677988"/>
      <w:bookmarkStart w:id="438" w:name="_Toc292559364"/>
      <w:bookmarkStart w:id="439" w:name="_Toc303539102"/>
      <w:bookmarkStart w:id="440" w:name="_Toc296503159"/>
      <w:bookmarkStart w:id="441" w:name="_Toc304295523"/>
      <w:bookmarkStart w:id="442" w:name="_Toc297216151"/>
      <w:r>
        <w:rPr>
          <w:rFonts w:hint="eastAsia" w:ascii="宋体" w:cs="宋体"/>
          <w:color w:val="auto"/>
          <w:highlight w:val="none"/>
        </w:rPr>
        <w:t>.5 分包</w:t>
      </w:r>
      <w:bookmarkEnd w:id="414"/>
      <w:bookmarkEnd w:id="415"/>
      <w:bookmarkEnd w:id="416"/>
      <w:bookmarkEnd w:id="417"/>
      <w:bookmarkEnd w:id="418"/>
      <w:bookmarkEnd w:id="419"/>
      <w:bookmarkEnd w:id="420"/>
      <w:bookmarkEnd w:id="421"/>
      <w:bookmarkEnd w:id="422"/>
      <w:bookmarkEnd w:id="423"/>
      <w:bookmarkEnd w:id="424"/>
      <w:bookmarkEnd w:id="425"/>
      <w:bookmarkEnd w:id="426"/>
    </w:p>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14:paraId="5065C2D3">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443" w:name="_Toc303539103"/>
      <w:bookmarkStart w:id="444" w:name="_Toc318581158"/>
      <w:bookmarkStart w:id="445" w:name="_Toc296944499"/>
      <w:bookmarkStart w:id="446" w:name="_Toc304295524"/>
      <w:bookmarkStart w:id="447" w:name="_Toc297216152"/>
      <w:bookmarkStart w:id="448" w:name="_Toc292559870"/>
      <w:bookmarkStart w:id="449" w:name="_Toc297120460"/>
      <w:bookmarkStart w:id="450" w:name="_Toc296503160"/>
      <w:bookmarkStart w:id="451" w:name="_Toc312677989"/>
      <w:bookmarkStart w:id="452" w:name="_Toc300934946"/>
      <w:bookmarkStart w:id="453" w:name="_Toc296347159"/>
      <w:bookmarkStart w:id="454" w:name="_Toc297123493"/>
      <w:bookmarkStart w:id="455" w:name="_Toc292559365"/>
      <w:bookmarkStart w:id="456" w:name="_Toc296346661"/>
      <w:bookmarkStart w:id="457" w:name="_Toc297048346"/>
      <w:bookmarkStart w:id="458" w:name="_Toc296890988"/>
      <w:bookmarkStart w:id="459" w:name="_Toc296891200"/>
      <w:r>
        <w:rPr>
          <w:rFonts w:hint="eastAsia" w:ascii="宋体" w:hAnsi="宋体" w:cs="宋体"/>
          <w:color w:val="auto"/>
          <w:szCs w:val="21"/>
          <w:highlight w:val="none"/>
        </w:rPr>
        <w:t>.5.1 分包的一般约定</w:t>
      </w:r>
    </w:p>
    <w:p w14:paraId="0E24F74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除劳务工程外 </w:t>
      </w:r>
      <w:r>
        <w:rPr>
          <w:rFonts w:hint="eastAsia" w:ascii="宋体" w:hAnsi="宋体" w:cs="宋体"/>
          <w:color w:val="auto"/>
          <w:szCs w:val="21"/>
          <w:highlight w:val="none"/>
        </w:rPr>
        <w:t>。</w:t>
      </w:r>
    </w:p>
    <w:p w14:paraId="0CDA31E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主体结构、关键性工作的范围：</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禁止分包  </w:t>
      </w:r>
      <w:r>
        <w:rPr>
          <w:rFonts w:hint="eastAsia" w:ascii="宋体" w:hAnsi="宋体" w:cs="宋体"/>
          <w:color w:val="auto"/>
          <w:szCs w:val="21"/>
          <w:highlight w:val="none"/>
        </w:rPr>
        <w:t>。</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3434013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bookmarkStart w:id="460" w:name="_Toc312677990"/>
      <w:bookmarkStart w:id="461" w:name="_Toc318581159"/>
      <w:r>
        <w:rPr>
          <w:rFonts w:hint="eastAsia" w:ascii="宋体" w:hAnsi="宋体" w:cs="宋体"/>
          <w:color w:val="auto"/>
          <w:szCs w:val="21"/>
          <w:highlight w:val="none"/>
        </w:rPr>
        <w:t>.5.2 分包的确定</w:t>
      </w:r>
    </w:p>
    <w:p w14:paraId="38806D07">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允许分包的专业工程包括：</w:t>
      </w:r>
      <w:r>
        <w:rPr>
          <w:rFonts w:hint="eastAsia" w:ascii="宋体" w:hAnsi="宋体" w:cs="宋体"/>
          <w:color w:val="auto"/>
          <w:szCs w:val="21"/>
          <w:highlight w:val="none"/>
          <w:u w:val="single"/>
        </w:rPr>
        <w:t xml:space="preserve">劳务工程  </w:t>
      </w:r>
      <w:r>
        <w:rPr>
          <w:rFonts w:hint="eastAsia" w:ascii="宋体" w:hAnsi="宋体" w:cs="宋体"/>
          <w:color w:val="auto"/>
          <w:szCs w:val="21"/>
          <w:highlight w:val="none"/>
        </w:rPr>
        <w:t>。</w:t>
      </w:r>
    </w:p>
    <w:p w14:paraId="6CEAFB85">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其他关于分包的约定：</w:t>
      </w:r>
    </w:p>
    <w:p w14:paraId="28DE32CD">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28CF78DC">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（2）在相关分包合同签订并报送有关建设行政主管部门备案后7天内，承包人应当将一份副本提交给监理人，承包人应保障分包工作不得再次分包。</w:t>
      </w:r>
    </w:p>
    <w:p w14:paraId="519147AC">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（3）未经承包人和监理人审批同意的分包工程和分包人，承包人有权拒绝验收分包工程和支付相应款项，由此引起的发包人费用增加和(或)延误的工期由发包人承担。</w:t>
      </w:r>
    </w:p>
    <w:p w14:paraId="591043E0">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3.5.4 分包合同价款 </w:t>
      </w:r>
    </w:p>
    <w:p w14:paraId="26235314">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bookmarkEnd w:id="460"/>
    <w:bookmarkEnd w:id="461"/>
    <w:p w14:paraId="71F6AF50">
      <w:pPr>
        <w:pStyle w:val="31"/>
        <w:spacing w:line="380" w:lineRule="exact"/>
        <w:ind w:firstLine="422" w:firstLineChars="200"/>
        <w:rPr>
          <w:rFonts w:ascii="宋体" w:cs="宋体"/>
          <w:color w:val="auto"/>
          <w:highlight w:val="none"/>
        </w:rPr>
      </w:pPr>
      <w:bookmarkStart w:id="462" w:name="_Toc497747189"/>
      <w:bookmarkStart w:id="463" w:name="_Toc418752253"/>
      <w:bookmarkStart w:id="464" w:name="_Toc256000191"/>
      <w:bookmarkStart w:id="465" w:name="_Toc522201741"/>
      <w:bookmarkStart w:id="466" w:name="_Toc418751807"/>
      <w:bookmarkStart w:id="467" w:name="_Toc418518121"/>
      <w:bookmarkStart w:id="468" w:name="_Toc373227711"/>
      <w:bookmarkStart w:id="469" w:name="_Toc373478358"/>
      <w:bookmarkStart w:id="470" w:name="_Toc389065277"/>
      <w:bookmarkStart w:id="471" w:name="_Toc418061322"/>
      <w:bookmarkStart w:id="472" w:name="_Toc497746792"/>
      <w:bookmarkStart w:id="473" w:name="_Toc403578945"/>
      <w:bookmarkStart w:id="474" w:name="_Toc418518357"/>
      <w:r>
        <w:rPr>
          <w:rFonts w:hint="eastAsia" w:ascii="宋体" w:cs="宋体"/>
          <w:color w:val="auto"/>
          <w:highlight w:val="none"/>
        </w:rPr>
        <w:t>3.6 工程照管与成品、半成品保护</w:t>
      </w:r>
      <w:bookmarkEnd w:id="462"/>
      <w:bookmarkEnd w:id="463"/>
      <w:bookmarkEnd w:id="464"/>
      <w:bookmarkEnd w:id="465"/>
      <w:bookmarkEnd w:id="466"/>
      <w:bookmarkEnd w:id="467"/>
      <w:bookmarkEnd w:id="468"/>
      <w:bookmarkEnd w:id="469"/>
      <w:bookmarkEnd w:id="470"/>
      <w:bookmarkEnd w:id="471"/>
      <w:bookmarkEnd w:id="472"/>
      <w:bookmarkEnd w:id="473"/>
      <w:bookmarkEnd w:id="474"/>
    </w:p>
    <w:p w14:paraId="28CAC9E9">
      <w:pPr>
        <w:pStyle w:val="33"/>
        <w:spacing w:line="380" w:lineRule="exact"/>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承包人负责照管工程及工程相关的材料、工程设备的起始时间：</w:t>
      </w:r>
      <w:r>
        <w:rPr>
          <w:rFonts w:hint="eastAsia" w:ascii="宋体" w:hAnsi="宋体" w:cs="宋体"/>
          <w:color w:val="auto"/>
          <w:sz w:val="21"/>
          <w:szCs w:val="21"/>
          <w:highlight w:val="none"/>
          <w:u w:val="single"/>
        </w:rPr>
        <w:t>自发包人向承包人移交施工现场之日起，到颁发工程接收证书之日止</w:t>
      </w:r>
      <w:r>
        <w:rPr>
          <w:rFonts w:hint="eastAsia" w:ascii="宋体" w:hAnsi="宋体" w:cs="宋体"/>
          <w:color w:val="auto"/>
          <w:kern w:val="0"/>
          <w:sz w:val="21"/>
          <w:szCs w:val="21"/>
          <w:highlight w:val="none"/>
        </w:rPr>
        <w:t>。</w:t>
      </w:r>
    </w:p>
    <w:p w14:paraId="4BD8F55B">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承包人负责照管工程及工程相关的材料、工程设备的范围：</w:t>
      </w:r>
      <w:r>
        <w:rPr>
          <w:rFonts w:hint="eastAsia" w:ascii="宋体" w:hAnsi="宋体" w:cs="宋体"/>
          <w:strike w:val="0"/>
          <w:color w:val="auto"/>
          <w:sz w:val="21"/>
          <w:szCs w:val="21"/>
          <w:highlight w:val="none"/>
          <w:u w:val="single"/>
        </w:rPr>
        <w:t>除承包人自身承包范围内的材料、工程设备外，也有义务照管与本项目相关的由发包人另行发包的其他专业工程设备。</w:t>
      </w:r>
      <w:r>
        <w:rPr>
          <w:rFonts w:hint="eastAsia" w:ascii="宋体" w:hAnsi="宋体" w:cs="宋体"/>
          <w:color w:val="auto"/>
          <w:sz w:val="21"/>
          <w:szCs w:val="21"/>
          <w:highlight w:val="none"/>
          <w:u w:val="single"/>
        </w:rPr>
        <w:t>并有义务避免因自身的原因造成对其他承包人的成品、半成品的损坏、污染</w:t>
      </w:r>
      <w:r>
        <w:rPr>
          <w:rFonts w:hint="eastAsia" w:ascii="宋体" w:hAnsi="宋体" w:cs="宋体"/>
          <w:color w:val="auto"/>
          <w:sz w:val="21"/>
          <w:szCs w:val="21"/>
          <w:highlight w:val="none"/>
        </w:rPr>
        <w:t>。</w:t>
      </w:r>
    </w:p>
    <w:p w14:paraId="7A5170FC">
      <w:pPr>
        <w:pStyle w:val="31"/>
        <w:spacing w:line="380" w:lineRule="exact"/>
        <w:ind w:firstLine="422" w:firstLineChars="200"/>
        <w:rPr>
          <w:rFonts w:ascii="宋体" w:cs="宋体"/>
          <w:color w:val="auto"/>
          <w:highlight w:val="none"/>
        </w:rPr>
      </w:pPr>
      <w:bookmarkStart w:id="475" w:name="_Toc497746793"/>
      <w:bookmarkStart w:id="476" w:name="_Toc389065278"/>
      <w:bookmarkStart w:id="477" w:name="_Toc418752254"/>
      <w:bookmarkStart w:id="478" w:name="_Toc497747190"/>
      <w:bookmarkStart w:id="479" w:name="_Toc418751808"/>
      <w:bookmarkStart w:id="480" w:name="_Toc418518122"/>
      <w:bookmarkStart w:id="481" w:name="_Toc403578946"/>
      <w:bookmarkStart w:id="482" w:name="_Toc418518358"/>
      <w:bookmarkStart w:id="483" w:name="_Toc373227712"/>
      <w:bookmarkStart w:id="484" w:name="_Toc418061323"/>
      <w:bookmarkStart w:id="485" w:name="_Toc373478359"/>
      <w:bookmarkStart w:id="486" w:name="_Toc522201742"/>
      <w:bookmarkStart w:id="487" w:name="_Toc256000192"/>
      <w:r>
        <w:rPr>
          <w:rFonts w:hint="eastAsia" w:ascii="宋体" w:cs="宋体"/>
          <w:color w:val="auto"/>
          <w:highlight w:val="none"/>
        </w:rPr>
        <w:t>3.7 履约</w:t>
      </w:r>
      <w:bookmarkEnd w:id="475"/>
      <w:bookmarkEnd w:id="476"/>
      <w:bookmarkEnd w:id="477"/>
      <w:bookmarkEnd w:id="478"/>
      <w:bookmarkEnd w:id="479"/>
      <w:bookmarkEnd w:id="480"/>
      <w:bookmarkEnd w:id="481"/>
      <w:bookmarkEnd w:id="482"/>
      <w:bookmarkEnd w:id="483"/>
      <w:bookmarkEnd w:id="484"/>
      <w:bookmarkEnd w:id="485"/>
      <w:bookmarkEnd w:id="486"/>
      <w:r>
        <w:rPr>
          <w:rFonts w:hint="eastAsia" w:ascii="宋体" w:cs="宋体"/>
          <w:color w:val="auto"/>
          <w:highlight w:val="none"/>
        </w:rPr>
        <w:t>担保</w:t>
      </w:r>
      <w:bookmarkEnd w:id="487"/>
    </w:p>
    <w:p w14:paraId="492A7AC0">
      <w:pPr>
        <w:pStyle w:val="38"/>
        <w:spacing w:line="380" w:lineRule="exact"/>
        <w:rPr>
          <w:rFonts w:ascii="宋体" w:hAnsi="宋体" w:cs="宋体"/>
          <w:color w:val="auto"/>
          <w:sz w:val="21"/>
          <w:szCs w:val="21"/>
          <w:highlight w:val="none"/>
        </w:rPr>
      </w:pPr>
      <w:bookmarkStart w:id="488" w:name="_Toc418518359"/>
      <w:bookmarkStart w:id="489" w:name="_Toc418751809"/>
      <w:bookmarkStart w:id="490" w:name="_Toc373227713"/>
      <w:bookmarkStart w:id="491" w:name="_Toc403578947"/>
      <w:bookmarkStart w:id="492" w:name="_Toc351203636"/>
      <w:bookmarkStart w:id="493" w:name="_Toc418518123"/>
      <w:bookmarkStart w:id="494" w:name="_Toc418061324"/>
      <w:bookmarkStart w:id="495" w:name="_Toc373478360"/>
      <w:bookmarkStart w:id="496" w:name="_Toc418752255"/>
      <w:bookmarkStart w:id="497" w:name="_Toc389065279"/>
      <w:r>
        <w:rPr>
          <w:rFonts w:hint="eastAsia" w:ascii="宋体" w:hAnsi="宋体" w:cs="宋体"/>
          <w:b/>
          <w:bCs/>
          <w:color w:val="auto"/>
          <w:sz w:val="21"/>
          <w:szCs w:val="21"/>
          <w:highlight w:val="none"/>
        </w:rPr>
        <w:t>承包人是否提供履约担保：</w:t>
      </w:r>
      <w:r>
        <w:rPr>
          <w:rFonts w:hint="eastAsia" w:ascii="宋体" w:hAnsi="宋体" w:cs="宋体"/>
          <w:b/>
          <w:bCs/>
          <w:color w:val="auto"/>
          <w:sz w:val="21"/>
          <w:szCs w:val="21"/>
          <w:highlight w:val="none"/>
          <w:u w:val="single"/>
        </w:rPr>
        <w:t xml:space="preserve">  </w:t>
      </w:r>
      <w:r>
        <w:rPr>
          <w:rFonts w:hint="eastAsia" w:ascii="宋体" w:hAnsi="宋体" w:cs="宋体"/>
          <w:b/>
          <w:bCs/>
          <w:color w:val="auto"/>
          <w:sz w:val="21"/>
          <w:szCs w:val="21"/>
          <w:highlight w:val="none"/>
          <w:u w:val="single"/>
          <w:lang w:val="en-US" w:eastAsia="zh-CN"/>
        </w:rPr>
        <w:t>否</w:t>
      </w:r>
      <w:r>
        <w:rPr>
          <w:rFonts w:hint="eastAsia" w:ascii="宋体" w:hAnsi="宋体" w:cs="宋体"/>
          <w:b/>
          <w:bCs/>
          <w:color w:val="auto"/>
          <w:sz w:val="21"/>
          <w:szCs w:val="21"/>
          <w:highlight w:val="none"/>
          <w:u w:val="single"/>
        </w:rPr>
        <w:t>　</w:t>
      </w:r>
      <w:r>
        <w:rPr>
          <w:rFonts w:hint="eastAsia" w:ascii="宋体" w:hAnsi="宋体" w:cs="宋体"/>
          <w:color w:val="auto"/>
          <w:sz w:val="21"/>
          <w:szCs w:val="21"/>
          <w:highlight w:val="none"/>
        </w:rPr>
        <w:t>。</w:t>
      </w:r>
    </w:p>
    <w:p w14:paraId="47F70841">
      <w:pPr>
        <w:pStyle w:val="33"/>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承包人</w:t>
      </w:r>
      <w:r>
        <w:rPr>
          <w:rFonts w:hint="eastAsia" w:ascii="宋体" w:hAnsi="宋体" w:cs="宋体"/>
          <w:color w:val="auto"/>
          <w:kern w:val="0"/>
          <w:szCs w:val="21"/>
          <w:highlight w:val="none"/>
          <w:lang w:val="en-US" w:eastAsia="zh-CN"/>
        </w:rPr>
        <w:t>如需</w:t>
      </w:r>
      <w:r>
        <w:rPr>
          <w:rFonts w:hint="eastAsia" w:ascii="宋体" w:hAnsi="宋体" w:cs="宋体"/>
          <w:color w:val="auto"/>
          <w:kern w:val="0"/>
          <w:szCs w:val="21"/>
          <w:highlight w:val="none"/>
        </w:rPr>
        <w:t>提供履约担保的形式、金额及期限的：</w:t>
      </w:r>
      <w:r>
        <w:rPr>
          <w:rFonts w:hint="eastAsia" w:ascii="宋体" w:hAnsi="宋体" w:cs="宋体"/>
          <w:color w:val="auto"/>
          <w:szCs w:val="21"/>
          <w:highlight w:val="none"/>
          <w:u w:val="single"/>
        </w:rPr>
        <w:t>在收到中标通知书后，承包人须在</w:t>
      </w:r>
      <w:r>
        <w:rPr>
          <w:rFonts w:ascii="宋体" w:hAnsi="宋体" w:cs="宋体"/>
          <w:color w:val="auto"/>
          <w:szCs w:val="21"/>
          <w:highlight w:val="none"/>
          <w:u w:val="single"/>
        </w:rPr>
        <w:t>3</w:t>
      </w:r>
      <w:r>
        <w:rPr>
          <w:rFonts w:hint="eastAsia" w:ascii="宋体" w:hAnsi="宋体" w:cs="宋体"/>
          <w:color w:val="auto"/>
          <w:szCs w:val="21"/>
          <w:highlight w:val="none"/>
          <w:u w:val="single"/>
        </w:rPr>
        <w:t>0日内向发包人足额提交合同价款的</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%的现金或银行保函或保证保险</w:t>
      </w:r>
      <w:r>
        <w:rPr>
          <w:rFonts w:hint="eastAsia" w:ascii="宋体" w:hAnsi="宋体"/>
          <w:color w:val="auto"/>
          <w:szCs w:val="21"/>
          <w:highlight w:val="none"/>
          <w:u w:val="single"/>
        </w:rPr>
        <w:t>的</w:t>
      </w:r>
      <w:r>
        <w:rPr>
          <w:rFonts w:hint="eastAsia" w:ascii="宋体" w:hAnsi="宋体" w:cs="宋体"/>
          <w:color w:val="auto"/>
          <w:szCs w:val="21"/>
          <w:highlight w:val="none"/>
          <w:u w:val="single"/>
        </w:rPr>
        <w:t>履约担保（格式见合同附件8）。履约担保的有效期应当自本合同生效之日起至发包人签认并由监理人向承包人出具（竣工证明材料名称）之日止。如果承包人无法获得一份不带具体截止日期的担保，履约担保中应当有“变更工程竣工日期的，保证期间按照变更后的竣工日期做相应调整”或类似约定的条款。</w:t>
      </w:r>
    </w:p>
    <w:p w14:paraId="24096B8C">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工程竣工验收合格并对验收发现的问题完成整改后的7个日历天内，</w:t>
      </w:r>
      <w:r>
        <w:rPr>
          <w:rFonts w:hint="eastAsia" w:ascii="宋体" w:hAnsi="宋体" w:cs="宋体"/>
          <w:color w:val="auto"/>
          <w:szCs w:val="21"/>
          <w:highlight w:val="none"/>
        </w:rPr>
        <w:t>承包人可向发包人申请退还履约保证金。发包人应在收到申请之日起28个日历天内</w:t>
      </w:r>
      <w:r>
        <w:rPr>
          <w:rFonts w:hint="eastAsia" w:ascii="宋体" w:hAnsi="宋体" w:cs="宋体"/>
          <w:color w:val="auto"/>
          <w:kern w:val="0"/>
          <w:szCs w:val="21"/>
          <w:highlight w:val="none"/>
        </w:rPr>
        <w:t>扣减承包人赔偿金和其他应从承包人扣回的款项后，</w:t>
      </w:r>
      <w:r>
        <w:rPr>
          <w:rFonts w:hint="eastAsia" w:ascii="宋体" w:hAnsi="宋体" w:cs="宋体"/>
          <w:color w:val="auto"/>
          <w:szCs w:val="21"/>
          <w:highlight w:val="none"/>
        </w:rPr>
        <w:t>将履约保证金退还给承包人（无息）。</w:t>
      </w:r>
    </w:p>
    <w:p w14:paraId="2D3E4E5B">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签订合同前承包人必须按市财建（2018）73号文规定将农民工工资保障金存入帐户。工程竣工验收结算经审定后，按照规定程序，将农民工工资保障金没有使用或剩余的金额退还给承包人。</w:t>
      </w:r>
    </w:p>
    <w:p w14:paraId="013EE61F">
      <w:pPr>
        <w:pStyle w:val="31"/>
        <w:spacing w:line="380" w:lineRule="exact"/>
        <w:rPr>
          <w:rFonts w:ascii="宋体" w:cs="宋体"/>
          <w:color w:val="auto"/>
          <w:highlight w:val="none"/>
        </w:rPr>
      </w:pPr>
      <w:bookmarkStart w:id="498" w:name="_Toc256000193"/>
      <w:bookmarkStart w:id="499" w:name="_Toc497747191"/>
      <w:bookmarkStart w:id="500" w:name="_Toc497746794"/>
      <w:bookmarkStart w:id="501" w:name="_Toc522201743"/>
      <w:r>
        <w:rPr>
          <w:rFonts w:hint="eastAsia" w:ascii="宋体" w:cs="宋体"/>
          <w:color w:val="auto"/>
          <w:highlight w:val="none"/>
        </w:rPr>
        <w:t>4</w:t>
      </w:r>
      <w:bookmarkStart w:id="502" w:name="_Toc292559871"/>
      <w:bookmarkStart w:id="503" w:name="_Toc297120462"/>
      <w:bookmarkStart w:id="504" w:name="_Toc296944501"/>
      <w:bookmarkStart w:id="505" w:name="_Toc296503162"/>
      <w:bookmarkStart w:id="506" w:name="_Toc296347161"/>
      <w:bookmarkStart w:id="507" w:name="_Toc267251413"/>
      <w:bookmarkStart w:id="508" w:name="_Toc296890990"/>
      <w:bookmarkStart w:id="509" w:name="_Toc296891202"/>
      <w:bookmarkStart w:id="510" w:name="_Toc296346663"/>
      <w:bookmarkStart w:id="511" w:name="_Toc292559366"/>
      <w:bookmarkStart w:id="512" w:name="_Toc297048348"/>
      <w:r>
        <w:rPr>
          <w:rFonts w:hint="eastAsia" w:ascii="宋体" w:cs="宋体"/>
          <w:color w:val="auto"/>
          <w:highlight w:val="none"/>
        </w:rPr>
        <w:t>. 监</w:t>
      </w:r>
      <w:bookmarkEnd w:id="502"/>
      <w:bookmarkEnd w:id="503"/>
      <w:bookmarkEnd w:id="504"/>
      <w:bookmarkEnd w:id="505"/>
      <w:bookmarkEnd w:id="506"/>
      <w:bookmarkEnd w:id="507"/>
      <w:bookmarkEnd w:id="508"/>
      <w:bookmarkEnd w:id="509"/>
      <w:bookmarkEnd w:id="510"/>
      <w:bookmarkEnd w:id="511"/>
      <w:bookmarkEnd w:id="512"/>
      <w:r>
        <w:rPr>
          <w:rFonts w:hint="eastAsia" w:ascii="宋体" w:cs="宋体"/>
          <w:color w:val="auto"/>
          <w:highlight w:val="none"/>
        </w:rPr>
        <w:t>理人</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255B01A0">
      <w:pPr>
        <w:pStyle w:val="31"/>
        <w:spacing w:line="380" w:lineRule="exact"/>
        <w:ind w:firstLine="422" w:firstLineChars="200"/>
        <w:rPr>
          <w:rFonts w:ascii="宋体" w:cs="宋体"/>
          <w:color w:val="auto"/>
          <w:highlight w:val="none"/>
        </w:rPr>
      </w:pPr>
      <w:bookmarkStart w:id="513" w:name="_Toc497747192"/>
      <w:bookmarkStart w:id="514" w:name="_Toc418752256"/>
      <w:bookmarkStart w:id="515" w:name="_Toc522201744"/>
      <w:bookmarkStart w:id="516" w:name="_Toc389065280"/>
      <w:bookmarkStart w:id="517" w:name="_Toc373227714"/>
      <w:bookmarkStart w:id="518" w:name="_Toc373478361"/>
      <w:bookmarkStart w:id="519" w:name="_Toc403578948"/>
      <w:bookmarkStart w:id="520" w:name="_Toc418518360"/>
      <w:bookmarkStart w:id="521" w:name="_Toc418518124"/>
      <w:bookmarkStart w:id="522" w:name="_Toc256000194"/>
      <w:bookmarkStart w:id="523" w:name="_Toc497746795"/>
      <w:bookmarkStart w:id="524" w:name="_Toc418061325"/>
      <w:bookmarkStart w:id="525" w:name="_Toc418751810"/>
      <w:r>
        <w:rPr>
          <w:rFonts w:hint="eastAsia" w:ascii="宋体" w:cs="宋体"/>
          <w:color w:val="auto"/>
          <w:highlight w:val="none"/>
        </w:rPr>
        <w:t>4.1 监理人的一般规定</w:t>
      </w:r>
      <w:bookmarkEnd w:id="513"/>
      <w:bookmarkEnd w:id="514"/>
      <w:bookmarkEnd w:id="515"/>
      <w:bookmarkEnd w:id="516"/>
      <w:bookmarkEnd w:id="517"/>
      <w:bookmarkEnd w:id="518"/>
      <w:bookmarkEnd w:id="519"/>
      <w:bookmarkEnd w:id="520"/>
      <w:bookmarkEnd w:id="521"/>
      <w:bookmarkEnd w:id="522"/>
      <w:bookmarkEnd w:id="523"/>
      <w:bookmarkEnd w:id="524"/>
      <w:bookmarkEnd w:id="525"/>
    </w:p>
    <w:p w14:paraId="6C21959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关于监理人的监理内容：</w:t>
      </w:r>
      <w:r>
        <w:rPr>
          <w:rFonts w:hint="eastAsia" w:ascii="宋体" w:hAnsi="宋体" w:cs="宋体"/>
          <w:color w:val="auto"/>
          <w:szCs w:val="21"/>
          <w:highlight w:val="none"/>
          <w:u w:val="single"/>
        </w:rPr>
        <w:t xml:space="preserve"> 检查施工承包人工程质量，安全生产管理制度及组织机构人员资格；审查施工承包人员提交的施工进度计划及工程施工范围内所有内容。</w:t>
      </w:r>
    </w:p>
    <w:p w14:paraId="5290644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关于监理人的监理权限：</w:t>
      </w:r>
      <w:r>
        <w:rPr>
          <w:rFonts w:hint="eastAsia" w:ascii="宋体" w:hAnsi="宋体" w:cs="宋体"/>
          <w:color w:val="auto"/>
          <w:szCs w:val="21"/>
          <w:highlight w:val="none"/>
          <w:u w:val="single"/>
        </w:rPr>
        <w:t>代表发包人对工程施工相关事项进行检查、查验、审核、验收，并签发相关指示，但监理人无权修改合同，且无权减轻或免除合同约定的承包人的任何责任与义务: 1、在发出施工进度计划和施工方案说明以及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不管通用合同条款如何约定，监理人履行须经发包人批准行使的权利时，应当向承包人出示其行使该权利已经取得发包人批准的文件或者其他合法有效的证明 。</w:t>
      </w:r>
      <w:r>
        <w:rPr>
          <w:rFonts w:hint="eastAsia" w:ascii="宋体" w:hAnsi="宋体" w:cs="宋体"/>
          <w:color w:val="auto"/>
          <w:szCs w:val="21"/>
          <w:highlight w:val="none"/>
        </w:rPr>
        <w:t xml:space="preserve">  </w:t>
      </w:r>
    </w:p>
    <w:p w14:paraId="0453CB47">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关于监理人在施工现场的办公场所、生活场所的提供和费用承担的约定：</w:t>
      </w:r>
      <w:r>
        <w:rPr>
          <w:rFonts w:hint="eastAsia" w:ascii="宋体" w:hAnsi="宋体" w:cs="宋体"/>
          <w:color w:val="auto"/>
          <w:szCs w:val="21"/>
          <w:highlight w:val="none"/>
          <w:u w:val="single"/>
        </w:rPr>
        <w:t>由承包人为发包人、监理单位免费提供三间办公室</w:t>
      </w:r>
      <w:r>
        <w:rPr>
          <w:rFonts w:hint="eastAsia" w:ascii="宋体" w:hAnsi="宋体"/>
          <w:color w:val="auto"/>
          <w:szCs w:val="21"/>
          <w:highlight w:val="none"/>
          <w:u w:val="single"/>
        </w:rPr>
        <w:t>并承担相关费用</w:t>
      </w:r>
      <w:r>
        <w:rPr>
          <w:rFonts w:hint="eastAsia" w:ascii="宋体" w:hAnsi="宋体" w:cs="宋体"/>
          <w:color w:val="auto"/>
          <w:szCs w:val="21"/>
          <w:highlight w:val="none"/>
        </w:rPr>
        <w:t>。</w:t>
      </w:r>
    </w:p>
    <w:p w14:paraId="1A5234A2">
      <w:pPr>
        <w:pStyle w:val="31"/>
        <w:spacing w:line="380" w:lineRule="exact"/>
        <w:ind w:firstLine="422" w:firstLineChars="200"/>
        <w:rPr>
          <w:rFonts w:ascii="宋体" w:cs="宋体"/>
          <w:color w:val="auto"/>
          <w:highlight w:val="none"/>
        </w:rPr>
      </w:pPr>
      <w:bookmarkStart w:id="526" w:name="_Toc373227715"/>
      <w:bookmarkStart w:id="527" w:name="_Toc418518125"/>
      <w:bookmarkStart w:id="528" w:name="_Toc418518361"/>
      <w:bookmarkStart w:id="529" w:name="_Toc522201745"/>
      <w:bookmarkStart w:id="530" w:name="_Toc418061326"/>
      <w:bookmarkStart w:id="531" w:name="_Toc418751811"/>
      <w:bookmarkStart w:id="532" w:name="_Toc256000195"/>
      <w:bookmarkStart w:id="533" w:name="_Toc389065281"/>
      <w:bookmarkStart w:id="534" w:name="_Toc497747193"/>
      <w:bookmarkStart w:id="535" w:name="_Toc418752257"/>
      <w:bookmarkStart w:id="536" w:name="_Toc373478362"/>
      <w:bookmarkStart w:id="537" w:name="_Toc497746796"/>
      <w:bookmarkStart w:id="538" w:name="_Toc403578949"/>
      <w:r>
        <w:rPr>
          <w:rFonts w:hint="eastAsia" w:ascii="宋体" w:cs="宋体"/>
          <w:color w:val="auto"/>
          <w:highlight w:val="none"/>
        </w:rPr>
        <w:t>4.2 监理人员</w:t>
      </w:r>
      <w:bookmarkEnd w:id="526"/>
      <w:bookmarkEnd w:id="527"/>
      <w:bookmarkEnd w:id="528"/>
      <w:bookmarkEnd w:id="529"/>
      <w:bookmarkEnd w:id="530"/>
      <w:bookmarkEnd w:id="531"/>
      <w:bookmarkEnd w:id="532"/>
      <w:bookmarkEnd w:id="533"/>
      <w:bookmarkEnd w:id="534"/>
      <w:bookmarkEnd w:id="535"/>
      <w:bookmarkEnd w:id="536"/>
      <w:bookmarkEnd w:id="537"/>
      <w:bookmarkEnd w:id="538"/>
    </w:p>
    <w:p w14:paraId="16486B71">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总监理工程师：</w:t>
      </w:r>
    </w:p>
    <w:p w14:paraId="5EE93D87">
      <w:pPr>
        <w:pStyle w:val="33"/>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374C7EE0">
      <w:pPr>
        <w:pStyle w:val="33"/>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FAC9937">
      <w:pPr>
        <w:pStyle w:val="33"/>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监理工程师执业资格证书号：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65C1A3C">
      <w:pPr>
        <w:pStyle w:val="33"/>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40F9821C">
      <w:pPr>
        <w:pStyle w:val="33"/>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3577CA2B">
      <w:pPr>
        <w:pStyle w:val="33"/>
        <w:spacing w:line="38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A94BCC6">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关于监理人的其他约定：</w:t>
      </w:r>
      <w:r>
        <w:rPr>
          <w:rFonts w:hint="eastAsia" w:ascii="宋体" w:hAnsi="宋体" w:cs="宋体"/>
          <w:color w:val="auto"/>
          <w:szCs w:val="21"/>
          <w:highlight w:val="none"/>
          <w:u w:val="single"/>
        </w:rPr>
        <w:t xml:space="preserve"> 见监理合同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5B30D3A">
      <w:pPr>
        <w:pStyle w:val="31"/>
        <w:spacing w:line="380" w:lineRule="exact"/>
        <w:ind w:firstLine="422" w:firstLineChars="200"/>
        <w:rPr>
          <w:rFonts w:ascii="宋体" w:cs="宋体"/>
          <w:color w:val="auto"/>
          <w:highlight w:val="none"/>
        </w:rPr>
      </w:pPr>
      <w:bookmarkStart w:id="539" w:name="_Toc418061327"/>
      <w:bookmarkStart w:id="540" w:name="_Toc497746797"/>
      <w:bookmarkStart w:id="541" w:name="_Toc389065282"/>
      <w:bookmarkStart w:id="542" w:name="_Toc497747194"/>
      <w:bookmarkStart w:id="543" w:name="_Toc522201746"/>
      <w:bookmarkStart w:id="544" w:name="_Toc418518362"/>
      <w:bookmarkStart w:id="545" w:name="_Toc418752258"/>
      <w:bookmarkStart w:id="546" w:name="_Toc373227716"/>
      <w:bookmarkStart w:id="547" w:name="_Toc256000196"/>
      <w:bookmarkStart w:id="548" w:name="_Toc418518126"/>
      <w:bookmarkStart w:id="549" w:name="_Toc418751812"/>
      <w:bookmarkStart w:id="550" w:name="_Toc373478363"/>
      <w:bookmarkStart w:id="551" w:name="_Toc403578950"/>
      <w:r>
        <w:rPr>
          <w:rFonts w:hint="eastAsia" w:ascii="宋体" w:cs="宋体"/>
          <w:color w:val="auto"/>
          <w:highlight w:val="none"/>
        </w:rPr>
        <w:t>4.4 商定或确定</w:t>
      </w:r>
      <w:bookmarkEnd w:id="539"/>
      <w:bookmarkEnd w:id="540"/>
      <w:bookmarkEnd w:id="541"/>
      <w:bookmarkEnd w:id="542"/>
      <w:bookmarkEnd w:id="543"/>
      <w:bookmarkEnd w:id="544"/>
      <w:bookmarkEnd w:id="545"/>
      <w:bookmarkEnd w:id="546"/>
      <w:bookmarkEnd w:id="547"/>
      <w:bookmarkEnd w:id="548"/>
      <w:bookmarkEnd w:id="549"/>
      <w:bookmarkEnd w:id="550"/>
      <w:bookmarkEnd w:id="551"/>
    </w:p>
    <w:p w14:paraId="6C79CBDE">
      <w:pPr>
        <w:pStyle w:val="33"/>
        <w:spacing w:line="380" w:lineRule="exact"/>
        <w:ind w:firstLine="420" w:firstLineChars="200"/>
        <w:rPr>
          <w:rFonts w:ascii="宋体" w:hAnsi="宋体" w:cs="宋体"/>
          <w:color w:val="auto"/>
          <w:szCs w:val="21"/>
          <w:highlight w:val="none"/>
        </w:rPr>
      </w:pPr>
      <w:bookmarkStart w:id="552" w:name="_Toc267251418"/>
      <w:r>
        <w:rPr>
          <w:rFonts w:hint="eastAsia" w:ascii="宋体" w:hAnsi="宋体" w:cs="宋体"/>
          <w:color w:val="auto"/>
          <w:szCs w:val="21"/>
          <w:highlight w:val="none"/>
        </w:rPr>
        <w:t>在发包人和承包人不能通过协商达成一致意见时，发包人授权监理人对以下事项进行确定：</w:t>
      </w:r>
      <w:r>
        <w:rPr>
          <w:rFonts w:hint="eastAsia" w:ascii="宋体" w:hAnsi="宋体" w:cs="宋体"/>
          <w:color w:val="auto"/>
          <w:kern w:val="0"/>
          <w:szCs w:val="21"/>
          <w:highlight w:val="none"/>
          <w:u w:val="single"/>
        </w:rPr>
        <w:t>无</w:t>
      </w:r>
      <w:r>
        <w:rPr>
          <w:rFonts w:hint="eastAsia" w:ascii="宋体" w:hAnsi="宋体" w:cs="宋体"/>
          <w:color w:val="auto"/>
          <w:szCs w:val="21"/>
          <w:highlight w:val="none"/>
        </w:rPr>
        <w:t>；</w:t>
      </w:r>
    </w:p>
    <w:p w14:paraId="31D1EAD1">
      <w:pPr>
        <w:pStyle w:val="31"/>
        <w:spacing w:line="380" w:lineRule="exact"/>
        <w:rPr>
          <w:rFonts w:ascii="宋体" w:cs="宋体"/>
          <w:color w:val="auto"/>
          <w:highlight w:val="none"/>
        </w:rPr>
      </w:pPr>
      <w:bookmarkStart w:id="553" w:name="_Toc373227717"/>
      <w:bookmarkStart w:id="554" w:name="_Toc418061328"/>
      <w:bookmarkStart w:id="555" w:name="_Toc418751813"/>
      <w:bookmarkStart w:id="556" w:name="_Toc418752259"/>
      <w:bookmarkStart w:id="557" w:name="_Toc351203637"/>
      <w:bookmarkStart w:id="558" w:name="_Toc403578951"/>
      <w:bookmarkStart w:id="559" w:name="_Toc497747195"/>
      <w:bookmarkStart w:id="560" w:name="_Toc497746798"/>
      <w:bookmarkStart w:id="561" w:name="_Toc522201747"/>
      <w:bookmarkStart w:id="562" w:name="_Toc418518363"/>
      <w:bookmarkStart w:id="563" w:name="_Toc373478364"/>
      <w:bookmarkStart w:id="564" w:name="_Toc418518127"/>
      <w:bookmarkStart w:id="565" w:name="_Toc389065283"/>
      <w:bookmarkStart w:id="566" w:name="_Toc256000197"/>
      <w:r>
        <w:rPr>
          <w:rFonts w:hint="eastAsia" w:ascii="宋体" w:cs="宋体"/>
          <w:color w:val="auto"/>
          <w:highlight w:val="none"/>
        </w:rPr>
        <w:t>5</w:t>
      </w:r>
      <w:bookmarkEnd w:id="552"/>
      <w:bookmarkStart w:id="567" w:name="_Toc297120463"/>
      <w:bookmarkStart w:id="568" w:name="_Toc297048349"/>
      <w:bookmarkStart w:id="569" w:name="_Toc296347162"/>
      <w:bookmarkStart w:id="570" w:name="_Toc296944502"/>
      <w:bookmarkStart w:id="571" w:name="_Toc296503163"/>
      <w:bookmarkStart w:id="572" w:name="_Toc292559367"/>
      <w:bookmarkStart w:id="573" w:name="_Toc292559872"/>
      <w:bookmarkStart w:id="574" w:name="_Toc296890991"/>
      <w:bookmarkStart w:id="575" w:name="_Toc296346664"/>
      <w:bookmarkStart w:id="576" w:name="_Toc296891203"/>
      <w:r>
        <w:rPr>
          <w:rFonts w:hint="eastAsia" w:ascii="宋体" w:cs="宋体"/>
          <w:color w:val="auto"/>
          <w:highlight w:val="none"/>
        </w:rPr>
        <w:t>. 工程质量</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2F200D4C">
      <w:pPr>
        <w:pStyle w:val="31"/>
        <w:spacing w:line="380" w:lineRule="exact"/>
        <w:ind w:firstLine="422" w:firstLineChars="200"/>
        <w:rPr>
          <w:rFonts w:ascii="宋体" w:cs="宋体"/>
          <w:color w:val="auto"/>
          <w:highlight w:val="none"/>
        </w:rPr>
      </w:pPr>
      <w:bookmarkStart w:id="577" w:name="_Toc522201748"/>
      <w:bookmarkStart w:id="578" w:name="_Toc418518128"/>
      <w:bookmarkStart w:id="579" w:name="_Toc497747196"/>
      <w:bookmarkStart w:id="580" w:name="_Toc418751814"/>
      <w:bookmarkStart w:id="581" w:name="_Toc373227718"/>
      <w:bookmarkStart w:id="582" w:name="_Toc403578952"/>
      <w:bookmarkStart w:id="583" w:name="_Toc418518364"/>
      <w:bookmarkStart w:id="584" w:name="_Toc418752260"/>
      <w:bookmarkStart w:id="585" w:name="_Toc497746799"/>
      <w:bookmarkStart w:id="586" w:name="_Toc373478365"/>
      <w:bookmarkStart w:id="587" w:name="_Toc389065284"/>
      <w:bookmarkStart w:id="588" w:name="_Toc256000198"/>
      <w:bookmarkStart w:id="589" w:name="_Toc418061329"/>
      <w:r>
        <w:rPr>
          <w:rFonts w:hint="eastAsia" w:ascii="宋体" w:cs="宋体"/>
          <w:color w:val="auto"/>
          <w:highlight w:val="none"/>
        </w:rPr>
        <w:t>5.1 质量要求</w:t>
      </w:r>
      <w:bookmarkEnd w:id="577"/>
      <w:bookmarkEnd w:id="578"/>
      <w:bookmarkEnd w:id="579"/>
      <w:bookmarkEnd w:id="580"/>
      <w:bookmarkEnd w:id="581"/>
      <w:bookmarkEnd w:id="582"/>
      <w:bookmarkEnd w:id="583"/>
      <w:bookmarkEnd w:id="584"/>
      <w:bookmarkEnd w:id="585"/>
      <w:bookmarkEnd w:id="586"/>
      <w:bookmarkEnd w:id="587"/>
      <w:bookmarkEnd w:id="588"/>
      <w:bookmarkEnd w:id="589"/>
    </w:p>
    <w:p w14:paraId="6AF7871B">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5</w:t>
      </w:r>
      <w:bookmarkStart w:id="590" w:name="_Toc318581164"/>
      <w:bookmarkStart w:id="591" w:name="_Toc303539106"/>
      <w:bookmarkStart w:id="592" w:name="_Toc304295527"/>
      <w:bookmarkStart w:id="593" w:name="_Toc312677997"/>
      <w:bookmarkStart w:id="594" w:name="_Toc297123496"/>
      <w:bookmarkStart w:id="595" w:name="_Toc297216155"/>
      <w:bookmarkStart w:id="596" w:name="_Toc300934949"/>
      <w:r>
        <w:rPr>
          <w:rFonts w:hint="eastAsia" w:ascii="宋体" w:hAnsi="宋体" w:cs="宋体"/>
          <w:color w:val="auto"/>
          <w:szCs w:val="21"/>
          <w:highlight w:val="none"/>
        </w:rPr>
        <w:t>.1.1 特殊质量标准和要求：</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shd w:val="clear" w:color="auto" w:fill="auto"/>
        </w:rPr>
        <w:t>国家现行有关工程施工质量验收规范合格标准</w:t>
      </w:r>
      <w:r>
        <w:rPr>
          <w:rFonts w:hint="eastAsia" w:ascii="宋体" w:hAnsi="宋体" w:cs="宋体"/>
          <w:color w:val="auto"/>
          <w:szCs w:val="21"/>
          <w:highlight w:val="none"/>
        </w:rPr>
        <w:t>。</w:t>
      </w:r>
    </w:p>
    <w:p w14:paraId="7B4F464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关于工程奖项的约定：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4F512E7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5.3 隐蔽工程检查</w:t>
      </w:r>
    </w:p>
    <w:p w14:paraId="4FF0EE97">
      <w:pPr>
        <w:pStyle w:val="33"/>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5.3.2承包人提前通知监理人隐蔽工程检查的期限的约定：</w:t>
      </w:r>
      <w:r>
        <w:rPr>
          <w:rFonts w:hint="eastAsia" w:ascii="宋体" w:hAnsi="宋体" w:cs="宋体"/>
          <w:color w:val="auto"/>
          <w:kern w:val="0"/>
          <w:szCs w:val="21"/>
          <w:highlight w:val="none"/>
          <w:u w:val="single"/>
        </w:rPr>
        <w:t>任何部位的隐蔽工程需要覆盖或隐蔽前，承包人均应提前 48 小时通知发包人、监理工程师和质量监督站进行中间验收并拍照</w:t>
      </w:r>
      <w:r>
        <w:rPr>
          <w:rFonts w:hint="eastAsia" w:ascii="宋体" w:hAnsi="宋体" w:cs="宋体"/>
          <w:strike w:val="0"/>
          <w:color w:val="auto"/>
          <w:kern w:val="0"/>
          <w:szCs w:val="21"/>
          <w:highlight w:val="none"/>
          <w:u w:val="single"/>
        </w:rPr>
        <w:t>，没有发包人、监理工程师和质量监督站的批准，均不得隐蔽或验收。对相关单位所提出涉及工程质量、</w:t>
      </w:r>
      <w:r>
        <w:rPr>
          <w:rFonts w:hint="eastAsia" w:ascii="宋体" w:hAnsi="宋体" w:cs="宋体"/>
          <w:color w:val="auto"/>
          <w:kern w:val="0"/>
          <w:szCs w:val="21"/>
          <w:highlight w:val="none"/>
          <w:u w:val="single"/>
        </w:rPr>
        <w:t>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color w:val="auto"/>
          <w:szCs w:val="21"/>
          <w:highlight w:val="none"/>
          <w:u w:val="single"/>
        </w:rPr>
        <w:t>。</w:t>
      </w:r>
    </w:p>
    <w:p w14:paraId="4AEFC14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监理人不能按时进行检查时，应提前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4ADB43C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165D35F6">
      <w:pPr>
        <w:pStyle w:val="31"/>
        <w:spacing w:line="380" w:lineRule="exact"/>
        <w:rPr>
          <w:rFonts w:ascii="宋体" w:cs="宋体"/>
          <w:color w:val="auto"/>
          <w:highlight w:val="none"/>
        </w:rPr>
      </w:pPr>
      <w:bookmarkStart w:id="597" w:name="_Toc389065285"/>
      <w:bookmarkStart w:id="598" w:name="_Toc418518365"/>
      <w:bookmarkStart w:id="599" w:name="_Toc497747197"/>
      <w:bookmarkStart w:id="600" w:name="_Toc256000199"/>
      <w:bookmarkStart w:id="601" w:name="_Toc418518129"/>
      <w:bookmarkStart w:id="602" w:name="_Toc373227719"/>
      <w:bookmarkStart w:id="603" w:name="_Toc418061330"/>
      <w:bookmarkStart w:id="604" w:name="_Toc497746800"/>
      <w:bookmarkStart w:id="605" w:name="_Toc373478366"/>
      <w:bookmarkStart w:id="606" w:name="_Toc403578953"/>
      <w:bookmarkStart w:id="607" w:name="_Toc418751815"/>
      <w:bookmarkStart w:id="608" w:name="_Toc351203638"/>
      <w:bookmarkStart w:id="609" w:name="_Toc522201749"/>
      <w:bookmarkStart w:id="610" w:name="_Toc418752261"/>
      <w:r>
        <w:rPr>
          <w:rFonts w:hint="eastAsia" w:ascii="宋体" w:cs="宋体"/>
          <w:color w:val="auto"/>
          <w:highlight w:val="none"/>
        </w:rPr>
        <w:t>6. 安全文明施工与环境保护</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3C5CFA82">
      <w:pPr>
        <w:pStyle w:val="31"/>
        <w:spacing w:line="380" w:lineRule="exact"/>
        <w:ind w:firstLine="422" w:firstLineChars="200"/>
        <w:rPr>
          <w:rFonts w:ascii="宋体" w:cs="宋体"/>
          <w:color w:val="auto"/>
          <w:highlight w:val="none"/>
        </w:rPr>
      </w:pPr>
      <w:bookmarkStart w:id="611" w:name="_Toc522201750"/>
      <w:bookmarkStart w:id="612" w:name="_Toc497747198"/>
      <w:bookmarkStart w:id="613" w:name="_Toc256000200"/>
      <w:bookmarkStart w:id="614" w:name="_Toc497746801"/>
      <w:bookmarkStart w:id="615" w:name="_Toc389065286"/>
      <w:bookmarkStart w:id="616" w:name="_Toc418518366"/>
      <w:bookmarkStart w:id="617" w:name="_Toc418751816"/>
      <w:bookmarkStart w:id="618" w:name="_Toc403578954"/>
      <w:bookmarkStart w:id="619" w:name="_Toc418752262"/>
      <w:bookmarkStart w:id="620" w:name="_Toc418061331"/>
      <w:bookmarkStart w:id="621" w:name="_Toc373478367"/>
      <w:bookmarkStart w:id="622" w:name="_Toc418518130"/>
      <w:bookmarkStart w:id="623" w:name="_Toc373227720"/>
      <w:r>
        <w:rPr>
          <w:rFonts w:hint="eastAsia" w:ascii="宋体" w:cs="宋体"/>
          <w:color w:val="auto"/>
          <w:highlight w:val="none"/>
        </w:rPr>
        <w:t>6.1 安全文明施工</w:t>
      </w:r>
      <w:bookmarkEnd w:id="611"/>
      <w:bookmarkEnd w:id="612"/>
      <w:bookmarkEnd w:id="613"/>
      <w:bookmarkEnd w:id="614"/>
      <w:bookmarkEnd w:id="615"/>
      <w:bookmarkEnd w:id="616"/>
      <w:bookmarkEnd w:id="617"/>
      <w:bookmarkEnd w:id="618"/>
      <w:bookmarkEnd w:id="619"/>
      <w:bookmarkEnd w:id="620"/>
      <w:bookmarkEnd w:id="621"/>
      <w:bookmarkEnd w:id="622"/>
      <w:bookmarkEnd w:id="623"/>
    </w:p>
    <w:p w14:paraId="0F13876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6.1.1 项目安全生产的达标目标及相应事项的约定：</w:t>
      </w:r>
      <w:r>
        <w:rPr>
          <w:rFonts w:hint="eastAsia" w:ascii="宋体" w:hAnsi="宋体" w:cs="宋体"/>
          <w:color w:val="auto"/>
          <w:szCs w:val="21"/>
          <w:highlight w:val="none"/>
          <w:u w:val="single"/>
        </w:rPr>
        <w:t xml:space="preserve"> 按照国家及地方安全文明施工的有关规定执行 </w:t>
      </w:r>
      <w:r>
        <w:rPr>
          <w:rFonts w:hint="eastAsia" w:ascii="宋体" w:hAnsi="宋体" w:cs="宋体"/>
          <w:color w:val="auto"/>
          <w:szCs w:val="21"/>
          <w:highlight w:val="none"/>
        </w:rPr>
        <w:t>。</w:t>
      </w:r>
    </w:p>
    <w:p w14:paraId="7418033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关于安全文明施工奖项的约定：</w:t>
      </w:r>
      <w:r>
        <w:rPr>
          <w:rFonts w:hint="eastAsia" w:ascii="宋体" w:hAnsi="宋体" w:cs="宋体"/>
          <w:color w:val="auto"/>
          <w:szCs w:val="21"/>
          <w:highlight w:val="none"/>
          <w:u w:val="single"/>
        </w:rPr>
        <w:t xml:space="preserve">  承包人应当负责统一管理施工场地的治安保卫事项，履行合同工程的治安保卫职责  </w:t>
      </w:r>
      <w:r>
        <w:rPr>
          <w:rFonts w:hint="eastAsia" w:ascii="宋体" w:hAnsi="宋体" w:cs="宋体"/>
          <w:color w:val="auto"/>
          <w:szCs w:val="21"/>
          <w:highlight w:val="none"/>
        </w:rPr>
        <w:t>。</w:t>
      </w:r>
    </w:p>
    <w:p w14:paraId="034DDDC9">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6.1.4 关于治安保卫的特别约定：</w:t>
      </w:r>
      <w:r>
        <w:rPr>
          <w:rFonts w:hint="eastAsia" w:ascii="宋体"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rPr>
        <w:t>。</w:t>
      </w:r>
    </w:p>
    <w:p w14:paraId="614A161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关于编制施工场地治安管理计划的约定：</w:t>
      </w:r>
      <w:r>
        <w:rPr>
          <w:rFonts w:hint="eastAsia" w:ascii="宋体" w:hAnsi="宋体" w:cs="宋体"/>
          <w:color w:val="auto"/>
          <w:szCs w:val="21"/>
          <w:highlight w:val="none"/>
          <w:u w:val="single"/>
        </w:rPr>
        <w:t xml:space="preserve">  开工前7天内承包人编制施工场地治安管理计划和突发治安事件紧急预案</w:t>
      </w:r>
      <w:r>
        <w:rPr>
          <w:rFonts w:hint="eastAsia" w:ascii="宋体" w:hAnsi="宋体" w:cs="宋体"/>
          <w:color w:val="auto"/>
          <w:szCs w:val="21"/>
          <w:highlight w:val="none"/>
        </w:rPr>
        <w:t>。</w:t>
      </w:r>
    </w:p>
    <w:p w14:paraId="28A7458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6.1.5 文明施工</w:t>
      </w:r>
    </w:p>
    <w:p w14:paraId="07468C7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按照国家及地方安全文明施工的有关规定执行</w:t>
      </w:r>
      <w:r>
        <w:rPr>
          <w:rFonts w:hint="eastAsia" w:ascii="宋体" w:hAnsi="宋体" w:cs="宋体"/>
          <w:color w:val="auto"/>
          <w:szCs w:val="21"/>
          <w:highlight w:val="none"/>
        </w:rPr>
        <w:t>。</w:t>
      </w:r>
    </w:p>
    <w:p w14:paraId="2EE6128C">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宋体"/>
          <w:color w:val="auto"/>
          <w:kern w:val="0"/>
          <w:highlight w:val="none"/>
        </w:rPr>
      </w:pPr>
      <w:r>
        <w:rPr>
          <w:rFonts w:hint="eastAsia" w:ascii="宋体" w:hAnsi="宋体" w:cs="宋体"/>
          <w:color w:val="auto"/>
          <w:szCs w:val="21"/>
          <w:highlight w:val="none"/>
        </w:rPr>
        <w:t>6.1.6 关于安全文明施工费支付比例和支付期限的约定：</w:t>
      </w:r>
      <w:r>
        <w:rPr>
          <w:rFonts w:hint="eastAsia" w:ascii="宋体" w:hAnsi="宋体" w:cs="宋体"/>
          <w:color w:val="auto"/>
          <w:kern w:val="0"/>
          <w:highlight w:val="none"/>
          <w:u w:val="single"/>
        </w:rPr>
        <w:t>专款专用</w:t>
      </w:r>
      <w:r>
        <w:rPr>
          <w:rFonts w:hint="eastAsia" w:ascii="宋体" w:hAnsi="宋体" w:cs="宋体"/>
          <w:color w:val="auto"/>
          <w:kern w:val="0"/>
          <w:highlight w:val="none"/>
        </w:rPr>
        <w:t>。具体按《广西壮族自治区建筑工程安全防护、文明施工措施费及管理细则》（桂建质〔2006〕22号）和</w:t>
      </w:r>
      <w:r>
        <w:rPr>
          <w:rFonts w:hint="eastAsia" w:ascii="宋体" w:hAnsi="宋体" w:cs="宋体"/>
          <w:color w:val="auto"/>
          <w:szCs w:val="24"/>
          <w:highlight w:val="none"/>
          <w:u w:val="single"/>
        </w:rPr>
        <w:t>桂林市建规[2007]131号文及市建规[2008]224号文</w:t>
      </w:r>
      <w:r>
        <w:rPr>
          <w:rFonts w:hint="eastAsia" w:ascii="宋体" w:hAnsi="宋体" w:cs="宋体"/>
          <w:color w:val="auto"/>
          <w:kern w:val="0"/>
          <w:highlight w:val="none"/>
        </w:rPr>
        <w:t>相关规定执行。</w:t>
      </w:r>
    </w:p>
    <w:p w14:paraId="154A758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（3）支付约定：</w:t>
      </w:r>
      <w:r>
        <w:rPr>
          <w:rFonts w:hint="eastAsia" w:ascii="宋体" w:hAnsi="宋体" w:cs="宋体"/>
          <w:color w:val="auto"/>
          <w:highlight w:val="none"/>
          <w:u w:val="single"/>
        </w:rPr>
        <w:t>具体按《广西壮族自治区建筑工程安全防护、文明施工措施费及管理细则》（桂建质〔2006〕22号）和桂林市建规[2007]131号文及市建规[2008]224号文相关规定执行。</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264D75F5">
      <w:pPr>
        <w:pStyle w:val="38"/>
        <w:spacing w:line="380" w:lineRule="exact"/>
        <w:rPr>
          <w:rFonts w:ascii="宋体" w:hAnsi="宋体" w:cs="宋体"/>
          <w:color w:val="auto"/>
          <w:highlight w:val="none"/>
          <w:u w:val="single"/>
        </w:rPr>
      </w:pPr>
      <w:bookmarkStart w:id="624" w:name="_Toc418061332"/>
      <w:bookmarkStart w:id="625" w:name="_Toc403578955"/>
      <w:bookmarkStart w:id="626" w:name="_Toc418752263"/>
      <w:bookmarkStart w:id="627" w:name="_Toc418751817"/>
      <w:bookmarkStart w:id="628" w:name="_Toc389065287"/>
      <w:bookmarkStart w:id="629" w:name="_Toc373478368"/>
      <w:bookmarkStart w:id="630" w:name="_Toc497747199"/>
      <w:bookmarkStart w:id="631" w:name="_Toc418518367"/>
      <w:bookmarkStart w:id="632" w:name="_Toc418518131"/>
      <w:bookmarkStart w:id="633" w:name="_Toc497746802"/>
      <w:bookmarkStart w:id="634" w:name="_Toc373227721"/>
      <w:r>
        <w:rPr>
          <w:rFonts w:hint="eastAsia" w:ascii="宋体" w:hAnsi="宋体" w:cs="宋体"/>
          <w:color w:val="auto"/>
          <w:highlight w:val="none"/>
        </w:rPr>
        <w:t>6.2职业健康</w:t>
      </w:r>
    </w:p>
    <w:p w14:paraId="4F25FC4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6.2.3 扬尘防治：严格执行市住建【2016】71号《关于进一步加强全市建筑工地扬尘治理工作的通知》的相关规定。关于扬尘防治费支付比例和支付期限的约定为：</w:t>
      </w:r>
      <w:r>
        <w:rPr>
          <w:rFonts w:hint="eastAsia" w:ascii="宋体" w:hAnsi="宋体" w:cs="宋体"/>
          <w:color w:val="auto"/>
          <w:szCs w:val="21"/>
          <w:highlight w:val="none"/>
          <w:u w:val="single"/>
        </w:rPr>
        <w:t>市住建〔2016〕34号文规定 。</w:t>
      </w:r>
    </w:p>
    <w:p w14:paraId="3E9861D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6.3 环境保护</w:t>
      </w:r>
      <w:bookmarkEnd w:id="624"/>
      <w:bookmarkEnd w:id="625"/>
      <w:bookmarkEnd w:id="626"/>
      <w:bookmarkEnd w:id="627"/>
      <w:bookmarkEnd w:id="628"/>
      <w:bookmarkEnd w:id="629"/>
      <w:bookmarkEnd w:id="630"/>
      <w:bookmarkEnd w:id="631"/>
      <w:bookmarkEnd w:id="632"/>
      <w:bookmarkEnd w:id="633"/>
      <w:bookmarkEnd w:id="634"/>
      <w:r>
        <w:rPr>
          <w:rFonts w:hint="eastAsia" w:ascii="宋体" w:hAnsi="宋体" w:cs="宋体"/>
          <w:color w:val="auto"/>
          <w:szCs w:val="21"/>
          <w:highlight w:val="none"/>
        </w:rPr>
        <w:t>因施工需要，经发包人批准，由承包人办理有关施工场地交通、环卫和施工噪音管理等手续，费用由承包人负责。</w:t>
      </w:r>
    </w:p>
    <w:p w14:paraId="1E127A1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经过城市道路的施工车辆，必须按交警、城管、运输等部门相关规定执行。由于施工车辆造成的道路、环境等污染，其责任和费用均由承包人承担。</w:t>
      </w:r>
    </w:p>
    <w:p w14:paraId="772A38F5">
      <w:pPr>
        <w:pStyle w:val="38"/>
        <w:spacing w:line="380" w:lineRule="exact"/>
        <w:rPr>
          <w:rFonts w:ascii="宋体" w:hAnsi="宋体" w:cs="宋体"/>
          <w:color w:val="auto"/>
          <w:highlight w:val="none"/>
        </w:rPr>
      </w:pPr>
      <w:r>
        <w:rPr>
          <w:rFonts w:hint="eastAsia" w:ascii="宋体" w:hAnsi="宋体" w:cs="宋体"/>
          <w:color w:val="auto"/>
          <w:highlight w:val="none"/>
        </w:rPr>
        <w:t>环保工作的约定：</w:t>
      </w:r>
      <w:r>
        <w:rPr>
          <w:rFonts w:hint="eastAsia" w:ascii="宋体" w:hAnsi="宋体" w:cs="宋体"/>
          <w:color w:val="auto"/>
          <w:highlight w:val="none"/>
          <w:u w:val="single"/>
        </w:rPr>
        <w:t>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量标准》GB3838-88Ⅱ。施工完毕后，承包人应及时将被破坏的场地，遵照监理工程师的指示进行清理、修正，并根据实际情况将场地恢复到原有状态，费用自理。</w:t>
      </w:r>
    </w:p>
    <w:bookmarkEnd w:id="590"/>
    <w:bookmarkEnd w:id="591"/>
    <w:bookmarkEnd w:id="592"/>
    <w:bookmarkEnd w:id="593"/>
    <w:bookmarkEnd w:id="594"/>
    <w:bookmarkEnd w:id="595"/>
    <w:bookmarkEnd w:id="596"/>
    <w:p w14:paraId="5EBB5028">
      <w:pPr>
        <w:pStyle w:val="31"/>
        <w:spacing w:line="380" w:lineRule="exact"/>
        <w:rPr>
          <w:rFonts w:ascii="宋体" w:cs="宋体"/>
          <w:color w:val="auto"/>
          <w:highlight w:val="none"/>
        </w:rPr>
      </w:pPr>
      <w:bookmarkStart w:id="635" w:name="_Toc373478369"/>
      <w:bookmarkStart w:id="636" w:name="_Toc351203639"/>
      <w:bookmarkStart w:id="637" w:name="_Toc418061333"/>
      <w:bookmarkStart w:id="638" w:name="_Toc373227722"/>
      <w:bookmarkStart w:id="639" w:name="_Toc418752264"/>
      <w:bookmarkStart w:id="640" w:name="_Toc256000201"/>
      <w:bookmarkStart w:id="641" w:name="_Toc497747200"/>
      <w:bookmarkStart w:id="642" w:name="_Toc418751818"/>
      <w:bookmarkStart w:id="643" w:name="_Toc418518132"/>
      <w:bookmarkStart w:id="644" w:name="_Toc497746803"/>
      <w:bookmarkStart w:id="645" w:name="_Toc389065288"/>
      <w:bookmarkStart w:id="646" w:name="_Toc403578956"/>
      <w:bookmarkStart w:id="647" w:name="_Toc418518368"/>
      <w:bookmarkStart w:id="648" w:name="_Toc522201751"/>
      <w:r>
        <w:rPr>
          <w:rFonts w:hint="eastAsia" w:ascii="宋体" w:cs="宋体"/>
          <w:color w:val="auto"/>
          <w:highlight w:val="none"/>
        </w:rPr>
        <w:t>7. 工期和进度</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5C279F9A">
      <w:pPr>
        <w:pStyle w:val="31"/>
        <w:spacing w:line="380" w:lineRule="exact"/>
        <w:ind w:firstLine="422" w:firstLineChars="200"/>
        <w:rPr>
          <w:rFonts w:ascii="宋体" w:cs="宋体"/>
          <w:color w:val="auto"/>
          <w:highlight w:val="none"/>
        </w:rPr>
      </w:pPr>
      <w:bookmarkStart w:id="649" w:name="_Toc373478370"/>
      <w:bookmarkStart w:id="650" w:name="_Toc418751819"/>
      <w:bookmarkStart w:id="651" w:name="_Toc522201752"/>
      <w:bookmarkStart w:id="652" w:name="_Toc418752265"/>
      <w:bookmarkStart w:id="653" w:name="_Toc497747201"/>
      <w:bookmarkStart w:id="654" w:name="_Toc418518133"/>
      <w:bookmarkStart w:id="655" w:name="_Toc418518369"/>
      <w:bookmarkStart w:id="656" w:name="_Toc403578957"/>
      <w:bookmarkStart w:id="657" w:name="_Toc418061334"/>
      <w:bookmarkStart w:id="658" w:name="_Toc497746804"/>
      <w:bookmarkStart w:id="659" w:name="_Toc256000202"/>
      <w:bookmarkStart w:id="660" w:name="_Toc373227723"/>
      <w:bookmarkStart w:id="661" w:name="_Toc389065289"/>
      <w:r>
        <w:rPr>
          <w:rFonts w:hint="eastAsia" w:ascii="宋体" w:cs="宋体"/>
          <w:color w:val="auto"/>
          <w:highlight w:val="none"/>
        </w:rPr>
        <w:t>7.1 施工组织设计</w:t>
      </w:r>
      <w:bookmarkEnd w:id="649"/>
      <w:bookmarkEnd w:id="650"/>
      <w:bookmarkEnd w:id="651"/>
      <w:bookmarkEnd w:id="652"/>
      <w:bookmarkEnd w:id="653"/>
      <w:bookmarkEnd w:id="654"/>
      <w:bookmarkEnd w:id="655"/>
      <w:bookmarkEnd w:id="656"/>
      <w:bookmarkEnd w:id="657"/>
      <w:bookmarkEnd w:id="658"/>
      <w:bookmarkEnd w:id="659"/>
      <w:bookmarkEnd w:id="660"/>
      <w:bookmarkEnd w:id="661"/>
    </w:p>
    <w:p w14:paraId="186E2746">
      <w:pPr>
        <w:pStyle w:val="38"/>
        <w:spacing w:line="380" w:lineRule="exact"/>
        <w:rPr>
          <w:rFonts w:ascii="宋体" w:hAnsi="宋体" w:cs="宋体"/>
          <w:color w:val="auto"/>
          <w:sz w:val="21"/>
          <w:szCs w:val="21"/>
          <w:highlight w:val="none"/>
          <w:u w:val="single"/>
        </w:rPr>
      </w:pPr>
      <w:r>
        <w:rPr>
          <w:rFonts w:hint="eastAsia" w:ascii="宋体" w:hAnsi="宋体" w:cs="宋体"/>
          <w:color w:val="auto"/>
          <w:sz w:val="21"/>
          <w:szCs w:val="21"/>
          <w:highlight w:val="none"/>
        </w:rPr>
        <w:t>7.1.1 合同当事人约定的施工组织设计应包括的其他内容：</w:t>
      </w:r>
      <w:r>
        <w:rPr>
          <w:rFonts w:hint="eastAsia" w:ascii="宋体" w:hAnsi="宋体" w:cs="宋体"/>
          <w:color w:val="auto"/>
          <w:sz w:val="21"/>
          <w:szCs w:val="21"/>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17537837">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 xml:space="preserve">7.1.2 </w:t>
      </w:r>
      <w:r>
        <w:rPr>
          <w:rFonts w:hint="eastAsia" w:ascii="宋体" w:hAnsi="宋体" w:cs="宋体"/>
          <w:color w:val="auto"/>
          <w:kern w:val="0"/>
          <w:szCs w:val="21"/>
          <w:highlight w:val="none"/>
        </w:rPr>
        <w:t>施工组织设计的提交和修改</w:t>
      </w:r>
    </w:p>
    <w:p w14:paraId="2B1086D0">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承包人提交详细施工组织设计的期限的约定：</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合同签订后14天内，最迟不得晚于开工通知载明的开工日期前7天</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0906ADA">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收到施工组织设计后7天内确认或提出修改意见。</w:t>
      </w:r>
    </w:p>
    <w:p w14:paraId="226B1C77">
      <w:pPr>
        <w:pStyle w:val="31"/>
        <w:spacing w:line="380" w:lineRule="exact"/>
        <w:ind w:firstLine="422" w:firstLineChars="200"/>
        <w:rPr>
          <w:rFonts w:ascii="宋体" w:cs="宋体"/>
          <w:color w:val="auto"/>
          <w:highlight w:val="none"/>
        </w:rPr>
      </w:pPr>
      <w:bookmarkStart w:id="662" w:name="_Toc497746805"/>
      <w:bookmarkStart w:id="663" w:name="_Toc373227724"/>
      <w:bookmarkStart w:id="664" w:name="_Toc389065290"/>
      <w:bookmarkStart w:id="665" w:name="_Toc418518134"/>
      <w:bookmarkStart w:id="666" w:name="_Toc522201753"/>
      <w:bookmarkStart w:id="667" w:name="_Toc418752266"/>
      <w:bookmarkStart w:id="668" w:name="_Toc256000203"/>
      <w:bookmarkStart w:id="669" w:name="_Toc497747202"/>
      <w:bookmarkStart w:id="670" w:name="_Toc418061335"/>
      <w:bookmarkStart w:id="671" w:name="_Toc418518370"/>
      <w:bookmarkStart w:id="672" w:name="_Toc403578958"/>
      <w:bookmarkStart w:id="673" w:name="_Toc418751820"/>
      <w:bookmarkStart w:id="674" w:name="_Toc373478371"/>
      <w:r>
        <w:rPr>
          <w:rFonts w:hint="eastAsia" w:ascii="宋体" w:cs="宋体"/>
          <w:color w:val="auto"/>
          <w:highlight w:val="none"/>
        </w:rPr>
        <w:t>7</w:t>
      </w:r>
      <w:bookmarkStart w:id="675" w:name="_Toc304295541"/>
      <w:bookmarkStart w:id="676" w:name="_Toc300934966"/>
      <w:bookmarkStart w:id="677" w:name="_Toc312678005"/>
      <w:bookmarkStart w:id="678" w:name="_Toc297123514"/>
      <w:bookmarkStart w:id="679" w:name="_Toc297216173"/>
      <w:bookmarkStart w:id="680" w:name="_Toc303539123"/>
      <w:bookmarkStart w:id="681" w:name="_Toc312677479"/>
      <w:r>
        <w:rPr>
          <w:rFonts w:hint="eastAsia" w:ascii="宋体" w:cs="宋体"/>
          <w:color w:val="auto"/>
          <w:highlight w:val="none"/>
        </w:rPr>
        <w:t>.2 施工进度计划</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5FAD661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7.2.2 施工进度计划的修订</w:t>
      </w:r>
    </w:p>
    <w:p w14:paraId="2F85B24C">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（1）发包人和监理人在收到修订的施工进度计划后确认或提出修改意见的期限：</w:t>
      </w:r>
      <w:r>
        <w:rPr>
          <w:rFonts w:hint="eastAsia" w:ascii="宋体" w:hAnsi="宋体" w:cs="宋体"/>
          <w:color w:val="auto"/>
          <w:szCs w:val="21"/>
          <w:highlight w:val="none"/>
          <w:u w:val="single"/>
        </w:rPr>
        <w:t>自监理人收到承包人报送的相关进度计划后 7天内。</w:t>
      </w:r>
      <w:r>
        <w:rPr>
          <w:rFonts w:hint="eastAsia" w:ascii="宋体" w:hAnsi="宋体" w:cs="宋体"/>
          <w:color w:val="auto"/>
          <w:szCs w:val="21"/>
          <w:highlight w:val="none"/>
        </w:rPr>
        <w:t xml:space="preserve"> </w:t>
      </w:r>
    </w:p>
    <w:p w14:paraId="61BB587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（2）承包人编制分阶段或分项施工进度计划和施工方案说明的内容：</w:t>
      </w:r>
      <w:r>
        <w:rPr>
          <w:rFonts w:hint="eastAsia" w:ascii="宋体" w:hAnsi="宋体" w:cs="宋体"/>
          <w:color w:val="auto"/>
          <w:szCs w:val="21"/>
          <w:highlight w:val="none"/>
          <w:u w:val="single"/>
        </w:rPr>
        <w:t>包含但不限于月进度计划、原地面测量方案、不良地基处理方案等。</w:t>
      </w:r>
      <w:r>
        <w:rPr>
          <w:rFonts w:hint="eastAsia" w:ascii="宋体" w:hAnsi="宋体" w:cs="宋体"/>
          <w:color w:val="auto"/>
          <w:szCs w:val="21"/>
          <w:highlight w:val="none"/>
        </w:rPr>
        <w:t xml:space="preserve"> </w:t>
      </w:r>
    </w:p>
    <w:p w14:paraId="76E883C2">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 承包人报送分阶段或分项施工进度计划和施工方案说明的期限： </w:t>
      </w:r>
      <w:r>
        <w:rPr>
          <w:rFonts w:hint="eastAsia" w:ascii="宋体" w:hAnsi="宋体" w:cs="宋体"/>
          <w:color w:val="auto"/>
          <w:szCs w:val="21"/>
          <w:highlight w:val="none"/>
          <w:u w:val="single"/>
        </w:rPr>
        <w:t>月进度计划于上月 30 日前提交，分项施工进度计划和施工方案说明应不迟于该分项工程施工前14 天提交。</w:t>
      </w:r>
    </w:p>
    <w:p w14:paraId="080EF18C">
      <w:pPr>
        <w:pStyle w:val="31"/>
        <w:spacing w:line="380" w:lineRule="exact"/>
        <w:ind w:firstLine="422" w:firstLineChars="200"/>
        <w:rPr>
          <w:rFonts w:ascii="宋体" w:cs="宋体"/>
          <w:color w:val="auto"/>
          <w:highlight w:val="none"/>
        </w:rPr>
      </w:pPr>
      <w:bookmarkStart w:id="682" w:name="_Toc403578959"/>
      <w:bookmarkStart w:id="683" w:name="_Toc418518371"/>
      <w:bookmarkStart w:id="684" w:name="_Toc256000204"/>
      <w:bookmarkStart w:id="685" w:name="_Toc418061336"/>
      <w:bookmarkStart w:id="686" w:name="_Toc418518135"/>
      <w:bookmarkStart w:id="687" w:name="_Toc522201754"/>
      <w:bookmarkStart w:id="688" w:name="_Toc418751821"/>
      <w:bookmarkStart w:id="689" w:name="_Toc373478372"/>
      <w:bookmarkStart w:id="690" w:name="_Toc389065291"/>
      <w:bookmarkStart w:id="691" w:name="_Toc497747203"/>
      <w:bookmarkStart w:id="692" w:name="_Toc418752267"/>
      <w:bookmarkStart w:id="693" w:name="_Toc373227725"/>
      <w:bookmarkStart w:id="694" w:name="_Toc497746806"/>
      <w:r>
        <w:rPr>
          <w:rFonts w:hint="eastAsia" w:ascii="宋体" w:cs="宋体"/>
          <w:color w:val="auto"/>
          <w:highlight w:val="none"/>
        </w:rPr>
        <w:t>7.3 开工</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3BEF9F7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7.3.1 开工准备</w:t>
      </w:r>
    </w:p>
    <w:p w14:paraId="24E822F9">
      <w:pPr>
        <w:pStyle w:val="33"/>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6FE0851A">
      <w:pPr>
        <w:pStyle w:val="33"/>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关于发包人应完成的其他开工准备工作及期限：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3355BC4A">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关于承包人应完成的其他开工准备工作及期限：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10008FD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7.3.2 开工通知</w:t>
      </w:r>
    </w:p>
    <w:p w14:paraId="4AC8711F">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strike w:val="0"/>
          <w:color w:val="auto"/>
          <w:szCs w:val="21"/>
          <w:highlight w:val="none"/>
          <w:u w:val="single"/>
          <w:lang w:val="en-US" w:eastAsia="zh-CN"/>
        </w:rPr>
        <w:t xml:space="preserve">/ </w:t>
      </w:r>
      <w:r>
        <w:rPr>
          <w:rFonts w:hint="eastAsia" w:ascii="宋体" w:hAnsi="宋体" w:cs="宋体"/>
          <w:color w:val="auto"/>
          <w:szCs w:val="21"/>
          <w:highlight w:val="none"/>
        </w:rPr>
        <w:t>天内发出开工通知的，承包人有权提出价格调整要求，或者解除合同。</w:t>
      </w:r>
    </w:p>
    <w:bookmarkEnd w:id="675"/>
    <w:bookmarkEnd w:id="676"/>
    <w:bookmarkEnd w:id="677"/>
    <w:bookmarkEnd w:id="678"/>
    <w:bookmarkEnd w:id="679"/>
    <w:bookmarkEnd w:id="680"/>
    <w:bookmarkEnd w:id="681"/>
    <w:p w14:paraId="7906F75F">
      <w:pPr>
        <w:pStyle w:val="31"/>
        <w:spacing w:line="380" w:lineRule="exact"/>
        <w:ind w:firstLine="422" w:firstLineChars="200"/>
        <w:rPr>
          <w:rFonts w:ascii="宋体" w:cs="宋体"/>
          <w:color w:val="auto"/>
          <w:highlight w:val="none"/>
        </w:rPr>
      </w:pPr>
      <w:bookmarkStart w:id="695" w:name="_Toc497747204"/>
      <w:bookmarkStart w:id="696" w:name="_Toc418518372"/>
      <w:bookmarkStart w:id="697" w:name="_Toc418518136"/>
      <w:bookmarkStart w:id="698" w:name="_Toc418751822"/>
      <w:bookmarkStart w:id="699" w:name="_Toc389065292"/>
      <w:bookmarkStart w:id="700" w:name="_Toc256000205"/>
      <w:bookmarkStart w:id="701" w:name="_Toc497746807"/>
      <w:bookmarkStart w:id="702" w:name="_Toc373227726"/>
      <w:bookmarkStart w:id="703" w:name="_Toc418061337"/>
      <w:bookmarkStart w:id="704" w:name="_Toc403578960"/>
      <w:bookmarkStart w:id="705" w:name="_Toc522201755"/>
      <w:bookmarkStart w:id="706" w:name="_Toc418752268"/>
      <w:bookmarkStart w:id="707" w:name="_Toc373478373"/>
      <w:r>
        <w:rPr>
          <w:rFonts w:hint="eastAsia" w:ascii="宋体" w:cs="宋体"/>
          <w:color w:val="auto"/>
          <w:highlight w:val="none"/>
        </w:rPr>
        <w:t>7.4 测量放线</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254F625">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7.4.1发包人通过监理人向承包人提供测量基准点、基准线和水准点及其书面资料的期限：</w:t>
      </w:r>
      <w:r>
        <w:rPr>
          <w:rFonts w:hint="eastAsia" w:ascii="宋体" w:hAnsi="宋体" w:cs="宋体"/>
          <w:color w:val="auto"/>
          <w:szCs w:val="21"/>
          <w:highlight w:val="none"/>
          <w:u w:val="single"/>
        </w:rPr>
        <w:t>开工通知载明的开工日前 7 天，承包人进入工地后进行现场书面交桩。水准点、座标控制点交验完毕，即由承包人负责保护，此后由于破坏或失准带来的重新测量、放点费用及由此造成的其他损失均由承包人负担； 承包人应于开工通知后七天内现场校验，并根据国家测绘基准、测绘系统和工程测量技术规范，按上述基准点（线）以及合同工程精度要求，测设施工控制网，三方做好签认工作；承包人应于开工前3天，并在工程竣工后将施工控制网点移交发包人 。</w:t>
      </w:r>
    </w:p>
    <w:p w14:paraId="2763F812">
      <w:pPr>
        <w:pStyle w:val="31"/>
        <w:spacing w:line="380" w:lineRule="exact"/>
        <w:ind w:firstLine="422" w:firstLineChars="200"/>
        <w:rPr>
          <w:rFonts w:ascii="宋体" w:cs="宋体"/>
          <w:color w:val="auto"/>
          <w:highlight w:val="none"/>
        </w:rPr>
      </w:pPr>
      <w:bookmarkStart w:id="708" w:name="_Toc389065293"/>
      <w:bookmarkStart w:id="709" w:name="_Toc418518373"/>
      <w:bookmarkStart w:id="710" w:name="_Toc418752269"/>
      <w:bookmarkStart w:id="711" w:name="_Toc403578961"/>
      <w:bookmarkStart w:id="712" w:name="_Toc373478374"/>
      <w:bookmarkStart w:id="713" w:name="_Toc522201756"/>
      <w:bookmarkStart w:id="714" w:name="_Toc418518137"/>
      <w:bookmarkStart w:id="715" w:name="_Toc256000206"/>
      <w:bookmarkStart w:id="716" w:name="_Toc373227727"/>
      <w:bookmarkStart w:id="717" w:name="_Toc497747205"/>
      <w:bookmarkStart w:id="718" w:name="_Toc497746808"/>
      <w:bookmarkStart w:id="719" w:name="_Toc418061338"/>
      <w:bookmarkStart w:id="720" w:name="_Toc418751823"/>
      <w:r>
        <w:rPr>
          <w:rFonts w:hint="eastAsia" w:ascii="宋体" w:cs="宋体"/>
          <w:color w:val="auto"/>
          <w:highlight w:val="none"/>
        </w:rPr>
        <w:t>7</w:t>
      </w:r>
      <w:bookmarkStart w:id="721" w:name="_Toc312677484"/>
      <w:bookmarkStart w:id="722" w:name="_Toc297216175"/>
      <w:bookmarkStart w:id="723" w:name="_Toc300934968"/>
      <w:bookmarkStart w:id="724" w:name="_Toc304295546"/>
      <w:bookmarkStart w:id="725" w:name="_Toc297123516"/>
      <w:bookmarkStart w:id="726" w:name="_Toc303539125"/>
      <w:bookmarkStart w:id="727" w:name="_Toc312678010"/>
      <w:r>
        <w:rPr>
          <w:rFonts w:hint="eastAsia" w:ascii="宋体" w:cs="宋体"/>
          <w:color w:val="auto"/>
          <w:highlight w:val="none"/>
        </w:rPr>
        <w:t>.5 工期延误</w:t>
      </w:r>
      <w:bookmarkEnd w:id="708"/>
      <w:bookmarkEnd w:id="709"/>
      <w:bookmarkEnd w:id="710"/>
      <w:bookmarkEnd w:id="711"/>
      <w:bookmarkEnd w:id="712"/>
      <w:bookmarkEnd w:id="713"/>
      <w:bookmarkEnd w:id="714"/>
      <w:bookmarkEnd w:id="715"/>
      <w:bookmarkEnd w:id="716"/>
      <w:bookmarkEnd w:id="717"/>
      <w:bookmarkEnd w:id="718"/>
      <w:bookmarkEnd w:id="719"/>
      <w:bookmarkEnd w:id="720"/>
    </w:p>
    <w:bookmarkEnd w:id="721"/>
    <w:bookmarkEnd w:id="722"/>
    <w:bookmarkEnd w:id="723"/>
    <w:bookmarkEnd w:id="724"/>
    <w:bookmarkEnd w:id="725"/>
    <w:bookmarkEnd w:id="726"/>
    <w:bookmarkEnd w:id="727"/>
    <w:p w14:paraId="3DB0D77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7.5.1 因发包人原因导致工期延误</w:t>
      </w:r>
    </w:p>
    <w:p w14:paraId="62FC0EC4">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（7）因发包人原因导致工期延误的其他情形：</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w:t>
      </w:r>
    </w:p>
    <w:p w14:paraId="15708C2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bookmarkStart w:id="728" w:name="_Toc312677486"/>
      <w:bookmarkStart w:id="729" w:name="_Toc318581169"/>
      <w:bookmarkStart w:id="730" w:name="_Toc312678012"/>
      <w:bookmarkStart w:id="731" w:name="_Toc304295548"/>
      <w:bookmarkStart w:id="732" w:name="_Toc297123518"/>
      <w:bookmarkStart w:id="733" w:name="_Toc303539127"/>
      <w:bookmarkStart w:id="734" w:name="_Toc297216177"/>
      <w:bookmarkStart w:id="735" w:name="_Toc300934970"/>
      <w:r>
        <w:rPr>
          <w:rFonts w:hint="eastAsia" w:ascii="宋体" w:hAnsi="宋体" w:cs="宋体"/>
          <w:color w:val="auto"/>
          <w:szCs w:val="21"/>
          <w:highlight w:val="none"/>
        </w:rPr>
        <w:t>.5.2 因承包人原因导致工期延误</w:t>
      </w:r>
    </w:p>
    <w:bookmarkEnd w:id="728"/>
    <w:bookmarkEnd w:id="729"/>
    <w:bookmarkEnd w:id="730"/>
    <w:p w14:paraId="0A176BF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双方约定经监理工程师确认，工期相应顺延的情况：</w:t>
      </w:r>
      <w:r>
        <w:rPr>
          <w:rFonts w:hint="eastAsia" w:ascii="宋体" w:hAnsi="宋体" w:cs="宋体"/>
          <w:color w:val="auto"/>
          <w:szCs w:val="21"/>
          <w:highlight w:val="none"/>
          <w:u w:val="single"/>
        </w:rPr>
        <w:t xml:space="preserve">  非承包人原因导致的工期延误，合同工期相应顺延</w:t>
      </w:r>
      <w:r>
        <w:rPr>
          <w:rFonts w:hint="eastAsia" w:ascii="宋体" w:hAnsi="宋体" w:cs="宋体"/>
          <w:color w:val="auto"/>
          <w:szCs w:val="21"/>
          <w:highlight w:val="none"/>
        </w:rPr>
        <w:t>。</w:t>
      </w:r>
    </w:p>
    <w:p w14:paraId="38D268A0">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w:t>
      </w:r>
      <w:bookmarkStart w:id="736" w:name="_Toc312677487"/>
      <w:bookmarkStart w:id="737" w:name="_Toc312678013"/>
      <w:bookmarkStart w:id="738" w:name="_Toc318581170"/>
      <w:r>
        <w:rPr>
          <w:rFonts w:hint="eastAsia" w:ascii="宋体" w:hAnsi="宋体" w:cs="宋体"/>
          <w:color w:val="auto"/>
          <w:szCs w:val="21"/>
          <w:highlight w:val="none"/>
        </w:rPr>
        <w:t>承包人原因造成工期延误，逾期竣工违约金的计算方法为：</w:t>
      </w:r>
      <w:r>
        <w:rPr>
          <w:rFonts w:hint="eastAsia" w:ascii="宋体" w:hAnsi="宋体" w:cs="宋体"/>
          <w:strike w:val="0"/>
          <w:color w:val="auto"/>
          <w:szCs w:val="21"/>
          <w:highlight w:val="none"/>
          <w:u w:val="single"/>
        </w:rPr>
        <w:t>非上述原因，</w:t>
      </w:r>
      <w:r>
        <w:rPr>
          <w:rFonts w:hint="eastAsia" w:ascii="宋体" w:hAnsi="宋体" w:cs="宋体"/>
          <w:color w:val="auto"/>
          <w:szCs w:val="21"/>
          <w:highlight w:val="none"/>
          <w:u w:val="single"/>
        </w:rPr>
        <w:t xml:space="preserve">承包人不能按合同约定的时间竣工，承包人应承担违约责任，并应向发包人支付误期赔偿费（每天赔偿金额为合同价款扣除社会保险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中止合同，并依法追究承包人的违约责任，由此造成的一切损失均由责任人负责。 </w:t>
      </w:r>
    </w:p>
    <w:bookmarkEnd w:id="731"/>
    <w:bookmarkEnd w:id="732"/>
    <w:bookmarkEnd w:id="733"/>
    <w:bookmarkEnd w:id="734"/>
    <w:bookmarkEnd w:id="735"/>
    <w:bookmarkEnd w:id="736"/>
    <w:bookmarkEnd w:id="737"/>
    <w:bookmarkEnd w:id="738"/>
    <w:p w14:paraId="66D3E693">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w:t>
      </w:r>
      <w:bookmarkStart w:id="739" w:name="_Toc318581171"/>
      <w:bookmarkStart w:id="740" w:name="_Toc312678014"/>
      <w:r>
        <w:rPr>
          <w:rFonts w:hint="eastAsia" w:ascii="宋体" w:hAnsi="宋体" w:cs="宋体"/>
          <w:color w:val="auto"/>
          <w:szCs w:val="21"/>
          <w:highlight w:val="none"/>
        </w:rPr>
        <w:t>期竣工违约金的上限：</w:t>
      </w:r>
      <w:r>
        <w:rPr>
          <w:rFonts w:hint="eastAsia" w:ascii="宋体" w:hAnsi="宋体" w:cs="宋体"/>
          <w:color w:val="auto"/>
          <w:szCs w:val="21"/>
          <w:highlight w:val="none"/>
          <w:u w:val="single"/>
          <w:lang w:eastAsia="zh-CN"/>
        </w:rPr>
        <w:t>结算</w:t>
      </w:r>
      <w:r>
        <w:rPr>
          <w:rFonts w:hint="eastAsia" w:ascii="宋体" w:hAnsi="宋体" w:cs="宋体"/>
          <w:color w:val="auto"/>
          <w:szCs w:val="21"/>
          <w:highlight w:val="none"/>
          <w:u w:val="single"/>
        </w:rPr>
        <w:t>价扣除社会保险费、发包人材料价款、暂估专业工程、暂列金额后的3%</w:t>
      </w:r>
      <w:r>
        <w:rPr>
          <w:rFonts w:hint="eastAsia" w:ascii="宋体" w:hAnsi="宋体" w:cs="宋体"/>
          <w:color w:val="auto"/>
          <w:szCs w:val="21"/>
          <w:highlight w:val="none"/>
        </w:rPr>
        <w:t>。</w:t>
      </w:r>
    </w:p>
    <w:bookmarkEnd w:id="739"/>
    <w:bookmarkEnd w:id="740"/>
    <w:p w14:paraId="45FC470C">
      <w:pPr>
        <w:pStyle w:val="31"/>
        <w:spacing w:line="380" w:lineRule="exact"/>
        <w:ind w:firstLine="422" w:firstLineChars="200"/>
        <w:rPr>
          <w:rFonts w:ascii="宋体" w:cs="宋体"/>
          <w:color w:val="auto"/>
          <w:highlight w:val="none"/>
        </w:rPr>
      </w:pPr>
      <w:bookmarkStart w:id="741" w:name="_Toc418518374"/>
      <w:bookmarkStart w:id="742" w:name="_Toc389065294"/>
      <w:bookmarkStart w:id="743" w:name="_Toc497746809"/>
      <w:bookmarkStart w:id="744" w:name="_Toc522201757"/>
      <w:bookmarkStart w:id="745" w:name="_Toc418752270"/>
      <w:bookmarkStart w:id="746" w:name="_Toc497747206"/>
      <w:bookmarkStart w:id="747" w:name="_Toc373227728"/>
      <w:bookmarkStart w:id="748" w:name="_Toc403578962"/>
      <w:bookmarkStart w:id="749" w:name="_Toc418061339"/>
      <w:bookmarkStart w:id="750" w:name="_Toc373478375"/>
      <w:bookmarkStart w:id="751" w:name="_Toc418518138"/>
      <w:bookmarkStart w:id="752" w:name="_Toc418751824"/>
      <w:bookmarkStart w:id="753" w:name="_Toc256000207"/>
      <w:r>
        <w:rPr>
          <w:rFonts w:hint="eastAsia" w:ascii="宋体" w:cs="宋体"/>
          <w:color w:val="auto"/>
          <w:highlight w:val="none"/>
        </w:rPr>
        <w:t>7</w:t>
      </w:r>
      <w:bookmarkStart w:id="754" w:name="_Toc312678015"/>
      <w:bookmarkStart w:id="755" w:name="_Toc300934971"/>
      <w:bookmarkStart w:id="756" w:name="_Toc297216178"/>
      <w:bookmarkStart w:id="757" w:name="_Toc297123519"/>
      <w:bookmarkStart w:id="758" w:name="_Toc303539128"/>
      <w:bookmarkStart w:id="759" w:name="_Toc304295549"/>
      <w:r>
        <w:rPr>
          <w:rFonts w:hint="eastAsia" w:ascii="宋体" w:cs="宋体"/>
          <w:color w:val="auto"/>
          <w:highlight w:val="none"/>
        </w:rPr>
        <w:t>.6 不</w:t>
      </w:r>
      <w:bookmarkEnd w:id="754"/>
      <w:bookmarkEnd w:id="755"/>
      <w:bookmarkEnd w:id="756"/>
      <w:bookmarkEnd w:id="757"/>
      <w:bookmarkEnd w:id="758"/>
      <w:bookmarkEnd w:id="759"/>
      <w:r>
        <w:rPr>
          <w:rFonts w:hint="eastAsia" w:ascii="宋体" w:cs="宋体"/>
          <w:color w:val="auto"/>
          <w:highlight w:val="none"/>
        </w:rPr>
        <w:t>利物质条件</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409F65B2">
      <w:pPr>
        <w:pStyle w:val="33"/>
        <w:spacing w:line="380" w:lineRule="exact"/>
        <w:ind w:firstLine="420" w:firstLineChars="200"/>
        <w:jc w:val="left"/>
        <w:rPr>
          <w:rFonts w:ascii="宋体" w:hAnsi="宋体" w:cs="宋体"/>
          <w:color w:val="auto"/>
          <w:szCs w:val="21"/>
          <w:highlight w:val="none"/>
          <w:u w:val="single"/>
        </w:rPr>
      </w:pPr>
      <w:bookmarkStart w:id="760" w:name="_Toc312678016"/>
      <w:bookmarkStart w:id="761" w:name="_Toc297123520"/>
      <w:bookmarkStart w:id="762" w:name="_Toc318581172"/>
      <w:bookmarkStart w:id="763" w:name="_Toc297216179"/>
      <w:bookmarkStart w:id="764" w:name="_Toc304295550"/>
      <w:bookmarkStart w:id="765" w:name="_Toc300934972"/>
      <w:bookmarkStart w:id="766" w:name="_Toc303539129"/>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color w:val="auto"/>
          <w:szCs w:val="21"/>
          <w:highlight w:val="none"/>
        </w:rPr>
        <w:t>。</w:t>
      </w:r>
    </w:p>
    <w:bookmarkEnd w:id="760"/>
    <w:bookmarkEnd w:id="761"/>
    <w:bookmarkEnd w:id="762"/>
    <w:bookmarkEnd w:id="763"/>
    <w:bookmarkEnd w:id="764"/>
    <w:bookmarkEnd w:id="765"/>
    <w:bookmarkEnd w:id="766"/>
    <w:p w14:paraId="5360405A">
      <w:pPr>
        <w:pStyle w:val="31"/>
        <w:spacing w:line="380" w:lineRule="exact"/>
        <w:ind w:firstLine="422" w:firstLineChars="200"/>
        <w:rPr>
          <w:rFonts w:ascii="宋体" w:cs="宋体"/>
          <w:color w:val="auto"/>
          <w:highlight w:val="none"/>
        </w:rPr>
      </w:pPr>
      <w:bookmarkStart w:id="767" w:name="_Toc522201758"/>
      <w:bookmarkStart w:id="768" w:name="_Toc418518375"/>
      <w:bookmarkStart w:id="769" w:name="_Toc418751825"/>
      <w:bookmarkStart w:id="770" w:name="_Toc373478376"/>
      <w:bookmarkStart w:id="771" w:name="_Toc389065295"/>
      <w:bookmarkStart w:id="772" w:name="_Toc418752271"/>
      <w:bookmarkStart w:id="773" w:name="_Toc497747207"/>
      <w:bookmarkStart w:id="774" w:name="_Toc403578963"/>
      <w:bookmarkStart w:id="775" w:name="_Toc418061340"/>
      <w:bookmarkStart w:id="776" w:name="_Toc418518139"/>
      <w:bookmarkStart w:id="777" w:name="_Toc373227729"/>
      <w:bookmarkStart w:id="778" w:name="_Toc256000208"/>
      <w:bookmarkStart w:id="779" w:name="_Toc497746810"/>
      <w:r>
        <w:rPr>
          <w:rFonts w:hint="eastAsia" w:ascii="宋体" w:cs="宋体"/>
          <w:color w:val="auto"/>
          <w:highlight w:val="none"/>
        </w:rPr>
        <w:t>7</w:t>
      </w:r>
      <w:bookmarkStart w:id="780" w:name="_Toc303539130"/>
      <w:bookmarkStart w:id="781" w:name="_Toc304295551"/>
      <w:bookmarkStart w:id="782" w:name="_Toc312678017"/>
      <w:bookmarkStart w:id="783" w:name="_Toc297123521"/>
      <w:bookmarkStart w:id="784" w:name="_Toc297216180"/>
      <w:bookmarkStart w:id="785" w:name="_Toc300934973"/>
      <w:r>
        <w:rPr>
          <w:rFonts w:hint="eastAsia" w:ascii="宋体" w:cs="宋体"/>
          <w:color w:val="auto"/>
          <w:highlight w:val="none"/>
        </w:rPr>
        <w:t>.7 异常恶劣的气候条件</w:t>
      </w:r>
      <w:bookmarkEnd w:id="767"/>
      <w:bookmarkEnd w:id="768"/>
      <w:bookmarkEnd w:id="769"/>
      <w:bookmarkEnd w:id="770"/>
      <w:bookmarkEnd w:id="771"/>
      <w:bookmarkEnd w:id="772"/>
      <w:bookmarkEnd w:id="773"/>
      <w:bookmarkEnd w:id="774"/>
      <w:bookmarkEnd w:id="775"/>
      <w:bookmarkEnd w:id="776"/>
      <w:bookmarkEnd w:id="777"/>
      <w:bookmarkEnd w:id="778"/>
      <w:bookmarkEnd w:id="779"/>
    </w:p>
    <w:bookmarkEnd w:id="780"/>
    <w:bookmarkEnd w:id="781"/>
    <w:bookmarkEnd w:id="782"/>
    <w:bookmarkEnd w:id="783"/>
    <w:bookmarkEnd w:id="784"/>
    <w:bookmarkEnd w:id="785"/>
    <w:p w14:paraId="68C2322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发包人和承包人同意以下情形视为异常恶劣的气候条件：</w:t>
      </w:r>
    </w:p>
    <w:p w14:paraId="384DB65E">
      <w:pPr>
        <w:pStyle w:val="33"/>
        <w:spacing w:line="380" w:lineRule="exact"/>
        <w:ind w:firstLine="420" w:firstLineChars="200"/>
        <w:rPr>
          <w:rFonts w:ascii="宋体" w:hAnsi="宋体" w:cs="宋体"/>
          <w:color w:val="auto"/>
          <w:szCs w:val="21"/>
          <w:highlight w:val="none"/>
          <w:u w:val="single"/>
        </w:rPr>
      </w:pPr>
      <w:bookmarkStart w:id="786" w:name="_Toc403578964"/>
      <w:bookmarkStart w:id="787" w:name="_Toc418518140"/>
      <w:bookmarkStart w:id="788" w:name="_Toc418751826"/>
      <w:bookmarkStart w:id="789" w:name="_Toc373478377"/>
      <w:bookmarkStart w:id="790" w:name="_Toc497747208"/>
      <w:bookmarkStart w:id="791" w:name="_Toc418518376"/>
      <w:bookmarkStart w:id="792" w:name="_Toc418061341"/>
      <w:bookmarkStart w:id="793" w:name="_Toc389065296"/>
      <w:bookmarkStart w:id="794" w:name="_Toc497746811"/>
      <w:bookmarkStart w:id="795" w:name="_Toc373227730"/>
      <w:bookmarkStart w:id="796" w:name="_Toc418752272"/>
      <w:r>
        <w:rPr>
          <w:rFonts w:hint="eastAsia" w:ascii="宋体" w:hAnsi="宋体" w:cs="宋体"/>
          <w:color w:val="auto"/>
          <w:szCs w:val="21"/>
          <w:highlight w:val="none"/>
        </w:rPr>
        <w:t>（1）</w:t>
      </w:r>
      <w:r>
        <w:rPr>
          <w:rFonts w:hint="eastAsia" w:ascii="宋体" w:hAnsi="宋体" w:cs="宋体"/>
          <w:color w:val="auto"/>
          <w:szCs w:val="21"/>
          <w:highlight w:val="none"/>
          <w:u w:val="single"/>
        </w:rPr>
        <w:t>10级以上持续1天的大风；</w:t>
      </w:r>
    </w:p>
    <w:p w14:paraId="5C91A506">
      <w:pPr>
        <w:pStyle w:val="33"/>
        <w:numPr>
          <w:ilvl w:val="0"/>
          <w:numId w:val="6"/>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暴雨级以上持续2天的大雨；</w:t>
      </w:r>
    </w:p>
    <w:p w14:paraId="4B5CE36B">
      <w:pPr>
        <w:pStyle w:val="33"/>
        <w:numPr>
          <w:ilvl w:val="0"/>
          <w:numId w:val="6"/>
        </w:numPr>
        <w:spacing w:line="38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u w:val="single"/>
        </w:rPr>
        <w:t>当地6级以上的破坏性地震；</w:t>
      </w:r>
    </w:p>
    <w:p w14:paraId="5BB12DC2">
      <w:pPr>
        <w:pStyle w:val="33"/>
        <w:numPr>
          <w:ilvl w:val="0"/>
          <w:numId w:val="6"/>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50年以上未发生过的持续2天的高温天气；</w:t>
      </w:r>
    </w:p>
    <w:p w14:paraId="0B346591">
      <w:pPr>
        <w:pStyle w:val="33"/>
        <w:numPr>
          <w:ilvl w:val="0"/>
          <w:numId w:val="6"/>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50年以上未发生的持续2天的低温天气。</w:t>
      </w:r>
    </w:p>
    <w:p w14:paraId="5AC66CB9">
      <w:pPr>
        <w:pStyle w:val="33"/>
        <w:spacing w:line="38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u w:val="single"/>
        </w:rPr>
        <w:t>施工场地受淹超过发包人提供设计图纸指明的设计洪水位以及因天气原因无法施工并经监理确认引起延误的情况。承包人有权要求发包人延长工期, 但对上述几种情形，对工程施工造成影响和灾害的，需提供政府相关部门对不可抗力认定的证明材料为依据。</w:t>
      </w:r>
    </w:p>
    <w:p w14:paraId="6D33CC01">
      <w:pPr>
        <w:pStyle w:val="33"/>
        <w:spacing w:line="380" w:lineRule="exact"/>
        <w:jc w:val="left"/>
        <w:rPr>
          <w:rFonts w:ascii="宋体" w:hAnsi="宋体" w:cs="宋体"/>
          <w:b/>
          <w:bCs/>
          <w:color w:val="auto"/>
          <w:szCs w:val="21"/>
          <w:highlight w:val="none"/>
        </w:rPr>
      </w:pPr>
      <w:r>
        <w:rPr>
          <w:rFonts w:hint="eastAsia" w:ascii="宋体" w:hAnsi="宋体" w:cs="宋体"/>
          <w:b/>
          <w:bCs/>
          <w:color w:val="auto"/>
          <w:szCs w:val="21"/>
          <w:highlight w:val="none"/>
        </w:rPr>
        <w:t>7.8暂停施工</w:t>
      </w:r>
    </w:p>
    <w:p w14:paraId="63F164EB">
      <w:pPr>
        <w:pStyle w:val="38"/>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7.8.2承包人原因引起的暂停施工</w:t>
      </w:r>
    </w:p>
    <w:p w14:paraId="2C914DFC">
      <w:pPr>
        <w:pStyle w:val="33"/>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承包人承担暂停施工责任的其他情形：</w:t>
      </w:r>
      <w:r>
        <w:rPr>
          <w:rFonts w:hint="eastAsia" w:ascii="宋体" w:hAnsi="宋体" w:cs="宋体"/>
          <w:color w:val="auto"/>
          <w:szCs w:val="21"/>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18D371C8">
      <w:pPr>
        <w:pStyle w:val="38"/>
        <w:spacing w:line="380" w:lineRule="exact"/>
        <w:rPr>
          <w:rFonts w:ascii="宋体" w:hAnsi="宋体" w:cs="宋体"/>
          <w:color w:val="auto"/>
          <w:sz w:val="21"/>
          <w:szCs w:val="21"/>
          <w:highlight w:val="none"/>
          <w:u w:val="single"/>
        </w:rPr>
      </w:pPr>
      <w:r>
        <w:rPr>
          <w:rFonts w:hint="eastAsia" w:ascii="宋体" w:hAnsi="宋体" w:cs="宋体"/>
          <w:color w:val="auto"/>
          <w:sz w:val="21"/>
          <w:szCs w:val="21"/>
          <w:highlight w:val="none"/>
          <w:u w:val="single"/>
        </w:rPr>
        <w:t>因承包人责任暂停施工延误施工时机而导致遭遇不利条件物质条件和异常恶劣的气候条件、不可抗力造成的工期延误和费用增加由承包人承担。</w:t>
      </w:r>
    </w:p>
    <w:p w14:paraId="60DDE66D">
      <w:pPr>
        <w:pStyle w:val="38"/>
        <w:spacing w:line="38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7.8.5暂停施工后的复工</w:t>
      </w:r>
    </w:p>
    <w:p w14:paraId="7B4554AF">
      <w:pPr>
        <w:pStyle w:val="38"/>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595E6EF1">
      <w:pPr>
        <w:pStyle w:val="31"/>
        <w:spacing w:line="380" w:lineRule="exact"/>
        <w:ind w:firstLine="422" w:firstLineChars="200"/>
        <w:rPr>
          <w:rFonts w:ascii="宋体" w:cs="宋体"/>
          <w:color w:val="auto"/>
          <w:highlight w:val="none"/>
        </w:rPr>
      </w:pPr>
      <w:bookmarkStart w:id="797" w:name="_Toc522201759"/>
      <w:bookmarkStart w:id="798" w:name="_Toc256000209"/>
      <w:r>
        <w:rPr>
          <w:rFonts w:hint="eastAsia" w:ascii="宋体" w:cs="宋体"/>
          <w:color w:val="auto"/>
          <w:highlight w:val="none"/>
        </w:rPr>
        <w:t>7.9 提前竣工</w:t>
      </w:r>
      <w:bookmarkEnd w:id="786"/>
      <w:bookmarkEnd w:id="787"/>
      <w:bookmarkEnd w:id="788"/>
      <w:bookmarkEnd w:id="789"/>
      <w:bookmarkEnd w:id="790"/>
      <w:bookmarkEnd w:id="791"/>
      <w:bookmarkEnd w:id="792"/>
      <w:bookmarkEnd w:id="793"/>
      <w:bookmarkEnd w:id="794"/>
      <w:bookmarkEnd w:id="795"/>
      <w:bookmarkEnd w:id="796"/>
      <w:bookmarkEnd w:id="797"/>
      <w:bookmarkEnd w:id="798"/>
    </w:p>
    <w:p w14:paraId="429D42D5">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7.9.2提前竣工的奖励：</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9F15AD0">
      <w:pPr>
        <w:pStyle w:val="31"/>
        <w:numPr>
          <w:ilvl w:val="0"/>
          <w:numId w:val="7"/>
        </w:numPr>
        <w:spacing w:line="380" w:lineRule="exact"/>
        <w:rPr>
          <w:rFonts w:ascii="宋体" w:cs="宋体"/>
          <w:color w:val="auto"/>
          <w:highlight w:val="none"/>
        </w:rPr>
      </w:pPr>
      <w:bookmarkStart w:id="799" w:name="_Toc373227731"/>
      <w:bookmarkStart w:id="800" w:name="_Toc522201760"/>
      <w:bookmarkStart w:id="801" w:name="_Toc418518377"/>
      <w:bookmarkStart w:id="802" w:name="_Toc373478378"/>
      <w:bookmarkStart w:id="803" w:name="_Toc497746812"/>
      <w:bookmarkStart w:id="804" w:name="_Toc256000210"/>
      <w:bookmarkStart w:id="805" w:name="_Toc403578965"/>
      <w:bookmarkStart w:id="806" w:name="_Toc418518141"/>
      <w:bookmarkStart w:id="807" w:name="_Toc418752273"/>
      <w:bookmarkStart w:id="808" w:name="_Toc418751827"/>
      <w:bookmarkStart w:id="809" w:name="_Toc418061342"/>
      <w:bookmarkStart w:id="810" w:name="_Toc351203640"/>
      <w:bookmarkStart w:id="811" w:name="_Toc389065297"/>
      <w:bookmarkStart w:id="812" w:name="_Toc497747209"/>
      <w:r>
        <w:rPr>
          <w:rFonts w:hint="eastAsia" w:ascii="宋体" w:cs="宋体"/>
          <w:color w:val="auto"/>
          <w:highlight w:val="none"/>
        </w:rPr>
        <w:t>材料与设备</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64F34D81">
      <w:pPr>
        <w:pStyle w:val="38"/>
        <w:spacing w:line="380" w:lineRule="exact"/>
        <w:rPr>
          <w:rFonts w:ascii="宋体" w:hAnsi="宋体" w:cs="宋体"/>
          <w:color w:val="auto"/>
          <w:highlight w:val="none"/>
        </w:rPr>
      </w:pPr>
      <w:r>
        <w:rPr>
          <w:rFonts w:ascii="宋体" w:hAnsi="宋体" w:cs="宋体"/>
          <w:color w:val="auto"/>
          <w:highlight w:val="none"/>
        </w:rPr>
        <w:t>承包人采购材料和设备的约定：</w:t>
      </w:r>
    </w:p>
    <w:bookmarkEnd w:id="567"/>
    <w:bookmarkEnd w:id="568"/>
    <w:bookmarkEnd w:id="569"/>
    <w:bookmarkEnd w:id="570"/>
    <w:bookmarkEnd w:id="571"/>
    <w:bookmarkEnd w:id="572"/>
    <w:bookmarkEnd w:id="573"/>
    <w:bookmarkEnd w:id="574"/>
    <w:bookmarkEnd w:id="575"/>
    <w:bookmarkEnd w:id="576"/>
    <w:p w14:paraId="0FEDD9F8">
      <w:pPr>
        <w:pStyle w:val="31"/>
        <w:spacing w:line="380" w:lineRule="exact"/>
        <w:ind w:firstLine="422" w:firstLineChars="200"/>
        <w:rPr>
          <w:rFonts w:ascii="宋体" w:cs="宋体"/>
          <w:color w:val="auto"/>
          <w:highlight w:val="none"/>
        </w:rPr>
      </w:pPr>
      <w:bookmarkStart w:id="813" w:name="_Toc522201761"/>
      <w:bookmarkStart w:id="814" w:name="_Toc418751828"/>
      <w:bookmarkStart w:id="815" w:name="_Toc418061343"/>
      <w:bookmarkStart w:id="816" w:name="_Toc373478379"/>
      <w:bookmarkStart w:id="817" w:name="_Toc403578966"/>
      <w:bookmarkStart w:id="818" w:name="_Toc256000211"/>
      <w:bookmarkStart w:id="819" w:name="_Toc389065298"/>
      <w:bookmarkStart w:id="820" w:name="_Toc497746813"/>
      <w:bookmarkStart w:id="821" w:name="_Toc418752274"/>
      <w:bookmarkStart w:id="822" w:name="_Toc373227732"/>
      <w:bookmarkStart w:id="823" w:name="_Toc418518142"/>
      <w:bookmarkStart w:id="824" w:name="_Toc418518378"/>
      <w:bookmarkStart w:id="825" w:name="_Toc497747210"/>
      <w:r>
        <w:rPr>
          <w:rFonts w:hint="eastAsia" w:ascii="宋体" w:cs="宋体"/>
          <w:color w:val="auto"/>
          <w:highlight w:val="none"/>
        </w:rPr>
        <w:t>8.2 承包人采购材料与工程设备</w:t>
      </w:r>
      <w:bookmarkEnd w:id="813"/>
      <w:bookmarkEnd w:id="814"/>
      <w:bookmarkEnd w:id="815"/>
      <w:bookmarkEnd w:id="816"/>
      <w:bookmarkEnd w:id="817"/>
      <w:bookmarkEnd w:id="818"/>
      <w:bookmarkEnd w:id="819"/>
      <w:bookmarkEnd w:id="820"/>
      <w:bookmarkEnd w:id="821"/>
      <w:bookmarkEnd w:id="822"/>
      <w:bookmarkEnd w:id="823"/>
      <w:bookmarkEnd w:id="824"/>
      <w:bookmarkEnd w:id="825"/>
    </w:p>
    <w:p w14:paraId="35A64BBF">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Cs w:val="21"/>
          <w:highlight w:val="none"/>
        </w:rPr>
        <w:t>承包人提供主要材料和工程设备一览表》</w:t>
      </w:r>
      <w:r>
        <w:rPr>
          <w:rFonts w:hint="eastAsia" w:ascii="宋体" w:hAnsi="宋体" w:cs="宋体"/>
          <w:color w:val="auto"/>
          <w:kern w:val="0"/>
          <w:szCs w:val="21"/>
          <w:highlight w:val="none"/>
        </w:rPr>
        <w:t>（表-22）见已标价工程量清单。</w:t>
      </w:r>
    </w:p>
    <w:p w14:paraId="53BFC0F7">
      <w:pPr>
        <w:pStyle w:val="31"/>
        <w:spacing w:line="380" w:lineRule="exact"/>
        <w:ind w:firstLine="422" w:firstLineChars="200"/>
        <w:rPr>
          <w:rFonts w:ascii="宋体" w:cs="宋体"/>
          <w:color w:val="auto"/>
          <w:highlight w:val="none"/>
        </w:rPr>
      </w:pPr>
      <w:bookmarkStart w:id="826" w:name="_Toc256000212"/>
      <w:bookmarkStart w:id="827" w:name="_Toc403578967"/>
      <w:bookmarkStart w:id="828" w:name="_Toc522201762"/>
      <w:bookmarkStart w:id="829" w:name="_Toc418752275"/>
      <w:bookmarkStart w:id="830" w:name="_Toc373478380"/>
      <w:bookmarkStart w:id="831" w:name="_Toc418061344"/>
      <w:bookmarkStart w:id="832" w:name="_Toc373227733"/>
      <w:bookmarkStart w:id="833" w:name="_Toc418518379"/>
      <w:bookmarkStart w:id="834" w:name="_Toc497746814"/>
      <w:bookmarkStart w:id="835" w:name="_Toc418518143"/>
      <w:bookmarkStart w:id="836" w:name="_Toc418751829"/>
      <w:bookmarkStart w:id="837" w:name="_Toc389065299"/>
      <w:bookmarkStart w:id="838" w:name="_Toc497747211"/>
      <w:r>
        <w:rPr>
          <w:rFonts w:hint="eastAsia" w:ascii="宋体" w:cs="宋体"/>
          <w:color w:val="auto"/>
          <w:highlight w:val="none"/>
        </w:rPr>
        <w:t>8</w:t>
      </w:r>
      <w:bookmarkStart w:id="839" w:name="_Toc312678019"/>
      <w:bookmarkStart w:id="840" w:name="_Toc300934979"/>
      <w:bookmarkStart w:id="841" w:name="_Toc312677493"/>
      <w:bookmarkStart w:id="842" w:name="_Toc297048353"/>
      <w:bookmarkStart w:id="843" w:name="_Toc304295556"/>
      <w:bookmarkStart w:id="844" w:name="_Toc297216186"/>
      <w:bookmarkStart w:id="845" w:name="_Toc296944506"/>
      <w:bookmarkStart w:id="846" w:name="_Toc296890995"/>
      <w:bookmarkStart w:id="847" w:name="_Toc303539136"/>
      <w:bookmarkStart w:id="848" w:name="_Toc296503167"/>
      <w:bookmarkStart w:id="849" w:name="_Toc292559372"/>
      <w:bookmarkStart w:id="850" w:name="_Toc296347166"/>
      <w:bookmarkStart w:id="851" w:name="_Toc280868654"/>
      <w:bookmarkStart w:id="852" w:name="_Toc296891207"/>
      <w:bookmarkStart w:id="853" w:name="_Toc296346668"/>
      <w:bookmarkStart w:id="854" w:name="_Toc292559877"/>
      <w:bookmarkStart w:id="855" w:name="_Toc297120467"/>
      <w:bookmarkStart w:id="856" w:name="_Toc297123527"/>
      <w:bookmarkStart w:id="857" w:name="_Toc280868656"/>
      <w:bookmarkStart w:id="858" w:name="_Toc267251424"/>
      <w:bookmarkStart w:id="859" w:name="_Toc280868655"/>
      <w:r>
        <w:rPr>
          <w:rFonts w:hint="eastAsia" w:ascii="宋体" w:cs="宋体"/>
          <w:color w:val="auto"/>
          <w:highlight w:val="none"/>
        </w:rPr>
        <w:t>.4 材料与工程设备的保管与使用</w:t>
      </w:r>
      <w:bookmarkEnd w:id="826"/>
      <w:bookmarkEnd w:id="827"/>
      <w:bookmarkEnd w:id="828"/>
      <w:bookmarkEnd w:id="829"/>
      <w:bookmarkEnd w:id="830"/>
      <w:bookmarkEnd w:id="831"/>
      <w:bookmarkEnd w:id="832"/>
      <w:bookmarkEnd w:id="833"/>
      <w:bookmarkEnd w:id="834"/>
      <w:bookmarkEnd w:id="835"/>
      <w:bookmarkEnd w:id="836"/>
      <w:bookmarkEnd w:id="837"/>
      <w:bookmarkEnd w:id="838"/>
    </w:p>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14:paraId="6CA41BB9">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8</w:t>
      </w:r>
      <w:bookmarkStart w:id="860" w:name="_Toc292559373"/>
      <w:bookmarkStart w:id="861" w:name="_Toc292559878"/>
      <w:bookmarkStart w:id="862" w:name="_Toc312677494"/>
      <w:bookmarkStart w:id="863" w:name="_Toc296890996"/>
      <w:bookmarkStart w:id="864" w:name="_Toc297120468"/>
      <w:bookmarkStart w:id="865" w:name="_Toc297048354"/>
      <w:bookmarkStart w:id="866" w:name="_Toc300934980"/>
      <w:bookmarkStart w:id="867" w:name="_Toc318581173"/>
      <w:bookmarkStart w:id="868" w:name="_Toc296944507"/>
      <w:bookmarkStart w:id="869" w:name="_Toc297123528"/>
      <w:bookmarkStart w:id="870" w:name="_Toc297216187"/>
      <w:bookmarkStart w:id="871" w:name="_Toc296503168"/>
      <w:bookmarkStart w:id="872" w:name="_Toc296347167"/>
      <w:bookmarkStart w:id="873" w:name="_Toc303539137"/>
      <w:bookmarkStart w:id="874" w:name="_Toc312678020"/>
      <w:bookmarkStart w:id="875" w:name="_Toc296891208"/>
      <w:bookmarkStart w:id="876" w:name="_Toc296346669"/>
      <w:bookmarkStart w:id="877" w:name="_Toc304295557"/>
      <w:r>
        <w:rPr>
          <w:rFonts w:hint="eastAsia" w:ascii="宋体" w:hAnsi="宋体" w:cs="宋体"/>
          <w:color w:val="auto"/>
          <w:szCs w:val="21"/>
          <w:highlight w:val="none"/>
        </w:rPr>
        <w:t>.4.1发包人供应的材料设备的保管费用的承担：</w:t>
      </w:r>
      <w:r>
        <w:rPr>
          <w:rFonts w:hint="eastAsia" w:ascii="宋体" w:hAnsi="宋体" w:cs="宋体"/>
          <w:color w:val="auto"/>
          <w:szCs w:val="21"/>
          <w:highlight w:val="none"/>
          <w:u w:val="single"/>
        </w:rPr>
        <w:t>发包人供应的材料和设备经三方验收合格后，保管费用由承包人承担</w:t>
      </w:r>
      <w:r>
        <w:rPr>
          <w:rFonts w:hint="eastAsia" w:ascii="宋体" w:hAnsi="宋体" w:cs="宋体"/>
          <w:color w:val="auto"/>
          <w:szCs w:val="21"/>
          <w:highlight w:val="none"/>
        </w:rPr>
        <w:t>。</w:t>
      </w:r>
    </w:p>
    <w:bookmarkEnd w:id="860"/>
    <w:bookmarkEnd w:id="861"/>
    <w:p w14:paraId="58D34B13">
      <w:pPr>
        <w:pStyle w:val="31"/>
        <w:spacing w:line="380" w:lineRule="exact"/>
        <w:ind w:firstLine="422" w:firstLineChars="200"/>
        <w:rPr>
          <w:rFonts w:ascii="宋体" w:cs="宋体"/>
          <w:color w:val="auto"/>
          <w:highlight w:val="none"/>
        </w:rPr>
      </w:pPr>
      <w:bookmarkStart w:id="878" w:name="_Toc418061345"/>
      <w:bookmarkStart w:id="879" w:name="_Toc497746815"/>
      <w:bookmarkStart w:id="880" w:name="_Toc522201763"/>
      <w:bookmarkStart w:id="881" w:name="_Toc497747212"/>
      <w:bookmarkStart w:id="882" w:name="_Toc418751830"/>
      <w:bookmarkStart w:id="883" w:name="_Toc418518144"/>
      <w:bookmarkStart w:id="884" w:name="_Toc418518380"/>
      <w:bookmarkStart w:id="885" w:name="_Toc373478381"/>
      <w:bookmarkStart w:id="886" w:name="_Toc256000213"/>
      <w:bookmarkStart w:id="887" w:name="_Toc403578968"/>
      <w:bookmarkStart w:id="888" w:name="_Toc373227734"/>
      <w:bookmarkStart w:id="889" w:name="_Toc389065300"/>
      <w:bookmarkStart w:id="890" w:name="_Toc418752276"/>
      <w:r>
        <w:rPr>
          <w:rFonts w:hint="eastAsia" w:ascii="宋体" w:cs="宋体"/>
          <w:color w:val="auto"/>
          <w:highlight w:val="none"/>
        </w:rPr>
        <w:t>8.6 样品</w:t>
      </w:r>
      <w:bookmarkEnd w:id="878"/>
      <w:bookmarkEnd w:id="879"/>
      <w:bookmarkEnd w:id="880"/>
      <w:bookmarkEnd w:id="881"/>
      <w:bookmarkEnd w:id="882"/>
      <w:bookmarkEnd w:id="883"/>
      <w:bookmarkEnd w:id="884"/>
      <w:bookmarkEnd w:id="885"/>
      <w:bookmarkEnd w:id="886"/>
      <w:bookmarkEnd w:id="887"/>
      <w:bookmarkEnd w:id="888"/>
      <w:bookmarkEnd w:id="889"/>
      <w:bookmarkEnd w:id="890"/>
    </w:p>
    <w:p w14:paraId="5CA2A739">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8.6.1 样品的报送与封存</w:t>
      </w:r>
    </w:p>
    <w:p w14:paraId="4B603C28">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color w:val="auto"/>
          <w:szCs w:val="21"/>
          <w:highlight w:val="none"/>
          <w:u w:val="single"/>
        </w:rPr>
        <w:t>主要材料涉及品种、款式、颜色等方面内容的，承包人在进货前需将货物样品报送监理或发包人现场办公室，待设计及发包人确认样品，并封存样品后，承包人方可订货。除上述材料外招标文件和招标工程量清单中对材料、设备有档次或质量要求的，按招标文件和招标工程量清单确定；其他由合同各方协商确定。</w:t>
      </w:r>
    </w:p>
    <w:p w14:paraId="00654502">
      <w:pPr>
        <w:pStyle w:val="31"/>
        <w:spacing w:line="380" w:lineRule="exact"/>
        <w:ind w:firstLine="422" w:firstLineChars="200"/>
        <w:rPr>
          <w:rFonts w:ascii="宋体" w:cs="宋体"/>
          <w:color w:val="auto"/>
          <w:highlight w:val="none"/>
        </w:rPr>
      </w:pPr>
      <w:bookmarkStart w:id="891" w:name="_Toc373227735"/>
      <w:bookmarkStart w:id="892" w:name="_Toc418518145"/>
      <w:bookmarkStart w:id="893" w:name="_Toc522201764"/>
      <w:bookmarkStart w:id="894" w:name="_Toc418061346"/>
      <w:bookmarkStart w:id="895" w:name="_Toc497747213"/>
      <w:bookmarkStart w:id="896" w:name="_Toc497746816"/>
      <w:bookmarkStart w:id="897" w:name="_Toc418751831"/>
      <w:bookmarkStart w:id="898" w:name="_Toc373478382"/>
      <w:bookmarkStart w:id="899" w:name="_Toc418518381"/>
      <w:bookmarkStart w:id="900" w:name="_Toc389065301"/>
      <w:bookmarkStart w:id="901" w:name="_Toc256000214"/>
      <w:bookmarkStart w:id="902" w:name="_Toc418752277"/>
      <w:bookmarkStart w:id="903" w:name="_Toc403578969"/>
      <w:r>
        <w:rPr>
          <w:rFonts w:hint="eastAsia" w:ascii="宋体" w:cs="宋体"/>
          <w:color w:val="auto"/>
          <w:highlight w:val="none"/>
        </w:rPr>
        <w:t>8.8 施工设备和临时设施</w:t>
      </w:r>
      <w:bookmarkEnd w:id="891"/>
      <w:bookmarkEnd w:id="892"/>
      <w:bookmarkEnd w:id="893"/>
      <w:bookmarkEnd w:id="894"/>
      <w:bookmarkEnd w:id="895"/>
      <w:bookmarkEnd w:id="896"/>
      <w:bookmarkEnd w:id="897"/>
      <w:bookmarkEnd w:id="898"/>
      <w:bookmarkEnd w:id="899"/>
      <w:bookmarkEnd w:id="900"/>
      <w:bookmarkEnd w:id="901"/>
      <w:bookmarkEnd w:id="902"/>
      <w:bookmarkEnd w:id="903"/>
    </w:p>
    <w:p w14:paraId="7A8026FC">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8.8.1 承包人提供的施工设备和临时设施</w:t>
      </w:r>
    </w:p>
    <w:p w14:paraId="3E89192A">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60A580AE">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关于修建临时设施费用承担的约定：</w:t>
      </w:r>
    </w:p>
    <w:p w14:paraId="2FCD522A">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①承包人的临时用地（含项目部驻地等）租用费（含拆迁补偿）、临时用地的环保、恢复、临时用地的青苗补偿及地面附着物拆除等费用均由承包人负责，以上费用在投标报价中综合考虑。 </w:t>
      </w:r>
    </w:p>
    <w:p w14:paraId="5802019E">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②承包人负责合同实施期间其合同段内临时交通道路和交通设施的修建、维修、养护和交通管理工作，并承担一切费用。 </w:t>
      </w:r>
    </w:p>
    <w:p w14:paraId="7AF81345">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206E126A">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4E3A122F">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8.8.2 发包人提供的施工设备和临时设施</w:t>
      </w:r>
    </w:p>
    <w:p w14:paraId="12AB0FB9">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3CF6828">
      <w:pPr>
        <w:pStyle w:val="33"/>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发包人提供的施工设备和临时设施的运行、维护、拆除、清运费用的承担人：</w:t>
      </w:r>
      <w:r>
        <w:rPr>
          <w:rFonts w:hint="eastAsia" w:ascii="宋体" w:hAnsi="宋体" w:cs="宋体"/>
          <w:color w:val="auto"/>
          <w:szCs w:val="21"/>
          <w:highlight w:val="none"/>
          <w:u w:val="single"/>
        </w:rPr>
        <w:t xml:space="preserve">  承包人  </w:t>
      </w:r>
      <w:r>
        <w:rPr>
          <w:rFonts w:hint="eastAsia" w:ascii="宋体" w:hAnsi="宋体" w:cs="宋体"/>
          <w:color w:val="auto"/>
          <w:szCs w:val="21"/>
          <w:highlight w:val="none"/>
        </w:rPr>
        <w:t>。</w:t>
      </w:r>
    </w:p>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14:paraId="69997274">
      <w:pPr>
        <w:pStyle w:val="31"/>
        <w:spacing w:line="380" w:lineRule="exact"/>
        <w:rPr>
          <w:rFonts w:ascii="宋体" w:cs="宋体"/>
          <w:color w:val="auto"/>
          <w:highlight w:val="none"/>
        </w:rPr>
      </w:pPr>
      <w:bookmarkStart w:id="904" w:name="_Toc418751832"/>
      <w:bookmarkStart w:id="905" w:name="_Toc373227736"/>
      <w:bookmarkStart w:id="906" w:name="_Toc256000215"/>
      <w:bookmarkStart w:id="907" w:name="_Toc403578970"/>
      <w:bookmarkStart w:id="908" w:name="_Toc522201765"/>
      <w:bookmarkStart w:id="909" w:name="_Toc418061347"/>
      <w:bookmarkStart w:id="910" w:name="_Toc351203641"/>
      <w:bookmarkStart w:id="911" w:name="_Toc418752278"/>
      <w:bookmarkStart w:id="912" w:name="_Toc497746817"/>
      <w:bookmarkStart w:id="913" w:name="_Toc418518146"/>
      <w:bookmarkStart w:id="914" w:name="_Toc418518382"/>
      <w:bookmarkStart w:id="915" w:name="_Toc497747214"/>
      <w:bookmarkStart w:id="916" w:name="_Toc389065302"/>
      <w:bookmarkStart w:id="917" w:name="_Toc373478383"/>
      <w:r>
        <w:rPr>
          <w:rFonts w:hint="eastAsia" w:ascii="宋体" w:cs="宋体"/>
          <w:color w:val="auto"/>
          <w:highlight w:val="none"/>
        </w:rPr>
        <w:t>9</w:t>
      </w:r>
      <w:bookmarkEnd w:id="857"/>
      <w:bookmarkEnd w:id="858"/>
      <w:bookmarkEnd w:id="859"/>
      <w:bookmarkStart w:id="918" w:name="_Toc297123533"/>
      <w:bookmarkStart w:id="919" w:name="_Toc303539139"/>
      <w:bookmarkStart w:id="920" w:name="_Toc300934982"/>
      <w:bookmarkStart w:id="921" w:name="_Toc312677495"/>
      <w:bookmarkStart w:id="922" w:name="_Toc312678021"/>
      <w:bookmarkStart w:id="923" w:name="_Toc297216192"/>
      <w:bookmarkStart w:id="924" w:name="_Toc304295559"/>
      <w:bookmarkStart w:id="925" w:name="_Toc296891213"/>
      <w:bookmarkStart w:id="926" w:name="_Toc296944512"/>
      <w:bookmarkStart w:id="927" w:name="_Toc296503173"/>
      <w:bookmarkStart w:id="928" w:name="_Toc267251428"/>
      <w:bookmarkStart w:id="929" w:name="_Toc296346674"/>
      <w:bookmarkStart w:id="930" w:name="_Toc297048359"/>
      <w:bookmarkStart w:id="931" w:name="_Toc292559883"/>
      <w:bookmarkStart w:id="932" w:name="_Toc296347172"/>
      <w:bookmarkStart w:id="933" w:name="_Toc296891001"/>
      <w:bookmarkStart w:id="934" w:name="_Toc292559378"/>
      <w:bookmarkStart w:id="935" w:name="_Toc297120473"/>
      <w:bookmarkStart w:id="936" w:name="_Toc267251427"/>
      <w:r>
        <w:rPr>
          <w:rFonts w:hint="eastAsia" w:ascii="宋体" w:cs="宋体"/>
          <w:color w:val="auto"/>
          <w:highlight w:val="none"/>
        </w:rPr>
        <w:t>. 试验与检验</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bookmarkEnd w:id="918"/>
    <w:bookmarkEnd w:id="919"/>
    <w:bookmarkEnd w:id="920"/>
    <w:bookmarkEnd w:id="921"/>
    <w:bookmarkEnd w:id="922"/>
    <w:bookmarkEnd w:id="923"/>
    <w:bookmarkEnd w:id="924"/>
    <w:p w14:paraId="18992C3A">
      <w:pPr>
        <w:pStyle w:val="31"/>
        <w:spacing w:line="380" w:lineRule="exact"/>
        <w:ind w:firstLine="422" w:firstLineChars="200"/>
        <w:rPr>
          <w:rFonts w:ascii="宋体" w:cs="宋体"/>
          <w:color w:val="auto"/>
          <w:highlight w:val="none"/>
        </w:rPr>
      </w:pPr>
      <w:bookmarkStart w:id="937" w:name="_Toc418518383"/>
      <w:bookmarkStart w:id="938" w:name="_Toc373478384"/>
      <w:bookmarkStart w:id="939" w:name="_Toc373227737"/>
      <w:bookmarkStart w:id="940" w:name="_Toc522201766"/>
      <w:bookmarkStart w:id="941" w:name="_Toc418061348"/>
      <w:bookmarkStart w:id="942" w:name="_Toc418518147"/>
      <w:bookmarkStart w:id="943" w:name="_Toc389065303"/>
      <w:bookmarkStart w:id="944" w:name="_Toc418751833"/>
      <w:bookmarkStart w:id="945" w:name="_Toc418752279"/>
      <w:bookmarkStart w:id="946" w:name="_Toc256000216"/>
      <w:bookmarkStart w:id="947" w:name="_Toc497746818"/>
      <w:bookmarkStart w:id="948" w:name="_Toc403578971"/>
      <w:bookmarkStart w:id="949" w:name="_Toc497747215"/>
      <w:r>
        <w:rPr>
          <w:rFonts w:hint="eastAsia" w:ascii="宋体" w:cs="宋体"/>
          <w:color w:val="auto"/>
          <w:highlight w:val="none"/>
        </w:rPr>
        <w:t>9</w:t>
      </w:r>
      <w:bookmarkStart w:id="950" w:name="_Toc297216193"/>
      <w:bookmarkStart w:id="951" w:name="_Toc303539140"/>
      <w:bookmarkStart w:id="952" w:name="_Toc304295560"/>
      <w:bookmarkStart w:id="953" w:name="_Toc300934983"/>
      <w:bookmarkStart w:id="954" w:name="_Toc312677496"/>
      <w:bookmarkStart w:id="955" w:name="_Toc297123534"/>
      <w:bookmarkStart w:id="956" w:name="_Toc312678022"/>
      <w:r>
        <w:rPr>
          <w:rFonts w:hint="eastAsia" w:ascii="宋体" w:cs="宋体"/>
          <w:color w:val="auto"/>
          <w:highlight w:val="none"/>
        </w:rPr>
        <w:t>.1 试验设备与试验人员</w:t>
      </w:r>
      <w:bookmarkEnd w:id="937"/>
      <w:bookmarkEnd w:id="938"/>
      <w:bookmarkEnd w:id="939"/>
      <w:bookmarkEnd w:id="940"/>
      <w:bookmarkEnd w:id="941"/>
      <w:bookmarkEnd w:id="942"/>
      <w:bookmarkEnd w:id="943"/>
      <w:bookmarkEnd w:id="944"/>
      <w:bookmarkEnd w:id="945"/>
      <w:bookmarkEnd w:id="946"/>
      <w:bookmarkEnd w:id="947"/>
      <w:bookmarkEnd w:id="948"/>
      <w:bookmarkEnd w:id="949"/>
    </w:p>
    <w:bookmarkEnd w:id="950"/>
    <w:bookmarkEnd w:id="951"/>
    <w:bookmarkEnd w:id="952"/>
    <w:bookmarkEnd w:id="953"/>
    <w:bookmarkEnd w:id="954"/>
    <w:bookmarkEnd w:id="955"/>
    <w:bookmarkEnd w:id="956"/>
    <w:p w14:paraId="445D4C52">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bookmarkStart w:id="957" w:name="_Toc312678023"/>
      <w:bookmarkStart w:id="958" w:name="_Toc304295561"/>
      <w:bookmarkStart w:id="959" w:name="_Toc303539141"/>
      <w:bookmarkStart w:id="960" w:name="_Toc297123535"/>
      <w:bookmarkStart w:id="961" w:name="_Toc297216194"/>
      <w:bookmarkStart w:id="962" w:name="_Toc300934984"/>
      <w:bookmarkStart w:id="963" w:name="_Toc312677497"/>
      <w:bookmarkStart w:id="964" w:name="_Toc318581174"/>
      <w:r>
        <w:rPr>
          <w:rFonts w:hint="eastAsia" w:ascii="宋体" w:hAnsi="宋体" w:cs="宋体"/>
          <w:color w:val="auto"/>
          <w:szCs w:val="21"/>
          <w:highlight w:val="none"/>
        </w:rPr>
        <w:t>.1.2 试验设备</w:t>
      </w:r>
    </w:p>
    <w:bookmarkEnd w:id="957"/>
    <w:bookmarkEnd w:id="958"/>
    <w:bookmarkEnd w:id="959"/>
    <w:bookmarkEnd w:id="960"/>
    <w:bookmarkEnd w:id="961"/>
    <w:bookmarkEnd w:id="962"/>
    <w:bookmarkEnd w:id="963"/>
    <w:p w14:paraId="4041614D">
      <w:pPr>
        <w:pStyle w:val="33"/>
        <w:spacing w:line="380" w:lineRule="exact"/>
        <w:ind w:firstLine="420" w:firstLineChars="200"/>
        <w:jc w:val="left"/>
        <w:rPr>
          <w:rFonts w:ascii="宋体" w:hAnsi="宋体" w:cs="宋体"/>
          <w:color w:val="auto"/>
          <w:szCs w:val="21"/>
          <w:highlight w:val="none"/>
        </w:rPr>
      </w:pPr>
      <w:bookmarkStart w:id="965" w:name="_Toc312678024"/>
      <w:bookmarkStart w:id="966" w:name="_Toc303539142"/>
      <w:bookmarkStart w:id="967" w:name="_Toc297216195"/>
      <w:bookmarkStart w:id="968" w:name="_Toc304295562"/>
      <w:bookmarkStart w:id="969" w:name="_Toc300934985"/>
      <w:bookmarkStart w:id="970" w:name="_Toc297123536"/>
      <w:bookmarkStart w:id="971" w:name="_Toc312677498"/>
      <w:r>
        <w:rPr>
          <w:rFonts w:hint="eastAsia" w:ascii="宋体" w:hAnsi="宋体" w:cs="宋体"/>
          <w:color w:val="auto"/>
          <w:szCs w:val="21"/>
          <w:highlight w:val="none"/>
        </w:rPr>
        <w:t>施工现场需要配置的试验场所：</w:t>
      </w:r>
      <w:r>
        <w:rPr>
          <w:rFonts w:hint="eastAsia" w:ascii="宋体" w:hAnsi="宋体" w:cs="宋体"/>
          <w:color w:val="auto"/>
          <w:szCs w:val="21"/>
          <w:highlight w:val="none"/>
          <w:u w:val="single"/>
        </w:rPr>
        <w:t xml:space="preserve"> 由承包人承担，所需费用包含在投标报价中 </w:t>
      </w:r>
      <w:r>
        <w:rPr>
          <w:rFonts w:hint="eastAsia" w:ascii="宋体" w:hAnsi="宋体" w:cs="宋体"/>
          <w:color w:val="auto"/>
          <w:szCs w:val="21"/>
          <w:highlight w:val="none"/>
        </w:rPr>
        <w:t xml:space="preserve">。 </w:t>
      </w:r>
    </w:p>
    <w:p w14:paraId="7EAD5917">
      <w:pPr>
        <w:pStyle w:val="33"/>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施工现场需要配备的试验设备：</w:t>
      </w:r>
      <w:r>
        <w:rPr>
          <w:rFonts w:hint="eastAsia" w:ascii="宋体" w:hAnsi="宋体" w:cs="宋体"/>
          <w:color w:val="auto"/>
          <w:szCs w:val="21"/>
          <w:highlight w:val="none"/>
          <w:u w:val="single"/>
        </w:rPr>
        <w:t xml:space="preserve"> 由承包人承担，所需费用包含在投标报价中 </w:t>
      </w:r>
      <w:r>
        <w:rPr>
          <w:rFonts w:hint="eastAsia" w:ascii="宋体" w:hAnsi="宋体" w:cs="宋体"/>
          <w:color w:val="auto"/>
          <w:szCs w:val="21"/>
          <w:highlight w:val="none"/>
        </w:rPr>
        <w:t>。</w:t>
      </w:r>
    </w:p>
    <w:p w14:paraId="232C2047">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施工现场需要具备的其他试验条件：</w:t>
      </w:r>
      <w:r>
        <w:rPr>
          <w:rFonts w:hint="eastAsia" w:ascii="宋体" w:hAnsi="宋体" w:cs="宋体"/>
          <w:color w:val="auto"/>
          <w:szCs w:val="21"/>
          <w:highlight w:val="none"/>
          <w:u w:val="single"/>
        </w:rPr>
        <w:t xml:space="preserve"> 由承包人承担，所需费用包含在投标报价中 </w:t>
      </w:r>
      <w:r>
        <w:rPr>
          <w:rFonts w:hint="eastAsia" w:ascii="宋体" w:hAnsi="宋体" w:cs="宋体"/>
          <w:color w:val="auto"/>
          <w:szCs w:val="21"/>
          <w:highlight w:val="none"/>
        </w:rPr>
        <w:t>。</w:t>
      </w:r>
    </w:p>
    <w:p w14:paraId="0881FA68">
      <w:pPr>
        <w:pStyle w:val="31"/>
        <w:spacing w:line="380" w:lineRule="exact"/>
        <w:ind w:firstLine="422" w:firstLineChars="200"/>
        <w:rPr>
          <w:rFonts w:ascii="宋体" w:cs="宋体"/>
          <w:color w:val="auto"/>
          <w:highlight w:val="none"/>
        </w:rPr>
      </w:pPr>
      <w:bookmarkStart w:id="972" w:name="_Toc497746819"/>
      <w:bookmarkStart w:id="973" w:name="_Toc373227738"/>
      <w:bookmarkStart w:id="974" w:name="_Toc418518384"/>
      <w:bookmarkStart w:id="975" w:name="_Toc373478385"/>
      <w:bookmarkStart w:id="976" w:name="_Toc522201767"/>
      <w:bookmarkStart w:id="977" w:name="_Toc389065304"/>
      <w:bookmarkStart w:id="978" w:name="_Toc403578972"/>
      <w:bookmarkStart w:id="979" w:name="_Toc418752280"/>
      <w:bookmarkStart w:id="980" w:name="_Toc418518148"/>
      <w:bookmarkStart w:id="981" w:name="_Toc497747216"/>
      <w:bookmarkStart w:id="982" w:name="_Toc256000217"/>
      <w:bookmarkStart w:id="983" w:name="_Toc418751834"/>
      <w:bookmarkStart w:id="984" w:name="_Toc418061349"/>
      <w:r>
        <w:rPr>
          <w:rFonts w:hint="eastAsia" w:ascii="宋体" w:cs="宋体"/>
          <w:color w:val="auto"/>
          <w:highlight w:val="none"/>
        </w:rPr>
        <w:t>9.4 现场工艺试验</w:t>
      </w:r>
      <w:bookmarkEnd w:id="972"/>
      <w:bookmarkEnd w:id="973"/>
      <w:bookmarkEnd w:id="974"/>
      <w:bookmarkEnd w:id="975"/>
      <w:bookmarkEnd w:id="976"/>
      <w:bookmarkEnd w:id="977"/>
      <w:bookmarkEnd w:id="978"/>
      <w:bookmarkEnd w:id="979"/>
      <w:bookmarkEnd w:id="980"/>
      <w:bookmarkEnd w:id="981"/>
      <w:bookmarkEnd w:id="982"/>
      <w:bookmarkEnd w:id="983"/>
      <w:bookmarkEnd w:id="984"/>
      <w:r>
        <w:rPr>
          <w:rFonts w:hint="eastAsia" w:ascii="宋体" w:cs="宋体"/>
          <w:color w:val="auto"/>
          <w:highlight w:val="none"/>
        </w:rPr>
        <w:t xml:space="preserve"> </w:t>
      </w:r>
    </w:p>
    <w:p w14:paraId="2C4A785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现场工艺试验的有关约定：</w:t>
      </w:r>
      <w:r>
        <w:rPr>
          <w:rFonts w:hint="eastAsia" w:ascii="宋体" w:hAnsi="宋体" w:cs="宋体"/>
          <w:color w:val="auto"/>
          <w:szCs w:val="21"/>
          <w:highlight w:val="none"/>
          <w:u w:val="single"/>
        </w:rPr>
        <w:t xml:space="preserve">  按通用条款执行</w:t>
      </w:r>
      <w:r>
        <w:rPr>
          <w:rFonts w:hint="eastAsia" w:ascii="宋体" w:hAnsi="宋体" w:cs="宋体"/>
          <w:color w:val="auto"/>
          <w:szCs w:val="21"/>
          <w:highlight w:val="none"/>
        </w:rPr>
        <w:t>。</w:t>
      </w:r>
      <w:bookmarkStart w:id="985" w:name="_Toc395382541"/>
      <w:bookmarkStart w:id="986" w:name="_Toc406420990"/>
      <w:bookmarkStart w:id="987" w:name="_Toc406522259"/>
      <w:bookmarkStart w:id="988" w:name="OLE_LINK1"/>
    </w:p>
    <w:p w14:paraId="518382E4">
      <w:pPr>
        <w:pStyle w:val="33"/>
        <w:spacing w:line="38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9.5 检验费用</w:t>
      </w:r>
      <w:bookmarkEnd w:id="985"/>
      <w:bookmarkEnd w:id="986"/>
      <w:bookmarkEnd w:id="987"/>
    </w:p>
    <w:p w14:paraId="22EF81F3">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根据《建设工程质量检测管理办法》（建设部令第141号）以及</w:t>
      </w:r>
      <w:r>
        <w:rPr>
          <w:rFonts w:hint="eastAsia" w:ascii="宋体" w:hAnsi="宋体" w:cs="宋体"/>
          <w:bCs/>
          <w:color w:val="auto"/>
          <w:szCs w:val="21"/>
          <w:highlight w:val="none"/>
        </w:rPr>
        <w:t>《广西壮族自治区建设工程质量检测管理规定》（桂建管〔2013〕11号）</w:t>
      </w:r>
      <w:r>
        <w:rPr>
          <w:rFonts w:hint="eastAsia" w:ascii="宋体" w:hAnsi="宋体" w:cs="宋体"/>
          <w:color w:val="auto"/>
          <w:szCs w:val="21"/>
          <w:highlight w:val="none"/>
        </w:rPr>
        <w:t>规定，工程质量检测业务由发包人委托有相应资质的检测机构检测。费用从发包人的项目建设经费中支出并直接支付给检测机构，不计入合同价款内。</w:t>
      </w:r>
      <w:bookmarkEnd w:id="988"/>
    </w:p>
    <w:bookmarkEnd w:id="964"/>
    <w:bookmarkEnd w:id="965"/>
    <w:bookmarkEnd w:id="966"/>
    <w:bookmarkEnd w:id="967"/>
    <w:bookmarkEnd w:id="968"/>
    <w:bookmarkEnd w:id="969"/>
    <w:bookmarkEnd w:id="970"/>
    <w:bookmarkEnd w:id="971"/>
    <w:p w14:paraId="1F4E5C95">
      <w:pPr>
        <w:pStyle w:val="31"/>
        <w:spacing w:line="380" w:lineRule="exact"/>
        <w:rPr>
          <w:rFonts w:ascii="宋体" w:cs="宋体"/>
          <w:color w:val="auto"/>
          <w:highlight w:val="none"/>
        </w:rPr>
      </w:pPr>
      <w:bookmarkStart w:id="989" w:name="_Toc497747218"/>
      <w:bookmarkStart w:id="990" w:name="_Toc403578974"/>
      <w:bookmarkStart w:id="991" w:name="_Toc389065305"/>
      <w:bookmarkStart w:id="992" w:name="_Toc351203642"/>
      <w:bookmarkStart w:id="993" w:name="_Toc373227739"/>
      <w:bookmarkStart w:id="994" w:name="_Toc418518150"/>
      <w:bookmarkStart w:id="995" w:name="_Toc418751836"/>
      <w:bookmarkStart w:id="996" w:name="_Toc418518386"/>
      <w:bookmarkStart w:id="997" w:name="_Toc418061351"/>
      <w:bookmarkStart w:id="998" w:name="_Toc418752282"/>
      <w:bookmarkStart w:id="999" w:name="_Toc256000218"/>
      <w:bookmarkStart w:id="1000" w:name="_Toc522201768"/>
      <w:bookmarkStart w:id="1001" w:name="_Toc497746821"/>
      <w:bookmarkStart w:id="1002" w:name="_Toc373478386"/>
      <w:r>
        <w:rPr>
          <w:rFonts w:hint="eastAsia" w:ascii="宋体" w:cs="宋体"/>
          <w:color w:val="auto"/>
          <w:highlight w:val="none"/>
        </w:rPr>
        <w:t>1</w:t>
      </w:r>
      <w:bookmarkEnd w:id="925"/>
      <w:bookmarkEnd w:id="926"/>
      <w:bookmarkEnd w:id="927"/>
      <w:bookmarkEnd w:id="928"/>
      <w:bookmarkEnd w:id="929"/>
      <w:bookmarkEnd w:id="930"/>
      <w:bookmarkEnd w:id="931"/>
      <w:bookmarkEnd w:id="932"/>
      <w:bookmarkEnd w:id="933"/>
      <w:bookmarkEnd w:id="934"/>
      <w:bookmarkEnd w:id="935"/>
      <w:bookmarkEnd w:id="936"/>
      <w:bookmarkStart w:id="1003" w:name="_Toc297120493"/>
      <w:bookmarkStart w:id="1004" w:name="_Toc297216199"/>
      <w:bookmarkStart w:id="1005" w:name="_Toc296503193"/>
      <w:bookmarkStart w:id="1006" w:name="_Toc304295566"/>
      <w:bookmarkStart w:id="1007" w:name="_Toc296891021"/>
      <w:bookmarkStart w:id="1008" w:name="_Toc297123540"/>
      <w:bookmarkStart w:id="1009" w:name="_Toc296944532"/>
      <w:bookmarkStart w:id="1010" w:name="_Toc296346694"/>
      <w:bookmarkStart w:id="1011" w:name="_Toc292559903"/>
      <w:bookmarkStart w:id="1012" w:name="_Toc296347192"/>
      <w:bookmarkStart w:id="1013" w:name="_Toc297048379"/>
      <w:bookmarkStart w:id="1014" w:name="_Toc303539146"/>
      <w:bookmarkStart w:id="1015" w:name="_Toc292559398"/>
      <w:bookmarkStart w:id="1016" w:name="_Toc296891233"/>
      <w:bookmarkStart w:id="1017" w:name="_Toc300934989"/>
      <w:bookmarkStart w:id="1018" w:name="_Toc312678025"/>
      <w:bookmarkStart w:id="1019" w:name="_Toc312677499"/>
      <w:bookmarkStart w:id="1020" w:name="_Toc267251441"/>
      <w:bookmarkStart w:id="1021" w:name="_Toc267251435"/>
      <w:bookmarkStart w:id="1022" w:name="_Toc267251433"/>
      <w:bookmarkStart w:id="1023" w:name="_Toc267251439"/>
      <w:bookmarkStart w:id="1024" w:name="_Toc267251440"/>
      <w:bookmarkStart w:id="1025" w:name="_Toc267251437"/>
      <w:bookmarkStart w:id="1026" w:name="_Toc267251442"/>
      <w:r>
        <w:rPr>
          <w:rFonts w:hint="eastAsia" w:ascii="宋体" w:cs="宋体"/>
          <w:color w:val="auto"/>
          <w:highlight w:val="none"/>
        </w:rPr>
        <w:t>0. 变更</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bookmarkEnd w:id="1018"/>
    <w:bookmarkEnd w:id="1019"/>
    <w:p w14:paraId="1A7606AA">
      <w:pPr>
        <w:pStyle w:val="31"/>
        <w:spacing w:line="380" w:lineRule="exact"/>
        <w:ind w:firstLine="422" w:firstLineChars="200"/>
        <w:rPr>
          <w:rFonts w:ascii="宋体" w:cs="宋体"/>
          <w:color w:val="auto"/>
          <w:highlight w:val="none"/>
        </w:rPr>
      </w:pPr>
      <w:bookmarkStart w:id="1027" w:name="_Toc418518387"/>
      <w:bookmarkStart w:id="1028" w:name="_Toc373227740"/>
      <w:bookmarkStart w:id="1029" w:name="_Toc373478387"/>
      <w:bookmarkStart w:id="1030" w:name="_Toc418752283"/>
      <w:bookmarkStart w:id="1031" w:name="_Toc497746822"/>
      <w:bookmarkStart w:id="1032" w:name="_Toc497747219"/>
      <w:bookmarkStart w:id="1033" w:name="_Toc256000219"/>
      <w:bookmarkStart w:id="1034" w:name="_Toc403578975"/>
      <w:bookmarkStart w:id="1035" w:name="_Toc522201769"/>
      <w:bookmarkStart w:id="1036" w:name="_Toc418751837"/>
      <w:bookmarkStart w:id="1037" w:name="_Toc418061352"/>
      <w:bookmarkStart w:id="1038" w:name="_Toc418518151"/>
      <w:bookmarkStart w:id="1039" w:name="_Toc389065306"/>
      <w:r>
        <w:rPr>
          <w:rFonts w:hint="eastAsia" w:ascii="宋体" w:cs="宋体"/>
          <w:color w:val="auto"/>
          <w:highlight w:val="none"/>
        </w:rPr>
        <w:t>1</w:t>
      </w:r>
      <w:bookmarkStart w:id="1040" w:name="_Toc300934990"/>
      <w:bookmarkStart w:id="1041" w:name="_Toc292559904"/>
      <w:bookmarkStart w:id="1042" w:name="_Toc297216200"/>
      <w:bookmarkStart w:id="1043" w:name="_Toc296891234"/>
      <w:bookmarkStart w:id="1044" w:name="_Toc296891022"/>
      <w:bookmarkStart w:id="1045" w:name="_Toc296503194"/>
      <w:bookmarkStart w:id="1046" w:name="_Toc312678026"/>
      <w:bookmarkStart w:id="1047" w:name="_Toc296346695"/>
      <w:bookmarkStart w:id="1048" w:name="_Toc292559399"/>
      <w:bookmarkStart w:id="1049" w:name="_Toc297120494"/>
      <w:bookmarkStart w:id="1050" w:name="_Toc296347193"/>
      <w:bookmarkStart w:id="1051" w:name="_Toc304295567"/>
      <w:bookmarkStart w:id="1052" w:name="_Toc297048380"/>
      <w:bookmarkStart w:id="1053" w:name="_Toc303539147"/>
      <w:bookmarkStart w:id="1054" w:name="_Toc297123541"/>
      <w:bookmarkStart w:id="1055" w:name="_Toc296944533"/>
      <w:bookmarkStart w:id="1056" w:name="_Toc312677500"/>
      <w:r>
        <w:rPr>
          <w:rFonts w:hint="eastAsia" w:ascii="宋体" w:cs="宋体"/>
          <w:color w:val="auto"/>
          <w:highlight w:val="none"/>
        </w:rPr>
        <w:t>0.1 变更的范围</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14:paraId="03AEBE95">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关于变更的范围的约定：</w:t>
      </w:r>
      <w:r>
        <w:rPr>
          <w:rFonts w:hint="eastAsia" w:ascii="宋体" w:hAnsi="宋体" w:cs="宋体"/>
          <w:color w:val="auto"/>
          <w:szCs w:val="21"/>
          <w:highlight w:val="none"/>
          <w:u w:val="single"/>
        </w:rPr>
        <w:t>施工期间因不可预见因素或发包人要求所发生的工程量增减（由变更、签证产生），其工程量按实际发生并经监理工程师及发包人签证认可，工程变更综合单价按专用条款第10.4点规定执行</w:t>
      </w:r>
      <w:r>
        <w:rPr>
          <w:rFonts w:hint="eastAsia" w:ascii="宋体" w:hAnsi="宋体" w:cs="宋体"/>
          <w:color w:val="auto"/>
          <w:szCs w:val="21"/>
          <w:highlight w:val="none"/>
        </w:rPr>
        <w:t>。</w:t>
      </w:r>
      <w:bookmarkStart w:id="1057" w:name="_Toc395382544"/>
      <w:bookmarkStart w:id="1058" w:name="_Toc373478388"/>
      <w:bookmarkStart w:id="1059" w:name="_Toc406522262"/>
      <w:bookmarkStart w:id="1060" w:name="_Toc389065307"/>
      <w:bookmarkStart w:id="1061" w:name="_Toc373227741"/>
    </w:p>
    <w:p w14:paraId="20282A2C">
      <w:pPr>
        <w:pStyle w:val="31"/>
        <w:spacing w:line="380" w:lineRule="exact"/>
        <w:ind w:firstLine="422" w:firstLineChars="200"/>
        <w:rPr>
          <w:rFonts w:ascii="宋体" w:cs="宋体"/>
          <w:color w:val="auto"/>
          <w:highlight w:val="none"/>
        </w:rPr>
      </w:pPr>
      <w:bookmarkStart w:id="1062" w:name="_Toc256000220"/>
      <w:r>
        <w:rPr>
          <w:rFonts w:hint="eastAsia" w:ascii="宋体" w:cs="宋体"/>
          <w:color w:val="auto"/>
          <w:highlight w:val="none"/>
        </w:rPr>
        <w:t>10.3 变更程序</w:t>
      </w:r>
      <w:bookmarkEnd w:id="1057"/>
      <w:bookmarkEnd w:id="1058"/>
      <w:bookmarkEnd w:id="1059"/>
      <w:bookmarkEnd w:id="1060"/>
      <w:bookmarkEnd w:id="1061"/>
      <w:bookmarkEnd w:id="1062"/>
    </w:p>
    <w:p w14:paraId="6DB861C6">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10.3.1 国有投资项目：</w:t>
      </w:r>
    </w:p>
    <w:p w14:paraId="4A5C0F0A">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⑴设计变更和工程签证，按各市政府或相关部门的规定办理。属不可抗力（自然灾害、突发事件等）造成变更的，按特事特办原则予以办理。</w:t>
      </w:r>
    </w:p>
    <w:p w14:paraId="769D0ADC">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⑵发包人在实施项目过程中，若发生单价变动，由发包人、监理单位、承包人及其他相关单位共同商定并签字确认。</w:t>
      </w:r>
    </w:p>
    <w:p w14:paraId="44E17365">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26380C8C">
      <w:pPr>
        <w:pStyle w:val="33"/>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10.3.2 非国有投资项目： 同通用条款。</w:t>
      </w:r>
    </w:p>
    <w:p w14:paraId="4C41BEDF">
      <w:pPr>
        <w:pStyle w:val="31"/>
        <w:spacing w:line="380" w:lineRule="exact"/>
        <w:ind w:firstLine="422" w:firstLineChars="200"/>
        <w:rPr>
          <w:rFonts w:ascii="宋体" w:cs="宋体"/>
          <w:color w:val="auto"/>
          <w:highlight w:val="none"/>
        </w:rPr>
      </w:pPr>
      <w:bookmarkStart w:id="1063" w:name="_Toc418751839"/>
      <w:bookmarkStart w:id="1064" w:name="_Toc373478389"/>
      <w:bookmarkStart w:id="1065" w:name="_Toc373227742"/>
      <w:bookmarkStart w:id="1066" w:name="_Toc403578977"/>
      <w:bookmarkStart w:id="1067" w:name="_Toc418061354"/>
      <w:bookmarkStart w:id="1068" w:name="_Toc418752285"/>
      <w:bookmarkStart w:id="1069" w:name="_Toc256000221"/>
      <w:bookmarkStart w:id="1070" w:name="_Toc497747221"/>
      <w:bookmarkStart w:id="1071" w:name="_Toc418518389"/>
      <w:bookmarkStart w:id="1072" w:name="_Toc389065308"/>
      <w:bookmarkStart w:id="1073" w:name="_Toc522201770"/>
      <w:bookmarkStart w:id="1074" w:name="_Toc497746824"/>
      <w:bookmarkStart w:id="1075" w:name="_Toc418518153"/>
      <w:r>
        <w:rPr>
          <w:rFonts w:hint="eastAsia" w:ascii="宋体" w:cs="宋体"/>
          <w:color w:val="auto"/>
          <w:highlight w:val="none"/>
        </w:rPr>
        <w:t>10.4 变更估价</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00B68D3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10.4.1 变更估价原则</w:t>
      </w:r>
    </w:p>
    <w:p w14:paraId="766626EE">
      <w:pPr>
        <w:pStyle w:val="33"/>
        <w:spacing w:line="380" w:lineRule="exact"/>
        <w:ind w:firstLine="426"/>
        <w:rPr>
          <w:rFonts w:ascii="宋体" w:hAnsi="宋体" w:cs="宋体"/>
          <w:color w:val="auto"/>
          <w:szCs w:val="21"/>
          <w:highlight w:val="none"/>
          <w:u w:val="single"/>
        </w:rPr>
      </w:pPr>
      <w:r>
        <w:rPr>
          <w:rFonts w:hint="eastAsia" w:ascii="宋体" w:hAnsi="宋体" w:cs="宋体"/>
          <w:color w:val="auto"/>
          <w:szCs w:val="21"/>
          <w:highlight w:val="none"/>
        </w:rPr>
        <w:t xml:space="preserve">关于变更估价的约定: </w:t>
      </w:r>
      <w:r>
        <w:rPr>
          <w:rFonts w:hint="eastAsia" w:ascii="宋体" w:hAnsi="宋体" w:cs="宋体"/>
          <w:color w:val="auto"/>
          <w:szCs w:val="21"/>
          <w:highlight w:val="none"/>
          <w:u w:val="single"/>
        </w:rPr>
        <w:t>（1）、投标报价中已有适用于变更工程的综合单价，按已有的综合单价；（2）、投标报价中有类似变更工程的综合单价，可参照投标报价中类似的综合单价确定；（3）、</w:t>
      </w:r>
      <w:r>
        <w:rPr>
          <w:rFonts w:ascii="宋体" w:hAnsi="宋体" w:cs="宋体"/>
          <w:color w:val="auto"/>
          <w:szCs w:val="21"/>
          <w:highlight w:val="none"/>
          <w:u w:val="single"/>
        </w:rPr>
        <w:t>投标报价中没有适用或类似于变更工程的综合单价，则有定额的套用定额计算，执行本工程编制招标控制价的参考依据，其中材料价格有信息价的按合同该新增子项实施期间《桂林市建设工程造价信息》中的平均价计取（信息价无相关信息的参照信息价中桂林市的平均价），无信息价时按市场价格共同协商初步确定；此类工程结算综合单价=按现行定额计算（管理费、利润取中值）的综合单价×中标</w:t>
      </w:r>
      <w:r>
        <w:rPr>
          <w:rFonts w:ascii="宋体" w:hAnsi="宋体" w:cs="宋体"/>
          <w:strike w:val="0"/>
          <w:color w:val="auto"/>
          <w:szCs w:val="21"/>
          <w:highlight w:val="none"/>
          <w:u w:val="single"/>
        </w:rPr>
        <w:t>下浮</w:t>
      </w:r>
      <w:r>
        <w:rPr>
          <w:rFonts w:ascii="宋体" w:hAnsi="宋体" w:cs="宋体"/>
          <w:color w:val="auto"/>
          <w:szCs w:val="21"/>
          <w:highlight w:val="none"/>
          <w:u w:val="single"/>
        </w:rPr>
        <w:t>系数（中标人的投标报价÷经财政部门审核后的预算价），新增项目无定额可套用时，由发包人、承包人及监理三方共同协商初步确定，最终以</w:t>
      </w:r>
      <w:r>
        <w:rPr>
          <w:rFonts w:hint="eastAsia" w:ascii="宋体" w:hAnsi="宋体" w:cs="宋体"/>
          <w:color w:val="auto"/>
          <w:szCs w:val="21"/>
          <w:highlight w:val="none"/>
          <w:u w:val="single"/>
          <w:lang w:eastAsia="zh-CN"/>
        </w:rPr>
        <w:t>桂林市雁山区财政局</w:t>
      </w:r>
      <w:r>
        <w:rPr>
          <w:rFonts w:ascii="宋体" w:hAnsi="宋体" w:cs="宋体"/>
          <w:color w:val="auto"/>
          <w:szCs w:val="21"/>
          <w:highlight w:val="none"/>
          <w:u w:val="single"/>
        </w:rPr>
        <w:t>审定或审计单位审定</w:t>
      </w:r>
      <w:r>
        <w:rPr>
          <w:rFonts w:hint="eastAsia" w:ascii="宋体" w:hAnsi="宋体" w:cs="宋体"/>
          <w:color w:val="auto"/>
          <w:szCs w:val="21"/>
          <w:highlight w:val="none"/>
          <w:u w:val="single"/>
        </w:rPr>
        <w:t>并经发包人及承包人双方确认的金额</w:t>
      </w:r>
      <w:r>
        <w:rPr>
          <w:rFonts w:ascii="宋体" w:hAnsi="宋体" w:cs="宋体"/>
          <w:color w:val="auto"/>
          <w:szCs w:val="21"/>
          <w:highlight w:val="none"/>
          <w:u w:val="single"/>
        </w:rPr>
        <w:t>为准</w:t>
      </w:r>
      <w:r>
        <w:rPr>
          <w:rFonts w:hint="eastAsia" w:ascii="宋体" w:hAnsi="宋体" w:cs="宋体"/>
          <w:color w:val="auto"/>
          <w:szCs w:val="21"/>
          <w:highlight w:val="none"/>
          <w:u w:val="single"/>
        </w:rPr>
        <w:t>。（4）</w:t>
      </w:r>
      <w:r>
        <w:rPr>
          <w:rFonts w:ascii="宋体" w:hAnsi="宋体" w:cs="宋体"/>
          <w:color w:val="auto"/>
          <w:szCs w:val="21"/>
          <w:highlight w:val="none"/>
          <w:u w:val="single"/>
        </w:rPr>
        <w:t>若发包人和监理人认为有关的工作不能以实物工程量的方法计算及估值时，则按以下的方法计算：若工程量清单中有计日工价目表，则以计日工价目表中相应的项目计价；若计日工作价目表中无类似项目，则按三方协商的价格估值。附带条件为，承包人须提交每天用于该项工作的时间的记录、相关工人的姓名及经发包人、监理人复核的所用物料的清单。上述数据须于该项工作执行后的一星期内提交给发包人及监理人</w:t>
      </w:r>
      <w:r>
        <w:rPr>
          <w:rFonts w:hint="eastAsia" w:ascii="宋体" w:hAnsi="宋体" w:cs="宋体"/>
          <w:color w:val="auto"/>
          <w:szCs w:val="21"/>
          <w:highlight w:val="none"/>
          <w:u w:val="single"/>
        </w:rPr>
        <w:t>。（5）暂定价调整方法为：暂定材料价格部分仅调整合同实施期间材料市场价与暂定价之间的材差并计相应的规费和增值税，投标书中相应的综合单价不再调整。专业工程暂估价的确定方法：由承包人申报单价，发包人组织监理人、造价审核机构共同询价确定。如发包人认为材料暂估价及专业工程暂估价需要进行市场询价的，应以询价小组（询价小组由发包人、承包人、监理人组成）调查确认的单价为准。（6）无约定的参照我区现行《建设工程工程量清单计价规范》及配套定额相关规定执行。（7） 本工程最终结算以</w:t>
      </w:r>
      <w:r>
        <w:rPr>
          <w:rFonts w:hint="eastAsia" w:ascii="宋体" w:hAnsi="宋体" w:cs="宋体"/>
          <w:color w:val="auto"/>
          <w:szCs w:val="21"/>
          <w:highlight w:val="none"/>
          <w:u w:val="single"/>
          <w:lang w:eastAsia="zh-CN"/>
        </w:rPr>
        <w:t>桂林市雁山区财政局</w:t>
      </w:r>
      <w:r>
        <w:rPr>
          <w:rFonts w:hint="eastAsia" w:ascii="宋体" w:hAnsi="宋体" w:cs="宋体"/>
          <w:color w:val="auto"/>
          <w:szCs w:val="21"/>
          <w:highlight w:val="none"/>
          <w:u w:val="single"/>
        </w:rPr>
        <w:t>或发包人委托的造价咨询机构审定并经发包人及承包人双方确认的金额为准。</w:t>
      </w:r>
    </w:p>
    <w:p w14:paraId="72C57214">
      <w:pPr>
        <w:pStyle w:val="31"/>
        <w:spacing w:line="380" w:lineRule="exact"/>
        <w:ind w:firstLine="422" w:firstLineChars="200"/>
        <w:rPr>
          <w:rFonts w:ascii="宋体" w:cs="宋体"/>
          <w:color w:val="auto"/>
          <w:highlight w:val="none"/>
        </w:rPr>
      </w:pPr>
      <w:bookmarkStart w:id="1076" w:name="_Toc418518390"/>
      <w:bookmarkStart w:id="1077" w:name="_Toc418752286"/>
      <w:bookmarkStart w:id="1078" w:name="_Toc389065309"/>
      <w:bookmarkStart w:id="1079" w:name="_Toc418518154"/>
      <w:bookmarkStart w:id="1080" w:name="_Toc373478390"/>
      <w:bookmarkStart w:id="1081" w:name="_Toc418751840"/>
      <w:bookmarkStart w:id="1082" w:name="_Toc497747222"/>
      <w:bookmarkStart w:id="1083" w:name="_Toc418061355"/>
      <w:bookmarkStart w:id="1084" w:name="_Toc256000222"/>
      <w:bookmarkStart w:id="1085" w:name="_Toc403578978"/>
      <w:bookmarkStart w:id="1086" w:name="_Toc522201771"/>
      <w:bookmarkStart w:id="1087" w:name="_Toc497746825"/>
      <w:bookmarkStart w:id="1088" w:name="_Toc373227743"/>
      <w:r>
        <w:rPr>
          <w:rFonts w:hint="eastAsia" w:ascii="宋体" w:cs="宋体"/>
          <w:color w:val="auto"/>
          <w:highlight w:val="none"/>
        </w:rPr>
        <w:t>1</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Start w:id="1089" w:name="_Toc296346698"/>
      <w:bookmarkStart w:id="1090" w:name="_Toc296944536"/>
      <w:bookmarkStart w:id="1091" w:name="_Toc296347196"/>
      <w:bookmarkStart w:id="1092" w:name="_Toc292559402"/>
      <w:bookmarkStart w:id="1093" w:name="_Toc297120497"/>
      <w:bookmarkStart w:id="1094" w:name="_Toc296503197"/>
      <w:bookmarkStart w:id="1095" w:name="_Toc297123544"/>
      <w:bookmarkStart w:id="1096" w:name="_Toc296891025"/>
      <w:bookmarkStart w:id="1097" w:name="_Toc300934993"/>
      <w:bookmarkStart w:id="1098" w:name="_Toc303539150"/>
      <w:bookmarkStart w:id="1099" w:name="_Toc292559907"/>
      <w:bookmarkStart w:id="1100" w:name="_Toc297048383"/>
      <w:bookmarkStart w:id="1101" w:name="_Toc297216203"/>
      <w:bookmarkStart w:id="1102" w:name="_Toc296891237"/>
      <w:bookmarkStart w:id="1103" w:name="_Toc312678029"/>
      <w:bookmarkStart w:id="1104" w:name="_Toc312677503"/>
      <w:bookmarkStart w:id="1105" w:name="_Toc304295570"/>
      <w:r>
        <w:rPr>
          <w:rFonts w:hint="eastAsia" w:ascii="宋体" w:cs="宋体"/>
          <w:color w:val="auto"/>
          <w:highlight w:val="none"/>
        </w:rPr>
        <w:t>0.5 承</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Start w:id="1106" w:name="_Toc296944542"/>
      <w:bookmarkStart w:id="1107" w:name="_Toc297048389"/>
      <w:bookmarkStart w:id="1108" w:name="_Toc297120503"/>
      <w:bookmarkStart w:id="1109" w:name="_Toc297216204"/>
      <w:bookmarkStart w:id="1110" w:name="_Toc300934994"/>
      <w:bookmarkStart w:id="1111" w:name="_Toc296347202"/>
      <w:bookmarkStart w:id="1112" w:name="_Toc297123545"/>
      <w:bookmarkStart w:id="1113" w:name="_Toc296503203"/>
      <w:bookmarkStart w:id="1114" w:name="_Toc292559913"/>
      <w:bookmarkStart w:id="1115" w:name="_Toc303539151"/>
      <w:bookmarkStart w:id="1116" w:name="_Toc296891243"/>
      <w:bookmarkStart w:id="1117" w:name="_Toc296346704"/>
      <w:bookmarkStart w:id="1118" w:name="_Toc292559408"/>
      <w:bookmarkStart w:id="1119" w:name="_Toc296891031"/>
      <w:r>
        <w:rPr>
          <w:rFonts w:hint="eastAsia" w:ascii="宋体" w:cs="宋体"/>
          <w:color w:val="auto"/>
          <w:highlight w:val="none"/>
        </w:rPr>
        <w:t>包人的合理化建议</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p>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14:paraId="6C4BA32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监理人审查承包人合理化建议的期限：</w:t>
      </w:r>
      <w:r>
        <w:rPr>
          <w:rFonts w:hint="eastAsia" w:ascii="宋体" w:hAnsi="宋体" w:cs="宋体"/>
          <w:color w:val="auto"/>
          <w:szCs w:val="21"/>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Cs w:val="21"/>
          <w:highlight w:val="none"/>
        </w:rPr>
        <w:t>。</w:t>
      </w:r>
    </w:p>
    <w:p w14:paraId="4AE714B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发包人应在收到监理人报送的合理化建议后7天内审批完毕</w:t>
      </w:r>
      <w:r>
        <w:rPr>
          <w:rFonts w:hint="eastAsia" w:ascii="宋体" w:hAnsi="宋体" w:cs="宋体"/>
          <w:color w:val="auto"/>
          <w:szCs w:val="21"/>
          <w:highlight w:val="none"/>
        </w:rPr>
        <w:t>。</w:t>
      </w:r>
    </w:p>
    <w:p w14:paraId="7AB6C731">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w:t>
      </w:r>
      <w:bookmarkStart w:id="1120" w:name="_Toc312677504"/>
      <w:bookmarkStart w:id="1121" w:name="_Toc292559914"/>
      <w:bookmarkStart w:id="1122" w:name="_Toc296944543"/>
      <w:bookmarkStart w:id="1123" w:name="_Toc304295571"/>
      <w:bookmarkStart w:id="1124" w:name="_Toc297123546"/>
      <w:bookmarkStart w:id="1125" w:name="_Toc297216205"/>
      <w:bookmarkStart w:id="1126" w:name="_Toc296503204"/>
      <w:bookmarkStart w:id="1127" w:name="_Toc292559409"/>
      <w:bookmarkStart w:id="1128" w:name="_Toc296891032"/>
      <w:bookmarkStart w:id="1129" w:name="_Toc297120504"/>
      <w:bookmarkStart w:id="1130" w:name="_Toc300934995"/>
      <w:bookmarkStart w:id="1131" w:name="_Toc296891244"/>
      <w:bookmarkStart w:id="1132" w:name="_Toc297048390"/>
      <w:bookmarkStart w:id="1133" w:name="_Toc296347203"/>
      <w:bookmarkStart w:id="1134" w:name="_Toc312678030"/>
      <w:bookmarkStart w:id="1135" w:name="_Toc303539152"/>
      <w:bookmarkStart w:id="1136" w:name="_Toc318581175"/>
      <w:bookmarkStart w:id="1137" w:name="_Toc296346705"/>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34E35C07">
      <w:pPr>
        <w:pStyle w:val="31"/>
        <w:spacing w:line="380" w:lineRule="exact"/>
        <w:ind w:firstLine="422" w:firstLineChars="200"/>
        <w:rPr>
          <w:rFonts w:ascii="宋体" w:cs="宋体"/>
          <w:color w:val="auto"/>
          <w:highlight w:val="none"/>
        </w:rPr>
      </w:pPr>
      <w:bookmarkStart w:id="1138" w:name="_Toc256000223"/>
      <w:bookmarkStart w:id="1139" w:name="_Toc418518155"/>
      <w:bookmarkStart w:id="1140" w:name="_Toc418752287"/>
      <w:bookmarkStart w:id="1141" w:name="_Toc497747223"/>
      <w:bookmarkStart w:id="1142" w:name="_Toc418061356"/>
      <w:bookmarkStart w:id="1143" w:name="_Toc418518391"/>
      <w:bookmarkStart w:id="1144" w:name="_Toc403578979"/>
      <w:bookmarkStart w:id="1145" w:name="_Toc373478391"/>
      <w:bookmarkStart w:id="1146" w:name="_Toc373227744"/>
      <w:bookmarkStart w:id="1147" w:name="_Toc522201772"/>
      <w:bookmarkStart w:id="1148" w:name="_Toc389065310"/>
      <w:bookmarkStart w:id="1149" w:name="_Toc418751841"/>
      <w:bookmarkStart w:id="1150" w:name="_Toc497746826"/>
      <w:r>
        <w:rPr>
          <w:rFonts w:hint="eastAsia" w:ascii="宋体" w:cs="宋体"/>
          <w:color w:val="auto"/>
          <w:highlight w:val="none"/>
        </w:rPr>
        <w:t>1</w:t>
      </w:r>
      <w:bookmarkStart w:id="1151" w:name="_Toc300934997"/>
      <w:bookmarkStart w:id="1152" w:name="_Toc303539154"/>
      <w:bookmarkStart w:id="1153" w:name="_Toc292559909"/>
      <w:bookmarkStart w:id="1154" w:name="_Toc296891239"/>
      <w:bookmarkStart w:id="1155" w:name="_Toc296503199"/>
      <w:bookmarkStart w:id="1156" w:name="_Toc297216207"/>
      <w:bookmarkStart w:id="1157" w:name="_Toc304295574"/>
      <w:bookmarkStart w:id="1158" w:name="_Toc296346700"/>
      <w:bookmarkStart w:id="1159" w:name="_Toc312678033"/>
      <w:bookmarkStart w:id="1160" w:name="_Toc297123548"/>
      <w:bookmarkStart w:id="1161" w:name="_Toc297120499"/>
      <w:bookmarkStart w:id="1162" w:name="_Toc292559404"/>
      <w:bookmarkStart w:id="1163" w:name="_Toc296347198"/>
      <w:bookmarkStart w:id="1164" w:name="_Toc296944538"/>
      <w:bookmarkStart w:id="1165" w:name="_Toc297048385"/>
      <w:bookmarkStart w:id="1166" w:name="_Toc296891027"/>
      <w:bookmarkStart w:id="1167" w:name="_Toc312677507"/>
      <w:r>
        <w:rPr>
          <w:rFonts w:hint="eastAsia" w:ascii="宋体" w:cs="宋体"/>
          <w:color w:val="auto"/>
          <w:highlight w:val="none"/>
        </w:rPr>
        <w:t>0.7 暂估价</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p>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14:paraId="3739D1A8">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暂</w:t>
      </w:r>
      <w:bookmarkStart w:id="1168" w:name="_Toc312677508"/>
      <w:bookmarkStart w:id="1169" w:name="_Toc312678034"/>
      <w:bookmarkStart w:id="1170" w:name="_Toc318581176"/>
      <w:r>
        <w:rPr>
          <w:rFonts w:hint="eastAsia" w:ascii="宋体" w:hAnsi="宋体" w:cs="宋体"/>
          <w:color w:val="auto"/>
          <w:kern w:val="0"/>
          <w:szCs w:val="21"/>
          <w:highlight w:val="none"/>
        </w:rPr>
        <w:t>估价材料和工程设备的明细详见已标价工程量清单《</w:t>
      </w:r>
      <w:r>
        <w:rPr>
          <w:rFonts w:hint="eastAsia" w:ascii="宋体" w:hAnsi="宋体" w:cs="宋体"/>
          <w:color w:val="auto"/>
          <w:szCs w:val="21"/>
          <w:highlight w:val="none"/>
        </w:rPr>
        <w:t>材料（工程设备）暂估价格及调整表》</w:t>
      </w:r>
      <w:r>
        <w:rPr>
          <w:rFonts w:hint="eastAsia" w:ascii="宋体" w:hAnsi="宋体" w:cs="宋体"/>
          <w:color w:val="auto"/>
          <w:kern w:val="0"/>
          <w:szCs w:val="21"/>
          <w:highlight w:val="none"/>
        </w:rPr>
        <w:t>（表12-2）和《</w:t>
      </w:r>
      <w:r>
        <w:rPr>
          <w:rFonts w:hint="eastAsia" w:ascii="宋体" w:hAnsi="宋体" w:cs="宋体"/>
          <w:color w:val="auto"/>
          <w:szCs w:val="21"/>
          <w:highlight w:val="none"/>
        </w:rPr>
        <w:t>专业工程暂估价表》（</w:t>
      </w:r>
      <w:r>
        <w:rPr>
          <w:rFonts w:hint="eastAsia" w:ascii="宋体" w:hAnsi="宋体" w:cs="宋体"/>
          <w:color w:val="auto"/>
          <w:kern w:val="0"/>
          <w:szCs w:val="21"/>
          <w:highlight w:val="none"/>
        </w:rPr>
        <w:t>表12-3）。</w:t>
      </w:r>
    </w:p>
    <w:bookmarkEnd w:id="1168"/>
    <w:bookmarkEnd w:id="1169"/>
    <w:bookmarkEnd w:id="1170"/>
    <w:p w14:paraId="6CCA5BD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Start w:id="1171" w:name="_Toc312677509"/>
      <w:bookmarkStart w:id="1172" w:name="_Toc318581177"/>
      <w:bookmarkStart w:id="1173" w:name="_Toc312678035"/>
      <w:r>
        <w:rPr>
          <w:rFonts w:hint="eastAsia" w:ascii="宋体" w:hAnsi="宋体" w:cs="宋体"/>
          <w:color w:val="auto"/>
          <w:szCs w:val="21"/>
          <w:highlight w:val="none"/>
        </w:rPr>
        <w:t>0.7.1 依法必须招标的暂估价项目</w:t>
      </w:r>
    </w:p>
    <w:bookmarkEnd w:id="1171"/>
    <w:bookmarkEnd w:id="1172"/>
    <w:bookmarkEnd w:id="1173"/>
    <w:p w14:paraId="5B78D4E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对于依法必须招标的暂估价项目的确认和批准采取第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种方式确定。</w:t>
      </w:r>
    </w:p>
    <w:p w14:paraId="2B96121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10.7.2 不属于依法必须招标的暂估价项目</w:t>
      </w:r>
    </w:p>
    <w:p w14:paraId="36F4A9F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对于不属于依法必须招标的暂估价项目的确认和批准采取第</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 xml:space="preserve"> 种方式确定。</w:t>
      </w:r>
    </w:p>
    <w:p w14:paraId="753C6122">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kern w:val="0"/>
          <w:szCs w:val="21"/>
          <w:highlight w:val="none"/>
        </w:rPr>
        <w:t>承包人直接实施的暂估价项目</w:t>
      </w:r>
    </w:p>
    <w:p w14:paraId="10EE671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承包人直接实施的暂估价项目的约定：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30E8E5BD">
      <w:pPr>
        <w:pStyle w:val="31"/>
        <w:spacing w:line="380" w:lineRule="exact"/>
        <w:ind w:firstLine="422" w:firstLineChars="200"/>
        <w:rPr>
          <w:rFonts w:ascii="宋体" w:cs="宋体"/>
          <w:color w:val="auto"/>
          <w:highlight w:val="none"/>
        </w:rPr>
      </w:pPr>
      <w:bookmarkStart w:id="1174" w:name="_Toc418518156"/>
      <w:bookmarkStart w:id="1175" w:name="_Toc389065311"/>
      <w:bookmarkStart w:id="1176" w:name="_Toc418752288"/>
      <w:bookmarkStart w:id="1177" w:name="_Toc373227745"/>
      <w:bookmarkStart w:id="1178" w:name="_Toc522201773"/>
      <w:bookmarkStart w:id="1179" w:name="_Toc403578980"/>
      <w:bookmarkStart w:id="1180" w:name="_Toc418518392"/>
      <w:bookmarkStart w:id="1181" w:name="_Toc256000224"/>
      <w:bookmarkStart w:id="1182" w:name="_Toc373478392"/>
      <w:bookmarkStart w:id="1183" w:name="_Toc497746827"/>
      <w:bookmarkStart w:id="1184" w:name="_Toc418061357"/>
      <w:bookmarkStart w:id="1185" w:name="_Toc418751842"/>
      <w:bookmarkStart w:id="1186" w:name="_Toc497747224"/>
      <w:r>
        <w:rPr>
          <w:rFonts w:hint="eastAsia" w:ascii="宋体" w:cs="宋体"/>
          <w:color w:val="auto"/>
          <w:highlight w:val="none"/>
        </w:rPr>
        <w:t>10.8 暂列金额</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3DBCFBE7">
      <w:pPr>
        <w:pStyle w:val="33"/>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合同当事人关于暂列金额使用的约定：</w:t>
      </w:r>
      <w:r>
        <w:rPr>
          <w:rFonts w:hint="eastAsia" w:ascii="宋体" w:hAnsi="宋体" w:cs="宋体"/>
          <w:color w:val="auto"/>
          <w:szCs w:val="21"/>
          <w:highlight w:val="none"/>
          <w:u w:val="single"/>
        </w:rPr>
        <w:t xml:space="preserve">（1）已签约合同价中的暂列金额由发包人掌握使用。（2）发包人按照规定所作支付后，暂列金额如有余额归发包人 </w:t>
      </w:r>
      <w:r>
        <w:rPr>
          <w:rFonts w:hint="eastAsia" w:ascii="宋体" w:hAnsi="宋体" w:cs="宋体"/>
          <w:color w:val="auto"/>
          <w:kern w:val="0"/>
          <w:szCs w:val="21"/>
          <w:highlight w:val="none"/>
        </w:rPr>
        <w:t>。</w:t>
      </w:r>
    </w:p>
    <w:p w14:paraId="5DD7FF0C">
      <w:pPr>
        <w:pStyle w:val="31"/>
        <w:spacing w:line="380" w:lineRule="exact"/>
        <w:rPr>
          <w:rFonts w:ascii="宋体" w:cs="宋体"/>
          <w:color w:val="auto"/>
          <w:highlight w:val="none"/>
        </w:rPr>
      </w:pPr>
      <w:bookmarkStart w:id="1187" w:name="_Toc418518157"/>
      <w:bookmarkStart w:id="1188" w:name="_Toc418061358"/>
      <w:bookmarkStart w:id="1189" w:name="_Toc418752289"/>
      <w:bookmarkStart w:id="1190" w:name="_Toc256000225"/>
      <w:bookmarkStart w:id="1191" w:name="_Toc389065312"/>
      <w:bookmarkStart w:id="1192" w:name="_Toc497746828"/>
      <w:bookmarkStart w:id="1193" w:name="_Toc497747225"/>
      <w:bookmarkStart w:id="1194" w:name="_Toc418751843"/>
      <w:bookmarkStart w:id="1195" w:name="_Toc403578981"/>
      <w:bookmarkStart w:id="1196" w:name="_Toc373478393"/>
      <w:bookmarkStart w:id="1197" w:name="_Toc351203643"/>
      <w:bookmarkStart w:id="1198" w:name="_Toc418518393"/>
      <w:bookmarkStart w:id="1199" w:name="_Toc522201774"/>
      <w:bookmarkStart w:id="1200" w:name="_Toc373227746"/>
      <w:r>
        <w:rPr>
          <w:rFonts w:hint="eastAsia" w:ascii="宋体" w:cs="宋体"/>
          <w:color w:val="auto"/>
          <w:highlight w:val="none"/>
        </w:rPr>
        <w:t>11. 价格调整</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3FCB8324">
      <w:pPr>
        <w:pStyle w:val="31"/>
        <w:spacing w:line="380" w:lineRule="exact"/>
        <w:ind w:firstLine="422" w:firstLineChars="200"/>
        <w:rPr>
          <w:rFonts w:ascii="宋体" w:cs="宋体"/>
          <w:color w:val="auto"/>
          <w:highlight w:val="none"/>
        </w:rPr>
      </w:pPr>
      <w:bookmarkStart w:id="1201" w:name="_Toc497746829"/>
      <w:bookmarkStart w:id="1202" w:name="_Toc418752290"/>
      <w:bookmarkStart w:id="1203" w:name="_Toc256000226"/>
      <w:bookmarkStart w:id="1204" w:name="_Toc418518158"/>
      <w:bookmarkStart w:id="1205" w:name="_Toc522201775"/>
      <w:bookmarkStart w:id="1206" w:name="_Toc418751844"/>
      <w:bookmarkStart w:id="1207" w:name="_Toc418518394"/>
      <w:bookmarkStart w:id="1208" w:name="_Toc389065313"/>
      <w:bookmarkStart w:id="1209" w:name="_Toc497747226"/>
      <w:bookmarkStart w:id="1210" w:name="_Toc373227747"/>
      <w:bookmarkStart w:id="1211" w:name="_Toc403578982"/>
      <w:bookmarkStart w:id="1212" w:name="_Toc418061359"/>
      <w:bookmarkStart w:id="1213" w:name="_Toc373478394"/>
      <w:bookmarkStart w:id="1214" w:name="_Toc292559911"/>
      <w:bookmarkStart w:id="1215" w:name="_Toc303539157"/>
      <w:bookmarkStart w:id="1216" w:name="_Toc296503201"/>
      <w:bookmarkStart w:id="1217" w:name="_Toc296944540"/>
      <w:bookmarkStart w:id="1218" w:name="_Toc292559406"/>
      <w:bookmarkStart w:id="1219" w:name="_Toc296347200"/>
      <w:bookmarkStart w:id="1220" w:name="_Toc296346702"/>
      <w:bookmarkStart w:id="1221" w:name="_Toc297120501"/>
      <w:bookmarkStart w:id="1222" w:name="_Toc296891241"/>
      <w:bookmarkStart w:id="1223" w:name="_Toc297216209"/>
      <w:bookmarkStart w:id="1224" w:name="_Toc300935000"/>
      <w:bookmarkStart w:id="1225" w:name="_Toc304295577"/>
      <w:bookmarkStart w:id="1226" w:name="_Toc312678039"/>
      <w:bookmarkStart w:id="1227" w:name="_Toc297048387"/>
      <w:bookmarkStart w:id="1228" w:name="_Toc296891029"/>
      <w:bookmarkStart w:id="1229" w:name="_Toc297123550"/>
      <w:r>
        <w:rPr>
          <w:rFonts w:hint="eastAsia" w:ascii="宋体" w:cs="宋体"/>
          <w:color w:val="auto"/>
          <w:highlight w:val="none"/>
        </w:rPr>
        <w:t>11.1 市场价格波动引起的调整</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p>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14:paraId="7E1E776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调整 </w:t>
      </w:r>
      <w:r>
        <w:rPr>
          <w:rFonts w:hint="eastAsia" w:ascii="宋体" w:hAnsi="宋体" w:cs="宋体"/>
          <w:color w:val="auto"/>
          <w:szCs w:val="21"/>
          <w:highlight w:val="none"/>
        </w:rPr>
        <w:t>。</w:t>
      </w:r>
    </w:p>
    <w:p w14:paraId="1A74A07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rPr>
        <w:t>2</w:t>
      </w:r>
      <w:r>
        <w:rPr>
          <w:rFonts w:hint="eastAsia" w:ascii="宋体" w:hAnsi="宋体" w:cs="宋体"/>
          <w:color w:val="auto"/>
          <w:szCs w:val="21"/>
          <w:highlight w:val="none"/>
        </w:rPr>
        <w:t>种方式对合同价格进行调整：</w:t>
      </w:r>
    </w:p>
    <w:p w14:paraId="28555DA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651819EF">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关于各可调因子、定值和变值权重，以及基本价格指数及其来源的约定：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60F005AF">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01FF3BFE">
      <w:pPr>
        <w:pStyle w:val="33"/>
        <w:spacing w:line="380" w:lineRule="exact"/>
        <w:ind w:firstLine="316" w:firstLineChars="15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（1）关于基准价格的约定： </w:t>
      </w:r>
      <w:r>
        <w:rPr>
          <w:rFonts w:hint="eastAsia" w:ascii="宋体" w:hAnsi="宋体" w:eastAsia="宋体" w:cs="Times New Roman"/>
          <w:b/>
          <w:bCs/>
          <w:color w:val="000000" w:themeColor="text1"/>
          <w:szCs w:val="21"/>
          <w:highlight w:val="none"/>
          <w:u w:val="single"/>
          <w:lang w:val="en-US" w:eastAsia="zh-CN"/>
          <w14:textFill>
            <w14:solidFill>
              <w14:schemeClr w14:val="tx1"/>
            </w14:solidFill>
          </w14:textFill>
        </w:rPr>
        <w:t>202</w:t>
      </w:r>
      <w:r>
        <w:rPr>
          <w:rFonts w:hint="eastAsia" w:ascii="宋体" w:hAnsi="宋体" w:cs="Times New Roman"/>
          <w:b/>
          <w:bCs/>
          <w:color w:val="000000" w:themeColor="text1"/>
          <w:szCs w:val="21"/>
          <w:highlight w:val="none"/>
          <w:u w:val="single"/>
          <w:lang w:val="en-US" w:eastAsia="zh-CN"/>
          <w14:textFill>
            <w14:solidFill>
              <w14:schemeClr w14:val="tx1"/>
            </w14:solidFill>
          </w14:textFill>
        </w:rPr>
        <w:t>5</w:t>
      </w:r>
      <w:r>
        <w:rPr>
          <w:rFonts w:hint="eastAsia" w:ascii="宋体" w:hAnsi="宋体" w:eastAsia="宋体" w:cs="Times New Roman"/>
          <w:b/>
          <w:bCs/>
          <w:color w:val="000000" w:themeColor="text1"/>
          <w:szCs w:val="21"/>
          <w:highlight w:val="none"/>
          <w:u w:val="single"/>
          <w:lang w:val="en-US" w:eastAsia="zh-CN"/>
          <w14:textFill>
            <w14:solidFill>
              <w14:schemeClr w14:val="tx1"/>
            </w14:solidFill>
          </w14:textFill>
        </w:rPr>
        <w:t>年第</w:t>
      </w:r>
      <w:r>
        <w:rPr>
          <w:rFonts w:hint="eastAsia" w:ascii="宋体" w:hAnsi="宋体" w:cs="Times New Roman"/>
          <w:b/>
          <w:bCs/>
          <w:color w:val="000000" w:themeColor="text1"/>
          <w:szCs w:val="21"/>
          <w:highlight w:val="none"/>
          <w:u w:val="single"/>
          <w:lang w:val="en-US" w:eastAsia="zh-CN"/>
          <w14:textFill>
            <w14:solidFill>
              <w14:schemeClr w14:val="tx1"/>
            </w14:solidFill>
          </w14:textFill>
        </w:rPr>
        <w:t>9</w:t>
      </w:r>
      <w:r>
        <w:rPr>
          <w:rFonts w:hint="eastAsia" w:ascii="宋体" w:hAnsi="宋体" w:eastAsia="宋体" w:cs="Times New Roman"/>
          <w:b/>
          <w:bCs/>
          <w:color w:val="000000" w:themeColor="text1"/>
          <w:szCs w:val="21"/>
          <w:highlight w:val="none"/>
          <w:u w:val="single"/>
          <w:lang w:val="en-US" w:eastAsia="zh-CN"/>
          <w14:textFill>
            <w14:solidFill>
              <w14:schemeClr w14:val="tx1"/>
            </w14:solidFill>
          </w14:textFill>
        </w:rPr>
        <w:t>期《桂林市建设工程造价信息》信</w:t>
      </w:r>
      <w:r>
        <w:rPr>
          <w:rFonts w:hint="eastAsia" w:ascii="宋体" w:hAnsi="宋体"/>
          <w:b/>
          <w:bCs/>
          <w:color w:val="000000" w:themeColor="text1"/>
          <w:szCs w:val="21"/>
          <w:highlight w:val="none"/>
          <w:u w:val="single"/>
          <w:lang w:val="en-US" w:eastAsia="zh-CN"/>
          <w14:textFill>
            <w14:solidFill>
              <w14:schemeClr w14:val="tx1"/>
            </w14:solidFill>
          </w14:textFill>
        </w:rPr>
        <w:t>息价，没有的材料价格市场询价</w:t>
      </w:r>
      <w:r>
        <w:rPr>
          <w:rFonts w:hint="eastAsia" w:ascii="宋体" w:hAnsi="宋体"/>
          <w:b/>
          <w:bCs/>
          <w:color w:val="000000" w:themeColor="text1"/>
          <w:szCs w:val="21"/>
          <w:highlight w:val="none"/>
          <w:u w:val="single"/>
          <w14:textFill>
            <w14:solidFill>
              <w14:schemeClr w14:val="tx1"/>
            </w14:solidFill>
          </w14:textFill>
        </w:rPr>
        <w:t>。</w:t>
      </w:r>
    </w:p>
    <w:p w14:paraId="50E3750D">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投</w:t>
      </w:r>
      <w:r>
        <w:rPr>
          <w:rFonts w:hint="eastAsia" w:ascii="宋体" w:hAnsi="宋体" w:cs="宋体"/>
          <w:color w:val="auto"/>
          <w:kern w:val="0"/>
          <w:szCs w:val="21"/>
          <w:highlight w:val="none"/>
        </w:rPr>
        <w:t>标人应根据施工期间材料可能由于市场价格上涨（或下跌）因素自行考虑由此引起的风险并计入投标报价中，投标人应对自己的报价承担风险，除本合同约定的钢筋、水泥、商品混凝土、沥青混凝土、碎石、砂、片石、沥青、管材、石材、土方（含购土与弃土）等项材料价格可做调整外，其余材料价格不作调整。</w:t>
      </w:r>
    </w:p>
    <w:p w14:paraId="6CAD3AA4">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①承包人在已标价工程量清单或预算书中载明的材料单价低于基准价格的，合同履行期间材料单价涨幅以基准价格为基础超过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%时，或材料单价跌幅以已标价工程量清单或预算书中载明材料单价为基础超过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5269E112">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%时，材料单价涨幅以已标价工程量清单或预算书中载明材料单价为基础超过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2443855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szCs w:val="21"/>
          <w:highlight w:val="none"/>
          <w:lang w:eastAsia="zh-CN"/>
        </w:rPr>
        <w:t>5</w:t>
      </w:r>
      <w:r>
        <w:rPr>
          <w:rFonts w:hint="eastAsia" w:ascii="宋体" w:hAnsi="宋体" w:cs="宋体"/>
          <w:color w:val="auto"/>
          <w:szCs w:val="21"/>
          <w:highlight w:val="none"/>
        </w:rPr>
        <w:t>%时，其超过部分据实调整。</w:t>
      </w:r>
    </w:p>
    <w:p w14:paraId="5EF18E6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④除专用合同约定的钢筋、水泥、商品混凝土、沥青混凝土、碎石、砂、片石、沥青、管材、石材、土方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等项材料外，其余材料价格不做调整。调整方法：钢筋、水泥、商品混凝土、沥青混凝土、碎石、砂、片石、沥青、管材、石材、土方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价格超过部分×中标下浮系数（中标人的投标报价÷预算价），该部分费用列入税前独立费。</w:t>
      </w:r>
    </w:p>
    <w:p w14:paraId="53C22A9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在工程施工期间，国家及地区如有新的人工费调整政策文件出台，可按国家及地区相关文件进行人工费调差。</w:t>
      </w:r>
    </w:p>
    <w:p w14:paraId="6A3EEE67">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bookmarkEnd w:id="1020"/>
    <w:bookmarkEnd w:id="1021"/>
    <w:bookmarkEnd w:id="1022"/>
    <w:bookmarkEnd w:id="1023"/>
    <w:bookmarkEnd w:id="1024"/>
    <w:bookmarkEnd w:id="1025"/>
    <w:p w14:paraId="487989D4">
      <w:pPr>
        <w:pStyle w:val="31"/>
        <w:spacing w:line="380" w:lineRule="exact"/>
        <w:rPr>
          <w:rFonts w:ascii="宋体" w:cs="宋体"/>
          <w:color w:val="auto"/>
          <w:highlight w:val="none"/>
        </w:rPr>
      </w:pPr>
      <w:bookmarkStart w:id="1230" w:name="_Toc296347204"/>
      <w:bookmarkStart w:id="1231" w:name="_Toc296503205"/>
      <w:bookmarkStart w:id="1232" w:name="_Toc292559915"/>
      <w:bookmarkStart w:id="1233" w:name="_Toc296891033"/>
      <w:bookmarkStart w:id="1234" w:name="_Toc292559410"/>
      <w:bookmarkStart w:id="1235" w:name="_Toc297120505"/>
      <w:bookmarkStart w:id="1236" w:name="_Toc296891245"/>
      <w:bookmarkStart w:id="1237" w:name="_Toc297048391"/>
      <w:bookmarkStart w:id="1238" w:name="_Toc296346706"/>
      <w:bookmarkStart w:id="1239" w:name="_Toc296944544"/>
      <w:bookmarkStart w:id="1240" w:name="_Toc418752291"/>
      <w:bookmarkStart w:id="1241" w:name="_Toc418518395"/>
      <w:bookmarkStart w:id="1242" w:name="_Toc256000227"/>
      <w:bookmarkStart w:id="1243" w:name="_Toc522201776"/>
      <w:bookmarkStart w:id="1244" w:name="_Toc497747227"/>
      <w:bookmarkStart w:id="1245" w:name="_Toc497746830"/>
      <w:bookmarkStart w:id="1246" w:name="_Toc418518159"/>
      <w:bookmarkStart w:id="1247" w:name="_Toc418751845"/>
      <w:bookmarkStart w:id="1248" w:name="_Toc418061360"/>
      <w:bookmarkStart w:id="1249" w:name="_Toc373227748"/>
      <w:bookmarkStart w:id="1250" w:name="_Toc351203644"/>
      <w:bookmarkStart w:id="1251" w:name="_Toc373478395"/>
      <w:bookmarkStart w:id="1252" w:name="_Toc403578983"/>
      <w:bookmarkStart w:id="1253" w:name="_Toc312678040"/>
      <w:bookmarkStart w:id="1254" w:name="_Toc297123552"/>
      <w:bookmarkStart w:id="1255" w:name="_Toc304295579"/>
      <w:bookmarkStart w:id="1256" w:name="_Toc297216211"/>
      <w:bookmarkStart w:id="1257" w:name="_Toc303539159"/>
      <w:bookmarkStart w:id="1258" w:name="_Toc300935002"/>
      <w:r>
        <w:rPr>
          <w:rFonts w:hint="eastAsia" w:ascii="宋体" w:cs="宋体"/>
          <w:color w:val="auto"/>
          <w:highlight w:val="none"/>
        </w:rPr>
        <w:t xml:space="preserve">12. </w:t>
      </w:r>
      <w:bookmarkEnd w:id="1230"/>
      <w:bookmarkEnd w:id="1231"/>
      <w:bookmarkEnd w:id="1232"/>
      <w:bookmarkEnd w:id="1233"/>
      <w:bookmarkEnd w:id="1234"/>
      <w:bookmarkEnd w:id="1235"/>
      <w:bookmarkEnd w:id="1236"/>
      <w:bookmarkEnd w:id="1237"/>
      <w:bookmarkEnd w:id="1238"/>
      <w:bookmarkEnd w:id="1239"/>
      <w:r>
        <w:rPr>
          <w:rFonts w:hint="eastAsia" w:ascii="宋体" w:cs="宋体"/>
          <w:color w:val="auto"/>
          <w:highlight w:val="none"/>
        </w:rPr>
        <w:t>合同价格、计量与支付</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p>
    <w:bookmarkEnd w:id="1253"/>
    <w:bookmarkEnd w:id="1254"/>
    <w:bookmarkEnd w:id="1255"/>
    <w:bookmarkEnd w:id="1256"/>
    <w:bookmarkEnd w:id="1257"/>
    <w:bookmarkEnd w:id="1258"/>
    <w:p w14:paraId="5A62E883">
      <w:pPr>
        <w:pStyle w:val="31"/>
        <w:spacing w:line="380" w:lineRule="exact"/>
        <w:ind w:firstLine="422" w:firstLineChars="200"/>
        <w:rPr>
          <w:rFonts w:ascii="宋体" w:cs="宋体"/>
          <w:color w:val="auto"/>
          <w:highlight w:val="none"/>
        </w:rPr>
      </w:pPr>
      <w:bookmarkStart w:id="1259" w:name="_Toc267251461"/>
      <w:bookmarkStart w:id="1260" w:name="_Toc292559916"/>
      <w:bookmarkStart w:id="1261" w:name="_Toc292559411"/>
      <w:bookmarkStart w:id="1262" w:name="_Toc296346707"/>
      <w:bookmarkStart w:id="1263" w:name="_Toc296347205"/>
      <w:bookmarkStart w:id="1264" w:name="_Toc297048392"/>
      <w:bookmarkStart w:id="1265" w:name="_Toc296503206"/>
      <w:bookmarkStart w:id="1266" w:name="_Toc296891246"/>
      <w:bookmarkStart w:id="1267" w:name="_Toc297120506"/>
      <w:bookmarkStart w:id="1268" w:name="_Toc296891034"/>
      <w:bookmarkStart w:id="1269" w:name="_Toc296944545"/>
      <w:bookmarkStart w:id="1270" w:name="_Toc418752292"/>
      <w:bookmarkStart w:id="1271" w:name="_Toc418061361"/>
      <w:bookmarkStart w:id="1272" w:name="_Toc373227749"/>
      <w:bookmarkStart w:id="1273" w:name="_Toc373478396"/>
      <w:bookmarkStart w:id="1274" w:name="_Toc522201777"/>
      <w:bookmarkStart w:id="1275" w:name="_Toc497747228"/>
      <w:bookmarkStart w:id="1276" w:name="_Toc256000228"/>
      <w:bookmarkStart w:id="1277" w:name="_Toc418751846"/>
      <w:bookmarkStart w:id="1278" w:name="_Toc403578984"/>
      <w:bookmarkStart w:id="1279" w:name="_Toc497746831"/>
      <w:bookmarkStart w:id="1280" w:name="_Toc389065314"/>
      <w:bookmarkStart w:id="1281" w:name="_Toc418518396"/>
      <w:bookmarkStart w:id="1282" w:name="_Toc418518160"/>
      <w:bookmarkStart w:id="1283" w:name="_Toc300935003"/>
      <w:bookmarkStart w:id="1284" w:name="_Toc304295580"/>
      <w:bookmarkStart w:id="1285" w:name="_Toc297123553"/>
      <w:bookmarkStart w:id="1286" w:name="_Toc303539160"/>
      <w:bookmarkStart w:id="1287" w:name="_Toc297216212"/>
      <w:bookmarkStart w:id="1288" w:name="_Toc312678041"/>
      <w:r>
        <w:rPr>
          <w:rFonts w:hint="eastAsia" w:ascii="宋体" w:cs="宋体"/>
          <w:color w:val="auto"/>
          <w:highlight w:val="none"/>
        </w:rPr>
        <w:t>12.1 合</w:t>
      </w:r>
      <w:bookmarkEnd w:id="1259"/>
      <w:bookmarkEnd w:id="1260"/>
      <w:bookmarkEnd w:id="1261"/>
      <w:r>
        <w:rPr>
          <w:rFonts w:hint="eastAsia" w:ascii="宋体" w:cs="宋体"/>
          <w:color w:val="auto"/>
          <w:highlight w:val="none"/>
        </w:rPr>
        <w:t>同价</w:t>
      </w:r>
      <w:bookmarkEnd w:id="1262"/>
      <w:bookmarkEnd w:id="1263"/>
      <w:bookmarkEnd w:id="1264"/>
      <w:bookmarkEnd w:id="1265"/>
      <w:bookmarkEnd w:id="1266"/>
      <w:bookmarkEnd w:id="1267"/>
      <w:bookmarkEnd w:id="1268"/>
      <w:bookmarkEnd w:id="1269"/>
      <w:r>
        <w:rPr>
          <w:rFonts w:hint="eastAsia" w:ascii="宋体" w:cs="宋体"/>
          <w:color w:val="auto"/>
          <w:highlight w:val="none"/>
        </w:rPr>
        <w:t>格形式</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p>
    <w:bookmarkEnd w:id="1283"/>
    <w:bookmarkEnd w:id="1284"/>
    <w:bookmarkEnd w:id="1285"/>
    <w:bookmarkEnd w:id="1286"/>
    <w:bookmarkEnd w:id="1287"/>
    <w:bookmarkEnd w:id="1288"/>
    <w:p w14:paraId="2B3413FA">
      <w:pPr>
        <w:pStyle w:val="33"/>
        <w:spacing w:line="380" w:lineRule="exact"/>
        <w:ind w:firstLine="420" w:firstLineChars="200"/>
        <w:jc w:val="left"/>
        <w:rPr>
          <w:rFonts w:ascii="宋体" w:hAnsi="宋体" w:cs="宋体"/>
          <w:color w:val="auto"/>
          <w:szCs w:val="21"/>
          <w:highlight w:val="none"/>
        </w:rPr>
      </w:pPr>
      <w:bookmarkStart w:id="1289" w:name="_Toc389065315"/>
      <w:bookmarkStart w:id="1290" w:name="_Toc373227750"/>
      <w:bookmarkStart w:id="1291" w:name="_Toc373478397"/>
      <w:bookmarkStart w:id="1292" w:name="_Toc297216213"/>
      <w:bookmarkStart w:id="1293" w:name="_Toc303539161"/>
      <w:bookmarkStart w:id="1294" w:name="_Toc312678042"/>
      <w:bookmarkStart w:id="1295" w:name="_Toc300935004"/>
      <w:bookmarkStart w:id="1296" w:name="_Toc304295581"/>
      <w:bookmarkStart w:id="1297" w:name="_Toc297123554"/>
      <w:bookmarkStart w:id="1298" w:name="_Toc292559412"/>
      <w:bookmarkStart w:id="1299" w:name="_Toc296944546"/>
      <w:bookmarkStart w:id="1300" w:name="_Toc296346708"/>
      <w:bookmarkStart w:id="1301" w:name="_Toc292559917"/>
      <w:bookmarkStart w:id="1302" w:name="_Toc297120507"/>
      <w:bookmarkStart w:id="1303" w:name="_Toc296891035"/>
      <w:bookmarkStart w:id="1304" w:name="_Toc296891247"/>
      <w:bookmarkStart w:id="1305" w:name="_Toc297048393"/>
      <w:bookmarkStart w:id="1306" w:name="_Toc296503207"/>
      <w:bookmarkStart w:id="1307" w:name="_Toc296347206"/>
      <w:r>
        <w:rPr>
          <w:rFonts w:hint="eastAsia" w:ascii="宋体" w:hAnsi="宋体" w:cs="宋体"/>
          <w:color w:val="auto"/>
          <w:szCs w:val="21"/>
          <w:highlight w:val="none"/>
        </w:rPr>
        <w:t>（1）单价合同。</w:t>
      </w:r>
    </w:p>
    <w:p w14:paraId="156E6FD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本合同价款采用</w:t>
      </w:r>
      <w:r>
        <w:rPr>
          <w:rFonts w:hint="eastAsia" w:ascii="宋体" w:hAnsi="宋体" w:cs="宋体"/>
          <w:color w:val="auto"/>
          <w:szCs w:val="21"/>
          <w:highlight w:val="none"/>
          <w:u w:val="single"/>
        </w:rPr>
        <w:t>固定综合单价方式</w:t>
      </w:r>
      <w:r>
        <w:rPr>
          <w:rFonts w:hint="eastAsia" w:ascii="宋体" w:hAnsi="宋体" w:cs="宋体"/>
          <w:color w:val="auto"/>
          <w:szCs w:val="21"/>
          <w:highlight w:val="none"/>
        </w:rPr>
        <w:t>确定。</w:t>
      </w:r>
    </w:p>
    <w:p w14:paraId="3688108E">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综合单价包含的风险范围：</w:t>
      </w:r>
      <w:r>
        <w:rPr>
          <w:rFonts w:hint="eastAsia" w:ascii="宋体" w:hAnsi="宋体" w:cs="宋体"/>
          <w:color w:val="auto"/>
          <w:szCs w:val="21"/>
          <w:highlight w:val="none"/>
          <w:u w:val="single"/>
        </w:rPr>
        <w:t>除工程变更、政策性调整、本合同约定的材料、设备价格变动风险以外因素。</w:t>
      </w:r>
    </w:p>
    <w:p w14:paraId="39432A11">
      <w:pPr>
        <w:pStyle w:val="40"/>
        <w:spacing w:line="380" w:lineRule="exact"/>
        <w:ind w:firstLine="441" w:firstLineChars="210"/>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2C3181BC">
      <w:pPr>
        <w:pStyle w:val="40"/>
        <w:spacing w:line="380" w:lineRule="exact"/>
        <w:ind w:firstLine="441" w:firstLineChars="210"/>
        <w:rPr>
          <w:rFonts w:hAnsi="宋体" w:cs="宋体"/>
          <w:color w:val="auto"/>
          <w:sz w:val="21"/>
          <w:szCs w:val="21"/>
          <w:highlight w:val="none"/>
        </w:rPr>
      </w:pPr>
      <w:r>
        <w:rPr>
          <w:rFonts w:hint="eastAsia" w:hAnsi="宋体" w:cs="宋体"/>
          <w:color w:val="auto"/>
          <w:sz w:val="21"/>
          <w:szCs w:val="21"/>
          <w:highlight w:val="none"/>
        </w:rPr>
        <w:t>①工程变更：按10.4.1变更估价原则的约定调整。</w:t>
      </w:r>
    </w:p>
    <w:p w14:paraId="5A9C18E1">
      <w:pPr>
        <w:pStyle w:val="40"/>
        <w:spacing w:line="380" w:lineRule="exact"/>
        <w:ind w:firstLine="441" w:firstLineChars="210"/>
        <w:rPr>
          <w:rFonts w:hAnsi="宋体" w:cs="宋体"/>
          <w:color w:val="auto"/>
          <w:sz w:val="21"/>
          <w:szCs w:val="21"/>
          <w:highlight w:val="none"/>
        </w:rPr>
      </w:pPr>
      <w:r>
        <w:rPr>
          <w:rFonts w:hint="eastAsia" w:hAnsi="宋体" w:cs="宋体"/>
          <w:color w:val="auto"/>
          <w:sz w:val="21"/>
          <w:szCs w:val="21"/>
          <w:highlight w:val="none"/>
        </w:rPr>
        <w:t>②政策性调整：按自治区建设行政主管部门颁布的文件执行。</w:t>
      </w:r>
    </w:p>
    <w:p w14:paraId="7BEB15D6">
      <w:pPr>
        <w:pStyle w:val="40"/>
        <w:spacing w:line="380" w:lineRule="exact"/>
        <w:ind w:firstLine="441" w:firstLineChars="210"/>
        <w:rPr>
          <w:rFonts w:hAnsi="宋体" w:cs="宋体"/>
          <w:color w:val="auto"/>
          <w:sz w:val="21"/>
          <w:szCs w:val="21"/>
          <w:highlight w:val="none"/>
        </w:rPr>
      </w:pPr>
      <w:r>
        <w:rPr>
          <w:rFonts w:hint="eastAsia" w:hAnsi="宋体" w:cs="宋体"/>
          <w:color w:val="auto"/>
          <w:sz w:val="21"/>
          <w:szCs w:val="21"/>
          <w:highlight w:val="none"/>
        </w:rPr>
        <w:t>③材料、设备价格变动风险：按11.1的约定调整。</w:t>
      </w:r>
    </w:p>
    <w:p w14:paraId="2DB6A6C8">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④其它：</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C6AE79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0AE48C0C">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D6FDD4C">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EC89E8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6A0D87E">
      <w:pPr>
        <w:pStyle w:val="31"/>
        <w:spacing w:line="380" w:lineRule="exact"/>
        <w:ind w:firstLine="422" w:firstLineChars="200"/>
        <w:rPr>
          <w:rFonts w:ascii="宋体" w:cs="宋体"/>
          <w:color w:val="auto"/>
          <w:highlight w:val="none"/>
        </w:rPr>
      </w:pPr>
      <w:bookmarkStart w:id="1308" w:name="_Toc256000229"/>
      <w:bookmarkStart w:id="1309" w:name="_Toc418752293"/>
      <w:bookmarkStart w:id="1310" w:name="_Toc522201778"/>
      <w:bookmarkStart w:id="1311" w:name="_Toc497747229"/>
      <w:bookmarkStart w:id="1312" w:name="_Toc418518161"/>
      <w:bookmarkStart w:id="1313" w:name="_Toc418751847"/>
      <w:bookmarkStart w:id="1314" w:name="_Toc418518397"/>
      <w:bookmarkStart w:id="1315" w:name="_Toc403578985"/>
      <w:bookmarkStart w:id="1316" w:name="_Toc418061362"/>
      <w:bookmarkStart w:id="1317" w:name="_Toc497746832"/>
      <w:r>
        <w:rPr>
          <w:rFonts w:hint="eastAsia" w:ascii="宋体" w:cs="宋体"/>
          <w:color w:val="auto"/>
          <w:highlight w:val="none"/>
        </w:rPr>
        <w:t>12.2 预付款</w:t>
      </w:r>
      <w:bookmarkEnd w:id="1289"/>
      <w:bookmarkEnd w:id="1290"/>
      <w:bookmarkEnd w:id="1291"/>
      <w:bookmarkEnd w:id="1308"/>
      <w:bookmarkEnd w:id="1309"/>
      <w:bookmarkEnd w:id="1310"/>
      <w:bookmarkEnd w:id="1311"/>
      <w:bookmarkEnd w:id="1312"/>
      <w:bookmarkEnd w:id="1313"/>
      <w:bookmarkEnd w:id="1314"/>
      <w:bookmarkEnd w:id="1315"/>
      <w:bookmarkEnd w:id="1316"/>
      <w:bookmarkEnd w:id="1317"/>
    </w:p>
    <w:bookmarkEnd w:id="1292"/>
    <w:bookmarkEnd w:id="1293"/>
    <w:bookmarkEnd w:id="1294"/>
    <w:bookmarkEnd w:id="1295"/>
    <w:bookmarkEnd w:id="1296"/>
    <w:bookmarkEnd w:id="1297"/>
    <w:p w14:paraId="20835F7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651AA01A">
      <w:pPr>
        <w:pStyle w:val="33"/>
        <w:spacing w:line="38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预付款支付比例或金额：</w:t>
      </w:r>
      <w:r>
        <w:rPr>
          <w:rFonts w:hint="eastAsia" w:ascii="宋体" w:hAnsi="宋体" w:eastAsia="宋体" w:cs="宋体"/>
          <w:color w:val="auto"/>
          <w:szCs w:val="21"/>
          <w:highlight w:val="none"/>
          <w:u w:val="single"/>
          <w:lang w:val="en-US" w:eastAsia="zh-CN"/>
        </w:rPr>
        <w:t>合同价的 3</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w:t>
      </w:r>
    </w:p>
    <w:p w14:paraId="04A6A108">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预付款支付期限：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签订合同后支付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C48E5B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预付款扣回的方式：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559F0C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46F0D1C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32B408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6692B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预付款担保格式见合同附件9。</w:t>
      </w:r>
    </w:p>
    <w:bookmarkEnd w:id="1298"/>
    <w:bookmarkEnd w:id="1299"/>
    <w:bookmarkEnd w:id="1300"/>
    <w:bookmarkEnd w:id="1301"/>
    <w:bookmarkEnd w:id="1302"/>
    <w:bookmarkEnd w:id="1303"/>
    <w:bookmarkEnd w:id="1304"/>
    <w:bookmarkEnd w:id="1305"/>
    <w:bookmarkEnd w:id="1306"/>
    <w:bookmarkEnd w:id="1307"/>
    <w:p w14:paraId="37EE3DF6">
      <w:pPr>
        <w:pStyle w:val="31"/>
        <w:spacing w:line="380" w:lineRule="exact"/>
        <w:ind w:firstLine="422" w:firstLineChars="200"/>
        <w:rPr>
          <w:rFonts w:ascii="宋体" w:cs="宋体"/>
          <w:color w:val="auto"/>
          <w:highlight w:val="none"/>
        </w:rPr>
      </w:pPr>
      <w:bookmarkStart w:id="1318" w:name="_Toc522201779"/>
      <w:bookmarkStart w:id="1319" w:name="_Toc497746833"/>
      <w:bookmarkStart w:id="1320" w:name="_Toc497747230"/>
      <w:bookmarkStart w:id="1321" w:name="_Toc418752294"/>
      <w:bookmarkStart w:id="1322" w:name="_Toc256000230"/>
      <w:bookmarkStart w:id="1323" w:name="_Toc418518162"/>
      <w:bookmarkStart w:id="1324" w:name="_Toc418751848"/>
      <w:bookmarkStart w:id="1325" w:name="_Toc389065316"/>
      <w:bookmarkStart w:id="1326" w:name="_Toc373227751"/>
      <w:bookmarkStart w:id="1327" w:name="_Toc373478398"/>
      <w:bookmarkStart w:id="1328" w:name="_Toc418518398"/>
      <w:bookmarkStart w:id="1329" w:name="_Toc403578986"/>
      <w:bookmarkStart w:id="1330" w:name="_Toc418061363"/>
      <w:r>
        <w:rPr>
          <w:rFonts w:hint="eastAsia" w:ascii="宋体" w:cs="宋体"/>
          <w:color w:val="auto"/>
          <w:highlight w:val="none"/>
        </w:rPr>
        <w:t>12.3 计量</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14:paraId="2D8D6578">
      <w:pPr>
        <w:pStyle w:val="33"/>
        <w:spacing w:line="380" w:lineRule="exact"/>
        <w:ind w:firstLine="420" w:firstLineChars="200"/>
        <w:jc w:val="left"/>
        <w:rPr>
          <w:rFonts w:ascii="宋体" w:hAnsi="宋体" w:cs="宋体"/>
          <w:color w:val="auto"/>
          <w:szCs w:val="21"/>
          <w:highlight w:val="none"/>
        </w:rPr>
      </w:pPr>
      <w:bookmarkStart w:id="1331" w:name="_Toc497746834"/>
      <w:bookmarkStart w:id="1332" w:name="_Toc403578987"/>
      <w:bookmarkStart w:id="1333" w:name="_Toc418751849"/>
      <w:bookmarkStart w:id="1334" w:name="_Toc373478399"/>
      <w:bookmarkStart w:id="1335" w:name="_Toc418518399"/>
      <w:bookmarkStart w:id="1336" w:name="_Toc418061364"/>
      <w:bookmarkStart w:id="1337" w:name="_Toc497747231"/>
      <w:bookmarkStart w:id="1338" w:name="_Toc389065317"/>
      <w:bookmarkStart w:id="1339" w:name="_Toc418518163"/>
      <w:bookmarkStart w:id="1340" w:name="_Toc373227752"/>
      <w:bookmarkStart w:id="1341" w:name="_Toc418752295"/>
      <w:r>
        <w:rPr>
          <w:rFonts w:hint="eastAsia" w:ascii="宋体" w:hAnsi="宋体" w:cs="宋体"/>
          <w:color w:val="auto"/>
          <w:szCs w:val="21"/>
          <w:highlight w:val="none"/>
        </w:rPr>
        <w:t xml:space="preserve">12.3.1 计量原则 </w:t>
      </w:r>
    </w:p>
    <w:p w14:paraId="733E37ED">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工程的计量均以《建设工程工程量清单计价规范》 （GB50500－2013）和及其广西壮族自治区实施细则、 《建设工程工程量清单计算规范》 （GB50854～50862－2013）及其广西实施细则（修订本）、本工程补充项目清单为准。</w:t>
      </w:r>
      <w:r>
        <w:rPr>
          <w:rFonts w:hint="eastAsia" w:ascii="宋体" w:hAnsi="宋体" w:cs="宋体"/>
          <w:color w:val="auto"/>
          <w:szCs w:val="21"/>
          <w:highlight w:val="none"/>
        </w:rPr>
        <w:t xml:space="preserve"> </w:t>
      </w:r>
    </w:p>
    <w:p w14:paraId="6991CA9C">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12.3.2 计量周期 </w:t>
      </w:r>
    </w:p>
    <w:p w14:paraId="366BFCF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590A450F">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12.3.3 单价合同的计量 </w:t>
      </w:r>
    </w:p>
    <w:p w14:paraId="6618F558">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 xml:space="preserve"> (1) </w:t>
      </w:r>
      <w:r>
        <w:rPr>
          <w:rFonts w:ascii="宋体" w:hAnsi="宋体" w:cs="宋体"/>
          <w:color w:val="auto"/>
          <w:szCs w:val="21"/>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Cs w:val="21"/>
          <w:highlight w:val="none"/>
          <w:u w:val="single"/>
        </w:rPr>
        <w:t xml:space="preserve">。(2) </w:t>
      </w:r>
      <w:r>
        <w:rPr>
          <w:rFonts w:ascii="宋体" w:hAnsi="宋体" w:cs="宋体"/>
          <w:color w:val="auto"/>
          <w:szCs w:val="21"/>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Cs w:val="21"/>
          <w:highlight w:val="none"/>
        </w:rPr>
        <w:t xml:space="preserve">。 </w:t>
      </w:r>
    </w:p>
    <w:p w14:paraId="1C4B603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12.3.4 总价合同的计量 </w:t>
      </w:r>
    </w:p>
    <w:p w14:paraId="7673EA18">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关于总价合同计量的约定：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62DDFE2">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12.3.5 总价合同采用支付分解表计量支付的，是否适用第 12.3.4 项〔总价合同的计量〕约定进行计量：</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 xml:space="preserve">。 </w:t>
      </w:r>
    </w:p>
    <w:p w14:paraId="223718C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12.3.6 其他价格形式合同的计量 </w:t>
      </w:r>
    </w:p>
    <w:p w14:paraId="0493592F">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其他价格形式的计量方式和程序：</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 xml:space="preserve">。 </w:t>
      </w:r>
    </w:p>
    <w:p w14:paraId="024810D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 工程进度款支付</w:t>
      </w:r>
      <w:bookmarkEnd w:id="1331"/>
      <w:bookmarkEnd w:id="1332"/>
      <w:bookmarkEnd w:id="1333"/>
      <w:bookmarkEnd w:id="1334"/>
      <w:bookmarkEnd w:id="1335"/>
      <w:bookmarkEnd w:id="1336"/>
      <w:bookmarkEnd w:id="1337"/>
      <w:bookmarkEnd w:id="1338"/>
      <w:bookmarkEnd w:id="1339"/>
      <w:bookmarkEnd w:id="1340"/>
      <w:bookmarkEnd w:id="1341"/>
    </w:p>
    <w:p w14:paraId="365E25DF">
      <w:pPr>
        <w:pStyle w:val="33"/>
        <w:spacing w:line="380" w:lineRule="exact"/>
        <w:ind w:firstLine="420" w:firstLineChars="200"/>
        <w:jc w:val="left"/>
        <w:rPr>
          <w:rFonts w:ascii="宋体" w:hAnsi="宋体" w:cs="宋体"/>
          <w:color w:val="auto"/>
          <w:szCs w:val="21"/>
          <w:highlight w:val="none"/>
        </w:rPr>
      </w:pPr>
      <w:bookmarkStart w:id="1342" w:name="_Toc297048397"/>
      <w:bookmarkStart w:id="1343" w:name="_Toc303539163"/>
      <w:bookmarkStart w:id="1344" w:name="_Toc296891251"/>
      <w:bookmarkStart w:id="1345" w:name="_Toc292559416"/>
      <w:bookmarkStart w:id="1346" w:name="_Toc297216215"/>
      <w:bookmarkStart w:id="1347" w:name="_Toc296346712"/>
      <w:bookmarkStart w:id="1348" w:name="_Toc292559921"/>
      <w:bookmarkStart w:id="1349" w:name="_Toc297123556"/>
      <w:bookmarkStart w:id="1350" w:name="_Toc296347210"/>
      <w:bookmarkStart w:id="1351" w:name="_Toc300935006"/>
      <w:bookmarkStart w:id="1352" w:name="_Toc296891039"/>
      <w:bookmarkStart w:id="1353" w:name="_Toc297120511"/>
      <w:bookmarkStart w:id="1354" w:name="_Toc296944550"/>
      <w:bookmarkStart w:id="1355" w:name="_Toc296503211"/>
      <w:r>
        <w:rPr>
          <w:rFonts w:hint="eastAsia" w:ascii="宋体" w:hAnsi="宋体" w:cs="宋体"/>
          <w:color w:val="auto"/>
          <w:szCs w:val="21"/>
          <w:highlight w:val="none"/>
        </w:rPr>
        <w:t>12.4.1 付款周期</w:t>
      </w:r>
    </w:p>
    <w:p w14:paraId="5E2D4F46">
      <w:pPr>
        <w:pStyle w:val="33"/>
        <w:spacing w:line="380" w:lineRule="exact"/>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关于付款周期的约定：</w:t>
      </w:r>
      <w:r>
        <w:rPr>
          <w:rFonts w:hint="eastAsia" w:ascii="宋体" w:hAnsi="宋体" w:cs="宋体"/>
          <w:bCs/>
          <w:color w:val="auto"/>
          <w:szCs w:val="21"/>
          <w:highlight w:val="none"/>
          <w:u w:val="single"/>
        </w:rPr>
        <w:t xml:space="preserve">工程款按月支付，合同内进度款支付额为已完成工程量的 80%，工程变更部分进度款支付额为已完成工程量的 60%；工程竣工验收达到质量要求，合同内进度款支付至实际完成工程量（经监理审核、发包人同意的）的 </w:t>
      </w:r>
      <w:r>
        <w:rPr>
          <w:rFonts w:hint="eastAsia" w:ascii="宋体" w:hAnsi="宋体" w:cs="宋体"/>
          <w:bCs/>
          <w:color w:val="auto"/>
          <w:szCs w:val="21"/>
          <w:highlight w:val="none"/>
          <w:u w:val="single"/>
          <w:lang w:val="en-US" w:eastAsia="zh-CN"/>
        </w:rPr>
        <w:t>85</w:t>
      </w:r>
      <w:r>
        <w:rPr>
          <w:rFonts w:hint="eastAsia" w:ascii="宋体" w:hAnsi="宋体" w:cs="宋体"/>
          <w:bCs/>
          <w:color w:val="auto"/>
          <w:szCs w:val="21"/>
          <w:highlight w:val="none"/>
          <w:u w:val="single"/>
        </w:rPr>
        <w:t>%，合同外进度款支付至实际完成工程量（经监理审核、发包人同意的）的 70%。结算经</w:t>
      </w:r>
      <w:r>
        <w:rPr>
          <w:rFonts w:hint="eastAsia" w:ascii="宋体" w:hAnsi="宋体" w:cs="宋体"/>
          <w:bCs/>
          <w:color w:val="auto"/>
          <w:szCs w:val="21"/>
          <w:highlight w:val="none"/>
          <w:u w:val="single"/>
          <w:lang w:eastAsia="zh-CN"/>
        </w:rPr>
        <w:t>桂林市雁山区财政局</w:t>
      </w:r>
      <w:r>
        <w:rPr>
          <w:rFonts w:hint="eastAsia" w:ascii="宋体" w:hAnsi="宋体" w:cs="宋体"/>
          <w:bCs/>
          <w:color w:val="auto"/>
          <w:szCs w:val="21"/>
          <w:highlight w:val="none"/>
          <w:u w:val="single"/>
        </w:rPr>
        <w:t>审定后，工程款支付至结算总价的 97%（承包人同时开具含质保金在内的符合相关法律规定的正规发票） ；发包人按工程价款结算总额的</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%预留工程</w:t>
      </w:r>
      <w:r>
        <w:rPr>
          <w:rFonts w:hint="eastAsia" w:ascii="宋体" w:hAnsi="宋体" w:cs="宋体"/>
          <w:bCs/>
          <w:color w:val="auto"/>
          <w:szCs w:val="21"/>
          <w:highlight w:val="none"/>
          <w:u w:val="single"/>
          <w:lang w:eastAsia="zh-CN"/>
        </w:rPr>
        <w:t>质量保证金</w:t>
      </w:r>
      <w:r>
        <w:rPr>
          <w:rFonts w:hint="eastAsia" w:ascii="宋体" w:hAnsi="宋体" w:cs="宋体"/>
          <w:bCs/>
          <w:color w:val="auto"/>
          <w:szCs w:val="21"/>
          <w:highlight w:val="none"/>
          <w:u w:val="single"/>
        </w:rPr>
        <w:t>，待工程缺陷责任期满后，双方确认无质量返修问题后返还（无息）。</w:t>
      </w:r>
    </w:p>
    <w:p w14:paraId="1C7F2CE4">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每次付款前，承包人应按发包人的要求提供符合相关法律法规的增值税发票，如发票不符合要求，发包人有权拒收，承包人应承担因不合格发票产生的所有责任。</w:t>
      </w:r>
    </w:p>
    <w:p w14:paraId="6588FB72">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根据自治区办公厅 《关于全面治理拖欠农民工工资问题的实施意见》(桂政办发[2016]113号)、《关于印发广西壮族自治区工程建设领域工人工资支付专用账户管理办法的通知》(桂薪联发[2016]1号)、《桂林市财政局关于落实政府投资工程项目工程款与农民工工资分帐拨款的通知》市财建【2018】73号等文件规定，在全区工程建设领域，实行人工费用和其他工程款分账管理。</w:t>
      </w:r>
    </w:p>
    <w:p w14:paraId="4D090142">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12.4.2 进度付款申请单的编制</w:t>
      </w:r>
    </w:p>
    <w:p w14:paraId="11A177DE">
      <w:pPr>
        <w:pStyle w:val="33"/>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关于进度付款申请单编制的约定：</w:t>
      </w:r>
      <w:r>
        <w:rPr>
          <w:rFonts w:hint="eastAsia" w:ascii="宋体" w:hAnsi="宋体" w:cs="宋体"/>
          <w:bCs/>
          <w:color w:val="auto"/>
          <w:szCs w:val="21"/>
          <w:highlight w:val="none"/>
          <w:u w:val="single"/>
        </w:rPr>
        <w:t>承包人应在每个计量周期到期后的7天内向发包人提交已完工程进度款支付申请一式四份，详细说明此周期自己认为有权得到的款额，包括分包人已完工程的价款，内容包括已完工程预算书、工程量计算式及劳务队组提供的民工工资支付证明。</w:t>
      </w:r>
    </w:p>
    <w:p w14:paraId="1F361C7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rPr>
          <w:rFonts w:hint="eastAsia" w:ascii="宋体" w:hAnsi="宋体" w:cs="宋体"/>
          <w:color w:val="auto"/>
          <w:szCs w:val="21"/>
          <w:highlight w:val="none"/>
        </w:rPr>
        <w:t>2.4.3 进度付款申请单的提交</w:t>
      </w:r>
    </w:p>
    <w:p w14:paraId="7E90E8C7">
      <w:pPr>
        <w:pStyle w:val="33"/>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（1）单价合同进度付款申请单提交的约定：</w:t>
      </w:r>
      <w:r>
        <w:rPr>
          <w:rFonts w:hint="eastAsia" w:ascii="宋体" w:hAnsi="宋体" w:cs="宋体"/>
          <w:bCs/>
          <w:color w:val="auto"/>
          <w:szCs w:val="21"/>
          <w:highlight w:val="none"/>
          <w:u w:val="single"/>
        </w:rPr>
        <w:t>承包人应在每个计量周期到期后的3天内向发包人提交支付申请一式三份，承包人当月完成的产值不足合同价的1％时，不支付进度款，累计至下月一并支付。承包人应随投标文件提交不拖欠民工工资的承诺函和措施。具体支付手续按财政性资金支付程序有关规定办理。</w:t>
      </w:r>
    </w:p>
    <w:p w14:paraId="63D2994C">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56CAC4E">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ABF986D">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2856B959">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监理人收到承包人进度付款申请单以及相关资料后 7 天内完成审查并报送发包人</w:t>
      </w:r>
      <w:r>
        <w:rPr>
          <w:rFonts w:hint="eastAsia" w:ascii="宋体" w:hAnsi="宋体" w:cs="宋体"/>
          <w:color w:val="auto"/>
          <w:szCs w:val="21"/>
          <w:highlight w:val="none"/>
        </w:rPr>
        <w:t>。</w:t>
      </w:r>
    </w:p>
    <w:p w14:paraId="33DB8480">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收到后 7 天内完成审批并签发</w:t>
      </w:r>
      <w:r>
        <w:rPr>
          <w:rFonts w:hint="eastAsia" w:ascii="宋体" w:hAnsi="宋体" w:cs="宋体"/>
          <w:color w:val="auto"/>
          <w:szCs w:val="21"/>
          <w:highlight w:val="none"/>
        </w:rPr>
        <w:t>。</w:t>
      </w:r>
    </w:p>
    <w:p w14:paraId="1E6E7E9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 xml:space="preserve">办理相关付款手续后的7天内 </w:t>
      </w:r>
      <w:r>
        <w:rPr>
          <w:rFonts w:hint="eastAsia" w:ascii="宋体" w:hAnsi="宋体" w:cs="宋体"/>
          <w:color w:val="auto"/>
          <w:szCs w:val="21"/>
          <w:highlight w:val="none"/>
        </w:rPr>
        <w:t>。</w:t>
      </w:r>
    </w:p>
    <w:p w14:paraId="28976AE2">
      <w:pPr>
        <w:pStyle w:val="33"/>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发包人逾期支付进度款的违约金的计算方式：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50C59AE">
      <w:pPr>
        <w:pStyle w:val="33"/>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进度款支付方式：</w:t>
      </w:r>
      <w:r>
        <w:rPr>
          <w:rFonts w:hint="eastAsia" w:ascii="宋体" w:hAnsi="宋体" w:cs="宋体"/>
          <w:color w:val="auto"/>
          <w:szCs w:val="21"/>
          <w:highlight w:val="none"/>
          <w:u w:val="single"/>
        </w:rPr>
        <w:t>银行转账</w:t>
      </w:r>
      <w:r>
        <w:rPr>
          <w:rFonts w:hint="eastAsia" w:ascii="宋体" w:hAnsi="宋体" w:cs="宋体"/>
          <w:color w:val="auto"/>
          <w:szCs w:val="21"/>
          <w:highlight w:val="none"/>
        </w:rPr>
        <w:t>。</w:t>
      </w:r>
    </w:p>
    <w:p w14:paraId="30839612">
      <w:pPr>
        <w:pStyle w:val="33"/>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6E52F4CB">
      <w:pPr>
        <w:pStyle w:val="33"/>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2. 总价合同支付分解表的编制与审批：</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7CB3476D">
      <w:pPr>
        <w:pStyle w:val="33"/>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3. 单价合同的总价项目支付分解表的编制与审批：</w:t>
      </w:r>
      <w:r>
        <w:rPr>
          <w:rFonts w:hint="eastAsia" w:ascii="宋体" w:hAnsi="宋体" w:cs="宋体"/>
          <w:color w:val="auto"/>
          <w:szCs w:val="21"/>
          <w:highlight w:val="none"/>
          <w:u w:val="single"/>
        </w:rPr>
        <w:t>单价项目不采用支付分解表的方式计算，而按《建设工程工程量清单计价规范（GB50500-2013）广西壮族自治区实施细则（修订本）》的规定执行。</w:t>
      </w:r>
    </w:p>
    <w:bookmarkEnd w:id="1026"/>
    <w:p w14:paraId="4C8325DD">
      <w:pPr>
        <w:pStyle w:val="31"/>
        <w:spacing w:line="380" w:lineRule="exact"/>
        <w:rPr>
          <w:rFonts w:ascii="宋体" w:cs="宋体"/>
          <w:color w:val="auto"/>
          <w:highlight w:val="none"/>
        </w:rPr>
      </w:pPr>
      <w:bookmarkStart w:id="1356" w:name="_Toc351203645"/>
      <w:bookmarkStart w:id="1357" w:name="_Toc497746835"/>
      <w:bookmarkStart w:id="1358" w:name="_Toc418061365"/>
      <w:bookmarkStart w:id="1359" w:name="_Toc373478400"/>
      <w:bookmarkStart w:id="1360" w:name="_Toc497747232"/>
      <w:bookmarkStart w:id="1361" w:name="_Toc256000231"/>
      <w:bookmarkStart w:id="1362" w:name="_Toc418518164"/>
      <w:bookmarkStart w:id="1363" w:name="_Toc373227753"/>
      <w:bookmarkStart w:id="1364" w:name="_Toc418751850"/>
      <w:bookmarkStart w:id="1365" w:name="_Toc418752296"/>
      <w:bookmarkStart w:id="1366" w:name="_Toc389065318"/>
      <w:bookmarkStart w:id="1367" w:name="_Toc403578988"/>
      <w:bookmarkStart w:id="1368" w:name="_Toc522201780"/>
      <w:bookmarkStart w:id="1369" w:name="_Toc418518400"/>
      <w:bookmarkStart w:id="1370" w:name="_Toc300935015"/>
      <w:bookmarkStart w:id="1371" w:name="_Toc297048405"/>
      <w:bookmarkStart w:id="1372" w:name="_Toc296891047"/>
      <w:bookmarkStart w:id="1373" w:name="_Toc312678053"/>
      <w:bookmarkStart w:id="1374" w:name="_Toc296346720"/>
      <w:bookmarkStart w:id="1375" w:name="_Toc297216223"/>
      <w:bookmarkStart w:id="1376" w:name="_Toc304295593"/>
      <w:bookmarkStart w:id="1377" w:name="_Toc297120519"/>
      <w:bookmarkStart w:id="1378" w:name="_Toc296503219"/>
      <w:bookmarkStart w:id="1379" w:name="_Toc292559929"/>
      <w:bookmarkStart w:id="1380" w:name="_Toc296944558"/>
      <w:bookmarkStart w:id="1381" w:name="_Toc297123564"/>
      <w:bookmarkStart w:id="1382" w:name="_Toc292559424"/>
      <w:bookmarkStart w:id="1383" w:name="_Toc296347218"/>
      <w:bookmarkStart w:id="1384" w:name="_Toc303539172"/>
      <w:bookmarkStart w:id="1385" w:name="_Toc296891259"/>
      <w:r>
        <w:rPr>
          <w:rFonts w:hint="eastAsia" w:ascii="宋体" w:cs="宋体"/>
          <w:color w:val="auto"/>
          <w:highlight w:val="none"/>
        </w:rPr>
        <w:t>13. 验收和工程试车</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14:paraId="0BFE74B5">
      <w:pPr>
        <w:pStyle w:val="31"/>
        <w:spacing w:line="380" w:lineRule="exact"/>
        <w:ind w:firstLine="422" w:firstLineChars="200"/>
        <w:rPr>
          <w:rFonts w:ascii="宋体" w:cs="宋体"/>
          <w:color w:val="auto"/>
          <w:highlight w:val="none"/>
        </w:rPr>
      </w:pPr>
      <w:bookmarkStart w:id="1386" w:name="_Toc418752297"/>
      <w:bookmarkStart w:id="1387" w:name="_Toc522201781"/>
      <w:bookmarkStart w:id="1388" w:name="_Toc418061366"/>
      <w:bookmarkStart w:id="1389" w:name="_Toc373227754"/>
      <w:bookmarkStart w:id="1390" w:name="_Toc497746836"/>
      <w:bookmarkStart w:id="1391" w:name="_Toc389065319"/>
      <w:bookmarkStart w:id="1392" w:name="_Toc497747233"/>
      <w:bookmarkStart w:id="1393" w:name="_Toc403578989"/>
      <w:bookmarkStart w:id="1394" w:name="_Toc418751851"/>
      <w:bookmarkStart w:id="1395" w:name="_Toc418518401"/>
      <w:bookmarkStart w:id="1396" w:name="_Toc418518165"/>
      <w:bookmarkStart w:id="1397" w:name="_Toc373478401"/>
      <w:bookmarkStart w:id="1398" w:name="_Toc256000232"/>
      <w:r>
        <w:rPr>
          <w:rFonts w:hint="eastAsia" w:ascii="宋体" w:cs="宋体"/>
          <w:color w:val="auto"/>
          <w:highlight w:val="none"/>
        </w:rPr>
        <w:t>13.1 分部分项工程验收</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7420471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59986E56">
      <w:pPr>
        <w:pStyle w:val="33"/>
        <w:spacing w:line="38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4173187C">
      <w:pPr>
        <w:pStyle w:val="31"/>
        <w:spacing w:line="380" w:lineRule="exact"/>
        <w:ind w:firstLine="422" w:firstLineChars="200"/>
        <w:rPr>
          <w:rFonts w:ascii="宋体" w:cs="宋体"/>
          <w:color w:val="auto"/>
          <w:highlight w:val="none"/>
        </w:rPr>
      </w:pPr>
      <w:bookmarkStart w:id="1399" w:name="_Toc418752298"/>
      <w:bookmarkStart w:id="1400" w:name="_Toc389065320"/>
      <w:bookmarkStart w:id="1401" w:name="_Toc497746837"/>
      <w:bookmarkStart w:id="1402" w:name="_Toc373478402"/>
      <w:bookmarkStart w:id="1403" w:name="_Toc418518166"/>
      <w:bookmarkStart w:id="1404" w:name="_Toc373227755"/>
      <w:bookmarkStart w:id="1405" w:name="_Toc418518402"/>
      <w:bookmarkStart w:id="1406" w:name="_Toc403578990"/>
      <w:bookmarkStart w:id="1407" w:name="_Toc418751852"/>
      <w:bookmarkStart w:id="1408" w:name="_Toc418061367"/>
      <w:bookmarkStart w:id="1409" w:name="_Toc497747234"/>
      <w:bookmarkStart w:id="1410" w:name="_Toc522201782"/>
      <w:bookmarkStart w:id="1411" w:name="_Toc256000233"/>
      <w:bookmarkStart w:id="1412" w:name="_Toc304295596"/>
      <w:bookmarkStart w:id="1413" w:name="_Toc297120523"/>
      <w:bookmarkStart w:id="1414" w:name="_Toc297216224"/>
      <w:bookmarkStart w:id="1415" w:name="_Toc296346724"/>
      <w:bookmarkStart w:id="1416" w:name="_Toc296503223"/>
      <w:bookmarkStart w:id="1417" w:name="_Toc312678056"/>
      <w:bookmarkStart w:id="1418" w:name="_Toc296891051"/>
      <w:bookmarkStart w:id="1419" w:name="_Toc296891263"/>
      <w:bookmarkStart w:id="1420" w:name="_Toc297048409"/>
      <w:bookmarkStart w:id="1421" w:name="_Toc292559428"/>
      <w:bookmarkStart w:id="1422" w:name="_Toc300935016"/>
      <w:bookmarkStart w:id="1423" w:name="_Toc297123565"/>
      <w:bookmarkStart w:id="1424" w:name="_Toc303539173"/>
      <w:bookmarkStart w:id="1425" w:name="_Toc296944562"/>
      <w:bookmarkStart w:id="1426" w:name="_Toc292559933"/>
      <w:bookmarkStart w:id="1427" w:name="_Toc296347222"/>
      <w:bookmarkStart w:id="1428" w:name="_Toc267251472"/>
      <w:bookmarkStart w:id="1429" w:name="_Toc267251475"/>
      <w:bookmarkStart w:id="1430" w:name="_Toc267251471"/>
      <w:bookmarkStart w:id="1431" w:name="_Toc267251470"/>
      <w:bookmarkStart w:id="1432" w:name="_Toc267251476"/>
      <w:bookmarkStart w:id="1433" w:name="_Toc267251474"/>
      <w:bookmarkStart w:id="1434" w:name="_Toc267251473"/>
      <w:r>
        <w:rPr>
          <w:rFonts w:hint="eastAsia" w:ascii="宋体" w:cs="宋体"/>
          <w:color w:val="auto"/>
          <w:highlight w:val="none"/>
        </w:rPr>
        <w:t>13.2 竣工验收</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p>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14:paraId="22F8FD10">
      <w:pPr>
        <w:pStyle w:val="33"/>
        <w:spacing w:line="380" w:lineRule="exact"/>
        <w:ind w:firstLine="420" w:firstLineChars="200"/>
        <w:jc w:val="left"/>
        <w:rPr>
          <w:rFonts w:ascii="宋体" w:hAnsi="宋体" w:cs="宋体"/>
          <w:color w:val="auto"/>
          <w:szCs w:val="21"/>
          <w:highlight w:val="none"/>
        </w:rPr>
      </w:pPr>
      <w:bookmarkStart w:id="1435" w:name="_Toc280868704"/>
      <w:bookmarkStart w:id="1436" w:name="_Toc280868705"/>
      <w:bookmarkStart w:id="1437" w:name="_Toc280868706"/>
      <w:bookmarkStart w:id="1438" w:name="_Toc280868707"/>
      <w:bookmarkStart w:id="1439" w:name="_Toc280868708"/>
      <w:bookmarkStart w:id="1440" w:name="_Toc280868709"/>
      <w:r>
        <w:rPr>
          <w:rFonts w:hint="eastAsia" w:ascii="宋体" w:hAnsi="宋体" w:cs="宋体"/>
          <w:color w:val="auto"/>
          <w:szCs w:val="21"/>
          <w:highlight w:val="none"/>
        </w:rPr>
        <w:t>13.2.1竣工验收条件</w:t>
      </w:r>
    </w:p>
    <w:p w14:paraId="7B0F3B23">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 xml:space="preserve">  1、工程具备竣工验收条件，承包人按工期竣工验收有关规定，向发包人提交符合桂林市城建档案馆归档要求内</w:t>
      </w:r>
      <w:r>
        <w:rPr>
          <w:rFonts w:hint="eastAsia" w:ascii="宋体" w:hAnsi="宋体" w:cs="宋体"/>
          <w:strike w:val="0"/>
          <w:dstrike w:val="0"/>
          <w:color w:val="auto"/>
          <w:szCs w:val="21"/>
          <w:highlight w:val="none"/>
          <w:u w:val="single"/>
        </w:rPr>
        <w:t>容装订成册的完整竣工资料及竣工验收报告、工程竣工图。2、承包人所提交的竣工资料必须符合《建设工程归档整理规范》要求，并在结算审批时出具《工程档案验收合格证明》及建设单位接收档</w:t>
      </w:r>
      <w:r>
        <w:rPr>
          <w:rFonts w:hint="eastAsia" w:ascii="宋体" w:hAnsi="宋体" w:cs="宋体"/>
          <w:color w:val="auto"/>
          <w:szCs w:val="21"/>
          <w:highlight w:val="none"/>
          <w:u w:val="single"/>
        </w:rPr>
        <w:t xml:space="preserve">案资料清单证明   </w:t>
      </w:r>
      <w:r>
        <w:rPr>
          <w:rFonts w:hint="eastAsia" w:ascii="宋体" w:hAnsi="宋体" w:cs="宋体"/>
          <w:color w:val="auto"/>
          <w:szCs w:val="21"/>
          <w:highlight w:val="none"/>
        </w:rPr>
        <w:t>。</w:t>
      </w:r>
    </w:p>
    <w:p w14:paraId="4E46739A">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肆份，承包人承担竣工验收资料编制、立卷及至档案馆归档等一切费用</w:t>
      </w:r>
      <w:r>
        <w:rPr>
          <w:rFonts w:hint="eastAsia" w:ascii="宋体" w:hAnsi="宋体" w:cs="宋体"/>
          <w:color w:val="auto"/>
          <w:szCs w:val="21"/>
          <w:highlight w:val="none"/>
        </w:rPr>
        <w:t>。</w:t>
      </w:r>
    </w:p>
    <w:p w14:paraId="7E7BB1B0">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承包人提供竣工图的约定：</w:t>
      </w:r>
      <w:r>
        <w:rPr>
          <w:rFonts w:hint="eastAsia" w:ascii="宋体" w:hAnsi="宋体" w:cs="宋体"/>
          <w:bCs/>
          <w:color w:val="auto"/>
          <w:szCs w:val="21"/>
          <w:highlight w:val="none"/>
          <w:u w:val="single"/>
        </w:rPr>
        <w:t>竣工验收正式通过后15天，提供4套竣工图。</w:t>
      </w:r>
    </w:p>
    <w:p w14:paraId="5D5FC3AE">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bookmarkEnd w:id="1435"/>
    <w:p w14:paraId="309D4EE2">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关于竣工验收程序的约定</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u w:val="single"/>
        </w:rPr>
        <w:t>由承包人提出申请，经监理工程师及承包人同意后，通知各质检及监督部门进行竣工验收。本工程竣工验收合格后，双方应在验收报告上签字认可，本工程实际竣工日期以建设、设计、勘察、监理、施工五家单位验收小组正式验收签字日期为准。工程保修按合同附件3《工程质量保修书》有关规定执行。</w:t>
      </w:r>
    </w:p>
    <w:p w14:paraId="3F992929">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436"/>
    <w:p w14:paraId="014BE8D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bookmarkEnd w:id="1437"/>
    <w:p w14:paraId="440CB833">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竣工验收整改完毕三日内 </w:t>
      </w:r>
      <w:r>
        <w:rPr>
          <w:rFonts w:hint="eastAsia" w:ascii="宋体" w:hAnsi="宋体" w:cs="宋体"/>
          <w:color w:val="auto"/>
          <w:szCs w:val="21"/>
          <w:highlight w:val="none"/>
        </w:rPr>
        <w:t>。</w:t>
      </w:r>
    </w:p>
    <w:p w14:paraId="34BB793C">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款扣除社会保险费、发包人材料价款、暂估专业工程、暂列金额后的万分之四/天</w:t>
      </w:r>
      <w:r>
        <w:rPr>
          <w:rFonts w:hint="eastAsia" w:ascii="宋体" w:hAnsi="宋体" w:cs="宋体"/>
          <w:bCs/>
          <w:color w:val="auto"/>
          <w:szCs w:val="21"/>
          <w:highlight w:val="none"/>
          <w:u w:val="single"/>
        </w:rPr>
        <w:t xml:space="preserve">支付违约金，最高限额为结算价的3% </w:t>
      </w:r>
      <w:r>
        <w:rPr>
          <w:rFonts w:hint="eastAsia" w:ascii="宋体" w:hAnsi="宋体" w:cs="宋体"/>
          <w:color w:val="auto"/>
          <w:szCs w:val="21"/>
          <w:highlight w:val="none"/>
        </w:rPr>
        <w:t>。</w:t>
      </w:r>
    </w:p>
    <w:bookmarkEnd w:id="1438"/>
    <w:p w14:paraId="7BA625F1">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w:t>
      </w:r>
      <w:r>
        <w:rPr>
          <w:rFonts w:hint="eastAsia" w:ascii="宋体" w:hAnsi="宋体" w:cs="宋体"/>
          <w:color w:val="auto"/>
          <w:szCs w:val="21"/>
          <w:highlight w:val="none"/>
          <w:u w:val="single"/>
        </w:rPr>
        <w:t>，按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 xml:space="preserve">款扣除社会保险费、发包人材料价款、暂估专业工程、暂列金额后的万分之四/天支付违约金，最高限额为结算价的3%  </w:t>
      </w:r>
      <w:r>
        <w:rPr>
          <w:rFonts w:hint="eastAsia" w:ascii="宋体" w:hAnsi="宋体" w:cs="宋体"/>
          <w:color w:val="auto"/>
          <w:szCs w:val="21"/>
          <w:highlight w:val="none"/>
        </w:rPr>
        <w:t>。</w:t>
      </w:r>
    </w:p>
    <w:p w14:paraId="1379783A">
      <w:pPr>
        <w:pStyle w:val="31"/>
        <w:spacing w:line="380" w:lineRule="exact"/>
        <w:ind w:firstLine="422" w:firstLineChars="200"/>
        <w:rPr>
          <w:rFonts w:ascii="宋体" w:cs="宋体"/>
          <w:color w:val="auto"/>
          <w:highlight w:val="none"/>
        </w:rPr>
      </w:pPr>
      <w:bookmarkStart w:id="1441" w:name="_Toc373227756"/>
      <w:bookmarkStart w:id="1442" w:name="_Toc418518403"/>
      <w:bookmarkStart w:id="1443" w:name="_Toc418518167"/>
      <w:bookmarkStart w:id="1444" w:name="_Toc497746838"/>
      <w:bookmarkStart w:id="1445" w:name="_Toc389065321"/>
      <w:bookmarkStart w:id="1446" w:name="_Toc418061368"/>
      <w:bookmarkStart w:id="1447" w:name="_Toc522201783"/>
      <w:bookmarkStart w:id="1448" w:name="_Toc256000234"/>
      <w:bookmarkStart w:id="1449" w:name="_Toc418752299"/>
      <w:bookmarkStart w:id="1450" w:name="_Toc497747235"/>
      <w:bookmarkStart w:id="1451" w:name="_Toc373478403"/>
      <w:bookmarkStart w:id="1452" w:name="_Toc418751853"/>
      <w:bookmarkStart w:id="1453" w:name="_Toc403578991"/>
      <w:r>
        <w:rPr>
          <w:rFonts w:hint="eastAsia" w:ascii="宋体" w:cs="宋体"/>
          <w:color w:val="auto"/>
          <w:highlight w:val="none"/>
        </w:rPr>
        <w:t>13.3 工程试车</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p>
    <w:bookmarkEnd w:id="1439"/>
    <w:p w14:paraId="53D493D1">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6FFE355B">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为达到本工程的验收标准，工程范围内的设施和承包人安装的设备应进行试运行调试，费用由承包人自行负责并已包括在投标报价中 </w:t>
      </w:r>
      <w:r>
        <w:rPr>
          <w:rFonts w:hint="eastAsia" w:ascii="宋体" w:hAnsi="宋体" w:cs="宋体"/>
          <w:color w:val="auto"/>
          <w:szCs w:val="21"/>
          <w:highlight w:val="none"/>
        </w:rPr>
        <w:t>。</w:t>
      </w:r>
    </w:p>
    <w:p w14:paraId="552AE039">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616CD6B5">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2A49F4CF">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0741F692">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关于投料试车相关事项的约定：</w:t>
      </w:r>
      <w:r>
        <w:rPr>
          <w:rFonts w:hint="eastAsia" w:ascii="宋体" w:hAnsi="宋体" w:cs="宋体"/>
          <w:color w:val="auto"/>
          <w:szCs w:val="21"/>
          <w:highlight w:val="none"/>
          <w:u w:val="single"/>
        </w:rPr>
        <w:t xml:space="preserve"> 由承包人组织试运行，费用由承包人承担 </w:t>
      </w:r>
      <w:r>
        <w:rPr>
          <w:rFonts w:hint="eastAsia" w:ascii="宋体" w:hAnsi="宋体" w:cs="宋体"/>
          <w:color w:val="auto"/>
          <w:szCs w:val="21"/>
          <w:highlight w:val="none"/>
        </w:rPr>
        <w:t>。</w:t>
      </w:r>
    </w:p>
    <w:p w14:paraId="036D14E7">
      <w:pPr>
        <w:pStyle w:val="31"/>
        <w:spacing w:line="380" w:lineRule="exact"/>
        <w:ind w:firstLine="422" w:firstLineChars="200"/>
        <w:rPr>
          <w:rFonts w:ascii="宋体" w:cs="宋体"/>
          <w:color w:val="auto"/>
          <w:highlight w:val="none"/>
        </w:rPr>
      </w:pPr>
      <w:bookmarkStart w:id="1454" w:name="_Toc418751854"/>
      <w:bookmarkStart w:id="1455" w:name="_Toc418752300"/>
      <w:bookmarkStart w:id="1456" w:name="_Toc497747236"/>
      <w:bookmarkStart w:id="1457" w:name="_Toc418061369"/>
      <w:bookmarkStart w:id="1458" w:name="_Toc497746839"/>
      <w:bookmarkStart w:id="1459" w:name="_Toc373227757"/>
      <w:bookmarkStart w:id="1460" w:name="_Toc256000235"/>
      <w:bookmarkStart w:id="1461" w:name="_Toc389065322"/>
      <w:bookmarkStart w:id="1462" w:name="_Toc418518168"/>
      <w:bookmarkStart w:id="1463" w:name="_Toc373478404"/>
      <w:bookmarkStart w:id="1464" w:name="_Toc418518404"/>
      <w:bookmarkStart w:id="1465" w:name="_Toc522201784"/>
      <w:bookmarkStart w:id="1466" w:name="_Toc403578992"/>
      <w:r>
        <w:rPr>
          <w:rFonts w:hint="eastAsia" w:ascii="宋体" w:cs="宋体"/>
          <w:color w:val="auto"/>
          <w:highlight w:val="none"/>
        </w:rPr>
        <w:t>13.6 竣工退场</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14:paraId="5CFE766C">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3CF2B91C">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hint="eastAsia" w:ascii="宋体" w:hAnsi="宋体" w:cs="宋体"/>
          <w:color w:val="auto"/>
          <w:szCs w:val="21"/>
          <w:highlight w:val="none"/>
          <w:u w:val="single"/>
        </w:rPr>
        <w:t>监理人颁发(出具)工程接收证书后，承包人负责按照通用合同条款本项约定的要求对施工场地进行清理并承担相关费用，直至监理人检验合格后七日内，如承包人到期后不退场，发包人有权安排其他人员进行清理，费用从承包人工程款中扣除。</w:t>
      </w:r>
    </w:p>
    <w:p w14:paraId="2FCED9DD">
      <w:pPr>
        <w:pStyle w:val="31"/>
        <w:spacing w:line="380" w:lineRule="exact"/>
        <w:rPr>
          <w:rFonts w:ascii="宋体" w:cs="宋体"/>
          <w:color w:val="auto"/>
          <w:highlight w:val="none"/>
        </w:rPr>
      </w:pPr>
      <w:bookmarkStart w:id="1467" w:name="_Toc418752301"/>
      <w:bookmarkStart w:id="1468" w:name="_Toc418518405"/>
      <w:bookmarkStart w:id="1469" w:name="_Toc497746840"/>
      <w:bookmarkStart w:id="1470" w:name="_Toc497747237"/>
      <w:bookmarkStart w:id="1471" w:name="_Toc522201785"/>
      <w:bookmarkStart w:id="1472" w:name="_Toc418751855"/>
      <w:bookmarkStart w:id="1473" w:name="_Toc389065323"/>
      <w:bookmarkStart w:id="1474" w:name="_Toc418061370"/>
      <w:bookmarkStart w:id="1475" w:name="_Toc403578993"/>
      <w:bookmarkStart w:id="1476" w:name="_Toc351203646"/>
      <w:bookmarkStart w:id="1477" w:name="_Toc373478405"/>
      <w:bookmarkStart w:id="1478" w:name="_Toc418518169"/>
      <w:bookmarkStart w:id="1479" w:name="_Toc373227758"/>
      <w:bookmarkStart w:id="1480" w:name="_Toc256000236"/>
      <w:r>
        <w:rPr>
          <w:rFonts w:hint="eastAsia" w:ascii="宋体" w:cs="宋体"/>
          <w:color w:val="auto"/>
          <w:highlight w:val="none"/>
        </w:rPr>
        <w:t>14. 竣工结算</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14:paraId="509C3ACD">
      <w:pPr>
        <w:pStyle w:val="31"/>
        <w:spacing w:line="380" w:lineRule="exact"/>
        <w:ind w:firstLine="422" w:firstLineChars="200"/>
        <w:rPr>
          <w:rFonts w:ascii="宋体" w:cs="宋体"/>
          <w:color w:val="auto"/>
          <w:highlight w:val="none"/>
        </w:rPr>
      </w:pPr>
      <w:bookmarkStart w:id="1481" w:name="_Toc373227759"/>
      <w:bookmarkStart w:id="1482" w:name="_Toc497746841"/>
      <w:bookmarkStart w:id="1483" w:name="_Toc256000237"/>
      <w:bookmarkStart w:id="1484" w:name="_Toc403578994"/>
      <w:bookmarkStart w:id="1485" w:name="_Toc418061371"/>
      <w:bookmarkStart w:id="1486" w:name="_Toc389065324"/>
      <w:bookmarkStart w:id="1487" w:name="_Toc418518406"/>
      <w:bookmarkStart w:id="1488" w:name="_Toc418751856"/>
      <w:bookmarkStart w:id="1489" w:name="_Toc497747238"/>
      <w:bookmarkStart w:id="1490" w:name="_Toc522201786"/>
      <w:bookmarkStart w:id="1491" w:name="_Toc418752302"/>
      <w:bookmarkStart w:id="1492" w:name="_Toc373478406"/>
      <w:bookmarkStart w:id="1493" w:name="_Toc418518170"/>
      <w:r>
        <w:rPr>
          <w:rFonts w:hint="eastAsia" w:ascii="宋体" w:cs="宋体"/>
          <w:color w:val="auto"/>
          <w:highlight w:val="none"/>
        </w:rPr>
        <w:t>14.1 竣工结算申请</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3D52E919">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具备竣工收条件后28天内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90A0D94">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竣工结算申请单应包括的内容：</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竣工结算由承包人提交相关结算资料（主要包括合同、工程量计算书、结算书、变更设计通知单、签证单、竣工图）齐全后经监理初审、发包人审核后，</w:t>
      </w:r>
      <w:r>
        <w:rPr>
          <w:rFonts w:hint="eastAsia" w:ascii="宋体" w:hAnsi="宋体" w:cs="宋体"/>
          <w:color w:val="auto"/>
          <w:szCs w:val="21"/>
          <w:highlight w:val="none"/>
          <w:u w:val="single"/>
        </w:rPr>
        <w:t>最终结算以</w:t>
      </w:r>
      <w:r>
        <w:rPr>
          <w:rFonts w:hint="eastAsia" w:ascii="宋体" w:hAnsi="宋体" w:cs="宋体"/>
          <w:color w:val="auto"/>
          <w:szCs w:val="21"/>
          <w:highlight w:val="none"/>
          <w:u w:val="single"/>
          <w:lang w:eastAsia="zh-CN"/>
        </w:rPr>
        <w:t>雁山区财政局</w:t>
      </w:r>
      <w:r>
        <w:rPr>
          <w:rFonts w:hint="eastAsia" w:ascii="宋体" w:hAnsi="宋体" w:cs="宋体"/>
          <w:color w:val="auto"/>
          <w:szCs w:val="21"/>
          <w:highlight w:val="none"/>
          <w:u w:val="single"/>
        </w:rPr>
        <w:t xml:space="preserve">或发包人委托的造价咨询机构审定并经发包人及承包人双方确认的金额为准 </w:t>
      </w:r>
      <w:r>
        <w:rPr>
          <w:rFonts w:hint="eastAsia" w:ascii="宋体" w:hAnsi="宋体" w:cs="宋体"/>
          <w:color w:val="auto"/>
          <w:szCs w:val="21"/>
          <w:highlight w:val="none"/>
        </w:rPr>
        <w:t>。</w:t>
      </w:r>
    </w:p>
    <w:p w14:paraId="43C76FF2">
      <w:pPr>
        <w:pStyle w:val="31"/>
        <w:spacing w:line="380" w:lineRule="exact"/>
        <w:ind w:firstLine="422" w:firstLineChars="200"/>
        <w:rPr>
          <w:rFonts w:ascii="宋体" w:cs="宋体"/>
          <w:color w:val="auto"/>
          <w:highlight w:val="none"/>
        </w:rPr>
      </w:pPr>
      <w:bookmarkStart w:id="1494" w:name="_Toc497746842"/>
      <w:bookmarkStart w:id="1495" w:name="_Toc403578995"/>
      <w:bookmarkStart w:id="1496" w:name="_Toc418061372"/>
      <w:bookmarkStart w:id="1497" w:name="_Toc389065325"/>
      <w:bookmarkStart w:id="1498" w:name="_Toc418752303"/>
      <w:bookmarkStart w:id="1499" w:name="_Toc373227760"/>
      <w:bookmarkStart w:id="1500" w:name="_Toc418751857"/>
      <w:bookmarkStart w:id="1501" w:name="_Toc418518407"/>
      <w:bookmarkStart w:id="1502" w:name="_Toc497747239"/>
      <w:bookmarkStart w:id="1503" w:name="_Toc522201787"/>
      <w:bookmarkStart w:id="1504" w:name="_Toc373478407"/>
      <w:bookmarkStart w:id="1505" w:name="_Toc418518171"/>
      <w:bookmarkStart w:id="1506" w:name="_Toc256000238"/>
      <w:r>
        <w:rPr>
          <w:rFonts w:hint="eastAsia" w:ascii="宋体" w:cs="宋体"/>
          <w:color w:val="auto"/>
          <w:highlight w:val="none"/>
        </w:rPr>
        <w:t>14.2 竣工结算审核</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14:paraId="5C7F4368">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p>
    <w:tbl>
      <w:tblPr>
        <w:tblStyle w:val="21"/>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16"/>
        <w:gridCol w:w="5817"/>
      </w:tblGrid>
      <w:tr w14:paraId="0D83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D4DA7B4">
            <w:pPr>
              <w:pStyle w:val="33"/>
              <w:spacing w:line="380" w:lineRule="exact"/>
              <w:jc w:val="center"/>
              <w:rPr>
                <w:rFonts w:ascii="宋体" w:hAnsi="宋体" w:cs="宋体"/>
                <w:bCs/>
                <w:color w:val="auto"/>
                <w:szCs w:val="21"/>
                <w:highlight w:val="none"/>
              </w:rPr>
            </w:pPr>
          </w:p>
        </w:tc>
        <w:tc>
          <w:tcPr>
            <w:tcW w:w="2616" w:type="dxa"/>
            <w:noWrap w:val="0"/>
            <w:vAlign w:val="center"/>
          </w:tcPr>
          <w:p w14:paraId="37A45648">
            <w:pPr>
              <w:pStyle w:val="33"/>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工程竣工结算报告金额</w:t>
            </w:r>
          </w:p>
        </w:tc>
        <w:tc>
          <w:tcPr>
            <w:tcW w:w="5817" w:type="dxa"/>
            <w:noWrap w:val="0"/>
            <w:vAlign w:val="center"/>
          </w:tcPr>
          <w:p w14:paraId="390A1523">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发包人审查时间</w:t>
            </w:r>
          </w:p>
        </w:tc>
      </w:tr>
      <w:tr w14:paraId="75D5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341D674">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616" w:type="dxa"/>
            <w:noWrap w:val="0"/>
            <w:vAlign w:val="center"/>
          </w:tcPr>
          <w:p w14:paraId="62129093">
            <w:pPr>
              <w:pStyle w:val="33"/>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500万元以下</w:t>
            </w:r>
          </w:p>
        </w:tc>
        <w:tc>
          <w:tcPr>
            <w:tcW w:w="5817" w:type="dxa"/>
            <w:noWrap w:val="0"/>
            <w:vAlign w:val="center"/>
          </w:tcPr>
          <w:p w14:paraId="0EC42BEB">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从接到竣工结算报告和完整的竣工结算资料之日起20天</w:t>
            </w:r>
          </w:p>
        </w:tc>
      </w:tr>
      <w:tr w14:paraId="27FD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EEA9733">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616" w:type="dxa"/>
            <w:noWrap w:val="0"/>
            <w:vAlign w:val="center"/>
          </w:tcPr>
          <w:p w14:paraId="07C1B6D1">
            <w:pPr>
              <w:pStyle w:val="33"/>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500万元-2000万元</w:t>
            </w:r>
          </w:p>
        </w:tc>
        <w:tc>
          <w:tcPr>
            <w:tcW w:w="5817" w:type="dxa"/>
            <w:noWrap w:val="0"/>
            <w:vAlign w:val="center"/>
          </w:tcPr>
          <w:p w14:paraId="3D93D35D">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从接到竣工结算报告和完整的竣工结算资料之日起30天</w:t>
            </w:r>
          </w:p>
        </w:tc>
      </w:tr>
      <w:tr w14:paraId="3BE8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4D91683">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616" w:type="dxa"/>
            <w:noWrap w:val="0"/>
            <w:vAlign w:val="center"/>
          </w:tcPr>
          <w:p w14:paraId="4B90FAD3">
            <w:pPr>
              <w:pStyle w:val="33"/>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2000万元-5000万元</w:t>
            </w:r>
          </w:p>
        </w:tc>
        <w:tc>
          <w:tcPr>
            <w:tcW w:w="5817" w:type="dxa"/>
            <w:noWrap w:val="0"/>
            <w:vAlign w:val="center"/>
          </w:tcPr>
          <w:p w14:paraId="245A479D">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从接到竣工结算报告和完整的竣工结算资料之日起45天</w:t>
            </w:r>
          </w:p>
        </w:tc>
      </w:tr>
      <w:tr w14:paraId="438E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369B3AE">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616" w:type="dxa"/>
            <w:noWrap w:val="0"/>
            <w:vAlign w:val="center"/>
          </w:tcPr>
          <w:p w14:paraId="5B9BA969">
            <w:pPr>
              <w:pStyle w:val="33"/>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5000万元以上</w:t>
            </w:r>
          </w:p>
        </w:tc>
        <w:tc>
          <w:tcPr>
            <w:tcW w:w="5817" w:type="dxa"/>
            <w:noWrap w:val="0"/>
            <w:vAlign w:val="center"/>
          </w:tcPr>
          <w:p w14:paraId="68A555EB">
            <w:pPr>
              <w:pStyle w:val="33"/>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从接到竣工结算报告和完整的竣工结算资料之日起60天</w:t>
            </w:r>
          </w:p>
        </w:tc>
      </w:tr>
    </w:tbl>
    <w:p w14:paraId="2D7B517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因承包人提供的结算资料不完整而需要补充或承包人不按时对账耽误时间时，审查时间应相应顺延</w:t>
      </w:r>
      <w:r>
        <w:rPr>
          <w:rFonts w:hint="eastAsia" w:ascii="宋体" w:hAnsi="宋体" w:cs="宋体"/>
          <w:color w:val="auto"/>
          <w:szCs w:val="21"/>
          <w:highlight w:val="none"/>
        </w:rPr>
        <w:t>。</w:t>
      </w:r>
    </w:p>
    <w:p w14:paraId="2D0D746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ascii="宋体" w:hAnsi="宋体" w:cs="宋体"/>
          <w:color w:val="auto"/>
          <w:szCs w:val="21"/>
          <w:highlight w:val="none"/>
          <w:u w:val="single"/>
        </w:rPr>
        <w:t>结算审核报告出具</w:t>
      </w:r>
      <w:r>
        <w:rPr>
          <w:rFonts w:hint="eastAsia" w:ascii="宋体" w:hAnsi="宋体" w:cs="宋体"/>
          <w:color w:val="auto"/>
          <w:szCs w:val="21"/>
          <w:highlight w:val="none"/>
          <w:u w:val="single"/>
        </w:rPr>
        <w:t>后且</w:t>
      </w:r>
      <w:r>
        <w:rPr>
          <w:rFonts w:hint="eastAsia" w:ascii="宋体" w:hAnsi="宋体"/>
          <w:color w:val="auto"/>
          <w:szCs w:val="21"/>
          <w:highlight w:val="none"/>
          <w:u w:val="single"/>
        </w:rPr>
        <w:t>审核完承包人的竣工付款申请单30天内</w:t>
      </w:r>
      <w:r>
        <w:rPr>
          <w:rFonts w:hint="eastAsia" w:ascii="宋体" w:hAnsi="宋体" w:cs="宋体"/>
          <w:color w:val="auto"/>
          <w:szCs w:val="21"/>
          <w:highlight w:val="none"/>
        </w:rPr>
        <w:t>。</w:t>
      </w:r>
    </w:p>
    <w:p w14:paraId="2C2E1DE1">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关于竣工付款证书异议部分复核的方式和程序：</w:t>
      </w:r>
      <w:r>
        <w:rPr>
          <w:rFonts w:hint="eastAsia" w:ascii="宋体" w:hAnsi="宋体" w:cs="宋体"/>
          <w:color w:val="auto"/>
          <w:szCs w:val="21"/>
          <w:highlight w:val="none"/>
          <w:u w:val="single"/>
        </w:rPr>
        <w:t>存在异议的部分，由承包人核对后对异议部分进行书面描叙，并交由发包人再次审定。</w:t>
      </w:r>
    </w:p>
    <w:p w14:paraId="3D114179">
      <w:pPr>
        <w:pStyle w:val="31"/>
        <w:spacing w:line="380" w:lineRule="exact"/>
        <w:ind w:firstLine="422" w:firstLineChars="200"/>
        <w:rPr>
          <w:rFonts w:ascii="宋体" w:cs="宋体"/>
          <w:color w:val="auto"/>
          <w:highlight w:val="none"/>
        </w:rPr>
      </w:pPr>
      <w:bookmarkStart w:id="1507" w:name="_Toc256000239"/>
      <w:bookmarkStart w:id="1508" w:name="_Toc418752304"/>
      <w:bookmarkStart w:id="1509" w:name="_Toc373478408"/>
      <w:bookmarkStart w:id="1510" w:name="_Toc497746843"/>
      <w:bookmarkStart w:id="1511" w:name="_Toc403578996"/>
      <w:bookmarkStart w:id="1512" w:name="_Toc522201788"/>
      <w:bookmarkStart w:id="1513" w:name="_Toc418751858"/>
      <w:bookmarkStart w:id="1514" w:name="_Toc418061373"/>
      <w:bookmarkStart w:id="1515" w:name="_Toc418518408"/>
      <w:bookmarkStart w:id="1516" w:name="_Toc497747240"/>
      <w:bookmarkStart w:id="1517" w:name="_Toc418518172"/>
      <w:bookmarkStart w:id="1518" w:name="_Toc389065326"/>
      <w:bookmarkStart w:id="1519" w:name="_Toc373227761"/>
      <w:r>
        <w:rPr>
          <w:rFonts w:hint="eastAsia" w:ascii="宋体" w:cs="宋体"/>
          <w:color w:val="auto"/>
          <w:highlight w:val="none"/>
        </w:rPr>
        <w:t>14.4 最终结清</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14:paraId="0D1460F9">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3358851F">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一式四份 </w:t>
      </w:r>
      <w:r>
        <w:rPr>
          <w:rFonts w:hint="eastAsia" w:ascii="宋体" w:hAnsi="宋体" w:cs="宋体"/>
          <w:color w:val="auto"/>
          <w:szCs w:val="21"/>
          <w:highlight w:val="none"/>
        </w:rPr>
        <w:t>。</w:t>
      </w:r>
    </w:p>
    <w:p w14:paraId="33FF9C85">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kern w:val="0"/>
          <w:szCs w:val="21"/>
          <w:highlight w:val="none"/>
          <w:u w:val="single"/>
        </w:rPr>
        <w:t>缺陷责任期终止证书签发后14天内向监理人提交4份竣工付款申请单及相关证明材料</w:t>
      </w:r>
      <w:r>
        <w:rPr>
          <w:rFonts w:hint="eastAsia" w:ascii="宋体" w:hAnsi="宋体" w:cs="宋体"/>
          <w:color w:val="auto"/>
          <w:szCs w:val="21"/>
          <w:highlight w:val="none"/>
        </w:rPr>
        <w:t xml:space="preserve">。 </w:t>
      </w:r>
    </w:p>
    <w:p w14:paraId="636AFDA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10CFBD85">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szCs w:val="21"/>
          <w:highlight w:val="none"/>
        </w:rPr>
        <w:t>。</w:t>
      </w:r>
    </w:p>
    <w:p w14:paraId="1FA75F2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在颁发最终结清证书后的30天内 </w:t>
      </w:r>
      <w:r>
        <w:rPr>
          <w:rFonts w:hint="eastAsia" w:ascii="宋体" w:hAnsi="宋体" w:cs="宋体"/>
          <w:color w:val="auto"/>
          <w:szCs w:val="21"/>
          <w:highlight w:val="none"/>
        </w:rPr>
        <w:t>。</w:t>
      </w:r>
    </w:p>
    <w:bookmarkEnd w:id="1428"/>
    <w:bookmarkEnd w:id="1429"/>
    <w:bookmarkEnd w:id="1430"/>
    <w:bookmarkEnd w:id="1431"/>
    <w:bookmarkEnd w:id="1432"/>
    <w:bookmarkEnd w:id="1433"/>
    <w:bookmarkEnd w:id="1434"/>
    <w:bookmarkEnd w:id="1440"/>
    <w:p w14:paraId="500A7BB6">
      <w:pPr>
        <w:pStyle w:val="31"/>
        <w:spacing w:line="380" w:lineRule="exact"/>
        <w:rPr>
          <w:rFonts w:ascii="宋体" w:cs="宋体"/>
          <w:color w:val="auto"/>
          <w:highlight w:val="none"/>
        </w:rPr>
      </w:pPr>
      <w:bookmarkStart w:id="1520" w:name="_Toc389065327"/>
      <w:bookmarkStart w:id="1521" w:name="_Toc403578997"/>
      <w:bookmarkStart w:id="1522" w:name="_Toc256000240"/>
      <w:bookmarkStart w:id="1523" w:name="_Toc373227762"/>
      <w:bookmarkStart w:id="1524" w:name="_Toc351203647"/>
      <w:bookmarkStart w:id="1525" w:name="_Toc522201789"/>
      <w:bookmarkStart w:id="1526" w:name="_Toc418751859"/>
      <w:bookmarkStart w:id="1527" w:name="_Toc373478409"/>
      <w:bookmarkStart w:id="1528" w:name="_Toc418518173"/>
      <w:bookmarkStart w:id="1529" w:name="_Toc418061374"/>
      <w:bookmarkStart w:id="1530" w:name="_Toc418752305"/>
      <w:bookmarkStart w:id="1531" w:name="_Toc497747241"/>
      <w:bookmarkStart w:id="1532" w:name="_Toc497746844"/>
      <w:bookmarkStart w:id="1533" w:name="_Toc418518409"/>
      <w:bookmarkStart w:id="1534" w:name="_Toc267251483"/>
      <w:bookmarkStart w:id="1535" w:name="_Toc267251484"/>
      <w:bookmarkStart w:id="1536" w:name="_Toc267251482"/>
      <w:bookmarkStart w:id="1537" w:name="_Toc267251485"/>
      <w:bookmarkStart w:id="1538" w:name="_Toc267251490"/>
      <w:bookmarkStart w:id="1539" w:name="_Toc267251488"/>
      <w:bookmarkStart w:id="1540" w:name="_Toc267251489"/>
      <w:bookmarkStart w:id="1541" w:name="_Toc267251486"/>
      <w:bookmarkStart w:id="1542" w:name="_Toc267251498"/>
      <w:bookmarkStart w:id="1543" w:name="_Toc267251492"/>
      <w:bookmarkStart w:id="1544" w:name="_Toc267251493"/>
      <w:bookmarkStart w:id="1545" w:name="_Toc267251502"/>
      <w:bookmarkStart w:id="1546" w:name="_Toc267251499"/>
      <w:bookmarkStart w:id="1547" w:name="_Toc267251501"/>
      <w:bookmarkStart w:id="1548" w:name="_Toc267251497"/>
      <w:bookmarkStart w:id="1549" w:name="_Toc267251491"/>
      <w:bookmarkStart w:id="1550" w:name="_Toc267251496"/>
      <w:bookmarkStart w:id="1551" w:name="_Toc267251503"/>
      <w:bookmarkStart w:id="1552" w:name="_Toc267251495"/>
      <w:bookmarkStart w:id="1553" w:name="_Toc267251494"/>
      <w:bookmarkStart w:id="1554" w:name="_Toc267251506"/>
      <w:bookmarkStart w:id="1555" w:name="_Toc267251504"/>
      <w:bookmarkStart w:id="1556" w:name="_Toc267251507"/>
      <w:bookmarkStart w:id="1557" w:name="_Toc267251508"/>
      <w:bookmarkStart w:id="1558" w:name="_Toc267251510"/>
      <w:bookmarkStart w:id="1559" w:name="_Toc267251514"/>
      <w:bookmarkStart w:id="1560" w:name="_Toc267251509"/>
      <w:bookmarkStart w:id="1561" w:name="_Toc267251511"/>
      <w:bookmarkStart w:id="1562" w:name="_Toc267251513"/>
      <w:bookmarkStart w:id="1563" w:name="_Toc267251515"/>
      <w:r>
        <w:rPr>
          <w:rFonts w:hint="eastAsia" w:ascii="宋体" w:cs="宋体"/>
          <w:color w:val="auto"/>
          <w:highlight w:val="none"/>
        </w:rPr>
        <w:t>15. 缺陷责任期与保修</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775060E2">
      <w:pPr>
        <w:pStyle w:val="31"/>
        <w:spacing w:line="380" w:lineRule="exact"/>
        <w:ind w:firstLine="422" w:firstLineChars="200"/>
        <w:rPr>
          <w:rFonts w:ascii="宋体" w:cs="宋体"/>
          <w:color w:val="auto"/>
          <w:highlight w:val="none"/>
        </w:rPr>
      </w:pPr>
      <w:bookmarkStart w:id="1564" w:name="_Toc389065328"/>
      <w:bookmarkStart w:id="1565" w:name="_Toc373227763"/>
      <w:bookmarkStart w:id="1566" w:name="_Toc418518174"/>
      <w:bookmarkStart w:id="1567" w:name="_Toc522201790"/>
      <w:bookmarkStart w:id="1568" w:name="_Toc418751860"/>
      <w:bookmarkStart w:id="1569" w:name="_Toc373478410"/>
      <w:bookmarkStart w:id="1570" w:name="_Toc418061375"/>
      <w:bookmarkStart w:id="1571" w:name="_Toc497746845"/>
      <w:bookmarkStart w:id="1572" w:name="_Toc256000241"/>
      <w:bookmarkStart w:id="1573" w:name="_Toc403578998"/>
      <w:bookmarkStart w:id="1574" w:name="_Toc497747242"/>
      <w:bookmarkStart w:id="1575" w:name="_Toc418752306"/>
      <w:bookmarkStart w:id="1576" w:name="_Toc418518410"/>
      <w:r>
        <w:rPr>
          <w:rFonts w:hint="eastAsia" w:ascii="宋体" w:cs="宋体"/>
          <w:color w:val="auto"/>
          <w:highlight w:val="none"/>
        </w:rPr>
        <w:t>15.2 缺陷责任期</w:t>
      </w:r>
      <w:bookmarkEnd w:id="1534"/>
      <w:bookmarkEnd w:id="1564"/>
      <w:bookmarkEnd w:id="1565"/>
      <w:bookmarkEnd w:id="1566"/>
      <w:bookmarkEnd w:id="1567"/>
      <w:bookmarkEnd w:id="1568"/>
      <w:bookmarkEnd w:id="1569"/>
      <w:bookmarkEnd w:id="1570"/>
      <w:bookmarkEnd w:id="1571"/>
      <w:bookmarkEnd w:id="1572"/>
      <w:bookmarkEnd w:id="1573"/>
      <w:bookmarkEnd w:id="1574"/>
      <w:bookmarkEnd w:id="1575"/>
      <w:bookmarkEnd w:id="1576"/>
    </w:p>
    <w:p w14:paraId="66E8A48D">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缺陷责任期的具体期限：</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个月，</w:t>
      </w:r>
      <w:r>
        <w:rPr>
          <w:rFonts w:hint="eastAsia" w:ascii="宋体" w:hAnsi="宋体" w:cs="宋体"/>
          <w:color w:val="auto"/>
          <w:kern w:val="0"/>
          <w:szCs w:val="21"/>
          <w:highlight w:val="none"/>
          <w:u w:val="single"/>
        </w:rPr>
        <w:t>工程竣工验收合格，自交付使用之日起计算</w:t>
      </w:r>
      <w:r>
        <w:rPr>
          <w:rFonts w:hint="eastAsia" w:ascii="宋体" w:hAnsi="宋体" w:cs="宋体"/>
          <w:color w:val="auto"/>
          <w:szCs w:val="21"/>
          <w:highlight w:val="none"/>
          <w:u w:val="single"/>
        </w:rPr>
        <w:t xml:space="preserve"> ，按照《建设工程质量管理条例》执行，</w:t>
      </w:r>
      <w:r>
        <w:rPr>
          <w:rFonts w:hint="eastAsia" w:ascii="宋体" w:hAnsi="宋体" w:cs="宋体"/>
          <w:bCs/>
          <w:color w:val="auto"/>
          <w:szCs w:val="21"/>
          <w:highlight w:val="none"/>
          <w:u w:val="single"/>
        </w:rPr>
        <w:t xml:space="preserve">详见本合同附件3：《工程质量保修书》 </w:t>
      </w:r>
      <w:r>
        <w:rPr>
          <w:rFonts w:hint="eastAsia" w:ascii="宋体" w:hAnsi="宋体" w:cs="宋体"/>
          <w:color w:val="auto"/>
          <w:szCs w:val="21"/>
          <w:highlight w:val="none"/>
        </w:rPr>
        <w:t>。</w:t>
      </w:r>
    </w:p>
    <w:p w14:paraId="27D9A9D7">
      <w:pPr>
        <w:pStyle w:val="31"/>
        <w:spacing w:line="380" w:lineRule="exact"/>
        <w:ind w:firstLine="422" w:firstLineChars="200"/>
        <w:rPr>
          <w:rFonts w:ascii="宋体" w:cs="宋体"/>
          <w:color w:val="auto"/>
          <w:highlight w:val="none"/>
        </w:rPr>
      </w:pPr>
      <w:bookmarkStart w:id="1577" w:name="_Toc418518175"/>
      <w:bookmarkStart w:id="1578" w:name="_Toc373478411"/>
      <w:bookmarkStart w:id="1579" w:name="_Toc418751861"/>
      <w:bookmarkStart w:id="1580" w:name="_Toc389065329"/>
      <w:bookmarkStart w:id="1581" w:name="_Toc418752307"/>
      <w:bookmarkStart w:id="1582" w:name="_Toc522201791"/>
      <w:bookmarkStart w:id="1583" w:name="_Toc497747243"/>
      <w:bookmarkStart w:id="1584" w:name="_Toc418518411"/>
      <w:bookmarkStart w:id="1585" w:name="_Toc497746846"/>
      <w:bookmarkStart w:id="1586" w:name="_Toc403578999"/>
      <w:bookmarkStart w:id="1587" w:name="_Toc418061376"/>
      <w:bookmarkStart w:id="1588" w:name="_Toc256000242"/>
      <w:bookmarkStart w:id="1589" w:name="_Toc373227764"/>
      <w:r>
        <w:rPr>
          <w:rFonts w:hint="eastAsia" w:ascii="宋体" w:cs="宋体"/>
          <w:color w:val="auto"/>
          <w:highlight w:val="none"/>
        </w:rPr>
        <w:t>15.3 质量保证金</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59367A0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kern w:val="0"/>
          <w:szCs w:val="21"/>
          <w:highlight w:val="none"/>
          <w:u w:val="single"/>
        </w:rPr>
        <w:t>按工程价款结算总额的</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 xml:space="preserve">%作为质保金 </w:t>
      </w:r>
      <w:r>
        <w:rPr>
          <w:rFonts w:hint="eastAsia" w:ascii="宋体" w:hAnsi="宋体" w:cs="宋体"/>
          <w:color w:val="auto"/>
          <w:szCs w:val="21"/>
          <w:highlight w:val="none"/>
        </w:rPr>
        <w:t>。</w:t>
      </w:r>
    </w:p>
    <w:p w14:paraId="3307C76E">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086A7E6A">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10A0C8C0">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1573E907">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w:t>
      </w:r>
      <w:r>
        <w:rPr>
          <w:rFonts w:hint="eastAsia" w:ascii="宋体" w:hAnsi="宋体" w:cs="宋体"/>
          <w:bCs/>
          <w:color w:val="auto"/>
          <w:szCs w:val="21"/>
          <w:highlight w:val="none"/>
          <w:lang w:eastAsia="zh-CN"/>
        </w:rPr>
        <w:t>质量保证金</w:t>
      </w:r>
      <w:r>
        <w:rPr>
          <w:rFonts w:hint="eastAsia" w:ascii="宋体" w:hAnsi="宋体" w:cs="宋体"/>
          <w:bCs/>
          <w:color w:val="auto"/>
          <w:szCs w:val="21"/>
          <w:highlight w:val="none"/>
        </w:rPr>
        <w:t>，待缺陷责任期满后返还</w:t>
      </w:r>
      <w:r>
        <w:rPr>
          <w:rFonts w:hint="eastAsia" w:ascii="宋体" w:hAnsi="宋体" w:cs="宋体"/>
          <w:color w:val="auto"/>
          <w:kern w:val="0"/>
          <w:szCs w:val="21"/>
          <w:highlight w:val="none"/>
        </w:rPr>
        <w:t>；</w:t>
      </w:r>
    </w:p>
    <w:p w14:paraId="4415C0C5">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w:t>
      </w:r>
    </w:p>
    <w:p w14:paraId="176E64A2">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15.3.2 质量保证金的扣留</w:t>
      </w:r>
    </w:p>
    <w:p w14:paraId="0D8E457B">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4D01D701">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00AA3479">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（2）工程竣工结算时一次性扣留质量保证金；</w:t>
      </w:r>
    </w:p>
    <w:p w14:paraId="61987BEE">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33202557">
      <w:pPr>
        <w:pStyle w:val="33"/>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关于质量保证金的补充约定：</w:t>
      </w:r>
      <w:r>
        <w:rPr>
          <w:rFonts w:hint="eastAsia" w:ascii="宋体" w:hAnsi="宋体" w:cs="宋体"/>
          <w:color w:val="auto"/>
          <w:szCs w:val="21"/>
          <w:highlight w:val="none"/>
          <w:u w:val="single"/>
        </w:rPr>
        <w:t>承包人未按照法律法规有关规定和合同约定履行质量保修义务的，发包人有权从质量保证金中扣留用于质量保修的各项支出。</w:t>
      </w:r>
      <w:r>
        <w:rPr>
          <w:rFonts w:hint="eastAsia" w:ascii="宋体" w:hAnsi="宋体" w:cs="宋体"/>
          <w:color w:val="auto"/>
          <w:kern w:val="0"/>
          <w:szCs w:val="21"/>
          <w:highlight w:val="none"/>
          <w:u w:val="single"/>
        </w:rPr>
        <w:t>发包人在工程缺陷责任期满后 14 天内将保修金一次性返回给承包人（无息）。质量保证金的返还，并不能免除承包人按照合同约定应承担的质量保修责任和应履行的质量保修义务。</w:t>
      </w:r>
    </w:p>
    <w:bookmarkEnd w:id="1535"/>
    <w:bookmarkEnd w:id="1536"/>
    <w:p w14:paraId="6ABF2DBA">
      <w:pPr>
        <w:pStyle w:val="31"/>
        <w:spacing w:line="380" w:lineRule="exact"/>
        <w:ind w:firstLine="422" w:firstLineChars="200"/>
        <w:rPr>
          <w:rFonts w:ascii="宋体" w:cs="宋体"/>
          <w:color w:val="auto"/>
          <w:highlight w:val="none"/>
        </w:rPr>
      </w:pPr>
      <w:bookmarkStart w:id="1590" w:name="_Toc497747244"/>
      <w:bookmarkStart w:id="1591" w:name="_Toc418751862"/>
      <w:bookmarkStart w:id="1592" w:name="_Toc522201792"/>
      <w:bookmarkStart w:id="1593" w:name="_Toc418518412"/>
      <w:bookmarkStart w:id="1594" w:name="_Toc497746847"/>
      <w:bookmarkStart w:id="1595" w:name="_Toc256000243"/>
      <w:bookmarkStart w:id="1596" w:name="_Toc373227765"/>
      <w:bookmarkStart w:id="1597" w:name="_Toc389065330"/>
      <w:bookmarkStart w:id="1598" w:name="_Toc418061377"/>
      <w:bookmarkStart w:id="1599" w:name="_Toc418518176"/>
      <w:bookmarkStart w:id="1600" w:name="_Toc373478412"/>
      <w:bookmarkStart w:id="1601" w:name="_Toc403579000"/>
      <w:bookmarkStart w:id="1602" w:name="_Toc418752308"/>
      <w:r>
        <w:rPr>
          <w:rFonts w:hint="eastAsia" w:ascii="宋体" w:cs="宋体"/>
          <w:color w:val="auto"/>
          <w:highlight w:val="none"/>
        </w:rPr>
        <w:t>15.4 保修</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p>
    <w:bookmarkEnd w:id="1537"/>
    <w:p w14:paraId="49BE14CC">
      <w:pPr>
        <w:pStyle w:val="33"/>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1D6ACC0F">
      <w:pPr>
        <w:pStyle w:val="33"/>
        <w:spacing w:line="38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根据《建设工程质量管理条例》及有关规定，约定本工程的保修期详见《工程质量保修书》。</w:t>
      </w:r>
    </w:p>
    <w:p w14:paraId="7A5162E5">
      <w:pPr>
        <w:pStyle w:val="33"/>
        <w:spacing w:line="380" w:lineRule="exact"/>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rPr>
        <w:t>工程保修书具体内容见合同附件3。</w:t>
      </w:r>
    </w:p>
    <w:p w14:paraId="42097C7A">
      <w:pPr>
        <w:pStyle w:val="33"/>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18B92C74">
      <w:pPr>
        <w:pStyle w:val="33"/>
        <w:spacing w:line="380" w:lineRule="exact"/>
        <w:ind w:firstLine="409" w:firstLineChars="195"/>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1、属于保修范围、内容的项目，承包人应当在接到保修通知之日起三天内派人保修。承包人不在约定期限内派人保修的，发包人有权直接安排维修，费用从工程保修金中扣除，不足部分发包人有权向承包人追索。2、发生紧急抢修事故的，承包人在接到事故通知后，应当立即到达事故现场抢修。3、对于涉及设备的质量问题，应当提出保修方案，及时更换设备，承包人实施保修。属于涉及结构安全的质量问题，应当按照《房屋建筑工程质量保修办法》的规定，立即向当地建设行政主管部门报告，采取安全防范措施；由原设计单位或者具有相应资质等级的设计单位提出保修方案，承包人实施保修。4、质量保修完成后，由发包人组织验收。5、保修费用由造成质量缺陷的责任方承担 。</w:t>
      </w:r>
    </w:p>
    <w:bookmarkEnd w:id="1538"/>
    <w:bookmarkEnd w:id="1539"/>
    <w:bookmarkEnd w:id="1540"/>
    <w:bookmarkEnd w:id="1541"/>
    <w:p w14:paraId="0622E752">
      <w:pPr>
        <w:pStyle w:val="31"/>
        <w:spacing w:line="380" w:lineRule="exact"/>
        <w:rPr>
          <w:rFonts w:ascii="宋体" w:cs="宋体"/>
          <w:color w:val="auto"/>
          <w:highlight w:val="none"/>
        </w:rPr>
      </w:pPr>
      <w:bookmarkStart w:id="1603" w:name="_Toc373227766"/>
      <w:bookmarkStart w:id="1604" w:name="_Toc389065331"/>
      <w:bookmarkStart w:id="1605" w:name="_Toc351203648"/>
      <w:bookmarkStart w:id="1606" w:name="_Toc497747245"/>
      <w:bookmarkStart w:id="1607" w:name="_Toc256000244"/>
      <w:bookmarkStart w:id="1608" w:name="_Toc522201793"/>
      <w:bookmarkStart w:id="1609" w:name="_Toc497746848"/>
      <w:bookmarkStart w:id="1610" w:name="_Toc418518413"/>
      <w:bookmarkStart w:id="1611" w:name="_Toc403579001"/>
      <w:bookmarkStart w:id="1612" w:name="_Toc373478413"/>
      <w:bookmarkStart w:id="1613" w:name="_Toc418061378"/>
      <w:bookmarkStart w:id="1614" w:name="_Toc418518177"/>
      <w:bookmarkStart w:id="1615" w:name="_Toc418751863"/>
      <w:bookmarkStart w:id="1616" w:name="_Toc418752309"/>
      <w:bookmarkStart w:id="1617" w:name="_Toc280868717"/>
      <w:bookmarkStart w:id="1618" w:name="_Toc280868718"/>
      <w:r>
        <w:rPr>
          <w:rFonts w:hint="eastAsia" w:ascii="宋体" w:cs="宋体"/>
          <w:color w:val="auto"/>
          <w:highlight w:val="none"/>
        </w:rPr>
        <w:t>16. 违约</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14:paraId="3F5A9AC3">
      <w:pPr>
        <w:pStyle w:val="31"/>
        <w:spacing w:line="380" w:lineRule="exact"/>
        <w:ind w:firstLine="422" w:firstLineChars="200"/>
        <w:rPr>
          <w:rFonts w:ascii="宋体" w:cs="宋体"/>
          <w:color w:val="auto"/>
          <w:highlight w:val="none"/>
        </w:rPr>
      </w:pPr>
      <w:bookmarkStart w:id="1619" w:name="_Toc497747246"/>
      <w:bookmarkStart w:id="1620" w:name="_Toc418752310"/>
      <w:bookmarkStart w:id="1621" w:name="_Toc373227767"/>
      <w:bookmarkStart w:id="1622" w:name="_Toc389065332"/>
      <w:bookmarkStart w:id="1623" w:name="_Toc418518414"/>
      <w:bookmarkStart w:id="1624" w:name="_Toc418751864"/>
      <w:bookmarkStart w:id="1625" w:name="_Toc373478414"/>
      <w:bookmarkStart w:id="1626" w:name="_Toc403579002"/>
      <w:bookmarkStart w:id="1627" w:name="_Toc256000245"/>
      <w:bookmarkStart w:id="1628" w:name="_Toc522201794"/>
      <w:bookmarkStart w:id="1629" w:name="_Toc418061379"/>
      <w:bookmarkStart w:id="1630" w:name="_Toc497746849"/>
      <w:bookmarkStart w:id="1631" w:name="_Toc418518178"/>
      <w:r>
        <w:rPr>
          <w:rFonts w:hint="eastAsia" w:ascii="宋体" w:cs="宋体"/>
          <w:color w:val="auto"/>
          <w:highlight w:val="none"/>
        </w:rPr>
        <w:t>16.1 发包人违约</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78101BD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100D18F3">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无   </w:t>
      </w:r>
      <w:r>
        <w:rPr>
          <w:rFonts w:hint="eastAsia" w:ascii="宋体" w:hAnsi="宋体" w:cs="宋体"/>
          <w:color w:val="auto"/>
          <w:kern w:val="0"/>
          <w:szCs w:val="21"/>
          <w:highlight w:val="none"/>
        </w:rPr>
        <w:t>。</w:t>
      </w:r>
    </w:p>
    <w:p w14:paraId="6FC24F3F">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16.1.2 发包人违约的责任</w:t>
      </w:r>
    </w:p>
    <w:p w14:paraId="39B79F56">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348DFFEA">
      <w:pPr>
        <w:pStyle w:val="33"/>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56C97B77">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76F6A0DB">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w:t>
      </w:r>
      <w:r>
        <w:rPr>
          <w:rFonts w:hint="eastAsia" w:ascii="宋体" w:hAnsi="宋体" w:cs="宋体"/>
          <w:color w:val="auto"/>
          <w:kern w:val="0"/>
          <w:szCs w:val="21"/>
          <w:highlight w:val="none"/>
          <w:u w:val="single"/>
        </w:rPr>
        <w:t xml:space="preserve">  按通用条款执行  </w:t>
      </w:r>
      <w:r>
        <w:rPr>
          <w:rFonts w:hint="eastAsia" w:ascii="宋体" w:hAnsi="宋体" w:cs="宋体"/>
          <w:color w:val="auto"/>
          <w:kern w:val="0"/>
          <w:szCs w:val="21"/>
          <w:highlight w:val="none"/>
        </w:rPr>
        <w:t>。</w:t>
      </w:r>
    </w:p>
    <w:p w14:paraId="09DF65B3">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40FF273E">
      <w:pPr>
        <w:pStyle w:val="33"/>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（5）因发包人违反合同约定造成暂停施工的违约责任：</w:t>
      </w:r>
      <w:r>
        <w:rPr>
          <w:rFonts w:hint="eastAsia" w:ascii="宋体" w:hAnsi="宋体" w:cs="宋体"/>
          <w:color w:val="auto"/>
          <w:kern w:val="0"/>
          <w:szCs w:val="21"/>
          <w:highlight w:val="none"/>
          <w:u w:val="single"/>
        </w:rPr>
        <w:t>按通用条款执行</w:t>
      </w:r>
      <w:r>
        <w:rPr>
          <w:rFonts w:hint="eastAsia" w:ascii="宋体" w:hAnsi="宋体" w:cs="宋体"/>
          <w:color w:val="auto"/>
          <w:kern w:val="0"/>
          <w:szCs w:val="21"/>
          <w:highlight w:val="none"/>
        </w:rPr>
        <w:t>。</w:t>
      </w:r>
    </w:p>
    <w:p w14:paraId="0E832222">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w:t>
      </w:r>
      <w:r>
        <w:rPr>
          <w:rFonts w:hint="eastAsia" w:ascii="宋体" w:hAnsi="宋体" w:cs="宋体"/>
          <w:color w:val="auto"/>
          <w:kern w:val="0"/>
          <w:szCs w:val="21"/>
          <w:highlight w:val="none"/>
          <w:u w:val="single"/>
        </w:rPr>
        <w:t xml:space="preserve">   按通用条款执行</w:t>
      </w:r>
      <w:r>
        <w:rPr>
          <w:rFonts w:hint="eastAsia" w:ascii="宋体" w:hAnsi="宋体" w:cs="宋体"/>
          <w:color w:val="auto"/>
          <w:kern w:val="0"/>
          <w:szCs w:val="21"/>
          <w:highlight w:val="none"/>
        </w:rPr>
        <w:t>。</w:t>
      </w:r>
    </w:p>
    <w:p w14:paraId="4484D7D5">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0187C6F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6F3CFABF">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承包人按16.1.1项〔发包人违约的情形〕约定暂停施工满</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天后发包人仍不纠正其违约行为并致使合同目的不能实现的，承包人有权解除合同。</w:t>
      </w:r>
    </w:p>
    <w:p w14:paraId="0E905436">
      <w:pPr>
        <w:pStyle w:val="31"/>
        <w:spacing w:line="380" w:lineRule="exact"/>
        <w:ind w:firstLine="422" w:firstLineChars="200"/>
        <w:rPr>
          <w:rFonts w:ascii="宋体" w:cs="宋体"/>
          <w:color w:val="auto"/>
          <w:highlight w:val="none"/>
        </w:rPr>
      </w:pPr>
      <w:bookmarkStart w:id="1632" w:name="_Toc522201795"/>
      <w:bookmarkStart w:id="1633" w:name="_Toc418518179"/>
      <w:bookmarkStart w:id="1634" w:name="_Toc373227768"/>
      <w:bookmarkStart w:id="1635" w:name="_Toc403579003"/>
      <w:bookmarkStart w:id="1636" w:name="_Toc418751865"/>
      <w:bookmarkStart w:id="1637" w:name="_Toc256000246"/>
      <w:bookmarkStart w:id="1638" w:name="_Toc373478415"/>
      <w:bookmarkStart w:id="1639" w:name="_Toc497747247"/>
      <w:bookmarkStart w:id="1640" w:name="_Toc418518415"/>
      <w:bookmarkStart w:id="1641" w:name="_Toc497746850"/>
      <w:bookmarkStart w:id="1642" w:name="_Toc389065333"/>
      <w:bookmarkStart w:id="1643" w:name="_Toc418752311"/>
      <w:bookmarkStart w:id="1644" w:name="_Toc418061380"/>
      <w:r>
        <w:rPr>
          <w:rFonts w:hint="eastAsia" w:ascii="宋体" w:cs="宋体"/>
          <w:color w:val="auto"/>
          <w:highlight w:val="none"/>
        </w:rPr>
        <w:t>16.2 承包人违约</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14:paraId="04CFDE69">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23619635">
      <w:pPr>
        <w:pStyle w:val="33"/>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kern w:val="0"/>
          <w:szCs w:val="21"/>
          <w:highlight w:val="none"/>
        </w:rPr>
        <w:t>。</w:t>
      </w:r>
    </w:p>
    <w:p w14:paraId="6AC2BEA1">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291AED4C">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承包人违约责任的承担方式和计算方法：</w:t>
      </w:r>
    </w:p>
    <w:p w14:paraId="38F11E11">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5DFFBA54">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（2）承包人有本合同通用条款第16.2.1（6）条情形的，或经监理人检验认为修复质量不合格而承包人拒绝再进行修补的，发包人将扣除承包人全部</w:t>
      </w:r>
      <w:r>
        <w:rPr>
          <w:rFonts w:hint="eastAsia" w:ascii="宋体" w:hAnsi="宋体" w:cs="宋体"/>
          <w:color w:val="auto"/>
          <w:kern w:val="0"/>
          <w:szCs w:val="21"/>
          <w:highlight w:val="none"/>
          <w:lang w:eastAsia="zh-CN"/>
        </w:rPr>
        <w:t>质量保证金</w:t>
      </w:r>
      <w:r>
        <w:rPr>
          <w:rFonts w:hint="eastAsia" w:ascii="宋体" w:hAnsi="宋体" w:cs="宋体"/>
          <w:color w:val="auto"/>
          <w:kern w:val="0"/>
          <w:szCs w:val="21"/>
          <w:highlight w:val="none"/>
        </w:rPr>
        <w:t>。</w:t>
      </w:r>
    </w:p>
    <w:p w14:paraId="6487730B">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w:t>
      </w:r>
      <w:r>
        <w:rPr>
          <w:rFonts w:hint="eastAsia" w:ascii="宋体" w:hAnsi="宋体" w:cs="宋体"/>
          <w:color w:val="auto"/>
          <w:szCs w:val="21"/>
          <w:highlight w:val="none"/>
        </w:rPr>
        <w:t>承包人在合同期内，完成合同规定的全部工程，且质量合格，在本工程施工竣工验收后十五天内可申请返还全部或部分罚款，返还金额由监理人审核，发包人批准。罚款金额返还时不包括银行利息。</w:t>
      </w:r>
      <w:r>
        <w:rPr>
          <w:rFonts w:hint="eastAsia" w:ascii="宋体" w:hAnsi="宋体" w:cs="宋体"/>
          <w:color w:val="auto"/>
          <w:kern w:val="0"/>
          <w:szCs w:val="21"/>
          <w:highlight w:val="none"/>
        </w:rPr>
        <w:t>承包人履约保证金被罚款后由发包人从最后一次计量支付时扣除相应金额补足履约保证金。</w:t>
      </w:r>
    </w:p>
    <w:p w14:paraId="34002323">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4BE99227">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hint="eastAsia" w:ascii="宋体" w:hAnsi="宋体" w:cs="宋体"/>
          <w:color w:val="auto"/>
          <w:kern w:val="0"/>
          <w:szCs w:val="21"/>
          <w:highlight w:val="none"/>
          <w:u w:val="single"/>
        </w:rPr>
        <w:t>承包人有违反以下情况之一的，发包人有权解除合同，并没收其全部履约保证金</w:t>
      </w:r>
      <w:r>
        <w:rPr>
          <w:rFonts w:hint="eastAsia" w:ascii="宋体" w:hAnsi="宋体" w:cs="宋体"/>
          <w:color w:val="auto"/>
          <w:kern w:val="0"/>
          <w:szCs w:val="21"/>
          <w:highlight w:val="none"/>
        </w:rPr>
        <w:t>。</w:t>
      </w:r>
    </w:p>
    <w:p w14:paraId="3BF54E93">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(1)承包人无正当理由不按开工通知的要求及时进场组织施工和不按签订协议书时商定的进度计划有效地开展施工准备，造成工期延误的；</w:t>
      </w:r>
    </w:p>
    <w:p w14:paraId="7D803F8A">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(2)承包人违反本合同通用条款第3.5条规定私自将合同或合同的任何部分或任何权利转让给其他人，或私自将工程或工程的一部分分包出去的；</w:t>
      </w:r>
    </w:p>
    <w:p w14:paraId="5FA38C97">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(3)未经监理人批准，承包人私自将已按投标文件承诺进入工地的工程设备、施工设备、临时工程或材料撤离工地的；</w:t>
      </w:r>
    </w:p>
    <w:p w14:paraId="05763069">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(4)由于承包人原因拒绝按合同进度计划及时完成合同规定的工程，而又未采取有效措施赶上进度，造成工期延误的；</w:t>
      </w:r>
    </w:p>
    <w:p w14:paraId="54251AA1">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(5)承包人否认合同有效或拒绝履行合同规定的承包人义务，或由于法律、财务等原因导致承包人无法继续履行或实质上已停止履行合同的义务的；</w:t>
      </w:r>
    </w:p>
    <w:p w14:paraId="6D58E9C6">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(6)合同签订之日起十五日内，承包人无法按合同规定及投标文件的承诺进场经监理工程师认可的全部人员和机械的。</w:t>
      </w:r>
    </w:p>
    <w:p w14:paraId="7D676898">
      <w:pPr>
        <w:pStyle w:val="33"/>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协商决定   </w:t>
      </w:r>
      <w:r>
        <w:rPr>
          <w:rFonts w:hint="eastAsia" w:ascii="宋体" w:hAnsi="宋体" w:cs="宋体"/>
          <w:color w:val="auto"/>
          <w:kern w:val="0"/>
          <w:szCs w:val="21"/>
          <w:highlight w:val="none"/>
        </w:rPr>
        <w:t>。</w:t>
      </w:r>
    </w:p>
    <w:p w14:paraId="28CBB467">
      <w:pPr>
        <w:pStyle w:val="31"/>
        <w:spacing w:line="380" w:lineRule="exact"/>
        <w:rPr>
          <w:rFonts w:ascii="宋体" w:cs="宋体"/>
          <w:color w:val="auto"/>
          <w:highlight w:val="none"/>
        </w:rPr>
      </w:pPr>
      <w:bookmarkStart w:id="1645" w:name="_Toc497746851"/>
      <w:bookmarkStart w:id="1646" w:name="_Toc373227769"/>
      <w:bookmarkStart w:id="1647" w:name="_Toc418061381"/>
      <w:bookmarkStart w:id="1648" w:name="_Toc418518180"/>
      <w:bookmarkStart w:id="1649" w:name="_Toc256000247"/>
      <w:bookmarkStart w:id="1650" w:name="_Toc389065334"/>
      <w:bookmarkStart w:id="1651" w:name="_Toc522201796"/>
      <w:bookmarkStart w:id="1652" w:name="_Toc418518416"/>
      <w:bookmarkStart w:id="1653" w:name="_Toc403579004"/>
      <w:bookmarkStart w:id="1654" w:name="_Toc373478416"/>
      <w:bookmarkStart w:id="1655" w:name="_Toc351203649"/>
      <w:bookmarkStart w:id="1656" w:name="_Toc418752312"/>
      <w:bookmarkStart w:id="1657" w:name="_Toc497747248"/>
      <w:bookmarkStart w:id="1658" w:name="_Toc418751866"/>
      <w:r>
        <w:rPr>
          <w:rFonts w:hint="eastAsia" w:ascii="宋体" w:cs="宋体"/>
          <w:color w:val="auto"/>
          <w:highlight w:val="none"/>
        </w:rPr>
        <w:t>17. 不可抗力</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Fonts w:hint="eastAsia" w:ascii="宋体" w:cs="宋体"/>
          <w:color w:val="auto"/>
          <w:highlight w:val="none"/>
        </w:rPr>
        <w:t xml:space="preserve"> </w:t>
      </w:r>
      <w:bookmarkEnd w:id="1617"/>
    </w:p>
    <w:p w14:paraId="3A632B5E">
      <w:pPr>
        <w:pStyle w:val="31"/>
        <w:spacing w:line="380" w:lineRule="exact"/>
        <w:ind w:firstLine="422" w:firstLineChars="200"/>
        <w:rPr>
          <w:rFonts w:ascii="宋体" w:cs="宋体"/>
          <w:color w:val="auto"/>
          <w:highlight w:val="none"/>
        </w:rPr>
      </w:pPr>
      <w:bookmarkStart w:id="1659" w:name="_Toc418751867"/>
      <w:bookmarkStart w:id="1660" w:name="_Toc418518181"/>
      <w:bookmarkStart w:id="1661" w:name="_Toc389065335"/>
      <w:bookmarkStart w:id="1662" w:name="_Toc256000248"/>
      <w:bookmarkStart w:id="1663" w:name="_Toc497746852"/>
      <w:bookmarkStart w:id="1664" w:name="_Toc373227770"/>
      <w:bookmarkStart w:id="1665" w:name="_Toc403579005"/>
      <w:bookmarkStart w:id="1666" w:name="_Toc497747249"/>
      <w:bookmarkStart w:id="1667" w:name="_Toc418518417"/>
      <w:bookmarkStart w:id="1668" w:name="_Toc522201797"/>
      <w:bookmarkStart w:id="1669" w:name="_Toc418061382"/>
      <w:bookmarkStart w:id="1670" w:name="_Toc418752313"/>
      <w:bookmarkStart w:id="1671" w:name="_Toc373478417"/>
      <w:r>
        <w:rPr>
          <w:rFonts w:hint="eastAsia" w:ascii="宋体" w:cs="宋体"/>
          <w:color w:val="auto"/>
          <w:highlight w:val="none"/>
        </w:rPr>
        <w:t>17.1 不可抗力的确认</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14:paraId="437E03CF">
      <w:pPr>
        <w:pStyle w:val="33"/>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kern w:val="0"/>
          <w:szCs w:val="21"/>
          <w:highlight w:val="none"/>
          <w:u w:val="single"/>
        </w:rPr>
        <w:t>（1）、6级以上地震；（2）、10级以上持续1天的大风；（3）、暴雨级以上持续1天的大雨；（4）、50年以上未发生过，持续2天的高温天气；（5）、50年以上未发生过，持续2天的低温天气；（6）、50年以上未发生过 的洪水；（7）、战争、敌对行动（不论宣战与否）、入侵、外敌行动；（8）、暴乱、骚乱、叛乱、革命、暴动，或军事政变、篡夺政权、内战等；（9）、由于任何有危险性物质所引起的离子辐射或放射性污染；（10）、以音速飞行的飞机或其他飞行装置产生的压力波；（11）、对以上几种形式，应以造成灾害和影响施工为准</w:t>
      </w:r>
      <w:r>
        <w:rPr>
          <w:rFonts w:hint="eastAsia" w:ascii="宋体" w:hAnsi="宋体" w:cs="宋体"/>
          <w:color w:val="auto"/>
          <w:kern w:val="0"/>
          <w:szCs w:val="21"/>
          <w:highlight w:val="none"/>
        </w:rPr>
        <w:t>。</w:t>
      </w:r>
    </w:p>
    <w:p w14:paraId="7885DF88">
      <w:pPr>
        <w:pStyle w:val="31"/>
        <w:spacing w:line="380" w:lineRule="exact"/>
        <w:ind w:firstLine="422" w:firstLineChars="200"/>
        <w:rPr>
          <w:rFonts w:ascii="宋体" w:cs="宋体"/>
          <w:color w:val="auto"/>
          <w:highlight w:val="none"/>
        </w:rPr>
      </w:pPr>
      <w:bookmarkStart w:id="1672" w:name="_Toc373478418"/>
      <w:bookmarkStart w:id="1673" w:name="_Toc418518418"/>
      <w:bookmarkStart w:id="1674" w:name="_Toc403579006"/>
      <w:bookmarkStart w:id="1675" w:name="_Toc256000249"/>
      <w:bookmarkStart w:id="1676" w:name="_Toc497747250"/>
      <w:bookmarkStart w:id="1677" w:name="_Toc373227771"/>
      <w:bookmarkStart w:id="1678" w:name="_Toc497746853"/>
      <w:bookmarkStart w:id="1679" w:name="_Toc418061383"/>
      <w:bookmarkStart w:id="1680" w:name="_Toc418751868"/>
      <w:bookmarkStart w:id="1681" w:name="_Toc389065336"/>
      <w:bookmarkStart w:id="1682" w:name="_Toc522201798"/>
      <w:bookmarkStart w:id="1683" w:name="_Toc418752314"/>
      <w:bookmarkStart w:id="1684" w:name="_Toc418518182"/>
      <w:r>
        <w:rPr>
          <w:rFonts w:hint="eastAsia" w:ascii="宋体" w:cs="宋体"/>
          <w:color w:val="auto"/>
          <w:highlight w:val="none"/>
        </w:rPr>
        <w:t>17.4 因不可抗力解除合同</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1E302C8E">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天内完成款项的支付。</w:t>
      </w:r>
    </w:p>
    <w:p w14:paraId="70A4E4D0">
      <w:pPr>
        <w:pStyle w:val="31"/>
        <w:spacing w:line="380" w:lineRule="exact"/>
        <w:rPr>
          <w:rFonts w:ascii="宋体" w:cs="宋体"/>
          <w:color w:val="auto"/>
          <w:highlight w:val="none"/>
        </w:rPr>
      </w:pPr>
      <w:bookmarkStart w:id="1685" w:name="_Toc497746854"/>
      <w:bookmarkStart w:id="1686" w:name="_Toc418751869"/>
      <w:bookmarkStart w:id="1687" w:name="_Toc418518419"/>
      <w:bookmarkStart w:id="1688" w:name="_Toc418061384"/>
      <w:bookmarkStart w:id="1689" w:name="_Toc403579007"/>
      <w:bookmarkStart w:id="1690" w:name="_Toc522201799"/>
      <w:bookmarkStart w:id="1691" w:name="_Toc389065337"/>
      <w:bookmarkStart w:id="1692" w:name="_Toc351203650"/>
      <w:bookmarkStart w:id="1693" w:name="_Toc373227772"/>
      <w:bookmarkStart w:id="1694" w:name="_Toc373478419"/>
      <w:bookmarkStart w:id="1695" w:name="_Toc418752315"/>
      <w:bookmarkStart w:id="1696" w:name="_Toc256000250"/>
      <w:bookmarkStart w:id="1697" w:name="_Toc418518183"/>
      <w:bookmarkStart w:id="1698" w:name="_Toc497747251"/>
      <w:r>
        <w:rPr>
          <w:rFonts w:hint="eastAsia" w:ascii="宋体" w:cs="宋体"/>
          <w:color w:val="auto"/>
          <w:highlight w:val="none"/>
        </w:rPr>
        <w:t>18. 保险</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bookmarkEnd w:id="1618"/>
    <w:p w14:paraId="38A0BBBC">
      <w:pPr>
        <w:pStyle w:val="31"/>
        <w:spacing w:line="380" w:lineRule="exact"/>
        <w:ind w:firstLine="422" w:firstLineChars="200"/>
        <w:rPr>
          <w:rFonts w:ascii="宋体" w:cs="宋体"/>
          <w:color w:val="auto"/>
          <w:highlight w:val="none"/>
        </w:rPr>
      </w:pPr>
      <w:bookmarkStart w:id="1699" w:name="_Toc497746855"/>
      <w:bookmarkStart w:id="1700" w:name="_Toc373478420"/>
      <w:bookmarkStart w:id="1701" w:name="_Toc373227773"/>
      <w:bookmarkStart w:id="1702" w:name="_Toc418751870"/>
      <w:bookmarkStart w:id="1703" w:name="_Toc389065338"/>
      <w:bookmarkStart w:id="1704" w:name="_Toc403579008"/>
      <w:bookmarkStart w:id="1705" w:name="_Toc497747252"/>
      <w:bookmarkStart w:id="1706" w:name="_Toc522201800"/>
      <w:bookmarkStart w:id="1707" w:name="_Toc418061385"/>
      <w:bookmarkStart w:id="1708" w:name="_Toc418518420"/>
      <w:bookmarkStart w:id="1709" w:name="_Toc418752316"/>
      <w:bookmarkStart w:id="1710" w:name="_Toc418518184"/>
      <w:bookmarkStart w:id="1711" w:name="_Toc256000251"/>
      <w:r>
        <w:rPr>
          <w:rFonts w:hint="eastAsia" w:ascii="宋体" w:cs="宋体"/>
          <w:color w:val="auto"/>
          <w:highlight w:val="none"/>
        </w:rPr>
        <w:t>18.1 工程保险</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14:paraId="4345152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承包人应投保建筑工程一切险并承担与之相关的所有费用</w:t>
      </w:r>
      <w:r>
        <w:rPr>
          <w:rFonts w:hint="eastAsia" w:ascii="宋体" w:hAnsi="宋体" w:cs="宋体"/>
          <w:color w:val="auto"/>
          <w:kern w:val="0"/>
          <w:szCs w:val="21"/>
          <w:highlight w:val="none"/>
        </w:rPr>
        <w:t>。</w:t>
      </w:r>
    </w:p>
    <w:p w14:paraId="7CFC1037">
      <w:pPr>
        <w:pStyle w:val="31"/>
        <w:spacing w:line="380" w:lineRule="exact"/>
        <w:ind w:firstLine="422" w:firstLineChars="200"/>
        <w:rPr>
          <w:rFonts w:ascii="宋体" w:cs="宋体"/>
          <w:color w:val="auto"/>
          <w:highlight w:val="none"/>
        </w:rPr>
      </w:pPr>
      <w:bookmarkStart w:id="1712" w:name="_Toc403579009"/>
      <w:bookmarkStart w:id="1713" w:name="_Toc256000252"/>
      <w:bookmarkStart w:id="1714" w:name="_Toc497747253"/>
      <w:bookmarkStart w:id="1715" w:name="_Toc418518421"/>
      <w:bookmarkStart w:id="1716" w:name="_Toc418752317"/>
      <w:bookmarkStart w:id="1717" w:name="_Toc418518185"/>
      <w:bookmarkStart w:id="1718" w:name="_Toc497746856"/>
      <w:bookmarkStart w:id="1719" w:name="_Toc522201801"/>
      <w:bookmarkStart w:id="1720" w:name="_Toc373478421"/>
      <w:bookmarkStart w:id="1721" w:name="_Toc418751871"/>
      <w:bookmarkStart w:id="1722" w:name="_Toc373227774"/>
      <w:bookmarkStart w:id="1723" w:name="_Toc418061386"/>
      <w:bookmarkStart w:id="1724" w:name="_Toc389065339"/>
      <w:r>
        <w:rPr>
          <w:rFonts w:hint="eastAsia" w:ascii="宋体" w:cs="宋体"/>
          <w:color w:val="auto"/>
          <w:highlight w:val="none"/>
        </w:rPr>
        <w:t>18.3 其他保险</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14:paraId="502C2A3E">
      <w:pPr>
        <w:pStyle w:val="33"/>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hint="eastAsia" w:ascii="宋体" w:hAnsi="宋体" w:cs="宋体"/>
          <w:color w:val="auto"/>
          <w:kern w:val="0"/>
          <w:szCs w:val="21"/>
          <w:highlight w:val="none"/>
          <w:u w:val="single"/>
        </w:rPr>
        <w:t>承包人根据市建协字【2009】3号文必须</w:t>
      </w:r>
      <w:r>
        <w:rPr>
          <w:rFonts w:hint="eastAsia" w:ascii="宋体" w:hAnsi="宋体" w:cs="宋体"/>
          <w:color w:val="auto"/>
          <w:szCs w:val="21"/>
          <w:highlight w:val="none"/>
          <w:u w:val="single"/>
        </w:rPr>
        <w:t>为施工现场从事施工的所有作业人员和管理人员办理意外伤害保险，并支付保险费</w:t>
      </w:r>
      <w:r>
        <w:rPr>
          <w:rFonts w:hint="eastAsia" w:ascii="宋体" w:hAnsi="宋体" w:cs="宋体"/>
          <w:bCs/>
          <w:color w:val="auto"/>
          <w:szCs w:val="21"/>
          <w:highlight w:val="none"/>
        </w:rPr>
        <w:t>。</w:t>
      </w:r>
    </w:p>
    <w:p w14:paraId="5CB9EE0A">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按通用条款执行，无特殊约定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2630EAB">
      <w:pPr>
        <w:pStyle w:val="31"/>
        <w:spacing w:line="380" w:lineRule="exact"/>
        <w:ind w:firstLine="422" w:firstLineChars="200"/>
        <w:rPr>
          <w:rFonts w:ascii="宋体" w:cs="宋体"/>
          <w:color w:val="auto"/>
          <w:highlight w:val="none"/>
        </w:rPr>
      </w:pPr>
      <w:bookmarkStart w:id="1725" w:name="_Toc256000253"/>
      <w:bookmarkStart w:id="1726" w:name="_Toc522201802"/>
      <w:bookmarkStart w:id="1727" w:name="_Toc497746857"/>
      <w:bookmarkStart w:id="1728" w:name="_Toc403579010"/>
      <w:bookmarkStart w:id="1729" w:name="_Toc418751872"/>
      <w:bookmarkStart w:id="1730" w:name="_Toc418518422"/>
      <w:bookmarkStart w:id="1731" w:name="_Toc373478422"/>
      <w:bookmarkStart w:id="1732" w:name="_Toc418061387"/>
      <w:bookmarkStart w:id="1733" w:name="_Toc389065340"/>
      <w:bookmarkStart w:id="1734" w:name="_Toc373227775"/>
      <w:bookmarkStart w:id="1735" w:name="_Toc497747254"/>
      <w:bookmarkStart w:id="1736" w:name="_Toc418752318"/>
      <w:bookmarkStart w:id="1737" w:name="_Toc418518186"/>
      <w:r>
        <w:rPr>
          <w:rFonts w:hint="eastAsia" w:ascii="宋体" w:cs="宋体"/>
          <w:color w:val="auto"/>
          <w:highlight w:val="none"/>
        </w:rPr>
        <w:t>18.7 通知义务</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14:paraId="4333148A">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关于变更保险合同时的通知义务的约定：</w:t>
      </w:r>
      <w:r>
        <w:rPr>
          <w:rFonts w:hint="eastAsia" w:ascii="宋体" w:hAnsi="宋体" w:cs="宋体"/>
          <w:color w:val="auto"/>
          <w:szCs w:val="21"/>
          <w:highlight w:val="none"/>
          <w:u w:val="single"/>
        </w:rPr>
        <w:t xml:space="preserve">  变更应通知当事人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bookmarkEnd w:id="1542"/>
    <w:bookmarkEnd w:id="1543"/>
    <w:bookmarkEnd w:id="1544"/>
    <w:bookmarkEnd w:id="1545"/>
    <w:bookmarkEnd w:id="1546"/>
    <w:bookmarkEnd w:id="1547"/>
    <w:bookmarkEnd w:id="1548"/>
    <w:bookmarkEnd w:id="1549"/>
    <w:bookmarkEnd w:id="1550"/>
    <w:bookmarkEnd w:id="1551"/>
    <w:bookmarkEnd w:id="1552"/>
    <w:bookmarkEnd w:id="1553"/>
    <w:p w14:paraId="555937E1">
      <w:pPr>
        <w:pStyle w:val="31"/>
        <w:spacing w:line="380" w:lineRule="exact"/>
        <w:rPr>
          <w:rFonts w:ascii="宋体" w:cs="宋体"/>
          <w:color w:val="auto"/>
          <w:highlight w:val="none"/>
        </w:rPr>
      </w:pPr>
      <w:bookmarkStart w:id="1738" w:name="_Toc351203651"/>
      <w:bookmarkStart w:id="1739" w:name="_Toc418518423"/>
      <w:bookmarkStart w:id="1740" w:name="_Toc256000254"/>
      <w:bookmarkStart w:id="1741" w:name="_Toc418752319"/>
      <w:bookmarkStart w:id="1742" w:name="_Toc373478423"/>
      <w:bookmarkStart w:id="1743" w:name="_Toc497747255"/>
      <w:bookmarkStart w:id="1744" w:name="_Toc418751873"/>
      <w:bookmarkStart w:id="1745" w:name="_Toc522201803"/>
      <w:bookmarkStart w:id="1746" w:name="_Toc373227776"/>
      <w:bookmarkStart w:id="1747" w:name="_Toc389065341"/>
      <w:bookmarkStart w:id="1748" w:name="_Toc403579011"/>
      <w:bookmarkStart w:id="1749" w:name="_Toc418061388"/>
      <w:bookmarkStart w:id="1750" w:name="_Toc418518187"/>
      <w:bookmarkStart w:id="1751" w:name="_Toc497746858"/>
      <w:r>
        <w:rPr>
          <w:rFonts w:hint="eastAsia" w:ascii="宋体" w:cs="宋体"/>
          <w:color w:val="auto"/>
          <w:highlight w:val="none"/>
        </w:rPr>
        <w:t>20. 争议解决</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bookmarkEnd w:id="1554"/>
    <w:bookmarkEnd w:id="1555"/>
    <w:p w14:paraId="20ED5CCC">
      <w:pPr>
        <w:pStyle w:val="31"/>
        <w:spacing w:line="380" w:lineRule="exact"/>
        <w:ind w:firstLine="422" w:firstLineChars="200"/>
        <w:rPr>
          <w:rFonts w:ascii="宋体" w:cs="宋体"/>
          <w:color w:val="auto"/>
          <w:highlight w:val="none"/>
        </w:rPr>
      </w:pPr>
      <w:bookmarkStart w:id="1752" w:name="_Toc418061389"/>
      <w:bookmarkStart w:id="1753" w:name="_Toc522201804"/>
      <w:bookmarkStart w:id="1754" w:name="_Toc373478424"/>
      <w:bookmarkStart w:id="1755" w:name="_Toc373227777"/>
      <w:bookmarkStart w:id="1756" w:name="_Toc497746859"/>
      <w:bookmarkStart w:id="1757" w:name="_Toc256000255"/>
      <w:bookmarkStart w:id="1758" w:name="_Toc497747256"/>
      <w:bookmarkStart w:id="1759" w:name="_Toc418752320"/>
      <w:bookmarkStart w:id="1760" w:name="_Toc418751874"/>
      <w:bookmarkStart w:id="1761" w:name="_Toc418518188"/>
      <w:bookmarkStart w:id="1762" w:name="_Toc403579012"/>
      <w:bookmarkStart w:id="1763" w:name="_Toc389065342"/>
      <w:bookmarkStart w:id="1764" w:name="_Toc418518424"/>
      <w:r>
        <w:rPr>
          <w:rFonts w:hint="eastAsia" w:ascii="宋体" w:cs="宋体"/>
          <w:color w:val="auto"/>
          <w:highlight w:val="none"/>
        </w:rPr>
        <w:t>20.3 争</w:t>
      </w:r>
      <w:bookmarkEnd w:id="1556"/>
      <w:r>
        <w:rPr>
          <w:rFonts w:hint="eastAsia" w:ascii="宋体" w:cs="宋体"/>
          <w:color w:val="auto"/>
          <w:highlight w:val="none"/>
        </w:rPr>
        <w:t>议评审</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3D1E9290">
      <w:pPr>
        <w:pStyle w:val="33"/>
        <w:spacing w:line="380" w:lineRule="exact"/>
        <w:ind w:left="149" w:leftChars="71" w:firstLine="315" w:firstLineChars="150"/>
        <w:jc w:val="left"/>
        <w:rPr>
          <w:rFonts w:ascii="宋体" w:hAnsi="宋体" w:cs="宋体"/>
          <w:color w:val="auto"/>
          <w:szCs w:val="21"/>
          <w:highlight w:val="none"/>
          <w:u w:val="singl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不同意  </w:t>
      </w:r>
      <w:r>
        <w:rPr>
          <w:rFonts w:hint="eastAsia" w:ascii="宋体" w:hAnsi="宋体" w:cs="宋体"/>
          <w:color w:val="auto"/>
          <w:szCs w:val="21"/>
          <w:highlight w:val="none"/>
        </w:rPr>
        <w:t>。</w:t>
      </w:r>
    </w:p>
    <w:p w14:paraId="71D6B10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3888BF62">
      <w:pPr>
        <w:pStyle w:val="33"/>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18615C5">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1F4644A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FAC3C81">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3C8D590">
      <w:pPr>
        <w:pStyle w:val="33"/>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20.3.2 争议评审小组的决定</w:t>
      </w:r>
    </w:p>
    <w:p w14:paraId="39B991A6">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2E275E7">
      <w:pPr>
        <w:pStyle w:val="31"/>
        <w:spacing w:line="380" w:lineRule="exact"/>
        <w:ind w:firstLine="422" w:firstLineChars="200"/>
        <w:rPr>
          <w:rFonts w:ascii="宋体" w:cs="宋体"/>
          <w:color w:val="auto"/>
          <w:highlight w:val="none"/>
        </w:rPr>
      </w:pPr>
      <w:bookmarkStart w:id="1765" w:name="_Toc418752321"/>
      <w:bookmarkStart w:id="1766" w:name="_Toc418518425"/>
      <w:bookmarkStart w:id="1767" w:name="_Toc256000256"/>
      <w:bookmarkStart w:id="1768" w:name="_Toc403579013"/>
      <w:bookmarkStart w:id="1769" w:name="_Toc418751875"/>
      <w:bookmarkStart w:id="1770" w:name="_Toc389065343"/>
      <w:bookmarkStart w:id="1771" w:name="_Toc418518189"/>
      <w:bookmarkStart w:id="1772" w:name="_Toc522201805"/>
      <w:bookmarkStart w:id="1773" w:name="_Toc418061390"/>
      <w:bookmarkStart w:id="1774" w:name="_Toc373227778"/>
      <w:bookmarkStart w:id="1775" w:name="_Toc373478425"/>
      <w:bookmarkStart w:id="1776" w:name="_Toc497746860"/>
      <w:bookmarkStart w:id="1777" w:name="_Toc497747257"/>
      <w:r>
        <w:rPr>
          <w:rFonts w:hint="eastAsia" w:ascii="宋体" w:cs="宋体"/>
          <w:color w:val="auto"/>
          <w:highlight w:val="none"/>
        </w:rPr>
        <w:t>20.4 仲裁或诉讼</w:t>
      </w:r>
      <w:bookmarkEnd w:id="1557"/>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16CAA427">
      <w:pPr>
        <w:pStyle w:val="33"/>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16999DE7">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仲裁委员会按照该会仲裁规则进行仲裁，仲裁裁决是终局的，对合同双方均有约束力。</w:t>
      </w:r>
    </w:p>
    <w:p w14:paraId="6131A934">
      <w:pPr>
        <w:pStyle w:val="33"/>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桂林市本工程辖区内     </w:t>
      </w:r>
      <w:r>
        <w:rPr>
          <w:rFonts w:hint="eastAsia" w:ascii="宋体" w:hAnsi="宋体" w:cs="宋体"/>
          <w:color w:val="auto"/>
          <w:szCs w:val="21"/>
          <w:highlight w:val="none"/>
        </w:rPr>
        <w:t>人民法院起诉。</w:t>
      </w:r>
      <w:bookmarkEnd w:id="1558"/>
      <w:bookmarkEnd w:id="1559"/>
      <w:bookmarkEnd w:id="1560"/>
      <w:bookmarkEnd w:id="1561"/>
      <w:bookmarkEnd w:id="1562"/>
      <w:bookmarkEnd w:id="1563"/>
    </w:p>
    <w:p w14:paraId="5CF6303D">
      <w:pPr>
        <w:pStyle w:val="31"/>
        <w:spacing w:line="380" w:lineRule="exact"/>
        <w:rPr>
          <w:rFonts w:ascii="宋体" w:cs="宋体"/>
          <w:color w:val="auto"/>
          <w:highlight w:val="none"/>
        </w:rPr>
      </w:pPr>
      <w:bookmarkStart w:id="1778" w:name="_Toc497746861"/>
      <w:bookmarkStart w:id="1779" w:name="_Toc389065344"/>
      <w:bookmarkStart w:id="1780" w:name="_Toc373478426"/>
      <w:bookmarkStart w:id="1781" w:name="_Toc256000257"/>
      <w:bookmarkStart w:id="1782" w:name="_Toc497747258"/>
      <w:bookmarkStart w:id="1783" w:name="_Toc395382582"/>
      <w:bookmarkStart w:id="1784" w:name="_Toc373227779"/>
      <w:bookmarkStart w:id="1785" w:name="_Toc522201806"/>
      <w:r>
        <w:rPr>
          <w:rFonts w:hint="eastAsia" w:ascii="宋体" w:cs="宋体"/>
          <w:color w:val="auto"/>
          <w:highlight w:val="none"/>
        </w:rPr>
        <w:t>21. 补充条款</w:t>
      </w:r>
      <w:bookmarkEnd w:id="1778"/>
      <w:bookmarkEnd w:id="1779"/>
      <w:bookmarkEnd w:id="1780"/>
      <w:bookmarkEnd w:id="1781"/>
      <w:bookmarkEnd w:id="1782"/>
      <w:bookmarkEnd w:id="1783"/>
      <w:bookmarkEnd w:id="1784"/>
      <w:bookmarkEnd w:id="1785"/>
    </w:p>
    <w:p w14:paraId="0AD1ED9C">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 根据桂劳社[2003]150 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2F3D9904">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23A104F1">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21.3 赶工费、夜间施工费由投标人结合自身企业的实际情况及对施工现场的考察、提供的图纸等各方面的资料自行报价，并包干使用，今后不作任何调整和签证。</w:t>
      </w:r>
    </w:p>
    <w:p w14:paraId="701DA5DE">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21.4 根据《建设工程质量检测管理办法》（建设部令第 141 号）以及《广西壮族自治区建设工程质量检测管理规定》（桂建管〔2013〕11 号）规定，工程质量检测业务由招标人委托有相应资质的检测机构检测。费用从招标人的项目建设经费中支出并直接支付给检测机构，不计入合同价款内。 </w:t>
      </w:r>
    </w:p>
    <w:p w14:paraId="629BC92B">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21.6 发包人需要</w:t>
      </w:r>
      <w:r>
        <w:rPr>
          <w:rFonts w:hint="eastAsia" w:ascii="宋体" w:hAnsi="宋体" w:cs="宋体"/>
          <w:strike w:val="0"/>
          <w:dstrike w:val="0"/>
          <w:color w:val="auto"/>
          <w:kern w:val="0"/>
          <w:szCs w:val="21"/>
          <w:highlight w:val="none"/>
        </w:rPr>
        <w:t>持散装水泥、</w:t>
      </w:r>
      <w:r>
        <w:rPr>
          <w:rFonts w:hint="eastAsia" w:ascii="宋体" w:hAnsi="宋体" w:cs="宋体"/>
          <w:color w:val="auto"/>
          <w:kern w:val="0"/>
          <w:szCs w:val="21"/>
          <w:highlight w:val="none"/>
        </w:rPr>
        <w:t xml:space="preserve">多孔砖、砼砌块的材料发票原件到政府有关部门办理退款手续，承包人必须及时提供。否则，发包人有权按政府有关部门收缴标准及数额在承包人工程款中扣罚。 </w:t>
      </w:r>
    </w:p>
    <w:p w14:paraId="0773883C">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21.7 由于承包人不能按时提供属承包人应提供的文件导致发包人不能及时办理施工许可证，所有造成的后果由承包人承担责任。造成发包人损失的，承包人应赔偿发包人损失。 </w:t>
      </w:r>
    </w:p>
    <w:p w14:paraId="6CB9CFA4">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21.8 已完工程成品保护的特殊要求及费用承担： 已竣工工程未交付发包人之前，承包人负责已完工程的成品保护工作，保护期间发生损坏，承包人自费予以修复。工程已交付发包人或发包人提前使用后的损坏及所需的修理费用、 工程成品毁损的风险， 由发包人承担。 若发包人要求承包人采取特殊措施保护的，由发包人就保护的工程部位和相应的追加合同价款另外进行协商。 </w:t>
      </w:r>
    </w:p>
    <w:p w14:paraId="28291B00">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21.9 材料严格保证质量，相同类型材料质量应一致，若发现有材料以次品冒充，则该部分所有材料均按次品处理且须重新更换合格材料才能使用。 </w:t>
      </w:r>
    </w:p>
    <w:p w14:paraId="6F4B9D67">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32FB7B2D">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21.11 承包人有以下情形之一者，视为违约，发包人有权依法解除合同，没收其全部履约保证金，承包人还应承担相应的法律责任。  </w:t>
      </w:r>
    </w:p>
    <w:p w14:paraId="7589236B">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① 经有关建设主管部门鉴定确认，承包人有挂靠行为。 </w:t>
      </w:r>
    </w:p>
    <w:p w14:paraId="5A483C1F">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转包工程，以牟取转让费、管理费。  </w:t>
      </w:r>
    </w:p>
    <w:p w14:paraId="02844A5D">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③ 自签订合同之日起 15 日内，因承包人责任无法组织合同规定的人员、机械进场或进场人员机械与合同严重不符。 </w:t>
      </w:r>
    </w:p>
    <w:p w14:paraId="3C52D244">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21.12 工程竣工验收通过后 14 天之内，承包人必须将临时工棚、建筑垃圾等全部清理出现场，否则从第15天起，每天处以1000元罚款且不办理结算。</w:t>
      </w:r>
    </w:p>
    <w:p w14:paraId="6D97CD1D">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21.13 凡进入本工程工作的妇女应持有计生证、否则不准安排工作，禁止使用童工。</w:t>
      </w:r>
    </w:p>
    <w:bookmarkEnd w:id="245"/>
    <w:p w14:paraId="78CD2C48">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21.14 如因政策性原因或者项目暂时（或永久）取消导致开工延误或无法开工，发包人不支付承包人任何赔偿或补偿，并可根据政策要求或项目情况延时开工或取消部分合同内容。</w:t>
      </w:r>
    </w:p>
    <w:p w14:paraId="65F2E195">
      <w:pPr>
        <w:pStyle w:val="33"/>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21.15 承包人应自行协调与施工现场周边及村民的关系，确保项目施工顺利进行。发包人不再支付承包人因协调施工现场周边及村民关系而发生的任何费用。如因征地拆迁造成的问题由由发包人负责牵头解决。</w:t>
      </w:r>
    </w:p>
    <w:p w14:paraId="0F6E308C">
      <w:pPr>
        <w:pStyle w:val="34"/>
        <w:ind w:left="63" w:right="63"/>
        <w:rPr>
          <w:color w:val="auto"/>
          <w:highlight w:val="none"/>
        </w:rPr>
      </w:pPr>
    </w:p>
    <w:p w14:paraId="7023BD82">
      <w:pPr>
        <w:pStyle w:val="34"/>
        <w:ind w:left="63" w:right="63"/>
        <w:rPr>
          <w:color w:val="auto"/>
          <w:highlight w:val="none"/>
        </w:rPr>
      </w:pPr>
    </w:p>
    <w:p w14:paraId="0F95A6D8">
      <w:pPr>
        <w:pStyle w:val="34"/>
        <w:ind w:left="63" w:right="63"/>
        <w:rPr>
          <w:color w:val="auto"/>
          <w:highlight w:val="none"/>
        </w:rPr>
      </w:pPr>
    </w:p>
    <w:p w14:paraId="7FEB26C6">
      <w:pPr>
        <w:pStyle w:val="34"/>
        <w:ind w:left="63" w:right="63"/>
        <w:rPr>
          <w:color w:val="auto"/>
          <w:highlight w:val="none"/>
        </w:rPr>
      </w:pPr>
    </w:p>
    <w:p w14:paraId="67CA826E">
      <w:pPr>
        <w:pStyle w:val="34"/>
        <w:ind w:left="63" w:right="63"/>
        <w:rPr>
          <w:color w:val="auto"/>
          <w:highlight w:val="none"/>
        </w:rPr>
      </w:pPr>
    </w:p>
    <w:p w14:paraId="613F2267">
      <w:pPr>
        <w:pStyle w:val="34"/>
        <w:ind w:left="63" w:right="63"/>
        <w:rPr>
          <w:color w:val="auto"/>
          <w:highlight w:val="none"/>
        </w:rPr>
      </w:pPr>
    </w:p>
    <w:p w14:paraId="3B95D980">
      <w:pPr>
        <w:pStyle w:val="34"/>
        <w:ind w:left="63" w:right="63"/>
        <w:rPr>
          <w:color w:val="auto"/>
          <w:highlight w:val="none"/>
        </w:rPr>
      </w:pPr>
    </w:p>
    <w:p w14:paraId="28202EA1">
      <w:pPr>
        <w:pStyle w:val="34"/>
        <w:ind w:left="63" w:right="63"/>
        <w:rPr>
          <w:color w:val="auto"/>
          <w:highlight w:val="none"/>
        </w:rPr>
      </w:pPr>
    </w:p>
    <w:p w14:paraId="2111229A">
      <w:pPr>
        <w:pStyle w:val="34"/>
        <w:ind w:left="63" w:right="63"/>
        <w:rPr>
          <w:color w:val="auto"/>
          <w:highlight w:val="none"/>
        </w:rPr>
      </w:pPr>
    </w:p>
    <w:p w14:paraId="1096A910">
      <w:pPr>
        <w:pStyle w:val="34"/>
        <w:ind w:left="63" w:right="63"/>
        <w:rPr>
          <w:color w:val="auto"/>
          <w:highlight w:val="none"/>
        </w:rPr>
      </w:pPr>
    </w:p>
    <w:p w14:paraId="51154361">
      <w:pPr>
        <w:pStyle w:val="34"/>
        <w:ind w:left="63" w:right="63"/>
        <w:rPr>
          <w:color w:val="auto"/>
          <w:highlight w:val="none"/>
        </w:rPr>
      </w:pPr>
    </w:p>
    <w:p w14:paraId="3F0ED790">
      <w:pPr>
        <w:pStyle w:val="34"/>
        <w:ind w:left="63" w:right="63"/>
        <w:rPr>
          <w:color w:val="auto"/>
          <w:highlight w:val="none"/>
        </w:rPr>
      </w:pPr>
    </w:p>
    <w:p w14:paraId="24712A7C">
      <w:pPr>
        <w:pStyle w:val="34"/>
        <w:ind w:left="63" w:right="63"/>
        <w:rPr>
          <w:color w:val="auto"/>
          <w:highlight w:val="none"/>
        </w:rPr>
      </w:pPr>
    </w:p>
    <w:p w14:paraId="48691B35">
      <w:pPr>
        <w:pStyle w:val="38"/>
        <w:tabs>
          <w:tab w:val="left" w:pos="0"/>
        </w:tabs>
        <w:spacing w:line="276" w:lineRule="auto"/>
        <w:ind w:firstLine="0" w:firstLineChars="0"/>
        <w:rPr>
          <w:color w:val="auto"/>
          <w:sz w:val="30"/>
          <w:szCs w:val="30"/>
          <w:highlight w:val="none"/>
        </w:rPr>
      </w:pPr>
      <w:r>
        <w:rPr>
          <w:color w:val="auto"/>
          <w:sz w:val="30"/>
          <w:szCs w:val="30"/>
          <w:highlight w:val="none"/>
        </w:rPr>
        <w:t xml:space="preserve">附件：    </w:t>
      </w:r>
    </w:p>
    <w:p w14:paraId="7D582965">
      <w:pPr>
        <w:pStyle w:val="33"/>
        <w:jc w:val="center"/>
        <w:rPr>
          <w:rFonts w:ascii="宋体" w:hAnsi="宋体"/>
          <w:color w:val="auto"/>
          <w:sz w:val="28"/>
          <w:szCs w:val="28"/>
          <w:highlight w:val="none"/>
        </w:rPr>
      </w:pPr>
      <w:r>
        <w:rPr>
          <w:rFonts w:ascii="宋体" w:hAnsi="宋体"/>
          <w:color w:val="auto"/>
          <w:sz w:val="28"/>
          <w:szCs w:val="28"/>
          <w:highlight w:val="none"/>
        </w:rPr>
        <w:t>工程质量保修书</w:t>
      </w:r>
    </w:p>
    <w:p w14:paraId="1202871D">
      <w:pPr>
        <w:pStyle w:val="38"/>
        <w:spacing w:line="320" w:lineRule="exact"/>
        <w:ind w:firstLine="0" w:firstLineChars="0"/>
        <w:rPr>
          <w:rFonts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78D81612">
      <w:pPr>
        <w:pStyle w:val="38"/>
        <w:spacing w:line="320" w:lineRule="exact"/>
        <w:ind w:firstLine="0" w:firstLineChars="0"/>
        <w:rPr>
          <w:rFonts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6F900C3E">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b/>
          <w:bCs/>
          <w:color w:val="auto"/>
          <w:szCs w:val="21"/>
          <w:highlight w:val="none"/>
          <w:u w:val="single"/>
          <w:lang w:eastAsia="zh-CN"/>
        </w:rPr>
        <w:t>工程</w:t>
      </w:r>
      <w:r>
        <w:rPr>
          <w:rFonts w:hint="eastAsia" w:ascii="宋体" w:hAnsi="宋体" w:cs="宋体"/>
          <w:color w:val="auto"/>
          <w:szCs w:val="21"/>
          <w:highlight w:val="none"/>
        </w:rPr>
        <w:t>在合理使用期限内正常使用，经发包人、承包人协商一致签订本工程质量保修书。承包人在质量保修期内按照有关管理规定及双方约定承担工程质量保修责任。</w:t>
      </w:r>
    </w:p>
    <w:p w14:paraId="7CA34A68">
      <w:pPr>
        <w:pStyle w:val="41"/>
        <w:spacing w:line="400" w:lineRule="exact"/>
        <w:ind w:firstLine="420" w:firstLineChars="200"/>
        <w:outlineLvl w:val="0"/>
        <w:rPr>
          <w:rFonts w:ascii="宋体" w:hAnsi="宋体" w:cs="宋体"/>
          <w:color w:val="auto"/>
          <w:szCs w:val="21"/>
          <w:highlight w:val="none"/>
        </w:rPr>
      </w:pPr>
      <w:bookmarkStart w:id="1786" w:name="_Toc522201808"/>
      <w:r>
        <w:rPr>
          <w:rFonts w:hint="eastAsia" w:ascii="宋体" w:hAnsi="宋体" w:cs="宋体"/>
          <w:color w:val="auto"/>
          <w:szCs w:val="21"/>
          <w:highlight w:val="none"/>
        </w:rPr>
        <w:t>一、工程保修范围和内容</w:t>
      </w:r>
      <w:bookmarkEnd w:id="1786"/>
    </w:p>
    <w:p w14:paraId="5C197F27">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质量保修范围为施工图纸所包括的工程内容</w:t>
      </w:r>
      <w:r>
        <w:rPr>
          <w:rFonts w:hint="eastAsia" w:ascii="宋体" w:hAnsi="宋体" w:cs="宋体"/>
          <w:color w:val="auto"/>
          <w:highlight w:val="none"/>
          <w:lang w:eastAsia="zh-CN"/>
        </w:rPr>
        <w:t>，</w:t>
      </w:r>
      <w:r>
        <w:rPr>
          <w:rFonts w:hint="eastAsia" w:ascii="宋体" w:hAnsi="宋体" w:cs="宋体"/>
          <w:color w:val="auto"/>
          <w:szCs w:val="21"/>
          <w:highlight w:val="none"/>
        </w:rPr>
        <w:t>具体质量保修内容双方约定如下：</w:t>
      </w:r>
      <w:r>
        <w:rPr>
          <w:rFonts w:hint="eastAsia" w:ascii="宋体" w:hAnsi="宋体" w:cs="宋体"/>
          <w:color w:val="auto"/>
          <w:szCs w:val="21"/>
          <w:highlight w:val="none"/>
          <w:u w:val="single"/>
        </w:rPr>
        <w:t xml:space="preserve"> 承包方所承包施工的全部工程内容 </w:t>
      </w:r>
      <w:r>
        <w:rPr>
          <w:rFonts w:hint="eastAsia" w:ascii="宋体" w:hAnsi="宋体" w:cs="宋体"/>
          <w:color w:val="auto"/>
          <w:szCs w:val="21"/>
          <w:highlight w:val="none"/>
        </w:rPr>
        <w:t>。</w:t>
      </w:r>
    </w:p>
    <w:p w14:paraId="417E51B7">
      <w:pPr>
        <w:pStyle w:val="41"/>
        <w:spacing w:line="400" w:lineRule="exact"/>
        <w:ind w:firstLine="420" w:firstLineChars="200"/>
        <w:outlineLvl w:val="0"/>
        <w:rPr>
          <w:rFonts w:ascii="宋体" w:hAnsi="宋体" w:cs="宋体"/>
          <w:color w:val="auto"/>
          <w:szCs w:val="21"/>
          <w:highlight w:val="none"/>
        </w:rPr>
      </w:pPr>
      <w:bookmarkStart w:id="1787" w:name="_Toc522201809"/>
      <w:r>
        <w:rPr>
          <w:rFonts w:hint="eastAsia" w:ascii="宋体" w:hAnsi="宋体" w:cs="宋体"/>
          <w:color w:val="auto"/>
          <w:szCs w:val="21"/>
          <w:highlight w:val="none"/>
        </w:rPr>
        <w:t>二、</w:t>
      </w:r>
      <w:r>
        <w:rPr>
          <w:rFonts w:hint="eastAsia" w:ascii="宋体" w:hAnsi="宋体" w:cs="宋体"/>
          <w:color w:val="auto"/>
          <w:szCs w:val="21"/>
          <w:highlight w:val="none"/>
          <w:lang w:eastAsia="zh-CN"/>
        </w:rPr>
        <w:t>质量</w:t>
      </w:r>
      <w:r>
        <w:rPr>
          <w:rFonts w:hint="eastAsia" w:ascii="宋体" w:hAnsi="宋体" w:cs="宋体"/>
          <w:color w:val="auto"/>
          <w:szCs w:val="21"/>
          <w:highlight w:val="none"/>
        </w:rPr>
        <w:t>保修期</w:t>
      </w:r>
      <w:bookmarkEnd w:id="1787"/>
    </w:p>
    <w:p w14:paraId="1D65232F">
      <w:pPr>
        <w:pStyle w:val="42"/>
        <w:spacing w:line="360" w:lineRule="auto"/>
        <w:ind w:firstLine="540"/>
        <w:rPr>
          <w:rFonts w:hint="eastAsia" w:ascii="宋体" w:hAnsi="宋体" w:cs="宋体"/>
          <w:color w:val="auto"/>
          <w:highlight w:val="none"/>
        </w:rPr>
      </w:pPr>
      <w:r>
        <w:rPr>
          <w:rFonts w:hint="eastAsia" w:ascii="宋体" w:hAnsi="宋体" w:cs="宋体"/>
          <w:color w:val="auto"/>
          <w:highlight w:val="none"/>
        </w:rPr>
        <w:t>质量保修期从工程实际竣工验收通过之日算起。分单项竣工验收的工程，按单项工程分别计算质量保修期。</w:t>
      </w:r>
    </w:p>
    <w:p w14:paraId="6DBED11A">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25D79DD2">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1．桥梁工程为 桥梁隧道主体结构工程为设计文件规定的合理使用年限 （建议桥梁隧道主体结构工程为设计文件规定的合理使用年限）；</w:t>
      </w:r>
    </w:p>
    <w:p w14:paraId="7C7438C1">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2．道路工程为  2 年（建议路基、路面、桥面为2年）；</w:t>
      </w:r>
    </w:p>
    <w:p w14:paraId="4ABB8D55">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3．排水（雨水）工程为 3 年（建议道路工程中的排水工程为3年）；</w:t>
      </w:r>
    </w:p>
    <w:p w14:paraId="1E00EE4E">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4．绿化工程为 单位工程竣工验收合格后1年；</w:t>
      </w:r>
    </w:p>
    <w:p w14:paraId="22D4A000">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 地下防水工程为  5  年（建议为5年）；</w:t>
      </w:r>
    </w:p>
    <w:p w14:paraId="0AFB8CF3">
      <w:pPr>
        <w:pStyle w:val="33"/>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6．其他附属工程为  2  年；</w:t>
      </w:r>
    </w:p>
    <w:p w14:paraId="1DF78C4F">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 xml:space="preserve"> 本工程其余项目质保期均为两年，质量保修规范如国家有新规定，则按新规定执行 </w:t>
      </w:r>
      <w:r>
        <w:rPr>
          <w:rFonts w:hint="eastAsia" w:ascii="宋体" w:hAnsi="宋体" w:cs="宋体"/>
          <w:color w:val="auto"/>
          <w:szCs w:val="21"/>
          <w:highlight w:val="none"/>
        </w:rPr>
        <w:t>。</w:t>
      </w:r>
    </w:p>
    <w:p w14:paraId="7B2B751E">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质量保修期自工程竣工验收合格之日起计算。 </w:t>
      </w:r>
    </w:p>
    <w:p w14:paraId="55BC6D8A">
      <w:pPr>
        <w:pStyle w:val="41"/>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三、缺陷责任期</w:t>
      </w:r>
    </w:p>
    <w:p w14:paraId="46DACCAB">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70F0C476">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60D279C6">
      <w:pPr>
        <w:pStyle w:val="41"/>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四、质量保修责任</w:t>
      </w:r>
    </w:p>
    <w:p w14:paraId="7FAFD883">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天内派人保修。承包人不在约定期限内派人保修的，发包人可以委托他人修理，修理费用从</w:t>
      </w:r>
      <w:r>
        <w:rPr>
          <w:rFonts w:hint="eastAsia" w:ascii="宋体" w:hAnsi="宋体" w:cs="宋体"/>
          <w:color w:val="auto"/>
          <w:szCs w:val="21"/>
          <w:highlight w:val="none"/>
          <w:lang w:eastAsia="zh-CN"/>
        </w:rPr>
        <w:t>质量保证金</w:t>
      </w:r>
      <w:r>
        <w:rPr>
          <w:rFonts w:hint="eastAsia" w:ascii="宋体" w:hAnsi="宋体" w:cs="宋体"/>
          <w:color w:val="auto"/>
          <w:szCs w:val="21"/>
          <w:highlight w:val="none"/>
        </w:rPr>
        <w:t>内扣除。</w:t>
      </w:r>
    </w:p>
    <w:p w14:paraId="757CC592">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4C3FFA01">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02ACE77">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767A5207">
      <w:pPr>
        <w:pStyle w:val="41"/>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五、保修费用</w:t>
      </w:r>
    </w:p>
    <w:p w14:paraId="16C0E4BB">
      <w:pPr>
        <w:pStyle w:val="33"/>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0EF0D2A0">
      <w:pPr>
        <w:pStyle w:val="38"/>
        <w:numPr>
          <w:ilvl w:val="0"/>
          <w:numId w:val="8"/>
        </w:numPr>
        <w:spacing w:line="400" w:lineRule="exact"/>
        <w:rPr>
          <w:rFonts w:ascii="宋体" w:hAnsi="宋体" w:cs="宋体"/>
          <w:color w:val="auto"/>
          <w:highlight w:val="none"/>
          <w:u w:val="single"/>
        </w:rPr>
      </w:pPr>
      <w:r>
        <w:rPr>
          <w:rFonts w:hint="eastAsia" w:ascii="宋体" w:hAnsi="宋体" w:cs="宋体"/>
          <w:color w:val="auto"/>
          <w:highlight w:val="none"/>
        </w:rPr>
        <w:t xml:space="preserve">双方约定的其他工程质量保修事项：  1. </w:t>
      </w:r>
      <w:r>
        <w:rPr>
          <w:rFonts w:hint="eastAsia" w:ascii="宋体" w:hAnsi="宋体" w:cs="宋体"/>
          <w:color w:val="auto"/>
          <w:highlight w:val="none"/>
          <w:u w:val="single"/>
        </w:rPr>
        <w:t>承包人未按照法律法规有关规定和合同约定履行质量保修义务的，发包人有权从质量保证金中扣留用于质量保修的各项支出。</w:t>
      </w:r>
    </w:p>
    <w:p w14:paraId="787191FC">
      <w:pPr>
        <w:pStyle w:val="38"/>
        <w:numPr>
          <w:ilvl w:val="0"/>
          <w:numId w:val="9"/>
        </w:numPr>
        <w:spacing w:line="400" w:lineRule="exact"/>
        <w:rPr>
          <w:rFonts w:ascii="宋体" w:hAnsi="宋体" w:cs="宋体"/>
          <w:color w:val="auto"/>
          <w:highlight w:val="none"/>
          <w:u w:val="singl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比例：工程结算价的</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w:t>
      </w:r>
    </w:p>
    <w:p w14:paraId="677EBC55">
      <w:pPr>
        <w:pStyle w:val="38"/>
        <w:numPr>
          <w:ilvl w:val="0"/>
          <w:numId w:val="9"/>
        </w:numPr>
        <w:spacing w:line="400" w:lineRule="exact"/>
        <w:rPr>
          <w:rFonts w:ascii="宋体" w:hAnsi="宋体" w:cs="宋体"/>
          <w:color w:val="auto"/>
          <w:highlight w:val="non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返还：发包人在工程竣工验收合格之日起满两年后14天内将保修金（无息）的返回给承包人，</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 xml:space="preserve">的返还，并不能免除承包人按照合同约定应承担的质量保修责任和应履行的质量保修义务  </w:t>
      </w:r>
      <w:r>
        <w:rPr>
          <w:rFonts w:hint="eastAsia" w:ascii="宋体" w:hAnsi="宋体" w:cs="宋体"/>
          <w:color w:val="auto"/>
          <w:highlight w:val="none"/>
        </w:rPr>
        <w:t>。</w:t>
      </w:r>
    </w:p>
    <w:p w14:paraId="72C8915E">
      <w:pPr>
        <w:pStyle w:val="33"/>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39700FD9">
      <w:pPr>
        <w:pStyle w:val="33"/>
        <w:spacing w:line="320" w:lineRule="exact"/>
        <w:ind w:firstLine="420" w:firstLineChars="200"/>
        <w:rPr>
          <w:rFonts w:ascii="宋体" w:hAnsi="宋体" w:cs="宋体"/>
          <w:color w:val="auto"/>
          <w:szCs w:val="21"/>
          <w:highlight w:val="none"/>
        </w:rPr>
      </w:pPr>
    </w:p>
    <w:p w14:paraId="754126F4">
      <w:pPr>
        <w:pStyle w:val="34"/>
        <w:ind w:left="63" w:right="63"/>
        <w:rPr>
          <w:rFonts w:hint="eastAsia"/>
          <w:color w:val="auto"/>
          <w:highlight w:val="none"/>
          <w:lang w:val="en-US" w:eastAsia="zh-CN"/>
        </w:rPr>
      </w:pPr>
    </w:p>
    <w:p w14:paraId="0BFC5C54">
      <w:pPr>
        <w:pStyle w:val="38"/>
        <w:spacing w:line="320" w:lineRule="exact"/>
        <w:ind w:left="0" w:leftChars="0" w:firstLine="0" w:firstLineChars="0"/>
        <w:rPr>
          <w:rFonts w:hint="default" w:ascii="宋体" w:hAnsi="宋体" w:eastAsia="宋体" w:cs="宋体"/>
          <w:color w:val="auto"/>
          <w:highlight w:val="none"/>
          <w:u w:val="single"/>
          <w:lang w:val="en-US" w:eastAsia="zh-CN"/>
        </w:rPr>
      </w:pPr>
      <w:r>
        <w:rPr>
          <w:rFonts w:hint="eastAsia" w:ascii="宋体" w:hAnsi="宋体" w:cs="宋体"/>
          <w:color w:val="auto"/>
          <w:highlight w:val="none"/>
        </w:rPr>
        <w:t>发包人(公章)：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rPr>
        <w:t>承包人(公章)：</w:t>
      </w:r>
      <w:r>
        <w:rPr>
          <w:rFonts w:hint="eastAsia" w:ascii="宋体" w:hAnsi="宋体" w:cs="宋体"/>
          <w:color w:val="auto"/>
          <w:highlight w:val="none"/>
          <w:u w:val="single"/>
          <w:lang w:val="en-US" w:eastAsia="zh-CN"/>
        </w:rPr>
        <w:t xml:space="preserve">  </w:t>
      </w:r>
    </w:p>
    <w:p w14:paraId="22F7A5F0">
      <w:pPr>
        <w:pStyle w:val="38"/>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 xml:space="preserve"> </w:t>
      </w:r>
    </w:p>
    <w:p w14:paraId="6E4DC2D5">
      <w:pPr>
        <w:pStyle w:val="38"/>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 xml:space="preserve">地  址：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地  址：</w:t>
      </w:r>
      <w:r>
        <w:rPr>
          <w:rFonts w:hint="eastAsia" w:ascii="宋体" w:hAnsi="宋体"/>
          <w:color w:val="auto"/>
          <w:highlight w:val="none"/>
          <w:u w:val="single"/>
          <w:lang w:val="en-US" w:eastAsia="zh-CN"/>
        </w:rPr>
        <w:t xml:space="preserve"> </w:t>
      </w:r>
    </w:p>
    <w:p w14:paraId="56A35183">
      <w:pPr>
        <w:pStyle w:val="38"/>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法定代表人</w:t>
      </w:r>
      <w:r>
        <w:rPr>
          <w:rFonts w:hint="eastAsia" w:ascii="宋体" w:hAnsi="宋体" w:cs="宋体"/>
          <w:color w:val="auto"/>
          <w:highlight w:val="none"/>
          <w:lang w:eastAsia="zh-CN"/>
        </w:rPr>
        <w:t>或</w:t>
      </w:r>
      <w:r>
        <w:rPr>
          <w:rFonts w:hint="eastAsia" w:ascii="宋体" w:hAnsi="宋体" w:cs="宋体"/>
          <w:color w:val="auto"/>
          <w:highlight w:val="none"/>
        </w:rPr>
        <w:t xml:space="preserve">委托代理人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lang w:eastAsia="zh-CN"/>
        </w:rPr>
        <w:t>或</w:t>
      </w:r>
      <w:r>
        <w:rPr>
          <w:rFonts w:hint="eastAsia" w:ascii="宋体" w:hAnsi="宋体" w:cs="宋体"/>
          <w:color w:val="auto"/>
          <w:highlight w:val="none"/>
        </w:rPr>
        <w:t>委托代理人</w:t>
      </w:r>
    </w:p>
    <w:p w14:paraId="606837F2">
      <w:pPr>
        <w:pStyle w:val="38"/>
        <w:spacing w:line="320" w:lineRule="exact"/>
        <w:ind w:left="0" w:leftChars="0" w:firstLine="0" w:firstLineChars="0"/>
        <w:rPr>
          <w:rFonts w:hint="eastAsia" w:ascii="宋体" w:hAnsi="宋体" w:eastAsia="宋体" w:cs="宋体"/>
          <w:color w:val="auto"/>
          <w:highlight w:val="none"/>
          <w:lang w:val="en-US" w:eastAsia="zh-CN"/>
        </w:rPr>
      </w:pP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p>
    <w:p w14:paraId="22690C26">
      <w:pPr>
        <w:pStyle w:val="38"/>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w:t>
      </w:r>
    </w:p>
    <w:p w14:paraId="170FBC1F">
      <w:pPr>
        <w:ind w:left="0" w:leftChars="0" w:firstLine="0" w:firstLineChars="0"/>
        <w:rPr>
          <w:color w:val="auto"/>
          <w:highlight w:val="none"/>
        </w:rPr>
      </w:pPr>
    </w:p>
    <w:p w14:paraId="1CF2F809">
      <w:pPr>
        <w:rPr>
          <w:color w:val="auto"/>
          <w:highlight w:val="none"/>
        </w:rPr>
      </w:pPr>
    </w:p>
    <w:p w14:paraId="63A4804C">
      <w:pPr>
        <w:pStyle w:val="3"/>
        <w:keepNext/>
        <w:keepLines/>
        <w:pageBreakBefore w:val="0"/>
        <w:widowControl w:val="0"/>
        <w:tabs>
          <w:tab w:val="left" w:pos="567"/>
        </w:tabs>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宋体" w:hAnsi="宋体" w:eastAsia="宋体" w:cs="宋体"/>
          <w:b/>
          <w:bCs/>
          <w:color w:val="auto"/>
          <w:kern w:val="44"/>
          <w:sz w:val="24"/>
          <w:szCs w:val="24"/>
          <w:highlight w:val="none"/>
        </w:rPr>
      </w:pPr>
    </w:p>
    <w:p w14:paraId="577C3FAD">
      <w:pPr>
        <w:rPr>
          <w:rFonts w:hint="eastAsia" w:ascii="宋体" w:hAnsi="宋体" w:eastAsia="宋体" w:cs="宋体"/>
          <w:b/>
          <w:bCs/>
          <w:color w:val="auto"/>
          <w:kern w:val="44"/>
          <w:sz w:val="24"/>
          <w:szCs w:val="24"/>
          <w:highlight w:val="none"/>
        </w:rPr>
      </w:pPr>
    </w:p>
    <w:p w14:paraId="5AB3F10A">
      <w:pPr>
        <w:pStyle w:val="11"/>
        <w:rPr>
          <w:rFonts w:hint="eastAsia" w:ascii="宋体" w:hAnsi="宋体" w:eastAsia="宋体" w:cs="宋体"/>
          <w:b/>
          <w:bCs/>
          <w:color w:val="auto"/>
          <w:kern w:val="44"/>
          <w:sz w:val="24"/>
          <w:szCs w:val="24"/>
          <w:highlight w:val="none"/>
        </w:rPr>
      </w:pPr>
    </w:p>
    <w:p w14:paraId="340F8B0D">
      <w:pPr>
        <w:pStyle w:val="11"/>
        <w:rPr>
          <w:rFonts w:hint="eastAsia" w:ascii="宋体" w:hAnsi="宋体" w:eastAsia="宋体" w:cs="宋体"/>
          <w:b/>
          <w:bCs/>
          <w:color w:val="auto"/>
          <w:kern w:val="44"/>
          <w:sz w:val="24"/>
          <w:szCs w:val="24"/>
          <w:highlight w:val="none"/>
        </w:rPr>
      </w:pPr>
    </w:p>
    <w:p w14:paraId="30A0FF39">
      <w:pPr>
        <w:pStyle w:val="11"/>
        <w:rPr>
          <w:rFonts w:hint="eastAsia" w:ascii="宋体" w:hAnsi="宋体" w:eastAsia="宋体" w:cs="宋体"/>
          <w:b/>
          <w:bCs/>
          <w:color w:val="auto"/>
          <w:kern w:val="44"/>
          <w:sz w:val="24"/>
          <w:szCs w:val="24"/>
          <w:highlight w:val="none"/>
        </w:rPr>
      </w:pPr>
    </w:p>
    <w:p w14:paraId="71B900DB">
      <w:pPr>
        <w:pStyle w:val="11"/>
        <w:rPr>
          <w:rFonts w:hint="eastAsia" w:ascii="宋体" w:hAnsi="宋体" w:eastAsia="宋体" w:cs="宋体"/>
          <w:b/>
          <w:bCs/>
          <w:color w:val="auto"/>
          <w:kern w:val="44"/>
          <w:sz w:val="24"/>
          <w:szCs w:val="24"/>
          <w:highlight w:val="none"/>
        </w:rPr>
      </w:pPr>
    </w:p>
    <w:p w14:paraId="582D8F31">
      <w:pPr>
        <w:pStyle w:val="11"/>
        <w:rPr>
          <w:rFonts w:hint="eastAsia" w:ascii="宋体" w:hAnsi="宋体" w:eastAsia="宋体" w:cs="宋体"/>
          <w:b/>
          <w:bCs/>
          <w:color w:val="auto"/>
          <w:kern w:val="44"/>
          <w:sz w:val="24"/>
          <w:szCs w:val="24"/>
          <w:highlight w:val="none"/>
        </w:rPr>
      </w:pPr>
    </w:p>
    <w:p w14:paraId="67252AAD">
      <w:pPr>
        <w:pStyle w:val="3"/>
        <w:keepNext/>
        <w:keepLines/>
        <w:pageBreakBefore w:val="0"/>
        <w:widowControl w:val="0"/>
        <w:tabs>
          <w:tab w:val="left" w:pos="567"/>
        </w:tabs>
        <w:kinsoku/>
        <w:wordWrap/>
        <w:overflowPunct/>
        <w:topLinePunct w:val="0"/>
        <w:autoSpaceDE/>
        <w:autoSpaceDN/>
        <w:bidi w:val="0"/>
        <w:adjustRightInd/>
        <w:snapToGrid/>
        <w:spacing w:before="0" w:after="0" w:line="400" w:lineRule="exact"/>
        <w:ind w:left="0" w:leftChars="0" w:firstLine="0" w:firstLineChars="0"/>
        <w:jc w:val="both"/>
        <w:textAlignment w:val="auto"/>
        <w:rPr>
          <w:rFonts w:hint="eastAsia" w:ascii="宋体" w:hAnsi="宋体" w:eastAsia="宋体" w:cs="宋体"/>
          <w:b/>
          <w:bCs/>
          <w:color w:val="auto"/>
          <w:kern w:val="44"/>
          <w:sz w:val="24"/>
          <w:szCs w:val="24"/>
          <w:highlight w:val="none"/>
        </w:rPr>
      </w:pPr>
    </w:p>
    <w:p w14:paraId="2386C6FF">
      <w:pPr>
        <w:rPr>
          <w:rFonts w:hint="eastAsia" w:ascii="宋体" w:hAnsi="宋体" w:eastAsia="宋体" w:cs="宋体"/>
          <w:b/>
          <w:bCs/>
          <w:color w:val="auto"/>
          <w:kern w:val="44"/>
          <w:sz w:val="24"/>
          <w:szCs w:val="24"/>
          <w:highlight w:val="none"/>
        </w:rPr>
      </w:pPr>
    </w:p>
    <w:p w14:paraId="6C26B580">
      <w:pPr>
        <w:pStyle w:val="9"/>
        <w:rPr>
          <w:rFonts w:hint="eastAsia" w:ascii="宋体" w:hAnsi="宋体" w:eastAsia="宋体" w:cs="宋体"/>
          <w:b/>
          <w:bCs/>
          <w:color w:val="auto"/>
          <w:kern w:val="44"/>
          <w:sz w:val="24"/>
          <w:szCs w:val="24"/>
          <w:highlight w:val="none"/>
        </w:rPr>
      </w:pPr>
    </w:p>
    <w:p w14:paraId="65B1BEEF">
      <w:pPr>
        <w:pStyle w:val="9"/>
        <w:rPr>
          <w:rFonts w:hint="eastAsia" w:ascii="宋体" w:hAnsi="宋体" w:eastAsia="宋体" w:cs="宋体"/>
          <w:b/>
          <w:bCs/>
          <w:color w:val="auto"/>
          <w:kern w:val="44"/>
          <w:sz w:val="24"/>
          <w:szCs w:val="24"/>
          <w:highlight w:val="none"/>
        </w:rPr>
      </w:pPr>
    </w:p>
    <w:p w14:paraId="570052A0">
      <w:pPr>
        <w:pStyle w:val="9"/>
        <w:rPr>
          <w:rFonts w:hint="eastAsia" w:ascii="宋体" w:hAnsi="宋体" w:eastAsia="宋体" w:cs="宋体"/>
          <w:b/>
          <w:bCs/>
          <w:color w:val="auto"/>
          <w:kern w:val="44"/>
          <w:sz w:val="24"/>
          <w:szCs w:val="24"/>
          <w:highlight w:val="none"/>
        </w:rPr>
      </w:pPr>
    </w:p>
    <w:p w14:paraId="12AFAC30">
      <w:pPr>
        <w:pStyle w:val="9"/>
        <w:rPr>
          <w:rFonts w:hint="eastAsia" w:ascii="宋体" w:hAnsi="宋体" w:eastAsia="宋体" w:cs="宋体"/>
          <w:b/>
          <w:bCs/>
          <w:color w:val="auto"/>
          <w:kern w:val="44"/>
          <w:sz w:val="24"/>
          <w:szCs w:val="24"/>
          <w:highlight w:val="none"/>
        </w:rPr>
      </w:pPr>
    </w:p>
    <w:p w14:paraId="79CB1F1D">
      <w:pPr>
        <w:pStyle w:val="9"/>
        <w:rPr>
          <w:rFonts w:hint="eastAsia" w:ascii="宋体" w:hAnsi="宋体" w:eastAsia="宋体" w:cs="宋体"/>
          <w:b/>
          <w:bCs/>
          <w:color w:val="auto"/>
          <w:kern w:val="44"/>
          <w:sz w:val="24"/>
          <w:szCs w:val="24"/>
          <w:highlight w:val="none"/>
        </w:rPr>
      </w:pPr>
    </w:p>
    <w:p w14:paraId="2A3E67FF">
      <w:pPr>
        <w:pStyle w:val="9"/>
        <w:rPr>
          <w:rFonts w:hint="eastAsia" w:ascii="宋体" w:hAnsi="宋体" w:eastAsia="宋体" w:cs="宋体"/>
          <w:b/>
          <w:bCs/>
          <w:color w:val="auto"/>
          <w:kern w:val="44"/>
          <w:sz w:val="24"/>
          <w:szCs w:val="24"/>
          <w:highlight w:val="none"/>
        </w:rPr>
      </w:pPr>
    </w:p>
    <w:p w14:paraId="52EAB5A1">
      <w:pPr>
        <w:pStyle w:val="9"/>
        <w:rPr>
          <w:rFonts w:hint="eastAsia" w:ascii="宋体" w:hAnsi="宋体" w:eastAsia="宋体" w:cs="宋体"/>
          <w:b/>
          <w:bCs/>
          <w:color w:val="auto"/>
          <w:kern w:val="44"/>
          <w:sz w:val="24"/>
          <w:szCs w:val="24"/>
          <w:highlight w:val="none"/>
        </w:rPr>
      </w:pPr>
    </w:p>
    <w:p w14:paraId="59255613">
      <w:pPr>
        <w:pStyle w:val="9"/>
        <w:rPr>
          <w:rFonts w:hint="eastAsia" w:ascii="宋体" w:hAnsi="宋体" w:eastAsia="宋体" w:cs="宋体"/>
          <w:b/>
          <w:bCs/>
          <w:color w:val="auto"/>
          <w:kern w:val="44"/>
          <w:sz w:val="24"/>
          <w:szCs w:val="24"/>
          <w:highlight w:val="none"/>
        </w:rPr>
      </w:pPr>
    </w:p>
    <w:p w14:paraId="0442D2CD">
      <w:pPr>
        <w:pStyle w:val="9"/>
        <w:rPr>
          <w:rFonts w:hint="eastAsia" w:ascii="宋体" w:hAnsi="宋体" w:eastAsia="宋体" w:cs="宋体"/>
          <w:b/>
          <w:bCs/>
          <w:color w:val="auto"/>
          <w:kern w:val="44"/>
          <w:sz w:val="24"/>
          <w:szCs w:val="24"/>
          <w:highlight w:val="none"/>
        </w:rPr>
      </w:pPr>
    </w:p>
    <w:p w14:paraId="29C16F41">
      <w:pPr>
        <w:pStyle w:val="9"/>
        <w:rPr>
          <w:rFonts w:hint="eastAsia" w:ascii="宋体" w:hAnsi="宋体" w:eastAsia="宋体" w:cs="宋体"/>
          <w:b/>
          <w:bCs/>
          <w:color w:val="auto"/>
          <w:kern w:val="44"/>
          <w:sz w:val="24"/>
          <w:szCs w:val="24"/>
          <w:highlight w:val="none"/>
        </w:rPr>
      </w:pPr>
    </w:p>
    <w:p w14:paraId="64E16447">
      <w:pPr>
        <w:pStyle w:val="9"/>
        <w:rPr>
          <w:rFonts w:hint="eastAsia" w:ascii="宋体" w:hAnsi="宋体" w:eastAsia="宋体" w:cs="宋体"/>
          <w:b/>
          <w:bCs/>
          <w:color w:val="auto"/>
          <w:kern w:val="44"/>
          <w:sz w:val="24"/>
          <w:szCs w:val="24"/>
          <w:highlight w:val="none"/>
        </w:rPr>
      </w:pPr>
    </w:p>
    <w:p w14:paraId="686A2950">
      <w:pPr>
        <w:pStyle w:val="9"/>
        <w:rPr>
          <w:rFonts w:hint="eastAsia" w:ascii="宋体" w:hAnsi="宋体" w:eastAsia="宋体" w:cs="宋体"/>
          <w:b/>
          <w:bCs/>
          <w:color w:val="auto"/>
          <w:kern w:val="44"/>
          <w:sz w:val="24"/>
          <w:szCs w:val="24"/>
          <w:highlight w:val="none"/>
        </w:rPr>
      </w:pPr>
    </w:p>
    <w:p w14:paraId="0C83858D">
      <w:pPr>
        <w:pStyle w:val="9"/>
        <w:rPr>
          <w:rFonts w:hint="eastAsia" w:ascii="宋体" w:hAnsi="宋体" w:eastAsia="宋体" w:cs="宋体"/>
          <w:b/>
          <w:bCs/>
          <w:color w:val="auto"/>
          <w:kern w:val="44"/>
          <w:sz w:val="24"/>
          <w:szCs w:val="24"/>
          <w:highlight w:val="none"/>
        </w:rPr>
      </w:pPr>
    </w:p>
    <w:p w14:paraId="22F18451">
      <w:pPr>
        <w:rPr>
          <w:rFonts w:hint="eastAsia"/>
          <w:color w:val="auto"/>
          <w:highlight w:val="none"/>
        </w:rPr>
      </w:pPr>
    </w:p>
    <w:p w14:paraId="41BDFD17">
      <w:pPr>
        <w:pStyle w:val="3"/>
        <w:keepNext/>
        <w:keepLines/>
        <w:pageBreakBefore w:val="0"/>
        <w:widowControl w:val="0"/>
        <w:tabs>
          <w:tab w:val="left" w:pos="567"/>
        </w:tabs>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44"/>
          <w:sz w:val="24"/>
          <w:szCs w:val="24"/>
          <w:highlight w:val="none"/>
        </w:rPr>
        <w:t xml:space="preserve">第六章  </w:t>
      </w:r>
      <w:bookmarkEnd w:id="158"/>
      <w:bookmarkEnd w:id="159"/>
      <w:bookmarkStart w:id="1788" w:name="_Toc13185"/>
      <w:r>
        <w:rPr>
          <w:rFonts w:hint="eastAsia" w:ascii="宋体" w:hAnsi="宋体" w:eastAsia="宋体" w:cs="宋体"/>
          <w:b/>
          <w:bCs/>
          <w:color w:val="auto"/>
          <w:sz w:val="24"/>
          <w:szCs w:val="24"/>
          <w:highlight w:val="none"/>
        </w:rPr>
        <w:t>响应文件（格式）</w:t>
      </w:r>
      <w:bookmarkEnd w:id="160"/>
      <w:bookmarkEnd w:id="161"/>
      <w:bookmarkEnd w:id="1788"/>
    </w:p>
    <w:p w14:paraId="0400BC57">
      <w:pPr>
        <w:rPr>
          <w:rFonts w:hint="eastAsia" w:ascii="宋体" w:hAnsi="宋体" w:eastAsia="宋体" w:cs="宋体"/>
          <w:color w:val="auto"/>
          <w:sz w:val="24"/>
          <w:szCs w:val="24"/>
          <w:highlight w:val="none"/>
        </w:rPr>
      </w:pPr>
    </w:p>
    <w:p w14:paraId="38F05C86">
      <w:pPr>
        <w:pStyle w:val="14"/>
        <w:jc w:val="both"/>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响应文件封面格式</w:t>
      </w:r>
    </w:p>
    <w:p w14:paraId="77951732">
      <w:pPr>
        <w:adjustRightInd w:val="0"/>
        <w:snapToGrid w:val="0"/>
        <w:rPr>
          <w:rFonts w:hint="eastAsia" w:ascii="宋体" w:hAnsi="宋体" w:eastAsia="宋体" w:cs="宋体"/>
          <w:b/>
          <w:color w:val="auto"/>
          <w:sz w:val="21"/>
          <w:szCs w:val="21"/>
          <w:highlight w:val="none"/>
        </w:rPr>
      </w:pPr>
    </w:p>
    <w:p w14:paraId="1100399D">
      <w:pPr>
        <w:pStyle w:val="26"/>
        <w:rPr>
          <w:rFonts w:hint="eastAsia" w:ascii="宋体" w:hAnsi="宋体" w:eastAsia="宋体" w:cs="宋体"/>
          <w:color w:val="auto"/>
          <w:sz w:val="21"/>
          <w:szCs w:val="21"/>
          <w:highlight w:val="none"/>
        </w:rPr>
      </w:pPr>
    </w:p>
    <w:p w14:paraId="743BD00B">
      <w:pPr>
        <w:pStyle w:val="26"/>
        <w:rPr>
          <w:rFonts w:hint="eastAsia" w:ascii="宋体" w:hAnsi="宋体" w:eastAsia="宋体" w:cs="宋体"/>
          <w:color w:val="auto"/>
          <w:sz w:val="24"/>
          <w:szCs w:val="24"/>
          <w:highlight w:val="none"/>
        </w:rPr>
      </w:pPr>
    </w:p>
    <w:p w14:paraId="733FD4DE">
      <w:pPr>
        <w:pStyle w:val="26"/>
        <w:rPr>
          <w:rFonts w:hint="eastAsia" w:ascii="宋体" w:hAnsi="宋体" w:eastAsia="宋体" w:cs="宋体"/>
          <w:color w:val="auto"/>
          <w:sz w:val="24"/>
          <w:szCs w:val="24"/>
          <w:highlight w:val="none"/>
        </w:rPr>
      </w:pPr>
    </w:p>
    <w:p w14:paraId="632C0BA2">
      <w:pPr>
        <w:pStyle w:val="26"/>
        <w:rPr>
          <w:rFonts w:hint="eastAsia" w:ascii="宋体" w:hAnsi="宋体" w:eastAsia="宋体" w:cs="宋体"/>
          <w:color w:val="auto"/>
          <w:sz w:val="24"/>
          <w:szCs w:val="24"/>
          <w:highlight w:val="none"/>
        </w:rPr>
      </w:pPr>
    </w:p>
    <w:p w14:paraId="75A98590">
      <w:pPr>
        <w:snapToGrid w:val="0"/>
        <w:spacing w:before="156" w:beforeLines="50" w:after="50"/>
        <w:jc w:val="center"/>
        <w:rPr>
          <w:rFonts w:hint="eastAsia" w:ascii="宋体" w:hAnsi="宋体" w:eastAsia="宋体" w:cs="宋体"/>
          <w:b/>
          <w:color w:val="auto"/>
          <w:sz w:val="30"/>
          <w:szCs w:val="30"/>
          <w:highlight w:val="none"/>
        </w:rPr>
      </w:pPr>
    </w:p>
    <w:p w14:paraId="0712152E">
      <w:pPr>
        <w:snapToGrid w:val="0"/>
        <w:spacing w:before="156" w:beforeLines="50" w:after="5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响 应 文 件</w:t>
      </w:r>
    </w:p>
    <w:p w14:paraId="6BE18B57">
      <w:pPr>
        <w:snapToGrid w:val="0"/>
        <w:spacing w:before="156" w:beforeLines="50" w:after="50"/>
        <w:ind w:firstLine="360" w:firstLineChars="15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 xml:space="preserve">                       </w:t>
      </w:r>
    </w:p>
    <w:p w14:paraId="0C4B4E81">
      <w:pPr>
        <w:snapToGrid w:val="0"/>
        <w:spacing w:before="156" w:beforeLines="50" w:after="50"/>
        <w:ind w:firstLine="361" w:firstLineChars="150"/>
        <w:rPr>
          <w:rFonts w:hint="eastAsia" w:ascii="宋体" w:hAnsi="宋体" w:eastAsia="宋体" w:cs="宋体"/>
          <w:b/>
          <w:color w:val="auto"/>
          <w:sz w:val="24"/>
          <w:szCs w:val="24"/>
          <w:highlight w:val="none"/>
        </w:rPr>
      </w:pPr>
    </w:p>
    <w:p w14:paraId="46BC3DC2">
      <w:pPr>
        <w:pStyle w:val="11"/>
        <w:rPr>
          <w:rFonts w:hint="eastAsia"/>
          <w:color w:val="auto"/>
          <w:highlight w:val="none"/>
        </w:rPr>
      </w:pPr>
    </w:p>
    <w:p w14:paraId="6860C5AE">
      <w:pPr>
        <w:pStyle w:val="11"/>
        <w:rPr>
          <w:rFonts w:hint="eastAsia"/>
          <w:color w:val="auto"/>
          <w:highlight w:val="none"/>
        </w:rPr>
      </w:pPr>
    </w:p>
    <w:p w14:paraId="62F01DD0">
      <w:pPr>
        <w:pStyle w:val="11"/>
        <w:rPr>
          <w:rFonts w:hint="eastAsia"/>
          <w:color w:val="auto"/>
          <w:highlight w:val="none"/>
        </w:rPr>
      </w:pPr>
    </w:p>
    <w:p w14:paraId="0A162820">
      <w:pPr>
        <w:rPr>
          <w:rFonts w:hint="eastAsia"/>
          <w:color w:val="auto"/>
          <w:highlight w:val="none"/>
        </w:rPr>
      </w:pPr>
    </w:p>
    <w:p w14:paraId="5C9BB1B1">
      <w:pPr>
        <w:snapToGrid w:val="0"/>
        <w:spacing w:before="156" w:beforeLines="50" w:after="50"/>
        <w:ind w:firstLine="361" w:firstLineChars="150"/>
        <w:rPr>
          <w:rFonts w:hint="eastAsia" w:ascii="宋体" w:hAnsi="宋体" w:eastAsia="宋体" w:cs="宋体"/>
          <w:b/>
          <w:color w:val="auto"/>
          <w:sz w:val="24"/>
          <w:szCs w:val="24"/>
          <w:highlight w:val="none"/>
        </w:rPr>
      </w:pPr>
    </w:p>
    <w:p w14:paraId="286C73A4">
      <w:pPr>
        <w:keepNext w:val="0"/>
        <w:keepLines w:val="0"/>
        <w:pageBreakBefore w:val="0"/>
        <w:widowControl w:val="0"/>
        <w:kinsoku/>
        <w:wordWrap/>
        <w:overflowPunct/>
        <w:topLinePunct w:val="0"/>
        <w:autoSpaceDE/>
        <w:autoSpaceDN/>
        <w:bidi w:val="0"/>
        <w:adjustRightInd/>
        <w:snapToGrid w:val="0"/>
        <w:spacing w:line="360" w:lineRule="auto"/>
        <w:ind w:firstLine="1205" w:firstLineChars="500"/>
        <w:textAlignment w:val="auto"/>
        <w:rPr>
          <w:rFonts w:hint="eastAsia" w:ascii="宋体" w:hAnsi="宋体" w:cs="宋体"/>
          <w:b/>
          <w:bCs w:val="0"/>
          <w:color w:val="auto"/>
          <w:sz w:val="24"/>
          <w:szCs w:val="24"/>
          <w:highlight w:val="none"/>
          <w:u w:val="single"/>
          <w:lang w:val="en-US" w:eastAsia="zh-CN"/>
        </w:rPr>
      </w:pPr>
      <w:r>
        <w:rPr>
          <w:rFonts w:hint="eastAsia" w:ascii="宋体" w:hAnsi="宋体" w:eastAsia="宋体" w:cs="宋体"/>
          <w:b/>
          <w:bCs w:val="0"/>
          <w:color w:val="auto"/>
          <w:sz w:val="24"/>
          <w:szCs w:val="24"/>
          <w:highlight w:val="none"/>
        </w:rPr>
        <w:t>项目名称：</w:t>
      </w:r>
      <w:r>
        <w:rPr>
          <w:rFonts w:hint="eastAsia" w:ascii="宋体" w:hAnsi="宋体" w:cs="宋体"/>
          <w:b/>
          <w:bCs w:val="0"/>
          <w:color w:val="auto"/>
          <w:sz w:val="24"/>
          <w:szCs w:val="24"/>
          <w:highlight w:val="none"/>
          <w:u w:val="single"/>
          <w:lang w:val="en-US" w:eastAsia="zh-CN"/>
        </w:rPr>
        <w:t xml:space="preserve">                                </w:t>
      </w:r>
    </w:p>
    <w:p w14:paraId="61D867CA">
      <w:pPr>
        <w:keepNext w:val="0"/>
        <w:keepLines w:val="0"/>
        <w:pageBreakBefore w:val="0"/>
        <w:widowControl w:val="0"/>
        <w:kinsoku/>
        <w:wordWrap/>
        <w:overflowPunct/>
        <w:topLinePunct w:val="0"/>
        <w:autoSpaceDE/>
        <w:autoSpaceDN/>
        <w:bidi w:val="0"/>
        <w:adjustRightInd/>
        <w:snapToGrid w:val="0"/>
        <w:spacing w:line="360" w:lineRule="auto"/>
        <w:ind w:firstLine="1205" w:firstLineChars="500"/>
        <w:textAlignment w:val="auto"/>
        <w:rPr>
          <w:rFonts w:hint="default" w:ascii="宋体" w:hAnsi="宋体" w:eastAsia="宋体" w:cs="宋体"/>
          <w:b/>
          <w:bCs w:val="0"/>
          <w:color w:val="auto"/>
          <w:sz w:val="24"/>
          <w:szCs w:val="24"/>
          <w:highlight w:val="none"/>
          <w:u w:val="single"/>
          <w:lang w:val="en-US" w:eastAsia="zh-CN"/>
        </w:rPr>
      </w:pPr>
      <w:r>
        <w:rPr>
          <w:rFonts w:hint="eastAsia" w:ascii="宋体" w:hAnsi="宋体" w:eastAsia="宋体" w:cs="宋体"/>
          <w:b/>
          <w:bCs w:val="0"/>
          <w:color w:val="auto"/>
          <w:sz w:val="24"/>
          <w:szCs w:val="24"/>
          <w:highlight w:val="none"/>
        </w:rPr>
        <w:t>项目编号：</w:t>
      </w:r>
      <w:r>
        <w:rPr>
          <w:rFonts w:hint="eastAsia" w:ascii="宋体" w:hAnsi="宋体" w:cs="宋体"/>
          <w:b/>
          <w:bCs w:val="0"/>
          <w:color w:val="auto"/>
          <w:sz w:val="24"/>
          <w:szCs w:val="24"/>
          <w:highlight w:val="none"/>
          <w:u w:val="single"/>
          <w:lang w:val="en-US" w:eastAsia="zh-CN"/>
        </w:rPr>
        <w:t xml:space="preserve">                                </w:t>
      </w:r>
    </w:p>
    <w:p w14:paraId="2AF39081">
      <w:pPr>
        <w:rPr>
          <w:rFonts w:hint="eastAsia" w:ascii="宋体" w:hAnsi="宋体" w:eastAsia="宋体" w:cs="宋体"/>
          <w:b/>
          <w:color w:val="auto"/>
          <w:sz w:val="24"/>
          <w:szCs w:val="24"/>
          <w:highlight w:val="none"/>
        </w:rPr>
      </w:pPr>
    </w:p>
    <w:p w14:paraId="70C5DEBB">
      <w:pPr>
        <w:spacing w:line="400" w:lineRule="exact"/>
        <w:ind w:firstLine="2318" w:firstLineChars="962"/>
        <w:rPr>
          <w:rFonts w:hint="eastAsia" w:ascii="宋体" w:hAnsi="宋体" w:eastAsia="宋体" w:cs="宋体"/>
          <w:b/>
          <w:color w:val="auto"/>
          <w:sz w:val="24"/>
          <w:szCs w:val="24"/>
          <w:highlight w:val="none"/>
        </w:rPr>
      </w:pPr>
    </w:p>
    <w:p w14:paraId="6F15DFAD">
      <w:pPr>
        <w:pStyle w:val="11"/>
        <w:rPr>
          <w:rFonts w:hint="eastAsia" w:ascii="宋体" w:hAnsi="宋体" w:eastAsia="宋体" w:cs="宋体"/>
          <w:b/>
          <w:color w:val="auto"/>
          <w:sz w:val="24"/>
          <w:szCs w:val="24"/>
          <w:highlight w:val="none"/>
        </w:rPr>
      </w:pPr>
    </w:p>
    <w:p w14:paraId="378880C5">
      <w:pPr>
        <w:rPr>
          <w:rFonts w:hint="eastAsia"/>
          <w:color w:val="auto"/>
          <w:highlight w:val="none"/>
        </w:rPr>
      </w:pPr>
    </w:p>
    <w:p w14:paraId="556B081A">
      <w:pPr>
        <w:pStyle w:val="26"/>
        <w:rPr>
          <w:rFonts w:hint="eastAsia" w:ascii="宋体" w:hAnsi="宋体" w:eastAsia="宋体" w:cs="宋体"/>
          <w:b/>
          <w:color w:val="auto"/>
          <w:sz w:val="24"/>
          <w:szCs w:val="24"/>
          <w:highlight w:val="none"/>
        </w:rPr>
      </w:pPr>
    </w:p>
    <w:p w14:paraId="06CE7BF2">
      <w:pPr>
        <w:pStyle w:val="26"/>
        <w:rPr>
          <w:rFonts w:hint="eastAsia" w:ascii="宋体" w:hAnsi="宋体" w:eastAsia="宋体" w:cs="宋体"/>
          <w:b/>
          <w:color w:val="auto"/>
          <w:sz w:val="24"/>
          <w:szCs w:val="24"/>
          <w:highlight w:val="none"/>
        </w:rPr>
      </w:pPr>
    </w:p>
    <w:p w14:paraId="6C2DA794">
      <w:pPr>
        <w:pStyle w:val="26"/>
        <w:rPr>
          <w:rFonts w:hint="eastAsia" w:ascii="宋体" w:hAnsi="宋体" w:eastAsia="宋体" w:cs="宋体"/>
          <w:b/>
          <w:color w:val="auto"/>
          <w:sz w:val="24"/>
          <w:szCs w:val="24"/>
          <w:highlight w:val="none"/>
        </w:rPr>
      </w:pPr>
    </w:p>
    <w:p w14:paraId="44BE48E4">
      <w:pPr>
        <w:pStyle w:val="26"/>
        <w:rPr>
          <w:rFonts w:hint="eastAsia" w:ascii="宋体" w:hAnsi="宋体" w:eastAsia="宋体" w:cs="宋体"/>
          <w:b/>
          <w:color w:val="auto"/>
          <w:sz w:val="24"/>
          <w:szCs w:val="24"/>
          <w:highlight w:val="none"/>
        </w:rPr>
      </w:pPr>
    </w:p>
    <w:p w14:paraId="331A318C">
      <w:pPr>
        <w:pStyle w:val="26"/>
        <w:rPr>
          <w:rFonts w:hint="eastAsia" w:ascii="宋体" w:hAnsi="宋体" w:eastAsia="宋体" w:cs="宋体"/>
          <w:b/>
          <w:color w:val="auto"/>
          <w:sz w:val="24"/>
          <w:szCs w:val="24"/>
          <w:highlight w:val="none"/>
        </w:rPr>
      </w:pPr>
    </w:p>
    <w:p w14:paraId="4B2D1FEF">
      <w:pPr>
        <w:keepNext w:val="0"/>
        <w:keepLines w:val="0"/>
        <w:pageBreakBefore w:val="0"/>
        <w:widowControl w:val="0"/>
        <w:kinsoku/>
        <w:wordWrap/>
        <w:overflowPunct/>
        <w:topLinePunct w:val="0"/>
        <w:autoSpaceDE/>
        <w:autoSpaceDN/>
        <w:bidi w:val="0"/>
        <w:adjustRightInd/>
        <w:snapToGrid w:val="0"/>
        <w:spacing w:line="400" w:lineRule="exact"/>
        <w:ind w:left="0" w:leftChars="0" w:firstLine="1200" w:firstLineChars="5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采购代理机构：</w:t>
      </w:r>
      <w:r>
        <w:rPr>
          <w:rFonts w:hint="eastAsia" w:ascii="宋体" w:hAnsi="宋体" w:cs="宋体"/>
          <w:b w:val="0"/>
          <w:bCs/>
          <w:color w:val="auto"/>
          <w:sz w:val="24"/>
          <w:szCs w:val="24"/>
          <w:highlight w:val="none"/>
          <w:u w:val="single"/>
          <w:lang w:val="en-US" w:eastAsia="zh-CN"/>
        </w:rPr>
        <w:t xml:space="preserve">                             </w:t>
      </w:r>
    </w:p>
    <w:p w14:paraId="795E856C">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1200" w:firstLineChars="500"/>
        <w:textAlignment w:val="auto"/>
        <w:rPr>
          <w:rFonts w:hint="eastAsia" w:ascii="宋体" w:hAnsi="宋体" w:eastAsia="宋体" w:cs="宋体"/>
          <w:bCs/>
          <w:color w:val="auto"/>
          <w:sz w:val="24"/>
          <w:szCs w:val="24"/>
          <w:highlight w:val="none"/>
        </w:rPr>
      </w:pPr>
      <w:bookmarkStart w:id="1789" w:name="_Toc4932_WPSOffice_Level2"/>
      <w:bookmarkStart w:id="1790" w:name="_Toc20319_WPSOffice_Level2"/>
      <w:r>
        <w:rPr>
          <w:rFonts w:hint="eastAsia" w:ascii="宋体" w:hAnsi="宋体" w:eastAsia="宋体" w:cs="宋体"/>
          <w:bCs/>
          <w:color w:val="auto"/>
          <w:sz w:val="24"/>
          <w:szCs w:val="24"/>
          <w:highlight w:val="none"/>
          <w:lang w:eastAsia="zh-CN"/>
        </w:rPr>
        <w:t>磋商供应商</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公章</w:t>
      </w:r>
      <w:r>
        <w:rPr>
          <w:rFonts w:hint="eastAsia" w:ascii="宋体" w:hAnsi="宋体" w:eastAsia="宋体" w:cs="宋体"/>
          <w:bCs/>
          <w:color w:val="auto"/>
          <w:sz w:val="24"/>
          <w:szCs w:val="24"/>
          <w:highlight w:val="none"/>
          <w:lang w:val="en-US" w:eastAsia="zh-CN"/>
        </w:rPr>
        <w:t>(CA签章)</w:t>
      </w:r>
      <w:r>
        <w:rPr>
          <w:rFonts w:hint="eastAsia" w:ascii="宋体" w:hAnsi="宋体" w:eastAsia="宋体" w:cs="宋体"/>
          <w:bCs/>
          <w:color w:val="auto"/>
          <w:sz w:val="24"/>
          <w:szCs w:val="24"/>
          <w:highlight w:val="none"/>
        </w:rPr>
        <w:t>、自然人除外</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bookmarkEnd w:id="1789"/>
      <w:bookmarkEnd w:id="1790"/>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25810E01">
      <w:pPr>
        <w:pStyle w:val="14"/>
        <w:keepNext w:val="0"/>
        <w:keepLines w:val="0"/>
        <w:pageBreakBefore w:val="0"/>
        <w:widowControl w:val="0"/>
        <w:kinsoku/>
        <w:wordWrap/>
        <w:overflowPunct/>
        <w:topLinePunct w:val="0"/>
        <w:autoSpaceDE/>
        <w:autoSpaceDN/>
        <w:bidi w:val="0"/>
        <w:adjustRightInd/>
        <w:snapToGrid/>
        <w:spacing w:line="400" w:lineRule="exact"/>
        <w:ind w:left="0" w:leftChars="0" w:firstLine="1200" w:firstLineChars="500"/>
        <w:textAlignment w:val="auto"/>
        <w:rPr>
          <w:rFonts w:hint="eastAsia" w:ascii="宋体" w:hAnsi="宋体" w:eastAsia="宋体" w:cs="宋体"/>
          <w:color w:val="auto"/>
          <w:sz w:val="24"/>
          <w:szCs w:val="24"/>
          <w:highlight w:val="none"/>
          <w:lang w:val="en-US" w:eastAsia="zh-CN"/>
        </w:rPr>
      </w:pPr>
      <w:bookmarkStart w:id="1791" w:name="_Toc9622_WPSOffice_Level2"/>
      <w:bookmarkStart w:id="1792" w:name="_Toc32056_WPSOffice_Level2"/>
      <w:r>
        <w:rPr>
          <w:rFonts w:hint="eastAsia" w:ascii="宋体" w:hAnsi="宋体" w:eastAsia="宋体" w:cs="宋体"/>
          <w:color w:val="auto"/>
          <w:sz w:val="24"/>
          <w:szCs w:val="24"/>
          <w:highlight w:val="none"/>
        </w:rPr>
        <w:t>法定代表人、负责人、自然人或相应的委托代理人签字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或盖章</w:t>
      </w:r>
      <w:r>
        <w:rPr>
          <w:rFonts w:hint="eastAsia" w:ascii="宋体" w:hAnsi="宋体" w:eastAsia="宋体" w:cs="宋体"/>
          <w:color w:val="auto"/>
          <w:sz w:val="24"/>
          <w:szCs w:val="24"/>
          <w:highlight w:val="none"/>
          <w:lang w:val="en-US" w:eastAsia="zh-CN"/>
        </w:rPr>
        <w:t>(CA签章)]</w:t>
      </w:r>
    </w:p>
    <w:p w14:paraId="4A4D6455">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1200" w:firstLineChars="5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（属自然人的应在签名处加盖大拇指指印</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lang w:val="en-US" w:eastAsia="zh-CN"/>
        </w:rPr>
        <w:t>个人CA签章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bookmarkEnd w:id="1791"/>
    <w:bookmarkEnd w:id="1792"/>
    <w:p w14:paraId="1C57B072">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1200" w:firstLineChars="500"/>
        <w:textAlignment w:val="auto"/>
        <w:rPr>
          <w:rFonts w:hint="eastAsia" w:ascii="宋体" w:hAnsi="宋体" w:eastAsia="宋体" w:cs="宋体"/>
          <w:bCs/>
          <w:color w:val="auto"/>
          <w:sz w:val="24"/>
          <w:szCs w:val="24"/>
          <w:highlight w:val="none"/>
        </w:rPr>
      </w:pPr>
      <w:bookmarkStart w:id="1793" w:name="_Toc15933_WPSOffice_Level2"/>
      <w:bookmarkStart w:id="1794" w:name="_Toc26465_WPSOffice_Level2"/>
      <w:r>
        <w:rPr>
          <w:rFonts w:hint="eastAsia" w:ascii="宋体" w:hAnsi="宋体" w:eastAsia="宋体" w:cs="宋体"/>
          <w:bCs/>
          <w:color w:val="auto"/>
          <w:sz w:val="24"/>
          <w:szCs w:val="24"/>
          <w:highlight w:val="none"/>
        </w:rPr>
        <w:t>日期：</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bookmarkEnd w:id="1793"/>
      <w:bookmarkEnd w:id="1794"/>
    </w:p>
    <w:p w14:paraId="484ED5CE">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1200" w:firstLineChars="500"/>
        <w:textAlignment w:val="auto"/>
        <w:rPr>
          <w:rFonts w:hint="eastAsia" w:ascii="宋体" w:hAnsi="宋体" w:eastAsia="宋体" w:cs="宋体"/>
          <w:bCs/>
          <w:color w:val="auto"/>
          <w:sz w:val="24"/>
          <w:szCs w:val="24"/>
          <w:highlight w:val="none"/>
        </w:rPr>
      </w:pPr>
    </w:p>
    <w:p w14:paraId="1A7422BF">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1200" w:firstLineChars="500"/>
        <w:textAlignment w:val="auto"/>
        <w:rPr>
          <w:rFonts w:hint="eastAsia" w:ascii="宋体" w:hAnsi="宋体" w:eastAsia="宋体" w:cs="宋体"/>
          <w:bCs/>
          <w:color w:val="auto"/>
          <w:sz w:val="24"/>
          <w:szCs w:val="24"/>
          <w:highlight w:val="none"/>
        </w:rPr>
      </w:pPr>
    </w:p>
    <w:p w14:paraId="0F0A294A">
      <w:pPr>
        <w:numPr>
          <w:ilvl w:val="0"/>
          <w:numId w:val="0"/>
        </w:num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响应文件目录</w:t>
      </w:r>
    </w:p>
    <w:p w14:paraId="059D04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rPr>
        <w:t>资格性响应证明材料</w:t>
      </w:r>
    </w:p>
    <w:p w14:paraId="0263BEF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供应商相应的法定代表人、负责人、自然人身份证正反两面复印件</w:t>
      </w:r>
      <w:r>
        <w:rPr>
          <w:rFonts w:hint="eastAsia" w:ascii="宋体" w:hAnsi="宋体" w:eastAsia="宋体" w:cs="宋体"/>
          <w:b/>
          <w:bCs/>
          <w:color w:val="auto"/>
          <w:sz w:val="21"/>
          <w:szCs w:val="21"/>
          <w:highlight w:val="none"/>
        </w:rPr>
        <w:t>（必须提供）</w:t>
      </w:r>
      <w:r>
        <w:rPr>
          <w:rFonts w:hint="eastAsia" w:ascii="宋体" w:hAnsi="宋体" w:eastAsia="宋体" w:cs="宋体"/>
          <w:color w:val="auto"/>
          <w:sz w:val="21"/>
          <w:szCs w:val="21"/>
          <w:highlight w:val="none"/>
        </w:rPr>
        <w:t>；</w:t>
      </w:r>
    </w:p>
    <w:p w14:paraId="76BA475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供应商的授权委托书原件、委托代理人身份证正反面复印件以及由县级以上（含县级）社会养老保险经办机构出具的供应商为委托代理人交纳的响应文件递交截止时间前半年内任意连续三个月社保证明复印件</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（委托代理时必须提供）</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除供应商为以下三种情形的：</w:t>
      </w:r>
    </w:p>
    <w:p w14:paraId="709B1E9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①如供应商为截标时间前60日以内成立的公司，可以提供供应商与委托代理人签订的劳动合同复印件代替社保证明复印件；</w:t>
      </w:r>
    </w:p>
    <w:p w14:paraId="2B71A62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②如供应商为事业单位，可以提供事业单位机构编制管理证复印件或事业单位机构为其发放工资的工资条复印件代替社保证明复印件；</w:t>
      </w:r>
    </w:p>
    <w:p w14:paraId="365E32F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③如委托代理人为免缴纳社保人员，提供免缴纳社保的证明材料复印件及供应商与委托代理人签订的劳动合同复印件代替社保证明复印件。</w:t>
      </w:r>
    </w:p>
    <w:p w14:paraId="591B7D4B">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【属自然人的应提供由县级以上（含县级）社会养老保险经办机构出具的自然人本人及委托代理人所交纳的响应文件递交截止时间前半年内任意连续三个月社保证明复印件</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（委托代理时必须提供）</w:t>
      </w:r>
      <w:r>
        <w:rPr>
          <w:rFonts w:hint="eastAsia" w:ascii="宋体" w:hAnsi="宋体" w:eastAsia="宋体" w:cs="宋体"/>
          <w:b/>
          <w:bCs/>
          <w:color w:val="auto"/>
          <w:sz w:val="21"/>
          <w:szCs w:val="21"/>
          <w:highlight w:val="none"/>
          <w:lang w:eastAsia="zh-CN"/>
        </w:rPr>
        <w:t>；</w:t>
      </w:r>
    </w:p>
    <w:p w14:paraId="68B3699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供应商参加政府采购活动前3年内在经营活动中没有重大违法记录及有关信用信息的书面声明</w:t>
      </w:r>
      <w:r>
        <w:rPr>
          <w:rFonts w:hint="eastAsia" w:ascii="宋体" w:hAnsi="宋体" w:eastAsia="宋体" w:cs="宋体"/>
          <w:b/>
          <w:bCs/>
          <w:color w:val="auto"/>
          <w:sz w:val="21"/>
          <w:szCs w:val="21"/>
          <w:highlight w:val="none"/>
        </w:rPr>
        <w:t>（必须提供）；</w:t>
      </w:r>
    </w:p>
    <w:p w14:paraId="05AFAF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供应商的法人或者其他组织营业执照等证明文件复印件</w:t>
      </w:r>
      <w:r>
        <w:rPr>
          <w:rFonts w:hint="eastAsia" w:ascii="宋体" w:hAnsi="宋体" w:eastAsia="宋体" w:cs="宋体"/>
          <w:b/>
          <w:bCs/>
          <w:color w:val="auto"/>
          <w:sz w:val="21"/>
          <w:szCs w:val="21"/>
          <w:highlight w:val="none"/>
        </w:rPr>
        <w:t>（必须提供，自然人除外）；</w:t>
      </w:r>
    </w:p>
    <w:p w14:paraId="0AC22925">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49633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5.供应商相应有效的企业资质证书副本及安全生产许可证副本</w:t>
      </w:r>
      <w:r>
        <w:rPr>
          <w:rFonts w:hint="eastAsia" w:ascii="宋体" w:hAnsi="宋体" w:cs="宋体"/>
          <w:bCs/>
          <w:color w:val="auto"/>
          <w:kern w:val="0"/>
          <w:sz w:val="21"/>
          <w:szCs w:val="21"/>
          <w:highlight w:val="none"/>
          <w:lang w:val="en-US" w:eastAsia="zh-CN" w:bidi="ar-SA"/>
        </w:rPr>
        <w:t>复印件</w:t>
      </w:r>
      <w:r>
        <w:rPr>
          <w:rFonts w:hint="eastAsia" w:ascii="宋体" w:hAnsi="宋体" w:eastAsia="宋体" w:cs="宋体"/>
          <w:bCs/>
          <w:color w:val="auto"/>
          <w:kern w:val="0"/>
          <w:sz w:val="21"/>
          <w:szCs w:val="21"/>
          <w:highlight w:val="none"/>
          <w:lang w:val="en-US" w:eastAsia="zh-CN" w:bidi="ar-SA"/>
        </w:rPr>
        <w:t>、拟投入项目经理的注册建造师执业资格证书及安全生产考核合格证书（B类）</w:t>
      </w:r>
      <w:r>
        <w:rPr>
          <w:rFonts w:hint="eastAsia" w:ascii="宋体" w:hAnsi="宋体" w:cs="宋体"/>
          <w:bCs/>
          <w:color w:val="auto"/>
          <w:kern w:val="0"/>
          <w:sz w:val="21"/>
          <w:szCs w:val="21"/>
          <w:highlight w:val="none"/>
          <w:lang w:val="en-US" w:eastAsia="zh-CN" w:bidi="ar-SA"/>
        </w:rPr>
        <w:t>复印件、</w:t>
      </w:r>
      <w:r>
        <w:rPr>
          <w:rFonts w:hint="eastAsia" w:ascii="宋体" w:hAnsi="宋体" w:cs="宋体"/>
          <w:color w:val="auto"/>
          <w:kern w:val="0"/>
          <w:szCs w:val="21"/>
          <w:highlight w:val="none"/>
          <w:shd w:val="clear" w:color="auto" w:fill="auto"/>
        </w:rPr>
        <w:t>及安全员的安全生产考核合格证书复印件（C类）</w:t>
      </w:r>
      <w:r>
        <w:rPr>
          <w:rFonts w:hint="eastAsia" w:ascii="宋体" w:hAnsi="宋体" w:cs="宋体"/>
          <w:color w:val="auto"/>
          <w:kern w:val="0"/>
          <w:szCs w:val="21"/>
          <w:highlight w:val="none"/>
          <w:shd w:val="clear" w:color="auto" w:fill="auto"/>
          <w:lang w:eastAsia="zh-CN"/>
        </w:rPr>
        <w:t>；</w:t>
      </w:r>
      <w:r>
        <w:rPr>
          <w:rFonts w:hint="eastAsia" w:ascii="宋体" w:hAnsi="宋体" w:eastAsia="宋体" w:cs="宋体"/>
          <w:b/>
          <w:bCs w:val="0"/>
          <w:color w:val="auto"/>
          <w:kern w:val="0"/>
          <w:sz w:val="21"/>
          <w:szCs w:val="21"/>
          <w:highlight w:val="none"/>
          <w:lang w:val="en-US" w:eastAsia="zh-CN" w:bidi="ar-SA"/>
        </w:rPr>
        <w:t>（必须提供）</w:t>
      </w:r>
      <w:r>
        <w:rPr>
          <w:rFonts w:hint="eastAsia" w:ascii="宋体" w:hAnsi="宋体" w:eastAsia="宋体" w:cs="宋体"/>
          <w:bCs/>
          <w:color w:val="auto"/>
          <w:kern w:val="0"/>
          <w:sz w:val="21"/>
          <w:szCs w:val="21"/>
          <w:highlight w:val="none"/>
          <w:lang w:val="en-US" w:eastAsia="zh-CN"/>
        </w:rPr>
        <w:t>；</w:t>
      </w:r>
    </w:p>
    <w:p w14:paraId="69910A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rPr>
        <w:t>项目经理无在建工程承诺书</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格式自拟，</w:t>
      </w:r>
      <w:r>
        <w:rPr>
          <w:rFonts w:hint="eastAsia" w:ascii="宋体" w:hAnsi="宋体" w:eastAsia="宋体" w:cs="宋体"/>
          <w:b/>
          <w:color w:val="auto"/>
          <w:sz w:val="21"/>
          <w:szCs w:val="21"/>
          <w:highlight w:val="none"/>
        </w:rPr>
        <w:t>必须提供）</w:t>
      </w:r>
      <w:r>
        <w:rPr>
          <w:rFonts w:hint="eastAsia" w:ascii="宋体" w:hAnsi="宋体" w:eastAsia="宋体" w:cs="宋体"/>
          <w:b/>
          <w:bCs w:val="0"/>
          <w:color w:val="auto"/>
          <w:kern w:val="0"/>
          <w:sz w:val="21"/>
          <w:szCs w:val="21"/>
          <w:highlight w:val="none"/>
          <w:lang w:val="en-US" w:eastAsia="zh-CN"/>
        </w:rPr>
        <w:t>；</w:t>
      </w:r>
    </w:p>
    <w:p w14:paraId="4D69332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firstLine="420" w:firstLineChars="0"/>
        <w:textAlignment w:val="auto"/>
        <w:rPr>
          <w:rFonts w:hint="eastAsia" w:ascii="宋体" w:hAnsi="宋体" w:cs="宋体"/>
          <w:b/>
          <w:bCs/>
          <w:color w:val="auto"/>
          <w:kern w:val="0"/>
          <w:szCs w:val="21"/>
          <w:highlight w:val="none"/>
          <w:shd w:val="clear" w:color="auto" w:fill="auto"/>
        </w:rPr>
      </w:pPr>
      <w:r>
        <w:rPr>
          <w:rFonts w:hint="eastAsia" w:ascii="宋体" w:hAnsi="宋体" w:cs="宋体"/>
          <w:color w:val="auto"/>
          <w:kern w:val="2"/>
          <w:sz w:val="21"/>
          <w:szCs w:val="21"/>
          <w:highlight w:val="none"/>
          <w:lang w:val="en-US" w:eastAsia="zh-CN" w:bidi="ar-SA"/>
        </w:rPr>
        <w:t>7.</w:t>
      </w:r>
      <w:r>
        <w:rPr>
          <w:rFonts w:hint="eastAsia" w:ascii="宋体" w:hAnsi="宋体" w:cs="宋体"/>
          <w:color w:val="auto"/>
          <w:kern w:val="0"/>
          <w:szCs w:val="21"/>
          <w:highlight w:val="none"/>
          <w:shd w:val="clear" w:color="auto" w:fill="auto"/>
        </w:rPr>
        <w:t>供应商近三年中任一年度经第三方审计的财务状况报告复印件（或银行出具的资信证明或财政部门认可的政府采购专业担保机构出具的投标担保函）</w:t>
      </w:r>
      <w:r>
        <w:rPr>
          <w:rFonts w:hint="eastAsia" w:ascii="宋体" w:hAnsi="宋体" w:cs="宋体"/>
          <w:b/>
          <w:bCs/>
          <w:color w:val="auto"/>
          <w:kern w:val="0"/>
          <w:szCs w:val="21"/>
          <w:highlight w:val="none"/>
          <w:shd w:val="clear" w:color="auto" w:fill="auto"/>
        </w:rPr>
        <w:t>（必须提供）；</w:t>
      </w:r>
    </w:p>
    <w:p w14:paraId="2FCA4A1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firstLine="420" w:firstLineChars="0"/>
        <w:textAlignment w:val="auto"/>
        <w:rPr>
          <w:rFonts w:hint="eastAsia" w:ascii="宋体" w:hAnsi="宋体" w:cs="宋体"/>
          <w:bCs/>
          <w:color w:val="auto"/>
          <w:kern w:val="0"/>
          <w:sz w:val="21"/>
          <w:szCs w:val="21"/>
          <w:highlight w:val="none"/>
          <w:lang w:val="en-US" w:eastAsia="zh-CN" w:bidi="ar-SA"/>
        </w:rPr>
      </w:pP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供应商近半年内任意一个月或任一季度依法缴纳税收的证明材料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增值税</w:t>
      </w:r>
      <w:r>
        <w:rPr>
          <w:rFonts w:hint="eastAsia" w:ascii="宋体" w:hAnsi="宋体" w:eastAsia="宋体" w:cs="宋体"/>
          <w:color w:val="auto"/>
          <w:sz w:val="21"/>
          <w:szCs w:val="21"/>
          <w:highlight w:val="none"/>
          <w:lang w:eastAsia="zh-CN"/>
        </w:rPr>
        <w:t>缴纳</w:t>
      </w:r>
      <w:r>
        <w:rPr>
          <w:rFonts w:hint="eastAsia" w:ascii="宋体" w:hAnsi="宋体" w:eastAsia="宋体" w:cs="宋体"/>
          <w:color w:val="auto"/>
          <w:sz w:val="21"/>
          <w:szCs w:val="21"/>
          <w:highlight w:val="none"/>
        </w:rPr>
        <w:t>发票(税收完税证明)或企业所得税完税证明或税务部门出具的免税证明</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复印件</w:t>
      </w:r>
      <w:r>
        <w:rPr>
          <w:rFonts w:hint="eastAsia" w:ascii="宋体" w:hAnsi="宋体" w:eastAsia="宋体" w:cs="宋体"/>
          <w:b/>
          <w:bCs/>
          <w:color w:val="auto"/>
          <w:sz w:val="21"/>
          <w:szCs w:val="21"/>
          <w:highlight w:val="none"/>
        </w:rPr>
        <w:t>（必须提供）</w:t>
      </w:r>
      <w:r>
        <w:rPr>
          <w:rFonts w:hint="eastAsia" w:ascii="宋体" w:hAnsi="宋体" w:cs="宋体"/>
          <w:b/>
          <w:bCs/>
          <w:color w:val="auto"/>
          <w:sz w:val="21"/>
          <w:szCs w:val="21"/>
          <w:highlight w:val="none"/>
          <w:lang w:eastAsia="zh-CN"/>
        </w:rPr>
        <w:t>；</w:t>
      </w:r>
    </w:p>
    <w:p w14:paraId="15D0994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22"/>
        <w:textAlignment w:val="auto"/>
        <w:rPr>
          <w:rFonts w:hint="eastAsia" w:ascii="宋体" w:hAnsi="宋体" w:eastAsia="宋体" w:cs="宋体"/>
          <w:b/>
          <w:bCs/>
          <w:color w:val="auto"/>
          <w:sz w:val="21"/>
          <w:szCs w:val="21"/>
          <w:highlight w:val="none"/>
          <w:lang w:val="en-US" w:eastAsia="zh-CN"/>
        </w:rPr>
      </w:pPr>
      <w:r>
        <w:rPr>
          <w:rFonts w:hint="eastAsia" w:ascii="宋体" w:hAnsi="宋体" w:cs="宋体"/>
          <w:bCs/>
          <w:color w:val="auto"/>
          <w:kern w:val="0"/>
          <w:sz w:val="21"/>
          <w:szCs w:val="21"/>
          <w:highlight w:val="none"/>
          <w:lang w:val="en-US" w:eastAsia="zh-CN" w:bidi="ar-SA"/>
        </w:rPr>
        <w:t>9.</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p>
    <w:p w14:paraId="4EACF2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kern w:val="2"/>
          <w:sz w:val="21"/>
          <w:szCs w:val="21"/>
          <w:highlight w:val="none"/>
          <w:lang w:val="en-US" w:eastAsia="zh-CN" w:bidi="ar-SA"/>
        </w:rPr>
      </w:pPr>
    </w:p>
    <w:p w14:paraId="23C898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kern w:val="2"/>
          <w:sz w:val="21"/>
          <w:szCs w:val="21"/>
          <w:highlight w:val="none"/>
          <w:lang w:val="en-US" w:eastAsia="zh-CN" w:bidi="ar-SA"/>
        </w:rPr>
      </w:pPr>
    </w:p>
    <w:p w14:paraId="4D45C0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二、</w:t>
      </w:r>
      <w:r>
        <w:rPr>
          <w:rFonts w:hint="eastAsia" w:ascii="宋体" w:hAnsi="宋体" w:eastAsia="宋体" w:cs="宋体"/>
          <w:b/>
          <w:bCs/>
          <w:color w:val="auto"/>
          <w:sz w:val="21"/>
          <w:szCs w:val="21"/>
          <w:highlight w:val="none"/>
        </w:rPr>
        <w:t>符合性响应证明材料</w:t>
      </w:r>
    </w:p>
    <w:p w14:paraId="09422F7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rPr>
        <w:t>响应函</w:t>
      </w:r>
      <w:r>
        <w:rPr>
          <w:rFonts w:hint="eastAsia" w:ascii="宋体" w:hAnsi="宋体" w:eastAsia="宋体" w:cs="宋体"/>
          <w:color w:val="auto"/>
          <w:sz w:val="21"/>
          <w:szCs w:val="21"/>
          <w:highlight w:val="none"/>
        </w:rPr>
        <w:t>及响应函附录</w:t>
      </w:r>
      <w:r>
        <w:rPr>
          <w:rFonts w:hint="eastAsia" w:ascii="宋体" w:hAnsi="宋体" w:eastAsia="宋体" w:cs="宋体"/>
          <w:color w:val="auto"/>
          <w:sz w:val="21"/>
          <w:szCs w:val="21"/>
          <w:highlight w:val="none"/>
          <w:lang w:val="en-US"/>
        </w:rPr>
        <w:t>（格式见附件）</w:t>
      </w:r>
      <w:r>
        <w:rPr>
          <w:rFonts w:hint="eastAsia" w:ascii="宋体" w:hAnsi="宋体" w:eastAsia="宋体" w:cs="宋体"/>
          <w:b/>
          <w:bCs/>
          <w:color w:val="auto"/>
          <w:sz w:val="21"/>
          <w:szCs w:val="21"/>
          <w:highlight w:val="none"/>
          <w:lang w:val="en-US"/>
        </w:rPr>
        <w:t>（必须提供）</w:t>
      </w:r>
      <w:r>
        <w:rPr>
          <w:rFonts w:hint="eastAsia" w:ascii="宋体" w:hAnsi="宋体" w:eastAsia="宋体" w:cs="宋体"/>
          <w:color w:val="auto"/>
          <w:sz w:val="21"/>
          <w:szCs w:val="21"/>
          <w:highlight w:val="none"/>
          <w:lang w:val="en-US" w:eastAsia="zh-CN"/>
        </w:rPr>
        <w:t>；</w:t>
      </w:r>
    </w:p>
    <w:p w14:paraId="443529B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已标价工程量清单</w:t>
      </w:r>
      <w:r>
        <w:rPr>
          <w:rFonts w:hint="eastAsia" w:ascii="宋体" w:hAnsi="宋体" w:eastAsia="宋体" w:cs="宋体"/>
          <w:b/>
          <w:bCs w:val="0"/>
          <w:color w:val="auto"/>
          <w:kern w:val="0"/>
          <w:sz w:val="21"/>
          <w:szCs w:val="21"/>
          <w:highlight w:val="none"/>
        </w:rPr>
        <w:t>（必须提供）</w:t>
      </w:r>
      <w:r>
        <w:rPr>
          <w:rFonts w:hint="eastAsia" w:ascii="宋体" w:hAnsi="宋体" w:eastAsia="宋体" w:cs="宋体"/>
          <w:b w:val="0"/>
          <w:bCs/>
          <w:color w:val="auto"/>
          <w:kern w:val="0"/>
          <w:sz w:val="21"/>
          <w:szCs w:val="21"/>
          <w:highlight w:val="none"/>
          <w:lang w:eastAsia="zh-CN"/>
        </w:rPr>
        <w:t>；</w:t>
      </w:r>
    </w:p>
    <w:p w14:paraId="0499058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项目管理机构组成表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必须提供)</w:t>
      </w:r>
      <w:r>
        <w:rPr>
          <w:rFonts w:hint="eastAsia" w:ascii="宋体" w:hAnsi="宋体" w:eastAsia="宋体" w:cs="宋体"/>
          <w:color w:val="auto"/>
          <w:sz w:val="21"/>
          <w:szCs w:val="21"/>
          <w:highlight w:val="none"/>
        </w:rPr>
        <w:t>；</w:t>
      </w:r>
    </w:p>
    <w:p w14:paraId="399648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Cs/>
          <w:color w:val="auto"/>
          <w:kern w:val="0"/>
          <w:sz w:val="21"/>
          <w:szCs w:val="21"/>
          <w:highlight w:val="none"/>
        </w:rPr>
        <w:t>施工组织设计</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0742F5B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城乡清洁工程渣土清运承诺书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Cs/>
          <w:color w:val="auto"/>
          <w:kern w:val="0"/>
          <w:sz w:val="21"/>
          <w:szCs w:val="21"/>
          <w:highlight w:val="none"/>
          <w:lang w:eastAsia="zh-CN"/>
        </w:rPr>
        <w:t>；</w:t>
      </w:r>
    </w:p>
    <w:p w14:paraId="69A733B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建设工程项目管理承诺书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p>
    <w:p w14:paraId="44C67E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三、</w:t>
      </w:r>
      <w:r>
        <w:rPr>
          <w:rFonts w:hint="eastAsia" w:ascii="宋体" w:hAnsi="宋体" w:eastAsia="宋体" w:cs="宋体"/>
          <w:b/>
          <w:bCs/>
          <w:color w:val="auto"/>
          <w:sz w:val="21"/>
          <w:szCs w:val="21"/>
          <w:highlight w:val="none"/>
        </w:rPr>
        <w:t>其</w:t>
      </w:r>
      <w:r>
        <w:rPr>
          <w:rFonts w:hint="eastAsia" w:ascii="宋体" w:hAnsi="宋体" w:eastAsia="宋体" w:cs="宋体"/>
          <w:b/>
          <w:bCs/>
          <w:color w:val="auto"/>
          <w:sz w:val="21"/>
          <w:szCs w:val="21"/>
          <w:highlight w:val="none"/>
          <w:lang w:eastAsia="zh-CN"/>
        </w:rPr>
        <w:t>他</w:t>
      </w:r>
      <w:r>
        <w:rPr>
          <w:rFonts w:hint="eastAsia" w:ascii="宋体" w:hAnsi="宋体" w:eastAsia="宋体" w:cs="宋体"/>
          <w:b/>
          <w:bCs/>
          <w:color w:val="auto"/>
          <w:sz w:val="21"/>
          <w:szCs w:val="21"/>
          <w:highlight w:val="none"/>
        </w:rPr>
        <w:t>有效证明材料</w:t>
      </w:r>
    </w:p>
    <w:p w14:paraId="75A85FAC">
      <w:pPr>
        <w:keepNext w:val="0"/>
        <w:keepLines w:val="0"/>
        <w:pageBreakBefore w:val="0"/>
        <w:widowControl w:val="0"/>
        <w:kinsoku/>
        <w:wordWrap/>
        <w:overflowPunct/>
        <w:topLinePunct w:val="0"/>
        <w:autoSpaceDE/>
        <w:autoSpaceDN/>
        <w:bidi w:val="0"/>
        <w:adjustRightInd/>
        <w:snapToGrid/>
        <w:spacing w:line="31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2023</w:t>
      </w:r>
      <w:r>
        <w:rPr>
          <w:rFonts w:hint="eastAsia" w:ascii="宋体" w:hAnsi="宋体" w:eastAsia="宋体" w:cs="宋体"/>
          <w:color w:val="auto"/>
          <w:sz w:val="21"/>
          <w:szCs w:val="21"/>
          <w:highlight w:val="none"/>
          <w:lang w:eastAsia="zh-CN"/>
        </w:rPr>
        <w:t>年1月1日以来具有同类项目业绩的相关证明材料</w:t>
      </w:r>
      <w:r>
        <w:rPr>
          <w:rFonts w:hint="eastAsia" w:ascii="宋体" w:hAnsi="宋体" w:eastAsia="宋体" w:cs="宋体"/>
          <w:color w:val="auto"/>
          <w:sz w:val="21"/>
          <w:szCs w:val="21"/>
          <w:highlight w:val="none"/>
        </w:rPr>
        <w:t>（无不良记录，以中标、成交通知书或签订的合同</w:t>
      </w:r>
      <w:r>
        <w:rPr>
          <w:rFonts w:hint="eastAsia" w:ascii="宋体" w:hAnsi="宋体" w:eastAsia="宋体" w:cs="宋体"/>
          <w:color w:val="auto"/>
          <w:sz w:val="21"/>
          <w:szCs w:val="21"/>
          <w:highlight w:val="none"/>
          <w:lang w:eastAsia="zh-CN"/>
        </w:rPr>
        <w:t>复印件</w:t>
      </w:r>
      <w:r>
        <w:rPr>
          <w:rFonts w:hint="eastAsia" w:ascii="宋体" w:hAnsi="宋体" w:eastAsia="宋体" w:cs="宋体"/>
          <w:color w:val="auto"/>
          <w:sz w:val="21"/>
          <w:szCs w:val="21"/>
          <w:highlight w:val="none"/>
        </w:rPr>
        <w:t>为准，并能清晰反映</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的名称、</w:t>
      </w:r>
      <w:r>
        <w:rPr>
          <w:rFonts w:hint="eastAsia" w:ascii="宋体" w:hAnsi="宋体" w:eastAsia="宋体" w:cs="宋体"/>
          <w:color w:val="auto"/>
          <w:sz w:val="21"/>
          <w:szCs w:val="21"/>
          <w:highlight w:val="none"/>
          <w:lang w:eastAsia="zh-CN"/>
        </w:rPr>
        <w:t>采购内容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、采购时间</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（如有，请提供）；</w:t>
      </w:r>
    </w:p>
    <w:p w14:paraId="2EB5856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cs="宋体"/>
          <w:color w:val="auto"/>
          <w:sz w:val="21"/>
          <w:szCs w:val="21"/>
          <w:highlight w:val="none"/>
          <w:lang w:val="en-US" w:eastAsia="zh-CN"/>
        </w:rPr>
      </w:pPr>
    </w:p>
    <w:p w14:paraId="6E3A48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供应商可结合本项目</w:t>
      </w:r>
      <w:r>
        <w:rPr>
          <w:rFonts w:hint="eastAsia" w:ascii="宋体" w:hAnsi="宋体" w:cs="宋体"/>
          <w:color w:val="auto"/>
          <w:sz w:val="21"/>
          <w:szCs w:val="21"/>
          <w:highlight w:val="none"/>
          <w:lang w:val="en-US" w:eastAsia="zh-CN"/>
        </w:rPr>
        <w:t>评审办法中</w:t>
      </w:r>
      <w:r>
        <w:rPr>
          <w:rFonts w:hint="eastAsia" w:ascii="宋体" w:hAnsi="宋体" w:eastAsia="宋体" w:cs="宋体"/>
          <w:color w:val="auto"/>
          <w:sz w:val="21"/>
          <w:szCs w:val="21"/>
          <w:highlight w:val="none"/>
        </w:rPr>
        <w:t>的自身情况自行提交其它相关证明材料。</w:t>
      </w:r>
    </w:p>
    <w:p w14:paraId="1E07BFB6">
      <w:pPr>
        <w:pStyle w:val="13"/>
        <w:ind w:left="0" w:leftChars="0" w:firstLine="0" w:firstLineChars="0"/>
        <w:rPr>
          <w:rFonts w:hint="eastAsia" w:ascii="宋体" w:hAnsi="宋体" w:eastAsia="宋体" w:cs="宋体"/>
          <w:b/>
          <w:color w:val="auto"/>
          <w:sz w:val="24"/>
          <w:szCs w:val="24"/>
          <w:highlight w:val="none"/>
          <w:lang w:val="en-US" w:eastAsia="zh-CN"/>
        </w:rPr>
      </w:pPr>
    </w:p>
    <w:p w14:paraId="386A8202">
      <w:pPr>
        <w:pStyle w:val="13"/>
        <w:ind w:left="0" w:leftChars="0" w:firstLine="0" w:firstLineChars="0"/>
        <w:rPr>
          <w:rFonts w:hint="eastAsia" w:ascii="宋体" w:hAnsi="宋体" w:eastAsia="宋体" w:cs="宋体"/>
          <w:b/>
          <w:color w:val="auto"/>
          <w:sz w:val="24"/>
          <w:szCs w:val="24"/>
          <w:highlight w:val="none"/>
          <w:lang w:val="en-US" w:eastAsia="zh-CN"/>
        </w:rPr>
      </w:pPr>
    </w:p>
    <w:p w14:paraId="73C3B570">
      <w:pPr>
        <w:pStyle w:val="13"/>
        <w:ind w:left="0" w:leftChars="0" w:firstLine="0" w:firstLineChars="0"/>
        <w:rPr>
          <w:rFonts w:hint="eastAsia" w:ascii="宋体" w:hAnsi="宋体" w:eastAsia="宋体" w:cs="宋体"/>
          <w:b/>
          <w:color w:val="auto"/>
          <w:sz w:val="24"/>
          <w:szCs w:val="24"/>
          <w:highlight w:val="none"/>
          <w:lang w:val="en-US" w:eastAsia="zh-CN"/>
        </w:rPr>
      </w:pPr>
    </w:p>
    <w:p w14:paraId="338D1FB7">
      <w:pPr>
        <w:pStyle w:val="13"/>
        <w:ind w:left="0" w:leftChars="0" w:firstLine="0" w:firstLineChars="0"/>
        <w:rPr>
          <w:rFonts w:hint="eastAsia" w:ascii="宋体" w:hAnsi="宋体" w:eastAsia="宋体" w:cs="宋体"/>
          <w:b/>
          <w:color w:val="auto"/>
          <w:sz w:val="24"/>
          <w:szCs w:val="24"/>
          <w:highlight w:val="none"/>
          <w:lang w:val="en-US" w:eastAsia="zh-CN"/>
        </w:rPr>
      </w:pPr>
    </w:p>
    <w:p w14:paraId="3C2D5E7E">
      <w:pPr>
        <w:pStyle w:val="13"/>
        <w:ind w:left="0" w:leftChars="0" w:firstLine="0" w:firstLineChars="0"/>
        <w:rPr>
          <w:rFonts w:hint="eastAsia" w:ascii="宋体" w:hAnsi="宋体" w:eastAsia="宋体" w:cs="宋体"/>
          <w:b/>
          <w:color w:val="auto"/>
          <w:sz w:val="24"/>
          <w:szCs w:val="24"/>
          <w:highlight w:val="none"/>
          <w:lang w:val="en-US" w:eastAsia="zh-CN"/>
        </w:rPr>
      </w:pPr>
    </w:p>
    <w:p w14:paraId="47B7549B">
      <w:pPr>
        <w:pStyle w:val="13"/>
        <w:ind w:left="0" w:leftChars="0" w:firstLine="0" w:firstLineChars="0"/>
        <w:rPr>
          <w:rFonts w:hint="eastAsia" w:ascii="宋体" w:hAnsi="宋体" w:eastAsia="宋体" w:cs="宋体"/>
          <w:b/>
          <w:color w:val="auto"/>
          <w:sz w:val="24"/>
          <w:szCs w:val="24"/>
          <w:highlight w:val="none"/>
          <w:lang w:val="en-US" w:eastAsia="zh-CN"/>
        </w:rPr>
      </w:pPr>
    </w:p>
    <w:p w14:paraId="0CABD638">
      <w:pPr>
        <w:pStyle w:val="13"/>
        <w:ind w:left="0" w:leftChars="0" w:firstLine="0" w:firstLineChars="0"/>
        <w:rPr>
          <w:rFonts w:hint="eastAsia" w:ascii="宋体" w:hAnsi="宋体" w:eastAsia="宋体" w:cs="宋体"/>
          <w:b/>
          <w:color w:val="auto"/>
          <w:sz w:val="24"/>
          <w:szCs w:val="24"/>
          <w:highlight w:val="none"/>
          <w:lang w:val="en-US" w:eastAsia="zh-CN"/>
        </w:rPr>
      </w:pPr>
    </w:p>
    <w:p w14:paraId="46694EFB">
      <w:pPr>
        <w:pStyle w:val="13"/>
        <w:ind w:left="0" w:leftChars="0" w:firstLine="0" w:firstLineChars="0"/>
        <w:rPr>
          <w:rFonts w:hint="eastAsia" w:ascii="宋体" w:hAnsi="宋体" w:eastAsia="宋体" w:cs="宋体"/>
          <w:b/>
          <w:color w:val="auto"/>
          <w:sz w:val="24"/>
          <w:szCs w:val="24"/>
          <w:highlight w:val="none"/>
          <w:lang w:val="en-US" w:eastAsia="zh-CN"/>
        </w:rPr>
      </w:pPr>
    </w:p>
    <w:p w14:paraId="2C6012D1">
      <w:pPr>
        <w:pStyle w:val="13"/>
        <w:ind w:left="0" w:leftChars="0" w:firstLine="0" w:firstLineChars="0"/>
        <w:rPr>
          <w:rFonts w:hint="eastAsia" w:ascii="宋体" w:hAnsi="宋体" w:eastAsia="宋体" w:cs="宋体"/>
          <w:b/>
          <w:color w:val="auto"/>
          <w:sz w:val="24"/>
          <w:szCs w:val="24"/>
          <w:highlight w:val="none"/>
          <w:lang w:val="en-US" w:eastAsia="zh-CN"/>
        </w:rPr>
      </w:pPr>
    </w:p>
    <w:p w14:paraId="3884DD0F">
      <w:pPr>
        <w:pStyle w:val="13"/>
        <w:ind w:left="0" w:leftChars="0" w:firstLine="0" w:firstLineChars="0"/>
        <w:rPr>
          <w:rFonts w:hint="eastAsia" w:ascii="宋体" w:hAnsi="宋体" w:eastAsia="宋体" w:cs="宋体"/>
          <w:b/>
          <w:color w:val="auto"/>
          <w:sz w:val="24"/>
          <w:szCs w:val="24"/>
          <w:highlight w:val="none"/>
          <w:lang w:val="en-US" w:eastAsia="zh-CN"/>
        </w:rPr>
      </w:pPr>
    </w:p>
    <w:p w14:paraId="72F5F7EA">
      <w:pPr>
        <w:pStyle w:val="13"/>
        <w:ind w:left="0" w:leftChars="0" w:firstLine="0" w:firstLineChars="0"/>
        <w:rPr>
          <w:rFonts w:hint="eastAsia" w:ascii="宋体" w:hAnsi="宋体" w:eastAsia="宋体" w:cs="宋体"/>
          <w:b/>
          <w:color w:val="auto"/>
          <w:sz w:val="24"/>
          <w:szCs w:val="24"/>
          <w:highlight w:val="none"/>
          <w:lang w:val="en-US" w:eastAsia="zh-CN"/>
        </w:rPr>
      </w:pPr>
    </w:p>
    <w:p w14:paraId="0E6C5F57">
      <w:pPr>
        <w:pStyle w:val="13"/>
        <w:ind w:left="0" w:leftChars="0" w:firstLine="0" w:firstLineChars="0"/>
        <w:rPr>
          <w:rFonts w:hint="eastAsia" w:ascii="宋体" w:hAnsi="宋体" w:eastAsia="宋体" w:cs="宋体"/>
          <w:b/>
          <w:color w:val="auto"/>
          <w:sz w:val="24"/>
          <w:szCs w:val="24"/>
          <w:highlight w:val="none"/>
          <w:lang w:val="en-US" w:eastAsia="zh-CN"/>
        </w:rPr>
      </w:pPr>
    </w:p>
    <w:p w14:paraId="621AB481">
      <w:pPr>
        <w:pStyle w:val="13"/>
        <w:ind w:left="0" w:leftChars="0" w:firstLine="0" w:firstLineChars="0"/>
        <w:rPr>
          <w:rFonts w:hint="eastAsia" w:ascii="宋体" w:hAnsi="宋体" w:eastAsia="宋体" w:cs="宋体"/>
          <w:b/>
          <w:color w:val="auto"/>
          <w:sz w:val="24"/>
          <w:szCs w:val="24"/>
          <w:highlight w:val="none"/>
          <w:lang w:val="en-US" w:eastAsia="zh-CN"/>
        </w:rPr>
      </w:pPr>
    </w:p>
    <w:p w14:paraId="0AD13DAB">
      <w:pPr>
        <w:pStyle w:val="13"/>
        <w:ind w:left="0" w:leftChars="0" w:firstLine="0" w:firstLineChars="0"/>
        <w:rPr>
          <w:rFonts w:hint="eastAsia" w:ascii="宋体" w:hAnsi="宋体" w:eastAsia="宋体" w:cs="宋体"/>
          <w:b/>
          <w:color w:val="auto"/>
          <w:sz w:val="24"/>
          <w:szCs w:val="24"/>
          <w:highlight w:val="none"/>
          <w:lang w:val="en-US" w:eastAsia="zh-CN"/>
        </w:rPr>
      </w:pPr>
    </w:p>
    <w:p w14:paraId="5182DC0F">
      <w:pPr>
        <w:pStyle w:val="13"/>
        <w:ind w:left="0" w:leftChars="0" w:firstLine="0" w:firstLineChars="0"/>
        <w:rPr>
          <w:rFonts w:hint="eastAsia" w:ascii="宋体" w:hAnsi="宋体" w:eastAsia="宋体" w:cs="宋体"/>
          <w:b/>
          <w:color w:val="auto"/>
          <w:sz w:val="24"/>
          <w:szCs w:val="24"/>
          <w:highlight w:val="none"/>
          <w:lang w:val="en-US" w:eastAsia="zh-CN"/>
        </w:rPr>
      </w:pPr>
    </w:p>
    <w:p w14:paraId="146806CD">
      <w:pPr>
        <w:pStyle w:val="13"/>
        <w:ind w:left="0" w:leftChars="0" w:firstLine="0" w:firstLineChars="0"/>
        <w:rPr>
          <w:rFonts w:hint="eastAsia" w:ascii="宋体" w:hAnsi="宋体" w:eastAsia="宋体" w:cs="宋体"/>
          <w:b/>
          <w:color w:val="auto"/>
          <w:sz w:val="24"/>
          <w:szCs w:val="24"/>
          <w:highlight w:val="none"/>
          <w:lang w:val="en-US" w:eastAsia="zh-CN"/>
        </w:rPr>
      </w:pPr>
    </w:p>
    <w:p w14:paraId="28C0A660">
      <w:pPr>
        <w:pStyle w:val="13"/>
        <w:ind w:left="0" w:leftChars="0" w:firstLine="0" w:firstLineChars="0"/>
        <w:rPr>
          <w:rFonts w:hint="eastAsia" w:ascii="宋体" w:hAnsi="宋体" w:eastAsia="宋体" w:cs="宋体"/>
          <w:b/>
          <w:color w:val="auto"/>
          <w:sz w:val="24"/>
          <w:szCs w:val="24"/>
          <w:highlight w:val="none"/>
          <w:lang w:val="en-US" w:eastAsia="zh-CN"/>
        </w:rPr>
      </w:pPr>
    </w:p>
    <w:p w14:paraId="55DF713F">
      <w:pPr>
        <w:pStyle w:val="13"/>
        <w:ind w:left="0" w:leftChars="0" w:firstLine="0" w:firstLineChars="0"/>
        <w:rPr>
          <w:rFonts w:hint="eastAsia" w:ascii="宋体" w:hAnsi="宋体" w:eastAsia="宋体" w:cs="宋体"/>
          <w:b/>
          <w:color w:val="auto"/>
          <w:sz w:val="24"/>
          <w:szCs w:val="24"/>
          <w:highlight w:val="none"/>
          <w:lang w:val="en-US" w:eastAsia="zh-CN"/>
        </w:rPr>
      </w:pPr>
    </w:p>
    <w:p w14:paraId="117B9D59">
      <w:pPr>
        <w:pStyle w:val="13"/>
        <w:ind w:left="0" w:leftChars="0" w:firstLine="0" w:firstLineChars="0"/>
        <w:rPr>
          <w:rFonts w:hint="eastAsia" w:ascii="宋体" w:hAnsi="宋体" w:eastAsia="宋体" w:cs="宋体"/>
          <w:b/>
          <w:color w:val="auto"/>
          <w:sz w:val="24"/>
          <w:szCs w:val="24"/>
          <w:highlight w:val="none"/>
          <w:lang w:val="en-US" w:eastAsia="zh-CN"/>
        </w:rPr>
      </w:pPr>
    </w:p>
    <w:p w14:paraId="7C4FC3E1">
      <w:pPr>
        <w:pStyle w:val="13"/>
        <w:ind w:left="0" w:leftChars="0" w:firstLine="0" w:firstLineChars="0"/>
        <w:rPr>
          <w:rFonts w:hint="eastAsia" w:ascii="宋体" w:hAnsi="宋体" w:eastAsia="宋体" w:cs="宋体"/>
          <w:b/>
          <w:color w:val="auto"/>
          <w:sz w:val="24"/>
          <w:szCs w:val="24"/>
          <w:highlight w:val="none"/>
          <w:lang w:val="en-US" w:eastAsia="zh-CN"/>
        </w:rPr>
      </w:pPr>
    </w:p>
    <w:p w14:paraId="0A8D5E76">
      <w:pPr>
        <w:pStyle w:val="13"/>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一、资格性响应证明材料</w:t>
      </w:r>
      <w:r>
        <w:rPr>
          <w:rFonts w:hint="eastAsia" w:ascii="宋体" w:hAnsi="宋体" w:cs="宋体"/>
          <w:b/>
          <w:color w:val="auto"/>
          <w:sz w:val="24"/>
          <w:szCs w:val="24"/>
          <w:highlight w:val="none"/>
          <w:lang w:val="en-US" w:eastAsia="zh-CN"/>
        </w:rPr>
        <w:t>：</w:t>
      </w:r>
    </w:p>
    <w:p w14:paraId="5CD9DCBF">
      <w:pPr>
        <w:pStyle w:val="14"/>
        <w:rPr>
          <w:rFonts w:hint="eastAsia" w:ascii="宋体" w:hAnsi="宋体" w:eastAsia="宋体" w:cs="宋体"/>
          <w:b/>
          <w:color w:val="auto"/>
          <w:sz w:val="21"/>
          <w:szCs w:val="21"/>
          <w:highlight w:val="none"/>
        </w:rPr>
      </w:pPr>
    </w:p>
    <w:p w14:paraId="26CA7C6E">
      <w:pPr>
        <w:pStyle w:val="8"/>
        <w:rPr>
          <w:rFonts w:hint="eastAsia" w:ascii="宋体" w:hAnsi="宋体" w:eastAsia="宋体" w:cs="宋体"/>
          <w:b/>
          <w:color w:val="auto"/>
          <w:sz w:val="21"/>
          <w:szCs w:val="21"/>
          <w:highlight w:val="none"/>
        </w:rPr>
      </w:pPr>
    </w:p>
    <w:p w14:paraId="6E93B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供应商相应的法定代表人、负责人、自然人身份证正反两面复印件（必须提供）</w:t>
      </w:r>
    </w:p>
    <w:p w14:paraId="400ACCEF">
      <w:pPr>
        <w:pStyle w:val="11"/>
        <w:rPr>
          <w:rFonts w:hint="eastAsia" w:ascii="宋体" w:hAnsi="宋体" w:eastAsia="宋体" w:cs="宋体"/>
          <w:b/>
          <w:color w:val="auto"/>
          <w:sz w:val="21"/>
          <w:szCs w:val="21"/>
          <w:highlight w:val="none"/>
        </w:rPr>
      </w:pPr>
    </w:p>
    <w:p w14:paraId="6BA1F063">
      <w:pPr>
        <w:pStyle w:val="11"/>
        <w:rPr>
          <w:rFonts w:hint="eastAsia" w:ascii="宋体" w:hAnsi="宋体" w:eastAsia="宋体" w:cs="宋体"/>
          <w:b/>
          <w:color w:val="auto"/>
          <w:sz w:val="21"/>
          <w:szCs w:val="21"/>
          <w:highlight w:val="none"/>
        </w:rPr>
      </w:pPr>
    </w:p>
    <w:p w14:paraId="0BF2AB35">
      <w:pPr>
        <w:pStyle w:val="11"/>
        <w:rPr>
          <w:rFonts w:hint="eastAsia" w:ascii="宋体" w:hAnsi="宋体" w:eastAsia="宋体" w:cs="宋体"/>
          <w:b/>
          <w:color w:val="auto"/>
          <w:sz w:val="21"/>
          <w:szCs w:val="21"/>
          <w:highlight w:val="none"/>
        </w:rPr>
      </w:pPr>
    </w:p>
    <w:p w14:paraId="68F082A3">
      <w:pPr>
        <w:pStyle w:val="11"/>
        <w:rPr>
          <w:rFonts w:hint="eastAsia" w:ascii="宋体" w:hAnsi="宋体" w:eastAsia="宋体" w:cs="宋体"/>
          <w:b/>
          <w:color w:val="auto"/>
          <w:sz w:val="21"/>
          <w:szCs w:val="21"/>
          <w:highlight w:val="none"/>
        </w:rPr>
      </w:pPr>
    </w:p>
    <w:p w14:paraId="11C5D1BC">
      <w:pPr>
        <w:pStyle w:val="11"/>
        <w:rPr>
          <w:rFonts w:hint="eastAsia" w:ascii="宋体" w:hAnsi="宋体" w:eastAsia="宋体" w:cs="宋体"/>
          <w:b/>
          <w:color w:val="auto"/>
          <w:sz w:val="21"/>
          <w:szCs w:val="21"/>
          <w:highlight w:val="none"/>
        </w:rPr>
      </w:pPr>
    </w:p>
    <w:p w14:paraId="130E462F">
      <w:pPr>
        <w:pStyle w:val="11"/>
        <w:rPr>
          <w:rFonts w:hint="eastAsia" w:ascii="宋体" w:hAnsi="宋体" w:eastAsia="宋体" w:cs="宋体"/>
          <w:b/>
          <w:color w:val="auto"/>
          <w:sz w:val="21"/>
          <w:szCs w:val="21"/>
          <w:highlight w:val="none"/>
        </w:rPr>
      </w:pPr>
    </w:p>
    <w:p w14:paraId="64EA58AB">
      <w:pPr>
        <w:pStyle w:val="11"/>
        <w:rPr>
          <w:rFonts w:hint="eastAsia" w:ascii="宋体" w:hAnsi="宋体" w:eastAsia="宋体" w:cs="宋体"/>
          <w:b/>
          <w:color w:val="auto"/>
          <w:sz w:val="21"/>
          <w:szCs w:val="21"/>
          <w:highlight w:val="none"/>
        </w:rPr>
      </w:pPr>
    </w:p>
    <w:p w14:paraId="283BA21F">
      <w:pPr>
        <w:pStyle w:val="11"/>
        <w:rPr>
          <w:rFonts w:hint="eastAsia" w:ascii="宋体" w:hAnsi="宋体" w:eastAsia="宋体" w:cs="宋体"/>
          <w:b/>
          <w:color w:val="auto"/>
          <w:sz w:val="21"/>
          <w:szCs w:val="21"/>
          <w:highlight w:val="none"/>
        </w:rPr>
      </w:pPr>
    </w:p>
    <w:p w14:paraId="7AF844F7">
      <w:pPr>
        <w:pStyle w:val="11"/>
        <w:rPr>
          <w:rFonts w:hint="eastAsia" w:ascii="宋体" w:hAnsi="宋体" w:eastAsia="宋体" w:cs="宋体"/>
          <w:b/>
          <w:color w:val="auto"/>
          <w:sz w:val="21"/>
          <w:szCs w:val="21"/>
          <w:highlight w:val="none"/>
        </w:rPr>
      </w:pPr>
    </w:p>
    <w:p w14:paraId="21A9C0B6">
      <w:pPr>
        <w:pStyle w:val="11"/>
        <w:rPr>
          <w:rFonts w:hint="eastAsia" w:ascii="宋体" w:hAnsi="宋体" w:eastAsia="宋体" w:cs="宋体"/>
          <w:b/>
          <w:color w:val="auto"/>
          <w:sz w:val="21"/>
          <w:szCs w:val="21"/>
          <w:highlight w:val="none"/>
        </w:rPr>
      </w:pPr>
    </w:p>
    <w:p w14:paraId="18E255B1">
      <w:pPr>
        <w:pStyle w:val="11"/>
        <w:rPr>
          <w:rFonts w:hint="eastAsia" w:ascii="宋体" w:hAnsi="宋体" w:eastAsia="宋体" w:cs="宋体"/>
          <w:b/>
          <w:color w:val="auto"/>
          <w:sz w:val="21"/>
          <w:szCs w:val="21"/>
          <w:highlight w:val="none"/>
        </w:rPr>
      </w:pPr>
    </w:p>
    <w:p w14:paraId="4C121A14">
      <w:pPr>
        <w:pStyle w:val="11"/>
        <w:rPr>
          <w:rFonts w:hint="eastAsia" w:ascii="宋体" w:hAnsi="宋体" w:eastAsia="宋体" w:cs="宋体"/>
          <w:b/>
          <w:color w:val="auto"/>
          <w:sz w:val="21"/>
          <w:szCs w:val="21"/>
          <w:highlight w:val="none"/>
        </w:rPr>
      </w:pPr>
    </w:p>
    <w:p w14:paraId="12A43C0F">
      <w:pPr>
        <w:pStyle w:val="11"/>
        <w:rPr>
          <w:rFonts w:hint="eastAsia" w:ascii="宋体" w:hAnsi="宋体" w:eastAsia="宋体" w:cs="宋体"/>
          <w:b/>
          <w:color w:val="auto"/>
          <w:sz w:val="21"/>
          <w:szCs w:val="21"/>
          <w:highlight w:val="none"/>
        </w:rPr>
      </w:pPr>
    </w:p>
    <w:p w14:paraId="274161EB">
      <w:pPr>
        <w:pStyle w:val="11"/>
        <w:rPr>
          <w:rFonts w:hint="eastAsia" w:ascii="宋体" w:hAnsi="宋体" w:eastAsia="宋体" w:cs="宋体"/>
          <w:b/>
          <w:color w:val="auto"/>
          <w:sz w:val="21"/>
          <w:szCs w:val="21"/>
          <w:highlight w:val="none"/>
        </w:rPr>
      </w:pPr>
    </w:p>
    <w:p w14:paraId="54203514">
      <w:pPr>
        <w:pStyle w:val="11"/>
        <w:rPr>
          <w:rFonts w:hint="eastAsia" w:ascii="宋体" w:hAnsi="宋体" w:eastAsia="宋体" w:cs="宋体"/>
          <w:b/>
          <w:color w:val="auto"/>
          <w:sz w:val="21"/>
          <w:szCs w:val="21"/>
          <w:highlight w:val="none"/>
        </w:rPr>
      </w:pPr>
    </w:p>
    <w:p w14:paraId="60F702E7">
      <w:pPr>
        <w:pStyle w:val="11"/>
        <w:rPr>
          <w:rFonts w:hint="eastAsia" w:ascii="宋体" w:hAnsi="宋体" w:eastAsia="宋体" w:cs="宋体"/>
          <w:b/>
          <w:color w:val="auto"/>
          <w:sz w:val="21"/>
          <w:szCs w:val="21"/>
          <w:highlight w:val="none"/>
        </w:rPr>
      </w:pPr>
    </w:p>
    <w:p w14:paraId="18CBD31F">
      <w:pPr>
        <w:pStyle w:val="11"/>
        <w:rPr>
          <w:rFonts w:hint="eastAsia" w:ascii="宋体" w:hAnsi="宋体" w:eastAsia="宋体" w:cs="宋体"/>
          <w:b/>
          <w:color w:val="auto"/>
          <w:sz w:val="21"/>
          <w:szCs w:val="21"/>
          <w:highlight w:val="none"/>
        </w:rPr>
      </w:pPr>
    </w:p>
    <w:p w14:paraId="374757E1">
      <w:pPr>
        <w:pStyle w:val="11"/>
        <w:rPr>
          <w:rFonts w:hint="eastAsia" w:ascii="宋体" w:hAnsi="宋体" w:eastAsia="宋体" w:cs="宋体"/>
          <w:b/>
          <w:color w:val="auto"/>
          <w:sz w:val="21"/>
          <w:szCs w:val="21"/>
          <w:highlight w:val="none"/>
        </w:rPr>
      </w:pPr>
    </w:p>
    <w:p w14:paraId="54129269">
      <w:pPr>
        <w:pStyle w:val="11"/>
        <w:rPr>
          <w:rFonts w:hint="eastAsia" w:ascii="宋体" w:hAnsi="宋体" w:eastAsia="宋体" w:cs="宋体"/>
          <w:b/>
          <w:color w:val="auto"/>
          <w:sz w:val="21"/>
          <w:szCs w:val="21"/>
          <w:highlight w:val="none"/>
        </w:rPr>
      </w:pPr>
    </w:p>
    <w:p w14:paraId="1D31A450">
      <w:pPr>
        <w:pStyle w:val="11"/>
        <w:rPr>
          <w:rFonts w:hint="eastAsia" w:ascii="宋体" w:hAnsi="宋体" w:eastAsia="宋体" w:cs="宋体"/>
          <w:b/>
          <w:color w:val="auto"/>
          <w:sz w:val="21"/>
          <w:szCs w:val="21"/>
          <w:highlight w:val="none"/>
        </w:rPr>
      </w:pPr>
    </w:p>
    <w:p w14:paraId="3A422067">
      <w:pPr>
        <w:pStyle w:val="11"/>
        <w:rPr>
          <w:rFonts w:hint="eastAsia" w:ascii="宋体" w:hAnsi="宋体" w:eastAsia="宋体" w:cs="宋体"/>
          <w:b/>
          <w:color w:val="auto"/>
          <w:sz w:val="21"/>
          <w:szCs w:val="21"/>
          <w:highlight w:val="none"/>
        </w:rPr>
      </w:pPr>
    </w:p>
    <w:p w14:paraId="42637356">
      <w:pPr>
        <w:pStyle w:val="11"/>
        <w:rPr>
          <w:rFonts w:hint="eastAsia" w:ascii="宋体" w:hAnsi="宋体" w:eastAsia="宋体" w:cs="宋体"/>
          <w:b/>
          <w:color w:val="auto"/>
          <w:sz w:val="21"/>
          <w:szCs w:val="21"/>
          <w:highlight w:val="none"/>
        </w:rPr>
      </w:pPr>
    </w:p>
    <w:p w14:paraId="5D4586C5">
      <w:pPr>
        <w:pStyle w:val="11"/>
        <w:rPr>
          <w:rFonts w:hint="eastAsia" w:ascii="宋体" w:hAnsi="宋体" w:eastAsia="宋体" w:cs="宋体"/>
          <w:b/>
          <w:color w:val="auto"/>
          <w:sz w:val="21"/>
          <w:szCs w:val="21"/>
          <w:highlight w:val="none"/>
        </w:rPr>
      </w:pPr>
    </w:p>
    <w:p w14:paraId="453021BF">
      <w:pPr>
        <w:pStyle w:val="11"/>
        <w:rPr>
          <w:rFonts w:hint="eastAsia" w:ascii="宋体" w:hAnsi="宋体" w:eastAsia="宋体" w:cs="宋体"/>
          <w:b/>
          <w:color w:val="auto"/>
          <w:sz w:val="21"/>
          <w:szCs w:val="21"/>
          <w:highlight w:val="none"/>
        </w:rPr>
      </w:pPr>
    </w:p>
    <w:p w14:paraId="3104A2CC">
      <w:pPr>
        <w:pStyle w:val="11"/>
        <w:rPr>
          <w:rFonts w:hint="eastAsia" w:ascii="宋体" w:hAnsi="宋体" w:eastAsia="宋体" w:cs="宋体"/>
          <w:b/>
          <w:color w:val="auto"/>
          <w:sz w:val="21"/>
          <w:szCs w:val="21"/>
          <w:highlight w:val="none"/>
        </w:rPr>
      </w:pPr>
    </w:p>
    <w:p w14:paraId="023E66F4">
      <w:pPr>
        <w:pStyle w:val="11"/>
        <w:rPr>
          <w:rFonts w:hint="eastAsia" w:ascii="宋体" w:hAnsi="宋体" w:eastAsia="宋体" w:cs="宋体"/>
          <w:b/>
          <w:color w:val="auto"/>
          <w:sz w:val="21"/>
          <w:szCs w:val="21"/>
          <w:highlight w:val="none"/>
        </w:rPr>
      </w:pPr>
    </w:p>
    <w:p w14:paraId="10CA4F4A">
      <w:pPr>
        <w:pStyle w:val="11"/>
        <w:rPr>
          <w:rFonts w:hint="eastAsia" w:ascii="宋体" w:hAnsi="宋体" w:eastAsia="宋体" w:cs="宋体"/>
          <w:b/>
          <w:color w:val="auto"/>
          <w:sz w:val="21"/>
          <w:szCs w:val="21"/>
          <w:highlight w:val="none"/>
        </w:rPr>
      </w:pPr>
    </w:p>
    <w:p w14:paraId="69DD3866">
      <w:pPr>
        <w:pStyle w:val="11"/>
        <w:rPr>
          <w:rFonts w:hint="eastAsia" w:ascii="宋体" w:hAnsi="宋体" w:eastAsia="宋体" w:cs="宋体"/>
          <w:b/>
          <w:color w:val="auto"/>
          <w:sz w:val="21"/>
          <w:szCs w:val="21"/>
          <w:highlight w:val="none"/>
        </w:rPr>
      </w:pPr>
    </w:p>
    <w:p w14:paraId="7CFE8E65">
      <w:pPr>
        <w:pStyle w:val="11"/>
        <w:rPr>
          <w:rFonts w:hint="eastAsia" w:ascii="宋体" w:hAnsi="宋体" w:eastAsia="宋体" w:cs="宋体"/>
          <w:b/>
          <w:color w:val="auto"/>
          <w:sz w:val="21"/>
          <w:szCs w:val="21"/>
          <w:highlight w:val="none"/>
        </w:rPr>
      </w:pPr>
    </w:p>
    <w:p w14:paraId="0777C69E">
      <w:pPr>
        <w:pStyle w:val="11"/>
        <w:rPr>
          <w:rFonts w:hint="eastAsia" w:ascii="宋体" w:hAnsi="宋体" w:eastAsia="宋体" w:cs="宋体"/>
          <w:b/>
          <w:color w:val="auto"/>
          <w:sz w:val="21"/>
          <w:szCs w:val="21"/>
          <w:highlight w:val="none"/>
        </w:rPr>
      </w:pPr>
    </w:p>
    <w:p w14:paraId="67F917F5">
      <w:pPr>
        <w:pStyle w:val="11"/>
        <w:rPr>
          <w:rFonts w:hint="eastAsia" w:ascii="宋体" w:hAnsi="宋体" w:eastAsia="宋体" w:cs="宋体"/>
          <w:b/>
          <w:color w:val="auto"/>
          <w:sz w:val="21"/>
          <w:szCs w:val="21"/>
          <w:highlight w:val="none"/>
        </w:rPr>
      </w:pPr>
    </w:p>
    <w:p w14:paraId="3959EA8C">
      <w:pPr>
        <w:pStyle w:val="11"/>
        <w:rPr>
          <w:rFonts w:hint="eastAsia" w:ascii="宋体" w:hAnsi="宋体" w:eastAsia="宋体" w:cs="宋体"/>
          <w:b/>
          <w:color w:val="auto"/>
          <w:sz w:val="21"/>
          <w:szCs w:val="21"/>
          <w:highlight w:val="none"/>
        </w:rPr>
      </w:pPr>
    </w:p>
    <w:p w14:paraId="677E0FC9">
      <w:pPr>
        <w:pStyle w:val="14"/>
        <w:numPr>
          <w:ilvl w:val="0"/>
          <w:numId w:val="10"/>
        </w:numPr>
        <w:rPr>
          <w:rFonts w:hint="eastAsia" w:ascii="宋体" w:hAnsi="宋体" w:eastAsia="宋体" w:cs="宋体"/>
          <w:b/>
          <w:color w:val="auto"/>
          <w:sz w:val="21"/>
          <w:szCs w:val="21"/>
          <w:highlight w:val="none"/>
        </w:rPr>
      </w:pPr>
      <w:r>
        <w:rPr>
          <w:rFonts w:hint="eastAsia" w:ascii="宋体" w:hAnsi="宋体" w:eastAsia="宋体" w:cs="宋体"/>
          <w:b/>
          <w:bCs/>
          <w:color w:val="auto"/>
          <w:sz w:val="24"/>
          <w:szCs w:val="24"/>
          <w:highlight w:val="none"/>
        </w:rPr>
        <w:t>供应商的授权委托书原件、委托代理人身份证正反面复印件以及由县级以上（含县级）社会养老保险经办机构出具的供应商为委托代理人交纳的响应文件递交截止时间前半年内任意连续三个月社保证明复印件</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（委托代理时必须提供）</w:t>
      </w:r>
    </w:p>
    <w:p w14:paraId="62210375">
      <w:pPr>
        <w:pStyle w:val="14"/>
        <w:numPr>
          <w:ilvl w:val="0"/>
          <w:numId w:val="0"/>
        </w:num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附件：            </w:t>
      </w:r>
    </w:p>
    <w:p w14:paraId="6F13BE29">
      <w:pPr>
        <w:pStyle w:val="14"/>
        <w:ind w:firstLine="472" w:firstLineChars="196"/>
        <w:jc w:val="center"/>
        <w:rPr>
          <w:rFonts w:hint="eastAsia" w:ascii="宋体" w:hAnsi="宋体" w:eastAsia="宋体" w:cs="宋体"/>
          <w:b/>
          <w:color w:val="auto"/>
          <w:sz w:val="24"/>
          <w:szCs w:val="24"/>
          <w:highlight w:val="none"/>
        </w:rPr>
      </w:pPr>
      <w:bookmarkStart w:id="1795" w:name="_Toc964_WPSOffice_Level1"/>
      <w:bookmarkStart w:id="1796" w:name="_Toc5420_WPSOffice_Level1"/>
      <w:r>
        <w:rPr>
          <w:rFonts w:hint="eastAsia" w:ascii="宋体" w:hAnsi="宋体" w:eastAsia="宋体" w:cs="宋体"/>
          <w:b/>
          <w:color w:val="auto"/>
          <w:sz w:val="24"/>
          <w:szCs w:val="24"/>
          <w:highlight w:val="none"/>
        </w:rPr>
        <w:t>授权委托书（格式一）</w:t>
      </w:r>
      <w:bookmarkEnd w:id="1795"/>
      <w:bookmarkEnd w:id="1796"/>
    </w:p>
    <w:p w14:paraId="059CE6A6">
      <w:pPr>
        <w:spacing w:line="400" w:lineRule="exact"/>
        <w:rPr>
          <w:rFonts w:hint="eastAsia" w:ascii="宋体" w:hAnsi="宋体" w:eastAsia="宋体" w:cs="宋体"/>
          <w:color w:val="auto"/>
          <w:sz w:val="21"/>
          <w:szCs w:val="21"/>
          <w:highlight w:val="none"/>
        </w:rPr>
      </w:pPr>
    </w:p>
    <w:p w14:paraId="425E6219">
      <w:pPr>
        <w:spacing w:line="400" w:lineRule="exact"/>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致：</w:t>
      </w:r>
      <w:r>
        <w:rPr>
          <w:rFonts w:hint="eastAsia" w:ascii="宋体" w:hAnsi="宋体" w:cs="宋体"/>
          <w:color w:val="auto"/>
          <w:sz w:val="21"/>
          <w:szCs w:val="21"/>
          <w:highlight w:val="none"/>
          <w:u w:val="single"/>
          <w:lang w:val="en-US" w:eastAsia="zh-CN"/>
        </w:rPr>
        <w:t xml:space="preserve">                       </w:t>
      </w:r>
    </w:p>
    <w:p w14:paraId="0B41E32A">
      <w:pPr>
        <w:spacing w:line="400" w:lineRule="exact"/>
        <w:rPr>
          <w:rFonts w:hint="eastAsia" w:ascii="宋体" w:hAnsi="宋体" w:eastAsia="宋体" w:cs="宋体"/>
          <w:color w:val="auto"/>
          <w:sz w:val="21"/>
          <w:szCs w:val="21"/>
          <w:highlight w:val="none"/>
        </w:rPr>
      </w:pPr>
    </w:p>
    <w:p w14:paraId="290D62DE">
      <w:pPr>
        <w:pStyle w:val="14"/>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（供应商名称）的法定代表人（负责人），现授权委托本单位在职职工</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 名）以我公司名义参加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（项目名称及项目编号）        </w:t>
      </w:r>
      <w:r>
        <w:rPr>
          <w:rFonts w:hint="eastAsia" w:ascii="宋体" w:hAnsi="宋体" w:eastAsia="宋体" w:cs="宋体"/>
          <w:color w:val="auto"/>
          <w:sz w:val="21"/>
          <w:szCs w:val="21"/>
          <w:highlight w:val="none"/>
        </w:rPr>
        <w:t>项目的磋商活动，并代表我方全权办理针对上述项目的磋商、签约等具体事务和签署相关文件。</w:t>
      </w:r>
    </w:p>
    <w:p w14:paraId="2B8A7A9A">
      <w:pPr>
        <w:pStyle w:val="14"/>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我方对被授权人的签字事项负全部责任。</w:t>
      </w:r>
    </w:p>
    <w:p w14:paraId="6514D985">
      <w:pPr>
        <w:pStyle w:val="14"/>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授权委托代理期限：从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日起至</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日止。</w:t>
      </w:r>
    </w:p>
    <w:p w14:paraId="3A3746A6">
      <w:pPr>
        <w:pStyle w:val="14"/>
        <w:spacing w:line="40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07520848">
      <w:pPr>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代理人无转委托权,特此委托。 </w:t>
      </w:r>
    </w:p>
    <w:p w14:paraId="5F08521D">
      <w:pPr>
        <w:spacing w:line="400" w:lineRule="exact"/>
        <w:ind w:firstLine="420" w:firstLineChars="200"/>
        <w:rPr>
          <w:rFonts w:hint="eastAsia" w:ascii="宋体" w:hAnsi="宋体" w:eastAsia="宋体" w:cs="宋体"/>
          <w:color w:val="auto"/>
          <w:kern w:val="0"/>
          <w:sz w:val="21"/>
          <w:szCs w:val="21"/>
          <w:highlight w:val="none"/>
        </w:rPr>
      </w:pPr>
    </w:p>
    <w:p w14:paraId="1A86A41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我已在下面签字，以资证明。</w:t>
      </w:r>
    </w:p>
    <w:p w14:paraId="1F0F168E">
      <w:pPr>
        <w:spacing w:line="400" w:lineRule="exact"/>
        <w:ind w:firstLine="420" w:firstLineChars="200"/>
        <w:rPr>
          <w:rFonts w:hint="eastAsia" w:ascii="宋体" w:hAnsi="宋体" w:eastAsia="宋体" w:cs="宋体"/>
          <w:color w:val="auto"/>
          <w:sz w:val="21"/>
          <w:szCs w:val="21"/>
          <w:highlight w:val="none"/>
        </w:rPr>
      </w:pPr>
    </w:p>
    <w:p w14:paraId="29865943">
      <w:pPr>
        <w:spacing w:line="400" w:lineRule="exact"/>
        <w:ind w:firstLine="420" w:firstLineChars="200"/>
        <w:rPr>
          <w:rFonts w:hint="eastAsia" w:ascii="宋体" w:hAnsi="宋体" w:eastAsia="宋体" w:cs="宋体"/>
          <w:color w:val="auto"/>
          <w:sz w:val="21"/>
          <w:szCs w:val="21"/>
          <w:highlight w:val="none"/>
        </w:rPr>
      </w:pPr>
    </w:p>
    <w:p w14:paraId="74BCD22B">
      <w:pPr>
        <w:snapToGrid w:val="0"/>
        <w:spacing w:line="400" w:lineRule="exact"/>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01E85649">
      <w:pPr>
        <w:snapToGrid w:val="0"/>
        <w:spacing w:line="400" w:lineRule="exact"/>
        <w:ind w:firstLine="420"/>
        <w:rPr>
          <w:rFonts w:hint="eastAsia" w:ascii="宋体" w:hAnsi="宋体" w:eastAsia="宋体" w:cs="宋体"/>
          <w:color w:val="auto"/>
          <w:sz w:val="21"/>
          <w:szCs w:val="21"/>
          <w:highlight w:val="none"/>
        </w:rPr>
      </w:pPr>
    </w:p>
    <w:p w14:paraId="6375A303">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法定代表人（负责人）签字（或</w:t>
      </w:r>
      <w:r>
        <w:rPr>
          <w:rFonts w:hint="eastAsia" w:ascii="宋体" w:hAnsi="宋体" w:eastAsia="宋体" w:cs="宋体"/>
          <w:color w:val="auto"/>
          <w:sz w:val="21"/>
          <w:szCs w:val="21"/>
          <w:highlight w:val="none"/>
          <w:lang w:eastAsia="zh-CN"/>
        </w:rPr>
        <w:t>个人</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6A98567">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F399E9F">
      <w:pPr>
        <w:pStyle w:val="11"/>
        <w:rPr>
          <w:rFonts w:hint="eastAsia"/>
          <w:color w:val="auto"/>
          <w:highlight w:val="none"/>
        </w:rPr>
      </w:pPr>
    </w:p>
    <w:p w14:paraId="77047771">
      <w:pPr>
        <w:snapToGrid w:val="0"/>
        <w:spacing w:line="400" w:lineRule="exact"/>
        <w:ind w:firstLine="420"/>
        <w:rPr>
          <w:rFonts w:hint="eastAsia" w:ascii="宋体" w:hAnsi="宋体" w:eastAsia="宋体" w:cs="宋体"/>
          <w:color w:val="auto"/>
          <w:sz w:val="21"/>
          <w:szCs w:val="21"/>
          <w:highlight w:val="none"/>
        </w:rPr>
      </w:pPr>
    </w:p>
    <w:p w14:paraId="61D10DA8">
      <w:pPr>
        <w:pStyle w:val="11"/>
        <w:rPr>
          <w:rFonts w:hint="eastAsia" w:ascii="宋体" w:hAnsi="宋体" w:eastAsia="宋体" w:cs="宋体"/>
          <w:color w:val="auto"/>
          <w:sz w:val="21"/>
          <w:szCs w:val="21"/>
          <w:highlight w:val="none"/>
        </w:rPr>
      </w:pPr>
    </w:p>
    <w:p w14:paraId="5756F72C">
      <w:pPr>
        <w:pStyle w:val="14"/>
        <w:spacing w:line="340" w:lineRule="exact"/>
        <w:ind w:firstLine="420" w:firstLineChars="200"/>
        <w:rPr>
          <w:rFonts w:hint="eastAsia" w:ascii="宋体" w:hAnsi="宋体" w:eastAsia="宋体" w:cs="宋体"/>
          <w:color w:val="auto"/>
          <w:sz w:val="21"/>
          <w:szCs w:val="21"/>
          <w:highlight w:val="none"/>
        </w:rPr>
      </w:pPr>
    </w:p>
    <w:p w14:paraId="0FE90177">
      <w:pPr>
        <w:pStyle w:val="14"/>
        <w:spacing w:line="340" w:lineRule="exact"/>
        <w:ind w:firstLine="420" w:firstLineChars="200"/>
        <w:rPr>
          <w:rFonts w:hint="eastAsia" w:ascii="宋体" w:hAnsi="宋体" w:eastAsia="宋体" w:cs="宋体"/>
          <w:color w:val="auto"/>
          <w:sz w:val="21"/>
          <w:szCs w:val="21"/>
          <w:highlight w:val="none"/>
        </w:rPr>
      </w:pPr>
    </w:p>
    <w:p w14:paraId="7F9F263D">
      <w:pPr>
        <w:pStyle w:val="14"/>
        <w:spacing w:line="340" w:lineRule="exact"/>
        <w:ind w:firstLine="420" w:firstLineChars="200"/>
        <w:rPr>
          <w:rFonts w:hint="eastAsia" w:ascii="宋体" w:hAnsi="宋体" w:eastAsia="宋体" w:cs="宋体"/>
          <w:color w:val="auto"/>
          <w:sz w:val="21"/>
          <w:szCs w:val="21"/>
          <w:highlight w:val="none"/>
        </w:rPr>
      </w:pPr>
    </w:p>
    <w:p w14:paraId="3455ED0A">
      <w:pPr>
        <w:pStyle w:val="14"/>
        <w:spacing w:line="340" w:lineRule="exact"/>
        <w:ind w:firstLine="420" w:firstLineChars="200"/>
        <w:rPr>
          <w:rFonts w:hint="eastAsia" w:ascii="宋体" w:hAnsi="宋体" w:eastAsia="宋体" w:cs="宋体"/>
          <w:color w:val="auto"/>
          <w:sz w:val="21"/>
          <w:szCs w:val="21"/>
          <w:highlight w:val="none"/>
        </w:rPr>
      </w:pPr>
    </w:p>
    <w:p w14:paraId="27276571">
      <w:pPr>
        <w:pStyle w:val="14"/>
        <w:spacing w:line="340" w:lineRule="exact"/>
        <w:ind w:firstLine="420" w:firstLineChars="200"/>
        <w:rPr>
          <w:rFonts w:hint="eastAsia" w:ascii="宋体" w:hAnsi="宋体" w:eastAsia="宋体" w:cs="宋体"/>
          <w:color w:val="auto"/>
          <w:sz w:val="21"/>
          <w:szCs w:val="21"/>
          <w:highlight w:val="none"/>
        </w:rPr>
      </w:pPr>
    </w:p>
    <w:p w14:paraId="6CC2999C">
      <w:pPr>
        <w:pStyle w:val="14"/>
        <w:spacing w:line="340" w:lineRule="exact"/>
        <w:ind w:firstLine="420" w:firstLineChars="200"/>
        <w:rPr>
          <w:rFonts w:hint="eastAsia" w:ascii="宋体" w:hAnsi="宋体" w:eastAsia="宋体" w:cs="宋体"/>
          <w:color w:val="auto"/>
          <w:sz w:val="21"/>
          <w:szCs w:val="21"/>
          <w:highlight w:val="none"/>
        </w:rPr>
      </w:pPr>
    </w:p>
    <w:p w14:paraId="2142B6C4">
      <w:pPr>
        <w:pStyle w:val="14"/>
        <w:spacing w:line="340" w:lineRule="exact"/>
        <w:ind w:firstLine="420" w:firstLineChars="200"/>
        <w:rPr>
          <w:rFonts w:hint="eastAsia" w:ascii="宋体" w:hAnsi="宋体" w:eastAsia="宋体" w:cs="宋体"/>
          <w:color w:val="auto"/>
          <w:sz w:val="21"/>
          <w:szCs w:val="21"/>
          <w:highlight w:val="none"/>
        </w:rPr>
      </w:pPr>
    </w:p>
    <w:p w14:paraId="3E7BD33E">
      <w:pPr>
        <w:pStyle w:val="14"/>
        <w:spacing w:line="340" w:lineRule="exact"/>
        <w:ind w:firstLine="420" w:firstLineChars="200"/>
        <w:rPr>
          <w:rFonts w:hint="eastAsia" w:ascii="宋体" w:hAnsi="宋体" w:eastAsia="宋体" w:cs="宋体"/>
          <w:color w:val="auto"/>
          <w:sz w:val="21"/>
          <w:szCs w:val="21"/>
          <w:highlight w:val="none"/>
        </w:rPr>
      </w:pPr>
    </w:p>
    <w:p w14:paraId="76BC9623">
      <w:pPr>
        <w:pStyle w:val="14"/>
        <w:spacing w:line="340" w:lineRule="exact"/>
        <w:ind w:firstLine="420" w:firstLineChars="200"/>
        <w:rPr>
          <w:rFonts w:hint="eastAsia" w:ascii="宋体" w:hAnsi="宋体" w:eastAsia="宋体" w:cs="宋体"/>
          <w:color w:val="auto"/>
          <w:sz w:val="21"/>
          <w:szCs w:val="21"/>
          <w:highlight w:val="none"/>
        </w:rPr>
      </w:pPr>
    </w:p>
    <w:p w14:paraId="6BC13FD8">
      <w:pPr>
        <w:pStyle w:val="14"/>
        <w:spacing w:line="340" w:lineRule="exact"/>
        <w:rPr>
          <w:rFonts w:hint="eastAsia" w:ascii="宋体" w:hAnsi="宋体" w:eastAsia="宋体" w:cs="宋体"/>
          <w:color w:val="auto"/>
          <w:sz w:val="21"/>
          <w:szCs w:val="21"/>
          <w:highlight w:val="none"/>
        </w:rPr>
      </w:pPr>
    </w:p>
    <w:p w14:paraId="5DF9596A">
      <w:pPr>
        <w:pStyle w:val="8"/>
        <w:rPr>
          <w:rFonts w:hint="eastAsia" w:ascii="宋体" w:hAnsi="宋体" w:eastAsia="宋体" w:cs="宋体"/>
          <w:color w:val="auto"/>
          <w:sz w:val="21"/>
          <w:szCs w:val="21"/>
          <w:highlight w:val="none"/>
        </w:rPr>
      </w:pPr>
    </w:p>
    <w:p w14:paraId="3C6B8448">
      <w:pPr>
        <w:pStyle w:val="14"/>
        <w:jc w:val="center"/>
        <w:rPr>
          <w:rFonts w:hint="eastAsia" w:ascii="宋体" w:hAnsi="宋体" w:eastAsia="宋体" w:cs="宋体"/>
          <w:b/>
          <w:color w:val="auto"/>
          <w:sz w:val="21"/>
          <w:szCs w:val="21"/>
          <w:highlight w:val="none"/>
        </w:rPr>
      </w:pPr>
      <w:bookmarkStart w:id="1797" w:name="_Toc6975_WPSOffice_Level1"/>
      <w:bookmarkStart w:id="1798" w:name="_Toc21370_WPSOffice_Level1"/>
    </w:p>
    <w:p w14:paraId="7BF54FCA">
      <w:pPr>
        <w:pStyle w:val="1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授权委托书（格式二）</w:t>
      </w:r>
      <w:bookmarkEnd w:id="1797"/>
      <w:bookmarkEnd w:id="1798"/>
    </w:p>
    <w:p w14:paraId="159C2CB4">
      <w:pPr>
        <w:pStyle w:val="14"/>
        <w:jc w:val="both"/>
        <w:rPr>
          <w:rFonts w:hint="eastAsia" w:ascii="宋体" w:hAnsi="宋体" w:eastAsia="宋体" w:cs="宋体"/>
          <w:b/>
          <w:color w:val="auto"/>
          <w:sz w:val="21"/>
          <w:szCs w:val="21"/>
          <w:highlight w:val="none"/>
        </w:rPr>
      </w:pPr>
    </w:p>
    <w:p w14:paraId="74DF9E78">
      <w:pPr>
        <w:pStyle w:val="14"/>
        <w:jc w:val="both"/>
        <w:rPr>
          <w:rFonts w:hint="default" w:ascii="宋体" w:hAnsi="宋体" w:eastAsia="宋体" w:cs="宋体"/>
          <w:color w:val="auto"/>
          <w:sz w:val="21"/>
          <w:szCs w:val="21"/>
          <w:highlight w:val="none"/>
          <w:u w:val="single"/>
          <w:lang w:val="en-US" w:eastAsia="zh-CN"/>
        </w:rPr>
      </w:pPr>
      <w:r>
        <w:rPr>
          <w:rFonts w:hint="eastAsia" w:ascii="宋体" w:hAnsi="宋体" w:eastAsia="宋体" w:cs="宋体"/>
          <w:b/>
          <w:color w:val="auto"/>
          <w:sz w:val="21"/>
          <w:szCs w:val="21"/>
          <w:highlight w:val="none"/>
        </w:rPr>
        <w:t>致</w:t>
      </w:r>
      <w:r>
        <w:rPr>
          <w:rFonts w:hint="eastAsia" w:ascii="宋体" w:hAnsi="宋体" w:eastAsia="宋体" w:cs="宋体"/>
          <w:color w:val="auto"/>
          <w:sz w:val="21"/>
          <w:szCs w:val="21"/>
          <w:highlight w:val="none"/>
        </w:rPr>
        <w:t>：</w:t>
      </w:r>
      <w:r>
        <w:rPr>
          <w:rFonts w:hint="eastAsia" w:hAnsi="宋体" w:cs="宋体"/>
          <w:color w:val="auto"/>
          <w:sz w:val="21"/>
          <w:szCs w:val="21"/>
          <w:highlight w:val="none"/>
          <w:u w:val="single"/>
          <w:lang w:val="en-US" w:eastAsia="zh-CN"/>
        </w:rPr>
        <w:t xml:space="preserve">                      </w:t>
      </w:r>
    </w:p>
    <w:p w14:paraId="60CED836">
      <w:pPr>
        <w:rPr>
          <w:rFonts w:hint="eastAsia" w:ascii="宋体" w:hAnsi="宋体" w:eastAsia="宋体" w:cs="宋体"/>
          <w:color w:val="auto"/>
          <w:sz w:val="21"/>
          <w:szCs w:val="21"/>
          <w:highlight w:val="none"/>
        </w:rPr>
      </w:pPr>
    </w:p>
    <w:p w14:paraId="7548D809">
      <w:pPr>
        <w:pStyle w:val="14"/>
        <w:spacing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（姓名）系自然人，现授权委托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 名）以本人名义参加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（项目名称及项目编号）        </w:t>
      </w:r>
      <w:r>
        <w:rPr>
          <w:rFonts w:hint="eastAsia" w:ascii="宋体" w:hAnsi="宋体" w:eastAsia="宋体" w:cs="宋体"/>
          <w:color w:val="auto"/>
          <w:sz w:val="21"/>
          <w:szCs w:val="21"/>
          <w:highlight w:val="none"/>
        </w:rPr>
        <w:t>项目的磋商活动，并代表本人全权办理针对上述项目的磋商、签约等具体事务和签署相关文件。</w:t>
      </w:r>
    </w:p>
    <w:p w14:paraId="4889B6BA">
      <w:pPr>
        <w:pStyle w:val="14"/>
        <w:spacing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本人对被授权人的签字事项负全部责任。</w:t>
      </w:r>
    </w:p>
    <w:p w14:paraId="25B27A27">
      <w:pPr>
        <w:pStyle w:val="14"/>
        <w:spacing w:line="34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授权委托代理期限：从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日起至</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日止。</w:t>
      </w:r>
    </w:p>
    <w:p w14:paraId="4DD509C6">
      <w:pPr>
        <w:pStyle w:val="14"/>
        <w:spacing w:line="3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63E239D6">
      <w:pPr>
        <w:spacing w:line="3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代理人无转委托权,特此委托。 </w:t>
      </w:r>
    </w:p>
    <w:p w14:paraId="16B0C6BC">
      <w:pPr>
        <w:spacing w:line="340" w:lineRule="exact"/>
        <w:ind w:firstLine="420" w:firstLineChars="200"/>
        <w:rPr>
          <w:rFonts w:hint="eastAsia" w:ascii="宋体" w:hAnsi="宋体" w:eastAsia="宋体" w:cs="宋体"/>
          <w:color w:val="auto"/>
          <w:kern w:val="0"/>
          <w:sz w:val="21"/>
          <w:szCs w:val="21"/>
          <w:highlight w:val="none"/>
        </w:rPr>
      </w:pPr>
    </w:p>
    <w:p w14:paraId="56C00E59">
      <w:pPr>
        <w:spacing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我已在下面签字，以资证明。</w:t>
      </w:r>
    </w:p>
    <w:p w14:paraId="25CB1194">
      <w:pPr>
        <w:spacing w:line="340" w:lineRule="exact"/>
        <w:ind w:firstLine="420" w:firstLineChars="200"/>
        <w:rPr>
          <w:rFonts w:hint="eastAsia" w:ascii="宋体" w:hAnsi="宋体" w:eastAsia="宋体" w:cs="宋体"/>
          <w:color w:val="auto"/>
          <w:sz w:val="21"/>
          <w:szCs w:val="21"/>
          <w:highlight w:val="none"/>
        </w:rPr>
      </w:pPr>
    </w:p>
    <w:p w14:paraId="4A3B3E33">
      <w:pPr>
        <w:snapToGrid w:val="0"/>
        <w:spacing w:line="3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自然人签字并在签名处加盖大拇指指印</w:t>
      </w:r>
      <w:r>
        <w:rPr>
          <w:rFonts w:hint="eastAsia" w:ascii="宋体" w:hAnsi="宋体" w:eastAsia="宋体" w:cs="宋体"/>
          <w:color w:val="auto"/>
          <w:sz w:val="21"/>
          <w:szCs w:val="21"/>
          <w:highlight w:val="none"/>
          <w:lang w:eastAsia="zh-CN"/>
        </w:rPr>
        <w:t>或个人</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1CC0ACC">
      <w:pPr>
        <w:snapToGrid w:val="0"/>
        <w:spacing w:line="3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4F60C0F">
      <w:pPr>
        <w:pStyle w:val="11"/>
        <w:rPr>
          <w:rFonts w:hint="eastAsia"/>
          <w:color w:val="auto"/>
          <w:highlight w:val="none"/>
        </w:rPr>
      </w:pPr>
    </w:p>
    <w:p w14:paraId="550EAD8B">
      <w:pPr>
        <w:pStyle w:val="14"/>
        <w:spacing w:line="400" w:lineRule="exact"/>
        <w:ind w:left="420" w:leftChars="200"/>
        <w:rPr>
          <w:rFonts w:hint="eastAsia" w:ascii="宋体" w:hAnsi="宋体" w:eastAsia="宋体" w:cs="宋体"/>
          <w:color w:val="auto"/>
          <w:sz w:val="21"/>
          <w:szCs w:val="21"/>
          <w:highlight w:val="none"/>
        </w:rPr>
      </w:pPr>
    </w:p>
    <w:p w14:paraId="173A1B83">
      <w:pPr>
        <w:rPr>
          <w:rFonts w:hint="eastAsia" w:ascii="宋体" w:hAnsi="宋体" w:eastAsia="宋体" w:cs="宋体"/>
          <w:b/>
          <w:color w:val="auto"/>
          <w:sz w:val="21"/>
          <w:szCs w:val="21"/>
          <w:highlight w:val="none"/>
        </w:rPr>
      </w:pPr>
    </w:p>
    <w:p w14:paraId="43527AC1">
      <w:pPr>
        <w:pStyle w:val="11"/>
        <w:rPr>
          <w:rFonts w:hint="eastAsia" w:ascii="宋体" w:hAnsi="宋体" w:eastAsia="宋体" w:cs="宋体"/>
          <w:b/>
          <w:color w:val="auto"/>
          <w:sz w:val="21"/>
          <w:szCs w:val="21"/>
          <w:highlight w:val="none"/>
        </w:rPr>
      </w:pPr>
    </w:p>
    <w:p w14:paraId="71690B06">
      <w:pPr>
        <w:pStyle w:val="11"/>
        <w:rPr>
          <w:rFonts w:hint="eastAsia" w:ascii="宋体" w:hAnsi="宋体" w:eastAsia="宋体" w:cs="宋体"/>
          <w:b/>
          <w:color w:val="auto"/>
          <w:sz w:val="21"/>
          <w:szCs w:val="21"/>
          <w:highlight w:val="none"/>
        </w:rPr>
      </w:pPr>
    </w:p>
    <w:p w14:paraId="38DCEE52">
      <w:pPr>
        <w:pStyle w:val="11"/>
        <w:rPr>
          <w:rFonts w:hint="eastAsia" w:ascii="宋体" w:hAnsi="宋体" w:eastAsia="宋体" w:cs="宋体"/>
          <w:b/>
          <w:color w:val="auto"/>
          <w:sz w:val="21"/>
          <w:szCs w:val="21"/>
          <w:highlight w:val="none"/>
        </w:rPr>
      </w:pPr>
    </w:p>
    <w:p w14:paraId="6967B43E">
      <w:pPr>
        <w:pStyle w:val="11"/>
        <w:rPr>
          <w:rFonts w:hint="eastAsia" w:ascii="宋体" w:hAnsi="宋体" w:eastAsia="宋体" w:cs="宋体"/>
          <w:b/>
          <w:color w:val="auto"/>
          <w:sz w:val="21"/>
          <w:szCs w:val="21"/>
          <w:highlight w:val="none"/>
        </w:rPr>
      </w:pPr>
    </w:p>
    <w:p w14:paraId="06C3AB00">
      <w:pPr>
        <w:pStyle w:val="11"/>
        <w:rPr>
          <w:rFonts w:hint="eastAsia" w:ascii="宋体" w:hAnsi="宋体" w:eastAsia="宋体" w:cs="宋体"/>
          <w:b/>
          <w:color w:val="auto"/>
          <w:sz w:val="21"/>
          <w:szCs w:val="21"/>
          <w:highlight w:val="none"/>
        </w:rPr>
      </w:pPr>
    </w:p>
    <w:p w14:paraId="59CA7227">
      <w:pPr>
        <w:pStyle w:val="11"/>
        <w:rPr>
          <w:rFonts w:hint="eastAsia" w:ascii="宋体" w:hAnsi="宋体" w:eastAsia="宋体" w:cs="宋体"/>
          <w:b/>
          <w:color w:val="auto"/>
          <w:sz w:val="21"/>
          <w:szCs w:val="21"/>
          <w:highlight w:val="none"/>
        </w:rPr>
      </w:pPr>
    </w:p>
    <w:p w14:paraId="6FBA1E95">
      <w:pPr>
        <w:pStyle w:val="11"/>
        <w:rPr>
          <w:rFonts w:hint="eastAsia" w:ascii="宋体" w:hAnsi="宋体" w:eastAsia="宋体" w:cs="宋体"/>
          <w:b/>
          <w:color w:val="auto"/>
          <w:sz w:val="21"/>
          <w:szCs w:val="21"/>
          <w:highlight w:val="none"/>
        </w:rPr>
      </w:pPr>
    </w:p>
    <w:p w14:paraId="75E1F866">
      <w:pPr>
        <w:pStyle w:val="11"/>
        <w:rPr>
          <w:rFonts w:hint="eastAsia" w:ascii="宋体" w:hAnsi="宋体" w:eastAsia="宋体" w:cs="宋体"/>
          <w:b/>
          <w:color w:val="auto"/>
          <w:sz w:val="21"/>
          <w:szCs w:val="21"/>
          <w:highlight w:val="none"/>
        </w:rPr>
      </w:pPr>
    </w:p>
    <w:p w14:paraId="0FDDA2D9">
      <w:pPr>
        <w:pStyle w:val="11"/>
        <w:rPr>
          <w:rFonts w:hint="eastAsia" w:ascii="宋体" w:hAnsi="宋体" w:eastAsia="宋体" w:cs="宋体"/>
          <w:b/>
          <w:color w:val="auto"/>
          <w:sz w:val="21"/>
          <w:szCs w:val="21"/>
          <w:highlight w:val="none"/>
        </w:rPr>
      </w:pPr>
    </w:p>
    <w:p w14:paraId="27FB0935">
      <w:pPr>
        <w:pStyle w:val="11"/>
        <w:rPr>
          <w:rFonts w:hint="eastAsia" w:ascii="宋体" w:hAnsi="宋体" w:eastAsia="宋体" w:cs="宋体"/>
          <w:b/>
          <w:color w:val="auto"/>
          <w:sz w:val="21"/>
          <w:szCs w:val="21"/>
          <w:highlight w:val="none"/>
        </w:rPr>
      </w:pPr>
    </w:p>
    <w:p w14:paraId="7D3C7D40">
      <w:pPr>
        <w:pStyle w:val="11"/>
        <w:rPr>
          <w:rFonts w:hint="eastAsia" w:ascii="宋体" w:hAnsi="宋体" w:eastAsia="宋体" w:cs="宋体"/>
          <w:b/>
          <w:color w:val="auto"/>
          <w:sz w:val="21"/>
          <w:szCs w:val="21"/>
          <w:highlight w:val="none"/>
        </w:rPr>
      </w:pPr>
    </w:p>
    <w:p w14:paraId="29C84A0C">
      <w:pPr>
        <w:pStyle w:val="11"/>
        <w:rPr>
          <w:rFonts w:hint="eastAsia" w:ascii="宋体" w:hAnsi="宋体" w:eastAsia="宋体" w:cs="宋体"/>
          <w:b/>
          <w:color w:val="auto"/>
          <w:sz w:val="21"/>
          <w:szCs w:val="21"/>
          <w:highlight w:val="none"/>
        </w:rPr>
      </w:pPr>
    </w:p>
    <w:p w14:paraId="2C1A86F6">
      <w:pPr>
        <w:pStyle w:val="11"/>
        <w:rPr>
          <w:rFonts w:hint="eastAsia" w:ascii="宋体" w:hAnsi="宋体" w:eastAsia="宋体" w:cs="宋体"/>
          <w:b/>
          <w:color w:val="auto"/>
          <w:sz w:val="21"/>
          <w:szCs w:val="21"/>
          <w:highlight w:val="none"/>
        </w:rPr>
      </w:pPr>
    </w:p>
    <w:p w14:paraId="2BF154A7">
      <w:pPr>
        <w:pStyle w:val="11"/>
        <w:rPr>
          <w:rFonts w:hint="eastAsia" w:ascii="宋体" w:hAnsi="宋体" w:eastAsia="宋体" w:cs="宋体"/>
          <w:b/>
          <w:color w:val="auto"/>
          <w:sz w:val="21"/>
          <w:szCs w:val="21"/>
          <w:highlight w:val="none"/>
        </w:rPr>
      </w:pPr>
    </w:p>
    <w:p w14:paraId="246257EA">
      <w:pPr>
        <w:rPr>
          <w:rFonts w:hint="eastAsia" w:ascii="宋体" w:hAnsi="宋体" w:eastAsia="宋体" w:cs="宋体"/>
          <w:b/>
          <w:color w:val="auto"/>
          <w:sz w:val="21"/>
          <w:szCs w:val="21"/>
          <w:highlight w:val="none"/>
        </w:rPr>
      </w:pPr>
    </w:p>
    <w:p w14:paraId="0BE1D39C">
      <w:pPr>
        <w:pStyle w:val="11"/>
        <w:rPr>
          <w:rFonts w:hint="eastAsia" w:ascii="宋体" w:hAnsi="宋体" w:eastAsia="宋体" w:cs="宋体"/>
          <w:b/>
          <w:color w:val="auto"/>
          <w:sz w:val="21"/>
          <w:szCs w:val="21"/>
          <w:highlight w:val="none"/>
        </w:rPr>
      </w:pPr>
    </w:p>
    <w:p w14:paraId="72ED8B33">
      <w:pPr>
        <w:rPr>
          <w:rFonts w:hint="eastAsia" w:ascii="宋体" w:hAnsi="宋体" w:eastAsia="宋体" w:cs="宋体"/>
          <w:color w:val="auto"/>
          <w:sz w:val="21"/>
          <w:szCs w:val="21"/>
          <w:highlight w:val="none"/>
        </w:rPr>
      </w:pPr>
    </w:p>
    <w:p w14:paraId="34BE5549">
      <w:pPr>
        <w:pStyle w:val="11"/>
        <w:rPr>
          <w:rFonts w:hint="eastAsia"/>
          <w:color w:val="auto"/>
          <w:highlight w:val="none"/>
        </w:rPr>
      </w:pPr>
    </w:p>
    <w:p w14:paraId="7D91F321">
      <w:pPr>
        <w:rPr>
          <w:rFonts w:hint="eastAsia"/>
          <w:color w:val="auto"/>
          <w:highlight w:val="none"/>
        </w:rPr>
      </w:pPr>
    </w:p>
    <w:p w14:paraId="283ED9DA">
      <w:pPr>
        <w:rPr>
          <w:rFonts w:hint="eastAsia"/>
          <w:color w:val="auto"/>
          <w:highlight w:val="none"/>
        </w:rPr>
      </w:pPr>
    </w:p>
    <w:p w14:paraId="2454BBCB">
      <w:pPr>
        <w:rPr>
          <w:rFonts w:hint="eastAsia"/>
          <w:color w:val="auto"/>
          <w:highlight w:val="none"/>
        </w:rPr>
      </w:pPr>
    </w:p>
    <w:p w14:paraId="7C8F14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4"/>
          <w:szCs w:val="24"/>
          <w:highlight w:val="none"/>
          <w:lang w:val="en-US" w:eastAsia="zh-CN"/>
        </w:rPr>
      </w:pPr>
    </w:p>
    <w:p w14:paraId="4C8F90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.供应商参加政府采购活动前3年内在经营活动中没有重大违法记录及有关信用信息的书面声明（必须提供）；</w:t>
      </w:r>
    </w:p>
    <w:p w14:paraId="503E1F99">
      <w:pPr>
        <w:pStyle w:val="14"/>
        <w:spacing w:line="400" w:lineRule="exact"/>
        <w:ind w:left="420" w:leftChars="200" w:firstLine="103" w:firstLineChars="4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p>
    <w:p w14:paraId="6CD46BD0">
      <w:pPr>
        <w:pStyle w:val="14"/>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w:t>
      </w:r>
    </w:p>
    <w:p w14:paraId="1D3BC1FC">
      <w:pPr>
        <w:pStyle w:val="14"/>
        <w:spacing w:line="400" w:lineRule="exact"/>
        <w:jc w:val="center"/>
        <w:rPr>
          <w:rFonts w:hint="eastAsia" w:ascii="宋体" w:hAnsi="宋体" w:eastAsia="宋体" w:cs="宋体"/>
          <w:b/>
          <w:color w:val="auto"/>
          <w:sz w:val="21"/>
          <w:szCs w:val="21"/>
          <w:highlight w:val="none"/>
        </w:rPr>
      </w:pPr>
      <w:bookmarkStart w:id="1799" w:name="_Toc30304_WPSOffice_Level1"/>
      <w:bookmarkStart w:id="1800" w:name="_Toc30890_WPSOffice_Level1"/>
      <w:r>
        <w:rPr>
          <w:rFonts w:hint="eastAsia" w:ascii="宋体" w:hAnsi="宋体" w:eastAsia="宋体" w:cs="宋体"/>
          <w:b/>
          <w:color w:val="auto"/>
          <w:sz w:val="21"/>
          <w:szCs w:val="21"/>
          <w:highlight w:val="none"/>
        </w:rPr>
        <w:t>声   明</w:t>
      </w:r>
      <w:bookmarkEnd w:id="1799"/>
      <w:bookmarkEnd w:id="1800"/>
    </w:p>
    <w:p w14:paraId="463F6D0B">
      <w:pPr>
        <w:pStyle w:val="14"/>
        <w:spacing w:line="400" w:lineRule="exact"/>
        <w:jc w:val="both"/>
        <w:rPr>
          <w:rFonts w:hint="eastAsia" w:ascii="宋体" w:hAnsi="宋体" w:eastAsia="宋体" w:cs="宋体"/>
          <w:b/>
          <w:color w:val="auto"/>
          <w:sz w:val="21"/>
          <w:szCs w:val="21"/>
          <w:highlight w:val="none"/>
        </w:rPr>
      </w:pPr>
    </w:p>
    <w:p w14:paraId="715582D2">
      <w:pPr>
        <w:pStyle w:val="14"/>
        <w:spacing w:line="400" w:lineRule="exact"/>
        <w:jc w:val="both"/>
        <w:rPr>
          <w:rFonts w:hint="default" w:ascii="宋体" w:hAnsi="宋体" w:eastAsia="宋体" w:cs="宋体"/>
          <w:color w:val="auto"/>
          <w:sz w:val="21"/>
          <w:szCs w:val="21"/>
          <w:highlight w:val="none"/>
          <w:u w:val="single"/>
          <w:lang w:val="en-US" w:eastAsia="zh-CN"/>
        </w:rPr>
      </w:pPr>
      <w:r>
        <w:rPr>
          <w:rFonts w:hint="eastAsia" w:ascii="宋体" w:hAnsi="宋体" w:eastAsia="宋体" w:cs="宋体"/>
          <w:b/>
          <w:color w:val="auto"/>
          <w:sz w:val="21"/>
          <w:szCs w:val="21"/>
          <w:highlight w:val="none"/>
        </w:rPr>
        <w:t>致</w:t>
      </w:r>
      <w:r>
        <w:rPr>
          <w:rFonts w:hint="eastAsia" w:ascii="宋体" w:hAnsi="宋体" w:eastAsia="宋体" w:cs="宋体"/>
          <w:color w:val="auto"/>
          <w:sz w:val="21"/>
          <w:szCs w:val="21"/>
          <w:highlight w:val="none"/>
        </w:rPr>
        <w:t>：</w:t>
      </w:r>
      <w:r>
        <w:rPr>
          <w:rFonts w:hint="eastAsia" w:hAnsi="宋体" w:cs="宋体"/>
          <w:color w:val="auto"/>
          <w:sz w:val="21"/>
          <w:szCs w:val="21"/>
          <w:highlight w:val="none"/>
          <w:u w:val="single"/>
          <w:lang w:val="en-US" w:eastAsia="zh-CN"/>
        </w:rPr>
        <w:t xml:space="preserve">                          </w:t>
      </w:r>
    </w:p>
    <w:p w14:paraId="0E5FA28C">
      <w:pPr>
        <w:rPr>
          <w:rFonts w:hint="eastAsia" w:ascii="宋体" w:hAnsi="宋体" w:eastAsia="宋体" w:cs="宋体"/>
          <w:color w:val="auto"/>
          <w:sz w:val="21"/>
          <w:szCs w:val="21"/>
          <w:highlight w:val="none"/>
          <w:u w:val="single"/>
        </w:rPr>
      </w:pPr>
    </w:p>
    <w:p w14:paraId="4B274939">
      <w:pPr>
        <w:pStyle w:val="11"/>
        <w:rPr>
          <w:rFonts w:hint="eastAsia" w:ascii="宋体" w:hAnsi="宋体" w:eastAsia="宋体" w:cs="宋体"/>
          <w:color w:val="auto"/>
          <w:sz w:val="21"/>
          <w:szCs w:val="21"/>
          <w:highlight w:val="none"/>
        </w:rPr>
      </w:pPr>
    </w:p>
    <w:p w14:paraId="014B467B">
      <w:pPr>
        <w:pStyle w:val="14"/>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77561FC">
      <w:pPr>
        <w:rPr>
          <w:rFonts w:hint="eastAsia" w:ascii="宋体" w:hAnsi="宋体" w:eastAsia="宋体" w:cs="宋体"/>
          <w:color w:val="auto"/>
          <w:sz w:val="21"/>
          <w:szCs w:val="21"/>
          <w:highlight w:val="none"/>
        </w:rPr>
      </w:pPr>
    </w:p>
    <w:p w14:paraId="0BD6FEEA">
      <w:pPr>
        <w:snapToGrid w:val="0"/>
        <w:spacing w:line="400" w:lineRule="exact"/>
        <w:ind w:firstLine="1890" w:firstLineChars="9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，自然人</w:t>
      </w:r>
      <w:r>
        <w:rPr>
          <w:rFonts w:hint="eastAsia" w:ascii="宋体" w:hAnsi="宋体" w:eastAsia="宋体" w:cs="宋体"/>
          <w:color w:val="auto"/>
          <w:sz w:val="21"/>
          <w:szCs w:val="21"/>
          <w:highlight w:val="none"/>
          <w:lang w:eastAsia="zh-CN"/>
        </w:rPr>
        <w:t>签字或个人</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CC86B9B">
      <w:pPr>
        <w:pStyle w:val="14"/>
        <w:ind w:firstLine="3990" w:firstLineChars="1900"/>
        <w:rPr>
          <w:rFonts w:hint="eastAsia" w:ascii="宋体" w:hAnsi="宋体" w:eastAsia="宋体" w:cs="宋体"/>
          <w:color w:val="auto"/>
          <w:sz w:val="21"/>
          <w:szCs w:val="21"/>
          <w:highlight w:val="none"/>
        </w:rPr>
      </w:pPr>
    </w:p>
    <w:p w14:paraId="2102401D">
      <w:pPr>
        <w:pStyle w:val="14"/>
        <w:ind w:firstLine="3990" w:firstLineChars="19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p>
    <w:p w14:paraId="6E38F230">
      <w:pPr>
        <w:pStyle w:val="14"/>
        <w:spacing w:line="340" w:lineRule="exact"/>
        <w:rPr>
          <w:rFonts w:hint="eastAsia" w:ascii="宋体" w:hAnsi="宋体" w:eastAsia="宋体" w:cs="宋体"/>
          <w:b/>
          <w:color w:val="auto"/>
          <w:sz w:val="21"/>
          <w:szCs w:val="21"/>
          <w:highlight w:val="none"/>
        </w:rPr>
      </w:pPr>
    </w:p>
    <w:p w14:paraId="1822EEE9">
      <w:pPr>
        <w:pStyle w:val="14"/>
        <w:spacing w:line="340" w:lineRule="exact"/>
        <w:rPr>
          <w:rFonts w:hint="eastAsia" w:ascii="宋体" w:hAnsi="宋体" w:eastAsia="宋体" w:cs="宋体"/>
          <w:b/>
          <w:color w:val="auto"/>
          <w:sz w:val="21"/>
          <w:szCs w:val="21"/>
          <w:highlight w:val="none"/>
          <w:lang w:val="en-US" w:eastAsia="zh-CN"/>
        </w:rPr>
      </w:pPr>
    </w:p>
    <w:p w14:paraId="592B4429">
      <w:pPr>
        <w:pStyle w:val="14"/>
        <w:spacing w:line="340" w:lineRule="exact"/>
        <w:rPr>
          <w:rFonts w:hint="eastAsia" w:ascii="宋体" w:hAnsi="宋体" w:eastAsia="宋体" w:cs="宋体"/>
          <w:b/>
          <w:color w:val="auto"/>
          <w:sz w:val="24"/>
          <w:szCs w:val="24"/>
          <w:highlight w:val="none"/>
          <w:lang w:val="en-US" w:eastAsia="zh-CN"/>
        </w:rPr>
      </w:pPr>
    </w:p>
    <w:p w14:paraId="183B832B">
      <w:pPr>
        <w:pStyle w:val="14"/>
        <w:spacing w:line="3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.供应商的法人或者其他组织营业执照等证明文件复印件（必须提供，自然人除外）；</w:t>
      </w:r>
    </w:p>
    <w:p w14:paraId="4D03DD21">
      <w:pPr>
        <w:tabs>
          <w:tab w:val="left" w:pos="1305"/>
        </w:tabs>
        <w:spacing w:line="340" w:lineRule="exact"/>
        <w:rPr>
          <w:rFonts w:hint="eastAsia" w:ascii="宋体" w:hAnsi="宋体" w:eastAsia="宋体" w:cs="宋体"/>
          <w:b/>
          <w:color w:val="auto"/>
          <w:sz w:val="21"/>
          <w:szCs w:val="21"/>
          <w:highlight w:val="none"/>
        </w:rPr>
      </w:pPr>
    </w:p>
    <w:p w14:paraId="391343D6">
      <w:pPr>
        <w:tabs>
          <w:tab w:val="left" w:pos="1305"/>
        </w:tabs>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1C873B1F">
      <w:pPr>
        <w:rPr>
          <w:rFonts w:hint="eastAsia" w:ascii="宋体" w:hAnsi="宋体" w:eastAsia="宋体" w:cs="宋体"/>
          <w:b/>
          <w:bCs/>
          <w:color w:val="auto"/>
          <w:sz w:val="21"/>
          <w:szCs w:val="21"/>
          <w:highlight w:val="none"/>
        </w:rPr>
      </w:pPr>
    </w:p>
    <w:p w14:paraId="10EC0046">
      <w:pPr>
        <w:pStyle w:val="11"/>
        <w:rPr>
          <w:rFonts w:hint="eastAsia" w:ascii="宋体" w:hAnsi="宋体" w:eastAsia="宋体" w:cs="宋体"/>
          <w:b/>
          <w:bCs/>
          <w:color w:val="auto"/>
          <w:sz w:val="21"/>
          <w:szCs w:val="21"/>
          <w:highlight w:val="none"/>
        </w:rPr>
      </w:pPr>
    </w:p>
    <w:p w14:paraId="592CC104">
      <w:pPr>
        <w:rPr>
          <w:rFonts w:hint="eastAsia"/>
          <w:color w:val="auto"/>
          <w:highlight w:val="none"/>
        </w:rPr>
      </w:pPr>
    </w:p>
    <w:p w14:paraId="4D45B490">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4AC084A3">
      <w:pPr>
        <w:pStyle w:val="5"/>
        <w:rPr>
          <w:rFonts w:hint="eastAsia" w:ascii="宋体" w:hAnsi="宋体" w:eastAsia="宋体" w:cs="宋体"/>
          <w:b/>
          <w:color w:val="auto"/>
          <w:sz w:val="21"/>
          <w:szCs w:val="21"/>
          <w:highlight w:val="none"/>
          <w:lang w:val="en-US" w:eastAsia="zh-CN"/>
        </w:rPr>
      </w:pPr>
    </w:p>
    <w:p w14:paraId="705E6794">
      <w:pPr>
        <w:rPr>
          <w:rFonts w:hint="eastAsia" w:ascii="宋体" w:hAnsi="宋体" w:eastAsia="宋体" w:cs="宋体"/>
          <w:b/>
          <w:color w:val="auto"/>
          <w:sz w:val="21"/>
          <w:szCs w:val="21"/>
          <w:highlight w:val="none"/>
          <w:lang w:val="en-US" w:eastAsia="zh-CN"/>
        </w:rPr>
      </w:pPr>
    </w:p>
    <w:p w14:paraId="70766ED3">
      <w:pPr>
        <w:pStyle w:val="3"/>
        <w:rPr>
          <w:rFonts w:hint="eastAsia" w:ascii="宋体" w:hAnsi="宋体" w:eastAsia="宋体" w:cs="宋体"/>
          <w:b/>
          <w:color w:val="auto"/>
          <w:sz w:val="21"/>
          <w:szCs w:val="21"/>
          <w:highlight w:val="none"/>
          <w:lang w:val="en-US" w:eastAsia="zh-CN"/>
        </w:rPr>
      </w:pPr>
    </w:p>
    <w:p w14:paraId="5E7A9731">
      <w:pPr>
        <w:rPr>
          <w:rFonts w:hint="eastAsia" w:ascii="宋体" w:hAnsi="宋体" w:eastAsia="宋体" w:cs="宋体"/>
          <w:b/>
          <w:bCs w:val="0"/>
          <w:color w:val="auto"/>
          <w:sz w:val="21"/>
          <w:szCs w:val="21"/>
          <w:highlight w:val="none"/>
          <w:lang w:val="en-US" w:eastAsia="zh-CN"/>
        </w:rPr>
      </w:pPr>
    </w:p>
    <w:p w14:paraId="2FACF98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
          <w:bCs w:val="0"/>
          <w:color w:val="auto"/>
          <w:sz w:val="24"/>
          <w:szCs w:val="24"/>
          <w:highlight w:val="none"/>
          <w:lang w:val="en-US" w:eastAsia="zh-CN"/>
        </w:rPr>
        <w:t>5.</w:t>
      </w:r>
      <w:r>
        <w:rPr>
          <w:rFonts w:hint="eastAsia" w:ascii="宋体" w:hAnsi="宋体" w:eastAsia="宋体" w:cs="宋体"/>
          <w:b/>
          <w:bCs w:val="0"/>
          <w:color w:val="auto"/>
          <w:kern w:val="0"/>
          <w:sz w:val="24"/>
          <w:szCs w:val="24"/>
          <w:highlight w:val="none"/>
          <w:lang w:val="en-US" w:eastAsia="zh-CN" w:bidi="ar-SA"/>
        </w:rPr>
        <w:t>供应商相应有效的企业资质证书副本及安全生产许可证副本</w:t>
      </w:r>
      <w:r>
        <w:rPr>
          <w:rFonts w:hint="eastAsia" w:ascii="宋体" w:hAnsi="宋体" w:cs="宋体"/>
          <w:b/>
          <w:bCs w:val="0"/>
          <w:color w:val="auto"/>
          <w:kern w:val="0"/>
          <w:sz w:val="24"/>
          <w:szCs w:val="24"/>
          <w:highlight w:val="none"/>
          <w:lang w:val="en-US" w:eastAsia="zh-CN" w:bidi="ar-SA"/>
        </w:rPr>
        <w:t>复印件</w:t>
      </w:r>
      <w:r>
        <w:rPr>
          <w:rFonts w:hint="eastAsia" w:ascii="宋体" w:hAnsi="宋体" w:eastAsia="宋体" w:cs="宋体"/>
          <w:b/>
          <w:bCs w:val="0"/>
          <w:color w:val="auto"/>
          <w:kern w:val="0"/>
          <w:sz w:val="24"/>
          <w:szCs w:val="24"/>
          <w:highlight w:val="none"/>
          <w:lang w:val="en-US" w:eastAsia="zh-CN" w:bidi="ar-SA"/>
        </w:rPr>
        <w:t>、拟投入项目经理的注册建造师执业资格证书及安全生产考核合格证书（B类）</w:t>
      </w:r>
      <w:r>
        <w:rPr>
          <w:rFonts w:hint="eastAsia" w:ascii="宋体" w:hAnsi="宋体" w:cs="宋体"/>
          <w:b/>
          <w:bCs w:val="0"/>
          <w:color w:val="auto"/>
          <w:kern w:val="0"/>
          <w:sz w:val="24"/>
          <w:szCs w:val="24"/>
          <w:highlight w:val="none"/>
          <w:lang w:val="en-US" w:eastAsia="zh-CN" w:bidi="ar-SA"/>
        </w:rPr>
        <w:t>复印件、</w:t>
      </w:r>
      <w:r>
        <w:rPr>
          <w:rFonts w:hint="eastAsia" w:ascii="宋体" w:hAnsi="宋体" w:cs="宋体"/>
          <w:b/>
          <w:bCs w:val="0"/>
          <w:color w:val="auto"/>
          <w:kern w:val="0"/>
          <w:sz w:val="24"/>
          <w:szCs w:val="24"/>
          <w:highlight w:val="none"/>
          <w:shd w:val="clear" w:color="auto" w:fill="auto"/>
        </w:rPr>
        <w:t>及安全员的安全生产考核合格证书复印件（C类）</w:t>
      </w:r>
      <w:r>
        <w:rPr>
          <w:rFonts w:hint="eastAsia" w:ascii="宋体" w:hAnsi="宋体" w:cs="宋体"/>
          <w:color w:val="auto"/>
          <w:kern w:val="0"/>
          <w:sz w:val="24"/>
          <w:szCs w:val="24"/>
          <w:highlight w:val="none"/>
          <w:shd w:val="clear" w:color="auto" w:fill="auto"/>
          <w:lang w:eastAsia="zh-CN"/>
        </w:rPr>
        <w:t>；</w:t>
      </w:r>
      <w:r>
        <w:rPr>
          <w:rFonts w:hint="eastAsia" w:ascii="宋体" w:hAnsi="宋体" w:eastAsia="宋体" w:cs="宋体"/>
          <w:b/>
          <w:bCs w:val="0"/>
          <w:color w:val="auto"/>
          <w:kern w:val="0"/>
          <w:sz w:val="24"/>
          <w:szCs w:val="24"/>
          <w:highlight w:val="none"/>
          <w:lang w:val="en-US" w:eastAsia="zh-CN" w:bidi="ar-SA"/>
        </w:rPr>
        <w:t>（必须提供）</w:t>
      </w:r>
      <w:r>
        <w:rPr>
          <w:rFonts w:hint="eastAsia" w:ascii="宋体" w:hAnsi="宋体" w:eastAsia="宋体" w:cs="宋体"/>
          <w:bCs/>
          <w:color w:val="auto"/>
          <w:kern w:val="0"/>
          <w:sz w:val="24"/>
          <w:szCs w:val="24"/>
          <w:highlight w:val="none"/>
          <w:lang w:val="en-US" w:eastAsia="zh-CN"/>
        </w:rPr>
        <w:t>；</w:t>
      </w:r>
    </w:p>
    <w:p w14:paraId="4DD28091">
      <w:pPr>
        <w:pStyle w:val="8"/>
        <w:numPr>
          <w:ilvl w:val="0"/>
          <w:numId w:val="0"/>
        </w:numPr>
        <w:ind w:leftChars="200"/>
        <w:rPr>
          <w:rFonts w:hint="eastAsia" w:ascii="宋体" w:hAnsi="宋体" w:eastAsia="宋体" w:cs="宋体"/>
          <w:color w:val="auto"/>
          <w:sz w:val="21"/>
          <w:szCs w:val="21"/>
          <w:highlight w:val="none"/>
          <w:lang w:val="en-US" w:eastAsia="zh-CN"/>
        </w:rPr>
      </w:pPr>
    </w:p>
    <w:p w14:paraId="7CDCB8F6">
      <w:pPr>
        <w:pStyle w:val="14"/>
        <w:spacing w:line="340" w:lineRule="exact"/>
        <w:rPr>
          <w:rFonts w:hint="eastAsia" w:ascii="宋体" w:hAnsi="宋体" w:eastAsia="宋体" w:cs="宋体"/>
          <w:b/>
          <w:color w:val="auto"/>
          <w:sz w:val="21"/>
          <w:szCs w:val="21"/>
          <w:highlight w:val="none"/>
          <w:lang w:val="en-US" w:eastAsia="zh-CN"/>
        </w:rPr>
      </w:pPr>
    </w:p>
    <w:p w14:paraId="594417FF">
      <w:pPr>
        <w:pStyle w:val="14"/>
        <w:spacing w:line="340" w:lineRule="exact"/>
        <w:rPr>
          <w:rFonts w:hint="eastAsia" w:ascii="宋体" w:hAnsi="宋体" w:eastAsia="宋体" w:cs="宋体"/>
          <w:b/>
          <w:color w:val="auto"/>
          <w:sz w:val="21"/>
          <w:szCs w:val="21"/>
          <w:highlight w:val="none"/>
          <w:lang w:val="en-US" w:eastAsia="zh-CN"/>
        </w:rPr>
      </w:pPr>
    </w:p>
    <w:p w14:paraId="68032070">
      <w:pPr>
        <w:pStyle w:val="5"/>
        <w:rPr>
          <w:rFonts w:hint="eastAsia"/>
          <w:color w:val="auto"/>
          <w:highlight w:val="none"/>
          <w:lang w:val="en-US" w:eastAsia="zh-CN"/>
        </w:rPr>
      </w:pPr>
    </w:p>
    <w:p w14:paraId="2D48EE05">
      <w:pPr>
        <w:pStyle w:val="5"/>
        <w:rPr>
          <w:rFonts w:hint="eastAsia"/>
          <w:color w:val="auto"/>
          <w:highlight w:val="none"/>
          <w:lang w:val="en-US" w:eastAsia="zh-CN"/>
        </w:rPr>
      </w:pPr>
    </w:p>
    <w:p w14:paraId="3C3A850F">
      <w:pPr>
        <w:pStyle w:val="14"/>
        <w:spacing w:line="340" w:lineRule="exact"/>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6</w:t>
      </w:r>
      <w:r>
        <w:rPr>
          <w:rFonts w:hint="eastAsia" w:ascii="宋体" w:hAnsi="宋体" w:eastAsia="宋体" w:cs="宋体"/>
          <w:b/>
          <w:color w:val="auto"/>
          <w:sz w:val="24"/>
          <w:szCs w:val="24"/>
          <w:highlight w:val="none"/>
          <w:lang w:val="en-US" w:eastAsia="zh-CN"/>
        </w:rPr>
        <w:t>.项目经理无在建工程承诺书（格式自拟，必须提供）；</w:t>
      </w:r>
    </w:p>
    <w:p w14:paraId="34E63C56">
      <w:pPr>
        <w:pStyle w:val="14"/>
        <w:spacing w:line="340" w:lineRule="exact"/>
        <w:rPr>
          <w:rFonts w:hint="eastAsia" w:ascii="宋体" w:hAnsi="宋体" w:eastAsia="宋体" w:cs="宋体"/>
          <w:b/>
          <w:color w:val="auto"/>
          <w:sz w:val="24"/>
          <w:szCs w:val="24"/>
          <w:highlight w:val="none"/>
          <w:lang w:val="en-US" w:eastAsia="zh-CN"/>
        </w:rPr>
      </w:pPr>
    </w:p>
    <w:p w14:paraId="336D14F7">
      <w:pPr>
        <w:rPr>
          <w:rFonts w:hint="eastAsia" w:ascii="宋体" w:hAnsi="宋体" w:eastAsia="宋体" w:cs="宋体"/>
          <w:color w:val="auto"/>
          <w:sz w:val="24"/>
          <w:szCs w:val="24"/>
          <w:highlight w:val="none"/>
          <w:lang w:val="en-US" w:eastAsia="zh-CN"/>
        </w:rPr>
      </w:pPr>
    </w:p>
    <w:p w14:paraId="371DF8E4">
      <w:pPr>
        <w:pStyle w:val="14"/>
        <w:spacing w:line="340" w:lineRule="exact"/>
        <w:rPr>
          <w:rFonts w:hint="eastAsia" w:hAnsi="宋体" w:cs="宋体"/>
          <w:b/>
          <w:color w:val="auto"/>
          <w:sz w:val="24"/>
          <w:szCs w:val="24"/>
          <w:highlight w:val="none"/>
          <w:lang w:val="en-US" w:eastAsia="zh-CN"/>
        </w:rPr>
      </w:pPr>
    </w:p>
    <w:p w14:paraId="3B074794">
      <w:pPr>
        <w:pStyle w:val="14"/>
        <w:spacing w:line="340" w:lineRule="exact"/>
        <w:rPr>
          <w:rFonts w:hint="eastAsia" w:hAnsi="宋体" w:cs="宋体"/>
          <w:b/>
          <w:color w:val="auto"/>
          <w:sz w:val="24"/>
          <w:szCs w:val="24"/>
          <w:highlight w:val="none"/>
          <w:lang w:val="en-US" w:eastAsia="zh-CN"/>
        </w:rPr>
      </w:pPr>
    </w:p>
    <w:p w14:paraId="381BB38D">
      <w:pPr>
        <w:pStyle w:val="14"/>
        <w:spacing w:line="340" w:lineRule="exact"/>
        <w:rPr>
          <w:rFonts w:hint="eastAsia" w:hAnsi="宋体" w:cs="宋体"/>
          <w:b/>
          <w:color w:val="auto"/>
          <w:sz w:val="24"/>
          <w:szCs w:val="24"/>
          <w:highlight w:val="none"/>
          <w:lang w:val="en-US" w:eastAsia="zh-CN"/>
        </w:rPr>
      </w:pPr>
    </w:p>
    <w:p w14:paraId="56FD1F68">
      <w:pPr>
        <w:pStyle w:val="14"/>
        <w:spacing w:line="340" w:lineRule="exact"/>
        <w:rPr>
          <w:rFonts w:hint="eastAsia" w:hAnsi="宋体" w:cs="宋体"/>
          <w:b/>
          <w:color w:val="auto"/>
          <w:sz w:val="24"/>
          <w:szCs w:val="24"/>
          <w:highlight w:val="none"/>
          <w:lang w:val="en-US" w:eastAsia="zh-CN"/>
        </w:rPr>
      </w:pPr>
    </w:p>
    <w:p w14:paraId="1CE67EF8">
      <w:pPr>
        <w:pStyle w:val="14"/>
        <w:spacing w:line="340" w:lineRule="exact"/>
        <w:rPr>
          <w:rFonts w:hint="eastAsia" w:hAnsi="宋体" w:cs="宋体"/>
          <w:b/>
          <w:color w:val="auto"/>
          <w:sz w:val="24"/>
          <w:szCs w:val="24"/>
          <w:highlight w:val="none"/>
          <w:lang w:val="en-US" w:eastAsia="zh-CN"/>
        </w:rPr>
      </w:pPr>
    </w:p>
    <w:p w14:paraId="0ED8DCC7">
      <w:pPr>
        <w:pStyle w:val="14"/>
        <w:spacing w:line="340" w:lineRule="exact"/>
        <w:rPr>
          <w:rFonts w:hint="eastAsia" w:ascii="宋体" w:hAnsi="宋体" w:eastAsia="宋体" w:cs="宋体"/>
          <w:b/>
          <w:color w:val="auto"/>
          <w:kern w:val="2"/>
          <w:sz w:val="24"/>
          <w:szCs w:val="24"/>
          <w:highlight w:val="none"/>
          <w:lang w:val="en-US" w:eastAsia="zh-CN" w:bidi="ar-SA"/>
        </w:rPr>
      </w:pPr>
      <w:r>
        <w:rPr>
          <w:rFonts w:hint="eastAsia" w:hAnsi="宋体" w:cs="宋体"/>
          <w:b/>
          <w:color w:val="auto"/>
          <w:sz w:val="24"/>
          <w:szCs w:val="24"/>
          <w:highlight w:val="none"/>
          <w:lang w:val="en-US" w:eastAsia="zh-CN"/>
        </w:rPr>
        <w:t>7</w:t>
      </w:r>
      <w:r>
        <w:rPr>
          <w:rFonts w:hint="eastAsia" w:ascii="宋体" w:hAnsi="宋体" w:eastAsia="宋体" w:cs="宋体"/>
          <w:b/>
          <w:color w:val="auto"/>
          <w:kern w:val="2"/>
          <w:sz w:val="24"/>
          <w:szCs w:val="24"/>
          <w:highlight w:val="none"/>
          <w:lang w:val="en-US" w:eastAsia="zh-CN" w:bidi="ar-SA"/>
        </w:rPr>
        <w:t>.供应商近三年中任一年度经第三方审计的财务状况报告复印件（或银行出具的资信证明或财政部门认可的政府采购专业担保机构出具的投标担保函）（必须提供）；</w:t>
      </w:r>
    </w:p>
    <w:p w14:paraId="00AD2745">
      <w:pPr>
        <w:pStyle w:val="8"/>
        <w:numPr>
          <w:ilvl w:val="0"/>
          <w:numId w:val="0"/>
        </w:numPr>
        <w:rPr>
          <w:rFonts w:hint="eastAsia" w:ascii="宋体" w:hAnsi="宋体" w:eastAsia="宋体" w:cs="宋体"/>
          <w:b/>
          <w:color w:val="auto"/>
          <w:kern w:val="2"/>
          <w:sz w:val="24"/>
          <w:szCs w:val="24"/>
          <w:highlight w:val="none"/>
          <w:lang w:val="en-US" w:eastAsia="zh-CN" w:bidi="ar-SA"/>
        </w:rPr>
      </w:pPr>
    </w:p>
    <w:p w14:paraId="6DD1FFFD">
      <w:pPr>
        <w:pStyle w:val="11"/>
        <w:rPr>
          <w:rFonts w:hint="eastAsia" w:ascii="宋体" w:hAnsi="宋体" w:eastAsia="宋体" w:cs="宋体"/>
          <w:color w:val="auto"/>
          <w:sz w:val="24"/>
          <w:szCs w:val="24"/>
          <w:highlight w:val="none"/>
          <w:lang w:val="en-US" w:eastAsia="zh-CN"/>
        </w:rPr>
      </w:pPr>
    </w:p>
    <w:p w14:paraId="635FC154">
      <w:pPr>
        <w:rPr>
          <w:rFonts w:hint="eastAsia" w:ascii="宋体" w:hAnsi="宋体" w:eastAsia="宋体" w:cs="宋体"/>
          <w:color w:val="auto"/>
          <w:sz w:val="24"/>
          <w:szCs w:val="24"/>
          <w:highlight w:val="none"/>
          <w:lang w:val="en-US" w:eastAsia="zh-CN"/>
        </w:rPr>
      </w:pPr>
    </w:p>
    <w:p w14:paraId="07B13A6F">
      <w:pPr>
        <w:pStyle w:val="3"/>
        <w:rPr>
          <w:rFonts w:hint="eastAsia"/>
          <w:color w:val="auto"/>
          <w:highlight w:val="none"/>
          <w:lang w:val="en-US" w:eastAsia="zh-CN"/>
        </w:rPr>
      </w:pPr>
    </w:p>
    <w:p w14:paraId="6DF3D373">
      <w:pPr>
        <w:rPr>
          <w:rFonts w:hint="eastAsia"/>
          <w:color w:val="auto"/>
          <w:highlight w:val="none"/>
          <w:lang w:val="en-US" w:eastAsia="zh-CN"/>
        </w:rPr>
      </w:pPr>
    </w:p>
    <w:p w14:paraId="0ED55B1A">
      <w:pPr>
        <w:rPr>
          <w:rFonts w:hint="eastAsia"/>
          <w:color w:val="auto"/>
          <w:sz w:val="24"/>
          <w:szCs w:val="24"/>
          <w:highlight w:val="none"/>
          <w:lang w:val="en-US" w:eastAsia="zh-CN"/>
        </w:rPr>
      </w:pPr>
    </w:p>
    <w:p w14:paraId="7F6361DE">
      <w:pPr>
        <w:pStyle w:val="11"/>
        <w:rPr>
          <w:rFonts w:hint="eastAsia"/>
          <w:color w:val="auto"/>
          <w:sz w:val="24"/>
          <w:szCs w:val="24"/>
          <w:highlight w:val="none"/>
          <w:lang w:val="en-US" w:eastAsia="zh-CN"/>
        </w:rPr>
      </w:pPr>
    </w:p>
    <w:p w14:paraId="35C28BC3">
      <w:pPr>
        <w:pStyle w:val="11"/>
        <w:rPr>
          <w:rFonts w:hint="eastAsia"/>
          <w:color w:val="auto"/>
          <w:sz w:val="24"/>
          <w:szCs w:val="24"/>
          <w:highlight w:val="none"/>
          <w:lang w:val="en-US" w:eastAsia="zh-CN"/>
        </w:rPr>
      </w:pPr>
    </w:p>
    <w:p w14:paraId="07C948A2">
      <w:pPr>
        <w:pStyle w:val="8"/>
        <w:numPr>
          <w:ilvl w:val="0"/>
          <w:numId w:val="0"/>
        </w:numPr>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8</w:t>
      </w:r>
      <w:r>
        <w:rPr>
          <w:rFonts w:hint="eastAsia" w:ascii="宋体" w:hAnsi="宋体" w:eastAsia="宋体" w:cs="宋体"/>
          <w:b/>
          <w:color w:val="auto"/>
          <w:sz w:val="24"/>
          <w:szCs w:val="24"/>
          <w:highlight w:val="none"/>
          <w:lang w:val="en-US" w:eastAsia="zh-CN"/>
        </w:rPr>
        <w:t>.供应商近半年内任意一个月或任一季度依法缴纳税收的证明材料[增值税缴纳发票(税收完税证明)或企业所得税完税证明或税务部门出具的免税证明]复印件（必须提供）</w:t>
      </w:r>
      <w:r>
        <w:rPr>
          <w:rFonts w:hint="eastAsia" w:ascii="宋体" w:hAnsi="宋体" w:cs="宋体"/>
          <w:b/>
          <w:color w:val="auto"/>
          <w:sz w:val="24"/>
          <w:szCs w:val="24"/>
          <w:highlight w:val="none"/>
          <w:lang w:val="en-US" w:eastAsia="zh-CN"/>
        </w:rPr>
        <w:t>；</w:t>
      </w:r>
    </w:p>
    <w:p w14:paraId="294DB98E">
      <w:pPr>
        <w:numPr>
          <w:ilvl w:val="0"/>
          <w:numId w:val="0"/>
        </w:numPr>
        <w:ind w:left="420" w:leftChars="0"/>
        <w:jc w:val="center"/>
        <w:rPr>
          <w:rFonts w:hint="eastAsia" w:ascii="宋体" w:hAnsi="宋体" w:eastAsia="宋体" w:cs="宋体"/>
          <w:b/>
          <w:bCs/>
          <w:color w:val="auto"/>
          <w:sz w:val="21"/>
          <w:szCs w:val="21"/>
          <w:highlight w:val="none"/>
          <w:lang w:eastAsia="zh-CN"/>
        </w:rPr>
      </w:pPr>
    </w:p>
    <w:p w14:paraId="0CBC26A5">
      <w:pPr>
        <w:numPr>
          <w:ilvl w:val="0"/>
          <w:numId w:val="0"/>
        </w:numPr>
        <w:ind w:left="420" w:leftChars="0"/>
        <w:jc w:val="center"/>
        <w:rPr>
          <w:rFonts w:hint="eastAsia" w:ascii="宋体" w:hAnsi="宋体" w:eastAsia="宋体" w:cs="宋体"/>
          <w:b/>
          <w:bCs/>
          <w:color w:val="auto"/>
          <w:sz w:val="21"/>
          <w:szCs w:val="21"/>
          <w:highlight w:val="none"/>
          <w:lang w:eastAsia="zh-CN"/>
        </w:rPr>
      </w:pPr>
    </w:p>
    <w:p w14:paraId="7F8C2D72">
      <w:pPr>
        <w:pStyle w:val="11"/>
        <w:rPr>
          <w:rFonts w:hint="eastAsia"/>
          <w:color w:val="auto"/>
          <w:highlight w:val="none"/>
          <w:lang w:val="en-US" w:eastAsia="zh-CN"/>
        </w:rPr>
      </w:pPr>
    </w:p>
    <w:p w14:paraId="22AD1020">
      <w:pPr>
        <w:rPr>
          <w:rFonts w:hint="eastAsia"/>
          <w:color w:val="auto"/>
          <w:highlight w:val="none"/>
          <w:lang w:val="en-US" w:eastAsia="zh-CN"/>
        </w:rPr>
      </w:pPr>
    </w:p>
    <w:p w14:paraId="114CECEA">
      <w:pPr>
        <w:pStyle w:val="9"/>
        <w:rPr>
          <w:rFonts w:hint="eastAsia"/>
          <w:color w:val="auto"/>
          <w:highlight w:val="none"/>
          <w:lang w:val="en-US" w:eastAsia="zh-CN"/>
        </w:rPr>
      </w:pPr>
    </w:p>
    <w:p w14:paraId="2B96EEE8">
      <w:pPr>
        <w:pStyle w:val="9"/>
        <w:rPr>
          <w:rFonts w:hint="eastAsia"/>
          <w:color w:val="auto"/>
          <w:highlight w:val="none"/>
          <w:lang w:val="en-US" w:eastAsia="zh-CN"/>
        </w:rPr>
      </w:pPr>
    </w:p>
    <w:p w14:paraId="38124804">
      <w:pPr>
        <w:pStyle w:val="9"/>
        <w:rPr>
          <w:rFonts w:hint="eastAsia"/>
          <w:color w:val="auto"/>
          <w:highlight w:val="none"/>
          <w:lang w:val="en-US" w:eastAsia="zh-CN"/>
        </w:rPr>
      </w:pPr>
    </w:p>
    <w:p w14:paraId="4F172961">
      <w:pPr>
        <w:pStyle w:val="9"/>
        <w:ind w:left="0" w:leftChars="0" w:firstLine="0" w:firstLineChars="0"/>
        <w:rPr>
          <w:rFonts w:hint="eastAsia"/>
          <w:color w:val="auto"/>
          <w:highlight w:val="none"/>
          <w:lang w:val="en-US" w:eastAsia="zh-CN"/>
        </w:rPr>
      </w:pPr>
    </w:p>
    <w:p w14:paraId="02C42ED7">
      <w:pPr>
        <w:pStyle w:val="9"/>
        <w:rPr>
          <w:rFonts w:hint="eastAsia"/>
          <w:color w:val="auto"/>
          <w:highlight w:val="none"/>
          <w:lang w:val="en-US" w:eastAsia="zh-CN"/>
        </w:rPr>
      </w:pPr>
    </w:p>
    <w:p w14:paraId="5643D009">
      <w:pPr>
        <w:rPr>
          <w:rFonts w:hint="eastAsia"/>
          <w:color w:val="auto"/>
          <w:highlight w:val="none"/>
          <w:lang w:val="en-US" w:eastAsia="zh-CN"/>
        </w:rPr>
      </w:pPr>
    </w:p>
    <w:p w14:paraId="23FE42BC">
      <w:pPr>
        <w:spacing w:line="240" w:lineRule="auto"/>
        <w:rPr>
          <w:rFonts w:hint="eastAsia" w:ascii="宋体" w:hAnsi="宋体" w:eastAsia="宋体" w:cs="宋体"/>
          <w:b/>
          <w:bCs/>
          <w:iCs/>
          <w:color w:val="auto"/>
          <w:kern w:val="2"/>
          <w:sz w:val="24"/>
          <w:szCs w:val="24"/>
          <w:highlight w:val="none"/>
          <w:lang w:val="en-US" w:eastAsia="zh-CN" w:bidi="ar-SA"/>
        </w:rPr>
      </w:pPr>
      <w:r>
        <w:rPr>
          <w:rFonts w:hint="eastAsia" w:ascii="宋体" w:hAnsi="宋体" w:cs="宋体"/>
          <w:b/>
          <w:bCs/>
          <w:iCs/>
          <w:color w:val="auto"/>
          <w:kern w:val="2"/>
          <w:sz w:val="24"/>
          <w:szCs w:val="24"/>
          <w:highlight w:val="none"/>
          <w:lang w:val="en-US" w:eastAsia="zh-CN" w:bidi="ar-SA"/>
        </w:rPr>
        <w:t>9</w:t>
      </w:r>
      <w:r>
        <w:rPr>
          <w:rFonts w:hint="eastAsia" w:ascii="宋体" w:hAnsi="宋体" w:eastAsia="宋体" w:cs="宋体"/>
          <w:b/>
          <w:bCs/>
          <w:iCs/>
          <w:color w:val="auto"/>
          <w:kern w:val="2"/>
          <w:sz w:val="24"/>
          <w:szCs w:val="24"/>
          <w:highlight w:val="none"/>
          <w:lang w:val="en-US" w:eastAsia="zh-CN" w:bidi="ar-SA"/>
        </w:rPr>
        <w:t>.《中小企业声明函》或《残疾人福利性单位声明函》或省级以上监狱管理局、戒毒管理局（含新疆生产建设兵团）出具的属于监狱企业的证明文件复印件（必须提供其中一项）。</w:t>
      </w:r>
    </w:p>
    <w:p w14:paraId="47916485">
      <w:pPr>
        <w:jc w:val="center"/>
        <w:outlineLvl w:val="9"/>
        <w:rPr>
          <w:rStyle w:val="43"/>
          <w:rFonts w:hint="eastAsia" w:ascii="宋体" w:hAnsi="宋体" w:eastAsia="宋体" w:cs="宋体"/>
          <w:b/>
          <w:bCs/>
          <w:color w:val="auto"/>
          <w:kern w:val="0"/>
          <w:sz w:val="21"/>
          <w:szCs w:val="21"/>
          <w:highlight w:val="none"/>
        </w:rPr>
      </w:pPr>
    </w:p>
    <w:p w14:paraId="728125F0">
      <w:pPr>
        <w:jc w:val="center"/>
        <w:outlineLvl w:val="9"/>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lang w:eastAsia="zh-CN"/>
        </w:rPr>
        <w:t>（</w:t>
      </w:r>
      <w:r>
        <w:rPr>
          <w:rStyle w:val="43"/>
          <w:rFonts w:hint="eastAsia" w:ascii="宋体" w:hAnsi="宋体" w:eastAsia="宋体" w:cs="宋体"/>
          <w:b/>
          <w:bCs/>
          <w:color w:val="auto"/>
          <w:kern w:val="0"/>
          <w:sz w:val="21"/>
          <w:szCs w:val="21"/>
          <w:highlight w:val="none"/>
          <w:lang w:val="en-US" w:eastAsia="zh-CN"/>
        </w:rPr>
        <w:t>1</w:t>
      </w:r>
      <w:r>
        <w:rPr>
          <w:rStyle w:val="43"/>
          <w:rFonts w:hint="eastAsia" w:ascii="宋体" w:hAnsi="宋体" w:eastAsia="宋体" w:cs="宋体"/>
          <w:b/>
          <w:bCs/>
          <w:color w:val="auto"/>
          <w:kern w:val="0"/>
          <w:sz w:val="21"/>
          <w:szCs w:val="21"/>
          <w:highlight w:val="none"/>
          <w:lang w:eastAsia="zh-CN"/>
        </w:rPr>
        <w:t>）</w:t>
      </w:r>
      <w:r>
        <w:rPr>
          <w:rStyle w:val="43"/>
          <w:rFonts w:hint="eastAsia" w:ascii="宋体" w:hAnsi="宋体" w:eastAsia="宋体" w:cs="宋体"/>
          <w:b/>
          <w:bCs/>
          <w:color w:val="auto"/>
          <w:kern w:val="0"/>
          <w:sz w:val="21"/>
          <w:szCs w:val="21"/>
          <w:highlight w:val="none"/>
        </w:rPr>
        <w:t>中小企业声明函（工程）</w:t>
      </w:r>
    </w:p>
    <w:p w14:paraId="47CF93D2">
      <w:pPr>
        <w:pStyle w:val="44"/>
        <w:ind w:left="63" w:right="63"/>
        <w:rPr>
          <w:rFonts w:hint="eastAsia" w:ascii="宋体" w:hAnsi="宋体" w:eastAsia="宋体" w:cs="宋体"/>
          <w:color w:val="auto"/>
          <w:sz w:val="21"/>
          <w:szCs w:val="21"/>
          <w:highlight w:val="none"/>
        </w:rPr>
      </w:pPr>
    </w:p>
    <w:p w14:paraId="1E21205B">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本公司郑重声明，根据《政府采购促进中小企业发展管理办法》（财库﹝2020﹞46 号）的规定，本公司参加</w:t>
      </w:r>
      <w:r>
        <w:rPr>
          <w:rStyle w:val="43"/>
          <w:rFonts w:hint="eastAsia" w:ascii="宋体" w:hAnsi="宋体" w:eastAsia="宋体" w:cs="宋体"/>
          <w:color w:val="auto"/>
          <w:kern w:val="0"/>
          <w:sz w:val="21"/>
          <w:szCs w:val="21"/>
          <w:highlight w:val="none"/>
          <w:u w:val="single" w:color="000000"/>
        </w:rPr>
        <w:t>（单位名称）</w:t>
      </w:r>
      <w:r>
        <w:rPr>
          <w:rStyle w:val="43"/>
          <w:rFonts w:hint="eastAsia" w:ascii="宋体" w:hAnsi="宋体" w:eastAsia="宋体" w:cs="宋体"/>
          <w:color w:val="auto"/>
          <w:kern w:val="0"/>
          <w:sz w:val="21"/>
          <w:szCs w:val="21"/>
          <w:highlight w:val="none"/>
        </w:rPr>
        <w:t>的</w:t>
      </w:r>
      <w:r>
        <w:rPr>
          <w:rStyle w:val="43"/>
          <w:rFonts w:hint="eastAsia" w:ascii="宋体" w:hAnsi="宋体" w:eastAsia="宋体" w:cs="宋体"/>
          <w:color w:val="auto"/>
          <w:kern w:val="0"/>
          <w:sz w:val="21"/>
          <w:szCs w:val="21"/>
          <w:highlight w:val="none"/>
          <w:u w:val="single" w:color="000000"/>
        </w:rPr>
        <w:t>（项目名称）</w:t>
      </w:r>
      <w:r>
        <w:rPr>
          <w:rStyle w:val="43"/>
          <w:rFonts w:hint="eastAsia" w:ascii="宋体" w:hAnsi="宋体" w:eastAsia="宋体" w:cs="宋体"/>
          <w:color w:val="auto"/>
          <w:kern w:val="0"/>
          <w:sz w:val="21"/>
          <w:szCs w:val="21"/>
          <w:highlight w:val="none"/>
        </w:rPr>
        <w:t>采购活动，</w:t>
      </w:r>
      <w:r>
        <w:rPr>
          <w:rStyle w:val="43"/>
          <w:rFonts w:hint="eastAsia" w:ascii="宋体" w:hAnsi="宋体" w:eastAsia="宋体" w:cs="宋体"/>
          <w:color w:val="auto"/>
          <w:kern w:val="0"/>
          <w:sz w:val="21"/>
          <w:szCs w:val="21"/>
          <w:highlight w:val="none"/>
          <w:lang w:val="en-US" w:eastAsia="zh-CN"/>
        </w:rPr>
        <w:t>工程的施工单位</w:t>
      </w:r>
      <w:r>
        <w:rPr>
          <w:rStyle w:val="43"/>
          <w:rFonts w:hint="eastAsia" w:ascii="宋体" w:hAnsi="宋体" w:eastAsia="宋体" w:cs="宋体"/>
          <w:color w:val="auto"/>
          <w:kern w:val="0"/>
          <w:sz w:val="21"/>
          <w:szCs w:val="21"/>
          <w:highlight w:val="none"/>
        </w:rPr>
        <w:t>全部</w:t>
      </w:r>
      <w:r>
        <w:rPr>
          <w:rStyle w:val="43"/>
          <w:rFonts w:hint="eastAsia" w:ascii="宋体" w:hAnsi="宋体" w:eastAsia="宋体" w:cs="宋体"/>
          <w:color w:val="auto"/>
          <w:kern w:val="0"/>
          <w:sz w:val="21"/>
          <w:szCs w:val="21"/>
          <w:highlight w:val="none"/>
          <w:lang w:val="en-US" w:eastAsia="zh-CN"/>
        </w:rPr>
        <w:t>为</w:t>
      </w:r>
      <w:r>
        <w:rPr>
          <w:rStyle w:val="43"/>
          <w:rFonts w:hint="eastAsia" w:ascii="宋体" w:hAnsi="宋体" w:eastAsia="宋体" w:cs="宋体"/>
          <w:color w:val="auto"/>
          <w:kern w:val="0"/>
          <w:sz w:val="21"/>
          <w:szCs w:val="21"/>
          <w:highlight w:val="none"/>
        </w:rPr>
        <w:t>符合政策要求的中小企业。相关企业（含联合体中的中小企业、签订分包意向协议的中小企业）的具体情况如下：</w:t>
      </w:r>
    </w:p>
    <w:p w14:paraId="767BF169">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 xml:space="preserve">1. </w:t>
      </w:r>
      <w:r>
        <w:rPr>
          <w:rStyle w:val="43"/>
          <w:rFonts w:hint="eastAsia" w:ascii="宋体" w:hAnsi="宋体" w:eastAsia="宋体" w:cs="宋体"/>
          <w:color w:val="auto"/>
          <w:kern w:val="0"/>
          <w:sz w:val="21"/>
          <w:szCs w:val="21"/>
          <w:highlight w:val="none"/>
          <w:u w:val="single" w:color="000000"/>
        </w:rPr>
        <w:t xml:space="preserve">（标的名称） </w:t>
      </w:r>
      <w:r>
        <w:rPr>
          <w:rStyle w:val="43"/>
          <w:rFonts w:hint="eastAsia" w:ascii="宋体" w:hAnsi="宋体" w:eastAsia="宋体" w:cs="宋体"/>
          <w:color w:val="auto"/>
          <w:kern w:val="0"/>
          <w:sz w:val="21"/>
          <w:szCs w:val="21"/>
          <w:highlight w:val="none"/>
        </w:rPr>
        <w:t xml:space="preserve">，属于 </w:t>
      </w:r>
      <w:r>
        <w:rPr>
          <w:rStyle w:val="43"/>
          <w:rFonts w:hint="eastAsia" w:ascii="宋体" w:hAnsi="宋体" w:eastAsia="宋体" w:cs="宋体"/>
          <w:color w:val="auto"/>
          <w:kern w:val="0"/>
          <w:sz w:val="21"/>
          <w:szCs w:val="21"/>
          <w:highlight w:val="none"/>
          <w:u w:val="single" w:color="000000"/>
        </w:rPr>
        <w:t xml:space="preserve">（招标文件中明确的所属行业） </w:t>
      </w:r>
      <w:r>
        <w:rPr>
          <w:rStyle w:val="43"/>
          <w:rFonts w:hint="eastAsia" w:ascii="宋体" w:hAnsi="宋体" w:eastAsia="宋体" w:cs="宋体"/>
          <w:color w:val="auto"/>
          <w:kern w:val="0"/>
          <w:sz w:val="21"/>
          <w:szCs w:val="21"/>
          <w:highlight w:val="none"/>
        </w:rPr>
        <w:t>； 承接企业为</w:t>
      </w:r>
      <w:r>
        <w:rPr>
          <w:rStyle w:val="43"/>
          <w:rFonts w:hint="eastAsia" w:ascii="宋体" w:hAnsi="宋体" w:eastAsia="宋体" w:cs="宋体"/>
          <w:color w:val="auto"/>
          <w:kern w:val="0"/>
          <w:sz w:val="21"/>
          <w:szCs w:val="21"/>
          <w:highlight w:val="none"/>
          <w:u w:val="single" w:color="000000"/>
        </w:rPr>
        <w:t>（企业名称）</w:t>
      </w:r>
      <w:r>
        <w:rPr>
          <w:rStyle w:val="43"/>
          <w:rFonts w:hint="eastAsia" w:ascii="宋体" w:hAnsi="宋体" w:eastAsia="宋体" w:cs="宋体"/>
          <w:color w:val="auto"/>
          <w:kern w:val="0"/>
          <w:sz w:val="21"/>
          <w:szCs w:val="21"/>
          <w:highlight w:val="none"/>
        </w:rPr>
        <w:t>，从业人员</w:t>
      </w:r>
      <w:r>
        <w:rPr>
          <w:rStyle w:val="43"/>
          <w:rFonts w:hint="eastAsia" w:ascii="宋体" w:hAnsi="宋体" w:eastAsia="宋体" w:cs="宋体"/>
          <w:color w:val="auto"/>
          <w:kern w:val="0"/>
          <w:sz w:val="21"/>
          <w:szCs w:val="21"/>
          <w:highlight w:val="none"/>
          <w:u w:val="single" w:color="000000"/>
        </w:rPr>
        <w:t xml:space="preserve">    </w:t>
      </w:r>
      <w:r>
        <w:rPr>
          <w:rStyle w:val="43"/>
          <w:rFonts w:hint="eastAsia" w:ascii="宋体" w:hAnsi="宋体" w:eastAsia="宋体" w:cs="宋体"/>
          <w:color w:val="auto"/>
          <w:kern w:val="0"/>
          <w:sz w:val="21"/>
          <w:szCs w:val="21"/>
          <w:highlight w:val="none"/>
        </w:rPr>
        <w:t>人，营业收入为</w:t>
      </w:r>
      <w:r>
        <w:rPr>
          <w:rStyle w:val="43"/>
          <w:rFonts w:hint="eastAsia" w:ascii="宋体" w:hAnsi="宋体" w:eastAsia="宋体" w:cs="宋体"/>
          <w:color w:val="auto"/>
          <w:kern w:val="0"/>
          <w:sz w:val="21"/>
          <w:szCs w:val="21"/>
          <w:highlight w:val="none"/>
          <w:u w:val="single" w:color="000000"/>
        </w:rPr>
        <w:t xml:space="preserve">    </w:t>
      </w:r>
      <w:r>
        <w:rPr>
          <w:rStyle w:val="43"/>
          <w:rFonts w:hint="eastAsia" w:ascii="宋体" w:hAnsi="宋体" w:eastAsia="宋体" w:cs="宋体"/>
          <w:color w:val="auto"/>
          <w:kern w:val="0"/>
          <w:sz w:val="21"/>
          <w:szCs w:val="21"/>
          <w:highlight w:val="none"/>
        </w:rPr>
        <w:t>万元，资产总额为</w:t>
      </w:r>
      <w:r>
        <w:rPr>
          <w:rStyle w:val="43"/>
          <w:rFonts w:hint="eastAsia" w:ascii="宋体" w:hAnsi="宋体" w:eastAsia="宋体" w:cs="宋体"/>
          <w:color w:val="auto"/>
          <w:kern w:val="0"/>
          <w:sz w:val="21"/>
          <w:szCs w:val="21"/>
          <w:highlight w:val="none"/>
          <w:u w:val="single" w:color="000000"/>
        </w:rPr>
        <w:t xml:space="preserve">    </w:t>
      </w:r>
      <w:r>
        <w:rPr>
          <w:rStyle w:val="43"/>
          <w:rFonts w:hint="eastAsia" w:ascii="宋体" w:hAnsi="宋体" w:eastAsia="宋体" w:cs="宋体"/>
          <w:color w:val="auto"/>
          <w:kern w:val="0"/>
          <w:sz w:val="21"/>
          <w:szCs w:val="21"/>
          <w:highlight w:val="none"/>
        </w:rPr>
        <w:t>万元，属于</w:t>
      </w:r>
      <w:r>
        <w:rPr>
          <w:rStyle w:val="43"/>
          <w:rFonts w:hint="eastAsia" w:ascii="宋体" w:hAnsi="宋体" w:eastAsia="宋体" w:cs="宋体"/>
          <w:color w:val="auto"/>
          <w:kern w:val="0"/>
          <w:sz w:val="21"/>
          <w:szCs w:val="21"/>
          <w:highlight w:val="none"/>
          <w:u w:val="single" w:color="000000"/>
        </w:rPr>
        <w:t>（中型企业、 小型企业、微型企业）</w:t>
      </w:r>
      <w:r>
        <w:rPr>
          <w:rStyle w:val="43"/>
          <w:rFonts w:hint="eastAsia" w:ascii="宋体" w:hAnsi="宋体" w:eastAsia="宋体" w:cs="宋体"/>
          <w:color w:val="auto"/>
          <w:kern w:val="0"/>
          <w:sz w:val="21"/>
          <w:szCs w:val="21"/>
          <w:highlight w:val="none"/>
        </w:rPr>
        <w:t xml:space="preserve">； </w:t>
      </w:r>
    </w:p>
    <w:p w14:paraId="0359ED83">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以上企业，不属于大企业的分支机构，不存在控股股东 为大企业的情形，也不存在与大企业的负责人为同一人的情形。</w:t>
      </w:r>
    </w:p>
    <w:p w14:paraId="0B4888C4">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 xml:space="preserve">本企业对上述声明内容的真实性负责。如有虚假，将依法承担相应责任。 </w:t>
      </w:r>
    </w:p>
    <w:p w14:paraId="4A8663B4">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p>
    <w:p w14:paraId="4A8E887B">
      <w:pPr>
        <w:widowControl/>
        <w:ind w:firstLine="3990" w:firstLineChars="19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D70D979">
      <w:pPr>
        <w:pStyle w:val="14"/>
        <w:spacing w:line="300" w:lineRule="exact"/>
        <w:ind w:left="2940" w:leftChars="1400" w:firstLine="630" w:firstLineChars="300"/>
        <w:rPr>
          <w:rFonts w:hint="eastAsia" w:ascii="宋体" w:hAnsi="宋体" w:eastAsia="宋体" w:cs="宋体"/>
          <w:color w:val="auto"/>
          <w:sz w:val="21"/>
          <w:szCs w:val="21"/>
          <w:highlight w:val="none"/>
        </w:rPr>
      </w:pPr>
    </w:p>
    <w:p w14:paraId="071C03D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firstLine="3570" w:firstLineChars="17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p>
    <w:p w14:paraId="6C5652A1">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rPr>
          <w:rStyle w:val="43"/>
          <w:rFonts w:hint="eastAsia" w:ascii="宋体" w:hAnsi="宋体" w:eastAsia="宋体" w:cs="宋体"/>
          <w:color w:val="auto"/>
          <w:kern w:val="0"/>
          <w:sz w:val="21"/>
          <w:szCs w:val="21"/>
          <w:highlight w:val="none"/>
        </w:rPr>
      </w:pPr>
    </w:p>
    <w:p w14:paraId="2F28B74A">
      <w:pPr>
        <w:pStyle w:val="19"/>
        <w:rPr>
          <w:rFonts w:hint="eastAsia" w:ascii="宋体" w:hAnsi="宋体" w:eastAsia="宋体" w:cs="宋体"/>
          <w:b/>
          <w:color w:val="auto"/>
          <w:sz w:val="21"/>
          <w:szCs w:val="21"/>
          <w:highlight w:val="none"/>
        </w:rPr>
      </w:pPr>
    </w:p>
    <w:p w14:paraId="2B103040">
      <w:pPr>
        <w:pStyle w:val="19"/>
        <w:rPr>
          <w:rFonts w:hint="eastAsia" w:ascii="宋体" w:hAnsi="宋体" w:eastAsia="宋体" w:cs="宋体"/>
          <w:b/>
          <w:color w:val="auto"/>
          <w:sz w:val="21"/>
          <w:szCs w:val="21"/>
          <w:highlight w:val="none"/>
        </w:rPr>
      </w:pPr>
    </w:p>
    <w:p w14:paraId="4DE1147F">
      <w:pPr>
        <w:pStyle w:val="19"/>
        <w:rPr>
          <w:rFonts w:hint="eastAsia" w:ascii="宋体" w:hAnsi="宋体" w:eastAsia="宋体" w:cs="宋体"/>
          <w:b/>
          <w:color w:val="auto"/>
          <w:sz w:val="21"/>
          <w:szCs w:val="21"/>
          <w:highlight w:val="none"/>
        </w:rPr>
      </w:pPr>
    </w:p>
    <w:p w14:paraId="57CCC6DD">
      <w:pPr>
        <w:pStyle w:val="19"/>
        <w:rPr>
          <w:rFonts w:hint="eastAsia" w:ascii="宋体" w:hAnsi="宋体" w:eastAsia="宋体" w:cs="宋体"/>
          <w:b/>
          <w:color w:val="auto"/>
          <w:sz w:val="21"/>
          <w:szCs w:val="21"/>
          <w:highlight w:val="none"/>
        </w:rPr>
      </w:pPr>
    </w:p>
    <w:p w14:paraId="7593CD53">
      <w:pPr>
        <w:pStyle w:val="19"/>
        <w:rPr>
          <w:rFonts w:hint="eastAsia" w:ascii="宋体" w:hAnsi="宋体" w:eastAsia="宋体" w:cs="宋体"/>
          <w:b/>
          <w:color w:val="auto"/>
          <w:sz w:val="21"/>
          <w:szCs w:val="21"/>
          <w:highlight w:val="none"/>
        </w:rPr>
      </w:pPr>
    </w:p>
    <w:p w14:paraId="51A080CC">
      <w:pPr>
        <w:pStyle w:val="19"/>
        <w:rPr>
          <w:rFonts w:hint="eastAsia" w:ascii="宋体" w:hAnsi="宋体" w:eastAsia="宋体" w:cs="宋体"/>
          <w:b/>
          <w:color w:val="auto"/>
          <w:sz w:val="21"/>
          <w:szCs w:val="21"/>
          <w:highlight w:val="none"/>
        </w:rPr>
      </w:pPr>
    </w:p>
    <w:p w14:paraId="1B2096A3">
      <w:pPr>
        <w:pStyle w:val="19"/>
        <w:rPr>
          <w:rFonts w:hint="eastAsia" w:ascii="宋体" w:hAnsi="宋体" w:eastAsia="宋体" w:cs="宋体"/>
          <w:b/>
          <w:color w:val="auto"/>
          <w:sz w:val="21"/>
          <w:szCs w:val="21"/>
          <w:highlight w:val="none"/>
        </w:rPr>
      </w:pPr>
    </w:p>
    <w:p w14:paraId="1123002C">
      <w:pPr>
        <w:pStyle w:val="19"/>
        <w:rPr>
          <w:rFonts w:hint="eastAsia" w:ascii="宋体" w:hAnsi="宋体" w:eastAsia="宋体" w:cs="宋体"/>
          <w:b/>
          <w:color w:val="auto"/>
          <w:sz w:val="21"/>
          <w:szCs w:val="21"/>
          <w:highlight w:val="none"/>
        </w:rPr>
      </w:pPr>
    </w:p>
    <w:p w14:paraId="4765AD79">
      <w:pPr>
        <w:pStyle w:val="19"/>
        <w:rPr>
          <w:rFonts w:hint="eastAsia" w:ascii="宋体" w:hAnsi="宋体" w:eastAsia="宋体" w:cs="宋体"/>
          <w:b/>
          <w:color w:val="auto"/>
          <w:sz w:val="21"/>
          <w:szCs w:val="21"/>
          <w:highlight w:val="none"/>
        </w:rPr>
      </w:pPr>
    </w:p>
    <w:p w14:paraId="60A526A2">
      <w:pPr>
        <w:pStyle w:val="19"/>
        <w:rPr>
          <w:rFonts w:hint="eastAsia" w:ascii="宋体" w:hAnsi="宋体" w:eastAsia="宋体" w:cs="宋体"/>
          <w:b/>
          <w:color w:val="auto"/>
          <w:sz w:val="21"/>
          <w:szCs w:val="21"/>
          <w:highlight w:val="none"/>
        </w:rPr>
      </w:pPr>
    </w:p>
    <w:p w14:paraId="534BEDFE">
      <w:pPr>
        <w:pStyle w:val="19"/>
        <w:rPr>
          <w:rFonts w:hint="eastAsia" w:ascii="宋体" w:hAnsi="宋体" w:eastAsia="宋体" w:cs="宋体"/>
          <w:b/>
          <w:color w:val="auto"/>
          <w:sz w:val="21"/>
          <w:szCs w:val="21"/>
          <w:highlight w:val="none"/>
        </w:rPr>
      </w:pPr>
    </w:p>
    <w:p w14:paraId="39ECBE30">
      <w:pPr>
        <w:pStyle w:val="19"/>
        <w:rPr>
          <w:rFonts w:hint="eastAsia" w:ascii="宋体" w:hAnsi="宋体" w:eastAsia="宋体" w:cs="宋体"/>
          <w:b/>
          <w:color w:val="auto"/>
          <w:sz w:val="21"/>
          <w:szCs w:val="21"/>
          <w:highlight w:val="none"/>
        </w:rPr>
      </w:pPr>
    </w:p>
    <w:p w14:paraId="36E558CE">
      <w:pPr>
        <w:pStyle w:val="1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备注：供应商应按照</w:t>
      </w:r>
      <w:r>
        <w:rPr>
          <w:rFonts w:hint="eastAsia" w:ascii="宋体" w:hAnsi="宋体" w:eastAsia="宋体" w:cs="宋体"/>
          <w:b/>
          <w:color w:val="auto"/>
          <w:sz w:val="21"/>
          <w:szCs w:val="21"/>
          <w:highlight w:val="none"/>
          <w:lang w:val="en-US" w:eastAsia="zh-CN"/>
        </w:rPr>
        <w:t>中小微型企业划分标准按照《国家统计局关于印发《统计上大中小微型企业划分办法〔2017〕》的通知》（国统字〔2017〕213号）</w:t>
      </w:r>
      <w:r>
        <w:rPr>
          <w:rFonts w:hint="eastAsia" w:ascii="宋体" w:hAnsi="宋体" w:eastAsia="宋体" w:cs="宋体"/>
          <w:b/>
          <w:color w:val="auto"/>
          <w:sz w:val="21"/>
          <w:szCs w:val="21"/>
          <w:highlight w:val="none"/>
        </w:rPr>
        <w:t>的划分标准进行如实申明，如提供虚假申明应依法承担相应法律责任。如成交人为小型和微型企业的，</w:t>
      </w:r>
      <w:r>
        <w:rPr>
          <w:rFonts w:hint="eastAsia" w:ascii="宋体" w:hAnsi="宋体" w:eastAsia="宋体" w:cs="宋体"/>
          <w:b/>
          <w:color w:val="auto"/>
          <w:sz w:val="21"/>
          <w:szCs w:val="21"/>
          <w:highlight w:val="none"/>
          <w:lang w:val="en-US" w:eastAsia="zh-CN"/>
        </w:rPr>
        <w:t>成交</w:t>
      </w:r>
      <w:r>
        <w:rPr>
          <w:rFonts w:hint="eastAsia" w:ascii="宋体" w:hAnsi="宋体" w:eastAsia="宋体" w:cs="宋体"/>
          <w:b/>
          <w:color w:val="auto"/>
          <w:sz w:val="21"/>
          <w:szCs w:val="21"/>
          <w:highlight w:val="none"/>
        </w:rPr>
        <w:t>结果将同时公告（或成交人的《中小企业声明函》，接受社会监督。</w:t>
      </w:r>
    </w:p>
    <w:p w14:paraId="7F793F2B">
      <w:pPr>
        <w:rPr>
          <w:rStyle w:val="43"/>
          <w:rFonts w:hint="eastAsia" w:ascii="宋体" w:hAnsi="宋体" w:eastAsia="宋体" w:cs="宋体"/>
          <w:b/>
          <w:bCs/>
          <w:color w:val="auto"/>
          <w:sz w:val="21"/>
          <w:szCs w:val="21"/>
          <w:highlight w:val="none"/>
        </w:rPr>
      </w:pPr>
      <w:r>
        <w:rPr>
          <w:rStyle w:val="43"/>
          <w:rFonts w:hint="eastAsia" w:ascii="宋体" w:hAnsi="宋体" w:eastAsia="宋体" w:cs="宋体"/>
          <w:b/>
          <w:bCs/>
          <w:color w:val="auto"/>
          <w:sz w:val="21"/>
          <w:szCs w:val="21"/>
          <w:highlight w:val="none"/>
        </w:rPr>
        <w:t>附表</w:t>
      </w:r>
    </w:p>
    <w:p w14:paraId="6F2A5EC1">
      <w:pPr>
        <w:spacing w:before="120" w:after="120" w:line="400" w:lineRule="exact"/>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统计上大中小微型企业划分标准</w:t>
      </w:r>
    </w:p>
    <w:tbl>
      <w:tblPr>
        <w:tblStyle w:val="21"/>
        <w:tblW w:w="943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3"/>
        <w:gridCol w:w="1369"/>
        <w:gridCol w:w="709"/>
        <w:gridCol w:w="1125"/>
        <w:gridCol w:w="1701"/>
        <w:gridCol w:w="1426"/>
        <w:gridCol w:w="992"/>
      </w:tblGrid>
      <w:tr w14:paraId="27A27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trPr>
        <w:tc>
          <w:tcPr>
            <w:tcW w:w="2113"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29097CFB">
            <w:pPr>
              <w:spacing w:line="240" w:lineRule="exact"/>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行业名称</w:t>
            </w:r>
          </w:p>
        </w:tc>
        <w:tc>
          <w:tcPr>
            <w:tcW w:w="1369"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6C7441A6">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指标名称</w:t>
            </w:r>
          </w:p>
        </w:tc>
        <w:tc>
          <w:tcPr>
            <w:tcW w:w="709"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63AA39DD">
            <w:pPr>
              <w:jc w:val="center"/>
              <w:rPr>
                <w:rStyle w:val="43"/>
                <w:rFonts w:hint="eastAsia" w:ascii="宋体" w:hAnsi="宋体" w:eastAsia="宋体" w:cs="宋体"/>
                <w:b/>
                <w:bCs/>
                <w:color w:val="auto"/>
                <w:kern w:val="0"/>
                <w:sz w:val="21"/>
                <w:szCs w:val="21"/>
                <w:highlight w:val="none"/>
                <w:lang w:eastAsia="zh-CN"/>
              </w:rPr>
            </w:pPr>
            <w:r>
              <w:rPr>
                <w:rStyle w:val="43"/>
                <w:rFonts w:hint="eastAsia" w:ascii="宋体" w:hAnsi="宋体" w:eastAsia="宋体" w:cs="宋体"/>
                <w:b/>
                <w:bCs/>
                <w:color w:val="auto"/>
                <w:kern w:val="0"/>
                <w:sz w:val="21"/>
                <w:szCs w:val="21"/>
                <w:highlight w:val="none"/>
              </w:rPr>
              <w:t>计量</w:t>
            </w:r>
          </w:p>
          <w:p w14:paraId="139F3F9F">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4C78D46D">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大型</w:t>
            </w:r>
          </w:p>
        </w:tc>
        <w:tc>
          <w:tcPr>
            <w:tcW w:w="1701"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73C9DF71">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中型</w:t>
            </w:r>
          </w:p>
        </w:tc>
        <w:tc>
          <w:tcPr>
            <w:tcW w:w="1426"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1791B99E">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小型</w:t>
            </w:r>
          </w:p>
        </w:tc>
        <w:tc>
          <w:tcPr>
            <w:tcW w:w="992" w:type="dxa"/>
            <w:tcBorders>
              <w:top w:val="single" w:color="000000" w:sz="4" w:space="0"/>
              <w:left w:val="single" w:color="000000" w:sz="4" w:space="0"/>
              <w:bottom w:val="single" w:color="000000" w:sz="4" w:space="0"/>
              <w:right w:val="single" w:color="000000" w:sz="4" w:space="0"/>
            </w:tcBorders>
            <w:shd w:val="clear" w:color="auto" w:fill="8DB3E2"/>
            <w:vAlign w:val="center"/>
          </w:tcPr>
          <w:p w14:paraId="5DFAE2A1">
            <w:pPr>
              <w:jc w:val="center"/>
              <w:rPr>
                <w:rStyle w:val="43"/>
                <w:rFonts w:hint="eastAsia" w:ascii="宋体" w:hAnsi="宋体" w:eastAsia="宋体" w:cs="宋体"/>
                <w:b/>
                <w:bCs/>
                <w:color w:val="auto"/>
                <w:kern w:val="0"/>
                <w:sz w:val="21"/>
                <w:szCs w:val="21"/>
                <w:highlight w:val="none"/>
              </w:rPr>
            </w:pPr>
            <w:r>
              <w:rPr>
                <w:rStyle w:val="43"/>
                <w:rFonts w:hint="eastAsia" w:ascii="宋体" w:hAnsi="宋体" w:eastAsia="宋体" w:cs="宋体"/>
                <w:b/>
                <w:bCs/>
                <w:color w:val="auto"/>
                <w:kern w:val="0"/>
                <w:sz w:val="21"/>
                <w:szCs w:val="21"/>
                <w:highlight w:val="none"/>
              </w:rPr>
              <w:t>微型</w:t>
            </w:r>
          </w:p>
        </w:tc>
      </w:tr>
      <w:tr w14:paraId="5A2CC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vAlign w:val="center"/>
          </w:tcPr>
          <w:p w14:paraId="14DD42EE">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农、林、牧、渔业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0DACC34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16F80B7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7CACA191">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Y≥20000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0D3D308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500≤Y＜20000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39BD7F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50≤Y＜500</w:t>
            </w:r>
          </w:p>
        </w:tc>
        <w:tc>
          <w:tcPr>
            <w:tcW w:w="992" w:type="dxa"/>
            <w:tcBorders>
              <w:top w:val="single" w:color="000000" w:sz="4" w:space="0"/>
              <w:left w:val="single" w:color="000000" w:sz="4" w:space="0"/>
              <w:bottom w:val="single" w:color="000000" w:sz="4" w:space="0"/>
              <w:right w:val="single" w:color="000000" w:sz="4" w:space="0"/>
            </w:tcBorders>
            <w:vAlign w:val="center"/>
          </w:tcPr>
          <w:p w14:paraId="539AF24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Y＜50</w:t>
            </w:r>
          </w:p>
        </w:tc>
      </w:tr>
      <w:tr w14:paraId="5B291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2699E1BB">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工业 *</w:t>
            </w:r>
          </w:p>
        </w:tc>
        <w:tc>
          <w:tcPr>
            <w:tcW w:w="1369" w:type="dxa"/>
            <w:tcBorders>
              <w:top w:val="single" w:color="000000" w:sz="4" w:space="0"/>
              <w:left w:val="single" w:color="000000" w:sz="4" w:space="0"/>
              <w:bottom w:val="single" w:color="000000" w:sz="4" w:space="0"/>
              <w:right w:val="single" w:color="000000" w:sz="4" w:space="0"/>
            </w:tcBorders>
            <w:vAlign w:val="center"/>
          </w:tcPr>
          <w:p w14:paraId="26967DF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0D98B2A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3404278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204F09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300≤X＜1000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869186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20≤X＜300</w:t>
            </w:r>
          </w:p>
        </w:tc>
        <w:tc>
          <w:tcPr>
            <w:tcW w:w="992" w:type="dxa"/>
            <w:tcBorders>
              <w:top w:val="single" w:color="000000" w:sz="4" w:space="0"/>
              <w:left w:val="single" w:color="000000" w:sz="4" w:space="0"/>
              <w:bottom w:val="single" w:color="000000" w:sz="4" w:space="0"/>
              <w:right w:val="single" w:color="000000" w:sz="4" w:space="0"/>
            </w:tcBorders>
            <w:vAlign w:val="center"/>
          </w:tcPr>
          <w:p w14:paraId="5997D35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w:t>
            </w:r>
          </w:p>
        </w:tc>
      </w:tr>
      <w:tr w14:paraId="0DC20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C1ABDD4">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326BC787">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056F697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37F8204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Y≥40000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2E49488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2000≤Y＜40000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527A1E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300≤Y＜2000</w:t>
            </w:r>
          </w:p>
        </w:tc>
        <w:tc>
          <w:tcPr>
            <w:tcW w:w="992" w:type="dxa"/>
            <w:tcBorders>
              <w:top w:val="single" w:color="000000" w:sz="4" w:space="0"/>
              <w:left w:val="single" w:color="000000" w:sz="4" w:space="0"/>
              <w:bottom w:val="single" w:color="000000" w:sz="4" w:space="0"/>
              <w:right w:val="single" w:color="000000" w:sz="4" w:space="0"/>
            </w:tcBorders>
            <w:vAlign w:val="center"/>
          </w:tcPr>
          <w:p w14:paraId="071FF4E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Y＜300</w:t>
            </w:r>
          </w:p>
        </w:tc>
      </w:tr>
      <w:tr w14:paraId="67B75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16C8C1F1">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建筑业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0151BAE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7E8C0F5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179CFBA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Y≥80000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5553FE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6000≤Y＜80000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05BCC41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300≤Y＜6000</w:t>
            </w:r>
          </w:p>
        </w:tc>
        <w:tc>
          <w:tcPr>
            <w:tcW w:w="992" w:type="dxa"/>
            <w:tcBorders>
              <w:top w:val="single" w:color="000000" w:sz="4" w:space="0"/>
              <w:left w:val="single" w:color="000000" w:sz="4" w:space="0"/>
              <w:bottom w:val="single" w:color="000000" w:sz="4" w:space="0"/>
              <w:right w:val="single" w:color="000000" w:sz="4" w:space="0"/>
            </w:tcBorders>
            <w:vAlign w:val="center"/>
          </w:tcPr>
          <w:p w14:paraId="5A8EABB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Y＜300</w:t>
            </w:r>
          </w:p>
        </w:tc>
      </w:tr>
      <w:tr w14:paraId="04F2C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208273F">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63DC3084">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vAlign w:val="center"/>
          </w:tcPr>
          <w:p w14:paraId="73284F4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0A135FC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Z≥80000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057D695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5000≤Z＜80000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44517A3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300≤Z＜5000</w:t>
            </w:r>
          </w:p>
        </w:tc>
        <w:tc>
          <w:tcPr>
            <w:tcW w:w="992" w:type="dxa"/>
            <w:tcBorders>
              <w:top w:val="single" w:color="000000" w:sz="4" w:space="0"/>
              <w:left w:val="single" w:color="000000" w:sz="4" w:space="0"/>
              <w:bottom w:val="single" w:color="000000" w:sz="4" w:space="0"/>
              <w:right w:val="single" w:color="000000" w:sz="4" w:space="0"/>
            </w:tcBorders>
            <w:vAlign w:val="center"/>
          </w:tcPr>
          <w:p w14:paraId="09A8904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Z＜300</w:t>
            </w:r>
          </w:p>
        </w:tc>
      </w:tr>
      <w:tr w14:paraId="7C63E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074A3A13">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批发业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20CDFEF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2E1C165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739C258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C66144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20≤X＜200</w:t>
            </w:r>
          </w:p>
        </w:tc>
        <w:tc>
          <w:tcPr>
            <w:tcW w:w="1426" w:type="dxa"/>
            <w:tcBorders>
              <w:top w:val="single" w:color="000000" w:sz="4" w:space="0"/>
              <w:left w:val="single" w:color="000000" w:sz="4" w:space="0"/>
              <w:bottom w:val="single" w:color="000000" w:sz="4" w:space="0"/>
              <w:right w:val="single" w:color="000000" w:sz="4" w:space="0"/>
            </w:tcBorders>
            <w:vAlign w:val="center"/>
          </w:tcPr>
          <w:p w14:paraId="345A943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5≤X＜20</w:t>
            </w:r>
          </w:p>
        </w:tc>
        <w:tc>
          <w:tcPr>
            <w:tcW w:w="992" w:type="dxa"/>
            <w:tcBorders>
              <w:top w:val="single" w:color="000000" w:sz="4" w:space="0"/>
              <w:left w:val="single" w:color="000000" w:sz="4" w:space="0"/>
              <w:bottom w:val="single" w:color="000000" w:sz="4" w:space="0"/>
              <w:right w:val="single" w:color="000000" w:sz="4" w:space="0"/>
            </w:tcBorders>
            <w:vAlign w:val="center"/>
          </w:tcPr>
          <w:p w14:paraId="72550B6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X＜5</w:t>
            </w:r>
          </w:p>
        </w:tc>
      </w:tr>
      <w:tr w14:paraId="71F6A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68972299">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4D0309A0">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0B3514F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072ADBB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Y≥40000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4E99A00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5000≤Y＜40000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3E7B29C2">
            <w:pPr>
              <w:ind w:left="-1" w:leftChars="-1" w:hanging="1"/>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1000≤Y＜5000</w:t>
            </w:r>
          </w:p>
        </w:tc>
        <w:tc>
          <w:tcPr>
            <w:tcW w:w="992" w:type="dxa"/>
            <w:tcBorders>
              <w:top w:val="single" w:color="000000" w:sz="4" w:space="0"/>
              <w:left w:val="single" w:color="000000" w:sz="4" w:space="0"/>
              <w:bottom w:val="single" w:color="000000" w:sz="4" w:space="0"/>
              <w:right w:val="single" w:color="000000" w:sz="4" w:space="0"/>
            </w:tcBorders>
            <w:vAlign w:val="center"/>
          </w:tcPr>
          <w:p w14:paraId="7A3AF02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Y＜1000</w:t>
            </w:r>
          </w:p>
        </w:tc>
      </w:tr>
      <w:tr w14:paraId="03A90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1C2AA142">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零售业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33231C6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390A4B5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0D6482B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19FC75C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50≤X＜300</w:t>
            </w:r>
          </w:p>
        </w:tc>
        <w:tc>
          <w:tcPr>
            <w:tcW w:w="1426" w:type="dxa"/>
            <w:tcBorders>
              <w:top w:val="single" w:color="000000" w:sz="4" w:space="0"/>
              <w:left w:val="single" w:color="000000" w:sz="4" w:space="0"/>
              <w:bottom w:val="single" w:color="000000" w:sz="4" w:space="0"/>
              <w:right w:val="single" w:color="000000" w:sz="4" w:space="0"/>
            </w:tcBorders>
            <w:vAlign w:val="center"/>
          </w:tcPr>
          <w:p w14:paraId="19FA5DA0">
            <w:pPr>
              <w:ind w:left="-1" w:leftChars="-1" w:hanging="1"/>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 xml:space="preserve">10≤X＜50 </w:t>
            </w:r>
          </w:p>
        </w:tc>
        <w:tc>
          <w:tcPr>
            <w:tcW w:w="992" w:type="dxa"/>
            <w:tcBorders>
              <w:top w:val="single" w:color="000000" w:sz="4" w:space="0"/>
              <w:left w:val="single" w:color="000000" w:sz="4" w:space="0"/>
              <w:bottom w:val="single" w:color="000000" w:sz="4" w:space="0"/>
              <w:right w:val="single" w:color="000000" w:sz="4" w:space="0"/>
            </w:tcBorders>
            <w:vAlign w:val="center"/>
          </w:tcPr>
          <w:p w14:paraId="1FF3EC5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6EFC3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5E70FDA9">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58D6AC5C">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34E06A6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01AAD62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Y≥20000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75DAA9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500≤Y＜20000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26962BA9">
            <w:pPr>
              <w:ind w:left="-1" w:leftChars="-1" w:hanging="1"/>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100≤Y＜500</w:t>
            </w:r>
          </w:p>
        </w:tc>
        <w:tc>
          <w:tcPr>
            <w:tcW w:w="992" w:type="dxa"/>
            <w:tcBorders>
              <w:top w:val="single" w:color="000000" w:sz="4" w:space="0"/>
              <w:left w:val="single" w:color="000000" w:sz="4" w:space="0"/>
              <w:bottom w:val="single" w:color="000000" w:sz="4" w:space="0"/>
              <w:right w:val="single" w:color="000000" w:sz="4" w:space="0"/>
            </w:tcBorders>
            <w:vAlign w:val="center"/>
          </w:tcPr>
          <w:p w14:paraId="1EAF71E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48CA5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649EF08B">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交通运输业 *</w:t>
            </w:r>
          </w:p>
        </w:tc>
        <w:tc>
          <w:tcPr>
            <w:tcW w:w="1369" w:type="dxa"/>
            <w:tcBorders>
              <w:top w:val="single" w:color="000000" w:sz="4" w:space="0"/>
              <w:left w:val="single" w:color="000000" w:sz="4" w:space="0"/>
              <w:bottom w:val="single" w:color="000000" w:sz="4" w:space="0"/>
              <w:right w:val="single" w:color="000000" w:sz="4" w:space="0"/>
            </w:tcBorders>
            <w:vAlign w:val="center"/>
          </w:tcPr>
          <w:p w14:paraId="0B70A19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7F34D47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3DF1633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494FE05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300≤X＜1000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4B5C8DD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20≤X＜300</w:t>
            </w:r>
          </w:p>
        </w:tc>
        <w:tc>
          <w:tcPr>
            <w:tcW w:w="992" w:type="dxa"/>
            <w:tcBorders>
              <w:top w:val="single" w:color="000000" w:sz="4" w:space="0"/>
              <w:left w:val="single" w:color="000000" w:sz="4" w:space="0"/>
              <w:bottom w:val="single" w:color="000000" w:sz="4" w:space="0"/>
              <w:right w:val="single" w:color="000000" w:sz="4" w:space="0"/>
            </w:tcBorders>
            <w:vAlign w:val="center"/>
          </w:tcPr>
          <w:p w14:paraId="7464D8F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w:t>
            </w:r>
          </w:p>
        </w:tc>
      </w:tr>
      <w:tr w14:paraId="31BF3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1979D2AF">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56941B4F">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0F9FED2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546FCA2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Y≥30000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2EBE3AB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3000≤Y＜30000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610903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200≤Y＜3000</w:t>
            </w:r>
          </w:p>
        </w:tc>
        <w:tc>
          <w:tcPr>
            <w:tcW w:w="992" w:type="dxa"/>
            <w:tcBorders>
              <w:top w:val="single" w:color="000000" w:sz="4" w:space="0"/>
              <w:left w:val="single" w:color="000000" w:sz="4" w:space="0"/>
              <w:bottom w:val="single" w:color="000000" w:sz="4" w:space="0"/>
              <w:right w:val="single" w:color="000000" w:sz="4" w:space="0"/>
            </w:tcBorders>
            <w:vAlign w:val="center"/>
          </w:tcPr>
          <w:p w14:paraId="0BE65E0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Y＜200</w:t>
            </w:r>
          </w:p>
        </w:tc>
      </w:tr>
      <w:tr w14:paraId="009D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63315B50">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仓储业*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564AE3D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6B8A395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21A2C59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DFD4E1F">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100≤X＜200</w:t>
            </w:r>
          </w:p>
        </w:tc>
        <w:tc>
          <w:tcPr>
            <w:tcW w:w="1426" w:type="dxa"/>
            <w:tcBorders>
              <w:top w:val="single" w:color="000000" w:sz="4" w:space="0"/>
              <w:left w:val="single" w:color="000000" w:sz="4" w:space="0"/>
              <w:bottom w:val="single" w:color="000000" w:sz="4" w:space="0"/>
              <w:right w:val="single" w:color="000000" w:sz="4" w:space="0"/>
            </w:tcBorders>
            <w:vAlign w:val="center"/>
          </w:tcPr>
          <w:p w14:paraId="0FE24BE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10EC642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w:t>
            </w:r>
          </w:p>
        </w:tc>
      </w:tr>
      <w:tr w14:paraId="2BE24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6357994B">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2829858C">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5E45A8E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17A3391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Y≥30000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21B96CA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1000≤Y＜30000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1CCC53F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100≤Y＜1000</w:t>
            </w:r>
          </w:p>
        </w:tc>
        <w:tc>
          <w:tcPr>
            <w:tcW w:w="992" w:type="dxa"/>
            <w:tcBorders>
              <w:top w:val="single" w:color="000000" w:sz="4" w:space="0"/>
              <w:left w:val="single" w:color="000000" w:sz="4" w:space="0"/>
              <w:bottom w:val="single" w:color="000000" w:sz="4" w:space="0"/>
              <w:right w:val="single" w:color="000000" w:sz="4" w:space="0"/>
            </w:tcBorders>
            <w:vAlign w:val="center"/>
          </w:tcPr>
          <w:p w14:paraId="7359E57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7F99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2FE54428">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邮政业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14E84FB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6892518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1BDD5D6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00DB1C9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300≤X＜1000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337B526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20≤X＜300</w:t>
            </w:r>
          </w:p>
        </w:tc>
        <w:tc>
          <w:tcPr>
            <w:tcW w:w="992" w:type="dxa"/>
            <w:tcBorders>
              <w:top w:val="single" w:color="000000" w:sz="4" w:space="0"/>
              <w:left w:val="single" w:color="000000" w:sz="4" w:space="0"/>
              <w:bottom w:val="single" w:color="000000" w:sz="4" w:space="0"/>
              <w:right w:val="single" w:color="000000" w:sz="4" w:space="0"/>
            </w:tcBorders>
            <w:vAlign w:val="center"/>
          </w:tcPr>
          <w:p w14:paraId="6CB9990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w:t>
            </w:r>
          </w:p>
        </w:tc>
      </w:tr>
      <w:tr w14:paraId="13461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E7B162B">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69CE5064">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69B0E74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1FAC02E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Y≥30000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1C79BD51">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2000≤Y＜30000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5A640DC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100≤Y＜2000</w:t>
            </w:r>
          </w:p>
        </w:tc>
        <w:tc>
          <w:tcPr>
            <w:tcW w:w="992" w:type="dxa"/>
            <w:tcBorders>
              <w:top w:val="single" w:color="000000" w:sz="4" w:space="0"/>
              <w:left w:val="single" w:color="000000" w:sz="4" w:space="0"/>
              <w:bottom w:val="single" w:color="000000" w:sz="4" w:space="0"/>
              <w:right w:val="single" w:color="000000" w:sz="4" w:space="0"/>
            </w:tcBorders>
            <w:vAlign w:val="center"/>
          </w:tcPr>
          <w:p w14:paraId="0D7D41D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493B1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0E0D7953">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住宿业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44FE90C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0CE2A6A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642EC13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4EEE52D">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100≤X＜300</w:t>
            </w:r>
          </w:p>
        </w:tc>
        <w:tc>
          <w:tcPr>
            <w:tcW w:w="1426" w:type="dxa"/>
            <w:tcBorders>
              <w:top w:val="single" w:color="000000" w:sz="4" w:space="0"/>
              <w:left w:val="single" w:color="000000" w:sz="4" w:space="0"/>
              <w:bottom w:val="single" w:color="000000" w:sz="4" w:space="0"/>
              <w:right w:val="single" w:color="000000" w:sz="4" w:space="0"/>
            </w:tcBorders>
            <w:vAlign w:val="center"/>
          </w:tcPr>
          <w:p w14:paraId="28F5B98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76D5B54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1BEAA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379457EE">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0B3CC169">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75441F2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22AF8F7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5A79B36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2000≤Y＜10000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44A393C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100≤Y＜2000</w:t>
            </w:r>
          </w:p>
        </w:tc>
        <w:tc>
          <w:tcPr>
            <w:tcW w:w="992" w:type="dxa"/>
            <w:tcBorders>
              <w:top w:val="single" w:color="000000" w:sz="4" w:space="0"/>
              <w:left w:val="single" w:color="000000" w:sz="4" w:space="0"/>
              <w:bottom w:val="single" w:color="000000" w:sz="4" w:space="0"/>
              <w:right w:val="single" w:color="000000" w:sz="4" w:space="0"/>
            </w:tcBorders>
            <w:vAlign w:val="center"/>
          </w:tcPr>
          <w:p w14:paraId="78B97C1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1BB3E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142A9728">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餐饮业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4DB31CD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6423D2A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455440E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33BFD0FD">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vAlign w:val="center"/>
          </w:tcPr>
          <w:p w14:paraId="1D909FF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2B28B97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2F8F3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599A92CE">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54CCB610">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00C5147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7FD0F8C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262470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2000≤Y＜10000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49F9105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100≤Y＜2000</w:t>
            </w:r>
          </w:p>
        </w:tc>
        <w:tc>
          <w:tcPr>
            <w:tcW w:w="992" w:type="dxa"/>
            <w:tcBorders>
              <w:top w:val="single" w:color="000000" w:sz="4" w:space="0"/>
              <w:left w:val="single" w:color="000000" w:sz="4" w:space="0"/>
              <w:bottom w:val="single" w:color="000000" w:sz="4" w:space="0"/>
              <w:right w:val="single" w:color="000000" w:sz="4" w:space="0"/>
            </w:tcBorders>
            <w:vAlign w:val="center"/>
          </w:tcPr>
          <w:p w14:paraId="1C81A7C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58504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3F01FB31">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信息传输业 *</w:t>
            </w:r>
          </w:p>
        </w:tc>
        <w:tc>
          <w:tcPr>
            <w:tcW w:w="1369" w:type="dxa"/>
            <w:tcBorders>
              <w:top w:val="single" w:color="000000" w:sz="4" w:space="0"/>
              <w:left w:val="single" w:color="000000" w:sz="4" w:space="0"/>
              <w:bottom w:val="single" w:color="000000" w:sz="4" w:space="0"/>
              <w:right w:val="single" w:color="000000" w:sz="4" w:space="0"/>
            </w:tcBorders>
            <w:vAlign w:val="center"/>
          </w:tcPr>
          <w:p w14:paraId="4D7D6A3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1ECFEA3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131ECF1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X≥2000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339A2AE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100≤X＜2000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2BAB0EC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40D7DD2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38EB3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A3A4B89">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614C7ABE">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2618EE6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04D90B8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4FF3310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1000≤Y＜100000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31E5C3F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100≤Y＜1000</w:t>
            </w:r>
          </w:p>
        </w:tc>
        <w:tc>
          <w:tcPr>
            <w:tcW w:w="992" w:type="dxa"/>
            <w:tcBorders>
              <w:top w:val="single" w:color="000000" w:sz="4" w:space="0"/>
              <w:left w:val="single" w:color="000000" w:sz="4" w:space="0"/>
              <w:bottom w:val="single" w:color="000000" w:sz="4" w:space="0"/>
              <w:right w:val="single" w:color="000000" w:sz="4" w:space="0"/>
            </w:tcBorders>
            <w:vAlign w:val="center"/>
          </w:tcPr>
          <w:p w14:paraId="703025D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54A42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35DB4DAA">
            <w:pPr>
              <w:spacing w:line="240" w:lineRule="exact"/>
              <w:jc w:val="left"/>
              <w:rPr>
                <w:rStyle w:val="43"/>
                <w:rFonts w:hint="eastAsia" w:ascii="宋体" w:hAnsi="宋体" w:eastAsia="宋体" w:cs="宋体"/>
                <w:color w:val="auto"/>
                <w:spacing w:val="-12"/>
                <w:kern w:val="0"/>
                <w:sz w:val="21"/>
                <w:szCs w:val="21"/>
                <w:highlight w:val="none"/>
              </w:rPr>
            </w:pPr>
            <w:r>
              <w:rPr>
                <w:rStyle w:val="43"/>
                <w:rFonts w:hint="eastAsia" w:ascii="宋体" w:hAnsi="宋体" w:eastAsia="宋体" w:cs="宋体"/>
                <w:color w:val="auto"/>
                <w:spacing w:val="-12"/>
                <w:kern w:val="0"/>
                <w:sz w:val="21"/>
                <w:szCs w:val="21"/>
                <w:highlight w:val="none"/>
              </w:rPr>
              <w:t>软件和信息技术服</w:t>
            </w:r>
            <w:r>
              <w:rPr>
                <w:rStyle w:val="43"/>
                <w:rFonts w:hint="eastAsia" w:ascii="宋体" w:hAnsi="宋体" w:eastAsia="宋体" w:cs="宋体"/>
                <w:color w:val="auto"/>
                <w:kern w:val="0"/>
                <w:sz w:val="21"/>
                <w:szCs w:val="21"/>
                <w:highlight w:val="none"/>
              </w:rPr>
              <w:t>务业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63F1378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0AA9412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54F8F6F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3BC86798">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vAlign w:val="center"/>
          </w:tcPr>
          <w:p w14:paraId="7F1FEDD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167C2BA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69FAA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7370BC17">
            <w:pPr>
              <w:jc w:val="left"/>
              <w:rPr>
                <w:rStyle w:val="43"/>
                <w:rFonts w:hint="eastAsia" w:ascii="宋体" w:hAnsi="宋体" w:eastAsia="宋体" w:cs="宋体"/>
                <w:color w:val="auto"/>
                <w:spacing w:val="-12"/>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03B547F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1D97FFD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6E673A3A">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56736F88">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1000≤Y＜10000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390414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50≤Y＜1000</w:t>
            </w:r>
          </w:p>
        </w:tc>
        <w:tc>
          <w:tcPr>
            <w:tcW w:w="992" w:type="dxa"/>
            <w:tcBorders>
              <w:top w:val="single" w:color="000000" w:sz="4" w:space="0"/>
              <w:left w:val="single" w:color="000000" w:sz="4" w:space="0"/>
              <w:bottom w:val="single" w:color="000000" w:sz="4" w:space="0"/>
              <w:right w:val="single" w:color="000000" w:sz="4" w:space="0"/>
            </w:tcBorders>
            <w:vAlign w:val="center"/>
          </w:tcPr>
          <w:p w14:paraId="2A9B5311">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Y＜50</w:t>
            </w:r>
          </w:p>
        </w:tc>
      </w:tr>
      <w:tr w14:paraId="18925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5CFD8DD0">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房地产开发经营</w:t>
            </w:r>
          </w:p>
        </w:tc>
        <w:tc>
          <w:tcPr>
            <w:tcW w:w="1369" w:type="dxa"/>
            <w:tcBorders>
              <w:top w:val="single" w:color="000000" w:sz="4" w:space="0"/>
              <w:left w:val="single" w:color="000000" w:sz="4" w:space="0"/>
              <w:bottom w:val="single" w:color="000000" w:sz="4" w:space="0"/>
              <w:right w:val="single" w:color="000000" w:sz="4" w:space="0"/>
            </w:tcBorders>
            <w:vAlign w:val="center"/>
          </w:tcPr>
          <w:p w14:paraId="1006C68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0445E33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2B69B76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Y≥200000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1FCA10F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1000≤Y＜200000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0D43973">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100≤Y＜1000</w:t>
            </w:r>
          </w:p>
        </w:tc>
        <w:tc>
          <w:tcPr>
            <w:tcW w:w="992" w:type="dxa"/>
            <w:tcBorders>
              <w:top w:val="single" w:color="000000" w:sz="4" w:space="0"/>
              <w:left w:val="single" w:color="000000" w:sz="4" w:space="0"/>
              <w:bottom w:val="single" w:color="000000" w:sz="4" w:space="0"/>
              <w:right w:val="single" w:color="000000" w:sz="4" w:space="0"/>
            </w:tcBorders>
            <w:vAlign w:val="center"/>
          </w:tcPr>
          <w:p w14:paraId="4E55FAB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Y＜100</w:t>
            </w:r>
          </w:p>
        </w:tc>
      </w:tr>
      <w:tr w14:paraId="268CB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6BE86EC">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03FBF5E4">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vAlign w:val="center"/>
          </w:tcPr>
          <w:p w14:paraId="36A7141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7A55475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Z≥10000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2A51914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5000≤Z＜10000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3E32462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2000≤Z＜5000</w:t>
            </w:r>
          </w:p>
        </w:tc>
        <w:tc>
          <w:tcPr>
            <w:tcW w:w="992" w:type="dxa"/>
            <w:tcBorders>
              <w:top w:val="single" w:color="000000" w:sz="4" w:space="0"/>
              <w:left w:val="single" w:color="000000" w:sz="4" w:space="0"/>
              <w:bottom w:val="single" w:color="000000" w:sz="4" w:space="0"/>
              <w:right w:val="single" w:color="000000" w:sz="4" w:space="0"/>
            </w:tcBorders>
            <w:vAlign w:val="center"/>
          </w:tcPr>
          <w:p w14:paraId="7C9CF18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Z＜2000</w:t>
            </w:r>
          </w:p>
        </w:tc>
      </w:tr>
      <w:tr w14:paraId="22AF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2C8D214D">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物业管理</w:t>
            </w:r>
          </w:p>
        </w:tc>
        <w:tc>
          <w:tcPr>
            <w:tcW w:w="1369" w:type="dxa"/>
            <w:tcBorders>
              <w:top w:val="single" w:color="000000" w:sz="4" w:space="0"/>
              <w:left w:val="single" w:color="000000" w:sz="4" w:space="0"/>
              <w:bottom w:val="single" w:color="000000" w:sz="4" w:space="0"/>
              <w:right w:val="single" w:color="000000" w:sz="4" w:space="0"/>
            </w:tcBorders>
            <w:vAlign w:val="center"/>
          </w:tcPr>
          <w:p w14:paraId="03CB90E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3297A151">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022128A1">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5269335D">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300≤X＜1000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6CD388F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100≤X＜300</w:t>
            </w:r>
          </w:p>
        </w:tc>
        <w:tc>
          <w:tcPr>
            <w:tcW w:w="992" w:type="dxa"/>
            <w:tcBorders>
              <w:top w:val="single" w:color="000000" w:sz="4" w:space="0"/>
              <w:left w:val="single" w:color="000000" w:sz="4" w:space="0"/>
              <w:bottom w:val="single" w:color="000000" w:sz="4" w:space="0"/>
              <w:right w:val="single" w:color="000000" w:sz="4" w:space="0"/>
            </w:tcBorders>
            <w:vAlign w:val="center"/>
          </w:tcPr>
          <w:p w14:paraId="0AEE1C4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X＜100</w:t>
            </w:r>
          </w:p>
        </w:tc>
      </w:tr>
      <w:tr w14:paraId="2E4C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280006BA">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67565473">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vAlign w:val="center"/>
          </w:tcPr>
          <w:p w14:paraId="71D37BC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39BBE945">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Y≥5000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7BE3CDA">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1000≤Y＜5000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78BD2049">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500≤Y＜1000</w:t>
            </w:r>
          </w:p>
        </w:tc>
        <w:tc>
          <w:tcPr>
            <w:tcW w:w="992" w:type="dxa"/>
            <w:tcBorders>
              <w:top w:val="single" w:color="000000" w:sz="4" w:space="0"/>
              <w:left w:val="single" w:color="000000" w:sz="4" w:space="0"/>
              <w:bottom w:val="single" w:color="000000" w:sz="4" w:space="0"/>
              <w:right w:val="single" w:color="000000" w:sz="4" w:space="0"/>
            </w:tcBorders>
            <w:vAlign w:val="center"/>
          </w:tcPr>
          <w:p w14:paraId="2E34B78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Y＜500</w:t>
            </w:r>
          </w:p>
        </w:tc>
      </w:tr>
      <w:tr w14:paraId="683C5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vAlign w:val="center"/>
          </w:tcPr>
          <w:p w14:paraId="0A313D55">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租赁和商务服务业</w:t>
            </w:r>
          </w:p>
        </w:tc>
        <w:tc>
          <w:tcPr>
            <w:tcW w:w="1369" w:type="dxa"/>
            <w:tcBorders>
              <w:top w:val="single" w:color="000000" w:sz="4" w:space="0"/>
              <w:left w:val="single" w:color="000000" w:sz="4" w:space="0"/>
              <w:bottom w:val="single" w:color="000000" w:sz="4" w:space="0"/>
              <w:right w:val="single" w:color="000000" w:sz="4" w:space="0"/>
            </w:tcBorders>
            <w:vAlign w:val="center"/>
          </w:tcPr>
          <w:p w14:paraId="09ABB5D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1FE2BBF4">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2AC2820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6464BD9C">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100≤X＜300</w:t>
            </w:r>
          </w:p>
        </w:tc>
        <w:tc>
          <w:tcPr>
            <w:tcW w:w="1426" w:type="dxa"/>
            <w:tcBorders>
              <w:top w:val="single" w:color="000000" w:sz="4" w:space="0"/>
              <w:left w:val="single" w:color="000000" w:sz="4" w:space="0"/>
              <w:bottom w:val="single" w:color="000000" w:sz="4" w:space="0"/>
              <w:right w:val="single" w:color="000000" w:sz="4" w:space="0"/>
            </w:tcBorders>
            <w:vAlign w:val="center"/>
          </w:tcPr>
          <w:p w14:paraId="1F204F50">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5AF122D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r w14:paraId="1F037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vAlign w:val="center"/>
          </w:tcPr>
          <w:p w14:paraId="72D4D3F1">
            <w:pPr>
              <w:jc w:val="left"/>
              <w:rPr>
                <w:rStyle w:val="43"/>
                <w:rFonts w:hint="eastAsia" w:ascii="宋体" w:hAnsi="宋体" w:eastAsia="宋体" w:cs="宋体"/>
                <w:color w:val="auto"/>
                <w:kern w:val="0"/>
                <w:sz w:val="21"/>
                <w:szCs w:val="21"/>
                <w:highlight w:val="none"/>
              </w:rPr>
            </w:pPr>
          </w:p>
        </w:tc>
        <w:tc>
          <w:tcPr>
            <w:tcW w:w="1369" w:type="dxa"/>
            <w:tcBorders>
              <w:top w:val="single" w:color="000000" w:sz="4" w:space="0"/>
              <w:left w:val="single" w:color="000000" w:sz="4" w:space="0"/>
              <w:bottom w:val="single" w:color="000000" w:sz="4" w:space="0"/>
              <w:right w:val="single" w:color="000000" w:sz="4" w:space="0"/>
            </w:tcBorders>
            <w:vAlign w:val="center"/>
          </w:tcPr>
          <w:p w14:paraId="1A75D52A">
            <w:pPr>
              <w:spacing w:line="240" w:lineRule="exact"/>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vAlign w:val="center"/>
          </w:tcPr>
          <w:p w14:paraId="477BBBF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万元</w:t>
            </w:r>
          </w:p>
        </w:tc>
        <w:tc>
          <w:tcPr>
            <w:tcW w:w="1125" w:type="dxa"/>
            <w:tcBorders>
              <w:top w:val="single" w:color="000000" w:sz="4" w:space="0"/>
              <w:left w:val="single" w:color="000000" w:sz="4" w:space="0"/>
              <w:bottom w:val="single" w:color="000000" w:sz="4" w:space="0"/>
              <w:right w:val="single" w:color="000000" w:sz="4" w:space="0"/>
            </w:tcBorders>
            <w:vAlign w:val="center"/>
          </w:tcPr>
          <w:p w14:paraId="20F45BA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Z≥120000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697B626">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8000≤Z＜120000</w:t>
            </w:r>
          </w:p>
        </w:tc>
        <w:tc>
          <w:tcPr>
            <w:tcW w:w="1426" w:type="dxa"/>
            <w:tcBorders>
              <w:top w:val="single" w:color="000000" w:sz="4" w:space="0"/>
              <w:left w:val="single" w:color="000000" w:sz="4" w:space="0"/>
              <w:bottom w:val="single" w:color="000000" w:sz="4" w:space="0"/>
              <w:right w:val="single" w:color="000000" w:sz="4" w:space="0"/>
            </w:tcBorders>
            <w:vAlign w:val="center"/>
          </w:tcPr>
          <w:p w14:paraId="63A07BEF">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100≤Z＜8000</w:t>
            </w:r>
          </w:p>
        </w:tc>
        <w:tc>
          <w:tcPr>
            <w:tcW w:w="992" w:type="dxa"/>
            <w:tcBorders>
              <w:top w:val="single" w:color="000000" w:sz="4" w:space="0"/>
              <w:left w:val="single" w:color="000000" w:sz="4" w:space="0"/>
              <w:bottom w:val="single" w:color="000000" w:sz="4" w:space="0"/>
              <w:right w:val="single" w:color="000000" w:sz="4" w:space="0"/>
            </w:tcBorders>
            <w:vAlign w:val="center"/>
          </w:tcPr>
          <w:p w14:paraId="0C363D3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Z＜100</w:t>
            </w:r>
          </w:p>
        </w:tc>
      </w:tr>
      <w:tr w14:paraId="7689A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vAlign w:val="center"/>
          </w:tcPr>
          <w:p w14:paraId="48917AD9">
            <w:pPr>
              <w:spacing w:line="240" w:lineRule="exact"/>
              <w:jc w:val="left"/>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其他未列明行业 *</w:t>
            </w:r>
          </w:p>
        </w:tc>
        <w:tc>
          <w:tcPr>
            <w:tcW w:w="1369" w:type="dxa"/>
            <w:tcBorders>
              <w:top w:val="single" w:color="000000" w:sz="4" w:space="0"/>
              <w:left w:val="single" w:color="000000" w:sz="4" w:space="0"/>
              <w:bottom w:val="single" w:color="000000" w:sz="4" w:space="0"/>
              <w:right w:val="single" w:color="000000" w:sz="4" w:space="0"/>
            </w:tcBorders>
            <w:vAlign w:val="center"/>
          </w:tcPr>
          <w:p w14:paraId="021BE937">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vAlign w:val="center"/>
          </w:tcPr>
          <w:p w14:paraId="537170EB">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人</w:t>
            </w:r>
          </w:p>
        </w:tc>
        <w:tc>
          <w:tcPr>
            <w:tcW w:w="1125" w:type="dxa"/>
            <w:tcBorders>
              <w:top w:val="single" w:color="000000" w:sz="4" w:space="0"/>
              <w:left w:val="single" w:color="000000" w:sz="4" w:space="0"/>
              <w:bottom w:val="single" w:color="000000" w:sz="4" w:space="0"/>
              <w:right w:val="single" w:color="000000" w:sz="4" w:space="0"/>
            </w:tcBorders>
            <w:vAlign w:val="center"/>
          </w:tcPr>
          <w:p w14:paraId="37D46F0E">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X≥300</w:t>
            </w:r>
          </w:p>
        </w:tc>
        <w:tc>
          <w:tcPr>
            <w:tcW w:w="1701" w:type="dxa"/>
            <w:tcBorders>
              <w:top w:val="single" w:color="000000" w:sz="4" w:space="0"/>
              <w:left w:val="single" w:color="000000" w:sz="4" w:space="0"/>
              <w:bottom w:val="single" w:color="000000" w:sz="4" w:space="0"/>
              <w:right w:val="single" w:color="000000" w:sz="4" w:space="0"/>
            </w:tcBorders>
            <w:vAlign w:val="center"/>
          </w:tcPr>
          <w:p w14:paraId="3C6C4DB5">
            <w:pPr>
              <w:ind w:left="1" w:leftChars="-51" w:hanging="108"/>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100≤X＜300</w:t>
            </w:r>
          </w:p>
        </w:tc>
        <w:tc>
          <w:tcPr>
            <w:tcW w:w="1426" w:type="dxa"/>
            <w:tcBorders>
              <w:top w:val="single" w:color="000000" w:sz="4" w:space="0"/>
              <w:left w:val="single" w:color="000000" w:sz="4" w:space="0"/>
              <w:bottom w:val="single" w:color="000000" w:sz="4" w:space="0"/>
              <w:right w:val="single" w:color="000000" w:sz="4" w:space="0"/>
            </w:tcBorders>
            <w:vAlign w:val="center"/>
          </w:tcPr>
          <w:p w14:paraId="5A7783E2">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10≤X＜100</w:t>
            </w:r>
          </w:p>
        </w:tc>
        <w:tc>
          <w:tcPr>
            <w:tcW w:w="992" w:type="dxa"/>
            <w:tcBorders>
              <w:top w:val="single" w:color="000000" w:sz="4" w:space="0"/>
              <w:left w:val="single" w:color="000000" w:sz="4" w:space="0"/>
              <w:bottom w:val="single" w:color="000000" w:sz="4" w:space="0"/>
              <w:right w:val="single" w:color="000000" w:sz="4" w:space="0"/>
            </w:tcBorders>
            <w:vAlign w:val="center"/>
          </w:tcPr>
          <w:p w14:paraId="4177A8DC">
            <w:pPr>
              <w:jc w:val="center"/>
              <w:rPr>
                <w:rStyle w:val="43"/>
                <w:rFonts w:hint="eastAsia" w:ascii="宋体" w:hAnsi="宋体" w:eastAsia="宋体" w:cs="宋体"/>
                <w:color w:val="auto"/>
                <w:kern w:val="0"/>
                <w:sz w:val="21"/>
                <w:szCs w:val="21"/>
                <w:highlight w:val="none"/>
              </w:rPr>
            </w:pPr>
            <w:r>
              <w:rPr>
                <w:rStyle w:val="43"/>
                <w:rFonts w:hint="eastAsia" w:ascii="宋体" w:hAnsi="宋体" w:eastAsia="宋体" w:cs="宋体"/>
                <w:color w:val="auto"/>
                <w:kern w:val="0"/>
                <w:sz w:val="21"/>
                <w:szCs w:val="21"/>
                <w:highlight w:val="none"/>
              </w:rPr>
              <w:t>X＜10</w:t>
            </w:r>
          </w:p>
        </w:tc>
      </w:tr>
    </w:tbl>
    <w:p w14:paraId="7F5AB961">
      <w:pPr>
        <w:spacing w:line="540" w:lineRule="exact"/>
        <w:rPr>
          <w:rStyle w:val="43"/>
          <w:rFonts w:hint="eastAsia" w:ascii="宋体" w:hAnsi="宋体" w:eastAsia="宋体" w:cs="宋体"/>
          <w:color w:val="auto"/>
          <w:spacing w:val="8"/>
          <w:kern w:val="0"/>
          <w:sz w:val="21"/>
          <w:szCs w:val="21"/>
          <w:highlight w:val="none"/>
        </w:rPr>
      </w:pPr>
    </w:p>
    <w:p w14:paraId="04CD3ECD">
      <w:pPr>
        <w:spacing w:line="540" w:lineRule="exact"/>
        <w:rPr>
          <w:rStyle w:val="43"/>
          <w:rFonts w:hint="eastAsia" w:ascii="宋体" w:hAnsi="宋体" w:eastAsia="宋体" w:cs="宋体"/>
          <w:color w:val="auto"/>
          <w:spacing w:val="8"/>
          <w:kern w:val="0"/>
          <w:sz w:val="21"/>
          <w:szCs w:val="21"/>
          <w:highlight w:val="none"/>
        </w:rPr>
      </w:pPr>
      <w:r>
        <w:rPr>
          <w:rStyle w:val="43"/>
          <w:rFonts w:hint="eastAsia" w:ascii="宋体" w:hAnsi="宋体" w:eastAsia="宋体" w:cs="宋体"/>
          <w:color w:val="auto"/>
          <w:spacing w:val="8"/>
          <w:kern w:val="0"/>
          <w:sz w:val="21"/>
          <w:szCs w:val="21"/>
          <w:highlight w:val="none"/>
        </w:rPr>
        <w:t>说明：</w:t>
      </w:r>
    </w:p>
    <w:p w14:paraId="1B6CD8F5">
      <w:pPr>
        <w:pStyle w:val="45"/>
        <w:spacing w:line="380" w:lineRule="exact"/>
        <w:ind w:firstLine="452" w:firstLineChars="200"/>
        <w:rPr>
          <w:rStyle w:val="43"/>
          <w:rFonts w:hint="eastAsia" w:ascii="宋体" w:hAnsi="宋体" w:eastAsia="宋体" w:cs="宋体"/>
          <w:color w:val="auto"/>
          <w:spacing w:val="8"/>
          <w:sz w:val="21"/>
          <w:szCs w:val="21"/>
          <w:highlight w:val="none"/>
        </w:rPr>
      </w:pPr>
      <w:r>
        <w:rPr>
          <w:rStyle w:val="43"/>
          <w:rFonts w:hint="eastAsia" w:ascii="宋体" w:hAnsi="宋体" w:eastAsia="宋体" w:cs="宋体"/>
          <w:color w:val="auto"/>
          <w:spacing w:val="8"/>
          <w:sz w:val="21"/>
          <w:szCs w:val="21"/>
          <w:highlight w:val="none"/>
        </w:rPr>
        <w:t>1.大型、中型和小型企业须同时满足所列指标的下限，否则下划一档；微型企业只须满足所列指标中的一项即可。</w:t>
      </w:r>
    </w:p>
    <w:p w14:paraId="37CC785D">
      <w:pPr>
        <w:pStyle w:val="45"/>
        <w:spacing w:line="380" w:lineRule="exact"/>
        <w:ind w:firstLine="452" w:firstLineChars="200"/>
        <w:rPr>
          <w:rStyle w:val="43"/>
          <w:rFonts w:hint="eastAsia" w:ascii="宋体" w:hAnsi="宋体" w:eastAsia="宋体" w:cs="宋体"/>
          <w:color w:val="auto"/>
          <w:spacing w:val="8"/>
          <w:sz w:val="21"/>
          <w:szCs w:val="21"/>
          <w:highlight w:val="none"/>
        </w:rPr>
      </w:pPr>
      <w:r>
        <w:rPr>
          <w:rStyle w:val="43"/>
          <w:rFonts w:hint="eastAsia" w:ascii="宋体" w:hAnsi="宋体" w:eastAsia="宋体" w:cs="宋体"/>
          <w:color w:val="auto"/>
          <w:spacing w:val="8"/>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0652A99">
      <w:pPr>
        <w:pStyle w:val="14"/>
        <w:spacing w:line="340" w:lineRule="exact"/>
        <w:rPr>
          <w:rFonts w:hint="eastAsia" w:ascii="宋体" w:hAnsi="宋体" w:eastAsia="宋体" w:cs="宋体"/>
          <w:b/>
          <w:color w:val="auto"/>
          <w:sz w:val="21"/>
          <w:szCs w:val="21"/>
          <w:highlight w:val="none"/>
          <w:lang w:val="en-US" w:eastAsia="zh-CN"/>
        </w:rPr>
      </w:pPr>
      <w:r>
        <w:rPr>
          <w:rStyle w:val="43"/>
          <w:rFonts w:hint="eastAsia" w:ascii="宋体" w:hAnsi="宋体" w:eastAsia="宋体" w:cs="宋体"/>
          <w:color w:val="auto"/>
          <w:spacing w:val="8"/>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A673D2E">
      <w:pPr>
        <w:pStyle w:val="14"/>
        <w:spacing w:line="340" w:lineRule="exact"/>
        <w:rPr>
          <w:rFonts w:hint="eastAsia" w:ascii="宋体" w:hAnsi="宋体" w:eastAsia="宋体" w:cs="宋体"/>
          <w:b/>
          <w:color w:val="auto"/>
          <w:sz w:val="21"/>
          <w:szCs w:val="21"/>
          <w:highlight w:val="none"/>
          <w:lang w:val="en-US" w:eastAsia="zh-CN"/>
        </w:rPr>
      </w:pPr>
    </w:p>
    <w:p w14:paraId="753D4E5E">
      <w:pPr>
        <w:pStyle w:val="5"/>
        <w:rPr>
          <w:rFonts w:hint="eastAsia" w:ascii="宋体" w:hAnsi="宋体" w:eastAsia="宋体" w:cs="宋体"/>
          <w:b/>
          <w:color w:val="auto"/>
          <w:sz w:val="21"/>
          <w:szCs w:val="21"/>
          <w:highlight w:val="none"/>
          <w:lang w:val="en-US" w:eastAsia="zh-CN"/>
        </w:rPr>
      </w:pPr>
    </w:p>
    <w:p w14:paraId="55A1EBE2">
      <w:pPr>
        <w:spacing w:line="240" w:lineRule="auto"/>
        <w:rPr>
          <w:rFonts w:hint="eastAsia" w:ascii="宋体" w:hAnsi="宋体" w:eastAsia="宋体" w:cs="宋体"/>
          <w:b/>
          <w:bCs/>
          <w:iCs/>
          <w:color w:val="auto"/>
          <w:kern w:val="2"/>
          <w:sz w:val="21"/>
          <w:szCs w:val="21"/>
          <w:highlight w:val="none"/>
          <w:lang w:val="en-US" w:eastAsia="zh-CN" w:bidi="ar-SA"/>
        </w:rPr>
      </w:pPr>
    </w:p>
    <w:p w14:paraId="0755BBCB">
      <w:pPr>
        <w:spacing w:line="240" w:lineRule="auto"/>
        <w:rPr>
          <w:rFonts w:hint="eastAsia" w:ascii="宋体" w:hAnsi="宋体" w:eastAsia="宋体" w:cs="宋体"/>
          <w:b/>
          <w:bCs/>
          <w:iCs/>
          <w:color w:val="auto"/>
          <w:kern w:val="2"/>
          <w:sz w:val="21"/>
          <w:szCs w:val="21"/>
          <w:highlight w:val="none"/>
          <w:lang w:val="en-US" w:eastAsia="zh-CN" w:bidi="ar-SA"/>
        </w:rPr>
      </w:pPr>
    </w:p>
    <w:p w14:paraId="7B0DAE91">
      <w:pPr>
        <w:spacing w:line="240" w:lineRule="auto"/>
        <w:rPr>
          <w:rFonts w:hint="eastAsia" w:ascii="宋体" w:hAnsi="宋体" w:eastAsia="宋体" w:cs="宋体"/>
          <w:b/>
          <w:bCs/>
          <w:iCs/>
          <w:color w:val="auto"/>
          <w:kern w:val="2"/>
          <w:sz w:val="21"/>
          <w:szCs w:val="21"/>
          <w:highlight w:val="none"/>
          <w:lang w:val="en-US" w:eastAsia="zh-CN" w:bidi="ar-SA"/>
        </w:rPr>
      </w:pPr>
    </w:p>
    <w:p w14:paraId="1B6B9740">
      <w:pPr>
        <w:pStyle w:val="11"/>
        <w:rPr>
          <w:rFonts w:hint="eastAsia"/>
          <w:color w:val="auto"/>
          <w:highlight w:val="none"/>
          <w:lang w:val="en-US" w:eastAsia="zh-CN"/>
        </w:rPr>
      </w:pPr>
    </w:p>
    <w:p w14:paraId="216B800C">
      <w:pPr>
        <w:tabs>
          <w:tab w:val="left" w:pos="1305"/>
        </w:tabs>
        <w:spacing w:line="380" w:lineRule="exact"/>
        <w:rPr>
          <w:rFonts w:hint="eastAsia" w:ascii="宋体" w:hAnsi="宋体" w:eastAsia="宋体" w:cs="宋体"/>
          <w:b/>
          <w:bCs/>
          <w:color w:val="auto"/>
          <w:kern w:val="0"/>
          <w:sz w:val="21"/>
          <w:szCs w:val="21"/>
          <w:highlight w:val="none"/>
        </w:rPr>
      </w:pPr>
    </w:p>
    <w:p w14:paraId="4D6E8AB8">
      <w:pPr>
        <w:spacing w:line="588" w:lineRule="exact"/>
        <w:jc w:val="center"/>
        <w:rPr>
          <w:rFonts w:hint="eastAsia" w:ascii="宋体" w:hAnsi="宋体" w:eastAsia="宋体" w:cs="宋体"/>
          <w:b/>
          <w:color w:val="auto"/>
          <w:kern w:val="0"/>
          <w:sz w:val="21"/>
          <w:szCs w:val="21"/>
          <w:highlight w:val="none"/>
          <w:lang w:eastAsia="zh-CN"/>
        </w:rPr>
      </w:pPr>
      <w:bookmarkStart w:id="1801" w:name="OLE_LINK14"/>
      <w:bookmarkStart w:id="1802" w:name="OLE_LINK13"/>
    </w:p>
    <w:p w14:paraId="1BDE584D">
      <w:pPr>
        <w:spacing w:line="588" w:lineRule="exact"/>
        <w:jc w:val="center"/>
        <w:rPr>
          <w:rFonts w:hint="eastAsia" w:ascii="宋体" w:hAnsi="宋体" w:eastAsia="宋体" w:cs="宋体"/>
          <w:b/>
          <w:color w:val="auto"/>
          <w:kern w:val="0"/>
          <w:sz w:val="21"/>
          <w:szCs w:val="21"/>
          <w:highlight w:val="none"/>
          <w:lang w:eastAsia="zh-CN"/>
        </w:rPr>
      </w:pPr>
    </w:p>
    <w:p w14:paraId="5254AE54">
      <w:pPr>
        <w:spacing w:line="588" w:lineRule="exact"/>
        <w:jc w:val="center"/>
        <w:rPr>
          <w:rFonts w:hint="eastAsia" w:ascii="宋体" w:hAnsi="宋体" w:eastAsia="宋体" w:cs="宋体"/>
          <w:b/>
          <w:color w:val="auto"/>
          <w:kern w:val="0"/>
          <w:sz w:val="21"/>
          <w:szCs w:val="21"/>
          <w:highlight w:val="none"/>
          <w:lang w:eastAsia="zh-CN"/>
        </w:rPr>
      </w:pPr>
    </w:p>
    <w:p w14:paraId="15C750CE">
      <w:pPr>
        <w:spacing w:line="588" w:lineRule="exact"/>
        <w:jc w:val="center"/>
        <w:rPr>
          <w:rFonts w:hint="eastAsia" w:ascii="宋体" w:hAnsi="宋体" w:eastAsia="宋体" w:cs="宋体"/>
          <w:b/>
          <w:color w:val="auto"/>
          <w:kern w:val="0"/>
          <w:sz w:val="21"/>
          <w:szCs w:val="21"/>
          <w:highlight w:val="none"/>
          <w:lang w:eastAsia="zh-CN"/>
        </w:rPr>
      </w:pPr>
    </w:p>
    <w:p w14:paraId="285EA9F8">
      <w:pPr>
        <w:spacing w:line="588" w:lineRule="exact"/>
        <w:jc w:val="center"/>
        <w:rPr>
          <w:rFonts w:hint="eastAsia" w:ascii="宋体" w:hAnsi="宋体" w:eastAsia="宋体" w:cs="宋体"/>
          <w:b/>
          <w:color w:val="auto"/>
          <w:kern w:val="0"/>
          <w:sz w:val="21"/>
          <w:szCs w:val="21"/>
          <w:highlight w:val="none"/>
          <w:lang w:eastAsia="zh-CN"/>
        </w:rPr>
      </w:pPr>
    </w:p>
    <w:p w14:paraId="5701667D">
      <w:pPr>
        <w:spacing w:line="588" w:lineRule="exact"/>
        <w:jc w:val="both"/>
        <w:rPr>
          <w:rFonts w:hint="eastAsia" w:ascii="宋体" w:hAnsi="宋体" w:eastAsia="宋体" w:cs="宋体"/>
          <w:b/>
          <w:color w:val="auto"/>
          <w:kern w:val="0"/>
          <w:sz w:val="21"/>
          <w:szCs w:val="21"/>
          <w:highlight w:val="none"/>
          <w:lang w:eastAsia="zh-CN"/>
        </w:rPr>
      </w:pPr>
    </w:p>
    <w:p w14:paraId="0B74E8FB">
      <w:pPr>
        <w:spacing w:line="588"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lang w:val="en-US" w:eastAsia="zh-CN"/>
        </w:rPr>
        <w:t>2</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残疾人福利性单位声明函（格式）</w:t>
      </w:r>
    </w:p>
    <w:bookmarkEnd w:id="1801"/>
    <w:bookmarkEnd w:id="1802"/>
    <w:p w14:paraId="05ADBBD1">
      <w:pPr>
        <w:spacing w:line="588" w:lineRule="exact"/>
        <w:rPr>
          <w:rFonts w:hint="eastAsia" w:ascii="宋体" w:hAnsi="宋体" w:eastAsia="宋体" w:cs="宋体"/>
          <w:b/>
          <w:color w:val="auto"/>
          <w:kern w:val="0"/>
          <w:sz w:val="21"/>
          <w:szCs w:val="21"/>
          <w:highlight w:val="none"/>
        </w:rPr>
      </w:pPr>
    </w:p>
    <w:p w14:paraId="011D2AAC">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2D5DA54">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6C671E7B">
      <w:pPr>
        <w:spacing w:line="588" w:lineRule="exact"/>
        <w:ind w:firstLine="420" w:firstLineChars="200"/>
        <w:rPr>
          <w:rFonts w:hint="eastAsia" w:ascii="宋体" w:hAnsi="宋体" w:eastAsia="宋体" w:cs="宋体"/>
          <w:color w:val="auto"/>
          <w:kern w:val="0"/>
          <w:sz w:val="21"/>
          <w:szCs w:val="21"/>
          <w:highlight w:val="none"/>
        </w:rPr>
      </w:pPr>
    </w:p>
    <w:p w14:paraId="3EB6BEFC">
      <w:pPr>
        <w:widowControl/>
        <w:ind w:firstLine="2310" w:firstLineChars="1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4B4E99C5">
      <w:pPr>
        <w:pStyle w:val="14"/>
        <w:spacing w:line="300" w:lineRule="exact"/>
        <w:ind w:left="2940" w:leftChars="1400" w:firstLine="630" w:firstLineChars="300"/>
        <w:rPr>
          <w:rFonts w:hint="eastAsia" w:ascii="宋体" w:hAnsi="宋体" w:eastAsia="宋体" w:cs="宋体"/>
          <w:color w:val="auto"/>
          <w:sz w:val="21"/>
          <w:szCs w:val="21"/>
          <w:highlight w:val="none"/>
        </w:rPr>
      </w:pPr>
    </w:p>
    <w:p w14:paraId="092072D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p>
    <w:p w14:paraId="57F8FD68">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0839AB8D">
      <w:pPr>
        <w:spacing w:line="240" w:lineRule="auto"/>
        <w:rPr>
          <w:rFonts w:hint="eastAsia" w:ascii="宋体" w:hAnsi="宋体" w:eastAsia="宋体" w:cs="宋体"/>
          <w:b/>
          <w:bCs/>
          <w:iCs/>
          <w:color w:val="auto"/>
          <w:kern w:val="2"/>
          <w:sz w:val="21"/>
          <w:szCs w:val="21"/>
          <w:highlight w:val="none"/>
          <w:lang w:val="en-US" w:eastAsia="zh-CN" w:bidi="ar-SA"/>
        </w:rPr>
      </w:pPr>
    </w:p>
    <w:p w14:paraId="1B366C24">
      <w:pPr>
        <w:pStyle w:val="3"/>
        <w:rPr>
          <w:rFonts w:hint="eastAsia" w:ascii="宋体" w:hAnsi="宋体" w:eastAsia="宋体" w:cs="宋体"/>
          <w:b/>
          <w:bCs/>
          <w:iCs/>
          <w:color w:val="auto"/>
          <w:kern w:val="2"/>
          <w:sz w:val="21"/>
          <w:szCs w:val="21"/>
          <w:highlight w:val="none"/>
          <w:lang w:val="en-US" w:eastAsia="zh-CN" w:bidi="ar-SA"/>
        </w:rPr>
      </w:pPr>
    </w:p>
    <w:p w14:paraId="71B5E968">
      <w:pPr>
        <w:rPr>
          <w:rFonts w:hint="eastAsia"/>
          <w:color w:val="auto"/>
          <w:highlight w:val="none"/>
          <w:lang w:val="en-US" w:eastAsia="zh-CN"/>
        </w:rPr>
      </w:pPr>
    </w:p>
    <w:p w14:paraId="35F7A520">
      <w:pPr>
        <w:spacing w:line="240" w:lineRule="auto"/>
        <w:rPr>
          <w:rFonts w:hint="eastAsia" w:ascii="宋体" w:hAnsi="宋体" w:cs="宋体"/>
          <w:b/>
          <w:bCs/>
          <w:iCs/>
          <w:color w:val="auto"/>
          <w:kern w:val="2"/>
          <w:sz w:val="21"/>
          <w:szCs w:val="21"/>
          <w:highlight w:val="none"/>
          <w:lang w:val="en-US" w:eastAsia="zh-CN" w:bidi="ar-SA"/>
        </w:rPr>
      </w:pPr>
    </w:p>
    <w:p w14:paraId="438F35E2">
      <w:pPr>
        <w:spacing w:line="240" w:lineRule="auto"/>
        <w:rPr>
          <w:rFonts w:hint="eastAsia" w:ascii="宋体" w:hAnsi="宋体" w:cs="宋体"/>
          <w:b/>
          <w:bCs/>
          <w:iCs/>
          <w:color w:val="auto"/>
          <w:kern w:val="2"/>
          <w:sz w:val="21"/>
          <w:szCs w:val="21"/>
          <w:highlight w:val="none"/>
          <w:lang w:val="en-US" w:eastAsia="zh-CN" w:bidi="ar-SA"/>
        </w:rPr>
      </w:pPr>
    </w:p>
    <w:p w14:paraId="12666B3E">
      <w:pPr>
        <w:spacing w:line="240" w:lineRule="auto"/>
        <w:jc w:val="center"/>
        <w:rPr>
          <w:rFonts w:hint="eastAsia" w:ascii="宋体" w:hAnsi="宋体" w:eastAsia="宋体" w:cs="宋体"/>
          <w:b/>
          <w:color w:val="auto"/>
          <w:spacing w:val="6"/>
          <w:sz w:val="21"/>
          <w:szCs w:val="21"/>
          <w:highlight w:val="none"/>
        </w:rPr>
      </w:pPr>
      <w:r>
        <w:rPr>
          <w:rFonts w:hint="eastAsia" w:ascii="宋体" w:hAnsi="宋体" w:cs="宋体"/>
          <w:b/>
          <w:bCs/>
          <w:iCs/>
          <w:color w:val="auto"/>
          <w:kern w:val="2"/>
          <w:sz w:val="21"/>
          <w:szCs w:val="21"/>
          <w:highlight w:val="none"/>
          <w:lang w:val="en-US" w:eastAsia="zh-CN" w:bidi="ar-SA"/>
        </w:rPr>
        <w:t>（3）</w:t>
      </w:r>
      <w:r>
        <w:rPr>
          <w:rFonts w:hint="eastAsia" w:ascii="宋体" w:hAnsi="宋体" w:eastAsia="宋体" w:cs="宋体"/>
          <w:b/>
          <w:color w:val="auto"/>
          <w:sz w:val="21"/>
          <w:szCs w:val="21"/>
          <w:highlight w:val="none"/>
          <w:lang w:val="en-US" w:eastAsia="zh-CN" w:bidi="ar"/>
        </w:rPr>
        <w:t>监狱企业的证明文件复印件[供应商如为监狱企业的，应当提供由省级以上监狱管理局、戒毒管理局（含新疆生产建设兵团）出具的属于监狱企业的证明文件, 否则不予享受优惠政策]</w:t>
      </w:r>
    </w:p>
    <w:p w14:paraId="3D23B691">
      <w:pPr>
        <w:pStyle w:val="25"/>
        <w:rPr>
          <w:rFonts w:hint="eastAsia" w:ascii="宋体" w:hAnsi="宋体" w:eastAsia="宋体" w:cs="宋体"/>
          <w:b/>
          <w:bCs/>
          <w:color w:val="auto"/>
          <w:sz w:val="21"/>
          <w:szCs w:val="21"/>
          <w:highlight w:val="none"/>
          <w:lang w:eastAsia="zh-CN"/>
        </w:rPr>
      </w:pPr>
    </w:p>
    <w:p w14:paraId="12C06703">
      <w:pPr>
        <w:pStyle w:val="25"/>
        <w:rPr>
          <w:rFonts w:hint="eastAsia" w:ascii="宋体" w:hAnsi="宋体" w:eastAsia="宋体" w:cs="宋体"/>
          <w:b/>
          <w:bCs/>
          <w:color w:val="auto"/>
          <w:sz w:val="21"/>
          <w:szCs w:val="21"/>
          <w:highlight w:val="none"/>
          <w:lang w:eastAsia="zh-CN"/>
        </w:rPr>
      </w:pPr>
    </w:p>
    <w:p w14:paraId="6F1EDD4B">
      <w:pPr>
        <w:pStyle w:val="25"/>
        <w:rPr>
          <w:rFonts w:hint="eastAsia" w:ascii="宋体" w:hAnsi="宋体" w:eastAsia="宋体" w:cs="宋体"/>
          <w:b/>
          <w:bCs/>
          <w:color w:val="auto"/>
          <w:sz w:val="21"/>
          <w:szCs w:val="21"/>
          <w:highlight w:val="none"/>
          <w:lang w:eastAsia="zh-CN"/>
        </w:rPr>
      </w:pPr>
    </w:p>
    <w:p w14:paraId="7DDC2976">
      <w:pPr>
        <w:pStyle w:val="25"/>
        <w:rPr>
          <w:rFonts w:hint="eastAsia" w:ascii="宋体" w:hAnsi="宋体" w:eastAsia="宋体" w:cs="宋体"/>
          <w:b/>
          <w:bCs/>
          <w:color w:val="auto"/>
          <w:sz w:val="21"/>
          <w:szCs w:val="21"/>
          <w:highlight w:val="none"/>
          <w:lang w:eastAsia="zh-CN"/>
        </w:rPr>
      </w:pPr>
    </w:p>
    <w:p w14:paraId="48DC0C20">
      <w:pPr>
        <w:pStyle w:val="25"/>
        <w:rPr>
          <w:rFonts w:hint="eastAsia" w:ascii="宋体" w:hAnsi="宋体" w:eastAsia="宋体" w:cs="宋体"/>
          <w:b/>
          <w:bCs/>
          <w:color w:val="auto"/>
          <w:sz w:val="21"/>
          <w:szCs w:val="21"/>
          <w:highlight w:val="none"/>
          <w:lang w:eastAsia="zh-CN"/>
        </w:rPr>
      </w:pPr>
    </w:p>
    <w:p w14:paraId="66545922">
      <w:pPr>
        <w:pStyle w:val="25"/>
        <w:rPr>
          <w:rFonts w:hint="eastAsia" w:ascii="宋体" w:hAnsi="宋体" w:eastAsia="宋体" w:cs="宋体"/>
          <w:b/>
          <w:bCs/>
          <w:color w:val="auto"/>
          <w:sz w:val="21"/>
          <w:szCs w:val="21"/>
          <w:highlight w:val="none"/>
          <w:lang w:eastAsia="zh-CN"/>
        </w:rPr>
      </w:pPr>
    </w:p>
    <w:p w14:paraId="58440704">
      <w:pPr>
        <w:pStyle w:val="25"/>
        <w:rPr>
          <w:rFonts w:hint="eastAsia" w:ascii="宋体" w:hAnsi="宋体" w:eastAsia="宋体" w:cs="宋体"/>
          <w:b/>
          <w:bCs/>
          <w:color w:val="auto"/>
          <w:sz w:val="21"/>
          <w:szCs w:val="21"/>
          <w:highlight w:val="none"/>
          <w:lang w:eastAsia="zh-CN"/>
        </w:rPr>
      </w:pPr>
    </w:p>
    <w:p w14:paraId="4D017976">
      <w:pPr>
        <w:pStyle w:val="25"/>
        <w:rPr>
          <w:rFonts w:hint="eastAsia" w:ascii="宋体" w:hAnsi="宋体" w:eastAsia="宋体" w:cs="宋体"/>
          <w:b/>
          <w:bCs/>
          <w:color w:val="auto"/>
          <w:sz w:val="21"/>
          <w:szCs w:val="21"/>
          <w:highlight w:val="none"/>
          <w:lang w:eastAsia="zh-CN"/>
        </w:rPr>
      </w:pPr>
    </w:p>
    <w:p w14:paraId="3245C3A4">
      <w:pPr>
        <w:pStyle w:val="25"/>
        <w:rPr>
          <w:rFonts w:hint="eastAsia" w:ascii="宋体" w:hAnsi="宋体" w:eastAsia="宋体" w:cs="宋体"/>
          <w:b/>
          <w:bCs/>
          <w:color w:val="auto"/>
          <w:sz w:val="21"/>
          <w:szCs w:val="21"/>
          <w:highlight w:val="none"/>
          <w:lang w:eastAsia="zh-CN"/>
        </w:rPr>
      </w:pPr>
    </w:p>
    <w:p w14:paraId="6B110A31">
      <w:pPr>
        <w:pStyle w:val="25"/>
        <w:rPr>
          <w:rFonts w:hint="eastAsia" w:ascii="宋体" w:hAnsi="宋体" w:eastAsia="宋体" w:cs="宋体"/>
          <w:b/>
          <w:bCs/>
          <w:color w:val="auto"/>
          <w:sz w:val="21"/>
          <w:szCs w:val="21"/>
          <w:highlight w:val="none"/>
          <w:lang w:eastAsia="zh-CN"/>
        </w:rPr>
      </w:pPr>
    </w:p>
    <w:p w14:paraId="77F13631">
      <w:pPr>
        <w:pStyle w:val="25"/>
        <w:rPr>
          <w:rFonts w:hint="eastAsia" w:ascii="宋体" w:hAnsi="宋体" w:eastAsia="宋体" w:cs="宋体"/>
          <w:b/>
          <w:bCs/>
          <w:color w:val="auto"/>
          <w:sz w:val="21"/>
          <w:szCs w:val="21"/>
          <w:highlight w:val="none"/>
          <w:lang w:eastAsia="zh-CN"/>
        </w:rPr>
      </w:pPr>
    </w:p>
    <w:p w14:paraId="51C12EEE">
      <w:pPr>
        <w:pStyle w:val="25"/>
        <w:rPr>
          <w:rFonts w:hint="eastAsia" w:ascii="宋体" w:hAnsi="宋体" w:eastAsia="宋体" w:cs="宋体"/>
          <w:b/>
          <w:bCs/>
          <w:color w:val="auto"/>
          <w:sz w:val="21"/>
          <w:szCs w:val="21"/>
          <w:highlight w:val="none"/>
          <w:lang w:eastAsia="zh-CN"/>
        </w:rPr>
      </w:pPr>
    </w:p>
    <w:p w14:paraId="39AD6436">
      <w:pPr>
        <w:pStyle w:val="25"/>
        <w:rPr>
          <w:rFonts w:hint="eastAsia" w:ascii="宋体" w:hAnsi="宋体" w:eastAsia="宋体" w:cs="宋体"/>
          <w:b/>
          <w:bCs/>
          <w:color w:val="auto"/>
          <w:sz w:val="21"/>
          <w:szCs w:val="21"/>
          <w:highlight w:val="none"/>
          <w:lang w:eastAsia="zh-CN"/>
        </w:rPr>
      </w:pPr>
    </w:p>
    <w:p w14:paraId="534BE8E7">
      <w:pPr>
        <w:pStyle w:val="25"/>
        <w:rPr>
          <w:rFonts w:hint="eastAsia" w:ascii="宋体" w:hAnsi="宋体" w:eastAsia="宋体" w:cs="宋体"/>
          <w:b/>
          <w:bCs/>
          <w:color w:val="auto"/>
          <w:sz w:val="21"/>
          <w:szCs w:val="21"/>
          <w:highlight w:val="none"/>
          <w:lang w:eastAsia="zh-CN"/>
        </w:rPr>
      </w:pPr>
    </w:p>
    <w:p w14:paraId="21B10B7A">
      <w:pPr>
        <w:pStyle w:val="25"/>
        <w:rPr>
          <w:rFonts w:hint="eastAsia" w:ascii="宋体" w:hAnsi="宋体" w:eastAsia="宋体" w:cs="宋体"/>
          <w:b/>
          <w:bCs/>
          <w:color w:val="auto"/>
          <w:sz w:val="21"/>
          <w:szCs w:val="21"/>
          <w:highlight w:val="none"/>
          <w:lang w:eastAsia="zh-CN"/>
        </w:rPr>
      </w:pPr>
    </w:p>
    <w:p w14:paraId="2E92F900">
      <w:pPr>
        <w:pStyle w:val="25"/>
        <w:rPr>
          <w:rFonts w:hint="eastAsia" w:ascii="宋体" w:hAnsi="宋体" w:eastAsia="宋体" w:cs="宋体"/>
          <w:b/>
          <w:bCs/>
          <w:color w:val="auto"/>
          <w:sz w:val="21"/>
          <w:szCs w:val="21"/>
          <w:highlight w:val="none"/>
          <w:lang w:eastAsia="zh-CN"/>
        </w:rPr>
      </w:pPr>
    </w:p>
    <w:p w14:paraId="6B5EF459">
      <w:pPr>
        <w:pStyle w:val="25"/>
        <w:rPr>
          <w:rFonts w:hint="eastAsia" w:ascii="宋体" w:hAnsi="宋体" w:eastAsia="宋体" w:cs="宋体"/>
          <w:b/>
          <w:bCs/>
          <w:color w:val="auto"/>
          <w:sz w:val="21"/>
          <w:szCs w:val="21"/>
          <w:highlight w:val="none"/>
          <w:lang w:eastAsia="zh-CN"/>
        </w:rPr>
      </w:pPr>
    </w:p>
    <w:p w14:paraId="7F43BAF7">
      <w:pPr>
        <w:numPr>
          <w:ilvl w:val="0"/>
          <w:numId w:val="0"/>
        </w:numPr>
        <w:jc w:val="center"/>
        <w:rPr>
          <w:rFonts w:hint="eastAsia" w:ascii="宋体" w:hAnsi="宋体" w:eastAsia="宋体" w:cs="宋体"/>
          <w:b/>
          <w:bCs/>
          <w:color w:val="auto"/>
          <w:sz w:val="21"/>
          <w:szCs w:val="21"/>
          <w:highlight w:val="none"/>
          <w:lang w:eastAsia="zh-CN"/>
        </w:rPr>
      </w:pPr>
    </w:p>
    <w:p w14:paraId="2C702FB7">
      <w:pPr>
        <w:rPr>
          <w:rFonts w:hint="eastAsia"/>
          <w:b/>
          <w:bCs/>
          <w:color w:val="auto"/>
          <w:sz w:val="24"/>
          <w:szCs w:val="24"/>
          <w:highlight w:val="none"/>
        </w:rPr>
      </w:pPr>
      <w:r>
        <w:rPr>
          <w:rFonts w:hint="eastAsia"/>
          <w:b/>
          <w:bCs/>
          <w:color w:val="auto"/>
          <w:sz w:val="24"/>
          <w:szCs w:val="24"/>
          <w:highlight w:val="none"/>
        </w:rPr>
        <w:t>二、符合性响应证明材料</w:t>
      </w:r>
    </w:p>
    <w:p w14:paraId="137E6F40">
      <w:pPr>
        <w:spacing w:line="400" w:lineRule="exact"/>
        <w:rPr>
          <w:rFonts w:hint="eastAsia" w:ascii="宋体" w:hAnsi="宋体" w:eastAsia="宋体" w:cs="宋体"/>
          <w:b/>
          <w:bCs/>
          <w:color w:val="auto"/>
          <w:sz w:val="24"/>
          <w:szCs w:val="24"/>
          <w:highlight w:val="none"/>
          <w:lang w:eastAsia="zh-CN"/>
        </w:rPr>
      </w:pPr>
      <w:bookmarkStart w:id="1803" w:name="_Toc497927072"/>
      <w:bookmarkStart w:id="1804" w:name="_Toc12920"/>
      <w:bookmarkStart w:id="1805" w:name="_Toc17617"/>
      <w:r>
        <w:rPr>
          <w:rFonts w:hint="eastAsia" w:ascii="宋体" w:hAnsi="宋体" w:eastAsia="宋体" w:cs="宋体"/>
          <w:b/>
          <w:bCs/>
          <w:color w:val="auto"/>
          <w:sz w:val="24"/>
          <w:szCs w:val="24"/>
          <w:highlight w:val="none"/>
        </w:rPr>
        <w:t>1.响应函及响应函附录（格式见附件）（必须提供）</w:t>
      </w:r>
      <w:bookmarkEnd w:id="1803"/>
      <w:bookmarkEnd w:id="1804"/>
      <w:bookmarkEnd w:id="1805"/>
      <w:r>
        <w:rPr>
          <w:rFonts w:hint="eastAsia" w:ascii="宋体" w:hAnsi="宋体" w:cs="宋体"/>
          <w:b/>
          <w:bCs/>
          <w:color w:val="auto"/>
          <w:sz w:val="24"/>
          <w:szCs w:val="24"/>
          <w:highlight w:val="none"/>
          <w:lang w:eastAsia="zh-CN"/>
        </w:rPr>
        <w:t>；</w:t>
      </w:r>
    </w:p>
    <w:p w14:paraId="71054753">
      <w:pPr>
        <w:pStyle w:val="26"/>
        <w:rPr>
          <w:rFonts w:hint="eastAsia" w:ascii="宋体" w:hAnsi="宋体" w:eastAsia="宋体" w:cs="宋体"/>
          <w:color w:val="auto"/>
          <w:sz w:val="21"/>
          <w:szCs w:val="21"/>
          <w:highlight w:val="none"/>
        </w:rPr>
      </w:pPr>
    </w:p>
    <w:p w14:paraId="7967635A">
      <w:pPr>
        <w:pStyle w:val="1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w:t>
      </w:r>
    </w:p>
    <w:p w14:paraId="0FB9987F">
      <w:pPr>
        <w:pStyle w:val="14"/>
        <w:ind w:firstLine="527" w:firstLineChars="250"/>
        <w:jc w:val="center"/>
        <w:rPr>
          <w:rFonts w:hint="eastAsia" w:ascii="宋体" w:hAnsi="宋体" w:eastAsia="宋体" w:cs="宋体"/>
          <w:b/>
          <w:color w:val="auto"/>
          <w:sz w:val="21"/>
          <w:szCs w:val="21"/>
          <w:highlight w:val="none"/>
        </w:rPr>
      </w:pPr>
      <w:bookmarkStart w:id="1806" w:name="_Toc7273_WPSOffice_Level1"/>
      <w:bookmarkStart w:id="1807" w:name="_Toc17832_WPSOffice_Level1"/>
      <w:r>
        <w:rPr>
          <w:rFonts w:hint="eastAsia" w:hAnsi="宋体" w:cs="宋体"/>
          <w:b/>
          <w:color w:val="auto"/>
          <w:sz w:val="21"/>
          <w:szCs w:val="21"/>
          <w:highlight w:val="none"/>
          <w:lang w:eastAsia="zh-CN"/>
        </w:rPr>
        <w:t>（一）</w:t>
      </w:r>
      <w:r>
        <w:rPr>
          <w:rFonts w:hint="eastAsia" w:ascii="宋体" w:hAnsi="宋体" w:eastAsia="宋体" w:cs="宋体"/>
          <w:b/>
          <w:color w:val="auto"/>
          <w:sz w:val="21"/>
          <w:szCs w:val="21"/>
          <w:highlight w:val="none"/>
        </w:rPr>
        <w:t>响应函（格式）</w:t>
      </w:r>
      <w:bookmarkEnd w:id="1806"/>
      <w:bookmarkEnd w:id="1807"/>
    </w:p>
    <w:p w14:paraId="20A497BF">
      <w:pPr>
        <w:pStyle w:val="11"/>
        <w:spacing w:before="71" w:line="257" w:lineRule="auto"/>
        <w:ind w:left="12" w:firstLine="468"/>
        <w:rPr>
          <w:rFonts w:hint="eastAsia" w:ascii="宋体" w:hAnsi="宋体" w:eastAsia="宋体" w:cs="宋体"/>
          <w:color w:val="auto"/>
          <w:spacing w:val="-2"/>
          <w:sz w:val="21"/>
          <w:szCs w:val="21"/>
          <w:highlight w:val="none"/>
        </w:rPr>
      </w:pPr>
    </w:p>
    <w:p w14:paraId="675C5C58">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根据贵方</w:t>
      </w:r>
      <w:r>
        <w:rPr>
          <w:rFonts w:hint="eastAsia" w:ascii="宋体" w:hAnsi="宋体" w:eastAsia="宋体" w:cs="宋体"/>
          <w:color w:val="auto"/>
          <w:spacing w:val="111"/>
          <w:sz w:val="21"/>
          <w:szCs w:val="21"/>
          <w:highlight w:val="none"/>
          <w:u w:val="single"/>
        </w:rPr>
        <w:t xml:space="preserve"> </w:t>
      </w:r>
      <w:r>
        <w:rPr>
          <w:rFonts w:hint="eastAsia" w:ascii="宋体" w:hAnsi="宋体" w:eastAsia="宋体" w:cs="宋体"/>
          <w:color w:val="auto"/>
          <w:spacing w:val="-2"/>
          <w:sz w:val="21"/>
          <w:szCs w:val="21"/>
          <w:highlight w:val="none"/>
          <w:u w:val="single"/>
        </w:rPr>
        <w:t>（项目名称）</w:t>
      </w:r>
      <w:r>
        <w:rPr>
          <w:rFonts w:hint="eastAsia" w:ascii="宋体" w:hAnsi="宋体" w:eastAsia="宋体" w:cs="宋体"/>
          <w:color w:val="auto"/>
          <w:spacing w:val="103"/>
          <w:sz w:val="21"/>
          <w:szCs w:val="21"/>
          <w:highlight w:val="none"/>
          <w:u w:val="single"/>
        </w:rPr>
        <w:t xml:space="preserve"> </w:t>
      </w:r>
      <w:r>
        <w:rPr>
          <w:rFonts w:hint="eastAsia" w:ascii="宋体" w:hAnsi="宋体" w:eastAsia="宋体" w:cs="宋体"/>
          <w:color w:val="auto"/>
          <w:spacing w:val="-106"/>
          <w:sz w:val="21"/>
          <w:szCs w:val="21"/>
          <w:highlight w:val="none"/>
        </w:rPr>
        <w:t xml:space="preserve"> </w:t>
      </w:r>
      <w:r>
        <w:rPr>
          <w:rFonts w:hint="eastAsia" w:ascii="宋体" w:hAnsi="宋体" w:eastAsia="宋体" w:cs="宋体"/>
          <w:color w:val="auto"/>
          <w:spacing w:val="-2"/>
          <w:sz w:val="21"/>
          <w:szCs w:val="21"/>
          <w:highlight w:val="none"/>
        </w:rPr>
        <w:t>项目磋商文件，项</w:t>
      </w:r>
      <w:r>
        <w:rPr>
          <w:rFonts w:hint="eastAsia" w:ascii="宋体" w:hAnsi="宋体" w:eastAsia="宋体" w:cs="宋体"/>
          <w:color w:val="auto"/>
          <w:spacing w:val="-11"/>
          <w:sz w:val="21"/>
          <w:szCs w:val="21"/>
          <w:highlight w:val="none"/>
        </w:rPr>
        <w:t>目</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1"/>
          <w:sz w:val="21"/>
          <w:szCs w:val="21"/>
          <w:highlight w:val="none"/>
        </w:rPr>
        <w:t>编</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1"/>
          <w:sz w:val="21"/>
          <w:szCs w:val="21"/>
          <w:highlight w:val="none"/>
        </w:rPr>
        <w:t>号</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11"/>
          <w:sz w:val="21"/>
          <w:szCs w:val="21"/>
          <w:highlight w:val="none"/>
        </w:rPr>
        <w:t>签</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1"/>
          <w:sz w:val="21"/>
          <w:szCs w:val="21"/>
          <w:highlight w:val="none"/>
        </w:rPr>
        <w:t>字</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1"/>
          <w:sz w:val="21"/>
          <w:szCs w:val="21"/>
          <w:highlight w:val="none"/>
        </w:rPr>
        <w:t>代</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11"/>
          <w:sz w:val="21"/>
          <w:szCs w:val="21"/>
          <w:highlight w:val="none"/>
        </w:rPr>
        <w:t>表</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6"/>
          <w:sz w:val="21"/>
          <w:szCs w:val="21"/>
          <w:highlight w:val="none"/>
          <w:u w:val="single"/>
        </w:rPr>
        <w:t xml:space="preserve">         </w:t>
      </w:r>
      <w:r>
        <w:rPr>
          <w:rFonts w:hint="eastAsia" w:ascii="宋体" w:hAnsi="宋体" w:eastAsia="宋体" w:cs="宋体"/>
          <w:color w:val="auto"/>
          <w:spacing w:val="-11"/>
          <w:sz w:val="21"/>
          <w:szCs w:val="21"/>
          <w:highlight w:val="none"/>
        </w:rPr>
        <w:t>（姓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11"/>
          <w:sz w:val="21"/>
          <w:szCs w:val="21"/>
          <w:highlight w:val="none"/>
        </w:rPr>
        <w:t>名</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11"/>
          <w:sz w:val="21"/>
          <w:szCs w:val="21"/>
          <w:highlight w:val="none"/>
        </w:rPr>
        <w:t>经</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11"/>
          <w:sz w:val="21"/>
          <w:szCs w:val="21"/>
          <w:highlight w:val="none"/>
        </w:rPr>
        <w:t>正</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11"/>
          <w:sz w:val="21"/>
          <w:szCs w:val="21"/>
          <w:highlight w:val="none"/>
        </w:rPr>
        <w:t>式</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1"/>
          <w:sz w:val="21"/>
          <w:szCs w:val="21"/>
          <w:highlight w:val="none"/>
        </w:rPr>
        <w:t>授</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11"/>
          <w:sz w:val="21"/>
          <w:szCs w:val="21"/>
          <w:highlight w:val="none"/>
        </w:rPr>
        <w:t>权</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11"/>
          <w:sz w:val="21"/>
          <w:szCs w:val="21"/>
          <w:highlight w:val="none"/>
        </w:rPr>
        <w:t>并</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1"/>
          <w:sz w:val="21"/>
          <w:szCs w:val="21"/>
          <w:highlight w:val="none"/>
        </w:rPr>
        <w:t>代</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11"/>
          <w:sz w:val="21"/>
          <w:szCs w:val="21"/>
          <w:highlight w:val="none"/>
        </w:rPr>
        <w:t>表</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11"/>
          <w:sz w:val="21"/>
          <w:szCs w:val="21"/>
          <w:highlight w:val="none"/>
        </w:rPr>
        <w:t>供</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1"/>
          <w:sz w:val="21"/>
          <w:szCs w:val="21"/>
          <w:highlight w:val="none"/>
        </w:rPr>
        <w:t>应</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11"/>
          <w:sz w:val="21"/>
          <w:szCs w:val="21"/>
          <w:highlight w:val="none"/>
        </w:rPr>
        <w:t>商</w:t>
      </w:r>
      <w:r>
        <w:rPr>
          <w:rFonts w:hint="eastAsia" w:ascii="宋体" w:hAnsi="宋体" w:eastAsia="宋体" w:cs="宋体"/>
          <w:color w:val="auto"/>
          <w:spacing w:val="-2"/>
          <w:sz w:val="21"/>
          <w:szCs w:val="21"/>
          <w:highlight w:val="none"/>
        </w:rPr>
        <w:t>（供应商单位名称</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提交电子响应文件。</w:t>
      </w:r>
    </w:p>
    <w:p w14:paraId="221B828F">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据此函，签字代表宣布同意如下：</w:t>
      </w:r>
    </w:p>
    <w:p w14:paraId="49F79C49">
      <w:pPr>
        <w:pStyle w:val="11"/>
        <w:keepNext w:val="0"/>
        <w:keepLines w:val="0"/>
        <w:pageBreakBefore w:val="0"/>
        <w:widowControl w:val="0"/>
        <w:tabs>
          <w:tab w:val="left" w:pos="126"/>
        </w:tabs>
        <w:kinsoku/>
        <w:wordWrap/>
        <w:overflowPunct/>
        <w:topLinePunct w:val="0"/>
        <w:autoSpaceDE/>
        <w:autoSpaceDN/>
        <w:bidi w:val="0"/>
        <w:adjustRightInd/>
        <w:snapToGrid/>
        <w:spacing w:after="0" w:line="36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1.我方已仔细研究磋商文件的全部内容，愿意以人民币（大写）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5"/>
          <w:sz w:val="21"/>
          <w:szCs w:val="21"/>
          <w:highlight w:val="none"/>
          <w:u w:val="single"/>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1"/>
          <w:sz w:val="21"/>
          <w:szCs w:val="21"/>
          <w:highlight w:val="none"/>
        </w:rPr>
        <w:t>)的磋商报价（或根据磋商文件规定修正核实后确定的另一金额</w:t>
      </w:r>
      <w:r>
        <w:rPr>
          <w:rFonts w:hint="eastAsia" w:ascii="宋体" w:hAnsi="宋体" w:eastAsia="宋体" w:cs="宋体"/>
          <w:color w:val="auto"/>
          <w:spacing w:val="13"/>
          <w:sz w:val="21"/>
          <w:szCs w:val="21"/>
          <w:highlight w:val="none"/>
        </w:rPr>
        <w:t>）</w:t>
      </w:r>
      <w:r>
        <w:rPr>
          <w:rFonts w:hint="eastAsia" w:ascii="宋体" w:hAnsi="宋体" w:cs="宋体"/>
          <w:color w:val="auto"/>
          <w:spacing w:val="13"/>
          <w:sz w:val="21"/>
          <w:szCs w:val="21"/>
          <w:highlight w:val="none"/>
          <w:lang w:eastAsia="zh-CN"/>
        </w:rPr>
        <w:t>，</w:t>
      </w:r>
      <w:r>
        <w:rPr>
          <w:rFonts w:hint="eastAsia" w:ascii="宋体" w:hAnsi="宋体" w:eastAsia="宋体" w:cs="宋体"/>
          <w:color w:val="auto"/>
          <w:spacing w:val="-1"/>
          <w:sz w:val="21"/>
          <w:szCs w:val="21"/>
          <w:highlight w:val="none"/>
        </w:rPr>
        <w:t>按合同约定实施和完成承包工程，修补工程中的任何缺陷。</w:t>
      </w:r>
    </w:p>
    <w:p w14:paraId="0466D0AF">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39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2.质量标准</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6"/>
          <w:sz w:val="21"/>
          <w:szCs w:val="21"/>
          <w:highlight w:val="none"/>
        </w:rPr>
        <w:t>工期：</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日历天。</w:t>
      </w:r>
    </w:p>
    <w:p w14:paraId="4FE21835">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3.我方承诺已具备磋商文件规定的供应商资格条件。</w:t>
      </w:r>
    </w:p>
    <w:p w14:paraId="3997CF06">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4.我方已详细审核磋商文件，包括修改文件（如有的话）和有关附件</w:t>
      </w:r>
      <w:r>
        <w:rPr>
          <w:rFonts w:hint="eastAsia" w:ascii="宋体" w:hAnsi="宋体" w:eastAsia="宋体" w:cs="宋体"/>
          <w:color w:val="auto"/>
          <w:spacing w:val="-3"/>
          <w:sz w:val="21"/>
          <w:szCs w:val="21"/>
          <w:highlight w:val="none"/>
        </w:rPr>
        <w:t>，将自行承担</w:t>
      </w:r>
      <w:r>
        <w:rPr>
          <w:rFonts w:hint="eastAsia" w:ascii="宋体" w:hAnsi="宋体" w:eastAsia="宋体" w:cs="宋体"/>
          <w:color w:val="auto"/>
          <w:spacing w:val="-1"/>
          <w:sz w:val="21"/>
          <w:szCs w:val="21"/>
          <w:highlight w:val="none"/>
        </w:rPr>
        <w:t>因对全部磋商文件理解不正确或误解而产生的</w:t>
      </w:r>
      <w:r>
        <w:rPr>
          <w:rFonts w:hint="eastAsia" w:ascii="宋体" w:hAnsi="宋体" w:eastAsia="宋体" w:cs="宋体"/>
          <w:color w:val="auto"/>
          <w:spacing w:val="-2"/>
          <w:sz w:val="21"/>
          <w:szCs w:val="21"/>
          <w:highlight w:val="none"/>
        </w:rPr>
        <w:t>相应后果。</w:t>
      </w:r>
    </w:p>
    <w:p w14:paraId="18DC648B">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position w:val="8"/>
          <w:sz w:val="21"/>
          <w:szCs w:val="21"/>
          <w:highlight w:val="none"/>
        </w:rPr>
        <w:t>5.响应文件有效期为响应文件递交截止时间之日起</w:t>
      </w:r>
      <w:r>
        <w:rPr>
          <w:rFonts w:hint="eastAsia" w:ascii="宋体" w:hAnsi="宋体" w:eastAsia="宋体" w:cs="宋体"/>
          <w:color w:val="auto"/>
          <w:spacing w:val="-36"/>
          <w:position w:val="8"/>
          <w:sz w:val="21"/>
          <w:szCs w:val="21"/>
          <w:highlight w:val="none"/>
        </w:rPr>
        <w:t xml:space="preserve"> </w:t>
      </w:r>
      <w:r>
        <w:rPr>
          <w:rFonts w:hint="eastAsia" w:ascii="宋体" w:hAnsi="宋体" w:eastAsia="宋体" w:cs="宋体"/>
          <w:color w:val="auto"/>
          <w:spacing w:val="-2"/>
          <w:position w:val="8"/>
          <w:sz w:val="21"/>
          <w:szCs w:val="21"/>
          <w:highlight w:val="none"/>
        </w:rPr>
        <w:t>90</w:t>
      </w:r>
      <w:r>
        <w:rPr>
          <w:rFonts w:hint="eastAsia" w:ascii="宋体" w:hAnsi="宋体" w:eastAsia="宋体" w:cs="宋体"/>
          <w:color w:val="auto"/>
          <w:spacing w:val="-46"/>
          <w:position w:val="8"/>
          <w:sz w:val="21"/>
          <w:szCs w:val="21"/>
          <w:highlight w:val="none"/>
        </w:rPr>
        <w:t xml:space="preserve"> </w:t>
      </w:r>
      <w:r>
        <w:rPr>
          <w:rFonts w:hint="eastAsia" w:ascii="宋体" w:hAnsi="宋体" w:eastAsia="宋体" w:cs="宋体"/>
          <w:color w:val="auto"/>
          <w:spacing w:val="-2"/>
          <w:position w:val="8"/>
          <w:sz w:val="21"/>
          <w:szCs w:val="21"/>
          <w:highlight w:val="none"/>
        </w:rPr>
        <w:t>天。</w:t>
      </w:r>
    </w:p>
    <w:p w14:paraId="3A48C21F">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6.如我方成交：</w:t>
      </w:r>
    </w:p>
    <w:p w14:paraId="03AB78CD">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24"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（1）我方承诺在收到成交通知书后，在成交通知书规定的期限</w:t>
      </w:r>
      <w:r>
        <w:rPr>
          <w:rFonts w:hint="eastAsia" w:ascii="宋体" w:hAnsi="宋体" w:eastAsia="宋体" w:cs="宋体"/>
          <w:color w:val="auto"/>
          <w:sz w:val="21"/>
          <w:szCs w:val="21"/>
          <w:highlight w:val="none"/>
        </w:rPr>
        <w:t>内与采购人签订合</w:t>
      </w:r>
      <w:r>
        <w:rPr>
          <w:rFonts w:hint="eastAsia" w:ascii="宋体" w:hAnsi="宋体" w:eastAsia="宋体" w:cs="宋体"/>
          <w:color w:val="auto"/>
          <w:spacing w:val="-17"/>
          <w:sz w:val="21"/>
          <w:szCs w:val="21"/>
          <w:highlight w:val="none"/>
        </w:rPr>
        <w:t>同。</w:t>
      </w:r>
    </w:p>
    <w:p w14:paraId="00114655">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（2）我方承诺按照磋商文件规定递交履约担保。</w:t>
      </w:r>
    </w:p>
    <w:p w14:paraId="6F612DF8">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24"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（3）我方承诺本响应文件至本项目合同履行完毕止均保持有效</w:t>
      </w:r>
      <w:r>
        <w:rPr>
          <w:rFonts w:hint="eastAsia" w:ascii="宋体" w:hAnsi="宋体" w:eastAsia="宋体" w:cs="宋体"/>
          <w:color w:val="auto"/>
          <w:sz w:val="21"/>
          <w:szCs w:val="21"/>
          <w:highlight w:val="none"/>
        </w:rPr>
        <w:t>，按磋商文件及政</w:t>
      </w:r>
      <w:r>
        <w:rPr>
          <w:rFonts w:hint="eastAsia" w:ascii="宋体" w:hAnsi="宋体" w:eastAsia="宋体" w:cs="宋体"/>
          <w:color w:val="auto"/>
          <w:spacing w:val="-1"/>
          <w:sz w:val="21"/>
          <w:szCs w:val="21"/>
          <w:highlight w:val="none"/>
        </w:rPr>
        <w:t>府采购法律、法规的规定履行合同责任和义务。</w:t>
      </w:r>
    </w:p>
    <w:p w14:paraId="73B908A6">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宋体" w:hAnsi="宋体" w:eastAsia="宋体" w:cs="宋体"/>
          <w:color w:val="auto"/>
          <w:sz w:val="21"/>
          <w:szCs w:val="21"/>
          <w:highlight w:val="none"/>
        </w:rPr>
      </w:pPr>
    </w:p>
    <w:p w14:paraId="184BAC99">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与本项目有关的正式通讯地址为：</w:t>
      </w:r>
    </w:p>
    <w:p w14:paraId="023AFFC7">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04"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地址：</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rPr>
        <w:t>邮编：</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5"/>
          <w:sz w:val="21"/>
          <w:szCs w:val="21"/>
          <w:highlight w:val="none"/>
          <w:u w:val="single"/>
        </w:rPr>
        <w:t xml:space="preserve">  </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5"/>
          <w:sz w:val="21"/>
          <w:szCs w:val="21"/>
          <w:highlight w:val="none"/>
        </w:rPr>
        <w:t>邮箱：</w:t>
      </w:r>
      <w:r>
        <w:rPr>
          <w:rFonts w:hint="eastAsia" w:ascii="宋体" w:hAnsi="宋体" w:eastAsia="宋体" w:cs="宋体"/>
          <w:color w:val="auto"/>
          <w:spacing w:val="-5"/>
          <w:sz w:val="21"/>
          <w:szCs w:val="21"/>
          <w:highlight w:val="none"/>
          <w:u w:val="single"/>
        </w:rPr>
        <w:t xml:space="preserve">      </w:t>
      </w:r>
    </w:p>
    <w:p w14:paraId="2D7F4604">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办公电话：</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 xml:space="preserve">   传真：</w:t>
      </w:r>
      <w:r>
        <w:rPr>
          <w:rFonts w:hint="eastAsia" w:ascii="宋体" w:hAnsi="宋体" w:eastAsia="宋体" w:cs="宋体"/>
          <w:color w:val="auto"/>
          <w:sz w:val="21"/>
          <w:szCs w:val="21"/>
          <w:highlight w:val="none"/>
          <w:u w:val="single"/>
        </w:rPr>
        <w:t xml:space="preserve">         </w:t>
      </w:r>
    </w:p>
    <w:p w14:paraId="2F7BCB84">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委托代理人联系电话：</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DA9E77E">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08"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开户名称：</w:t>
      </w:r>
      <w:r>
        <w:rPr>
          <w:rFonts w:hint="eastAsia" w:ascii="宋体" w:hAnsi="宋体" w:eastAsia="宋体" w:cs="宋体"/>
          <w:color w:val="auto"/>
          <w:sz w:val="21"/>
          <w:szCs w:val="21"/>
          <w:highlight w:val="none"/>
          <w:u w:val="single"/>
        </w:rPr>
        <w:t xml:space="preserve">                                  </w:t>
      </w:r>
    </w:p>
    <w:p w14:paraId="397BBDE4">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08"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开户银行：</w:t>
      </w:r>
      <w:r>
        <w:rPr>
          <w:rFonts w:hint="eastAsia" w:ascii="宋体" w:hAnsi="宋体" w:eastAsia="宋体" w:cs="宋体"/>
          <w:color w:val="auto"/>
          <w:sz w:val="21"/>
          <w:szCs w:val="21"/>
          <w:highlight w:val="none"/>
          <w:u w:val="single"/>
        </w:rPr>
        <w:t xml:space="preserve">                                  </w:t>
      </w:r>
    </w:p>
    <w:p w14:paraId="2D9DD104">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08"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账号：</w:t>
      </w:r>
      <w:r>
        <w:rPr>
          <w:rFonts w:hint="eastAsia" w:ascii="宋体" w:hAnsi="宋体" w:eastAsia="宋体" w:cs="宋体"/>
          <w:color w:val="auto"/>
          <w:spacing w:val="-3"/>
          <w:sz w:val="21"/>
          <w:szCs w:val="21"/>
          <w:highlight w:val="none"/>
          <w:u w:val="single"/>
        </w:rPr>
        <w:t xml:space="preserve">                                        </w:t>
      </w:r>
    </w:p>
    <w:p w14:paraId="3B9118CB">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供应商[公章(CA</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签章)]：</w:t>
      </w:r>
      <w:r>
        <w:rPr>
          <w:rFonts w:hint="eastAsia" w:ascii="宋体" w:hAnsi="宋体" w:eastAsia="宋体" w:cs="宋体"/>
          <w:color w:val="auto"/>
          <w:sz w:val="21"/>
          <w:szCs w:val="21"/>
          <w:highlight w:val="none"/>
          <w:u w:val="single"/>
        </w:rPr>
        <w:t xml:space="preserve">                      </w:t>
      </w:r>
    </w:p>
    <w:p w14:paraId="5E8E42F4">
      <w:pPr>
        <w:pStyle w:val="14"/>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法定代表人、负责人、自然人或相应的委托代理人签字[或盖章(CA签章)]（属自然人的应在签名处加盖大拇指指印或个人CA签章）：</w:t>
      </w:r>
      <w:r>
        <w:rPr>
          <w:rFonts w:hint="eastAsia" w:ascii="宋体" w:hAnsi="宋体" w:eastAsia="宋体" w:cs="宋体"/>
          <w:color w:val="auto"/>
          <w:sz w:val="21"/>
          <w:szCs w:val="21"/>
          <w:highlight w:val="none"/>
          <w:u w:val="single"/>
        </w:rPr>
        <w:t xml:space="preserve">             </w:t>
      </w:r>
    </w:p>
    <w:p w14:paraId="52D4C775">
      <w:pPr>
        <w:pStyle w:val="11"/>
        <w:keepNext w:val="0"/>
        <w:keepLines w:val="0"/>
        <w:pageBreakBefore w:val="0"/>
        <w:widowControl w:val="0"/>
        <w:kinsoku/>
        <w:wordWrap/>
        <w:overflowPunct/>
        <w:topLinePunct w:val="0"/>
        <w:autoSpaceDE/>
        <w:autoSpaceDN/>
        <w:bidi w:val="0"/>
        <w:adjustRightInd/>
        <w:snapToGrid/>
        <w:spacing w:after="0" w:line="360" w:lineRule="exact"/>
        <w:ind w:left="0" w:firstLine="40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pacing w:val="-5"/>
          <w:sz w:val="21"/>
          <w:szCs w:val="21"/>
          <w:highlight w:val="none"/>
        </w:rPr>
        <w:t>响应日期：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2342CB2">
      <w:pPr>
        <w:pStyle w:val="5"/>
        <w:rPr>
          <w:rFonts w:hint="eastAsia" w:ascii="宋体" w:hAnsi="宋体" w:eastAsia="宋体" w:cs="宋体"/>
          <w:color w:val="auto"/>
          <w:sz w:val="21"/>
          <w:szCs w:val="21"/>
          <w:highlight w:val="none"/>
          <w:lang w:val="en-US" w:eastAsia="zh-CN"/>
        </w:rPr>
      </w:pPr>
    </w:p>
    <w:p w14:paraId="379DA0C6">
      <w:pPr>
        <w:rPr>
          <w:rFonts w:hint="eastAsia" w:ascii="宋体" w:hAnsi="宋体" w:eastAsia="宋体" w:cs="宋体"/>
          <w:color w:val="auto"/>
          <w:sz w:val="21"/>
          <w:szCs w:val="21"/>
          <w:highlight w:val="none"/>
          <w:lang w:val="en-US" w:eastAsia="zh-CN"/>
        </w:rPr>
      </w:pPr>
    </w:p>
    <w:p w14:paraId="390F36DA">
      <w:pPr>
        <w:pStyle w:val="11"/>
        <w:rPr>
          <w:rFonts w:hint="eastAsia" w:ascii="宋体" w:hAnsi="宋体" w:eastAsia="宋体" w:cs="宋体"/>
          <w:color w:val="auto"/>
          <w:sz w:val="21"/>
          <w:szCs w:val="21"/>
          <w:highlight w:val="none"/>
          <w:lang w:val="en-US" w:eastAsia="zh-CN"/>
        </w:rPr>
      </w:pPr>
    </w:p>
    <w:p w14:paraId="36511BB4">
      <w:pPr>
        <w:rPr>
          <w:rFonts w:hint="eastAsia" w:ascii="宋体" w:hAnsi="宋体" w:eastAsia="宋体" w:cs="宋体"/>
          <w:color w:val="auto"/>
          <w:sz w:val="21"/>
          <w:szCs w:val="21"/>
          <w:highlight w:val="none"/>
          <w:lang w:val="en-US" w:eastAsia="zh-CN"/>
        </w:rPr>
      </w:pPr>
    </w:p>
    <w:p w14:paraId="0B4BCAC1">
      <w:pPr>
        <w:rPr>
          <w:rFonts w:hint="eastAsia" w:ascii="宋体" w:hAnsi="宋体" w:eastAsia="宋体" w:cs="宋体"/>
          <w:color w:val="auto"/>
          <w:sz w:val="21"/>
          <w:szCs w:val="21"/>
          <w:highlight w:val="none"/>
          <w:lang w:val="en-US" w:eastAsia="zh-CN"/>
        </w:rPr>
      </w:pPr>
    </w:p>
    <w:p w14:paraId="67989E1E">
      <w:pPr>
        <w:autoSpaceDE w:val="0"/>
        <w:autoSpaceDN w:val="0"/>
        <w:spacing w:before="212"/>
        <w:ind w:right="176"/>
        <w:jc w:val="center"/>
        <w:rPr>
          <w:rFonts w:hint="eastAsia" w:ascii="宋体" w:hAnsi="宋体" w:cs="宋体"/>
          <w:b/>
          <w:color w:val="auto"/>
          <w:kern w:val="0"/>
          <w:sz w:val="30"/>
          <w:szCs w:val="22"/>
          <w:highlight w:val="none"/>
          <w:lang w:val="zh-CN" w:bidi="zh-CN"/>
        </w:rPr>
      </w:pPr>
      <w:r>
        <w:rPr>
          <w:rFonts w:ascii="宋体" w:hAnsi="宋体" w:cs="宋体"/>
          <w:b/>
          <w:color w:val="auto"/>
          <w:kern w:val="0"/>
          <w:sz w:val="30"/>
          <w:szCs w:val="22"/>
          <w:highlight w:val="none"/>
          <w:lang w:val="zh-CN" w:bidi="zh-CN"/>
        </w:rPr>
        <w:t>（二）</w:t>
      </w:r>
      <w:r>
        <w:rPr>
          <w:rFonts w:hint="eastAsia" w:ascii="宋体" w:hAnsi="宋体" w:cs="宋体"/>
          <w:b/>
          <w:color w:val="auto"/>
          <w:kern w:val="0"/>
          <w:sz w:val="30"/>
          <w:szCs w:val="22"/>
          <w:highlight w:val="none"/>
          <w:lang w:val="zh-CN" w:bidi="zh-CN"/>
        </w:rPr>
        <w:t>响应函附录</w:t>
      </w:r>
    </w:p>
    <w:p w14:paraId="6103B63C">
      <w:pPr>
        <w:autoSpaceDE w:val="0"/>
        <w:autoSpaceDN w:val="0"/>
        <w:spacing w:before="212"/>
        <w:ind w:right="176"/>
        <w:jc w:val="center"/>
        <w:rPr>
          <w:rFonts w:hint="eastAsia" w:ascii="宋体" w:hAnsi="宋体" w:cs="宋体"/>
          <w:b/>
          <w:color w:val="auto"/>
          <w:kern w:val="0"/>
          <w:sz w:val="30"/>
          <w:szCs w:val="22"/>
          <w:highlight w:val="none"/>
          <w:lang w:val="zh-CN" w:bidi="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190"/>
        <w:gridCol w:w="2345"/>
        <w:gridCol w:w="2190"/>
        <w:gridCol w:w="1436"/>
      </w:tblGrid>
      <w:tr w14:paraId="1A07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24A99073">
            <w:pPr>
              <w:widowControl/>
              <w:jc w:val="center"/>
              <w:textAlignment w:val="baseline"/>
              <w:rPr>
                <w:rFonts w:ascii="宋体" w:hAnsi="宋体"/>
                <w:color w:val="auto"/>
                <w:szCs w:val="21"/>
                <w:highlight w:val="none"/>
              </w:rPr>
            </w:pPr>
            <w:r>
              <w:rPr>
                <w:rFonts w:ascii="宋体" w:hAnsi="宋体"/>
                <w:color w:val="auto"/>
                <w:szCs w:val="21"/>
                <w:highlight w:val="none"/>
              </w:rPr>
              <w:t>序 号</w:t>
            </w:r>
          </w:p>
        </w:tc>
        <w:tc>
          <w:tcPr>
            <w:tcW w:w="2190" w:type="dxa"/>
            <w:noWrap w:val="0"/>
            <w:vAlign w:val="center"/>
          </w:tcPr>
          <w:p w14:paraId="5B999917">
            <w:pPr>
              <w:widowControl/>
              <w:jc w:val="center"/>
              <w:textAlignment w:val="baseline"/>
              <w:rPr>
                <w:rFonts w:ascii="宋体" w:hAnsi="宋体"/>
                <w:color w:val="auto"/>
                <w:szCs w:val="21"/>
                <w:highlight w:val="none"/>
              </w:rPr>
            </w:pPr>
            <w:r>
              <w:rPr>
                <w:rFonts w:ascii="宋体" w:hAnsi="宋体"/>
                <w:color w:val="auto"/>
                <w:szCs w:val="21"/>
                <w:highlight w:val="none"/>
              </w:rPr>
              <w:t>条款内容</w:t>
            </w:r>
          </w:p>
        </w:tc>
        <w:tc>
          <w:tcPr>
            <w:tcW w:w="2345" w:type="dxa"/>
            <w:noWrap w:val="0"/>
            <w:vAlign w:val="center"/>
          </w:tcPr>
          <w:p w14:paraId="75078AB2">
            <w:pPr>
              <w:widowControl/>
              <w:jc w:val="center"/>
              <w:textAlignment w:val="baseline"/>
              <w:rPr>
                <w:rFonts w:ascii="宋体" w:hAnsi="宋体"/>
                <w:color w:val="auto"/>
                <w:szCs w:val="21"/>
                <w:highlight w:val="none"/>
              </w:rPr>
            </w:pPr>
            <w:r>
              <w:rPr>
                <w:rFonts w:ascii="宋体" w:hAnsi="宋体"/>
                <w:color w:val="auto"/>
                <w:szCs w:val="21"/>
                <w:highlight w:val="none"/>
              </w:rPr>
              <w:t>合同条款号</w:t>
            </w:r>
          </w:p>
        </w:tc>
        <w:tc>
          <w:tcPr>
            <w:tcW w:w="2190" w:type="dxa"/>
            <w:noWrap w:val="0"/>
            <w:vAlign w:val="center"/>
          </w:tcPr>
          <w:p w14:paraId="491E8E89">
            <w:pPr>
              <w:widowControl/>
              <w:jc w:val="center"/>
              <w:textAlignment w:val="baseline"/>
              <w:rPr>
                <w:rFonts w:ascii="宋体" w:hAnsi="宋体"/>
                <w:color w:val="auto"/>
                <w:szCs w:val="21"/>
                <w:highlight w:val="none"/>
              </w:rPr>
            </w:pPr>
            <w:r>
              <w:rPr>
                <w:rFonts w:ascii="宋体" w:hAnsi="宋体"/>
                <w:color w:val="auto"/>
                <w:szCs w:val="21"/>
                <w:highlight w:val="none"/>
              </w:rPr>
              <w:t>约定内容</w:t>
            </w:r>
          </w:p>
        </w:tc>
        <w:tc>
          <w:tcPr>
            <w:tcW w:w="1436" w:type="dxa"/>
            <w:noWrap w:val="0"/>
            <w:vAlign w:val="center"/>
          </w:tcPr>
          <w:p w14:paraId="482624CC">
            <w:pPr>
              <w:widowControl/>
              <w:jc w:val="center"/>
              <w:textAlignment w:val="baseline"/>
              <w:rPr>
                <w:rFonts w:ascii="宋体" w:hAnsi="宋体"/>
                <w:color w:val="auto"/>
                <w:szCs w:val="21"/>
                <w:highlight w:val="none"/>
              </w:rPr>
            </w:pPr>
            <w:r>
              <w:rPr>
                <w:rFonts w:ascii="宋体" w:hAnsi="宋体"/>
                <w:color w:val="auto"/>
                <w:szCs w:val="21"/>
                <w:highlight w:val="none"/>
              </w:rPr>
              <w:t>备注</w:t>
            </w:r>
          </w:p>
        </w:tc>
      </w:tr>
      <w:tr w14:paraId="3CB0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E2387E5">
            <w:pPr>
              <w:widowControl/>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90" w:type="dxa"/>
            <w:noWrap w:val="0"/>
            <w:vAlign w:val="top"/>
          </w:tcPr>
          <w:p w14:paraId="6363A40D">
            <w:pPr>
              <w:pStyle w:val="53"/>
              <w:spacing w:before="177"/>
              <w:ind w:left="226" w:leftChars="0" w:right="215"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tc>
        <w:tc>
          <w:tcPr>
            <w:tcW w:w="2345" w:type="dxa"/>
            <w:noWrap w:val="0"/>
            <w:tcMar>
              <w:left w:w="170" w:type="dxa"/>
            </w:tcMar>
            <w:vAlign w:val="top"/>
          </w:tcPr>
          <w:p w14:paraId="6AFDDF6A">
            <w:pPr>
              <w:spacing w:before="177"/>
              <w:ind w:left="373" w:leftChars="0" w:right="358" w:rightChars="0"/>
              <w:jc w:val="center"/>
              <w:rPr>
                <w:rFonts w:hint="eastAsia" w:ascii="宋体" w:hAnsi="宋体" w:eastAsia="宋体" w:cs="宋体"/>
                <w:color w:val="auto"/>
                <w:sz w:val="21"/>
                <w:szCs w:val="21"/>
                <w:highlight w:val="none"/>
              </w:rPr>
            </w:pPr>
            <w:r>
              <w:rPr>
                <w:rFonts w:hint="eastAsia" w:ascii="宋体" w:hAnsi="宋体"/>
                <w:color w:val="auto"/>
                <w:szCs w:val="21"/>
                <w:highlight w:val="none"/>
              </w:rPr>
              <w:t>专用合同条款</w:t>
            </w:r>
          </w:p>
        </w:tc>
        <w:tc>
          <w:tcPr>
            <w:tcW w:w="2190" w:type="dxa"/>
            <w:noWrap w:val="0"/>
            <w:vAlign w:val="top"/>
          </w:tcPr>
          <w:p w14:paraId="1C6A67EF">
            <w:pPr>
              <w:pStyle w:val="53"/>
              <w:tabs>
                <w:tab w:val="left" w:pos="2069"/>
              </w:tabs>
              <w:spacing w:before="177"/>
              <w:ind w:right="-58"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tc>
        <w:tc>
          <w:tcPr>
            <w:tcW w:w="1436" w:type="dxa"/>
            <w:noWrap w:val="0"/>
            <w:vAlign w:val="center"/>
          </w:tcPr>
          <w:p w14:paraId="4B46AD4A">
            <w:pPr>
              <w:widowControl/>
              <w:jc w:val="center"/>
              <w:textAlignment w:val="baseline"/>
              <w:rPr>
                <w:rFonts w:ascii="宋体" w:hAnsi="宋体"/>
                <w:color w:val="auto"/>
                <w:szCs w:val="21"/>
                <w:highlight w:val="none"/>
              </w:rPr>
            </w:pPr>
          </w:p>
        </w:tc>
      </w:tr>
      <w:tr w14:paraId="0B1F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3A0F544">
            <w:pPr>
              <w:widowControl/>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190" w:type="dxa"/>
            <w:noWrap w:val="0"/>
            <w:vAlign w:val="top"/>
          </w:tcPr>
          <w:p w14:paraId="5ECD229F">
            <w:pPr>
              <w:pStyle w:val="53"/>
              <w:spacing w:before="175"/>
              <w:ind w:left="226" w:leftChars="0" w:right="213"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w:t>
            </w:r>
          </w:p>
        </w:tc>
        <w:tc>
          <w:tcPr>
            <w:tcW w:w="2345" w:type="dxa"/>
            <w:noWrap w:val="0"/>
            <w:tcMar>
              <w:left w:w="170" w:type="dxa"/>
            </w:tcMar>
            <w:vAlign w:val="top"/>
          </w:tcPr>
          <w:p w14:paraId="1C57676B">
            <w:pPr>
              <w:spacing w:before="175"/>
              <w:ind w:left="373" w:leftChars="0" w:right="358" w:rightChars="0"/>
              <w:jc w:val="center"/>
              <w:rPr>
                <w:rFonts w:hint="eastAsia" w:ascii="宋体" w:hAnsi="宋体" w:eastAsia="宋体" w:cs="宋体"/>
                <w:color w:val="auto"/>
                <w:sz w:val="21"/>
                <w:szCs w:val="21"/>
                <w:highlight w:val="none"/>
              </w:rPr>
            </w:pPr>
            <w:r>
              <w:rPr>
                <w:rFonts w:hint="eastAsia" w:ascii="宋体" w:hAnsi="宋体"/>
                <w:color w:val="auto"/>
                <w:szCs w:val="21"/>
                <w:highlight w:val="none"/>
              </w:rPr>
              <w:t>专用合同条款</w:t>
            </w:r>
          </w:p>
        </w:tc>
        <w:tc>
          <w:tcPr>
            <w:tcW w:w="2190" w:type="dxa"/>
            <w:noWrap w:val="0"/>
            <w:vAlign w:val="top"/>
          </w:tcPr>
          <w:p w14:paraId="00F81545">
            <w:pPr>
              <w:pStyle w:val="53"/>
              <w:tabs>
                <w:tab w:val="left" w:pos="1234"/>
              </w:tabs>
              <w:spacing w:before="175"/>
              <w:ind w:left="33"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天数：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日历天</w:t>
            </w:r>
          </w:p>
        </w:tc>
        <w:tc>
          <w:tcPr>
            <w:tcW w:w="1436" w:type="dxa"/>
            <w:noWrap w:val="0"/>
            <w:vAlign w:val="center"/>
          </w:tcPr>
          <w:p w14:paraId="7795E1DC">
            <w:pPr>
              <w:widowControl/>
              <w:jc w:val="center"/>
              <w:textAlignment w:val="baseline"/>
              <w:rPr>
                <w:rFonts w:ascii="宋体" w:hAnsi="宋体"/>
                <w:color w:val="auto"/>
                <w:szCs w:val="21"/>
                <w:highlight w:val="none"/>
              </w:rPr>
            </w:pPr>
          </w:p>
        </w:tc>
      </w:tr>
      <w:tr w14:paraId="37A4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5B529195">
            <w:pPr>
              <w:widowControl/>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90" w:type="dxa"/>
            <w:noWrap w:val="0"/>
            <w:vAlign w:val="top"/>
          </w:tcPr>
          <w:p w14:paraId="5E4AC30C">
            <w:pPr>
              <w:pStyle w:val="53"/>
              <w:spacing w:before="28"/>
              <w:ind w:left="226" w:right="21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w:t>
            </w:r>
          </w:p>
          <w:p w14:paraId="0B751920">
            <w:pPr>
              <w:pStyle w:val="53"/>
              <w:spacing w:before="5"/>
              <w:ind w:left="226" w:leftChars="0" w:right="215"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（工程质量保修期）</w:t>
            </w:r>
          </w:p>
        </w:tc>
        <w:tc>
          <w:tcPr>
            <w:tcW w:w="2345" w:type="dxa"/>
            <w:noWrap w:val="0"/>
            <w:tcMar>
              <w:left w:w="170" w:type="dxa"/>
            </w:tcMar>
            <w:vAlign w:val="top"/>
          </w:tcPr>
          <w:p w14:paraId="150036D4">
            <w:pPr>
              <w:spacing w:before="175"/>
              <w:ind w:left="373" w:leftChars="0" w:right="358" w:rightChars="0"/>
              <w:jc w:val="center"/>
              <w:rPr>
                <w:rFonts w:hint="eastAsia" w:ascii="宋体" w:hAnsi="宋体" w:eastAsia="宋体" w:cs="宋体"/>
                <w:color w:val="auto"/>
                <w:sz w:val="21"/>
                <w:szCs w:val="21"/>
                <w:highlight w:val="none"/>
              </w:rPr>
            </w:pPr>
            <w:r>
              <w:rPr>
                <w:rFonts w:hint="eastAsia" w:ascii="宋体" w:hAnsi="宋体"/>
                <w:color w:val="auto"/>
                <w:szCs w:val="21"/>
                <w:highlight w:val="none"/>
              </w:rPr>
              <w:t>专用合同条款</w:t>
            </w:r>
          </w:p>
        </w:tc>
        <w:tc>
          <w:tcPr>
            <w:tcW w:w="2190" w:type="dxa"/>
            <w:noWrap w:val="0"/>
            <w:vAlign w:val="top"/>
          </w:tcPr>
          <w:p w14:paraId="4E6996F5">
            <w:pPr>
              <w:pStyle w:val="53"/>
              <w:rPr>
                <w:rFonts w:hint="eastAsia" w:ascii="宋体" w:hAnsi="宋体" w:eastAsia="宋体" w:cs="宋体"/>
                <w:color w:val="auto"/>
                <w:sz w:val="21"/>
                <w:szCs w:val="21"/>
                <w:highlight w:val="none"/>
              </w:rPr>
            </w:pPr>
          </w:p>
        </w:tc>
        <w:tc>
          <w:tcPr>
            <w:tcW w:w="1436" w:type="dxa"/>
            <w:noWrap w:val="0"/>
            <w:vAlign w:val="center"/>
          </w:tcPr>
          <w:p w14:paraId="2FC1970C">
            <w:pPr>
              <w:widowControl/>
              <w:jc w:val="center"/>
              <w:textAlignment w:val="baseline"/>
              <w:rPr>
                <w:rFonts w:ascii="宋体" w:hAnsi="宋体"/>
                <w:color w:val="auto"/>
                <w:szCs w:val="21"/>
                <w:highlight w:val="none"/>
              </w:rPr>
            </w:pPr>
          </w:p>
        </w:tc>
      </w:tr>
      <w:tr w14:paraId="3917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1AD1DBA5">
            <w:pPr>
              <w:widowControl/>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190" w:type="dxa"/>
            <w:noWrap w:val="0"/>
            <w:vAlign w:val="top"/>
          </w:tcPr>
          <w:p w14:paraId="5BE1B7A5">
            <w:pPr>
              <w:pStyle w:val="53"/>
              <w:spacing w:before="175"/>
              <w:ind w:left="226" w:leftChars="0" w:right="213"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2345" w:type="dxa"/>
            <w:noWrap w:val="0"/>
            <w:tcMar>
              <w:left w:w="170" w:type="dxa"/>
            </w:tcMar>
            <w:vAlign w:val="top"/>
          </w:tcPr>
          <w:p w14:paraId="6206BDB0">
            <w:pPr>
              <w:spacing w:before="175"/>
              <w:ind w:left="373" w:leftChars="0" w:right="358" w:rightChars="0"/>
              <w:jc w:val="center"/>
              <w:rPr>
                <w:rFonts w:hint="eastAsia" w:ascii="宋体" w:hAnsi="宋体" w:eastAsia="宋体" w:cs="宋体"/>
                <w:color w:val="auto"/>
                <w:sz w:val="21"/>
                <w:szCs w:val="21"/>
                <w:highlight w:val="none"/>
              </w:rPr>
            </w:pPr>
            <w:r>
              <w:rPr>
                <w:rFonts w:hint="eastAsia" w:ascii="宋体" w:hAnsi="宋体"/>
                <w:color w:val="auto"/>
                <w:szCs w:val="21"/>
                <w:highlight w:val="none"/>
              </w:rPr>
              <w:t>专用合同条款</w:t>
            </w:r>
          </w:p>
        </w:tc>
        <w:tc>
          <w:tcPr>
            <w:tcW w:w="2190" w:type="dxa"/>
            <w:noWrap w:val="0"/>
            <w:vAlign w:val="top"/>
          </w:tcPr>
          <w:p w14:paraId="3A2338A8">
            <w:pPr>
              <w:pStyle w:val="53"/>
              <w:rPr>
                <w:rFonts w:hint="eastAsia" w:ascii="宋体" w:hAnsi="宋体" w:eastAsia="宋体" w:cs="宋体"/>
                <w:color w:val="auto"/>
                <w:sz w:val="21"/>
                <w:szCs w:val="21"/>
                <w:highlight w:val="none"/>
              </w:rPr>
            </w:pPr>
          </w:p>
        </w:tc>
        <w:tc>
          <w:tcPr>
            <w:tcW w:w="1436" w:type="dxa"/>
            <w:noWrap w:val="0"/>
            <w:vAlign w:val="center"/>
          </w:tcPr>
          <w:p w14:paraId="28654BF9">
            <w:pPr>
              <w:widowControl/>
              <w:jc w:val="center"/>
              <w:textAlignment w:val="baseline"/>
              <w:rPr>
                <w:rFonts w:ascii="宋体" w:hAnsi="宋体"/>
                <w:color w:val="auto"/>
                <w:szCs w:val="21"/>
                <w:highlight w:val="none"/>
              </w:rPr>
            </w:pPr>
          </w:p>
        </w:tc>
      </w:tr>
      <w:tr w14:paraId="181F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2FED1563">
            <w:pPr>
              <w:widowControl/>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190" w:type="dxa"/>
            <w:noWrap w:val="0"/>
            <w:vAlign w:val="top"/>
          </w:tcPr>
          <w:p w14:paraId="4A15E15E">
            <w:pPr>
              <w:pStyle w:val="53"/>
              <w:spacing w:before="177"/>
              <w:ind w:left="226" w:leftChars="0" w:right="215"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价格调整的差额计算</w:t>
            </w:r>
          </w:p>
        </w:tc>
        <w:tc>
          <w:tcPr>
            <w:tcW w:w="2345" w:type="dxa"/>
            <w:noWrap w:val="0"/>
            <w:tcMar>
              <w:left w:w="170" w:type="dxa"/>
            </w:tcMar>
            <w:vAlign w:val="top"/>
          </w:tcPr>
          <w:p w14:paraId="4E6515D9">
            <w:pPr>
              <w:spacing w:before="177"/>
              <w:ind w:left="373" w:leftChars="0" w:right="358" w:rightChars="0"/>
              <w:jc w:val="center"/>
              <w:rPr>
                <w:rFonts w:hint="eastAsia" w:ascii="宋体" w:hAnsi="宋体" w:eastAsia="宋体" w:cs="宋体"/>
                <w:color w:val="auto"/>
                <w:sz w:val="21"/>
                <w:szCs w:val="21"/>
                <w:highlight w:val="none"/>
              </w:rPr>
            </w:pPr>
            <w:r>
              <w:rPr>
                <w:rFonts w:hint="eastAsia" w:ascii="宋体" w:hAnsi="宋体"/>
                <w:color w:val="auto"/>
                <w:szCs w:val="21"/>
                <w:highlight w:val="none"/>
              </w:rPr>
              <w:t>专用合同条款</w:t>
            </w:r>
          </w:p>
        </w:tc>
        <w:tc>
          <w:tcPr>
            <w:tcW w:w="2190" w:type="dxa"/>
            <w:noWrap w:val="0"/>
            <w:vAlign w:val="top"/>
          </w:tcPr>
          <w:p w14:paraId="7A4B2133">
            <w:pPr>
              <w:pStyle w:val="53"/>
              <w:spacing w:before="177"/>
              <w:ind w:left="57"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见价格指数权重表</w:t>
            </w:r>
          </w:p>
        </w:tc>
        <w:tc>
          <w:tcPr>
            <w:tcW w:w="1436" w:type="dxa"/>
            <w:noWrap w:val="0"/>
            <w:vAlign w:val="center"/>
          </w:tcPr>
          <w:p w14:paraId="2F9CE1E0">
            <w:pPr>
              <w:widowControl/>
              <w:jc w:val="center"/>
              <w:textAlignment w:val="baseline"/>
              <w:rPr>
                <w:rFonts w:ascii="宋体" w:hAnsi="宋体"/>
                <w:color w:val="auto"/>
                <w:szCs w:val="21"/>
                <w:highlight w:val="none"/>
              </w:rPr>
            </w:pPr>
          </w:p>
        </w:tc>
      </w:tr>
      <w:tr w14:paraId="0BF8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10F5A018">
            <w:pPr>
              <w:widowControl/>
              <w:jc w:val="center"/>
              <w:textAlignment w:val="baseline"/>
              <w:rPr>
                <w:rFonts w:ascii="宋体" w:hAnsi="宋体"/>
                <w:color w:val="auto"/>
                <w:szCs w:val="21"/>
                <w:highlight w:val="none"/>
              </w:rPr>
            </w:pPr>
            <w:r>
              <w:rPr>
                <w:rFonts w:ascii="宋体" w:hAnsi="宋体"/>
                <w:color w:val="auto"/>
                <w:szCs w:val="21"/>
                <w:highlight w:val="none"/>
              </w:rPr>
              <w:t>……</w:t>
            </w:r>
          </w:p>
        </w:tc>
        <w:tc>
          <w:tcPr>
            <w:tcW w:w="2190" w:type="dxa"/>
            <w:noWrap w:val="0"/>
            <w:vAlign w:val="center"/>
          </w:tcPr>
          <w:p w14:paraId="58D32931">
            <w:pPr>
              <w:widowControl/>
              <w:jc w:val="center"/>
              <w:textAlignment w:val="baseline"/>
              <w:rPr>
                <w:rFonts w:ascii="宋体" w:hAnsi="宋体"/>
                <w:color w:val="auto"/>
                <w:szCs w:val="21"/>
                <w:highlight w:val="none"/>
              </w:rPr>
            </w:pPr>
            <w:r>
              <w:rPr>
                <w:rFonts w:ascii="宋体" w:hAnsi="宋体"/>
                <w:color w:val="auto"/>
                <w:szCs w:val="21"/>
                <w:highlight w:val="none"/>
              </w:rPr>
              <w:t>……</w:t>
            </w:r>
          </w:p>
        </w:tc>
        <w:tc>
          <w:tcPr>
            <w:tcW w:w="2345" w:type="dxa"/>
            <w:noWrap w:val="0"/>
            <w:tcMar>
              <w:left w:w="170" w:type="dxa"/>
            </w:tcMar>
            <w:vAlign w:val="center"/>
          </w:tcPr>
          <w:p w14:paraId="30498C90">
            <w:pPr>
              <w:widowControl/>
              <w:textAlignment w:val="baseline"/>
              <w:rPr>
                <w:rFonts w:ascii="宋体" w:hAnsi="宋体"/>
                <w:color w:val="auto"/>
                <w:szCs w:val="21"/>
                <w:highlight w:val="none"/>
              </w:rPr>
            </w:pPr>
          </w:p>
        </w:tc>
        <w:tc>
          <w:tcPr>
            <w:tcW w:w="2190" w:type="dxa"/>
            <w:noWrap w:val="0"/>
            <w:vAlign w:val="center"/>
          </w:tcPr>
          <w:p w14:paraId="317A7F1F">
            <w:pPr>
              <w:widowControl/>
              <w:jc w:val="center"/>
              <w:textAlignment w:val="baseline"/>
              <w:rPr>
                <w:rFonts w:ascii="宋体" w:hAnsi="宋体"/>
                <w:color w:val="auto"/>
                <w:szCs w:val="21"/>
                <w:highlight w:val="none"/>
              </w:rPr>
            </w:pPr>
          </w:p>
        </w:tc>
        <w:tc>
          <w:tcPr>
            <w:tcW w:w="1436" w:type="dxa"/>
            <w:noWrap w:val="0"/>
            <w:vAlign w:val="center"/>
          </w:tcPr>
          <w:p w14:paraId="4F3156C8">
            <w:pPr>
              <w:widowControl/>
              <w:jc w:val="center"/>
              <w:textAlignment w:val="baseline"/>
              <w:rPr>
                <w:rFonts w:ascii="宋体" w:hAnsi="宋体"/>
                <w:color w:val="auto"/>
                <w:szCs w:val="21"/>
                <w:highlight w:val="none"/>
              </w:rPr>
            </w:pPr>
          </w:p>
        </w:tc>
      </w:tr>
      <w:tr w14:paraId="1DF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254" w:type="dxa"/>
            <w:gridSpan w:val="5"/>
            <w:noWrap w:val="0"/>
            <w:vAlign w:val="center"/>
          </w:tcPr>
          <w:p w14:paraId="3941F991">
            <w:pPr>
              <w:widowControl/>
              <w:textAlignment w:val="baseline"/>
              <w:rPr>
                <w:rFonts w:ascii="宋体" w:hAnsi="宋体"/>
                <w:color w:val="auto"/>
                <w:szCs w:val="21"/>
                <w:highlight w:val="none"/>
              </w:rPr>
            </w:pPr>
            <w:r>
              <w:rPr>
                <w:rFonts w:ascii="宋体" w:hAnsi="宋体"/>
                <w:color w:val="auto"/>
                <w:szCs w:val="21"/>
                <w:highlight w:val="none"/>
              </w:rPr>
              <w:t>备注：</w:t>
            </w:r>
            <w:r>
              <w:rPr>
                <w:rFonts w:hint="eastAsia" w:ascii="宋体" w:hAnsi="宋体"/>
                <w:color w:val="auto"/>
                <w:szCs w:val="21"/>
                <w:highlight w:val="none"/>
              </w:rPr>
              <w:t>供应商</w:t>
            </w:r>
            <w:r>
              <w:rPr>
                <w:rFonts w:ascii="宋体" w:hAnsi="宋体"/>
                <w:color w:val="auto"/>
                <w:szCs w:val="21"/>
                <w:highlight w:val="none"/>
              </w:rPr>
              <w:t>在响应</w:t>
            </w:r>
            <w:r>
              <w:rPr>
                <w:rFonts w:hint="eastAsia" w:ascii="宋体" w:hAnsi="宋体"/>
                <w:color w:val="auto"/>
                <w:szCs w:val="21"/>
                <w:highlight w:val="none"/>
                <w:lang w:eastAsia="zh-CN"/>
              </w:rPr>
              <w:t>竞争性磋商</w:t>
            </w:r>
            <w:r>
              <w:rPr>
                <w:rFonts w:ascii="宋体" w:hAnsi="宋体"/>
                <w:color w:val="auto"/>
                <w:szCs w:val="21"/>
                <w:highlight w:val="none"/>
              </w:rPr>
              <w:t>文件中规定的实质性要求和条件的基础上，可做出其他有利于</w:t>
            </w:r>
            <w:r>
              <w:rPr>
                <w:rFonts w:hint="eastAsia" w:ascii="宋体" w:hAnsi="宋体"/>
                <w:color w:val="auto"/>
                <w:szCs w:val="21"/>
                <w:highlight w:val="none"/>
                <w:lang w:eastAsia="zh-CN"/>
              </w:rPr>
              <w:t>采购</w:t>
            </w:r>
            <w:r>
              <w:rPr>
                <w:rFonts w:ascii="宋体" w:hAnsi="宋体"/>
                <w:color w:val="auto"/>
                <w:szCs w:val="21"/>
                <w:highlight w:val="none"/>
              </w:rPr>
              <w:t>人的承诺。此类承诺可在本表中予以补充填写。</w:t>
            </w:r>
          </w:p>
        </w:tc>
      </w:tr>
    </w:tbl>
    <w:p w14:paraId="4DA390F3">
      <w:pPr>
        <w:widowControl/>
        <w:snapToGrid w:val="0"/>
        <w:spacing w:line="400" w:lineRule="atLeast"/>
        <w:ind w:firstLine="2520" w:firstLineChars="1200"/>
        <w:textAlignment w:val="baseline"/>
        <w:outlineLvl w:val="4"/>
        <w:rPr>
          <w:rFonts w:ascii="宋体" w:hAnsi="宋体"/>
          <w:color w:val="auto"/>
          <w:szCs w:val="21"/>
          <w:highlight w:val="none"/>
        </w:rPr>
      </w:pPr>
    </w:p>
    <w:p w14:paraId="70AFB7A2">
      <w:pPr>
        <w:spacing w:line="340" w:lineRule="exact"/>
        <w:ind w:firstLine="420" w:firstLineChars="200"/>
        <w:rPr>
          <w:rFonts w:hint="eastAsia" w:ascii="宋体" w:hAnsi="宋体"/>
          <w:bCs/>
          <w:color w:val="auto"/>
          <w:sz w:val="21"/>
          <w:szCs w:val="21"/>
          <w:highlight w:val="none"/>
        </w:rPr>
      </w:pPr>
    </w:p>
    <w:p w14:paraId="706F6515">
      <w:pPr>
        <w:spacing w:line="340" w:lineRule="exact"/>
        <w:ind w:firstLine="420" w:firstLineChars="200"/>
        <w:rPr>
          <w:rFonts w:hint="eastAsia" w:ascii="宋体" w:hAnsi="宋体"/>
          <w:color w:val="auto"/>
          <w:sz w:val="21"/>
          <w:szCs w:val="21"/>
          <w:highlight w:val="none"/>
        </w:rPr>
      </w:pPr>
      <w:r>
        <w:rPr>
          <w:rFonts w:hint="eastAsia" w:ascii="宋体" w:hAnsi="宋体"/>
          <w:bCs/>
          <w:color w:val="auto"/>
          <w:sz w:val="21"/>
          <w:szCs w:val="21"/>
          <w:highlight w:val="none"/>
        </w:rPr>
        <w:t>供应商[公章(CA签章)]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2472B0B2">
      <w:pPr>
        <w:spacing w:line="34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法定代表人或相应的委托代理人签字[或盖章(CA签章)]：</w:t>
      </w:r>
      <w:r>
        <w:rPr>
          <w:rFonts w:hint="eastAsia" w:ascii="宋体" w:hAnsi="宋体"/>
          <w:color w:val="auto"/>
          <w:sz w:val="21"/>
          <w:szCs w:val="21"/>
          <w:highlight w:val="none"/>
          <w:u w:val="single"/>
        </w:rPr>
        <w:t xml:space="preserve">         </w:t>
      </w:r>
    </w:p>
    <w:p w14:paraId="10A7F229">
      <w:pPr>
        <w:spacing w:line="400" w:lineRule="exact"/>
        <w:ind w:firstLine="420" w:firstLineChars="200"/>
        <w:rPr>
          <w:rFonts w:hint="eastAsia" w:ascii="宋体" w:hAnsi="宋体" w:cs="宋体"/>
          <w:bCs/>
          <w:color w:val="auto"/>
          <w:sz w:val="21"/>
          <w:szCs w:val="21"/>
          <w:highlight w:val="none"/>
        </w:rPr>
      </w:pPr>
      <w:r>
        <w:rPr>
          <w:rFonts w:hint="eastAsia" w:ascii="宋体" w:hAnsi="Courier New"/>
          <w:bCs/>
          <w:color w:val="auto"/>
          <w:sz w:val="21"/>
          <w:szCs w:val="21"/>
          <w:highlight w:val="none"/>
        </w:rPr>
        <w:t>响应</w:t>
      </w:r>
      <w:r>
        <w:rPr>
          <w:rFonts w:hint="eastAsia" w:ascii="宋体" w:hAnsi="Courier New"/>
          <w:color w:val="auto"/>
          <w:sz w:val="21"/>
          <w:szCs w:val="21"/>
          <w:highlight w:val="none"/>
        </w:rPr>
        <w:t>日期：</w:t>
      </w:r>
      <w:r>
        <w:rPr>
          <w:rFonts w:hint="eastAsia" w:ascii="宋体" w:hAnsi="Courier New"/>
          <w:color w:val="auto"/>
          <w:sz w:val="21"/>
          <w:szCs w:val="21"/>
          <w:highlight w:val="none"/>
          <w:u w:val="single"/>
        </w:rPr>
        <w:t xml:space="preserve">                       </w:t>
      </w:r>
    </w:p>
    <w:p w14:paraId="16233D37">
      <w:pPr>
        <w:rPr>
          <w:rFonts w:hint="eastAsia" w:ascii="宋体" w:hAnsi="宋体" w:eastAsia="宋体" w:cs="宋体"/>
          <w:color w:val="auto"/>
          <w:sz w:val="21"/>
          <w:szCs w:val="21"/>
          <w:highlight w:val="none"/>
          <w:lang w:val="en-US" w:eastAsia="zh-CN"/>
        </w:rPr>
      </w:pPr>
    </w:p>
    <w:p w14:paraId="6E304448">
      <w:pPr>
        <w:rPr>
          <w:rFonts w:hint="eastAsia" w:ascii="宋体" w:hAnsi="宋体" w:eastAsia="宋体" w:cs="宋体"/>
          <w:color w:val="auto"/>
          <w:sz w:val="21"/>
          <w:szCs w:val="21"/>
          <w:highlight w:val="none"/>
          <w:lang w:val="en-US" w:eastAsia="zh-CN"/>
        </w:rPr>
      </w:pPr>
    </w:p>
    <w:p w14:paraId="633A73F3">
      <w:pPr>
        <w:rPr>
          <w:rFonts w:hint="eastAsia" w:ascii="宋体" w:hAnsi="宋体" w:eastAsia="宋体" w:cs="宋体"/>
          <w:color w:val="auto"/>
          <w:sz w:val="21"/>
          <w:szCs w:val="21"/>
          <w:highlight w:val="none"/>
          <w:lang w:val="en-US" w:eastAsia="zh-CN"/>
        </w:rPr>
      </w:pPr>
    </w:p>
    <w:p w14:paraId="77CE8AFA">
      <w:pPr>
        <w:rPr>
          <w:rFonts w:hint="eastAsia" w:ascii="宋体" w:hAnsi="宋体" w:eastAsia="宋体" w:cs="宋体"/>
          <w:color w:val="auto"/>
          <w:sz w:val="21"/>
          <w:szCs w:val="21"/>
          <w:highlight w:val="none"/>
          <w:lang w:val="en-US" w:eastAsia="zh-CN"/>
        </w:rPr>
      </w:pPr>
    </w:p>
    <w:p w14:paraId="00B44428">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2741AB4E">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5389980A">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7F61567E">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7763D223">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6D42CEB5">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62C96D50">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7FDB7E6E">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54C1E151">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60B92CFC">
      <w:pPr>
        <w:pStyle w:val="8"/>
        <w:rPr>
          <w:rFonts w:hint="eastAsia" w:ascii="宋体" w:hAnsi="宋体" w:eastAsia="宋体" w:cs="宋体"/>
          <w:b/>
          <w:color w:val="auto"/>
          <w:sz w:val="24"/>
          <w:szCs w:val="24"/>
          <w:highlight w:val="none"/>
          <w:lang w:val="en-US" w:eastAsia="zh-CN"/>
        </w:rPr>
      </w:pPr>
    </w:p>
    <w:p w14:paraId="143390C0">
      <w:pPr>
        <w:rPr>
          <w:rFonts w:hint="eastAsia" w:ascii="宋体" w:hAnsi="宋体" w:eastAsia="宋体" w:cs="宋体"/>
          <w:b/>
          <w:color w:val="auto"/>
          <w:sz w:val="24"/>
          <w:szCs w:val="24"/>
          <w:highlight w:val="none"/>
          <w:lang w:val="en-US" w:eastAsia="zh-CN"/>
        </w:rPr>
      </w:pPr>
    </w:p>
    <w:p w14:paraId="1C0C71D8">
      <w:pPr>
        <w:rPr>
          <w:rFonts w:hint="eastAsia" w:ascii="宋体" w:hAnsi="宋体" w:eastAsia="宋体" w:cs="宋体"/>
          <w:b/>
          <w:color w:val="auto"/>
          <w:sz w:val="24"/>
          <w:szCs w:val="24"/>
          <w:highlight w:val="none"/>
          <w:lang w:val="en-US" w:eastAsia="zh-CN"/>
        </w:rPr>
      </w:pPr>
    </w:p>
    <w:p w14:paraId="7378CD9C">
      <w:pPr>
        <w:rPr>
          <w:rFonts w:hint="eastAsia" w:ascii="宋体" w:hAnsi="宋体" w:eastAsia="宋体" w:cs="宋体"/>
          <w:b/>
          <w:color w:val="auto"/>
          <w:sz w:val="24"/>
          <w:szCs w:val="24"/>
          <w:highlight w:val="none"/>
          <w:lang w:val="en-US" w:eastAsia="zh-CN"/>
        </w:rPr>
      </w:pPr>
    </w:p>
    <w:p w14:paraId="14DB15FA">
      <w:pPr>
        <w:pStyle w:val="14"/>
        <w:numPr>
          <w:ilvl w:val="0"/>
          <w:numId w:val="0"/>
        </w:numPr>
        <w:spacing w:line="340" w:lineRule="exact"/>
        <w:rPr>
          <w:rFonts w:hint="eastAsia" w:ascii="宋体" w:hAnsi="宋体" w:eastAsia="宋体" w:cs="宋体"/>
          <w:b/>
          <w:color w:val="auto"/>
          <w:sz w:val="24"/>
          <w:szCs w:val="24"/>
          <w:highlight w:val="none"/>
          <w:lang w:val="en-US" w:eastAsia="zh-CN"/>
        </w:rPr>
      </w:pPr>
    </w:p>
    <w:p w14:paraId="05EA13AD">
      <w:pPr>
        <w:pStyle w:val="14"/>
        <w:numPr>
          <w:ilvl w:val="0"/>
          <w:numId w:val="0"/>
        </w:numPr>
        <w:spacing w:line="3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2.已标价工程量清单（必须提供）</w:t>
      </w:r>
      <w:r>
        <w:rPr>
          <w:rFonts w:hint="eastAsia" w:ascii="宋体" w:hAnsi="宋体" w:eastAsia="宋体" w:cs="宋体"/>
          <w:b/>
          <w:color w:val="auto"/>
          <w:sz w:val="24"/>
          <w:szCs w:val="24"/>
          <w:highlight w:val="none"/>
        </w:rPr>
        <w:t>；</w:t>
      </w:r>
    </w:p>
    <w:p w14:paraId="78314EB3">
      <w:pPr>
        <w:pStyle w:val="14"/>
        <w:spacing w:line="320" w:lineRule="exact"/>
        <w:jc w:val="left"/>
        <w:rPr>
          <w:rFonts w:hint="eastAsia" w:ascii="宋体" w:hAnsi="宋体" w:eastAsia="宋体" w:cs="宋体"/>
          <w:b/>
          <w:color w:val="auto"/>
          <w:sz w:val="21"/>
          <w:szCs w:val="21"/>
          <w:highlight w:val="none"/>
        </w:rPr>
      </w:pPr>
    </w:p>
    <w:p w14:paraId="3AB9660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应按照第</w:t>
      </w: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章“工程量清单”的要求逐项填报工程量清单，包括工程量清单说明、</w:t>
      </w:r>
      <w:r>
        <w:rPr>
          <w:rFonts w:hint="eastAsia" w:ascii="宋体" w:hAnsi="宋体" w:eastAsia="宋体" w:cs="宋体"/>
          <w:color w:val="auto"/>
          <w:sz w:val="21"/>
          <w:szCs w:val="21"/>
          <w:highlight w:val="none"/>
          <w:lang w:eastAsia="zh-CN"/>
        </w:rPr>
        <w:t>磋商报价</w:t>
      </w:r>
      <w:r>
        <w:rPr>
          <w:rFonts w:hint="eastAsia" w:ascii="宋体" w:hAnsi="宋体" w:eastAsia="宋体" w:cs="宋体"/>
          <w:color w:val="auto"/>
          <w:sz w:val="21"/>
          <w:szCs w:val="21"/>
          <w:highlight w:val="none"/>
        </w:rPr>
        <w:t>说明及工程量清单各项表格</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提供的工程量清单）。</w:t>
      </w:r>
    </w:p>
    <w:p w14:paraId="64854308">
      <w:pPr>
        <w:tabs>
          <w:tab w:val="left" w:pos="1305"/>
        </w:tabs>
        <w:spacing w:line="340" w:lineRule="exact"/>
        <w:rPr>
          <w:rFonts w:hint="eastAsia" w:ascii="宋体" w:hAnsi="宋体" w:eastAsia="宋体" w:cs="宋体"/>
          <w:bCs/>
          <w:color w:val="auto"/>
          <w:sz w:val="21"/>
          <w:szCs w:val="21"/>
          <w:highlight w:val="none"/>
        </w:rPr>
      </w:pPr>
    </w:p>
    <w:p w14:paraId="0EAC4878">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79227F8C">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18AB6D2A">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7FC8CE62">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0560C9E3">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41F5A253">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6A0AA3E3">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48F11B1B">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3F6D06BC">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2B447503">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55CFC5A7">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774FA779">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5D4F101A">
      <w:pPr>
        <w:pStyle w:val="14"/>
        <w:numPr>
          <w:ilvl w:val="0"/>
          <w:numId w:val="0"/>
        </w:numPr>
        <w:spacing w:line="340" w:lineRule="exact"/>
        <w:rPr>
          <w:rFonts w:hint="eastAsia" w:ascii="宋体" w:hAnsi="宋体" w:eastAsia="宋体" w:cs="宋体"/>
          <w:b/>
          <w:color w:val="auto"/>
          <w:sz w:val="21"/>
          <w:szCs w:val="21"/>
          <w:highlight w:val="none"/>
          <w:lang w:val="en-US" w:eastAsia="zh-CN"/>
        </w:rPr>
      </w:pPr>
    </w:p>
    <w:p w14:paraId="49B80EA7">
      <w:pPr>
        <w:pStyle w:val="5"/>
        <w:rPr>
          <w:rFonts w:hint="eastAsia" w:ascii="宋体" w:hAnsi="宋体" w:eastAsia="宋体" w:cs="宋体"/>
          <w:b/>
          <w:color w:val="auto"/>
          <w:sz w:val="21"/>
          <w:szCs w:val="21"/>
          <w:highlight w:val="none"/>
          <w:lang w:val="en-US" w:eastAsia="zh-CN"/>
        </w:rPr>
      </w:pPr>
    </w:p>
    <w:p w14:paraId="1E8942E9">
      <w:pPr>
        <w:rPr>
          <w:rFonts w:hint="eastAsia" w:ascii="宋体" w:hAnsi="宋体" w:eastAsia="宋体" w:cs="宋体"/>
          <w:b/>
          <w:color w:val="auto"/>
          <w:sz w:val="21"/>
          <w:szCs w:val="21"/>
          <w:highlight w:val="none"/>
          <w:lang w:val="en-US" w:eastAsia="zh-CN"/>
        </w:rPr>
      </w:pPr>
    </w:p>
    <w:p w14:paraId="43D46EC4">
      <w:pPr>
        <w:rPr>
          <w:rFonts w:hint="eastAsia" w:ascii="宋体" w:hAnsi="宋体" w:eastAsia="宋体" w:cs="宋体"/>
          <w:color w:val="auto"/>
          <w:sz w:val="21"/>
          <w:szCs w:val="21"/>
          <w:highlight w:val="none"/>
        </w:rPr>
      </w:pPr>
    </w:p>
    <w:p w14:paraId="60945287">
      <w:pPr>
        <w:pStyle w:val="26"/>
        <w:rPr>
          <w:rFonts w:hint="eastAsia" w:ascii="宋体" w:hAnsi="宋体" w:eastAsia="宋体" w:cs="宋体"/>
          <w:color w:val="auto"/>
          <w:sz w:val="21"/>
          <w:szCs w:val="21"/>
          <w:highlight w:val="none"/>
        </w:rPr>
      </w:pPr>
    </w:p>
    <w:p w14:paraId="21A6F928">
      <w:pPr>
        <w:pStyle w:val="26"/>
        <w:rPr>
          <w:rFonts w:hint="eastAsia" w:ascii="宋体" w:hAnsi="宋体" w:eastAsia="宋体" w:cs="宋体"/>
          <w:color w:val="auto"/>
          <w:sz w:val="21"/>
          <w:szCs w:val="21"/>
          <w:highlight w:val="none"/>
        </w:rPr>
      </w:pPr>
    </w:p>
    <w:p w14:paraId="34C4F771">
      <w:pPr>
        <w:pStyle w:val="26"/>
        <w:rPr>
          <w:rFonts w:hint="eastAsia" w:ascii="宋体" w:hAnsi="宋体" w:eastAsia="宋体" w:cs="宋体"/>
          <w:color w:val="auto"/>
          <w:sz w:val="21"/>
          <w:szCs w:val="21"/>
          <w:highlight w:val="none"/>
        </w:rPr>
      </w:pPr>
    </w:p>
    <w:p w14:paraId="58D5A4E2">
      <w:pPr>
        <w:pStyle w:val="26"/>
        <w:rPr>
          <w:rFonts w:hint="eastAsia" w:ascii="宋体" w:hAnsi="宋体" w:eastAsia="宋体" w:cs="宋体"/>
          <w:color w:val="auto"/>
          <w:sz w:val="21"/>
          <w:szCs w:val="21"/>
          <w:highlight w:val="none"/>
        </w:rPr>
      </w:pPr>
    </w:p>
    <w:p w14:paraId="0B83F26E">
      <w:pPr>
        <w:pStyle w:val="26"/>
        <w:rPr>
          <w:rFonts w:hint="eastAsia" w:ascii="宋体" w:hAnsi="宋体" w:eastAsia="宋体" w:cs="宋体"/>
          <w:color w:val="auto"/>
          <w:sz w:val="21"/>
          <w:szCs w:val="21"/>
          <w:highlight w:val="none"/>
        </w:rPr>
      </w:pPr>
    </w:p>
    <w:p w14:paraId="4CB53BE8">
      <w:pPr>
        <w:pStyle w:val="26"/>
        <w:rPr>
          <w:rFonts w:hint="eastAsia" w:ascii="宋体" w:hAnsi="宋体" w:eastAsia="宋体" w:cs="宋体"/>
          <w:color w:val="auto"/>
          <w:sz w:val="21"/>
          <w:szCs w:val="21"/>
          <w:highlight w:val="none"/>
        </w:rPr>
      </w:pPr>
    </w:p>
    <w:p w14:paraId="3EB233A7">
      <w:pPr>
        <w:pStyle w:val="26"/>
        <w:rPr>
          <w:rFonts w:hint="eastAsia" w:ascii="宋体" w:hAnsi="宋体" w:eastAsia="宋体" w:cs="宋体"/>
          <w:color w:val="auto"/>
          <w:sz w:val="21"/>
          <w:szCs w:val="21"/>
          <w:highlight w:val="none"/>
        </w:rPr>
      </w:pPr>
    </w:p>
    <w:p w14:paraId="0DD9251C">
      <w:pPr>
        <w:pStyle w:val="11"/>
        <w:rPr>
          <w:rFonts w:hint="eastAsia" w:ascii="宋体" w:hAnsi="宋体" w:eastAsia="宋体" w:cs="宋体"/>
          <w:color w:val="auto"/>
          <w:sz w:val="21"/>
          <w:szCs w:val="21"/>
          <w:highlight w:val="none"/>
        </w:rPr>
      </w:pPr>
    </w:p>
    <w:p w14:paraId="1CECA17E">
      <w:pPr>
        <w:rPr>
          <w:rFonts w:hint="eastAsia" w:ascii="宋体" w:hAnsi="宋体" w:eastAsia="宋体" w:cs="宋体"/>
          <w:color w:val="auto"/>
          <w:sz w:val="21"/>
          <w:szCs w:val="21"/>
          <w:highlight w:val="none"/>
        </w:rPr>
      </w:pPr>
    </w:p>
    <w:p w14:paraId="14CB5FBB">
      <w:pPr>
        <w:rPr>
          <w:rFonts w:hint="eastAsia" w:ascii="宋体" w:hAnsi="宋体" w:eastAsia="宋体" w:cs="宋体"/>
          <w:color w:val="auto"/>
          <w:sz w:val="21"/>
          <w:szCs w:val="21"/>
          <w:highlight w:val="none"/>
        </w:rPr>
      </w:pPr>
    </w:p>
    <w:p w14:paraId="41EA2791">
      <w:pPr>
        <w:pStyle w:val="15"/>
        <w:rPr>
          <w:rFonts w:hint="eastAsia" w:ascii="宋体" w:hAnsi="宋体" w:eastAsia="宋体" w:cs="宋体"/>
          <w:color w:val="auto"/>
          <w:sz w:val="21"/>
          <w:szCs w:val="21"/>
          <w:highlight w:val="none"/>
        </w:rPr>
      </w:pPr>
    </w:p>
    <w:p w14:paraId="0FDE474A">
      <w:pPr>
        <w:pStyle w:val="15"/>
        <w:rPr>
          <w:rFonts w:hint="eastAsia" w:ascii="宋体" w:hAnsi="宋体" w:eastAsia="宋体" w:cs="宋体"/>
          <w:color w:val="auto"/>
          <w:sz w:val="21"/>
          <w:szCs w:val="21"/>
          <w:highlight w:val="none"/>
        </w:rPr>
      </w:pPr>
    </w:p>
    <w:p w14:paraId="59EE50D7">
      <w:pPr>
        <w:pStyle w:val="15"/>
        <w:rPr>
          <w:rFonts w:hint="eastAsia" w:ascii="宋体" w:hAnsi="宋体" w:eastAsia="宋体" w:cs="宋体"/>
          <w:color w:val="auto"/>
          <w:sz w:val="21"/>
          <w:szCs w:val="21"/>
          <w:highlight w:val="none"/>
        </w:rPr>
      </w:pPr>
    </w:p>
    <w:p w14:paraId="00F04C12">
      <w:pPr>
        <w:pStyle w:val="15"/>
        <w:rPr>
          <w:rFonts w:hint="eastAsia" w:ascii="宋体" w:hAnsi="宋体" w:eastAsia="宋体" w:cs="宋体"/>
          <w:color w:val="auto"/>
          <w:sz w:val="21"/>
          <w:szCs w:val="21"/>
          <w:highlight w:val="none"/>
        </w:rPr>
      </w:pPr>
    </w:p>
    <w:p w14:paraId="7C522AAB">
      <w:pPr>
        <w:pStyle w:val="15"/>
        <w:rPr>
          <w:rFonts w:hint="eastAsia" w:ascii="宋体" w:hAnsi="宋体" w:eastAsia="宋体" w:cs="宋体"/>
          <w:color w:val="auto"/>
          <w:sz w:val="21"/>
          <w:szCs w:val="21"/>
          <w:highlight w:val="none"/>
        </w:rPr>
      </w:pPr>
    </w:p>
    <w:p w14:paraId="403E85E7">
      <w:pPr>
        <w:pStyle w:val="15"/>
        <w:rPr>
          <w:rFonts w:hint="eastAsia" w:ascii="宋体" w:hAnsi="宋体" w:eastAsia="宋体" w:cs="宋体"/>
          <w:color w:val="auto"/>
          <w:sz w:val="21"/>
          <w:szCs w:val="21"/>
          <w:highlight w:val="none"/>
        </w:rPr>
      </w:pPr>
    </w:p>
    <w:p w14:paraId="32A707F3">
      <w:pPr>
        <w:pStyle w:val="15"/>
        <w:rPr>
          <w:rFonts w:hint="eastAsia" w:ascii="宋体" w:hAnsi="宋体" w:eastAsia="宋体" w:cs="宋体"/>
          <w:color w:val="auto"/>
          <w:sz w:val="21"/>
          <w:szCs w:val="21"/>
          <w:highlight w:val="none"/>
        </w:rPr>
      </w:pPr>
    </w:p>
    <w:p w14:paraId="51735B78">
      <w:pPr>
        <w:pStyle w:val="15"/>
        <w:rPr>
          <w:rFonts w:hint="eastAsia" w:ascii="宋体" w:hAnsi="宋体" w:eastAsia="宋体" w:cs="宋体"/>
          <w:color w:val="auto"/>
          <w:sz w:val="21"/>
          <w:szCs w:val="21"/>
          <w:highlight w:val="none"/>
        </w:rPr>
      </w:pPr>
    </w:p>
    <w:p w14:paraId="7971902F">
      <w:pPr>
        <w:pStyle w:val="15"/>
        <w:rPr>
          <w:rFonts w:hint="eastAsia" w:ascii="宋体" w:hAnsi="宋体" w:eastAsia="宋体" w:cs="宋体"/>
          <w:color w:val="auto"/>
          <w:sz w:val="21"/>
          <w:szCs w:val="21"/>
          <w:highlight w:val="none"/>
        </w:rPr>
      </w:pPr>
    </w:p>
    <w:p w14:paraId="073BC751">
      <w:pPr>
        <w:pStyle w:val="15"/>
        <w:rPr>
          <w:rFonts w:hint="eastAsia" w:ascii="宋体" w:hAnsi="宋体" w:eastAsia="宋体" w:cs="宋体"/>
          <w:color w:val="auto"/>
          <w:sz w:val="21"/>
          <w:szCs w:val="21"/>
          <w:highlight w:val="none"/>
        </w:rPr>
      </w:pPr>
    </w:p>
    <w:p w14:paraId="5F9E0450">
      <w:pPr>
        <w:pStyle w:val="15"/>
        <w:rPr>
          <w:rFonts w:hint="eastAsia" w:ascii="宋体" w:hAnsi="宋体" w:eastAsia="宋体" w:cs="宋体"/>
          <w:color w:val="auto"/>
          <w:sz w:val="21"/>
          <w:szCs w:val="21"/>
          <w:highlight w:val="none"/>
        </w:rPr>
      </w:pPr>
    </w:p>
    <w:p w14:paraId="0E473FAC">
      <w:pPr>
        <w:pStyle w:val="15"/>
        <w:rPr>
          <w:rFonts w:hint="eastAsia" w:ascii="宋体" w:hAnsi="宋体" w:eastAsia="宋体" w:cs="宋体"/>
          <w:color w:val="auto"/>
          <w:sz w:val="21"/>
          <w:szCs w:val="21"/>
          <w:highlight w:val="none"/>
        </w:rPr>
      </w:pPr>
    </w:p>
    <w:p w14:paraId="2C0A411A">
      <w:pPr>
        <w:pStyle w:val="15"/>
        <w:rPr>
          <w:rFonts w:hint="eastAsia" w:ascii="宋体" w:hAnsi="宋体" w:eastAsia="宋体" w:cs="宋体"/>
          <w:color w:val="auto"/>
          <w:sz w:val="21"/>
          <w:szCs w:val="21"/>
          <w:highlight w:val="none"/>
        </w:rPr>
      </w:pPr>
    </w:p>
    <w:p w14:paraId="5E1F4447">
      <w:pPr>
        <w:pStyle w:val="15"/>
        <w:rPr>
          <w:rFonts w:hint="eastAsia" w:ascii="宋体" w:hAnsi="宋体" w:eastAsia="宋体" w:cs="宋体"/>
          <w:color w:val="auto"/>
          <w:sz w:val="21"/>
          <w:szCs w:val="21"/>
          <w:highlight w:val="none"/>
        </w:rPr>
      </w:pPr>
    </w:p>
    <w:p w14:paraId="7B93CF57">
      <w:pPr>
        <w:pStyle w:val="15"/>
        <w:rPr>
          <w:rFonts w:hint="eastAsia" w:ascii="宋体" w:hAnsi="宋体" w:eastAsia="宋体" w:cs="宋体"/>
          <w:color w:val="auto"/>
          <w:sz w:val="21"/>
          <w:szCs w:val="21"/>
          <w:highlight w:val="none"/>
        </w:rPr>
      </w:pPr>
    </w:p>
    <w:p w14:paraId="796D3138">
      <w:pPr>
        <w:spacing w:line="240" w:lineRule="auto"/>
        <w:rPr>
          <w:rFonts w:hint="eastAsia" w:ascii="宋体" w:hAnsi="宋体" w:eastAsia="宋体" w:cs="宋体"/>
          <w:b/>
          <w:bCs/>
          <w:iCs/>
          <w:color w:val="auto"/>
          <w:kern w:val="2"/>
          <w:sz w:val="24"/>
          <w:szCs w:val="24"/>
          <w:highlight w:val="none"/>
          <w:lang w:val="en-US" w:eastAsia="zh-CN" w:bidi="ar-SA"/>
        </w:rPr>
      </w:pPr>
      <w:r>
        <w:rPr>
          <w:rFonts w:hint="eastAsia" w:ascii="宋体" w:hAnsi="宋体" w:cs="宋体"/>
          <w:b/>
          <w:color w:val="auto"/>
          <w:sz w:val="24"/>
          <w:szCs w:val="24"/>
          <w:highlight w:val="none"/>
          <w:lang w:val="en-US" w:eastAsia="zh-CN"/>
        </w:rPr>
        <w:t>3</w:t>
      </w:r>
      <w:r>
        <w:rPr>
          <w:rFonts w:hint="eastAsia" w:ascii="宋体" w:hAnsi="宋体" w:eastAsia="宋体" w:cs="宋体"/>
          <w:b/>
          <w:color w:val="auto"/>
          <w:sz w:val="24"/>
          <w:szCs w:val="24"/>
          <w:highlight w:val="none"/>
          <w:lang w:val="en-US" w:eastAsia="zh-CN"/>
        </w:rPr>
        <w:t>.项目管理机构组成表（必须提供)</w:t>
      </w:r>
      <w:r>
        <w:rPr>
          <w:rFonts w:hint="eastAsia" w:ascii="宋体" w:hAnsi="宋体" w:eastAsia="宋体" w:cs="宋体"/>
          <w:b/>
          <w:bCs/>
          <w:iCs/>
          <w:color w:val="auto"/>
          <w:kern w:val="2"/>
          <w:sz w:val="24"/>
          <w:szCs w:val="24"/>
          <w:highlight w:val="none"/>
          <w:lang w:val="en-US" w:eastAsia="zh-CN" w:bidi="ar-SA"/>
        </w:rPr>
        <w:t>；</w:t>
      </w:r>
    </w:p>
    <w:p w14:paraId="3A51A5B3">
      <w:pPr>
        <w:spacing w:line="500" w:lineRule="exact"/>
        <w:jc w:val="center"/>
        <w:rPr>
          <w:rFonts w:hint="eastAsia" w:ascii="宋体" w:hAnsi="宋体" w:eastAsia="宋体" w:cs="宋体"/>
          <w:b/>
          <w:color w:val="auto"/>
          <w:sz w:val="21"/>
          <w:szCs w:val="21"/>
          <w:highlight w:val="none"/>
          <w:lang w:val="en-US" w:eastAsia="zh-CN"/>
        </w:rPr>
      </w:pPr>
    </w:p>
    <w:p w14:paraId="1EBB6921">
      <w:pPr>
        <w:spacing w:line="5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项目管理机构组成表</w:t>
      </w:r>
    </w:p>
    <w:p w14:paraId="6510D7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bl>
      <w:tblPr>
        <w:tblStyle w:val="2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58E7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A9195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p>
        </w:tc>
        <w:tc>
          <w:tcPr>
            <w:tcW w:w="793" w:type="dxa"/>
            <w:tcBorders>
              <w:top w:val="single" w:color="auto" w:sz="4" w:space="0"/>
              <w:left w:val="single" w:color="auto" w:sz="4" w:space="0"/>
              <w:bottom w:val="single" w:color="auto" w:sz="4" w:space="0"/>
              <w:right w:val="single" w:color="auto" w:sz="4" w:space="0"/>
            </w:tcBorders>
            <w:vAlign w:val="center"/>
          </w:tcPr>
          <w:p w14:paraId="029FC5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2" w:type="dxa"/>
            <w:tcBorders>
              <w:top w:val="single" w:color="auto" w:sz="4" w:space="0"/>
              <w:left w:val="single" w:color="auto" w:sz="4" w:space="0"/>
              <w:bottom w:val="single" w:color="auto" w:sz="4" w:space="0"/>
              <w:right w:val="single" w:color="auto" w:sz="4" w:space="0"/>
            </w:tcBorders>
            <w:vAlign w:val="center"/>
          </w:tcPr>
          <w:p w14:paraId="5AB57C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447" w:type="dxa"/>
            <w:tcBorders>
              <w:top w:val="single" w:color="auto" w:sz="4" w:space="0"/>
              <w:left w:val="single" w:color="auto" w:sz="4" w:space="0"/>
              <w:bottom w:val="single" w:color="auto" w:sz="4" w:space="0"/>
              <w:right w:val="single" w:color="auto" w:sz="4" w:space="0"/>
            </w:tcBorders>
            <w:vAlign w:val="center"/>
          </w:tcPr>
          <w:p w14:paraId="5AEC89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资质/职称</w:t>
            </w:r>
          </w:p>
        </w:tc>
        <w:tc>
          <w:tcPr>
            <w:tcW w:w="3672" w:type="dxa"/>
            <w:tcBorders>
              <w:top w:val="single" w:color="auto" w:sz="4" w:space="0"/>
              <w:left w:val="single" w:color="auto" w:sz="4" w:space="0"/>
              <w:bottom w:val="single" w:color="auto" w:sz="4" w:space="0"/>
              <w:right w:val="single" w:color="auto" w:sz="4" w:space="0"/>
            </w:tcBorders>
            <w:vAlign w:val="center"/>
          </w:tcPr>
          <w:p w14:paraId="089D9A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执业资格证号/上岗证号</w:t>
            </w:r>
          </w:p>
        </w:tc>
      </w:tr>
      <w:tr w14:paraId="2593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1FCE715F">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一、总部</w:t>
            </w:r>
          </w:p>
        </w:tc>
        <w:tc>
          <w:tcPr>
            <w:tcW w:w="793" w:type="dxa"/>
            <w:tcBorders>
              <w:top w:val="single" w:color="auto" w:sz="4" w:space="0"/>
              <w:left w:val="single" w:color="auto" w:sz="4" w:space="0"/>
              <w:bottom w:val="single" w:color="auto" w:sz="4" w:space="0"/>
              <w:right w:val="single" w:color="auto" w:sz="4" w:space="0"/>
            </w:tcBorders>
            <w:vAlign w:val="center"/>
          </w:tcPr>
          <w:p w14:paraId="1BF526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6F5C3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239218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46E8ACA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03EF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821988D">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1.项目主管</w:t>
            </w:r>
          </w:p>
        </w:tc>
        <w:tc>
          <w:tcPr>
            <w:tcW w:w="793" w:type="dxa"/>
            <w:tcBorders>
              <w:top w:val="single" w:color="auto" w:sz="4" w:space="0"/>
              <w:left w:val="single" w:color="auto" w:sz="4" w:space="0"/>
              <w:bottom w:val="single" w:color="auto" w:sz="4" w:space="0"/>
              <w:right w:val="single" w:color="auto" w:sz="4" w:space="0"/>
            </w:tcBorders>
            <w:vAlign w:val="center"/>
          </w:tcPr>
          <w:p w14:paraId="3E683F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35EF3C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5A4F76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1F625E1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0C6E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659637AF">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2.其他人员</w:t>
            </w:r>
          </w:p>
        </w:tc>
        <w:tc>
          <w:tcPr>
            <w:tcW w:w="793" w:type="dxa"/>
            <w:tcBorders>
              <w:top w:val="single" w:color="auto" w:sz="4" w:space="0"/>
              <w:left w:val="single" w:color="auto" w:sz="4" w:space="0"/>
              <w:bottom w:val="single" w:color="auto" w:sz="4" w:space="0"/>
              <w:right w:val="single" w:color="auto" w:sz="4" w:space="0"/>
            </w:tcBorders>
            <w:vAlign w:val="center"/>
          </w:tcPr>
          <w:p w14:paraId="7FEB52E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77416A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4ADF1B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251EA0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58A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100D9EB">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vAlign w:val="center"/>
          </w:tcPr>
          <w:p w14:paraId="66A2C5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22C87D1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0D23BE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686FE5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B21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0B658186">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二、现场</w:t>
            </w:r>
          </w:p>
        </w:tc>
        <w:tc>
          <w:tcPr>
            <w:tcW w:w="793" w:type="dxa"/>
            <w:tcBorders>
              <w:top w:val="single" w:color="auto" w:sz="4" w:space="0"/>
              <w:left w:val="single" w:color="auto" w:sz="4" w:space="0"/>
              <w:bottom w:val="single" w:color="auto" w:sz="4" w:space="0"/>
              <w:right w:val="single" w:color="auto" w:sz="4" w:space="0"/>
            </w:tcBorders>
            <w:vAlign w:val="center"/>
          </w:tcPr>
          <w:p w14:paraId="13DA27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128FBB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CC90A7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1DFEDF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57A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FFB5DEB">
            <w:pPr>
              <w:widowControl/>
              <w:spacing w:line="300" w:lineRule="auto"/>
              <w:textAlignment w:val="baseline"/>
              <w:rPr>
                <w:rFonts w:hint="eastAsia" w:ascii="宋体" w:hAnsi="宋体" w:eastAsia="宋体" w:cs="宋体"/>
                <w:color w:val="auto"/>
                <w:sz w:val="21"/>
                <w:szCs w:val="21"/>
                <w:highlight w:val="none"/>
                <w:lang w:eastAsia="zh-CN"/>
              </w:rPr>
            </w:pPr>
            <w:r>
              <w:rPr>
                <w:rFonts w:hint="eastAsia" w:ascii="宋体" w:hAnsi="宋体"/>
                <w:color w:val="auto"/>
                <w:szCs w:val="21"/>
                <w:highlight w:val="none"/>
              </w:rPr>
              <w:t>1.项目经理</w:t>
            </w:r>
          </w:p>
        </w:tc>
        <w:tc>
          <w:tcPr>
            <w:tcW w:w="793" w:type="dxa"/>
            <w:tcBorders>
              <w:top w:val="single" w:color="auto" w:sz="4" w:space="0"/>
              <w:left w:val="single" w:color="auto" w:sz="4" w:space="0"/>
              <w:bottom w:val="single" w:color="auto" w:sz="4" w:space="0"/>
              <w:right w:val="single" w:color="auto" w:sz="4" w:space="0"/>
            </w:tcBorders>
            <w:vAlign w:val="center"/>
          </w:tcPr>
          <w:p w14:paraId="7CCE69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2F5DE5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3DED9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2A359D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7DAC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16C37B96">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2.项目副经理（如有）</w:t>
            </w:r>
          </w:p>
        </w:tc>
        <w:tc>
          <w:tcPr>
            <w:tcW w:w="793" w:type="dxa"/>
            <w:tcBorders>
              <w:top w:val="single" w:color="auto" w:sz="4" w:space="0"/>
              <w:left w:val="single" w:color="auto" w:sz="4" w:space="0"/>
              <w:bottom w:val="single" w:color="auto" w:sz="4" w:space="0"/>
              <w:right w:val="single" w:color="auto" w:sz="4" w:space="0"/>
            </w:tcBorders>
            <w:vAlign w:val="center"/>
          </w:tcPr>
          <w:p w14:paraId="0B3991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B486F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3954020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0CD4AA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D30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8D46753">
            <w:pPr>
              <w:widowControl/>
              <w:spacing w:line="300" w:lineRule="auto"/>
              <w:textAlignment w:val="baseline"/>
              <w:rPr>
                <w:rFonts w:hint="eastAsia" w:ascii="宋体" w:hAnsi="宋体" w:eastAsia="宋体" w:cs="宋体"/>
                <w:color w:val="auto"/>
                <w:sz w:val="21"/>
                <w:szCs w:val="21"/>
                <w:highlight w:val="none"/>
              </w:rPr>
            </w:pPr>
            <w:r>
              <w:rPr>
                <w:rFonts w:ascii="宋体" w:hAnsi="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vAlign w:val="center"/>
          </w:tcPr>
          <w:p w14:paraId="47C618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048BA2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F4F30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6CBD96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514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07974EA2">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3.技术负责人</w:t>
            </w:r>
          </w:p>
        </w:tc>
        <w:tc>
          <w:tcPr>
            <w:tcW w:w="793" w:type="dxa"/>
            <w:tcBorders>
              <w:top w:val="single" w:color="auto" w:sz="4" w:space="0"/>
              <w:left w:val="single" w:color="auto" w:sz="4" w:space="0"/>
              <w:bottom w:val="single" w:color="auto" w:sz="4" w:space="0"/>
              <w:right w:val="single" w:color="auto" w:sz="4" w:space="0"/>
            </w:tcBorders>
            <w:vAlign w:val="center"/>
          </w:tcPr>
          <w:p w14:paraId="1A139C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7707EDF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326E15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1AED377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D92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01FE1CC">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4.施工员</w:t>
            </w:r>
          </w:p>
        </w:tc>
        <w:tc>
          <w:tcPr>
            <w:tcW w:w="793" w:type="dxa"/>
            <w:tcBorders>
              <w:top w:val="single" w:color="auto" w:sz="4" w:space="0"/>
              <w:left w:val="single" w:color="auto" w:sz="4" w:space="0"/>
              <w:bottom w:val="single" w:color="auto" w:sz="4" w:space="0"/>
              <w:right w:val="single" w:color="auto" w:sz="4" w:space="0"/>
            </w:tcBorders>
            <w:vAlign w:val="center"/>
          </w:tcPr>
          <w:p w14:paraId="197180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E099E3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7363004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314CD39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552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C67377A">
            <w:pPr>
              <w:widowControl/>
              <w:spacing w:line="300" w:lineRule="auto"/>
              <w:textAlignment w:val="baseline"/>
              <w:rPr>
                <w:rFonts w:hint="eastAsia" w:ascii="宋体" w:hAnsi="宋体" w:eastAsia="宋体" w:cs="宋体"/>
                <w:color w:val="auto"/>
                <w:sz w:val="21"/>
                <w:szCs w:val="21"/>
                <w:highlight w:val="none"/>
              </w:rPr>
            </w:pPr>
            <w:r>
              <w:rPr>
                <w:rFonts w:ascii="宋体" w:hAnsi="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vAlign w:val="center"/>
          </w:tcPr>
          <w:p w14:paraId="7FD81CE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112EC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0CD021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1760AB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6334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DC45265">
            <w:pPr>
              <w:widowControl/>
              <w:spacing w:line="300" w:lineRule="auto"/>
              <w:textAlignment w:val="baseline"/>
              <w:rPr>
                <w:rFonts w:hint="eastAsia" w:ascii="宋体" w:hAnsi="宋体" w:eastAsia="宋体" w:cs="宋体"/>
                <w:color w:val="auto"/>
                <w:sz w:val="21"/>
                <w:szCs w:val="21"/>
                <w:highlight w:val="none"/>
              </w:rPr>
            </w:pPr>
            <w:r>
              <w:rPr>
                <w:rFonts w:hint="eastAsia" w:ascii="宋体" w:hAnsi="宋体"/>
                <w:color w:val="auto"/>
                <w:szCs w:val="21"/>
                <w:highlight w:val="none"/>
              </w:rPr>
              <w:t>5.质检员</w:t>
            </w:r>
          </w:p>
        </w:tc>
        <w:tc>
          <w:tcPr>
            <w:tcW w:w="793" w:type="dxa"/>
            <w:tcBorders>
              <w:top w:val="single" w:color="auto" w:sz="4" w:space="0"/>
              <w:left w:val="single" w:color="auto" w:sz="4" w:space="0"/>
              <w:bottom w:val="single" w:color="auto" w:sz="4" w:space="0"/>
              <w:right w:val="single" w:color="auto" w:sz="4" w:space="0"/>
            </w:tcBorders>
            <w:vAlign w:val="center"/>
          </w:tcPr>
          <w:p w14:paraId="3894EF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671BE3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45C7BB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457B46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63A1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85623F4">
            <w:pPr>
              <w:widowControl/>
              <w:spacing w:line="300" w:lineRule="auto"/>
              <w:textAlignment w:val="baseline"/>
              <w:rPr>
                <w:rFonts w:hint="eastAsia" w:ascii="宋体" w:hAnsi="宋体" w:eastAsia="宋体" w:cs="宋体"/>
                <w:color w:val="auto"/>
                <w:sz w:val="21"/>
                <w:szCs w:val="21"/>
                <w:highlight w:val="none"/>
                <w:lang w:val="en-US" w:eastAsia="zh-CN"/>
              </w:rPr>
            </w:pPr>
            <w:r>
              <w:rPr>
                <w:rFonts w:ascii="宋体" w:hAnsi="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vAlign w:val="center"/>
          </w:tcPr>
          <w:p w14:paraId="483D99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68BE907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E2E34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6F0BE8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6809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7E00F9E">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6.专职安全生产管理人员</w:t>
            </w:r>
          </w:p>
        </w:tc>
        <w:tc>
          <w:tcPr>
            <w:tcW w:w="793" w:type="dxa"/>
            <w:tcBorders>
              <w:top w:val="single" w:color="auto" w:sz="4" w:space="0"/>
              <w:left w:val="single" w:color="auto" w:sz="4" w:space="0"/>
              <w:bottom w:val="single" w:color="auto" w:sz="4" w:space="0"/>
              <w:right w:val="single" w:color="auto" w:sz="4" w:space="0"/>
            </w:tcBorders>
            <w:vAlign w:val="center"/>
          </w:tcPr>
          <w:p w14:paraId="4950CCC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0E86C2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A9D176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25C508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AE4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35957C1">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vAlign w:val="center"/>
          </w:tcPr>
          <w:p w14:paraId="1BB4E2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058A33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6FEBD4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4C6CAF4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331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641963D0">
            <w:pPr>
              <w:widowControl/>
              <w:spacing w:line="300" w:lineRule="auto"/>
              <w:textAlignment w:val="baseline"/>
              <w:rPr>
                <w:rFonts w:ascii="宋体" w:hAnsi="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vAlign w:val="center"/>
          </w:tcPr>
          <w:p w14:paraId="12996B4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1A7928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vAlign w:val="center"/>
          </w:tcPr>
          <w:p w14:paraId="76B5C1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vAlign w:val="center"/>
          </w:tcPr>
          <w:p w14:paraId="5F0608A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bl>
    <w:p w14:paraId="54A269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r>
        <w:rPr>
          <w:rFonts w:hint="eastAsia" w:ascii="宋体" w:hAnsi="宋体" w:eastAsia="宋体" w:cs="宋体"/>
          <w:bCs/>
          <w:color w:val="auto"/>
          <w:spacing w:val="-2"/>
          <w:sz w:val="21"/>
          <w:szCs w:val="21"/>
          <w:highlight w:val="none"/>
        </w:rPr>
        <w:t>注：人员配备</w:t>
      </w:r>
      <w:r>
        <w:rPr>
          <w:rFonts w:hint="eastAsia" w:ascii="宋体" w:hAnsi="宋体" w:eastAsia="宋体" w:cs="宋体"/>
          <w:color w:val="auto"/>
          <w:spacing w:val="-2"/>
          <w:sz w:val="21"/>
          <w:szCs w:val="21"/>
          <w:highlight w:val="none"/>
        </w:rPr>
        <w:t>应按桂林市建设与规划委员会市建规〔2006〕270号文《关于调整建筑施工现场项目部管理的通知》的规定执行，须满足最低要求。</w:t>
      </w:r>
      <w:r>
        <w:rPr>
          <w:rFonts w:hint="eastAsia" w:ascii="宋体" w:hAnsi="宋体" w:eastAsia="宋体" w:cs="宋体"/>
          <w:color w:val="auto"/>
          <w:spacing w:val="-2"/>
          <w:kern w:val="0"/>
          <w:sz w:val="21"/>
          <w:szCs w:val="21"/>
          <w:highlight w:val="none"/>
        </w:rPr>
        <w:t>其中，</w:t>
      </w:r>
      <w:r>
        <w:rPr>
          <w:rFonts w:hint="eastAsia" w:ascii="宋体" w:hAnsi="宋体" w:eastAsia="宋体" w:cs="宋体"/>
          <w:color w:val="auto"/>
          <w:spacing w:val="-2"/>
          <w:kern w:val="0"/>
          <w:sz w:val="21"/>
          <w:szCs w:val="21"/>
          <w:highlight w:val="none"/>
          <w:lang w:eastAsia="zh-CN"/>
        </w:rPr>
        <w:t>项目经理</w:t>
      </w:r>
      <w:r>
        <w:rPr>
          <w:rFonts w:hint="eastAsia" w:ascii="宋体" w:hAnsi="宋体" w:eastAsia="宋体" w:cs="宋体"/>
          <w:color w:val="auto"/>
          <w:spacing w:val="-2"/>
          <w:kern w:val="0"/>
          <w:sz w:val="21"/>
          <w:szCs w:val="21"/>
          <w:highlight w:val="none"/>
        </w:rPr>
        <w:t>至少应附身份证复印件、</w:t>
      </w:r>
      <w:r>
        <w:rPr>
          <w:rFonts w:hint="eastAsia" w:ascii="宋体" w:hAnsi="宋体" w:eastAsia="宋体" w:cs="宋体"/>
          <w:color w:val="auto"/>
          <w:spacing w:val="-2"/>
          <w:kern w:val="0"/>
          <w:sz w:val="21"/>
          <w:szCs w:val="21"/>
          <w:highlight w:val="none"/>
          <w:lang w:val="en-US" w:eastAsia="zh-CN"/>
        </w:rPr>
        <w:t>建造师注册证书</w:t>
      </w:r>
      <w:r>
        <w:rPr>
          <w:rFonts w:hint="eastAsia" w:ascii="宋体" w:hAnsi="宋体" w:eastAsia="宋体" w:cs="宋体"/>
          <w:color w:val="auto"/>
          <w:spacing w:val="-2"/>
          <w:kern w:val="0"/>
          <w:sz w:val="21"/>
          <w:szCs w:val="21"/>
          <w:highlight w:val="none"/>
        </w:rPr>
        <w:t>复印件、安全生产考核合格证书（B类）复印件；技术负责人应附身份证复印件、职称证复印件；专职安全生产管理人员至少应附身份证复印件、专职安全员安全生产考核合格证书（C类）复印件；其他主要人员应附执业证或上岗证书复印件。</w:t>
      </w:r>
      <w:r>
        <w:rPr>
          <w:rFonts w:hint="eastAsia" w:ascii="宋体" w:hAnsi="宋体" w:eastAsia="宋体" w:cs="宋体"/>
          <w:color w:val="auto"/>
          <w:kern w:val="0"/>
          <w:sz w:val="21"/>
          <w:szCs w:val="21"/>
          <w:highlight w:val="none"/>
        </w:rPr>
        <w:t>同时还需提供社保部门出具</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为项目管理机构成员（包含项目经理、技术负责人、专职安全员、施工员、质检员）缴纳的响应文件递交截止时间前半年内任意连续三个月社保证明复印件。若为近期新聘员工的，以提供劳动合同证明材料复印件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若</w:t>
      </w:r>
      <w:r>
        <w:rPr>
          <w:rFonts w:hint="eastAsia" w:ascii="宋体" w:hAnsi="宋体" w:eastAsia="宋体" w:cs="宋体"/>
          <w:color w:val="auto"/>
          <w:kern w:val="0"/>
          <w:sz w:val="21"/>
          <w:szCs w:val="21"/>
          <w:highlight w:val="none"/>
          <w:lang w:val="en-US" w:eastAsia="zh-CN"/>
        </w:rPr>
        <w:t>为退休员工则需提供退休证明及劳动合同</w:t>
      </w:r>
      <w:r>
        <w:rPr>
          <w:rFonts w:hint="eastAsia" w:ascii="宋体" w:hAnsi="宋体" w:eastAsia="宋体" w:cs="宋体"/>
          <w:color w:val="auto"/>
          <w:kern w:val="0"/>
          <w:sz w:val="21"/>
          <w:szCs w:val="21"/>
          <w:highlight w:val="none"/>
        </w:rPr>
        <w:t>为准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pacing w:val="-2"/>
          <w:kern w:val="0"/>
          <w:sz w:val="21"/>
          <w:szCs w:val="21"/>
          <w:highlight w:val="none"/>
        </w:rPr>
        <w:t>上述复印件均需加盖</w:t>
      </w:r>
      <w:r>
        <w:rPr>
          <w:rFonts w:hint="eastAsia" w:ascii="宋体" w:hAnsi="宋体" w:eastAsia="宋体" w:cs="宋体"/>
          <w:color w:val="auto"/>
          <w:spacing w:val="-2"/>
          <w:kern w:val="0"/>
          <w:sz w:val="21"/>
          <w:szCs w:val="21"/>
          <w:highlight w:val="none"/>
          <w:lang w:val="en-US" w:eastAsia="zh-CN"/>
        </w:rPr>
        <w:t>供应商</w:t>
      </w:r>
      <w:r>
        <w:rPr>
          <w:rFonts w:hint="eastAsia" w:ascii="宋体" w:hAnsi="宋体" w:eastAsia="宋体" w:cs="宋体"/>
          <w:color w:val="auto"/>
          <w:spacing w:val="-2"/>
          <w:kern w:val="0"/>
          <w:sz w:val="21"/>
          <w:szCs w:val="21"/>
          <w:highlight w:val="none"/>
        </w:rPr>
        <w:t>公章。</w:t>
      </w:r>
    </w:p>
    <w:p w14:paraId="09850737">
      <w:pPr>
        <w:pStyle w:val="14"/>
        <w:spacing w:line="340" w:lineRule="exact"/>
        <w:jc w:val="center"/>
        <w:rPr>
          <w:rFonts w:hint="eastAsia" w:ascii="宋体" w:hAnsi="宋体" w:eastAsia="宋体" w:cs="宋体"/>
          <w:b/>
          <w:color w:val="auto"/>
          <w:sz w:val="21"/>
          <w:szCs w:val="21"/>
          <w:highlight w:val="none"/>
        </w:rPr>
      </w:pPr>
    </w:p>
    <w:p w14:paraId="2967F9E4">
      <w:pPr>
        <w:pStyle w:val="8"/>
        <w:rPr>
          <w:rFonts w:hint="eastAsia" w:ascii="宋体" w:hAnsi="宋体" w:eastAsia="宋体" w:cs="宋体"/>
          <w:color w:val="auto"/>
          <w:sz w:val="21"/>
          <w:szCs w:val="21"/>
          <w:highlight w:val="none"/>
        </w:rPr>
      </w:pPr>
    </w:p>
    <w:p w14:paraId="5BBDDC7A">
      <w:pPr>
        <w:keepNext w:val="0"/>
        <w:keepLines w:val="0"/>
        <w:pageBreakBefore w:val="0"/>
        <w:widowControl w:val="0"/>
        <w:kinsoku/>
        <w:wordWrap/>
        <w:overflowPunct/>
        <w:topLinePunct w:val="0"/>
        <w:autoSpaceDE/>
        <w:autoSpaceDN/>
        <w:bidi w:val="0"/>
        <w:adjustRightInd/>
        <w:snapToGrid w:val="0"/>
        <w:spacing w:line="360" w:lineRule="auto"/>
        <w:ind w:firstLine="1890" w:firstLineChars="9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，自然人</w:t>
      </w:r>
      <w:r>
        <w:rPr>
          <w:rFonts w:hint="eastAsia" w:ascii="宋体" w:hAnsi="宋体" w:eastAsia="宋体" w:cs="宋体"/>
          <w:color w:val="auto"/>
          <w:sz w:val="21"/>
          <w:szCs w:val="21"/>
          <w:highlight w:val="none"/>
          <w:lang w:eastAsia="zh-CN"/>
        </w:rPr>
        <w:t>签字或个人</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4725F5B7">
      <w:pPr>
        <w:keepNext w:val="0"/>
        <w:keepLines w:val="0"/>
        <w:pageBreakBefore w:val="0"/>
        <w:widowControl w:val="0"/>
        <w:kinsoku/>
        <w:wordWrap/>
        <w:overflowPunct/>
        <w:topLinePunct w:val="0"/>
        <w:autoSpaceDE/>
        <w:autoSpaceDN/>
        <w:bidi w:val="0"/>
        <w:adjustRightInd/>
        <w:snapToGrid w:val="0"/>
        <w:spacing w:line="360" w:lineRule="auto"/>
        <w:ind w:firstLine="1890" w:firstLineChars="9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u w:val="single"/>
        </w:rPr>
        <w:t xml:space="preserve">                            </w:t>
      </w:r>
    </w:p>
    <w:p w14:paraId="6D7AF7D6">
      <w:pPr>
        <w:pStyle w:val="11"/>
        <w:rPr>
          <w:rFonts w:hint="eastAsia" w:ascii="宋体" w:hAnsi="宋体" w:eastAsia="宋体" w:cs="宋体"/>
          <w:color w:val="auto"/>
          <w:sz w:val="21"/>
          <w:szCs w:val="21"/>
          <w:highlight w:val="none"/>
          <w:u w:val="single"/>
        </w:rPr>
      </w:pPr>
    </w:p>
    <w:p w14:paraId="1AA2686E">
      <w:pPr>
        <w:pStyle w:val="14"/>
        <w:numPr>
          <w:ilvl w:val="0"/>
          <w:numId w:val="0"/>
        </w:numPr>
        <w:spacing w:line="340" w:lineRule="exact"/>
        <w:ind w:left="0" w:firstLine="0"/>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4</w:t>
      </w:r>
      <w:r>
        <w:rPr>
          <w:rFonts w:hint="eastAsia" w:ascii="宋体" w:hAnsi="宋体" w:eastAsia="宋体" w:cs="宋体"/>
          <w:b/>
          <w:color w:val="auto"/>
          <w:sz w:val="24"/>
          <w:szCs w:val="24"/>
          <w:highlight w:val="none"/>
          <w:lang w:val="en-US" w:eastAsia="zh-CN"/>
        </w:rPr>
        <w:t>.施工组织设计（必须提供）；</w:t>
      </w:r>
    </w:p>
    <w:p w14:paraId="1B9B8D30">
      <w:pPr>
        <w:snapToGrid w:val="0"/>
        <w:spacing w:line="400" w:lineRule="exact"/>
        <w:jc w:val="center"/>
        <w:outlineLvl w:val="4"/>
        <w:rPr>
          <w:rFonts w:hint="eastAsia" w:ascii="宋体" w:hAnsi="宋体" w:eastAsia="宋体" w:cs="宋体"/>
          <w:b/>
          <w:color w:val="auto"/>
          <w:sz w:val="21"/>
          <w:szCs w:val="21"/>
          <w:highlight w:val="none"/>
          <w:lang w:val="en-US" w:eastAsia="zh-CN"/>
        </w:rPr>
      </w:pPr>
    </w:p>
    <w:p w14:paraId="794221FA">
      <w:pPr>
        <w:snapToGrid w:val="0"/>
        <w:spacing w:line="400" w:lineRule="exact"/>
        <w:jc w:val="center"/>
        <w:outlineLvl w:val="4"/>
        <w:rPr>
          <w:rFonts w:hint="eastAsia" w:ascii="宋体" w:hAnsi="宋体" w:eastAsia="宋体" w:cs="宋体"/>
          <w:b/>
          <w:color w:val="auto"/>
          <w:sz w:val="21"/>
          <w:szCs w:val="21"/>
          <w:highlight w:val="none"/>
        </w:rPr>
      </w:pPr>
    </w:p>
    <w:p w14:paraId="0EB23F49">
      <w:pPr>
        <w:snapToGrid w:val="0"/>
        <w:spacing w:line="400" w:lineRule="exact"/>
        <w:jc w:val="center"/>
        <w:outlineLvl w:val="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（根据工程量清单、评分办法及工程情况自行编制，格式自拟）（必须提供）</w:t>
      </w:r>
    </w:p>
    <w:p w14:paraId="1929246F">
      <w:pPr>
        <w:pStyle w:val="29"/>
        <w:rPr>
          <w:rFonts w:hint="eastAsia" w:ascii="宋体" w:hAnsi="宋体" w:eastAsia="宋体" w:cs="宋体"/>
          <w:color w:val="auto"/>
          <w:sz w:val="21"/>
          <w:szCs w:val="21"/>
          <w:highlight w:val="none"/>
        </w:rPr>
      </w:pPr>
    </w:p>
    <w:p w14:paraId="58B50D19">
      <w:pPr>
        <w:pStyle w:val="29"/>
        <w:rPr>
          <w:rFonts w:hint="eastAsia" w:ascii="宋体" w:hAnsi="宋体" w:eastAsia="宋体" w:cs="宋体"/>
          <w:color w:val="auto"/>
          <w:sz w:val="21"/>
          <w:szCs w:val="21"/>
          <w:highlight w:val="none"/>
        </w:rPr>
      </w:pPr>
    </w:p>
    <w:p w14:paraId="637C8726">
      <w:pPr>
        <w:pStyle w:val="29"/>
        <w:rPr>
          <w:rFonts w:hint="eastAsia" w:ascii="宋体" w:hAnsi="宋体" w:eastAsia="宋体" w:cs="宋体"/>
          <w:color w:val="auto"/>
          <w:sz w:val="21"/>
          <w:szCs w:val="21"/>
          <w:highlight w:val="none"/>
        </w:rPr>
      </w:pPr>
    </w:p>
    <w:p w14:paraId="7F5E67FF">
      <w:pPr>
        <w:pStyle w:val="8"/>
        <w:widowControl w:val="0"/>
        <w:numPr>
          <w:ilvl w:val="0"/>
          <w:numId w:val="0"/>
        </w:numPr>
        <w:jc w:val="both"/>
        <w:rPr>
          <w:rFonts w:hint="eastAsia" w:ascii="宋体" w:hAnsi="宋体" w:eastAsia="宋体" w:cs="宋体"/>
          <w:color w:val="auto"/>
          <w:sz w:val="21"/>
          <w:szCs w:val="21"/>
          <w:highlight w:val="none"/>
        </w:rPr>
      </w:pPr>
    </w:p>
    <w:p w14:paraId="24A6EEAA">
      <w:pPr>
        <w:spacing w:line="340" w:lineRule="exact"/>
        <w:ind w:firstLine="3150" w:firstLineChars="1500"/>
        <w:rPr>
          <w:rFonts w:hint="eastAsia" w:ascii="宋体" w:hAnsi="宋体"/>
          <w:color w:val="auto"/>
          <w:sz w:val="21"/>
          <w:szCs w:val="21"/>
          <w:highlight w:val="none"/>
        </w:rPr>
      </w:pPr>
      <w:r>
        <w:rPr>
          <w:rFonts w:hint="eastAsia" w:ascii="宋体" w:hAnsi="宋体"/>
          <w:bCs/>
          <w:color w:val="auto"/>
          <w:sz w:val="21"/>
          <w:szCs w:val="21"/>
          <w:highlight w:val="none"/>
        </w:rPr>
        <w:t>供应商[公章(CA签章)]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6E68D575">
      <w:pPr>
        <w:spacing w:line="340" w:lineRule="exact"/>
        <w:ind w:firstLine="3150" w:firstLineChars="1500"/>
        <w:rPr>
          <w:rFonts w:hint="eastAsia" w:ascii="宋体" w:hAnsi="宋体"/>
          <w:color w:val="auto"/>
          <w:sz w:val="21"/>
          <w:szCs w:val="21"/>
          <w:highlight w:val="none"/>
        </w:rPr>
      </w:pPr>
      <w:r>
        <w:rPr>
          <w:rFonts w:hint="eastAsia" w:ascii="宋体" w:hAnsi="宋体"/>
          <w:color w:val="auto"/>
          <w:sz w:val="21"/>
          <w:szCs w:val="21"/>
          <w:highlight w:val="none"/>
        </w:rPr>
        <w:t>法定代表人或相应的委托代理人签字[或盖章(CA签章)]：</w:t>
      </w:r>
      <w:r>
        <w:rPr>
          <w:rFonts w:hint="eastAsia" w:ascii="宋体" w:hAnsi="宋体"/>
          <w:color w:val="auto"/>
          <w:sz w:val="21"/>
          <w:szCs w:val="21"/>
          <w:highlight w:val="none"/>
          <w:u w:val="single"/>
        </w:rPr>
        <w:t xml:space="preserve">         </w:t>
      </w:r>
    </w:p>
    <w:p w14:paraId="4230294D">
      <w:pPr>
        <w:spacing w:line="400" w:lineRule="exact"/>
        <w:ind w:firstLine="3150" w:firstLineChars="1500"/>
        <w:rPr>
          <w:rFonts w:hint="eastAsia" w:ascii="宋体" w:hAnsi="宋体" w:cs="宋体"/>
          <w:bCs/>
          <w:color w:val="auto"/>
          <w:sz w:val="21"/>
          <w:szCs w:val="21"/>
          <w:highlight w:val="none"/>
        </w:rPr>
      </w:pPr>
      <w:r>
        <w:rPr>
          <w:rFonts w:hint="eastAsia" w:ascii="宋体" w:hAnsi="Courier New"/>
          <w:bCs/>
          <w:color w:val="auto"/>
          <w:sz w:val="21"/>
          <w:szCs w:val="21"/>
          <w:highlight w:val="none"/>
        </w:rPr>
        <w:t>响应</w:t>
      </w:r>
      <w:r>
        <w:rPr>
          <w:rFonts w:hint="eastAsia" w:ascii="宋体" w:hAnsi="Courier New"/>
          <w:color w:val="auto"/>
          <w:sz w:val="21"/>
          <w:szCs w:val="21"/>
          <w:highlight w:val="none"/>
        </w:rPr>
        <w:t>日期：</w:t>
      </w:r>
      <w:r>
        <w:rPr>
          <w:rFonts w:hint="eastAsia" w:ascii="宋体" w:hAnsi="Courier New"/>
          <w:color w:val="auto"/>
          <w:sz w:val="21"/>
          <w:szCs w:val="21"/>
          <w:highlight w:val="none"/>
          <w:u w:val="single"/>
        </w:rPr>
        <w:t xml:space="preserve">                       </w:t>
      </w:r>
    </w:p>
    <w:p w14:paraId="0B8DDBDA">
      <w:pPr>
        <w:pStyle w:val="3"/>
        <w:rPr>
          <w:rFonts w:hint="eastAsia" w:ascii="宋体" w:hAnsi="宋体" w:eastAsia="宋体" w:cs="宋体"/>
          <w:color w:val="auto"/>
          <w:sz w:val="21"/>
          <w:szCs w:val="21"/>
          <w:highlight w:val="none"/>
        </w:rPr>
      </w:pPr>
    </w:p>
    <w:p w14:paraId="3EE94E25">
      <w:pPr>
        <w:rPr>
          <w:rFonts w:hint="eastAsia" w:ascii="宋体" w:hAnsi="宋体" w:eastAsia="宋体" w:cs="宋体"/>
          <w:b/>
          <w:color w:val="auto"/>
          <w:sz w:val="21"/>
          <w:szCs w:val="21"/>
          <w:highlight w:val="none"/>
          <w:lang w:val="en-US" w:eastAsia="zh-CN"/>
        </w:rPr>
      </w:pPr>
    </w:p>
    <w:p w14:paraId="4E3C378D">
      <w:pPr>
        <w:rPr>
          <w:rFonts w:hint="eastAsia" w:ascii="宋体" w:hAnsi="宋体" w:eastAsia="宋体" w:cs="宋体"/>
          <w:b/>
          <w:color w:val="auto"/>
          <w:sz w:val="21"/>
          <w:szCs w:val="21"/>
          <w:highlight w:val="none"/>
          <w:lang w:val="en-US" w:eastAsia="zh-CN"/>
        </w:rPr>
      </w:pPr>
    </w:p>
    <w:p w14:paraId="15B9D5EA">
      <w:pPr>
        <w:rPr>
          <w:rFonts w:hint="eastAsia" w:ascii="宋体" w:hAnsi="宋体" w:eastAsia="宋体" w:cs="宋体"/>
          <w:b/>
          <w:color w:val="auto"/>
          <w:sz w:val="21"/>
          <w:szCs w:val="21"/>
          <w:highlight w:val="none"/>
          <w:lang w:val="en-US" w:eastAsia="zh-CN"/>
        </w:rPr>
      </w:pPr>
    </w:p>
    <w:p w14:paraId="7A69548A">
      <w:pPr>
        <w:rPr>
          <w:rFonts w:hint="eastAsia" w:ascii="宋体" w:hAnsi="宋体" w:eastAsia="宋体" w:cs="宋体"/>
          <w:b/>
          <w:color w:val="auto"/>
          <w:sz w:val="21"/>
          <w:szCs w:val="21"/>
          <w:highlight w:val="none"/>
          <w:lang w:val="en-US" w:eastAsia="zh-CN"/>
        </w:rPr>
      </w:pPr>
    </w:p>
    <w:p w14:paraId="71247641">
      <w:pPr>
        <w:rPr>
          <w:rFonts w:hint="eastAsia" w:ascii="宋体" w:hAnsi="宋体" w:eastAsia="宋体" w:cs="宋体"/>
          <w:b/>
          <w:color w:val="auto"/>
          <w:sz w:val="21"/>
          <w:szCs w:val="21"/>
          <w:highlight w:val="none"/>
          <w:lang w:val="en-US" w:eastAsia="zh-CN"/>
        </w:rPr>
      </w:pPr>
    </w:p>
    <w:p w14:paraId="6F0DE3DC">
      <w:pPr>
        <w:rPr>
          <w:rFonts w:hint="eastAsia" w:ascii="宋体" w:hAnsi="宋体" w:eastAsia="宋体" w:cs="宋体"/>
          <w:b/>
          <w:color w:val="auto"/>
          <w:sz w:val="21"/>
          <w:szCs w:val="21"/>
          <w:highlight w:val="none"/>
          <w:lang w:val="en-US" w:eastAsia="zh-CN"/>
        </w:rPr>
      </w:pPr>
    </w:p>
    <w:p w14:paraId="6A583D5F">
      <w:pPr>
        <w:rPr>
          <w:rFonts w:hint="eastAsia" w:ascii="宋体" w:hAnsi="宋体" w:eastAsia="宋体" w:cs="宋体"/>
          <w:b/>
          <w:color w:val="auto"/>
          <w:sz w:val="21"/>
          <w:szCs w:val="21"/>
          <w:highlight w:val="none"/>
          <w:lang w:val="en-US" w:eastAsia="zh-CN"/>
        </w:rPr>
      </w:pPr>
    </w:p>
    <w:p w14:paraId="09A8B776">
      <w:pPr>
        <w:pStyle w:val="3"/>
        <w:numPr>
          <w:ilvl w:val="0"/>
          <w:numId w:val="0"/>
        </w:numP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lang w:val="en-US" w:eastAsia="zh-CN"/>
        </w:rPr>
        <w:t>.城乡清洁工程渣土清运承诺书（必须提供）。</w:t>
      </w:r>
    </w:p>
    <w:p w14:paraId="290AB31F">
      <w:pPr>
        <w:rPr>
          <w:rFonts w:hint="eastAsia" w:ascii="宋体" w:hAnsi="宋体" w:eastAsia="宋体" w:cs="宋体"/>
          <w:b/>
          <w:color w:val="auto"/>
          <w:sz w:val="21"/>
          <w:szCs w:val="21"/>
          <w:highlight w:val="none"/>
          <w:lang w:val="en-US" w:eastAsia="zh-CN"/>
        </w:rPr>
      </w:pPr>
    </w:p>
    <w:p w14:paraId="6F152AC1">
      <w:pPr>
        <w:rPr>
          <w:rFonts w:hint="eastAsia" w:ascii="宋体" w:hAnsi="宋体" w:eastAsia="宋体" w:cs="宋体"/>
          <w:b/>
          <w:color w:val="auto"/>
          <w:sz w:val="21"/>
          <w:szCs w:val="21"/>
          <w:highlight w:val="none"/>
          <w:lang w:val="en-US" w:eastAsia="zh-CN"/>
        </w:rPr>
      </w:pPr>
    </w:p>
    <w:p w14:paraId="32811DB1">
      <w:pPr>
        <w:rPr>
          <w:rFonts w:hint="eastAsia" w:ascii="宋体" w:hAnsi="宋体" w:eastAsia="宋体" w:cs="宋体"/>
          <w:b/>
          <w:color w:val="auto"/>
          <w:sz w:val="21"/>
          <w:szCs w:val="21"/>
          <w:highlight w:val="none"/>
          <w:lang w:val="en-US" w:eastAsia="zh-CN"/>
        </w:rPr>
      </w:pPr>
    </w:p>
    <w:p w14:paraId="046D4475">
      <w:pPr>
        <w:rPr>
          <w:rFonts w:hint="eastAsia" w:ascii="宋体" w:hAnsi="宋体" w:eastAsia="宋体" w:cs="宋体"/>
          <w:b/>
          <w:color w:val="auto"/>
          <w:sz w:val="21"/>
          <w:szCs w:val="21"/>
          <w:highlight w:val="none"/>
          <w:lang w:val="en-US" w:eastAsia="zh-CN"/>
        </w:rPr>
      </w:pPr>
    </w:p>
    <w:p w14:paraId="22076409">
      <w:pPr>
        <w:rPr>
          <w:rFonts w:hint="eastAsia" w:ascii="宋体" w:hAnsi="宋体" w:eastAsia="宋体" w:cs="宋体"/>
          <w:b/>
          <w:color w:val="auto"/>
          <w:sz w:val="21"/>
          <w:szCs w:val="21"/>
          <w:highlight w:val="none"/>
          <w:lang w:val="en-US" w:eastAsia="zh-CN"/>
        </w:rPr>
      </w:pPr>
    </w:p>
    <w:p w14:paraId="00FFDAA7">
      <w:pPr>
        <w:pStyle w:val="11"/>
        <w:rPr>
          <w:rFonts w:hint="eastAsia"/>
          <w:lang w:val="en-US" w:eastAsia="zh-CN"/>
        </w:rPr>
      </w:pPr>
    </w:p>
    <w:p w14:paraId="2D478FAE">
      <w:pPr>
        <w:pStyle w:val="11"/>
        <w:rPr>
          <w:rFonts w:hint="eastAsia"/>
          <w:lang w:val="en-US" w:eastAsia="zh-CN"/>
        </w:rPr>
      </w:pPr>
    </w:p>
    <w:p w14:paraId="2A7B876F">
      <w:pPr>
        <w:pStyle w:val="11"/>
        <w:rPr>
          <w:rFonts w:hint="eastAsia"/>
          <w:lang w:val="en-US" w:eastAsia="zh-CN"/>
        </w:rPr>
      </w:pPr>
    </w:p>
    <w:p w14:paraId="5F5FC280">
      <w:pPr>
        <w:pStyle w:val="11"/>
        <w:rPr>
          <w:rFonts w:hint="eastAsia"/>
          <w:lang w:val="en-US" w:eastAsia="zh-CN"/>
        </w:rPr>
      </w:pPr>
    </w:p>
    <w:p w14:paraId="46FFD2B8">
      <w:pPr>
        <w:pStyle w:val="11"/>
        <w:rPr>
          <w:rFonts w:hint="eastAsia"/>
          <w:lang w:val="en-US" w:eastAsia="zh-CN"/>
        </w:rPr>
      </w:pPr>
    </w:p>
    <w:p w14:paraId="5097B4AF">
      <w:pPr>
        <w:pStyle w:val="11"/>
        <w:rPr>
          <w:rFonts w:hint="eastAsia"/>
          <w:lang w:val="en-US" w:eastAsia="zh-CN"/>
        </w:rPr>
      </w:pPr>
    </w:p>
    <w:p w14:paraId="4E3C2CDB">
      <w:pPr>
        <w:pStyle w:val="11"/>
        <w:rPr>
          <w:rFonts w:hint="eastAsia"/>
          <w:lang w:val="en-US" w:eastAsia="zh-CN"/>
        </w:rPr>
      </w:pPr>
    </w:p>
    <w:p w14:paraId="2CE9E5DC">
      <w:pPr>
        <w:pStyle w:val="11"/>
        <w:rPr>
          <w:rFonts w:hint="eastAsia"/>
          <w:lang w:val="en-US" w:eastAsia="zh-CN"/>
        </w:rPr>
      </w:pPr>
    </w:p>
    <w:p w14:paraId="18C8C89D">
      <w:pPr>
        <w:pStyle w:val="11"/>
        <w:rPr>
          <w:rFonts w:hint="eastAsia"/>
          <w:lang w:val="en-US" w:eastAsia="zh-CN"/>
        </w:rPr>
      </w:pPr>
    </w:p>
    <w:p w14:paraId="62F054D9">
      <w:pPr>
        <w:pStyle w:val="11"/>
        <w:rPr>
          <w:rFonts w:hint="eastAsia"/>
          <w:lang w:val="en-US" w:eastAsia="zh-CN"/>
        </w:rPr>
      </w:pPr>
    </w:p>
    <w:p w14:paraId="30112CC6">
      <w:pPr>
        <w:pStyle w:val="11"/>
        <w:rPr>
          <w:rFonts w:hint="eastAsia"/>
          <w:lang w:val="en-US" w:eastAsia="zh-CN"/>
        </w:rPr>
      </w:pPr>
    </w:p>
    <w:p w14:paraId="58255C27">
      <w:pPr>
        <w:pStyle w:val="11"/>
        <w:rPr>
          <w:rFonts w:hint="eastAsia"/>
          <w:lang w:val="en-US" w:eastAsia="zh-CN"/>
        </w:rPr>
      </w:pPr>
    </w:p>
    <w:p w14:paraId="3E192B4C">
      <w:pPr>
        <w:rPr>
          <w:rFonts w:hint="eastAsia"/>
          <w:color w:val="auto"/>
          <w:highlight w:val="none"/>
          <w:lang w:val="en-US" w:eastAsia="zh-CN"/>
        </w:rPr>
      </w:pPr>
    </w:p>
    <w:p w14:paraId="0CA8FE08">
      <w:pPr>
        <w:pStyle w:val="14"/>
        <w:numPr>
          <w:ilvl w:val="0"/>
          <w:numId w:val="0"/>
        </w:numPr>
        <w:spacing w:line="34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6</w:t>
      </w:r>
      <w:r>
        <w:rPr>
          <w:rFonts w:hint="eastAsia" w:ascii="宋体" w:hAnsi="宋体" w:eastAsia="宋体" w:cs="宋体"/>
          <w:b/>
          <w:color w:val="auto"/>
          <w:sz w:val="24"/>
          <w:szCs w:val="24"/>
          <w:highlight w:val="none"/>
          <w:lang w:val="en-US" w:eastAsia="zh-CN"/>
        </w:rPr>
        <w:t>.建设工程项目管理承诺书（必须提供）</w:t>
      </w:r>
      <w:r>
        <w:rPr>
          <w:rFonts w:hint="eastAsia" w:hAnsi="宋体" w:cs="宋体"/>
          <w:b/>
          <w:color w:val="auto"/>
          <w:sz w:val="24"/>
          <w:szCs w:val="24"/>
          <w:highlight w:val="none"/>
          <w:lang w:val="en-US" w:eastAsia="zh-CN"/>
        </w:rPr>
        <w:t>。</w:t>
      </w:r>
    </w:p>
    <w:p w14:paraId="4BDF38E6">
      <w:pPr>
        <w:spacing w:line="360" w:lineRule="auto"/>
        <w:jc w:val="center"/>
        <w:rPr>
          <w:rFonts w:hint="eastAsia" w:ascii="宋体" w:hAnsi="宋体" w:eastAsia="宋体" w:cs="宋体"/>
          <w:b/>
          <w:color w:val="auto"/>
          <w:sz w:val="21"/>
          <w:szCs w:val="21"/>
          <w:highlight w:val="none"/>
        </w:rPr>
      </w:pPr>
    </w:p>
    <w:p w14:paraId="6D9CB726">
      <w:pPr>
        <w:spacing w:line="480" w:lineRule="auto"/>
        <w:jc w:val="left"/>
        <w:rPr>
          <w:rFonts w:hint="eastAsia" w:ascii="宋体"/>
          <w:color w:val="auto"/>
          <w:highlight w:val="none"/>
        </w:rPr>
      </w:pPr>
      <w:r>
        <w:rPr>
          <w:rFonts w:hint="eastAsia" w:ascii="宋体"/>
          <w:color w:val="auto"/>
          <w:highlight w:val="none"/>
          <w:u w:val="single"/>
        </w:rPr>
        <w:t xml:space="preserve">  </w:t>
      </w:r>
      <w:r>
        <w:rPr>
          <w:rFonts w:hint="eastAsia" w:ascii="宋体"/>
          <w:color w:val="auto"/>
          <w:highlight w:val="none"/>
          <w:u w:val="single"/>
          <w:lang w:val="en-US" w:eastAsia="zh-CN"/>
        </w:rPr>
        <w:t xml:space="preserve">（采购人）  </w:t>
      </w:r>
      <w:r>
        <w:rPr>
          <w:rFonts w:hint="eastAsia" w:ascii="宋体"/>
          <w:color w:val="auto"/>
          <w:highlight w:val="none"/>
          <w:u w:val="single"/>
        </w:rPr>
        <w:t xml:space="preserve"> </w:t>
      </w:r>
      <w:r>
        <w:rPr>
          <w:rFonts w:hint="eastAsia" w:ascii="宋体"/>
          <w:color w:val="auto"/>
          <w:highlight w:val="none"/>
        </w:rPr>
        <w:t>：</w:t>
      </w:r>
    </w:p>
    <w:p w14:paraId="0933CCE8">
      <w:pPr>
        <w:spacing w:line="520" w:lineRule="exact"/>
        <w:ind w:firstLine="422" w:firstLineChars="201"/>
        <w:jc w:val="left"/>
        <w:rPr>
          <w:rFonts w:hint="eastAsia" w:ascii="宋体" w:hAnsi="宋体" w:eastAsia="宋体" w:cs="宋体"/>
          <w:color w:val="auto"/>
          <w:highlight w:val="none"/>
        </w:rPr>
      </w:pPr>
      <w:r>
        <w:rPr>
          <w:rFonts w:hint="eastAsia" w:ascii="宋体" w:hAnsi="宋体" w:eastAsia="宋体" w:cs="宋体"/>
          <w:color w:val="auto"/>
          <w:highlight w:val="none"/>
        </w:rPr>
        <w:t>作为参与</w:t>
      </w:r>
      <w:r>
        <w:rPr>
          <w:rFonts w:hint="eastAsia" w:ascii="宋体" w:hAnsi="宋体" w:eastAsia="宋体" w:cs="宋体"/>
          <w:color w:val="auto"/>
          <w:szCs w:val="21"/>
          <w:highlight w:val="none"/>
          <w:u w:val="single"/>
          <w:lang w:bidi="ar-SA"/>
        </w:rPr>
        <w:t></w:t>
      </w:r>
      <w:r>
        <w:rPr>
          <w:rFonts w:hint="eastAsia" w:ascii="宋体" w:hAnsi="宋体" w:eastAsia="宋体" w:cs="宋体"/>
          <w:color w:val="auto"/>
          <w:highlight w:val="none"/>
          <w:u w:val="single"/>
        </w:rPr>
        <w:t>（项目名称、项目编号  ）</w:t>
      </w:r>
      <w:r>
        <w:rPr>
          <w:rFonts w:hint="eastAsia" w:ascii="宋体" w:hAnsi="宋体" w:eastAsia="宋体" w:cs="宋体"/>
          <w:color w:val="auto"/>
          <w:highlight w:val="none"/>
        </w:rPr>
        <w:t>项目的竞标方，根据国家、自治区及桂林市相关文件规定，我方在此向采购人承诺：</w:t>
      </w:r>
    </w:p>
    <w:p w14:paraId="3D02AF75">
      <w:pPr>
        <w:spacing w:line="520" w:lineRule="exact"/>
        <w:ind w:firstLine="422" w:firstLineChars="201"/>
        <w:jc w:val="left"/>
        <w:rPr>
          <w:rFonts w:hint="eastAsia" w:ascii="宋体" w:hAnsi="宋体" w:eastAsia="宋体" w:cs="宋体"/>
          <w:color w:val="auto"/>
          <w:highlight w:val="none"/>
        </w:rPr>
      </w:pPr>
      <w:r>
        <w:rPr>
          <w:rFonts w:hint="eastAsia" w:ascii="宋体" w:hAnsi="宋体" w:eastAsia="宋体" w:cs="宋体"/>
          <w:color w:val="auto"/>
          <w:highlight w:val="none"/>
        </w:rPr>
        <w:t>1.一旦成交，我方保证按照政府相关部门的规定，在规定时间内足额将农民工工资保障金转入农民工工资保障金专用账户。一旦我方所承包的该项目中出现拖欠农民工和工人工资情况，由建设行政主管部门或财政部门从我方农民工工资保障金中先予划支。我方在中标后如不按时、足额存入农民工工资保障金的，将被取消中标资格。</w:t>
      </w:r>
    </w:p>
    <w:p w14:paraId="1288CC51">
      <w:pPr>
        <w:spacing w:line="520" w:lineRule="exact"/>
        <w:ind w:left="-10" w:firstLine="455" w:firstLineChars="217"/>
        <w:jc w:val="left"/>
        <w:rPr>
          <w:rFonts w:hint="eastAsia" w:ascii="宋体" w:hAnsi="宋体" w:eastAsia="宋体" w:cs="宋体"/>
          <w:color w:val="auto"/>
          <w:highlight w:val="none"/>
        </w:rPr>
      </w:pPr>
      <w:r>
        <w:rPr>
          <w:rFonts w:hint="eastAsia" w:ascii="宋体" w:hAnsi="宋体" w:eastAsia="宋体" w:cs="宋体"/>
          <w:color w:val="auto"/>
          <w:highlight w:val="none"/>
        </w:rPr>
        <w:t>2.一旦成交，我方保证在施工过程中，严格执行桂建质安[2015]16号文《广西壮族自治区建筑工程安全文明施工费使用管理细则》的有关规定，确保建设工程各项安全防护、文明施工措施落实到位。如我方在该项目的承包中出现未按桂建质安[2015]16号文附件一规定执行的情形，我方愿意按照相关规定接受建设单位及有关主管部门的处罚。</w:t>
      </w:r>
    </w:p>
    <w:p w14:paraId="49C2797D">
      <w:pPr>
        <w:spacing w:line="520" w:lineRule="exact"/>
        <w:ind w:left="-2" w:leftChars="-1" w:firstLine="449" w:firstLineChars="214"/>
        <w:jc w:val="left"/>
        <w:rPr>
          <w:rFonts w:hint="eastAsia" w:ascii="宋体" w:hAnsi="宋体" w:eastAsia="宋体" w:cs="宋体"/>
          <w:color w:val="auto"/>
          <w:highlight w:val="none"/>
        </w:rPr>
      </w:pPr>
      <w:r>
        <w:rPr>
          <w:rFonts w:hint="eastAsia" w:ascii="宋体" w:hAnsi="宋体" w:eastAsia="宋体" w:cs="宋体"/>
          <w:color w:val="auto"/>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310D666">
      <w:pPr>
        <w:pStyle w:val="52"/>
        <w:spacing w:line="520" w:lineRule="exact"/>
        <w:ind w:left="-10" w:firstLine="455" w:firstLineChars="21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0E8ABAEA">
      <w:pPr>
        <w:pStyle w:val="52"/>
        <w:spacing w:line="520" w:lineRule="exact"/>
        <w:ind w:left="-10" w:firstLine="455" w:firstLineChars="21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5D1888AC">
      <w:pPr>
        <w:spacing w:line="400" w:lineRule="exact"/>
        <w:ind w:firstLine="551" w:firstLineChars="196"/>
        <w:rPr>
          <w:rFonts w:hint="eastAsia" w:ascii="宋体" w:cs="宋体"/>
          <w:b/>
          <w:color w:val="auto"/>
          <w:kern w:val="0"/>
          <w:sz w:val="28"/>
          <w:szCs w:val="28"/>
          <w:highlight w:val="none"/>
          <w:lang w:bidi="ar-SA"/>
        </w:rPr>
      </w:pPr>
    </w:p>
    <w:p w14:paraId="17135637">
      <w:pPr>
        <w:spacing w:line="400" w:lineRule="exact"/>
        <w:ind w:firstLine="551" w:firstLineChars="196"/>
        <w:rPr>
          <w:rFonts w:hint="eastAsia" w:ascii="宋体" w:cs="宋体"/>
          <w:b/>
          <w:color w:val="auto"/>
          <w:kern w:val="0"/>
          <w:sz w:val="28"/>
          <w:szCs w:val="28"/>
          <w:highlight w:val="none"/>
          <w:lang w:bidi="ar-SA"/>
        </w:rPr>
      </w:pPr>
    </w:p>
    <w:p w14:paraId="57427C19">
      <w:pPr>
        <w:spacing w:line="340" w:lineRule="exact"/>
        <w:ind w:firstLine="5250" w:firstLineChars="2500"/>
        <w:rPr>
          <w:rFonts w:hint="eastAsia" w:ascii="宋体" w:hAnsi="宋体"/>
          <w:color w:val="auto"/>
          <w:sz w:val="21"/>
          <w:szCs w:val="21"/>
          <w:highlight w:val="none"/>
        </w:rPr>
      </w:pPr>
      <w:r>
        <w:rPr>
          <w:rFonts w:hint="eastAsia" w:ascii="宋体" w:hAnsi="宋体"/>
          <w:bCs/>
          <w:color w:val="auto"/>
          <w:sz w:val="21"/>
          <w:szCs w:val="21"/>
          <w:highlight w:val="none"/>
        </w:rPr>
        <w:t>供应商[公章(CA签章)]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14FE51A9">
      <w:pPr>
        <w:spacing w:line="400" w:lineRule="exact"/>
        <w:ind w:firstLine="5250" w:firstLineChars="2500"/>
        <w:rPr>
          <w:rFonts w:hint="eastAsia" w:ascii="宋体" w:hAnsi="宋体" w:cs="宋体"/>
          <w:bCs/>
          <w:color w:val="auto"/>
          <w:sz w:val="21"/>
          <w:szCs w:val="21"/>
          <w:highlight w:val="none"/>
        </w:rPr>
      </w:pPr>
      <w:r>
        <w:rPr>
          <w:rFonts w:hint="eastAsia" w:ascii="宋体" w:hAnsi="Courier New"/>
          <w:bCs/>
          <w:color w:val="auto"/>
          <w:sz w:val="21"/>
          <w:szCs w:val="21"/>
          <w:highlight w:val="none"/>
        </w:rPr>
        <w:t>响应</w:t>
      </w:r>
      <w:r>
        <w:rPr>
          <w:rFonts w:hint="eastAsia" w:ascii="宋体" w:hAnsi="Courier New"/>
          <w:color w:val="auto"/>
          <w:sz w:val="21"/>
          <w:szCs w:val="21"/>
          <w:highlight w:val="none"/>
        </w:rPr>
        <w:t>日期：</w:t>
      </w:r>
      <w:r>
        <w:rPr>
          <w:rFonts w:hint="eastAsia" w:ascii="宋体" w:hAnsi="Courier New"/>
          <w:color w:val="auto"/>
          <w:sz w:val="21"/>
          <w:szCs w:val="21"/>
          <w:highlight w:val="none"/>
          <w:u w:val="single"/>
        </w:rPr>
        <w:t xml:space="preserve">                       </w:t>
      </w:r>
    </w:p>
    <w:p w14:paraId="0416456D">
      <w:pPr>
        <w:pStyle w:val="52"/>
        <w:spacing w:line="360" w:lineRule="auto"/>
        <w:jc w:val="center"/>
        <w:rPr>
          <w:rFonts w:hint="eastAsia" w:cs="宋体"/>
          <w:b/>
          <w:bCs/>
          <w:color w:val="auto"/>
          <w:sz w:val="28"/>
          <w:szCs w:val="28"/>
          <w:highlight w:val="none"/>
          <w:lang w:bidi="ar-SA"/>
        </w:rPr>
      </w:pPr>
    </w:p>
    <w:p w14:paraId="1E39F768">
      <w:pPr>
        <w:pStyle w:val="52"/>
        <w:spacing w:line="360" w:lineRule="auto"/>
        <w:jc w:val="center"/>
        <w:rPr>
          <w:rFonts w:hint="eastAsia" w:cs="宋体"/>
          <w:b/>
          <w:bCs/>
          <w:color w:val="auto"/>
          <w:sz w:val="28"/>
          <w:szCs w:val="28"/>
          <w:highlight w:val="none"/>
          <w:lang w:bidi="ar-SA"/>
        </w:rPr>
      </w:pPr>
    </w:p>
    <w:p w14:paraId="7C2412D6">
      <w:pPr>
        <w:pStyle w:val="52"/>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28"/>
          <w:szCs w:val="28"/>
          <w:highlight w:val="none"/>
          <w:lang w:bidi="ar-SA"/>
        </w:rPr>
        <w:t>广西壮族自治区建筑工程安全文明施工措施项目清单内容</w:t>
      </w:r>
    </w:p>
    <w:p w14:paraId="065B204E">
      <w:pPr>
        <w:pStyle w:val="52"/>
        <w:spacing w:line="360" w:lineRule="auto"/>
        <w:ind w:firstLine="600" w:firstLineChars="2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SA"/>
        </w:rPr>
        <w:t>（桂建质〔</w:t>
      </w:r>
      <w:r>
        <w:rPr>
          <w:rFonts w:hint="eastAsia" w:ascii="宋体" w:hAnsi="宋体" w:eastAsia="宋体" w:cs="宋体"/>
          <w:color w:val="auto"/>
          <w:sz w:val="24"/>
          <w:szCs w:val="24"/>
          <w:highlight w:val="none"/>
        </w:rPr>
        <w:t>2015</w:t>
      </w:r>
      <w:r>
        <w:rPr>
          <w:rFonts w:hint="eastAsia" w:ascii="宋体" w:hAnsi="宋体" w:eastAsia="宋体" w:cs="宋体"/>
          <w:color w:val="auto"/>
          <w:sz w:val="24"/>
          <w:szCs w:val="24"/>
          <w:highlight w:val="none"/>
          <w:lang w:bidi="ar-SA"/>
        </w:rPr>
        <w:t>〕</w:t>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bidi="ar-SA"/>
        </w:rPr>
        <w:t>号文附件一）</w:t>
      </w:r>
    </w:p>
    <w:p w14:paraId="18FB06E6">
      <w:pPr>
        <w:pStyle w:val="52"/>
        <w:spacing w:line="240" w:lineRule="atLeas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SA"/>
        </w:rPr>
        <w:t>广西壮族自治区</w:t>
      </w:r>
    </w:p>
    <w:p w14:paraId="4B6D05D7">
      <w:pPr>
        <w:pStyle w:val="52"/>
        <w:spacing w:line="240" w:lineRule="atLeast"/>
        <w:ind w:firstLine="546"/>
        <w:jc w:val="center"/>
        <w:rPr>
          <w:rFonts w:hint="eastAsia" w:ascii="宋体" w:hAnsi="宋体" w:eastAsia="宋体" w:cs="宋体"/>
          <w:b/>
          <w:bCs/>
          <w:color w:val="auto"/>
          <w:w w:val="90"/>
          <w:sz w:val="24"/>
          <w:szCs w:val="24"/>
          <w:highlight w:val="none"/>
        </w:rPr>
      </w:pPr>
      <w:r>
        <w:rPr>
          <w:rFonts w:hint="eastAsia" w:ascii="宋体" w:hAnsi="宋体" w:eastAsia="宋体" w:cs="宋体"/>
          <w:b/>
          <w:bCs/>
          <w:color w:val="auto"/>
          <w:w w:val="90"/>
          <w:sz w:val="24"/>
          <w:szCs w:val="24"/>
          <w:highlight w:val="none"/>
          <w:lang w:bidi="ar-SA"/>
        </w:rPr>
        <w:t>建设工程安全文明施工措施项目清单内容</w:t>
      </w:r>
    </w:p>
    <w:p w14:paraId="453AA59E">
      <w:pPr>
        <w:pStyle w:val="52"/>
        <w:spacing w:line="240" w:lineRule="atLeast"/>
        <w:ind w:firstLine="546"/>
        <w:jc w:val="center"/>
        <w:rPr>
          <w:rFonts w:hint="eastAsia" w:ascii="宋体" w:hAnsi="宋体" w:eastAsia="宋体" w:cs="宋体"/>
          <w:b/>
          <w:bCs/>
          <w:color w:val="auto"/>
          <w:w w:val="90"/>
          <w:sz w:val="24"/>
          <w:szCs w:val="24"/>
          <w:highlight w:val="none"/>
        </w:rPr>
      </w:pPr>
    </w:p>
    <w:tbl>
      <w:tblPr>
        <w:tblStyle w:val="21"/>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0636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tcBorders>
            <w:noWrap w:val="0"/>
            <w:vAlign w:val="center"/>
          </w:tcPr>
          <w:p w14:paraId="4515D79B">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类别</w:t>
            </w:r>
          </w:p>
        </w:tc>
        <w:tc>
          <w:tcPr>
            <w:tcW w:w="2070" w:type="dxa"/>
            <w:gridSpan w:val="2"/>
            <w:tcBorders>
              <w:top w:val="single" w:color="auto" w:sz="12" w:space="0"/>
            </w:tcBorders>
            <w:noWrap w:val="0"/>
            <w:vAlign w:val="center"/>
          </w:tcPr>
          <w:p w14:paraId="09106A11">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项目名称</w:t>
            </w:r>
          </w:p>
        </w:tc>
        <w:tc>
          <w:tcPr>
            <w:tcW w:w="6645" w:type="dxa"/>
            <w:tcBorders>
              <w:top w:val="single" w:color="auto" w:sz="12" w:space="0"/>
            </w:tcBorders>
            <w:noWrap w:val="0"/>
            <w:vAlign w:val="center"/>
          </w:tcPr>
          <w:p w14:paraId="61A479FF">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主要内容和要求</w:t>
            </w:r>
          </w:p>
        </w:tc>
      </w:tr>
      <w:tr w14:paraId="77A69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7FAF4F17">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文明</w:t>
            </w:r>
          </w:p>
          <w:p w14:paraId="0A17E98D">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施工</w:t>
            </w:r>
          </w:p>
          <w:p w14:paraId="5C6B444E">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与</w:t>
            </w:r>
          </w:p>
          <w:p w14:paraId="5A01850D">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环境</w:t>
            </w:r>
          </w:p>
          <w:p w14:paraId="6A006E78">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保护</w:t>
            </w:r>
          </w:p>
        </w:tc>
        <w:tc>
          <w:tcPr>
            <w:tcW w:w="2070" w:type="dxa"/>
            <w:gridSpan w:val="2"/>
            <w:noWrap w:val="0"/>
            <w:vAlign w:val="center"/>
          </w:tcPr>
          <w:p w14:paraId="6221A026">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安全警示</w:t>
            </w:r>
          </w:p>
          <w:p w14:paraId="3E56C287">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标志牌</w:t>
            </w:r>
          </w:p>
        </w:tc>
        <w:tc>
          <w:tcPr>
            <w:tcW w:w="6645" w:type="dxa"/>
            <w:noWrap w:val="0"/>
            <w:vAlign w:val="center"/>
          </w:tcPr>
          <w:p w14:paraId="183E640E">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在易发伤亡事故（或危险）处设置明显的、符合国家标准要求的安全警示标志牌。</w:t>
            </w:r>
          </w:p>
        </w:tc>
      </w:tr>
      <w:tr w14:paraId="47D48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B54758">
            <w:pPr>
              <w:rPr>
                <w:rFonts w:hint="eastAsia" w:ascii="宋体" w:hAnsi="宋体" w:eastAsia="宋体" w:cs="宋体"/>
                <w:color w:val="auto"/>
                <w:highlight w:val="none"/>
              </w:rPr>
            </w:pPr>
          </w:p>
        </w:tc>
        <w:tc>
          <w:tcPr>
            <w:tcW w:w="2070" w:type="dxa"/>
            <w:gridSpan w:val="2"/>
            <w:noWrap w:val="0"/>
            <w:vAlign w:val="center"/>
          </w:tcPr>
          <w:p w14:paraId="58CA17A8">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现场围挡</w:t>
            </w:r>
          </w:p>
        </w:tc>
        <w:tc>
          <w:tcPr>
            <w:tcW w:w="6645" w:type="dxa"/>
            <w:noWrap w:val="0"/>
            <w:vAlign w:val="center"/>
          </w:tcPr>
          <w:p w14:paraId="301667B1">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现场采用封闭围挡，高度不小于1.8m。</w:t>
            </w:r>
          </w:p>
          <w:p w14:paraId="3B24C8BF">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围挡材料可用彩色、定型钢板，砌块等墙体。</w:t>
            </w:r>
          </w:p>
        </w:tc>
      </w:tr>
      <w:tr w14:paraId="3D1AF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6AC295F">
            <w:pPr>
              <w:rPr>
                <w:rFonts w:hint="eastAsia" w:ascii="宋体" w:hAnsi="宋体" w:eastAsia="宋体" w:cs="宋体"/>
                <w:color w:val="auto"/>
                <w:highlight w:val="none"/>
              </w:rPr>
            </w:pPr>
          </w:p>
        </w:tc>
        <w:tc>
          <w:tcPr>
            <w:tcW w:w="2070" w:type="dxa"/>
            <w:gridSpan w:val="2"/>
            <w:noWrap w:val="0"/>
            <w:vAlign w:val="center"/>
          </w:tcPr>
          <w:p w14:paraId="09BC289D">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七牌二图</w:t>
            </w:r>
          </w:p>
        </w:tc>
        <w:tc>
          <w:tcPr>
            <w:tcW w:w="6645" w:type="dxa"/>
            <w:noWrap w:val="0"/>
            <w:vAlign w:val="center"/>
          </w:tcPr>
          <w:p w14:paraId="2DDB4EEF">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在进门处悬挂工程概况、现场出入制度、管理人员名单及监督电话、安全生产规定、文明施工、消防保卫、节能公示等七牌以及施工现场总平面图、工程效果图。</w:t>
            </w:r>
          </w:p>
        </w:tc>
      </w:tr>
      <w:tr w14:paraId="7006C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7AF645B5">
            <w:pPr>
              <w:rPr>
                <w:rFonts w:hint="eastAsia" w:ascii="宋体" w:hAnsi="宋体" w:eastAsia="宋体" w:cs="宋体"/>
                <w:color w:val="auto"/>
                <w:highlight w:val="none"/>
              </w:rPr>
            </w:pPr>
          </w:p>
        </w:tc>
        <w:tc>
          <w:tcPr>
            <w:tcW w:w="2070" w:type="dxa"/>
            <w:gridSpan w:val="2"/>
            <w:noWrap w:val="0"/>
            <w:vAlign w:val="center"/>
          </w:tcPr>
          <w:p w14:paraId="529B3763">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企业标志</w:t>
            </w:r>
          </w:p>
        </w:tc>
        <w:tc>
          <w:tcPr>
            <w:tcW w:w="6645" w:type="dxa"/>
            <w:noWrap w:val="0"/>
            <w:vAlign w:val="center"/>
          </w:tcPr>
          <w:p w14:paraId="08832FD3">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现场出入的大门应设有本企业标志或企业标识。</w:t>
            </w:r>
          </w:p>
        </w:tc>
      </w:tr>
      <w:tr w14:paraId="53ED8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0E0D7E4">
            <w:pPr>
              <w:rPr>
                <w:rFonts w:hint="eastAsia" w:ascii="宋体" w:hAnsi="宋体" w:eastAsia="宋体" w:cs="宋体"/>
                <w:color w:val="auto"/>
                <w:highlight w:val="none"/>
              </w:rPr>
            </w:pPr>
          </w:p>
        </w:tc>
        <w:tc>
          <w:tcPr>
            <w:tcW w:w="2070" w:type="dxa"/>
            <w:gridSpan w:val="2"/>
            <w:noWrap w:val="0"/>
            <w:vAlign w:val="center"/>
          </w:tcPr>
          <w:p w14:paraId="17AF4A52">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场容场貌</w:t>
            </w:r>
          </w:p>
        </w:tc>
        <w:tc>
          <w:tcPr>
            <w:tcW w:w="6645" w:type="dxa"/>
            <w:noWrap w:val="0"/>
            <w:vAlign w:val="center"/>
          </w:tcPr>
          <w:p w14:paraId="163CF40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道路畅通。</w:t>
            </w:r>
          </w:p>
          <w:p w14:paraId="7EF065D8">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排水设施齐全畅通。</w:t>
            </w:r>
          </w:p>
          <w:p w14:paraId="23E8A828">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3. 工地地面硬化处理（办公区、生活区、现场道路、材料堆放、混凝土搅拌、砂浆搅拌、钢筋加工等场地和外脚手架基础等）。</w:t>
            </w:r>
          </w:p>
        </w:tc>
      </w:tr>
      <w:tr w14:paraId="6B5BF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FCE0EEC">
            <w:pPr>
              <w:rPr>
                <w:rFonts w:hint="eastAsia" w:ascii="宋体" w:hAnsi="宋体" w:eastAsia="宋体" w:cs="宋体"/>
                <w:color w:val="auto"/>
                <w:highlight w:val="none"/>
              </w:rPr>
            </w:pPr>
          </w:p>
        </w:tc>
        <w:tc>
          <w:tcPr>
            <w:tcW w:w="2070" w:type="dxa"/>
            <w:gridSpan w:val="2"/>
            <w:noWrap w:val="0"/>
            <w:vAlign w:val="center"/>
          </w:tcPr>
          <w:p w14:paraId="2A758C7A">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材料堆放</w:t>
            </w:r>
          </w:p>
        </w:tc>
        <w:tc>
          <w:tcPr>
            <w:tcW w:w="6645" w:type="dxa"/>
            <w:noWrap w:val="0"/>
            <w:vAlign w:val="center"/>
          </w:tcPr>
          <w:p w14:paraId="4CB8EA52">
            <w:pPr>
              <w:pStyle w:val="52"/>
              <w:numPr>
                <w:ilvl w:val="0"/>
                <w:numId w:val="11"/>
              </w:numPr>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材料、构件、料具等堆放时，应有名称、品种、规格等标牌。</w:t>
            </w:r>
          </w:p>
          <w:p w14:paraId="7CCFE7C7">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水泥和其它易飞扬细颗粒建筑材料应封闭存放或采取覆盖等措施。</w:t>
            </w:r>
          </w:p>
          <w:p w14:paraId="4C7B49F1">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3. 易燃、易爆和有毒有害物品分类存放。</w:t>
            </w:r>
          </w:p>
        </w:tc>
      </w:tr>
      <w:tr w14:paraId="60A19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0ADBDB1C">
            <w:pPr>
              <w:rPr>
                <w:rFonts w:hint="eastAsia" w:ascii="宋体" w:hAnsi="宋体" w:eastAsia="宋体" w:cs="宋体"/>
                <w:color w:val="auto"/>
                <w:highlight w:val="none"/>
              </w:rPr>
            </w:pPr>
          </w:p>
        </w:tc>
        <w:tc>
          <w:tcPr>
            <w:tcW w:w="2070" w:type="dxa"/>
            <w:gridSpan w:val="2"/>
            <w:noWrap w:val="0"/>
            <w:vAlign w:val="center"/>
          </w:tcPr>
          <w:p w14:paraId="0ACA9F1D">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现场防火</w:t>
            </w:r>
          </w:p>
        </w:tc>
        <w:tc>
          <w:tcPr>
            <w:tcW w:w="6645" w:type="dxa"/>
            <w:noWrap w:val="0"/>
            <w:vAlign w:val="center"/>
          </w:tcPr>
          <w:p w14:paraId="165810DE">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消防器材配置合理，符合消防要求。</w:t>
            </w:r>
          </w:p>
        </w:tc>
      </w:tr>
      <w:tr w14:paraId="68FE2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742B427">
            <w:pPr>
              <w:rPr>
                <w:rFonts w:hint="eastAsia" w:ascii="宋体" w:hAnsi="宋体" w:eastAsia="宋体" w:cs="宋体"/>
                <w:color w:val="auto"/>
                <w:highlight w:val="none"/>
              </w:rPr>
            </w:pPr>
          </w:p>
        </w:tc>
        <w:tc>
          <w:tcPr>
            <w:tcW w:w="2070" w:type="dxa"/>
            <w:gridSpan w:val="2"/>
            <w:noWrap w:val="0"/>
            <w:vAlign w:val="center"/>
          </w:tcPr>
          <w:p w14:paraId="5241EDA1">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垃圾清运</w:t>
            </w:r>
          </w:p>
        </w:tc>
        <w:tc>
          <w:tcPr>
            <w:tcW w:w="6645" w:type="dxa"/>
            <w:noWrap w:val="0"/>
            <w:vAlign w:val="center"/>
          </w:tcPr>
          <w:p w14:paraId="0BF5D460">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施工现场应设置密闭式垃圾站，施工垃圾、生活垃圾应分类存放。</w:t>
            </w:r>
          </w:p>
          <w:p w14:paraId="2913FCB9">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施工垃圾必须采用相应容器或管道运输。</w:t>
            </w:r>
          </w:p>
        </w:tc>
      </w:tr>
      <w:tr w14:paraId="22701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93C940E">
            <w:pPr>
              <w:rPr>
                <w:rFonts w:hint="eastAsia" w:ascii="宋体" w:hAnsi="宋体" w:eastAsia="宋体" w:cs="宋体"/>
                <w:color w:val="auto"/>
                <w:highlight w:val="none"/>
              </w:rPr>
            </w:pPr>
          </w:p>
        </w:tc>
        <w:tc>
          <w:tcPr>
            <w:tcW w:w="2070" w:type="dxa"/>
            <w:gridSpan w:val="2"/>
            <w:noWrap w:val="0"/>
            <w:vAlign w:val="center"/>
          </w:tcPr>
          <w:p w14:paraId="21B7B81B">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宣传栏、环保及不扰民措施</w:t>
            </w:r>
          </w:p>
        </w:tc>
        <w:tc>
          <w:tcPr>
            <w:tcW w:w="6645" w:type="dxa"/>
            <w:noWrap w:val="0"/>
            <w:vAlign w:val="center"/>
          </w:tcPr>
          <w:p w14:paraId="46832D88">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宣传栏、安全宣传标语等，洗车（防止污染市区道路）、粉尘、噪声控制和排污（污水、废气）措施等。</w:t>
            </w:r>
          </w:p>
        </w:tc>
      </w:tr>
      <w:tr w14:paraId="498CB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BAFCC6">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临时设施</w:t>
            </w:r>
          </w:p>
        </w:tc>
        <w:tc>
          <w:tcPr>
            <w:tcW w:w="2070" w:type="dxa"/>
            <w:gridSpan w:val="2"/>
            <w:noWrap w:val="0"/>
            <w:vAlign w:val="center"/>
          </w:tcPr>
          <w:p w14:paraId="2028CCFA">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现场办公</w:t>
            </w:r>
          </w:p>
          <w:p w14:paraId="03C03DE9">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生活设施</w:t>
            </w:r>
          </w:p>
        </w:tc>
        <w:tc>
          <w:tcPr>
            <w:tcW w:w="6645" w:type="dxa"/>
            <w:noWrap w:val="0"/>
            <w:vAlign w:val="center"/>
          </w:tcPr>
          <w:p w14:paraId="60F5DBD0">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施工现场办公、生活区与作业区分开设置，保持安全距离。</w:t>
            </w:r>
          </w:p>
          <w:p w14:paraId="153DBCE3">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工地办公室、现场宿舍、食堂、厕所、饮水、沐浴、休息场所等符合卫生、消防安全要求。</w:t>
            </w:r>
          </w:p>
        </w:tc>
      </w:tr>
      <w:tr w14:paraId="4FC3C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9C8026A">
            <w:pPr>
              <w:rPr>
                <w:rFonts w:hint="eastAsia" w:ascii="宋体" w:hAnsi="宋体" w:eastAsia="宋体" w:cs="宋体"/>
                <w:color w:val="auto"/>
                <w:highlight w:val="none"/>
              </w:rPr>
            </w:pPr>
          </w:p>
        </w:tc>
        <w:tc>
          <w:tcPr>
            <w:tcW w:w="525" w:type="dxa"/>
            <w:vMerge w:val="restart"/>
            <w:noWrap w:val="0"/>
            <w:vAlign w:val="center"/>
          </w:tcPr>
          <w:p w14:paraId="66349FF0">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施工现场</w:t>
            </w:r>
          </w:p>
          <w:p w14:paraId="27B1C44F">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临时用电</w:t>
            </w:r>
          </w:p>
        </w:tc>
        <w:tc>
          <w:tcPr>
            <w:tcW w:w="1545" w:type="dxa"/>
            <w:noWrap w:val="0"/>
            <w:vAlign w:val="center"/>
          </w:tcPr>
          <w:p w14:paraId="04351B6C">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配电线路</w:t>
            </w:r>
          </w:p>
        </w:tc>
        <w:tc>
          <w:tcPr>
            <w:tcW w:w="6645" w:type="dxa"/>
            <w:noWrap w:val="0"/>
            <w:vAlign w:val="center"/>
          </w:tcPr>
          <w:p w14:paraId="27A3F026">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按照TN-S系统要求配备五芯电缆、四芯电缆和三芯电缆。</w:t>
            </w:r>
          </w:p>
          <w:p w14:paraId="358570F9">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按要求架设临时用电线路的电杆、横担、瓷夹、瓷瓶等，或电缆埋地的地沟。</w:t>
            </w:r>
          </w:p>
          <w:p w14:paraId="4A586FD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3. 对靠近施工现场的外电线路，设置木质、塑料等绝缘体的防护设施。</w:t>
            </w:r>
          </w:p>
        </w:tc>
      </w:tr>
      <w:tr w14:paraId="3AA9F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B53846">
            <w:pPr>
              <w:rPr>
                <w:rFonts w:hint="eastAsia" w:ascii="宋体" w:hAnsi="宋体" w:eastAsia="宋体" w:cs="宋体"/>
                <w:color w:val="auto"/>
                <w:highlight w:val="none"/>
              </w:rPr>
            </w:pPr>
          </w:p>
        </w:tc>
        <w:tc>
          <w:tcPr>
            <w:tcW w:w="525" w:type="dxa"/>
            <w:vMerge w:val="continue"/>
            <w:noWrap w:val="0"/>
            <w:vAlign w:val="center"/>
          </w:tcPr>
          <w:p w14:paraId="1BE75513">
            <w:pPr>
              <w:rPr>
                <w:rFonts w:hint="eastAsia" w:ascii="宋体" w:hAnsi="宋体" w:eastAsia="宋体" w:cs="宋体"/>
                <w:color w:val="auto"/>
                <w:highlight w:val="none"/>
              </w:rPr>
            </w:pPr>
          </w:p>
        </w:tc>
        <w:tc>
          <w:tcPr>
            <w:tcW w:w="1545" w:type="dxa"/>
            <w:noWrap w:val="0"/>
            <w:vAlign w:val="center"/>
          </w:tcPr>
          <w:p w14:paraId="450C37D6">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配电箱</w:t>
            </w:r>
          </w:p>
          <w:p w14:paraId="55594AAA">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开关箱</w:t>
            </w:r>
          </w:p>
        </w:tc>
        <w:tc>
          <w:tcPr>
            <w:tcW w:w="6645" w:type="dxa"/>
            <w:noWrap w:val="0"/>
            <w:vAlign w:val="center"/>
          </w:tcPr>
          <w:p w14:paraId="0886CB5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按三级配电要求，配备总配电箱、分配电箱、开关箱三类（铁质）标准电箱，开关箱应符合“一机、一箱、一闸、一漏”，三类电箱中的各类电器应是合格品。</w:t>
            </w:r>
          </w:p>
          <w:p w14:paraId="7D5963B6">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按两级保护的要求，选取符合容量要求和质量合格的总配电箱和开关箱中的漏电保护器。</w:t>
            </w:r>
          </w:p>
          <w:p w14:paraId="53C3F39E">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3. 对大型、落地式分配电箱、开关箱设置防护棚和通透式围挡。</w:t>
            </w:r>
          </w:p>
        </w:tc>
      </w:tr>
      <w:tr w14:paraId="1DADA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5BC0C30B">
            <w:pPr>
              <w:rPr>
                <w:rFonts w:hint="eastAsia" w:ascii="宋体" w:hAnsi="宋体" w:eastAsia="宋体" w:cs="宋体"/>
                <w:color w:val="auto"/>
                <w:highlight w:val="none"/>
              </w:rPr>
            </w:pPr>
          </w:p>
        </w:tc>
        <w:tc>
          <w:tcPr>
            <w:tcW w:w="525" w:type="dxa"/>
            <w:vMerge w:val="continue"/>
            <w:noWrap w:val="0"/>
            <w:vAlign w:val="center"/>
          </w:tcPr>
          <w:p w14:paraId="3E3864AC">
            <w:pPr>
              <w:rPr>
                <w:rFonts w:hint="eastAsia" w:ascii="宋体" w:hAnsi="宋体" w:eastAsia="宋体" w:cs="宋体"/>
                <w:color w:val="auto"/>
                <w:highlight w:val="none"/>
              </w:rPr>
            </w:pPr>
          </w:p>
        </w:tc>
        <w:tc>
          <w:tcPr>
            <w:tcW w:w="1545" w:type="dxa"/>
            <w:noWrap w:val="0"/>
            <w:vAlign w:val="center"/>
          </w:tcPr>
          <w:p w14:paraId="22B36091">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接地装置</w:t>
            </w:r>
          </w:p>
        </w:tc>
        <w:tc>
          <w:tcPr>
            <w:tcW w:w="6645" w:type="dxa"/>
            <w:noWrap w:val="0"/>
            <w:vAlign w:val="center"/>
          </w:tcPr>
          <w:p w14:paraId="7468E708">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施工现场应设置不少于三处的重复接地装置。</w:t>
            </w:r>
          </w:p>
        </w:tc>
      </w:tr>
      <w:tr w14:paraId="668C8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284EB6E7">
            <w:pPr>
              <w:rPr>
                <w:rFonts w:hint="eastAsia" w:ascii="宋体" w:hAnsi="宋体" w:eastAsia="宋体" w:cs="宋体"/>
                <w:color w:val="auto"/>
                <w:highlight w:val="none"/>
              </w:rPr>
            </w:pPr>
          </w:p>
        </w:tc>
        <w:tc>
          <w:tcPr>
            <w:tcW w:w="525" w:type="dxa"/>
            <w:vMerge w:val="continue"/>
            <w:noWrap w:val="0"/>
            <w:vAlign w:val="center"/>
          </w:tcPr>
          <w:p w14:paraId="2AE56FEF">
            <w:pPr>
              <w:rPr>
                <w:rFonts w:hint="eastAsia" w:ascii="宋体" w:hAnsi="宋体" w:eastAsia="宋体" w:cs="宋体"/>
                <w:color w:val="auto"/>
                <w:highlight w:val="none"/>
              </w:rPr>
            </w:pPr>
          </w:p>
        </w:tc>
        <w:tc>
          <w:tcPr>
            <w:tcW w:w="1545" w:type="dxa"/>
            <w:noWrap w:val="0"/>
            <w:vAlign w:val="center"/>
          </w:tcPr>
          <w:p w14:paraId="598E8307">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现场变配电装置</w:t>
            </w:r>
          </w:p>
        </w:tc>
        <w:tc>
          <w:tcPr>
            <w:tcW w:w="6645" w:type="dxa"/>
            <w:noWrap w:val="0"/>
            <w:vAlign w:val="center"/>
          </w:tcPr>
          <w:p w14:paraId="44F295D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总配电房建筑材料必须达到消防防火要求，室内做硬地坪、电缆沟。</w:t>
            </w:r>
          </w:p>
        </w:tc>
      </w:tr>
      <w:tr w14:paraId="75352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25018B85">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类别</w:t>
            </w:r>
          </w:p>
        </w:tc>
        <w:tc>
          <w:tcPr>
            <w:tcW w:w="2070" w:type="dxa"/>
            <w:gridSpan w:val="2"/>
            <w:noWrap w:val="0"/>
            <w:vAlign w:val="center"/>
          </w:tcPr>
          <w:p w14:paraId="347C6CA0">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项目名称</w:t>
            </w:r>
          </w:p>
        </w:tc>
        <w:tc>
          <w:tcPr>
            <w:tcW w:w="6645" w:type="dxa"/>
            <w:noWrap w:val="0"/>
            <w:vAlign w:val="center"/>
          </w:tcPr>
          <w:p w14:paraId="746526BE">
            <w:pPr>
              <w:pStyle w:val="52"/>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SA"/>
              </w:rPr>
              <w:t>主要内容和要求</w:t>
            </w:r>
          </w:p>
        </w:tc>
      </w:tr>
      <w:tr w14:paraId="4CEE9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3568EEAE">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安全施工</w:t>
            </w:r>
          </w:p>
        </w:tc>
        <w:tc>
          <w:tcPr>
            <w:tcW w:w="525" w:type="dxa"/>
            <w:vMerge w:val="restart"/>
            <w:noWrap w:val="0"/>
            <w:vAlign w:val="center"/>
          </w:tcPr>
          <w:p w14:paraId="344E0B95">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高处作业防护</w:t>
            </w:r>
          </w:p>
        </w:tc>
        <w:tc>
          <w:tcPr>
            <w:tcW w:w="1545" w:type="dxa"/>
            <w:noWrap w:val="0"/>
            <w:vAlign w:val="center"/>
          </w:tcPr>
          <w:p w14:paraId="276E1B40">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楼层、屋面、阳台等临边</w:t>
            </w:r>
          </w:p>
        </w:tc>
        <w:tc>
          <w:tcPr>
            <w:tcW w:w="6645" w:type="dxa"/>
            <w:noWrap w:val="0"/>
            <w:vAlign w:val="center"/>
          </w:tcPr>
          <w:p w14:paraId="767157C6">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设两道防护栏杆和18cm高的踢脚板，用密目式安全立网全封闭。</w:t>
            </w:r>
          </w:p>
        </w:tc>
      </w:tr>
      <w:tr w14:paraId="6A2CE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0DBED1D">
            <w:pPr>
              <w:rPr>
                <w:rFonts w:hint="eastAsia" w:ascii="宋体" w:hAnsi="宋体" w:eastAsia="宋体" w:cs="宋体"/>
                <w:color w:val="auto"/>
                <w:highlight w:val="none"/>
              </w:rPr>
            </w:pPr>
          </w:p>
        </w:tc>
        <w:tc>
          <w:tcPr>
            <w:tcW w:w="525" w:type="dxa"/>
            <w:vMerge w:val="continue"/>
            <w:noWrap w:val="0"/>
            <w:vAlign w:val="center"/>
          </w:tcPr>
          <w:p w14:paraId="34D32EDC">
            <w:pPr>
              <w:rPr>
                <w:rFonts w:hint="eastAsia" w:ascii="宋体" w:hAnsi="宋体" w:eastAsia="宋体" w:cs="宋体"/>
                <w:color w:val="auto"/>
                <w:highlight w:val="none"/>
              </w:rPr>
            </w:pPr>
          </w:p>
        </w:tc>
        <w:tc>
          <w:tcPr>
            <w:tcW w:w="1545" w:type="dxa"/>
            <w:noWrap w:val="0"/>
            <w:vAlign w:val="center"/>
          </w:tcPr>
          <w:p w14:paraId="263C1BC1">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通道口</w:t>
            </w:r>
          </w:p>
        </w:tc>
        <w:tc>
          <w:tcPr>
            <w:tcW w:w="6645" w:type="dxa"/>
            <w:noWrap w:val="0"/>
            <w:vAlign w:val="center"/>
          </w:tcPr>
          <w:p w14:paraId="4AC8FC3B">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设防护棚，防护棚应为不小于5cm厚的木板或两道相距50cm的竹笆。两侧应沿栏杆架用密目式安全网封闭。</w:t>
            </w:r>
          </w:p>
        </w:tc>
      </w:tr>
      <w:tr w14:paraId="7A54D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42A981">
            <w:pPr>
              <w:rPr>
                <w:rFonts w:hint="eastAsia" w:ascii="宋体" w:hAnsi="宋体" w:eastAsia="宋体" w:cs="宋体"/>
                <w:color w:val="auto"/>
                <w:highlight w:val="none"/>
              </w:rPr>
            </w:pPr>
          </w:p>
        </w:tc>
        <w:tc>
          <w:tcPr>
            <w:tcW w:w="525" w:type="dxa"/>
            <w:vMerge w:val="continue"/>
            <w:noWrap w:val="0"/>
            <w:vAlign w:val="center"/>
          </w:tcPr>
          <w:p w14:paraId="21A02A0B">
            <w:pPr>
              <w:rPr>
                <w:rFonts w:hint="eastAsia" w:ascii="宋体" w:hAnsi="宋体" w:eastAsia="宋体" w:cs="宋体"/>
                <w:color w:val="auto"/>
                <w:highlight w:val="none"/>
              </w:rPr>
            </w:pPr>
          </w:p>
        </w:tc>
        <w:tc>
          <w:tcPr>
            <w:tcW w:w="1545" w:type="dxa"/>
            <w:noWrap w:val="0"/>
            <w:vAlign w:val="center"/>
          </w:tcPr>
          <w:p w14:paraId="7DB6B071">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预留洞口</w:t>
            </w:r>
          </w:p>
        </w:tc>
        <w:tc>
          <w:tcPr>
            <w:tcW w:w="6645" w:type="dxa"/>
            <w:noWrap w:val="0"/>
            <w:vAlign w:val="center"/>
          </w:tcPr>
          <w:p w14:paraId="5C8E60B7">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用硬质材料全封闭，短边超过1.5m长的洞口，除封闭外四周还应设有防护栏杆。</w:t>
            </w:r>
          </w:p>
        </w:tc>
      </w:tr>
      <w:tr w14:paraId="6C1B3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630097A8">
            <w:pPr>
              <w:rPr>
                <w:rFonts w:hint="eastAsia" w:ascii="宋体" w:hAnsi="宋体" w:eastAsia="宋体" w:cs="宋体"/>
                <w:color w:val="auto"/>
                <w:highlight w:val="none"/>
              </w:rPr>
            </w:pPr>
          </w:p>
        </w:tc>
        <w:tc>
          <w:tcPr>
            <w:tcW w:w="525" w:type="dxa"/>
            <w:vMerge w:val="continue"/>
            <w:noWrap w:val="0"/>
            <w:vAlign w:val="center"/>
          </w:tcPr>
          <w:p w14:paraId="49A2FA07">
            <w:pPr>
              <w:rPr>
                <w:rFonts w:hint="eastAsia" w:ascii="宋体" w:hAnsi="宋体" w:eastAsia="宋体" w:cs="宋体"/>
                <w:color w:val="auto"/>
                <w:highlight w:val="none"/>
              </w:rPr>
            </w:pPr>
          </w:p>
        </w:tc>
        <w:tc>
          <w:tcPr>
            <w:tcW w:w="1545" w:type="dxa"/>
            <w:noWrap w:val="0"/>
            <w:vAlign w:val="center"/>
          </w:tcPr>
          <w:p w14:paraId="1944AAA4">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电梯井口</w:t>
            </w:r>
          </w:p>
        </w:tc>
        <w:tc>
          <w:tcPr>
            <w:tcW w:w="6645" w:type="dxa"/>
            <w:noWrap w:val="0"/>
            <w:vAlign w:val="center"/>
          </w:tcPr>
          <w:p w14:paraId="0DA05ADC">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设置定型化、工具化的防护门，在电梯井内每隔2层（不大于10m）设置一道水平防护。</w:t>
            </w:r>
          </w:p>
        </w:tc>
      </w:tr>
      <w:tr w14:paraId="27207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D4FD705">
            <w:pPr>
              <w:rPr>
                <w:rFonts w:hint="eastAsia" w:ascii="宋体" w:hAnsi="宋体" w:eastAsia="宋体" w:cs="宋体"/>
                <w:color w:val="auto"/>
                <w:highlight w:val="none"/>
              </w:rPr>
            </w:pPr>
          </w:p>
        </w:tc>
        <w:tc>
          <w:tcPr>
            <w:tcW w:w="525" w:type="dxa"/>
            <w:vMerge w:val="continue"/>
            <w:noWrap w:val="0"/>
            <w:vAlign w:val="center"/>
          </w:tcPr>
          <w:p w14:paraId="0EE99F1C">
            <w:pPr>
              <w:rPr>
                <w:rFonts w:hint="eastAsia" w:ascii="宋体" w:hAnsi="宋体" w:eastAsia="宋体" w:cs="宋体"/>
                <w:color w:val="auto"/>
                <w:highlight w:val="none"/>
              </w:rPr>
            </w:pPr>
          </w:p>
        </w:tc>
        <w:tc>
          <w:tcPr>
            <w:tcW w:w="1545" w:type="dxa"/>
            <w:noWrap w:val="0"/>
            <w:vAlign w:val="center"/>
          </w:tcPr>
          <w:p w14:paraId="36A73A46">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楼梯边</w:t>
            </w:r>
          </w:p>
        </w:tc>
        <w:tc>
          <w:tcPr>
            <w:tcW w:w="6645" w:type="dxa"/>
            <w:noWrap w:val="0"/>
            <w:vAlign w:val="center"/>
          </w:tcPr>
          <w:p w14:paraId="20D8B15F">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设1.2m高的定型化、工具化的防护栏，18cm高的踢脚板。</w:t>
            </w:r>
          </w:p>
        </w:tc>
      </w:tr>
      <w:tr w14:paraId="76243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A47C4DE">
            <w:pPr>
              <w:rPr>
                <w:rFonts w:hint="eastAsia" w:ascii="宋体" w:hAnsi="宋体" w:eastAsia="宋体" w:cs="宋体"/>
                <w:color w:val="auto"/>
                <w:highlight w:val="none"/>
              </w:rPr>
            </w:pPr>
          </w:p>
        </w:tc>
        <w:tc>
          <w:tcPr>
            <w:tcW w:w="525" w:type="dxa"/>
            <w:vMerge w:val="continue"/>
            <w:noWrap w:val="0"/>
            <w:vAlign w:val="center"/>
          </w:tcPr>
          <w:p w14:paraId="1025C7D1">
            <w:pPr>
              <w:rPr>
                <w:rFonts w:hint="eastAsia" w:ascii="宋体" w:hAnsi="宋体" w:eastAsia="宋体" w:cs="宋体"/>
                <w:color w:val="auto"/>
                <w:highlight w:val="none"/>
              </w:rPr>
            </w:pPr>
          </w:p>
        </w:tc>
        <w:tc>
          <w:tcPr>
            <w:tcW w:w="1545" w:type="dxa"/>
            <w:noWrap w:val="0"/>
            <w:vAlign w:val="center"/>
          </w:tcPr>
          <w:p w14:paraId="50A16814">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垂直方向交叉作业</w:t>
            </w:r>
          </w:p>
        </w:tc>
        <w:tc>
          <w:tcPr>
            <w:tcW w:w="6645" w:type="dxa"/>
            <w:noWrap w:val="0"/>
            <w:vAlign w:val="center"/>
          </w:tcPr>
          <w:p w14:paraId="5DF423B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设置防护隔离棚或其它设施。</w:t>
            </w:r>
          </w:p>
        </w:tc>
      </w:tr>
      <w:tr w14:paraId="39D44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2CE7875">
            <w:pPr>
              <w:rPr>
                <w:rFonts w:hint="eastAsia" w:ascii="宋体" w:hAnsi="宋体" w:eastAsia="宋体" w:cs="宋体"/>
                <w:color w:val="auto"/>
                <w:highlight w:val="none"/>
              </w:rPr>
            </w:pPr>
          </w:p>
        </w:tc>
        <w:tc>
          <w:tcPr>
            <w:tcW w:w="525" w:type="dxa"/>
            <w:vMerge w:val="continue"/>
            <w:noWrap w:val="0"/>
            <w:vAlign w:val="center"/>
          </w:tcPr>
          <w:p w14:paraId="59069566">
            <w:pPr>
              <w:rPr>
                <w:rFonts w:hint="eastAsia" w:ascii="宋体" w:hAnsi="宋体" w:eastAsia="宋体" w:cs="宋体"/>
                <w:color w:val="auto"/>
                <w:highlight w:val="none"/>
              </w:rPr>
            </w:pPr>
          </w:p>
        </w:tc>
        <w:tc>
          <w:tcPr>
            <w:tcW w:w="1545" w:type="dxa"/>
            <w:noWrap w:val="0"/>
            <w:vAlign w:val="center"/>
          </w:tcPr>
          <w:p w14:paraId="1CA17FCD">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高处作业</w:t>
            </w:r>
          </w:p>
        </w:tc>
        <w:tc>
          <w:tcPr>
            <w:tcW w:w="6645" w:type="dxa"/>
            <w:noWrap w:val="0"/>
            <w:vAlign w:val="center"/>
          </w:tcPr>
          <w:p w14:paraId="2C1D2C02">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有悬挂安全带的悬索或其它设施，有操作平台，有上下的梯子或其它形式的通道。</w:t>
            </w:r>
          </w:p>
        </w:tc>
      </w:tr>
      <w:tr w14:paraId="727E4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0F9F7A0">
            <w:pPr>
              <w:rPr>
                <w:rFonts w:hint="eastAsia" w:ascii="宋体" w:hAnsi="宋体" w:eastAsia="宋体" w:cs="宋体"/>
                <w:color w:val="auto"/>
                <w:highlight w:val="none"/>
              </w:rPr>
            </w:pPr>
          </w:p>
        </w:tc>
        <w:tc>
          <w:tcPr>
            <w:tcW w:w="525" w:type="dxa"/>
            <w:vMerge w:val="continue"/>
            <w:noWrap w:val="0"/>
            <w:vAlign w:val="center"/>
          </w:tcPr>
          <w:p w14:paraId="5570EDF4">
            <w:pPr>
              <w:rPr>
                <w:rFonts w:hint="eastAsia" w:ascii="宋体" w:hAnsi="宋体" w:eastAsia="宋体" w:cs="宋体"/>
                <w:color w:val="auto"/>
                <w:highlight w:val="none"/>
              </w:rPr>
            </w:pPr>
          </w:p>
        </w:tc>
        <w:tc>
          <w:tcPr>
            <w:tcW w:w="1545" w:type="dxa"/>
            <w:noWrap w:val="0"/>
            <w:vAlign w:val="center"/>
          </w:tcPr>
          <w:p w14:paraId="42D2D9A5">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基坑、物料平台</w:t>
            </w:r>
          </w:p>
        </w:tc>
        <w:tc>
          <w:tcPr>
            <w:tcW w:w="6645" w:type="dxa"/>
            <w:noWrap w:val="0"/>
            <w:vAlign w:val="center"/>
          </w:tcPr>
          <w:p w14:paraId="4088BD93">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设1.2m高标准化的防护栏，用密目式安全立网封闭，悬挂标识。</w:t>
            </w:r>
          </w:p>
        </w:tc>
      </w:tr>
      <w:tr w14:paraId="7FCC3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5E8980">
            <w:pPr>
              <w:rPr>
                <w:rFonts w:hint="eastAsia" w:ascii="宋体" w:hAnsi="宋体" w:eastAsia="宋体" w:cs="宋体"/>
                <w:color w:val="auto"/>
                <w:highlight w:val="none"/>
              </w:rPr>
            </w:pPr>
          </w:p>
        </w:tc>
        <w:tc>
          <w:tcPr>
            <w:tcW w:w="2070" w:type="dxa"/>
            <w:gridSpan w:val="2"/>
            <w:noWrap w:val="0"/>
            <w:vAlign w:val="center"/>
          </w:tcPr>
          <w:p w14:paraId="7BEC0172">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安全防护用品</w:t>
            </w:r>
          </w:p>
        </w:tc>
        <w:tc>
          <w:tcPr>
            <w:tcW w:w="6645" w:type="dxa"/>
            <w:noWrap w:val="0"/>
            <w:vAlign w:val="center"/>
          </w:tcPr>
          <w:p w14:paraId="6CF988E8">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安全帽、安全带、特种作业人员（电工、焊工、架子工等）防护服装、用品等。</w:t>
            </w:r>
          </w:p>
        </w:tc>
      </w:tr>
      <w:tr w14:paraId="019B7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71566C63">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其它</w:t>
            </w:r>
          </w:p>
        </w:tc>
        <w:tc>
          <w:tcPr>
            <w:tcW w:w="525" w:type="dxa"/>
            <w:vMerge w:val="restart"/>
            <w:noWrap w:val="0"/>
            <w:vAlign w:val="center"/>
          </w:tcPr>
          <w:p w14:paraId="5F7E821F">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机械设备防护</w:t>
            </w:r>
          </w:p>
        </w:tc>
        <w:tc>
          <w:tcPr>
            <w:tcW w:w="1545" w:type="dxa"/>
            <w:noWrap w:val="0"/>
            <w:vAlign w:val="center"/>
          </w:tcPr>
          <w:p w14:paraId="16178C28">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中小型机械</w:t>
            </w:r>
          </w:p>
        </w:tc>
        <w:tc>
          <w:tcPr>
            <w:tcW w:w="6645" w:type="dxa"/>
            <w:noWrap w:val="0"/>
            <w:vAlign w:val="center"/>
          </w:tcPr>
          <w:p w14:paraId="0C082E7A">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设防护棚（同通道口防护并有防雨措施）。</w:t>
            </w:r>
          </w:p>
        </w:tc>
      </w:tr>
      <w:tr w14:paraId="69DA5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0F5C3C3">
            <w:pPr>
              <w:rPr>
                <w:rFonts w:hint="eastAsia" w:ascii="宋体" w:hAnsi="宋体" w:eastAsia="宋体" w:cs="宋体"/>
                <w:color w:val="auto"/>
                <w:highlight w:val="none"/>
              </w:rPr>
            </w:pPr>
          </w:p>
        </w:tc>
        <w:tc>
          <w:tcPr>
            <w:tcW w:w="525" w:type="dxa"/>
            <w:vMerge w:val="continue"/>
            <w:noWrap w:val="0"/>
            <w:vAlign w:val="center"/>
          </w:tcPr>
          <w:p w14:paraId="1ADD66CF">
            <w:pPr>
              <w:rPr>
                <w:rFonts w:hint="eastAsia" w:ascii="宋体" w:hAnsi="宋体" w:eastAsia="宋体" w:cs="宋体"/>
                <w:color w:val="auto"/>
                <w:highlight w:val="none"/>
              </w:rPr>
            </w:pPr>
          </w:p>
        </w:tc>
        <w:tc>
          <w:tcPr>
            <w:tcW w:w="1545" w:type="dxa"/>
            <w:noWrap w:val="0"/>
            <w:vAlign w:val="center"/>
          </w:tcPr>
          <w:p w14:paraId="68EB116E">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垂直运输设备</w:t>
            </w:r>
          </w:p>
        </w:tc>
        <w:tc>
          <w:tcPr>
            <w:tcW w:w="6645" w:type="dxa"/>
            <w:noWrap w:val="0"/>
            <w:vAlign w:val="center"/>
          </w:tcPr>
          <w:p w14:paraId="174903C9">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1. 垂直运输设备检测、检验、日常维护、保养等。</w:t>
            </w:r>
          </w:p>
          <w:p w14:paraId="77D84ED4">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2. 物料提升机、施工电梯等物料平台搭设、外侧用密目式安全立网全封闭，有安全通道、安全防护门、防护棚等。</w:t>
            </w:r>
          </w:p>
        </w:tc>
      </w:tr>
      <w:tr w14:paraId="73588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06263C4">
            <w:pPr>
              <w:rPr>
                <w:rFonts w:hint="eastAsia" w:ascii="宋体" w:hAnsi="宋体" w:eastAsia="宋体" w:cs="宋体"/>
                <w:color w:val="auto"/>
                <w:highlight w:val="none"/>
              </w:rPr>
            </w:pPr>
          </w:p>
        </w:tc>
        <w:tc>
          <w:tcPr>
            <w:tcW w:w="2070" w:type="dxa"/>
            <w:gridSpan w:val="2"/>
            <w:noWrap w:val="0"/>
            <w:vAlign w:val="center"/>
          </w:tcPr>
          <w:p w14:paraId="643AE575">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专家论证审查</w:t>
            </w:r>
          </w:p>
        </w:tc>
        <w:tc>
          <w:tcPr>
            <w:tcW w:w="6645" w:type="dxa"/>
            <w:noWrap w:val="0"/>
            <w:vAlign w:val="center"/>
          </w:tcPr>
          <w:p w14:paraId="083601E1">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超过一定规模的危险性较大分部分项工程专家论证审查。</w:t>
            </w:r>
          </w:p>
        </w:tc>
      </w:tr>
      <w:tr w14:paraId="4F56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84A08BB">
            <w:pPr>
              <w:rPr>
                <w:rFonts w:hint="eastAsia" w:ascii="宋体" w:hAnsi="宋体" w:eastAsia="宋体" w:cs="宋体"/>
                <w:color w:val="auto"/>
                <w:highlight w:val="none"/>
              </w:rPr>
            </w:pPr>
          </w:p>
        </w:tc>
        <w:tc>
          <w:tcPr>
            <w:tcW w:w="2070" w:type="dxa"/>
            <w:gridSpan w:val="2"/>
            <w:noWrap w:val="0"/>
            <w:vAlign w:val="center"/>
          </w:tcPr>
          <w:p w14:paraId="450E7B1F">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应急救援预案</w:t>
            </w:r>
          </w:p>
        </w:tc>
        <w:tc>
          <w:tcPr>
            <w:tcW w:w="6645" w:type="dxa"/>
            <w:noWrap w:val="0"/>
            <w:vAlign w:val="center"/>
          </w:tcPr>
          <w:p w14:paraId="6E634B92">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救援器材准备及演练等。</w:t>
            </w:r>
          </w:p>
        </w:tc>
      </w:tr>
      <w:tr w14:paraId="1989C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32528D88">
            <w:pPr>
              <w:rPr>
                <w:rFonts w:hint="eastAsia" w:ascii="宋体" w:hAnsi="宋体" w:eastAsia="宋体" w:cs="宋体"/>
                <w:color w:val="auto"/>
                <w:highlight w:val="none"/>
              </w:rPr>
            </w:pPr>
          </w:p>
        </w:tc>
        <w:tc>
          <w:tcPr>
            <w:tcW w:w="2070" w:type="dxa"/>
            <w:gridSpan w:val="2"/>
            <w:tcBorders>
              <w:bottom w:val="single" w:color="auto" w:sz="12" w:space="0"/>
            </w:tcBorders>
            <w:noWrap w:val="0"/>
            <w:vAlign w:val="center"/>
          </w:tcPr>
          <w:p w14:paraId="2CD50CA4">
            <w:pPr>
              <w:pStyle w:val="52"/>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非正常情况施工</w:t>
            </w:r>
          </w:p>
        </w:tc>
        <w:tc>
          <w:tcPr>
            <w:tcW w:w="6645" w:type="dxa"/>
            <w:tcBorders>
              <w:bottom w:val="single" w:color="auto" w:sz="12" w:space="0"/>
            </w:tcBorders>
            <w:noWrap w:val="0"/>
            <w:vAlign w:val="center"/>
          </w:tcPr>
          <w:p w14:paraId="51802125">
            <w:pPr>
              <w:pStyle w:val="52"/>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SA"/>
              </w:rPr>
              <w:t>其它特殊情况下的防护费用，如：城市主干道、人流密集、河边等处施工及文物、古建筑、古树保护等。</w:t>
            </w:r>
          </w:p>
        </w:tc>
      </w:tr>
    </w:tbl>
    <w:p w14:paraId="00319277">
      <w:pPr>
        <w:pStyle w:val="52"/>
        <w:spacing w:line="240" w:lineRule="atLeast"/>
        <w:ind w:firstLine="546"/>
        <w:jc w:val="center"/>
        <w:rPr>
          <w:rFonts w:hint="eastAsia" w:ascii="宋体" w:hAnsi="宋体" w:eastAsia="宋体" w:cs="宋体"/>
          <w:b/>
          <w:bCs/>
          <w:color w:val="auto"/>
          <w:w w:val="90"/>
          <w:sz w:val="24"/>
          <w:szCs w:val="24"/>
          <w:highlight w:val="none"/>
        </w:rPr>
      </w:pPr>
    </w:p>
    <w:p w14:paraId="14F56363">
      <w:pPr>
        <w:pStyle w:val="52"/>
        <w:spacing w:before="156"/>
        <w:ind w:firstLine="420" w:firstLineChars="200"/>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注：本表所列建筑工程安全文明施工费，是依据现行法律法规及标准规范确定的。如法律法规和标准规范修订，本表所列项目应按照修订后的法律法规和标准规范进行调整。</w:t>
      </w:r>
    </w:p>
    <w:p w14:paraId="3038B195">
      <w:pPr>
        <w:pStyle w:val="3"/>
        <w:numPr>
          <w:ilvl w:val="0"/>
          <w:numId w:val="0"/>
        </w:numPr>
        <w:rPr>
          <w:rFonts w:hint="eastAsia" w:ascii="宋体" w:hAnsi="宋体" w:cs="宋体"/>
          <w:b/>
          <w:color w:val="auto"/>
          <w:sz w:val="21"/>
          <w:szCs w:val="21"/>
          <w:highlight w:val="none"/>
          <w:lang w:val="en-US" w:eastAsia="zh-CN"/>
        </w:rPr>
      </w:pPr>
      <w:bookmarkStart w:id="1808" w:name="_Toc26788"/>
      <w:bookmarkStart w:id="1809" w:name="_Toc21352"/>
      <w:bookmarkStart w:id="1810" w:name="_Toc10529"/>
      <w:bookmarkStart w:id="1811" w:name="_Toc28672"/>
      <w:bookmarkStart w:id="1812" w:name="_Toc9339"/>
      <w:bookmarkStart w:id="1813" w:name="_Toc497927084"/>
    </w:p>
    <w:p w14:paraId="171A45E0">
      <w:pPr>
        <w:rPr>
          <w:rFonts w:hint="eastAsia" w:ascii="宋体" w:hAnsi="宋体" w:cs="宋体"/>
          <w:b/>
          <w:color w:val="auto"/>
          <w:sz w:val="21"/>
          <w:szCs w:val="21"/>
          <w:highlight w:val="none"/>
          <w:lang w:val="en-US" w:eastAsia="zh-CN"/>
        </w:rPr>
      </w:pPr>
    </w:p>
    <w:p w14:paraId="70BA9104">
      <w:pPr>
        <w:rPr>
          <w:rFonts w:hint="eastAsia" w:ascii="宋体" w:hAnsi="宋体" w:cs="宋体"/>
          <w:b/>
          <w:color w:val="auto"/>
          <w:sz w:val="21"/>
          <w:szCs w:val="21"/>
          <w:highlight w:val="none"/>
          <w:lang w:val="en-US" w:eastAsia="zh-CN"/>
        </w:rPr>
      </w:pPr>
    </w:p>
    <w:bookmarkEnd w:id="1808"/>
    <w:bookmarkEnd w:id="1809"/>
    <w:bookmarkEnd w:id="1810"/>
    <w:p w14:paraId="38F925CF">
      <w:pPr>
        <w:widowControl w:val="0"/>
        <w:numPr>
          <w:ilvl w:val="0"/>
          <w:numId w:val="0"/>
        </w:numPr>
        <w:jc w:val="both"/>
        <w:rPr>
          <w:rFonts w:hint="eastAsia" w:ascii="宋体" w:hAnsi="宋体" w:eastAsia="宋体" w:cs="宋体"/>
          <w:color w:val="auto"/>
          <w:sz w:val="21"/>
          <w:szCs w:val="21"/>
          <w:highlight w:val="none"/>
        </w:rPr>
      </w:pPr>
    </w:p>
    <w:p w14:paraId="50F7FD01">
      <w:pPr>
        <w:rPr>
          <w:rFonts w:hint="eastAsia" w:ascii="宋体" w:hAnsi="宋体" w:eastAsia="宋体" w:cs="宋体"/>
          <w:color w:val="auto"/>
          <w:sz w:val="21"/>
          <w:szCs w:val="21"/>
          <w:highlight w:val="none"/>
        </w:rPr>
      </w:pPr>
    </w:p>
    <w:bookmarkEnd w:id="1811"/>
    <w:bookmarkEnd w:id="1812"/>
    <w:bookmarkEnd w:id="1813"/>
    <w:p w14:paraId="53DFEFBB">
      <w:pPr>
        <w:spacing w:line="360" w:lineRule="auto"/>
        <w:ind w:firstLine="420" w:firstLineChars="200"/>
        <w:rPr>
          <w:rFonts w:hint="eastAsia" w:ascii="宋体" w:hAnsi="宋体" w:eastAsia="宋体" w:cs="宋体"/>
          <w:color w:val="auto"/>
          <w:sz w:val="21"/>
          <w:szCs w:val="21"/>
          <w:highlight w:val="none"/>
        </w:rPr>
      </w:pPr>
    </w:p>
    <w:p w14:paraId="13FBE2B9">
      <w:pPr>
        <w:pStyle w:val="26"/>
        <w:rPr>
          <w:rFonts w:hint="eastAsia" w:ascii="宋体" w:hAnsi="宋体" w:eastAsia="宋体" w:cs="宋体"/>
          <w:b/>
          <w:bCs/>
          <w:color w:val="auto"/>
          <w:sz w:val="21"/>
          <w:szCs w:val="21"/>
          <w:highlight w:val="none"/>
        </w:rPr>
      </w:pPr>
    </w:p>
    <w:p w14:paraId="5DB2A296">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sz w:val="24"/>
          <w:szCs w:val="24"/>
          <w:highlight w:val="none"/>
        </w:rPr>
        <w:t>其</w:t>
      </w:r>
      <w:r>
        <w:rPr>
          <w:rFonts w:hint="eastAsia" w:ascii="宋体" w:hAnsi="宋体" w:eastAsia="宋体" w:cs="宋体"/>
          <w:b/>
          <w:bCs/>
          <w:color w:val="auto"/>
          <w:sz w:val="24"/>
          <w:szCs w:val="24"/>
          <w:highlight w:val="none"/>
          <w:lang w:eastAsia="zh-CN"/>
        </w:rPr>
        <w:t>他</w:t>
      </w:r>
      <w:r>
        <w:rPr>
          <w:rFonts w:hint="eastAsia" w:ascii="宋体" w:hAnsi="宋体" w:eastAsia="宋体" w:cs="宋体"/>
          <w:b/>
          <w:bCs/>
          <w:color w:val="auto"/>
          <w:sz w:val="24"/>
          <w:szCs w:val="24"/>
          <w:highlight w:val="none"/>
        </w:rPr>
        <w:t>有效证明材料</w:t>
      </w:r>
    </w:p>
    <w:p w14:paraId="7020250E">
      <w:pPr>
        <w:spacing w:line="240" w:lineRule="auto"/>
        <w:rPr>
          <w:rFonts w:hint="eastAsia" w:ascii="宋体" w:hAnsi="宋体" w:eastAsia="宋体" w:cs="宋体"/>
          <w:b/>
          <w:bCs/>
          <w:iCs/>
          <w:color w:val="auto"/>
          <w:kern w:val="2"/>
          <w:sz w:val="21"/>
          <w:szCs w:val="21"/>
          <w:highlight w:val="none"/>
          <w:lang w:val="en-US" w:eastAsia="zh-CN" w:bidi="ar-SA"/>
        </w:rPr>
      </w:pPr>
    </w:p>
    <w:p w14:paraId="4AA323EB">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2023</w:t>
      </w:r>
      <w:r>
        <w:rPr>
          <w:rFonts w:hint="eastAsia" w:ascii="宋体" w:hAnsi="宋体" w:eastAsia="宋体" w:cs="宋体"/>
          <w:color w:val="auto"/>
          <w:sz w:val="21"/>
          <w:szCs w:val="21"/>
          <w:highlight w:val="none"/>
          <w:lang w:eastAsia="zh-CN"/>
        </w:rPr>
        <w:t>年1月1日以来具有同类项目业绩的相关证明材料</w:t>
      </w:r>
      <w:r>
        <w:rPr>
          <w:rFonts w:hint="eastAsia" w:ascii="宋体" w:hAnsi="宋体" w:eastAsia="宋体" w:cs="宋体"/>
          <w:color w:val="auto"/>
          <w:sz w:val="21"/>
          <w:szCs w:val="21"/>
          <w:highlight w:val="none"/>
        </w:rPr>
        <w:t>（无不良记录，以中标、成交通知书或签订的合同</w:t>
      </w:r>
      <w:r>
        <w:rPr>
          <w:rFonts w:hint="eastAsia" w:ascii="宋体" w:hAnsi="宋体" w:eastAsia="宋体" w:cs="宋体"/>
          <w:color w:val="auto"/>
          <w:sz w:val="21"/>
          <w:szCs w:val="21"/>
          <w:highlight w:val="none"/>
          <w:lang w:eastAsia="zh-CN"/>
        </w:rPr>
        <w:t>复印件</w:t>
      </w:r>
      <w:r>
        <w:rPr>
          <w:rFonts w:hint="eastAsia" w:ascii="宋体" w:hAnsi="宋体" w:eastAsia="宋体" w:cs="宋体"/>
          <w:color w:val="auto"/>
          <w:sz w:val="21"/>
          <w:szCs w:val="21"/>
          <w:highlight w:val="none"/>
        </w:rPr>
        <w:t>为准，并能清晰反映</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的名称、</w:t>
      </w:r>
      <w:r>
        <w:rPr>
          <w:rFonts w:hint="eastAsia" w:ascii="宋体" w:hAnsi="宋体" w:eastAsia="宋体" w:cs="宋体"/>
          <w:color w:val="auto"/>
          <w:sz w:val="21"/>
          <w:szCs w:val="21"/>
          <w:highlight w:val="none"/>
          <w:lang w:eastAsia="zh-CN"/>
        </w:rPr>
        <w:t>采购内容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、采购时间</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（如有，请提供）；</w:t>
      </w:r>
    </w:p>
    <w:p w14:paraId="36D3A473">
      <w:pPr>
        <w:spacing w:line="240" w:lineRule="auto"/>
        <w:rPr>
          <w:rFonts w:hint="eastAsia" w:ascii="宋体" w:hAnsi="宋体" w:cs="宋体"/>
          <w:b/>
          <w:bCs/>
          <w:iCs/>
          <w:color w:val="auto"/>
          <w:kern w:val="2"/>
          <w:sz w:val="21"/>
          <w:szCs w:val="21"/>
          <w:highlight w:val="none"/>
          <w:lang w:val="en-US" w:eastAsia="zh-CN" w:bidi="ar-SA"/>
        </w:rPr>
      </w:pPr>
    </w:p>
    <w:p w14:paraId="3FBC25F0">
      <w:pPr>
        <w:spacing w:line="240" w:lineRule="auto"/>
        <w:rPr>
          <w:rFonts w:hint="eastAsia" w:ascii="宋体" w:hAnsi="宋体" w:cs="宋体"/>
          <w:b/>
          <w:bCs/>
          <w:iCs/>
          <w:color w:val="auto"/>
          <w:kern w:val="2"/>
          <w:sz w:val="21"/>
          <w:szCs w:val="21"/>
          <w:highlight w:val="none"/>
          <w:lang w:val="en-US" w:eastAsia="zh-CN" w:bidi="ar-SA"/>
        </w:rPr>
      </w:pPr>
    </w:p>
    <w:p w14:paraId="1C4ACCE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2.供应商可结合本项目评审办法中的自身情况自行提交其它相关证明材料。</w:t>
      </w:r>
    </w:p>
    <w:p w14:paraId="607772EF">
      <w:pPr>
        <w:bidi w:val="0"/>
        <w:rPr>
          <w:rFonts w:hint="eastAsia" w:ascii="宋体" w:hAnsi="宋体" w:eastAsia="宋体" w:cs="宋体"/>
          <w:color w:val="auto"/>
          <w:sz w:val="21"/>
          <w:szCs w:val="21"/>
          <w:highlight w:val="none"/>
          <w:lang w:val="en-US" w:eastAsia="zh-CN"/>
        </w:rPr>
      </w:pPr>
    </w:p>
    <w:p w14:paraId="3424BD56">
      <w:pPr>
        <w:rPr>
          <w:rFonts w:hint="eastAsia" w:ascii="宋体" w:hAnsi="宋体" w:eastAsia="宋体" w:cs="宋体"/>
          <w:color w:val="auto"/>
          <w:sz w:val="21"/>
          <w:szCs w:val="21"/>
          <w:highlight w:val="none"/>
          <w:lang w:val="en-US" w:eastAsia="zh-CN"/>
        </w:rPr>
      </w:pPr>
    </w:p>
    <w:p w14:paraId="54829219">
      <w:pPr>
        <w:pStyle w:val="2"/>
        <w:spacing w:line="240" w:lineRule="auto"/>
        <w:jc w:val="center"/>
        <w:rPr>
          <w:rFonts w:hint="eastAsia" w:ascii="宋体" w:hAnsi="宋体" w:eastAsia="宋体" w:cs="宋体"/>
          <w:color w:val="auto"/>
          <w:sz w:val="21"/>
          <w:szCs w:val="21"/>
          <w:highlight w:val="none"/>
        </w:rPr>
      </w:pPr>
      <w:bookmarkStart w:id="1814" w:name="_Toc1637952"/>
      <w:bookmarkStart w:id="1815" w:name="_Toc16390"/>
      <w:bookmarkStart w:id="1816" w:name="_Toc6973"/>
      <w:bookmarkStart w:id="1817" w:name="_Toc22545"/>
      <w:bookmarkStart w:id="1818" w:name="_Toc12385"/>
      <w:bookmarkStart w:id="1819" w:name="_Toc18780"/>
      <w:bookmarkStart w:id="1820" w:name="_Toc2237"/>
    </w:p>
    <w:p w14:paraId="0027ABB5">
      <w:pPr>
        <w:pStyle w:val="2"/>
        <w:spacing w:line="240" w:lineRule="auto"/>
        <w:jc w:val="center"/>
        <w:rPr>
          <w:rFonts w:hint="eastAsia" w:ascii="宋体" w:hAnsi="宋体" w:eastAsia="宋体" w:cs="宋体"/>
          <w:color w:val="auto"/>
          <w:sz w:val="21"/>
          <w:szCs w:val="21"/>
          <w:highlight w:val="none"/>
        </w:rPr>
      </w:pPr>
    </w:p>
    <w:p w14:paraId="67D96ABA">
      <w:pPr>
        <w:rPr>
          <w:rFonts w:hint="eastAsia" w:ascii="宋体" w:hAnsi="宋体" w:eastAsia="宋体" w:cs="宋体"/>
          <w:color w:val="auto"/>
          <w:sz w:val="21"/>
          <w:szCs w:val="21"/>
          <w:highlight w:val="none"/>
        </w:rPr>
      </w:pPr>
    </w:p>
    <w:p w14:paraId="24203531">
      <w:pPr>
        <w:pStyle w:val="11"/>
        <w:rPr>
          <w:rFonts w:hint="eastAsia" w:ascii="宋体" w:hAnsi="宋体" w:eastAsia="宋体" w:cs="宋体"/>
          <w:color w:val="auto"/>
          <w:sz w:val="21"/>
          <w:szCs w:val="21"/>
          <w:highlight w:val="none"/>
        </w:rPr>
      </w:pPr>
    </w:p>
    <w:p w14:paraId="77C2DD98">
      <w:pPr>
        <w:rPr>
          <w:rFonts w:hint="eastAsia" w:ascii="宋体" w:hAnsi="宋体" w:eastAsia="宋体" w:cs="宋体"/>
          <w:color w:val="auto"/>
          <w:sz w:val="21"/>
          <w:szCs w:val="21"/>
          <w:highlight w:val="none"/>
        </w:rPr>
      </w:pPr>
    </w:p>
    <w:p w14:paraId="236A68BB">
      <w:pPr>
        <w:pStyle w:val="11"/>
        <w:rPr>
          <w:rFonts w:hint="eastAsia" w:ascii="宋体" w:hAnsi="宋体" w:eastAsia="宋体" w:cs="宋体"/>
          <w:color w:val="auto"/>
          <w:sz w:val="21"/>
          <w:szCs w:val="21"/>
          <w:highlight w:val="none"/>
        </w:rPr>
      </w:pPr>
    </w:p>
    <w:p w14:paraId="5B4AA8FD">
      <w:pPr>
        <w:rPr>
          <w:rFonts w:hint="eastAsia" w:ascii="宋体" w:hAnsi="宋体" w:eastAsia="宋体" w:cs="宋体"/>
          <w:color w:val="auto"/>
          <w:sz w:val="21"/>
          <w:szCs w:val="21"/>
          <w:highlight w:val="none"/>
        </w:rPr>
      </w:pPr>
    </w:p>
    <w:p w14:paraId="5FF423DF">
      <w:pPr>
        <w:pStyle w:val="11"/>
        <w:rPr>
          <w:rFonts w:hint="eastAsia" w:ascii="宋体" w:hAnsi="宋体" w:eastAsia="宋体" w:cs="宋体"/>
          <w:color w:val="auto"/>
          <w:sz w:val="21"/>
          <w:szCs w:val="21"/>
          <w:highlight w:val="none"/>
        </w:rPr>
      </w:pPr>
    </w:p>
    <w:p w14:paraId="760CF5B7">
      <w:pPr>
        <w:rPr>
          <w:rFonts w:hint="eastAsia" w:ascii="宋体" w:hAnsi="宋体" w:eastAsia="宋体" w:cs="宋体"/>
          <w:color w:val="auto"/>
          <w:sz w:val="21"/>
          <w:szCs w:val="21"/>
          <w:highlight w:val="none"/>
        </w:rPr>
      </w:pPr>
    </w:p>
    <w:p w14:paraId="645753B3">
      <w:pPr>
        <w:pStyle w:val="11"/>
        <w:rPr>
          <w:rFonts w:hint="eastAsia" w:ascii="宋体" w:hAnsi="宋体" w:eastAsia="宋体" w:cs="宋体"/>
          <w:color w:val="auto"/>
          <w:sz w:val="21"/>
          <w:szCs w:val="21"/>
          <w:highlight w:val="none"/>
        </w:rPr>
      </w:pPr>
    </w:p>
    <w:p w14:paraId="74FEE043">
      <w:pPr>
        <w:rPr>
          <w:rFonts w:hint="eastAsia" w:ascii="宋体" w:hAnsi="宋体" w:eastAsia="宋体" w:cs="宋体"/>
          <w:color w:val="auto"/>
          <w:sz w:val="21"/>
          <w:szCs w:val="21"/>
          <w:highlight w:val="none"/>
        </w:rPr>
      </w:pPr>
    </w:p>
    <w:p w14:paraId="2905824B">
      <w:pPr>
        <w:pStyle w:val="11"/>
        <w:rPr>
          <w:rFonts w:hint="eastAsia" w:ascii="宋体" w:hAnsi="宋体" w:eastAsia="宋体" w:cs="宋体"/>
          <w:color w:val="auto"/>
          <w:sz w:val="21"/>
          <w:szCs w:val="21"/>
          <w:highlight w:val="none"/>
        </w:rPr>
      </w:pPr>
    </w:p>
    <w:p w14:paraId="764E5680">
      <w:pPr>
        <w:rPr>
          <w:rFonts w:hint="eastAsia" w:ascii="宋体" w:hAnsi="宋体" w:eastAsia="宋体" w:cs="宋体"/>
          <w:color w:val="auto"/>
          <w:sz w:val="21"/>
          <w:szCs w:val="21"/>
          <w:highlight w:val="none"/>
        </w:rPr>
      </w:pPr>
    </w:p>
    <w:p w14:paraId="39C92A6E">
      <w:pPr>
        <w:rPr>
          <w:rFonts w:hint="eastAsia" w:ascii="宋体" w:hAnsi="宋体" w:eastAsia="宋体" w:cs="宋体"/>
          <w:color w:val="auto"/>
          <w:sz w:val="21"/>
          <w:szCs w:val="21"/>
          <w:highlight w:val="none"/>
        </w:rPr>
      </w:pPr>
    </w:p>
    <w:p w14:paraId="6708BD48">
      <w:pPr>
        <w:rPr>
          <w:rFonts w:hint="eastAsia" w:ascii="宋体" w:hAnsi="宋体" w:eastAsia="宋体" w:cs="宋体"/>
          <w:color w:val="auto"/>
          <w:sz w:val="21"/>
          <w:szCs w:val="21"/>
          <w:highlight w:val="none"/>
        </w:rPr>
      </w:pPr>
    </w:p>
    <w:p w14:paraId="1C953DA7">
      <w:pPr>
        <w:rPr>
          <w:rFonts w:hint="eastAsia" w:ascii="宋体" w:hAnsi="宋体" w:eastAsia="宋体" w:cs="宋体"/>
          <w:color w:val="auto"/>
          <w:sz w:val="21"/>
          <w:szCs w:val="21"/>
          <w:highlight w:val="none"/>
        </w:rPr>
      </w:pPr>
    </w:p>
    <w:p w14:paraId="0156E626">
      <w:pPr>
        <w:pStyle w:val="11"/>
        <w:rPr>
          <w:rFonts w:hint="eastAsia" w:ascii="宋体" w:hAnsi="宋体" w:eastAsia="宋体" w:cs="宋体"/>
          <w:color w:val="auto"/>
          <w:sz w:val="21"/>
          <w:szCs w:val="21"/>
          <w:highlight w:val="none"/>
        </w:rPr>
      </w:pPr>
    </w:p>
    <w:bookmarkEnd w:id="1814"/>
    <w:bookmarkEnd w:id="1815"/>
    <w:bookmarkEnd w:id="1816"/>
    <w:bookmarkEnd w:id="1817"/>
    <w:bookmarkEnd w:id="1818"/>
    <w:bookmarkEnd w:id="1819"/>
    <w:bookmarkEnd w:id="1820"/>
    <w:p w14:paraId="251A172D">
      <w:pPr>
        <w:pStyle w:val="2"/>
        <w:spacing w:line="240" w:lineRule="auto"/>
        <w:jc w:val="center"/>
        <w:rPr>
          <w:rFonts w:hint="eastAsia" w:ascii="宋体" w:hAnsi="宋体" w:eastAsia="宋体" w:cs="宋体"/>
          <w:color w:val="auto"/>
          <w:sz w:val="24"/>
          <w:szCs w:val="24"/>
          <w:highlight w:val="none"/>
        </w:rPr>
      </w:pPr>
    </w:p>
    <w:p w14:paraId="0983A9AA">
      <w:pPr>
        <w:pStyle w:val="2"/>
        <w:spacing w:line="240" w:lineRule="auto"/>
        <w:ind w:firstLine="3855" w:firstLineChars="16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第七章</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图纸</w:t>
      </w:r>
    </w:p>
    <w:p w14:paraId="6E4DC7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另附</w:t>
      </w:r>
    </w:p>
    <w:p w14:paraId="5228E366">
      <w:pPr>
        <w:ind w:firstLine="3360" w:firstLineChars="1600"/>
        <w:jc w:val="both"/>
        <w:rPr>
          <w:rFonts w:hint="eastAsia" w:ascii="宋体" w:hAnsi="宋体" w:eastAsia="宋体" w:cs="宋体"/>
          <w:color w:val="auto"/>
          <w:sz w:val="21"/>
          <w:szCs w:val="21"/>
          <w:highlight w:val="none"/>
          <w:lang w:val="en-US" w:eastAsia="zh-CN"/>
        </w:rPr>
      </w:pPr>
    </w:p>
    <w:sectPr>
      <w:headerReference r:id="rId15" w:type="default"/>
      <w:footerReference r:id="rId16" w:type="default"/>
      <w:pgSz w:w="11910" w:h="16850"/>
      <w:pgMar w:top="1417" w:right="1417" w:bottom="1417" w:left="1417"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1A8A1">
    <w:pPr>
      <w:pStyle w:val="15"/>
      <w:framePr w:wrap="around" w:vAnchor="text" w:hAnchor="margin" w:xAlign="center" w:y="1"/>
      <w:rPr>
        <w:rStyle w:val="24"/>
      </w:rPr>
    </w:pPr>
    <w:r>
      <w:fldChar w:fldCharType="begin"/>
    </w:r>
    <w:r>
      <w:rPr>
        <w:rStyle w:val="24"/>
      </w:rPr>
      <w:instrText xml:space="preserve">PAGE  </w:instrText>
    </w:r>
    <w:r>
      <w:fldChar w:fldCharType="end"/>
    </w:r>
  </w:p>
  <w:p w14:paraId="1CB5AF60">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B5870">
    <w:pPr>
      <w:pStyle w:val="15"/>
      <w:jc w:val="center"/>
      <w:rPr>
        <w:rFonts w:eastAsia="仿宋_GB2312"/>
        <w:sz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F2B741">
                          <w:pPr>
                            <w:pStyle w:val="15"/>
                          </w:pPr>
                          <w:r>
                            <w:fldChar w:fldCharType="begin"/>
                          </w:r>
                          <w:r>
                            <w:instrText xml:space="preserve"> PAGE  \* MERGEFORMAT </w:instrText>
                          </w:r>
                          <w:r>
                            <w:fldChar w:fldCharType="separate"/>
                          </w:r>
                          <w:r>
                            <w:t>36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0AF2B741">
                    <w:pPr>
                      <w:pStyle w:val="1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B8CC6">
    <w:pPr>
      <w:pStyle w:val="15"/>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1B65814">
                          <w:pPr>
                            <w:pStyle w:val="15"/>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41B65814">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E135">
    <w:pPr>
      <w:pStyle w:val="15"/>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2707C">
                          <w:pPr>
                            <w:pStyle w:val="1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6B2707C">
                    <w:pPr>
                      <w:pStyle w:val="15"/>
                    </w:pPr>
                    <w:r>
                      <w:fldChar w:fldCharType="begin"/>
                    </w:r>
                    <w:r>
                      <w:instrText xml:space="preserve"> PAGE  \* MERGEFORMAT </w:instrText>
                    </w:r>
                    <w:r>
                      <w:fldChar w:fldCharType="separate"/>
                    </w:r>
                    <w:r>
                      <w:t>53</w:t>
                    </w:r>
                    <w:r>
                      <w:fldChar w:fldCharType="end"/>
                    </w:r>
                  </w:p>
                </w:txbxContent>
              </v:textbox>
            </v:shape>
          </w:pict>
        </mc:Fallback>
      </mc:AlternateContent>
    </w:r>
  </w:p>
  <w:p w14:paraId="440C0BE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21939">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D170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4BD170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E8B1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98A4E">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8198A4E">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6719">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7DD72">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A77DD72">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38F1A">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92DF5">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C592DF5">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88A73">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6BFF7">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E96BFF7">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2404">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154F2">
                          <w:pPr>
                            <w:pStyle w:val="1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09154F2">
                    <w:pPr>
                      <w:pStyle w:val="1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53434">
    <w:pPr>
      <w:pStyle w:val="1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FCBBA">
                          <w:pPr>
                            <w:pStyle w:val="1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27FCBBA">
                    <w:pPr>
                      <w:pStyle w:val="1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8BCFE">
    <w:pPr>
      <w:pStyle w:val="1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C5D67">
                          <w:pPr>
                            <w:pStyle w:val="1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51C5D67">
                    <w:pPr>
                      <w:pStyle w:val="1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52E7E">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9A9B7">
    <w:pPr>
      <w:pStyle w:val="16"/>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C5B96"/>
    <w:multiLevelType w:val="singleLevel"/>
    <w:tmpl w:val="B94C5B96"/>
    <w:lvl w:ilvl="0" w:tentative="0">
      <w:start w:val="3"/>
      <w:numFmt w:val="decimal"/>
      <w:suff w:val="space"/>
      <w:lvlText w:val="%1."/>
      <w:lvlJc w:val="left"/>
    </w:lvl>
  </w:abstractNum>
  <w:abstractNum w:abstractNumId="1">
    <w:nsid w:val="00000005"/>
    <w:multiLevelType w:val="multilevel"/>
    <w:tmpl w:val="00000005"/>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00000008"/>
    <w:multiLevelType w:val="singleLevel"/>
    <w:tmpl w:val="00000008"/>
    <w:lvl w:ilvl="0" w:tentative="0">
      <w:start w:val="26"/>
      <w:numFmt w:val="decimal"/>
      <w:suff w:val="space"/>
      <w:lvlText w:val="%1."/>
      <w:lvlJc w:val="left"/>
    </w:lvl>
  </w:abstractNum>
  <w:abstractNum w:abstractNumId="3">
    <w:nsid w:val="45209809"/>
    <w:multiLevelType w:val="singleLevel"/>
    <w:tmpl w:val="45209809"/>
    <w:lvl w:ilvl="0" w:tentative="0">
      <w:start w:val="5"/>
      <w:numFmt w:val="decimal"/>
      <w:suff w:val="space"/>
      <w:lvlText w:val="%1."/>
      <w:lvlJc w:val="left"/>
    </w:lvl>
  </w:abstractNum>
  <w:abstractNum w:abstractNumId="4">
    <w:nsid w:val="5B9D5306"/>
    <w:multiLevelType w:val="singleLevel"/>
    <w:tmpl w:val="5B9D5306"/>
    <w:lvl w:ilvl="0" w:tentative="0">
      <w:start w:val="4"/>
      <w:numFmt w:val="decimal"/>
      <w:suff w:val="nothing"/>
      <w:lvlText w:val="（%1）"/>
      <w:lvlJc w:val="left"/>
    </w:lvl>
  </w:abstractNum>
  <w:abstractNum w:abstractNumId="5">
    <w:nsid w:val="5B9D5307"/>
    <w:multiLevelType w:val="singleLevel"/>
    <w:tmpl w:val="5B9D5307"/>
    <w:lvl w:ilvl="0" w:tentative="0">
      <w:start w:val="2"/>
      <w:numFmt w:val="decimal"/>
      <w:suff w:val="nothing"/>
      <w:lvlText w:val="（%1）"/>
      <w:lvlJc w:val="left"/>
    </w:lvl>
  </w:abstractNum>
  <w:abstractNum w:abstractNumId="6">
    <w:nsid w:val="5B9D5308"/>
    <w:multiLevelType w:val="singleLevel"/>
    <w:tmpl w:val="5B9D5308"/>
    <w:lvl w:ilvl="0" w:tentative="0">
      <w:start w:val="8"/>
      <w:numFmt w:val="decimal"/>
      <w:suff w:val="space"/>
      <w:lvlText w:val="%1."/>
      <w:lvlJc w:val="left"/>
    </w:lvl>
  </w:abstractNum>
  <w:abstractNum w:abstractNumId="7">
    <w:nsid w:val="5B9D5309"/>
    <w:multiLevelType w:val="singleLevel"/>
    <w:tmpl w:val="5B9D5309"/>
    <w:lvl w:ilvl="0" w:tentative="0">
      <w:start w:val="6"/>
      <w:numFmt w:val="chineseCounting"/>
      <w:suff w:val="nothing"/>
      <w:lvlText w:val="%1、"/>
      <w:lvlJc w:val="left"/>
      <w:rPr>
        <w:rFonts w:hint="eastAsia"/>
      </w:rPr>
    </w:lvl>
  </w:abstractNum>
  <w:abstractNum w:abstractNumId="8">
    <w:nsid w:val="5B9D530A"/>
    <w:multiLevelType w:val="singleLevel"/>
    <w:tmpl w:val="5B9D530A"/>
    <w:lvl w:ilvl="0" w:tentative="0">
      <w:start w:val="2"/>
      <w:numFmt w:val="decimal"/>
      <w:lvlText w:val="%1."/>
      <w:lvlJc w:val="left"/>
      <w:pPr>
        <w:tabs>
          <w:tab w:val="left" w:pos="312"/>
        </w:tabs>
      </w:pPr>
    </w:lvl>
  </w:abstractNum>
  <w:abstractNum w:abstractNumId="9">
    <w:nsid w:val="6577C696"/>
    <w:multiLevelType w:val="singleLevel"/>
    <w:tmpl w:val="6577C696"/>
    <w:lvl w:ilvl="0" w:tentative="0">
      <w:start w:val="2"/>
      <w:numFmt w:val="decimal"/>
      <w:lvlText w:val="%1."/>
      <w:lvlJc w:val="left"/>
      <w:pPr>
        <w:tabs>
          <w:tab w:val="left" w:pos="312"/>
        </w:tabs>
      </w:pPr>
    </w:lvl>
  </w:abstractNum>
  <w:abstractNum w:abstractNumId="10">
    <w:nsid w:val="7D335EFA"/>
    <w:multiLevelType w:val="singleLevel"/>
    <w:tmpl w:val="7D335EFA"/>
    <w:lvl w:ilvl="0" w:tentative="0">
      <w:start w:val="1"/>
      <w:numFmt w:val="decimal"/>
      <w:suff w:val="space"/>
      <w:lvlText w:val="%1."/>
      <w:lvlJc w:val="left"/>
      <w:pPr>
        <w:tabs>
          <w:tab w:val="left" w:pos="0"/>
        </w:tabs>
        <w:ind w:left="0" w:firstLine="0"/>
      </w:p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YjU3N2U1MWExYzUzNTc4YmMzYjQ3M2Q3NzJiZDcifQ=="/>
    <w:docVar w:name="KSO_WPS_MARK_KEY" w:val="a565c4c6-cdbb-421b-a993-67cfb3d4f25f"/>
  </w:docVars>
  <w:rsids>
    <w:rsidRoot w:val="5EF00040"/>
    <w:rsid w:val="000507AF"/>
    <w:rsid w:val="00156CFA"/>
    <w:rsid w:val="002F21B8"/>
    <w:rsid w:val="00733E26"/>
    <w:rsid w:val="00757B9E"/>
    <w:rsid w:val="00B561ED"/>
    <w:rsid w:val="00BA37FE"/>
    <w:rsid w:val="012515C4"/>
    <w:rsid w:val="01264394"/>
    <w:rsid w:val="012832B8"/>
    <w:rsid w:val="01344155"/>
    <w:rsid w:val="01395070"/>
    <w:rsid w:val="0183453D"/>
    <w:rsid w:val="01CC5EE4"/>
    <w:rsid w:val="01E574A6"/>
    <w:rsid w:val="02191E9F"/>
    <w:rsid w:val="024C406B"/>
    <w:rsid w:val="02A9590D"/>
    <w:rsid w:val="034B3E47"/>
    <w:rsid w:val="035B21B3"/>
    <w:rsid w:val="03602F30"/>
    <w:rsid w:val="038E67AE"/>
    <w:rsid w:val="03966694"/>
    <w:rsid w:val="03A04F32"/>
    <w:rsid w:val="03C22016"/>
    <w:rsid w:val="03EB630D"/>
    <w:rsid w:val="03F60098"/>
    <w:rsid w:val="040A684F"/>
    <w:rsid w:val="04DE21B6"/>
    <w:rsid w:val="04E723E0"/>
    <w:rsid w:val="050466CA"/>
    <w:rsid w:val="05221155"/>
    <w:rsid w:val="0525608B"/>
    <w:rsid w:val="059D045C"/>
    <w:rsid w:val="05A36F5B"/>
    <w:rsid w:val="05D26895"/>
    <w:rsid w:val="061D2F78"/>
    <w:rsid w:val="06783F44"/>
    <w:rsid w:val="069F4D6B"/>
    <w:rsid w:val="06BD404D"/>
    <w:rsid w:val="06ED3844"/>
    <w:rsid w:val="07153E89"/>
    <w:rsid w:val="076B7C79"/>
    <w:rsid w:val="0772074A"/>
    <w:rsid w:val="07750851"/>
    <w:rsid w:val="07EC31CE"/>
    <w:rsid w:val="08985E97"/>
    <w:rsid w:val="08B51B6E"/>
    <w:rsid w:val="08BE3EF5"/>
    <w:rsid w:val="08F31FA8"/>
    <w:rsid w:val="090C523D"/>
    <w:rsid w:val="092E1232"/>
    <w:rsid w:val="09997BB9"/>
    <w:rsid w:val="09B5725D"/>
    <w:rsid w:val="0A6A44EC"/>
    <w:rsid w:val="0A74381B"/>
    <w:rsid w:val="0A8F3FD6"/>
    <w:rsid w:val="0B3222C4"/>
    <w:rsid w:val="0B770C6E"/>
    <w:rsid w:val="0B770D91"/>
    <w:rsid w:val="0BCF7E8A"/>
    <w:rsid w:val="0BD067C3"/>
    <w:rsid w:val="0BD40DA4"/>
    <w:rsid w:val="0C1B382B"/>
    <w:rsid w:val="0C381612"/>
    <w:rsid w:val="0C3F695B"/>
    <w:rsid w:val="0C630709"/>
    <w:rsid w:val="0D0950AE"/>
    <w:rsid w:val="0D0F042B"/>
    <w:rsid w:val="0D584ACF"/>
    <w:rsid w:val="0D996408"/>
    <w:rsid w:val="0D9A50E8"/>
    <w:rsid w:val="0DCB34F3"/>
    <w:rsid w:val="0E2805A4"/>
    <w:rsid w:val="0E9951D3"/>
    <w:rsid w:val="0EAF2A15"/>
    <w:rsid w:val="0EBA46A3"/>
    <w:rsid w:val="0F1F6743"/>
    <w:rsid w:val="0F2904D1"/>
    <w:rsid w:val="0F36499C"/>
    <w:rsid w:val="0F5C492A"/>
    <w:rsid w:val="0FC95811"/>
    <w:rsid w:val="0FD42EAB"/>
    <w:rsid w:val="10843F90"/>
    <w:rsid w:val="109776BD"/>
    <w:rsid w:val="10B52774"/>
    <w:rsid w:val="10D74D03"/>
    <w:rsid w:val="11847C41"/>
    <w:rsid w:val="11F272A1"/>
    <w:rsid w:val="11F62D5C"/>
    <w:rsid w:val="11FA7260"/>
    <w:rsid w:val="122B4561"/>
    <w:rsid w:val="1238629D"/>
    <w:rsid w:val="12552003"/>
    <w:rsid w:val="126B3346"/>
    <w:rsid w:val="129F7A10"/>
    <w:rsid w:val="12AC01B1"/>
    <w:rsid w:val="12D76117"/>
    <w:rsid w:val="12EC0194"/>
    <w:rsid w:val="133336D3"/>
    <w:rsid w:val="13960100"/>
    <w:rsid w:val="13A22600"/>
    <w:rsid w:val="13F228E1"/>
    <w:rsid w:val="142B4CEC"/>
    <w:rsid w:val="14696348"/>
    <w:rsid w:val="149E2DF8"/>
    <w:rsid w:val="14FF3F1F"/>
    <w:rsid w:val="1504385E"/>
    <w:rsid w:val="154F67B8"/>
    <w:rsid w:val="1565422D"/>
    <w:rsid w:val="158C5316"/>
    <w:rsid w:val="15935560"/>
    <w:rsid w:val="15BA6327"/>
    <w:rsid w:val="15FA6E19"/>
    <w:rsid w:val="15FD7FC2"/>
    <w:rsid w:val="165D7FC8"/>
    <w:rsid w:val="169150FA"/>
    <w:rsid w:val="16A6065A"/>
    <w:rsid w:val="16AC30DF"/>
    <w:rsid w:val="16B71B8A"/>
    <w:rsid w:val="16FE2244"/>
    <w:rsid w:val="171C00F0"/>
    <w:rsid w:val="17992095"/>
    <w:rsid w:val="179A6980"/>
    <w:rsid w:val="17C00BA4"/>
    <w:rsid w:val="18447625"/>
    <w:rsid w:val="184A4D60"/>
    <w:rsid w:val="187355C6"/>
    <w:rsid w:val="18736C61"/>
    <w:rsid w:val="18AC0FBE"/>
    <w:rsid w:val="18C70CEC"/>
    <w:rsid w:val="19257911"/>
    <w:rsid w:val="19524AC9"/>
    <w:rsid w:val="19546C0C"/>
    <w:rsid w:val="19BE1C8C"/>
    <w:rsid w:val="1A2521DD"/>
    <w:rsid w:val="1A98475D"/>
    <w:rsid w:val="1A9A2DBB"/>
    <w:rsid w:val="1C464130"/>
    <w:rsid w:val="1C8F3D4C"/>
    <w:rsid w:val="1CD44083"/>
    <w:rsid w:val="1D686669"/>
    <w:rsid w:val="1DC51272"/>
    <w:rsid w:val="1DE90674"/>
    <w:rsid w:val="1ED52081"/>
    <w:rsid w:val="1EE47478"/>
    <w:rsid w:val="1EF57200"/>
    <w:rsid w:val="1FF754EA"/>
    <w:rsid w:val="20206D5B"/>
    <w:rsid w:val="20450269"/>
    <w:rsid w:val="20607ACB"/>
    <w:rsid w:val="20E93DCB"/>
    <w:rsid w:val="217A0AD8"/>
    <w:rsid w:val="21A63C04"/>
    <w:rsid w:val="21EB7918"/>
    <w:rsid w:val="22484CBB"/>
    <w:rsid w:val="22921153"/>
    <w:rsid w:val="23503E27"/>
    <w:rsid w:val="23627FFE"/>
    <w:rsid w:val="239D2EE6"/>
    <w:rsid w:val="23F66651"/>
    <w:rsid w:val="241A7BE5"/>
    <w:rsid w:val="241E3F25"/>
    <w:rsid w:val="246A0F18"/>
    <w:rsid w:val="24ED38F7"/>
    <w:rsid w:val="259A050D"/>
    <w:rsid w:val="25A2609B"/>
    <w:rsid w:val="25C70429"/>
    <w:rsid w:val="2614136F"/>
    <w:rsid w:val="264F6618"/>
    <w:rsid w:val="26753B8F"/>
    <w:rsid w:val="26BF1ED9"/>
    <w:rsid w:val="26D4495E"/>
    <w:rsid w:val="26EB3E67"/>
    <w:rsid w:val="26F23447"/>
    <w:rsid w:val="27106584"/>
    <w:rsid w:val="27155F70"/>
    <w:rsid w:val="271931E2"/>
    <w:rsid w:val="2775116C"/>
    <w:rsid w:val="27A91D58"/>
    <w:rsid w:val="27B07790"/>
    <w:rsid w:val="27C2106B"/>
    <w:rsid w:val="27FA4B70"/>
    <w:rsid w:val="28060F58"/>
    <w:rsid w:val="28212236"/>
    <w:rsid w:val="287B7B98"/>
    <w:rsid w:val="28BC3A57"/>
    <w:rsid w:val="291435B3"/>
    <w:rsid w:val="29341AF5"/>
    <w:rsid w:val="294D5AFA"/>
    <w:rsid w:val="29863A77"/>
    <w:rsid w:val="29CE620A"/>
    <w:rsid w:val="29F45FE3"/>
    <w:rsid w:val="2A0E5353"/>
    <w:rsid w:val="2A3873C3"/>
    <w:rsid w:val="2A7D127A"/>
    <w:rsid w:val="2A9964B9"/>
    <w:rsid w:val="2ABD7112"/>
    <w:rsid w:val="2ACC6349"/>
    <w:rsid w:val="2AE02646"/>
    <w:rsid w:val="2B250088"/>
    <w:rsid w:val="2B2D0EF2"/>
    <w:rsid w:val="2B557467"/>
    <w:rsid w:val="2B6C0686"/>
    <w:rsid w:val="2C2426F0"/>
    <w:rsid w:val="2C57495C"/>
    <w:rsid w:val="2CB06359"/>
    <w:rsid w:val="2CD80356"/>
    <w:rsid w:val="2CFC3EAA"/>
    <w:rsid w:val="2DB44207"/>
    <w:rsid w:val="2DF778AD"/>
    <w:rsid w:val="2E0A46C0"/>
    <w:rsid w:val="2E162111"/>
    <w:rsid w:val="2E562A17"/>
    <w:rsid w:val="2E9A4AF0"/>
    <w:rsid w:val="2ED533DD"/>
    <w:rsid w:val="2F0105F7"/>
    <w:rsid w:val="2F307202"/>
    <w:rsid w:val="2F32242C"/>
    <w:rsid w:val="2F554149"/>
    <w:rsid w:val="2F5A52D9"/>
    <w:rsid w:val="2FFD5337"/>
    <w:rsid w:val="30550CCF"/>
    <w:rsid w:val="30882505"/>
    <w:rsid w:val="3089305D"/>
    <w:rsid w:val="30BD7020"/>
    <w:rsid w:val="30D603A9"/>
    <w:rsid w:val="31190AAB"/>
    <w:rsid w:val="31456F95"/>
    <w:rsid w:val="319937F1"/>
    <w:rsid w:val="31ED412D"/>
    <w:rsid w:val="32132053"/>
    <w:rsid w:val="3220530C"/>
    <w:rsid w:val="322F7F00"/>
    <w:rsid w:val="3249282A"/>
    <w:rsid w:val="327318E0"/>
    <w:rsid w:val="327A523A"/>
    <w:rsid w:val="327F2033"/>
    <w:rsid w:val="32F11DBB"/>
    <w:rsid w:val="3317670F"/>
    <w:rsid w:val="33442B05"/>
    <w:rsid w:val="33621F91"/>
    <w:rsid w:val="33662EFE"/>
    <w:rsid w:val="337F5491"/>
    <w:rsid w:val="34134F43"/>
    <w:rsid w:val="34520411"/>
    <w:rsid w:val="34532B23"/>
    <w:rsid w:val="34B36291"/>
    <w:rsid w:val="34D04DC8"/>
    <w:rsid w:val="353510CF"/>
    <w:rsid w:val="35884DFE"/>
    <w:rsid w:val="35A45811"/>
    <w:rsid w:val="35C84B88"/>
    <w:rsid w:val="360630D9"/>
    <w:rsid w:val="36232DC2"/>
    <w:rsid w:val="36752690"/>
    <w:rsid w:val="36AB4D47"/>
    <w:rsid w:val="37EB2F17"/>
    <w:rsid w:val="37F05781"/>
    <w:rsid w:val="37F214F9"/>
    <w:rsid w:val="37FC1D34"/>
    <w:rsid w:val="38387E65"/>
    <w:rsid w:val="383C0630"/>
    <w:rsid w:val="385261FF"/>
    <w:rsid w:val="385C20EE"/>
    <w:rsid w:val="38631FB3"/>
    <w:rsid w:val="38A65E3F"/>
    <w:rsid w:val="38C033A5"/>
    <w:rsid w:val="38C31254"/>
    <w:rsid w:val="38F52C52"/>
    <w:rsid w:val="39553D5C"/>
    <w:rsid w:val="39BB2D61"/>
    <w:rsid w:val="39E906CC"/>
    <w:rsid w:val="3A5363A0"/>
    <w:rsid w:val="3A64183E"/>
    <w:rsid w:val="3A685AA2"/>
    <w:rsid w:val="3A6A7F89"/>
    <w:rsid w:val="3AB531AD"/>
    <w:rsid w:val="3AF573FA"/>
    <w:rsid w:val="3B293089"/>
    <w:rsid w:val="3B484019"/>
    <w:rsid w:val="3B796F44"/>
    <w:rsid w:val="3BF91C55"/>
    <w:rsid w:val="3C3A2D02"/>
    <w:rsid w:val="3C9568F7"/>
    <w:rsid w:val="3D2D2BA9"/>
    <w:rsid w:val="3E0F667F"/>
    <w:rsid w:val="3E9820B8"/>
    <w:rsid w:val="3EB412B6"/>
    <w:rsid w:val="3EF3324B"/>
    <w:rsid w:val="3F1C1B1A"/>
    <w:rsid w:val="3FB12D7B"/>
    <w:rsid w:val="3FD33ACF"/>
    <w:rsid w:val="401E3791"/>
    <w:rsid w:val="40A02991"/>
    <w:rsid w:val="40A56901"/>
    <w:rsid w:val="4148218A"/>
    <w:rsid w:val="41555735"/>
    <w:rsid w:val="417676E9"/>
    <w:rsid w:val="419F0A7B"/>
    <w:rsid w:val="41A32140"/>
    <w:rsid w:val="41EF14D0"/>
    <w:rsid w:val="4341737A"/>
    <w:rsid w:val="439A7D6E"/>
    <w:rsid w:val="43AA2C88"/>
    <w:rsid w:val="43F064F1"/>
    <w:rsid w:val="443E69A7"/>
    <w:rsid w:val="447B63D2"/>
    <w:rsid w:val="448B4FEE"/>
    <w:rsid w:val="44DF2E05"/>
    <w:rsid w:val="45390767"/>
    <w:rsid w:val="45592BB7"/>
    <w:rsid w:val="45984D0C"/>
    <w:rsid w:val="459B6790"/>
    <w:rsid w:val="45A2455E"/>
    <w:rsid w:val="46096450"/>
    <w:rsid w:val="46B06807"/>
    <w:rsid w:val="479C3360"/>
    <w:rsid w:val="47AC7348"/>
    <w:rsid w:val="47AD21BF"/>
    <w:rsid w:val="47F81D88"/>
    <w:rsid w:val="47FA3CDB"/>
    <w:rsid w:val="47FB627E"/>
    <w:rsid w:val="480908C5"/>
    <w:rsid w:val="48263104"/>
    <w:rsid w:val="484D62D8"/>
    <w:rsid w:val="48AA2D90"/>
    <w:rsid w:val="49144504"/>
    <w:rsid w:val="49272E20"/>
    <w:rsid w:val="4929310F"/>
    <w:rsid w:val="49445073"/>
    <w:rsid w:val="49C56A6D"/>
    <w:rsid w:val="49ED1B20"/>
    <w:rsid w:val="49F008DA"/>
    <w:rsid w:val="4A2A7770"/>
    <w:rsid w:val="4A2B43F6"/>
    <w:rsid w:val="4AAA655F"/>
    <w:rsid w:val="4AE7656F"/>
    <w:rsid w:val="4B1112E1"/>
    <w:rsid w:val="4BA27C60"/>
    <w:rsid w:val="4BFA0C73"/>
    <w:rsid w:val="4C532B18"/>
    <w:rsid w:val="4C922F5F"/>
    <w:rsid w:val="4CF611D7"/>
    <w:rsid w:val="4D5F2D35"/>
    <w:rsid w:val="4DB025AE"/>
    <w:rsid w:val="4EFB083B"/>
    <w:rsid w:val="4FB41ED2"/>
    <w:rsid w:val="4FBA3327"/>
    <w:rsid w:val="4FD824CD"/>
    <w:rsid w:val="5085479A"/>
    <w:rsid w:val="50E33C7D"/>
    <w:rsid w:val="510F39DF"/>
    <w:rsid w:val="51D07D5D"/>
    <w:rsid w:val="51DA0BDC"/>
    <w:rsid w:val="51EA121F"/>
    <w:rsid w:val="522919DD"/>
    <w:rsid w:val="52453A54"/>
    <w:rsid w:val="525B6CEF"/>
    <w:rsid w:val="52927709"/>
    <w:rsid w:val="534F3F30"/>
    <w:rsid w:val="53517F52"/>
    <w:rsid w:val="536D4EFC"/>
    <w:rsid w:val="539A6875"/>
    <w:rsid w:val="53D524B6"/>
    <w:rsid w:val="53E14A15"/>
    <w:rsid w:val="54B06E11"/>
    <w:rsid w:val="54E56216"/>
    <w:rsid w:val="54EC46B9"/>
    <w:rsid w:val="554A0159"/>
    <w:rsid w:val="55816FCE"/>
    <w:rsid w:val="55A75279"/>
    <w:rsid w:val="55AC6549"/>
    <w:rsid w:val="55C951EF"/>
    <w:rsid w:val="55D41E21"/>
    <w:rsid w:val="55E72D6A"/>
    <w:rsid w:val="562006F1"/>
    <w:rsid w:val="567C35B2"/>
    <w:rsid w:val="567C6706"/>
    <w:rsid w:val="568E01E7"/>
    <w:rsid w:val="56A456C1"/>
    <w:rsid w:val="56C241D6"/>
    <w:rsid w:val="57E00F16"/>
    <w:rsid w:val="585A0B36"/>
    <w:rsid w:val="58797859"/>
    <w:rsid w:val="588F30E3"/>
    <w:rsid w:val="58B043B9"/>
    <w:rsid w:val="58C35717"/>
    <w:rsid w:val="58C5222B"/>
    <w:rsid w:val="58FA5D24"/>
    <w:rsid w:val="59622EC8"/>
    <w:rsid w:val="596820CB"/>
    <w:rsid w:val="597238D3"/>
    <w:rsid w:val="59A255B0"/>
    <w:rsid w:val="59A73A9A"/>
    <w:rsid w:val="59D35814"/>
    <w:rsid w:val="5A207A50"/>
    <w:rsid w:val="5A4511A3"/>
    <w:rsid w:val="5A5F03A4"/>
    <w:rsid w:val="5A904005"/>
    <w:rsid w:val="5ADE798F"/>
    <w:rsid w:val="5AE44879"/>
    <w:rsid w:val="5B2E188E"/>
    <w:rsid w:val="5BC07095"/>
    <w:rsid w:val="5C215F1B"/>
    <w:rsid w:val="5C2528EA"/>
    <w:rsid w:val="5CDA084C"/>
    <w:rsid w:val="5DF91542"/>
    <w:rsid w:val="5E06755A"/>
    <w:rsid w:val="5E0F0A83"/>
    <w:rsid w:val="5E354142"/>
    <w:rsid w:val="5E9D6065"/>
    <w:rsid w:val="5EF00040"/>
    <w:rsid w:val="5F4E0DEF"/>
    <w:rsid w:val="5F7C2472"/>
    <w:rsid w:val="5FA82319"/>
    <w:rsid w:val="602045A6"/>
    <w:rsid w:val="608A1210"/>
    <w:rsid w:val="608C7E04"/>
    <w:rsid w:val="60BC38AA"/>
    <w:rsid w:val="60D07D7A"/>
    <w:rsid w:val="60DA79A2"/>
    <w:rsid w:val="612358BE"/>
    <w:rsid w:val="614E079A"/>
    <w:rsid w:val="619B5DBE"/>
    <w:rsid w:val="61AD1E69"/>
    <w:rsid w:val="61B531E9"/>
    <w:rsid w:val="61E4459E"/>
    <w:rsid w:val="61F531BF"/>
    <w:rsid w:val="62986BDB"/>
    <w:rsid w:val="62AB3E7A"/>
    <w:rsid w:val="62DE774A"/>
    <w:rsid w:val="632C589D"/>
    <w:rsid w:val="63583175"/>
    <w:rsid w:val="64982937"/>
    <w:rsid w:val="64C95BF3"/>
    <w:rsid w:val="64CA0F84"/>
    <w:rsid w:val="64FC3FBB"/>
    <w:rsid w:val="65D218E8"/>
    <w:rsid w:val="65F94BE2"/>
    <w:rsid w:val="667967BE"/>
    <w:rsid w:val="66C57C55"/>
    <w:rsid w:val="66D46709"/>
    <w:rsid w:val="67B3259E"/>
    <w:rsid w:val="68040309"/>
    <w:rsid w:val="680F34C2"/>
    <w:rsid w:val="68694610"/>
    <w:rsid w:val="68B6208E"/>
    <w:rsid w:val="68EA5111"/>
    <w:rsid w:val="691E175E"/>
    <w:rsid w:val="69203758"/>
    <w:rsid w:val="6A044018"/>
    <w:rsid w:val="6A835E5D"/>
    <w:rsid w:val="6A876ECF"/>
    <w:rsid w:val="6ACB25B2"/>
    <w:rsid w:val="6AFE7291"/>
    <w:rsid w:val="6B0F4348"/>
    <w:rsid w:val="6B1765A5"/>
    <w:rsid w:val="6B8D36C3"/>
    <w:rsid w:val="6BD66471"/>
    <w:rsid w:val="6BDB5825"/>
    <w:rsid w:val="6BFF7765"/>
    <w:rsid w:val="6C824A7F"/>
    <w:rsid w:val="6D667493"/>
    <w:rsid w:val="6D706E18"/>
    <w:rsid w:val="6DB63E53"/>
    <w:rsid w:val="6DD54C21"/>
    <w:rsid w:val="6E192634"/>
    <w:rsid w:val="6E1F649C"/>
    <w:rsid w:val="6E414C6E"/>
    <w:rsid w:val="6E751F61"/>
    <w:rsid w:val="6ED66437"/>
    <w:rsid w:val="6EDF244A"/>
    <w:rsid w:val="6EE756FF"/>
    <w:rsid w:val="6EFB686D"/>
    <w:rsid w:val="6F822D6C"/>
    <w:rsid w:val="7021086D"/>
    <w:rsid w:val="706C1FAA"/>
    <w:rsid w:val="70C13FB6"/>
    <w:rsid w:val="70F27898"/>
    <w:rsid w:val="71BF3A88"/>
    <w:rsid w:val="71C805F9"/>
    <w:rsid w:val="71D405AB"/>
    <w:rsid w:val="71D54216"/>
    <w:rsid w:val="72093FB8"/>
    <w:rsid w:val="724A54B2"/>
    <w:rsid w:val="72606E89"/>
    <w:rsid w:val="726725D2"/>
    <w:rsid w:val="72D01BF4"/>
    <w:rsid w:val="730D09BA"/>
    <w:rsid w:val="739B4217"/>
    <w:rsid w:val="73A43E98"/>
    <w:rsid w:val="73B70C2C"/>
    <w:rsid w:val="73BC23E0"/>
    <w:rsid w:val="740833C5"/>
    <w:rsid w:val="740E3197"/>
    <w:rsid w:val="740F0761"/>
    <w:rsid w:val="74760F67"/>
    <w:rsid w:val="74E90619"/>
    <w:rsid w:val="7533382A"/>
    <w:rsid w:val="75B55115"/>
    <w:rsid w:val="75C018B9"/>
    <w:rsid w:val="761D55D2"/>
    <w:rsid w:val="761F35B7"/>
    <w:rsid w:val="767C2D4B"/>
    <w:rsid w:val="76932CC2"/>
    <w:rsid w:val="76A21419"/>
    <w:rsid w:val="76DC7606"/>
    <w:rsid w:val="770976EA"/>
    <w:rsid w:val="770A3467"/>
    <w:rsid w:val="775C13BB"/>
    <w:rsid w:val="77752FD1"/>
    <w:rsid w:val="77825173"/>
    <w:rsid w:val="77935205"/>
    <w:rsid w:val="77A11C53"/>
    <w:rsid w:val="77F37489"/>
    <w:rsid w:val="783E17CA"/>
    <w:rsid w:val="783E7867"/>
    <w:rsid w:val="784F0E9C"/>
    <w:rsid w:val="78B5342E"/>
    <w:rsid w:val="79010967"/>
    <w:rsid w:val="7936725A"/>
    <w:rsid w:val="79A457A7"/>
    <w:rsid w:val="7A5A50FB"/>
    <w:rsid w:val="7A8C691C"/>
    <w:rsid w:val="7ACE0A30"/>
    <w:rsid w:val="7ADC702E"/>
    <w:rsid w:val="7AE9365E"/>
    <w:rsid w:val="7AEE65ED"/>
    <w:rsid w:val="7B114D72"/>
    <w:rsid w:val="7B6C26A0"/>
    <w:rsid w:val="7BC2255D"/>
    <w:rsid w:val="7BCE0F02"/>
    <w:rsid w:val="7BE9537D"/>
    <w:rsid w:val="7C503581"/>
    <w:rsid w:val="7C621BBC"/>
    <w:rsid w:val="7C9020F0"/>
    <w:rsid w:val="7CCD740C"/>
    <w:rsid w:val="7CCE084E"/>
    <w:rsid w:val="7E646FEA"/>
    <w:rsid w:val="7ED46A5A"/>
    <w:rsid w:val="7F156D37"/>
    <w:rsid w:val="7F8A7C40"/>
    <w:rsid w:val="7FCE40DF"/>
    <w:rsid w:val="7FD67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36"/>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28"/>
    <w:autoRedefine/>
    <w:qFormat/>
    <w:uiPriority w:val="0"/>
    <w:pPr>
      <w:keepNext/>
      <w:keepLines/>
      <w:widowControl/>
      <w:spacing w:before="260" w:after="260" w:line="416" w:lineRule="auto"/>
      <w:outlineLvl w:val="2"/>
    </w:pPr>
    <w:rPr>
      <w:b/>
      <w:bCs/>
      <w:sz w:val="24"/>
      <w:szCs w:val="32"/>
    </w:rPr>
  </w:style>
  <w:style w:type="paragraph" w:styleId="5">
    <w:name w:val="heading 4"/>
    <w:basedOn w:val="1"/>
    <w:next w:val="1"/>
    <w:autoRedefine/>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6">
    <w:name w:val="heading 5"/>
    <w:basedOn w:val="1"/>
    <w:next w:val="1"/>
    <w:qFormat/>
    <w:uiPriority w:val="1"/>
    <w:pPr>
      <w:ind w:left="719"/>
      <w:outlineLvl w:val="4"/>
    </w:pPr>
    <w:rPr>
      <w:b/>
      <w:bCs/>
      <w:sz w:val="28"/>
      <w:szCs w:val="28"/>
    </w:rPr>
  </w:style>
  <w:style w:type="paragraph" w:styleId="7">
    <w:name w:val="heading 6"/>
    <w:basedOn w:val="1"/>
    <w:next w:val="1"/>
    <w:qFormat/>
    <w:uiPriority w:val="1"/>
    <w:pPr>
      <w:ind w:left="1141" w:hanging="604"/>
      <w:outlineLvl w:val="5"/>
    </w:pPr>
    <w:rPr>
      <w:b/>
      <w:bCs/>
      <w:sz w:val="24"/>
      <w:szCs w:val="24"/>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8">
    <w:name w:val="index 8"/>
    <w:basedOn w:val="1"/>
    <w:next w:val="1"/>
    <w:autoRedefine/>
    <w:qFormat/>
    <w:uiPriority w:val="0"/>
    <w:pPr>
      <w:ind w:left="1400" w:leftChars="1400" w:firstLine="0"/>
    </w:pPr>
  </w:style>
  <w:style w:type="paragraph" w:styleId="9">
    <w:name w:val="Normal Indent"/>
    <w:basedOn w:val="1"/>
    <w:qFormat/>
    <w:uiPriority w:val="99"/>
    <w:pPr>
      <w:ind w:firstLine="420"/>
    </w:pPr>
    <w:rPr>
      <w:szCs w:val="20"/>
    </w:rPr>
  </w:style>
  <w:style w:type="paragraph" w:styleId="10">
    <w:name w:val="annotation text"/>
    <w:basedOn w:val="1"/>
    <w:autoRedefine/>
    <w:qFormat/>
    <w:uiPriority w:val="0"/>
    <w:pPr>
      <w:widowControl/>
      <w:jc w:val="left"/>
    </w:pPr>
    <w:rPr>
      <w:rFonts w:ascii="Calibri" w:hAnsi="Calibri" w:eastAsia="宋体" w:cs="Times New Roman"/>
    </w:rPr>
  </w:style>
  <w:style w:type="paragraph" w:styleId="11">
    <w:name w:val="Body Text"/>
    <w:basedOn w:val="1"/>
    <w:autoRedefine/>
    <w:qFormat/>
    <w:uiPriority w:val="0"/>
    <w:pPr>
      <w:spacing w:after="120"/>
    </w:pPr>
  </w:style>
  <w:style w:type="paragraph" w:styleId="12">
    <w:name w:val="Body Text Indent"/>
    <w:basedOn w:val="1"/>
    <w:autoRedefine/>
    <w:qFormat/>
    <w:uiPriority w:val="0"/>
    <w:pPr>
      <w:spacing w:after="120" w:line="360" w:lineRule="exact"/>
      <w:ind w:left="420" w:leftChars="200" w:firstLine="200" w:firstLineChars="200"/>
    </w:pPr>
  </w:style>
  <w:style w:type="paragraph" w:styleId="13">
    <w:name w:val="Block Text"/>
    <w:basedOn w:val="1"/>
    <w:autoRedefine/>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14">
    <w:name w:val="Plain Text"/>
    <w:basedOn w:val="1"/>
    <w:next w:val="8"/>
    <w:autoRedefine/>
    <w:qFormat/>
    <w:uiPriority w:val="0"/>
    <w:rPr>
      <w:rFonts w:ascii="宋体" w:hAnsi="Courier New" w:cs="Times New Roman"/>
      <w:szCs w:val="22"/>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2"/>
    <w:basedOn w:val="1"/>
    <w:next w:val="1"/>
    <w:autoRedefine/>
    <w:qFormat/>
    <w:uiPriority w:val="39"/>
    <w:pPr>
      <w:ind w:left="420" w:leftChars="200"/>
    </w:pPr>
  </w:style>
  <w:style w:type="paragraph" w:styleId="1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2"/>
    <w:basedOn w:val="12"/>
    <w:autoRedefine/>
    <w:qFormat/>
    <w:uiPriority w:val="99"/>
    <w:pPr>
      <w:ind w:firstLine="420" w:firstLineChars="200"/>
    </w:p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autoRedefine/>
    <w:qFormat/>
    <w:uiPriority w:val="99"/>
  </w:style>
  <w:style w:type="paragraph" w:customStyle="1" w:styleId="25">
    <w:name w:val="表格文字"/>
    <w:basedOn w:val="1"/>
    <w:autoRedefine/>
    <w:qFormat/>
    <w:uiPriority w:val="0"/>
    <w:pPr>
      <w:spacing w:before="25" w:after="25" w:line="240" w:lineRule="auto"/>
      <w:ind w:firstLine="0"/>
      <w:jc w:val="left"/>
    </w:pPr>
    <w:rPr>
      <w:bCs/>
      <w:spacing w:val="10"/>
      <w:kern w:val="0"/>
      <w:sz w:val="24"/>
    </w:rPr>
  </w:style>
  <w:style w:type="paragraph" w:customStyle="1" w:styleId="26">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27">
    <w:name w:val="List Paragraph"/>
    <w:basedOn w:val="1"/>
    <w:autoRedefine/>
    <w:qFormat/>
    <w:uiPriority w:val="0"/>
    <w:pPr>
      <w:ind w:firstLine="420" w:firstLineChars="200"/>
    </w:pPr>
  </w:style>
  <w:style w:type="character" w:customStyle="1" w:styleId="28">
    <w:name w:val="标题 3 字符"/>
    <w:link w:val="4"/>
    <w:autoRedefine/>
    <w:qFormat/>
    <w:uiPriority w:val="0"/>
    <w:rPr>
      <w:b/>
      <w:bCs/>
      <w:sz w:val="24"/>
      <w:szCs w:val="32"/>
    </w:rPr>
  </w:style>
  <w:style w:type="paragraph" w:customStyle="1" w:styleId="29">
    <w:name w:val="p0"/>
    <w:basedOn w:val="1"/>
    <w:autoRedefine/>
    <w:qFormat/>
    <w:uiPriority w:val="0"/>
    <w:pPr>
      <w:widowControl/>
    </w:pPr>
    <w:rPr>
      <w:rFonts w:ascii="Calibri" w:hAnsi="Calibri" w:cs="宋体"/>
      <w:kern w:val="0"/>
      <w:szCs w:val="21"/>
    </w:rPr>
  </w:style>
  <w:style w:type="paragraph" w:customStyle="1" w:styleId="30">
    <w:name w:val="首行缩进"/>
    <w:basedOn w:val="1"/>
    <w:autoRedefine/>
    <w:qFormat/>
    <w:uiPriority w:val="0"/>
    <w:pPr>
      <w:spacing w:line="360" w:lineRule="auto"/>
      <w:ind w:firstLine="480" w:firstLineChars="200"/>
    </w:pPr>
    <w:rPr>
      <w:rFonts w:ascii="宋体" w:hAnsi="宋体"/>
      <w:kern w:val="0"/>
      <w:sz w:val="24"/>
    </w:rPr>
  </w:style>
  <w:style w:type="paragraph" w:customStyle="1" w:styleId="31">
    <w:name w:val="正文小标题_0"/>
    <w:basedOn w:val="32"/>
    <w:autoRedefine/>
    <w:qFormat/>
    <w:uiPriority w:val="0"/>
    <w:pPr>
      <w:spacing w:line="420" w:lineRule="exact"/>
    </w:pPr>
    <w:rPr>
      <w:rFonts w:hAnsi="宋体" w:eastAsia="宋体"/>
      <w:sz w:val="21"/>
      <w:szCs w:val="21"/>
    </w:rPr>
  </w:style>
  <w:style w:type="paragraph" w:customStyle="1" w:styleId="32">
    <w:name w:val="标题 1_0"/>
    <w:basedOn w:val="33"/>
    <w:next w:val="33"/>
    <w:autoRedefine/>
    <w:qFormat/>
    <w:uiPriority w:val="99"/>
    <w:pPr>
      <w:keepNext/>
      <w:keepLines/>
      <w:spacing w:line="360" w:lineRule="auto"/>
      <w:outlineLvl w:val="0"/>
    </w:pPr>
    <w:rPr>
      <w:rFonts w:eastAsia="黑体"/>
      <w:b/>
      <w:bCs/>
      <w:kern w:val="44"/>
      <w:sz w:val="32"/>
      <w:szCs w:val="44"/>
    </w:rPr>
  </w:style>
  <w:style w:type="paragraph" w:customStyle="1" w:styleId="33">
    <w:name w:val="正文_0"/>
    <w:next w:val="3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正文文本_0"/>
    <w:basedOn w:val="33"/>
    <w:autoRedefine/>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35">
    <w:name w:val="正文_1_0"/>
    <w:autoRedefine/>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36">
    <w:name w:val="正文呀2_0"/>
    <w:basedOn w:val="37"/>
    <w:autoRedefine/>
    <w:qFormat/>
    <w:uiPriority w:val="0"/>
    <w:rPr>
      <w:rFonts w:ascii="Times New Roman" w:hAnsi="Times New Roman"/>
    </w:rPr>
  </w:style>
  <w:style w:type="paragraph" w:customStyle="1" w:styleId="37">
    <w:name w:val="正文呀_0"/>
    <w:basedOn w:val="35"/>
    <w:autoRedefine/>
    <w:qFormat/>
    <w:uiPriority w:val="0"/>
    <w:pPr>
      <w:spacing w:line="420" w:lineRule="exact"/>
      <w:ind w:firstLine="420" w:firstLineChars="200"/>
    </w:pPr>
    <w:rPr>
      <w:rFonts w:ascii="宋体" w:hAnsi="宋体"/>
      <w:szCs w:val="21"/>
    </w:rPr>
  </w:style>
  <w:style w:type="paragraph" w:customStyle="1" w:styleId="38">
    <w:name w:val="正文呀2_1"/>
    <w:basedOn w:val="39"/>
    <w:autoRedefine/>
    <w:qFormat/>
    <w:uiPriority w:val="0"/>
    <w:rPr>
      <w:rFonts w:ascii="Times New Roman" w:hAnsi="Times New Roman" w:eastAsia="宋体" w:cs="Times New Roman"/>
      <w:kern w:val="2"/>
      <w:sz w:val="21"/>
      <w:lang w:val="en-US" w:eastAsia="zh-CN"/>
    </w:rPr>
  </w:style>
  <w:style w:type="paragraph" w:customStyle="1" w:styleId="39">
    <w:name w:val="正文呀_1"/>
    <w:basedOn w:val="33"/>
    <w:autoRedefine/>
    <w:qFormat/>
    <w:uiPriority w:val="0"/>
    <w:pPr>
      <w:spacing w:line="420" w:lineRule="exact"/>
      <w:ind w:firstLine="420" w:firstLineChars="200"/>
    </w:pPr>
    <w:rPr>
      <w:rFonts w:ascii="宋体" w:hAnsi="宋体"/>
      <w:kern w:val="0"/>
      <w:sz w:val="20"/>
      <w:szCs w:val="21"/>
      <w:lang w:val="zh-CN" w:eastAsia="zh-CN"/>
    </w:rPr>
  </w:style>
  <w:style w:type="paragraph" w:customStyle="1" w:styleId="40">
    <w:name w:val="纯文本_0"/>
    <w:basedOn w:val="33"/>
    <w:autoRedefine/>
    <w:qFormat/>
    <w:uiPriority w:val="0"/>
    <w:rPr>
      <w:rFonts w:ascii="宋体" w:hAnsi="Courier New"/>
      <w:szCs w:val="24"/>
    </w:rPr>
  </w:style>
  <w:style w:type="paragraph" w:customStyle="1" w:styleId="41">
    <w:name w:val="无间隔_0"/>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43">
    <w:name w:val="NormalCharacter"/>
    <w:autoRedefine/>
    <w:qFormat/>
    <w:uiPriority w:val="0"/>
  </w:style>
  <w:style w:type="paragraph" w:customStyle="1" w:styleId="44">
    <w:name w:val="BodyText"/>
    <w:basedOn w:val="1"/>
    <w:autoRedefine/>
    <w:qFormat/>
    <w:uiPriority w:val="0"/>
    <w:pPr>
      <w:spacing w:after="60" w:line="360" w:lineRule="atLeast"/>
      <w:ind w:left="72" w:leftChars="30" w:right="30" w:rightChars="30"/>
      <w:jc w:val="center"/>
    </w:pPr>
    <w:rPr>
      <w:kern w:val="0"/>
      <w:sz w:val="20"/>
      <w:szCs w:val="20"/>
    </w:rPr>
  </w:style>
  <w:style w:type="paragraph" w:customStyle="1" w:styleId="45">
    <w:name w:val="PlainText"/>
    <w:basedOn w:val="1"/>
    <w:next w:val="46"/>
    <w:autoRedefine/>
    <w:qFormat/>
    <w:uiPriority w:val="0"/>
    <w:rPr>
      <w:rFonts w:ascii="宋体" w:hAnsi="Courier New"/>
      <w:szCs w:val="20"/>
    </w:rPr>
  </w:style>
  <w:style w:type="paragraph" w:customStyle="1" w:styleId="46">
    <w:name w:val="Index8"/>
    <w:basedOn w:val="1"/>
    <w:next w:val="1"/>
    <w:autoRedefine/>
    <w:qFormat/>
    <w:uiPriority w:val="0"/>
    <w:pPr>
      <w:ind w:left="2940"/>
    </w:pPr>
  </w:style>
  <w:style w:type="paragraph" w:customStyle="1" w:styleId="47">
    <w:name w:val="style4"/>
    <w:basedOn w:val="1"/>
    <w:next w:val="48"/>
    <w:autoRedefine/>
    <w:qFormat/>
    <w:uiPriority w:val="0"/>
    <w:pPr>
      <w:widowControl/>
      <w:spacing w:before="280" w:after="280"/>
    </w:pPr>
    <w:rPr>
      <w:rFonts w:ascii="宋体"/>
      <w:sz w:val="18"/>
    </w:rPr>
  </w:style>
  <w:style w:type="paragraph" w:customStyle="1" w:styleId="48">
    <w:name w:val="2"/>
    <w:basedOn w:val="4"/>
    <w:next w:val="1"/>
    <w:autoRedefine/>
    <w:qFormat/>
    <w:uiPriority w:val="0"/>
    <w:pPr>
      <w:widowControl w:val="0"/>
      <w:spacing w:before="120" w:beforeLines="50" w:after="120" w:afterLines="50" w:line="240" w:lineRule="auto"/>
      <w:jc w:val="center"/>
    </w:pPr>
    <w:rPr>
      <w:rFonts w:ascii="黑体" w:eastAsia="黑体"/>
      <w:sz w:val="44"/>
      <w:szCs w:val="28"/>
    </w:rPr>
  </w:style>
  <w:style w:type="paragraph" w:customStyle="1" w:styleId="49">
    <w:name w:val="Table Text"/>
    <w:basedOn w:val="1"/>
    <w:autoRedefine/>
    <w:semiHidden/>
    <w:qFormat/>
    <w:uiPriority w:val="0"/>
    <w:rPr>
      <w:rFonts w:ascii="宋体" w:hAnsi="宋体" w:eastAsia="宋体" w:cs="宋体"/>
      <w:sz w:val="20"/>
      <w:szCs w:val="20"/>
      <w:lang w:val="en-US" w:eastAsia="en-US" w:bidi="ar-SA"/>
    </w:rPr>
  </w:style>
  <w:style w:type="table" w:customStyle="1" w:styleId="50">
    <w:name w:val="Table Normal"/>
    <w:autoRedefine/>
    <w:semiHidden/>
    <w:unhideWhenUsed/>
    <w:qFormat/>
    <w:uiPriority w:val="0"/>
    <w:tblPr>
      <w:tblCellMar>
        <w:top w:w="0" w:type="dxa"/>
        <w:left w:w="0" w:type="dxa"/>
        <w:bottom w:w="0" w:type="dxa"/>
        <w:right w:w="0" w:type="dxa"/>
      </w:tblCellMar>
    </w:tblPr>
  </w:style>
  <w:style w:type="paragraph" w:customStyle="1" w:styleId="51">
    <w:name w:val="Blockquote"/>
    <w:basedOn w:val="1"/>
    <w:autoRedefine/>
    <w:qFormat/>
    <w:uiPriority w:val="0"/>
    <w:pPr>
      <w:autoSpaceDE w:val="0"/>
      <w:autoSpaceDN w:val="0"/>
      <w:adjustRightInd w:val="0"/>
      <w:spacing w:before="100" w:after="100"/>
      <w:ind w:left="360" w:right="360"/>
      <w:jc w:val="left"/>
    </w:pPr>
    <w:rPr>
      <w:kern w:val="0"/>
      <w:sz w:val="24"/>
    </w:rPr>
  </w:style>
  <w:style w:type="paragraph" w:customStyle="1" w:styleId="52">
    <w:name w:val="正文_5"/>
    <w:autoRedefine/>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53">
    <w:name w:val="Table Paragraph"/>
    <w:basedOn w:val="1"/>
    <w:qFormat/>
    <w:uiPriority w:val="1"/>
  </w:style>
  <w:style w:type="paragraph" w:customStyle="1" w:styleId="54">
    <w:name w:val="Body text|1"/>
    <w:basedOn w:val="1"/>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5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56">
    <w:name w:val="_Style 6"/>
    <w:basedOn w:val="2"/>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emf"/><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60503</Words>
  <Characters>63998</Characters>
  <Lines>0</Lines>
  <Paragraphs>0</Paragraphs>
  <TotalTime>24</TotalTime>
  <ScaleCrop>false</ScaleCrop>
  <LinksUpToDate>false</LinksUpToDate>
  <CharactersWithSpaces>67549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2023-10-09T06:18:00Z</dcterms:created>
  <dc:creator>2</dc:creator>
  <cp:lastModifiedBy>哇唧唧哇不重名啦</cp:lastModifiedBy>
  <cp:lastPrinted>2026-06-04T01:28:00Z</cp:lastPrinted>
  <dcterms:modified xsi:type="dcterms:W3CDTF">2026-07-16T08:47:59Z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B560AA33C8EE467A8FCC399843BE1168_13</vt:lpwstr>
  </property>
  <property fmtid="{D5CDD505-2E9C-101B-9397-08002B2CF9AE}" pid="4" name="KSOTemplateDocerSaveRecord">
    <vt:lpwstr>eyJoZGlkIjoiNjJhMjYxYjc4N2VjMjc0Mzk3NmZhOGFjODVlNDU0MDgiLCJ1c2VySWQiOiIyOTA5NjMxOTYifQ==</vt:lpwstr>
  </property>
</Properties>
</file>