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A31B03">
      <w:pPr>
        <w:pageBreakBefore w:val="0"/>
        <w:overflowPunct/>
        <w:topLinePunct w:val="0"/>
        <w:bidi w:val="0"/>
        <w:spacing w:line="480" w:lineRule="auto"/>
        <w:jc w:val="center"/>
        <w:rPr>
          <w:rFonts w:hint="eastAsia" w:ascii="宋体" w:hAnsi="宋体" w:eastAsia="宋体" w:cs="宋体"/>
          <w:b/>
          <w:bCs/>
          <w:color w:val="auto"/>
          <w:sz w:val="16"/>
          <w:szCs w:val="20"/>
          <w:highlight w:val="none"/>
        </w:rPr>
      </w:pPr>
    </w:p>
    <w:p w14:paraId="50BB26E3">
      <w:pPr>
        <w:pStyle w:val="15"/>
        <w:pageBreakBefore w:val="0"/>
        <w:kinsoku/>
        <w:wordWrap/>
        <w:overflowPunct/>
        <w:topLinePunct w:val="0"/>
        <w:autoSpaceDE/>
        <w:autoSpaceDN/>
        <w:bidi w:val="0"/>
        <w:adjustRightInd/>
        <w:snapToGrid w:val="0"/>
        <w:spacing w:line="480" w:lineRule="auto"/>
        <w:jc w:val="center"/>
        <w:textAlignment w:val="auto"/>
        <w:rPr>
          <w:rFonts w:hint="eastAsia" w:ascii="宋体" w:hAnsi="宋体" w:eastAsia="宋体" w:cs="宋体"/>
          <w:b/>
          <w:bCs/>
          <w:color w:val="auto"/>
          <w:sz w:val="52"/>
          <w:szCs w:val="52"/>
          <w:highlight w:val="none"/>
        </w:rPr>
      </w:pPr>
      <w:r>
        <w:rPr>
          <w:rFonts w:hint="eastAsia" w:hAnsi="宋体" w:cs="宋体"/>
          <w:b/>
          <w:bCs/>
          <w:color w:val="auto"/>
          <w:sz w:val="52"/>
          <w:szCs w:val="52"/>
          <w:highlight w:val="none"/>
          <w:lang w:eastAsia="zh-CN"/>
        </w:rPr>
        <w:t>富川民宗局2026年第二批财政常态化帮扶资金项目</w:t>
      </w:r>
    </w:p>
    <w:p w14:paraId="265162B4">
      <w:pPr>
        <w:pStyle w:val="39"/>
        <w:pageBreakBefore w:val="0"/>
        <w:overflowPunct/>
        <w:topLinePunct w:val="0"/>
        <w:bidi w:val="0"/>
        <w:spacing w:line="480" w:lineRule="auto"/>
        <w:ind w:left="0" w:leftChars="0" w:firstLine="0" w:firstLineChars="0"/>
        <w:rPr>
          <w:rFonts w:hint="eastAsia"/>
          <w:color w:val="auto"/>
          <w:highlight w:val="none"/>
        </w:rPr>
      </w:pPr>
    </w:p>
    <w:p w14:paraId="5FE3133B">
      <w:pPr>
        <w:pStyle w:val="39"/>
        <w:pageBreakBefore w:val="0"/>
        <w:overflowPunct/>
        <w:topLinePunct w:val="0"/>
        <w:bidi w:val="0"/>
        <w:spacing w:line="480" w:lineRule="auto"/>
        <w:ind w:left="0" w:leftChars="0" w:firstLine="0" w:firstLineChars="0"/>
        <w:rPr>
          <w:rFonts w:hint="eastAsia"/>
          <w:color w:val="auto"/>
          <w:highlight w:val="none"/>
        </w:rPr>
      </w:pPr>
    </w:p>
    <w:p w14:paraId="5CCC2769">
      <w:pPr>
        <w:pStyle w:val="39"/>
        <w:pageBreakBefore w:val="0"/>
        <w:overflowPunct/>
        <w:topLinePunct w:val="0"/>
        <w:bidi w:val="0"/>
        <w:spacing w:line="480" w:lineRule="auto"/>
        <w:ind w:left="0" w:leftChars="0" w:firstLine="0" w:firstLineChars="0"/>
        <w:rPr>
          <w:rFonts w:hint="eastAsia"/>
          <w:color w:val="auto"/>
          <w:highlight w:val="none"/>
        </w:rPr>
      </w:pPr>
    </w:p>
    <w:p w14:paraId="3DE10FE5">
      <w:pPr>
        <w:pStyle w:val="15"/>
        <w:pageBreakBefore w:val="0"/>
        <w:kinsoku/>
        <w:wordWrap/>
        <w:overflowPunct/>
        <w:topLinePunct w:val="0"/>
        <w:autoSpaceDE/>
        <w:autoSpaceDN/>
        <w:bidi w:val="0"/>
        <w:adjustRightInd/>
        <w:snapToGrid w:val="0"/>
        <w:spacing w:line="480" w:lineRule="auto"/>
        <w:jc w:val="center"/>
        <w:textAlignment w:val="auto"/>
        <w:rPr>
          <w:rFonts w:hint="eastAsia" w:ascii="宋体" w:hAnsi="宋体" w:eastAsia="宋体" w:cs="宋体"/>
          <w:b w:val="0"/>
          <w:bCs/>
          <w:color w:val="auto"/>
          <w:sz w:val="32"/>
          <w:szCs w:val="32"/>
          <w:highlight w:val="none"/>
          <w:lang w:val="en-US" w:eastAsia="zh-CN"/>
        </w:rPr>
      </w:pPr>
      <w:r>
        <w:rPr>
          <w:rFonts w:hint="eastAsia" w:ascii="宋体" w:hAnsi="宋体" w:eastAsia="宋体" w:cs="宋体"/>
          <w:b w:val="0"/>
          <w:bCs/>
          <w:color w:val="auto"/>
          <w:sz w:val="60"/>
          <w:szCs w:val="60"/>
          <w:highlight w:val="none"/>
        </w:rPr>
        <w:t>竞争性磋商采购文件</w:t>
      </w:r>
    </w:p>
    <w:p w14:paraId="2E800CCF">
      <w:pPr>
        <w:pStyle w:val="39"/>
        <w:pageBreakBefore w:val="0"/>
        <w:overflowPunct/>
        <w:topLinePunct w:val="0"/>
        <w:bidi w:val="0"/>
        <w:spacing w:line="480" w:lineRule="auto"/>
        <w:ind w:firstLine="0" w:firstLineChars="0"/>
        <w:rPr>
          <w:rFonts w:hint="eastAsia"/>
          <w:color w:val="auto"/>
          <w:highlight w:val="none"/>
          <w:lang w:val="en-US" w:eastAsia="zh-CN"/>
        </w:rPr>
      </w:pPr>
    </w:p>
    <w:p w14:paraId="4FB73E4B">
      <w:pPr>
        <w:pStyle w:val="39"/>
        <w:pageBreakBefore w:val="0"/>
        <w:overflowPunct/>
        <w:topLinePunct w:val="0"/>
        <w:bidi w:val="0"/>
        <w:spacing w:line="480" w:lineRule="auto"/>
        <w:ind w:left="0" w:leftChars="0" w:firstLine="0" w:firstLineChars="0"/>
        <w:rPr>
          <w:rFonts w:hint="eastAsia"/>
          <w:color w:val="auto"/>
          <w:highlight w:val="none"/>
          <w:lang w:val="en-US" w:eastAsia="zh-CN"/>
        </w:rPr>
      </w:pPr>
    </w:p>
    <w:p w14:paraId="61279EDE">
      <w:pPr>
        <w:pStyle w:val="39"/>
        <w:pageBreakBefore w:val="0"/>
        <w:overflowPunct/>
        <w:topLinePunct w:val="0"/>
        <w:bidi w:val="0"/>
        <w:spacing w:line="480" w:lineRule="auto"/>
        <w:ind w:firstLine="0" w:firstLineChars="0"/>
        <w:rPr>
          <w:rFonts w:hint="eastAsia"/>
          <w:color w:val="auto"/>
          <w:highlight w:val="none"/>
          <w:lang w:val="en-US" w:eastAsia="zh-CN"/>
        </w:rPr>
      </w:pPr>
    </w:p>
    <w:p w14:paraId="29594FE9">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宋体" w:hAnsi="宋体" w:eastAsia="宋体" w:cs="宋体"/>
          <w:b w:val="0"/>
          <w:bCs/>
          <w:color w:val="auto"/>
          <w:sz w:val="32"/>
          <w:szCs w:val="32"/>
          <w:highlight w:val="none"/>
          <w:lang w:val="en-US" w:eastAsia="zh-CN"/>
        </w:rPr>
      </w:pPr>
      <w:r>
        <w:rPr>
          <w:rFonts w:hint="eastAsia" w:ascii="宋体" w:hAnsi="宋体" w:eastAsia="宋体" w:cs="宋体"/>
          <w:b w:val="0"/>
          <w:bCs/>
          <w:color w:val="auto"/>
          <w:sz w:val="32"/>
          <w:szCs w:val="32"/>
          <w:highlight w:val="none"/>
          <w:lang w:val="en-US" w:eastAsia="zh-CN"/>
        </w:rPr>
        <w:t>采 购 人</w:t>
      </w:r>
      <w:r>
        <w:rPr>
          <w:rFonts w:hint="eastAsia" w:ascii="宋体" w:hAnsi="宋体" w:cs="宋体"/>
          <w:b w:val="0"/>
          <w:bCs/>
          <w:color w:val="auto"/>
          <w:sz w:val="32"/>
          <w:szCs w:val="32"/>
          <w:highlight w:val="none"/>
          <w:lang w:val="en-US" w:eastAsia="zh-CN"/>
        </w:rPr>
        <w:t>：富川瑶族目治县民族宗教事务局</w:t>
      </w:r>
    </w:p>
    <w:p w14:paraId="6BE76851">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宋体" w:hAnsi="宋体" w:eastAsia="宋体" w:cs="宋体"/>
          <w:b w:val="0"/>
          <w:bCs/>
          <w:color w:val="auto"/>
          <w:sz w:val="32"/>
          <w:szCs w:val="32"/>
          <w:highlight w:val="none"/>
          <w:lang w:val="en-US" w:eastAsia="zh-CN"/>
        </w:rPr>
      </w:pPr>
    </w:p>
    <w:p w14:paraId="48F10F58">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宋体" w:hAnsi="宋体" w:eastAsia="宋体" w:cs="宋体"/>
          <w:b w:val="0"/>
          <w:bCs/>
          <w:color w:val="auto"/>
          <w:sz w:val="30"/>
          <w:szCs w:val="30"/>
          <w:highlight w:val="none"/>
          <w:lang w:val="en-US" w:eastAsia="zh-CN"/>
        </w:rPr>
      </w:pPr>
      <w:r>
        <w:rPr>
          <w:rFonts w:hint="eastAsia" w:ascii="宋体" w:hAnsi="宋体" w:eastAsia="宋体" w:cs="宋体"/>
          <w:b w:val="0"/>
          <w:bCs/>
          <w:color w:val="auto"/>
          <w:sz w:val="32"/>
          <w:szCs w:val="32"/>
          <w:highlight w:val="none"/>
          <w:lang w:val="en-US" w:eastAsia="zh-CN"/>
        </w:rPr>
        <w:t>采购代理机构</w:t>
      </w:r>
      <w:r>
        <w:rPr>
          <w:rFonts w:hint="eastAsia" w:ascii="宋体" w:hAnsi="宋体" w:cs="宋体"/>
          <w:b w:val="0"/>
          <w:bCs/>
          <w:color w:val="auto"/>
          <w:sz w:val="32"/>
          <w:szCs w:val="32"/>
          <w:highlight w:val="none"/>
          <w:lang w:val="en-US" w:eastAsia="zh-CN"/>
        </w:rPr>
        <w:t>：广西朗亿工程咨询有限公司</w:t>
      </w:r>
    </w:p>
    <w:p w14:paraId="09ADA56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宋体" w:hAnsi="宋体" w:eastAsia="宋体" w:cs="宋体"/>
          <w:b w:val="0"/>
          <w:bCs/>
          <w:color w:val="auto"/>
          <w:sz w:val="30"/>
          <w:szCs w:val="30"/>
          <w:highlight w:val="none"/>
          <w:lang w:val="en-US" w:eastAsia="zh-CN"/>
        </w:rPr>
      </w:pPr>
    </w:p>
    <w:p w14:paraId="0E2D1AF6">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宋体" w:hAnsi="宋体" w:eastAsia="宋体" w:cs="宋体"/>
          <w:b w:val="0"/>
          <w:bCs/>
          <w:color w:val="auto"/>
          <w:sz w:val="30"/>
          <w:szCs w:val="30"/>
          <w:highlight w:val="none"/>
          <w:lang w:val="en-US" w:eastAsia="zh-CN"/>
        </w:rPr>
      </w:pPr>
    </w:p>
    <w:p w14:paraId="3B3824E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b w:val="0"/>
          <w:bCs/>
          <w:color w:val="auto"/>
          <w:sz w:val="32"/>
          <w:szCs w:val="32"/>
          <w:highlight w:val="none"/>
          <w:lang w:val="en-US" w:eastAsia="zh-CN"/>
        </w:rPr>
      </w:pPr>
      <w:r>
        <w:rPr>
          <w:rFonts w:hint="eastAsia" w:ascii="宋体" w:hAnsi="宋体" w:cs="宋体"/>
          <w:b w:val="0"/>
          <w:bCs/>
          <w:color w:val="auto"/>
          <w:sz w:val="30"/>
          <w:szCs w:val="30"/>
          <w:highlight w:val="none"/>
          <w:lang w:val="en-US" w:eastAsia="zh-CN"/>
        </w:rPr>
        <w:t>日期：</w:t>
      </w:r>
      <w:r>
        <w:rPr>
          <w:rFonts w:hint="eastAsia" w:ascii="宋体" w:hAnsi="宋体" w:eastAsia="宋体" w:cs="宋体"/>
          <w:b w:val="0"/>
          <w:bCs/>
          <w:color w:val="auto"/>
          <w:sz w:val="30"/>
          <w:szCs w:val="30"/>
          <w:highlight w:val="none"/>
          <w:lang w:val="en-US" w:eastAsia="zh-CN"/>
        </w:rPr>
        <w:t>202</w:t>
      </w:r>
      <w:r>
        <w:rPr>
          <w:rFonts w:hint="eastAsia" w:ascii="宋体" w:hAnsi="宋体" w:cs="宋体"/>
          <w:b w:val="0"/>
          <w:bCs/>
          <w:color w:val="auto"/>
          <w:sz w:val="30"/>
          <w:szCs w:val="30"/>
          <w:highlight w:val="none"/>
          <w:lang w:val="en-US" w:eastAsia="zh-CN"/>
        </w:rPr>
        <w:t>6</w:t>
      </w:r>
      <w:r>
        <w:rPr>
          <w:rFonts w:hint="eastAsia" w:ascii="宋体" w:hAnsi="宋体" w:eastAsia="宋体" w:cs="宋体"/>
          <w:b w:val="0"/>
          <w:bCs/>
          <w:color w:val="auto"/>
          <w:sz w:val="30"/>
          <w:szCs w:val="30"/>
          <w:highlight w:val="none"/>
          <w:lang w:val="en-US" w:eastAsia="zh-CN"/>
        </w:rPr>
        <w:t>年</w:t>
      </w:r>
      <w:r>
        <w:rPr>
          <w:rFonts w:hint="eastAsia" w:ascii="宋体" w:hAnsi="宋体" w:cs="宋体"/>
          <w:b w:val="0"/>
          <w:bCs/>
          <w:color w:val="auto"/>
          <w:sz w:val="30"/>
          <w:szCs w:val="30"/>
          <w:highlight w:val="none"/>
          <w:lang w:val="en-US" w:eastAsia="zh-CN"/>
        </w:rPr>
        <w:t>08</w:t>
      </w:r>
      <w:r>
        <w:rPr>
          <w:rFonts w:hint="eastAsia" w:ascii="宋体" w:hAnsi="宋体" w:eastAsia="宋体" w:cs="宋体"/>
          <w:b w:val="0"/>
          <w:bCs/>
          <w:color w:val="auto"/>
          <w:sz w:val="30"/>
          <w:szCs w:val="30"/>
          <w:highlight w:val="none"/>
          <w:lang w:val="en-US" w:eastAsia="zh-CN"/>
        </w:rPr>
        <w:t>月</w:t>
      </w:r>
      <w:r>
        <w:rPr>
          <w:rFonts w:hint="eastAsia" w:ascii="宋体" w:hAnsi="宋体" w:cs="宋体"/>
          <w:b w:val="0"/>
          <w:bCs/>
          <w:color w:val="auto"/>
          <w:sz w:val="30"/>
          <w:szCs w:val="30"/>
          <w:highlight w:val="none"/>
          <w:lang w:val="en-US" w:eastAsia="zh-CN"/>
        </w:rPr>
        <w:t>03日</w:t>
      </w:r>
    </w:p>
    <w:p w14:paraId="4C0E134E">
      <w:pPr>
        <w:pageBreakBefore w:val="0"/>
        <w:overflowPunct/>
        <w:topLinePunct w:val="0"/>
        <w:bidi w:val="0"/>
        <w:spacing w:line="360" w:lineRule="auto"/>
        <w:rPr>
          <w:rFonts w:hint="default" w:ascii="宋体" w:hAnsi="宋体" w:eastAsia="宋体" w:cs="宋体"/>
          <w:b w:val="0"/>
          <w:bCs/>
          <w:color w:val="auto"/>
          <w:sz w:val="32"/>
          <w:szCs w:val="32"/>
          <w:highlight w:val="none"/>
          <w:lang w:val="en-US" w:eastAsia="zh-CN"/>
        </w:rPr>
      </w:pPr>
    </w:p>
    <w:p w14:paraId="03FC08C3">
      <w:pPr>
        <w:pageBreakBefore w:val="0"/>
        <w:overflowPunct/>
        <w:topLinePunct w:val="0"/>
        <w:bidi w:val="0"/>
        <w:spacing w:line="360" w:lineRule="auto"/>
        <w:rPr>
          <w:rFonts w:hint="eastAsia" w:ascii="宋体" w:hAnsi="宋体" w:eastAsia="宋体" w:cs="宋体"/>
          <w:color w:val="auto"/>
          <w:highlight w:val="none"/>
        </w:rPr>
      </w:pPr>
    </w:p>
    <w:p w14:paraId="47053F73">
      <w:pPr>
        <w:pStyle w:val="40"/>
        <w:pageBreakBefore w:val="0"/>
        <w:overflowPunct/>
        <w:topLinePunct w:val="0"/>
        <w:bidi w:val="0"/>
        <w:spacing w:line="360" w:lineRule="auto"/>
        <w:rPr>
          <w:rFonts w:hint="eastAsia" w:ascii="宋体" w:hAnsi="宋体" w:eastAsia="宋体" w:cs="宋体"/>
          <w:color w:val="auto"/>
          <w:highlight w:val="none"/>
        </w:rPr>
        <w:sectPr>
          <w:headerReference r:id="rId5" w:type="first"/>
          <w:headerReference r:id="rId3" w:type="default"/>
          <w:footerReference r:id="rId6" w:type="default"/>
          <w:headerReference r:id="rId4" w:type="even"/>
          <w:footerReference r:id="rId7" w:type="even"/>
          <w:pgSz w:w="11907" w:h="16840"/>
          <w:pgMar w:top="1440" w:right="1800" w:bottom="1440" w:left="1800" w:header="851" w:footer="892" w:gutter="0"/>
          <w:pgNumType w:fmt="decimal"/>
          <w:cols w:space="720" w:num="1"/>
          <w:titlePg/>
          <w:docGrid w:type="linesAndChars" w:linePitch="312" w:charSpace="0"/>
        </w:sectPr>
      </w:pPr>
    </w:p>
    <w:p w14:paraId="340B6579">
      <w:pPr>
        <w:pStyle w:val="15"/>
        <w:pageBreakBefore w:val="0"/>
        <w:overflowPunct/>
        <w:topLinePunct w:val="0"/>
        <w:bidi w:val="0"/>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目 录</w:t>
      </w:r>
    </w:p>
    <w:p w14:paraId="76731D48">
      <w:pPr>
        <w:pStyle w:val="2"/>
        <w:tabs>
          <w:tab w:val="right" w:leader="dot" w:pos="8310"/>
          <w:tab w:val="clear" w:pos="0"/>
          <w:tab w:val="clear" w:pos="9435"/>
        </w:tabs>
        <w:spacing w:line="360" w:lineRule="auto"/>
        <w:jc w:val="center"/>
        <w:rPr>
          <w:color w:val="auto"/>
          <w:highlight w:val="none"/>
        </w:rPr>
      </w:pPr>
      <w:bookmarkStart w:id="0" w:name="_Toc31547"/>
      <w:r>
        <w:rPr>
          <w:color w:val="auto"/>
          <w:highlight w:val="none"/>
        </w:rPr>
        <w:fldChar w:fldCharType="begin"/>
      </w:r>
      <w:r>
        <w:rPr>
          <w:color w:val="auto"/>
          <w:highlight w:val="none"/>
        </w:rPr>
        <w:instrText xml:space="preserve">TOC \o "1-1" \h \u </w:instrText>
      </w:r>
      <w:r>
        <w:rPr>
          <w:color w:val="auto"/>
          <w:highlight w:val="none"/>
        </w:rPr>
        <w:fldChar w:fldCharType="separate"/>
      </w:r>
      <w:r>
        <w:rPr>
          <w:color w:val="auto"/>
          <w:highlight w:val="none"/>
        </w:rPr>
        <w:fldChar w:fldCharType="begin"/>
      </w:r>
      <w:r>
        <w:rPr>
          <w:color w:val="auto"/>
          <w:highlight w:val="none"/>
        </w:rPr>
        <w:instrText xml:space="preserve"> HYPERLINK \l _Toc13786 </w:instrText>
      </w:r>
      <w:r>
        <w:rPr>
          <w:color w:val="auto"/>
          <w:highlight w:val="none"/>
        </w:rPr>
        <w:fldChar w:fldCharType="separate"/>
      </w:r>
      <w:r>
        <w:rPr>
          <w:rFonts w:hint="eastAsia" w:ascii="宋体" w:hAnsi="宋体" w:eastAsia="宋体" w:cs="宋体"/>
          <w:color w:val="auto"/>
          <w:szCs w:val="40"/>
          <w:highlight w:val="none"/>
        </w:rPr>
        <w:t>第一章 竞争性磋商公告</w:t>
      </w:r>
      <w:r>
        <w:rPr>
          <w:color w:val="auto"/>
          <w:highlight w:val="none"/>
        </w:rPr>
        <w:tab/>
      </w:r>
      <w:r>
        <w:rPr>
          <w:color w:val="auto"/>
          <w:highlight w:val="none"/>
        </w:rPr>
        <w:fldChar w:fldCharType="begin"/>
      </w:r>
      <w:r>
        <w:rPr>
          <w:color w:val="auto"/>
          <w:highlight w:val="none"/>
        </w:rPr>
        <w:instrText xml:space="preserve"> PAGEREF _Toc13786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14:paraId="458CE25B">
      <w:pPr>
        <w:pStyle w:val="2"/>
        <w:tabs>
          <w:tab w:val="right" w:leader="dot" w:pos="8310"/>
          <w:tab w:val="clear" w:pos="0"/>
          <w:tab w:val="clear" w:pos="9435"/>
        </w:tabs>
        <w:spacing w:line="360" w:lineRule="auto"/>
        <w:jc w:val="center"/>
        <w:rPr>
          <w:color w:val="auto"/>
          <w:highlight w:val="none"/>
        </w:rPr>
      </w:pPr>
      <w:r>
        <w:rPr>
          <w:color w:val="auto"/>
          <w:highlight w:val="none"/>
        </w:rPr>
        <w:fldChar w:fldCharType="begin"/>
      </w:r>
      <w:r>
        <w:rPr>
          <w:color w:val="auto"/>
          <w:highlight w:val="none"/>
        </w:rPr>
        <w:instrText xml:space="preserve"> HYPERLINK \l _Toc24740 </w:instrText>
      </w:r>
      <w:r>
        <w:rPr>
          <w:color w:val="auto"/>
          <w:highlight w:val="none"/>
        </w:rPr>
        <w:fldChar w:fldCharType="separate"/>
      </w:r>
      <w:r>
        <w:rPr>
          <w:rFonts w:hint="eastAsia" w:ascii="宋体" w:hAnsi="宋体" w:eastAsia="宋体" w:cs="宋体"/>
          <w:color w:val="auto"/>
          <w:szCs w:val="40"/>
          <w:highlight w:val="none"/>
        </w:rPr>
        <w:t>第二章</w:t>
      </w:r>
      <w:r>
        <w:rPr>
          <w:rFonts w:hint="eastAsia" w:ascii="宋体" w:hAnsi="宋体" w:eastAsia="宋体" w:cs="宋体"/>
          <w:color w:val="auto"/>
          <w:szCs w:val="40"/>
          <w:highlight w:val="none"/>
          <w:lang w:val="en-US" w:eastAsia="zh-CN"/>
        </w:rPr>
        <w:t xml:space="preserve">  </w:t>
      </w:r>
      <w:r>
        <w:rPr>
          <w:rFonts w:hint="eastAsia" w:ascii="宋体" w:hAnsi="宋体" w:eastAsia="宋体" w:cs="宋体"/>
          <w:color w:val="auto"/>
          <w:szCs w:val="40"/>
          <w:highlight w:val="none"/>
          <w:lang w:eastAsia="zh-CN"/>
        </w:rPr>
        <w:t>磋商供应商</w:t>
      </w:r>
      <w:r>
        <w:rPr>
          <w:rFonts w:hint="eastAsia" w:ascii="宋体" w:hAnsi="宋体" w:eastAsia="宋体" w:cs="宋体"/>
          <w:color w:val="auto"/>
          <w:szCs w:val="40"/>
          <w:highlight w:val="none"/>
        </w:rPr>
        <w:t>须知及前附表</w:t>
      </w:r>
      <w:r>
        <w:rPr>
          <w:color w:val="auto"/>
          <w:highlight w:val="none"/>
        </w:rPr>
        <w:tab/>
      </w:r>
      <w:r>
        <w:rPr>
          <w:color w:val="auto"/>
          <w:highlight w:val="none"/>
        </w:rPr>
        <w:fldChar w:fldCharType="begin"/>
      </w:r>
      <w:r>
        <w:rPr>
          <w:color w:val="auto"/>
          <w:highlight w:val="none"/>
        </w:rPr>
        <w:instrText xml:space="preserve"> PAGEREF _Toc24740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1F393BB3">
      <w:pPr>
        <w:pStyle w:val="2"/>
        <w:tabs>
          <w:tab w:val="right" w:leader="dot" w:pos="8310"/>
          <w:tab w:val="clear" w:pos="0"/>
          <w:tab w:val="clear" w:pos="9435"/>
        </w:tabs>
        <w:spacing w:line="360" w:lineRule="auto"/>
        <w:jc w:val="center"/>
        <w:rPr>
          <w:color w:val="auto"/>
          <w:highlight w:val="none"/>
        </w:rPr>
      </w:pPr>
      <w:r>
        <w:rPr>
          <w:color w:val="auto"/>
          <w:highlight w:val="none"/>
        </w:rPr>
        <w:fldChar w:fldCharType="begin"/>
      </w:r>
      <w:r>
        <w:rPr>
          <w:color w:val="auto"/>
          <w:highlight w:val="none"/>
        </w:rPr>
        <w:instrText xml:space="preserve"> HYPERLINK \l _Toc6548 </w:instrText>
      </w:r>
      <w:r>
        <w:rPr>
          <w:color w:val="auto"/>
          <w:highlight w:val="none"/>
        </w:rPr>
        <w:fldChar w:fldCharType="separate"/>
      </w:r>
      <w:r>
        <w:rPr>
          <w:rFonts w:hint="eastAsia" w:ascii="宋体" w:hAnsi="宋体" w:eastAsia="宋体" w:cs="宋体"/>
          <w:color w:val="auto"/>
          <w:szCs w:val="44"/>
          <w:highlight w:val="none"/>
          <w:lang w:val="en-US" w:eastAsia="zh-CN"/>
        </w:rPr>
        <w:t>第三章  采购需求表</w:t>
      </w:r>
      <w:r>
        <w:rPr>
          <w:color w:val="auto"/>
          <w:highlight w:val="none"/>
        </w:rPr>
        <w:tab/>
      </w:r>
      <w:r>
        <w:rPr>
          <w:color w:val="auto"/>
          <w:highlight w:val="none"/>
        </w:rPr>
        <w:fldChar w:fldCharType="begin"/>
      </w:r>
      <w:r>
        <w:rPr>
          <w:color w:val="auto"/>
          <w:highlight w:val="none"/>
        </w:rPr>
        <w:instrText xml:space="preserve"> PAGEREF _Toc6548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30EC5345">
      <w:pPr>
        <w:pStyle w:val="2"/>
        <w:tabs>
          <w:tab w:val="right" w:leader="dot" w:pos="8310"/>
          <w:tab w:val="clear" w:pos="0"/>
          <w:tab w:val="clear" w:pos="9435"/>
        </w:tabs>
        <w:spacing w:line="360" w:lineRule="auto"/>
        <w:jc w:val="center"/>
        <w:rPr>
          <w:color w:val="auto"/>
          <w:highlight w:val="none"/>
        </w:rPr>
      </w:pPr>
      <w:r>
        <w:rPr>
          <w:color w:val="auto"/>
          <w:highlight w:val="none"/>
        </w:rPr>
        <w:fldChar w:fldCharType="begin"/>
      </w:r>
      <w:r>
        <w:rPr>
          <w:color w:val="auto"/>
          <w:highlight w:val="none"/>
        </w:rPr>
        <w:instrText xml:space="preserve"> HYPERLINK \l _Toc24776 </w:instrText>
      </w:r>
      <w:r>
        <w:rPr>
          <w:color w:val="auto"/>
          <w:highlight w:val="none"/>
        </w:rPr>
        <w:fldChar w:fldCharType="separate"/>
      </w:r>
      <w:r>
        <w:rPr>
          <w:rFonts w:hint="eastAsia" w:ascii="宋体" w:hAnsi="宋体" w:eastAsia="宋体" w:cs="宋体"/>
          <w:color w:val="auto"/>
          <w:highlight w:val="none"/>
        </w:rPr>
        <w:t>第</w:t>
      </w:r>
      <w:r>
        <w:rPr>
          <w:rFonts w:hint="eastAsia" w:hAnsi="宋体" w:cs="宋体"/>
          <w:color w:val="auto"/>
          <w:highlight w:val="none"/>
          <w:lang w:val="en-US"/>
        </w:rPr>
        <w:t>四</w:t>
      </w:r>
      <w:r>
        <w:rPr>
          <w:rFonts w:hint="eastAsia" w:ascii="宋体" w:hAnsi="宋体" w:eastAsia="宋体" w:cs="宋体"/>
          <w:color w:val="auto"/>
          <w:highlight w:val="none"/>
        </w:rPr>
        <w:t>章  合同条款及格式</w:t>
      </w:r>
      <w:r>
        <w:rPr>
          <w:color w:val="auto"/>
          <w:highlight w:val="none"/>
        </w:rPr>
        <w:tab/>
      </w:r>
      <w:r>
        <w:rPr>
          <w:color w:val="auto"/>
          <w:highlight w:val="none"/>
        </w:rPr>
        <w:fldChar w:fldCharType="begin"/>
      </w:r>
      <w:r>
        <w:rPr>
          <w:color w:val="auto"/>
          <w:highlight w:val="none"/>
        </w:rPr>
        <w:instrText xml:space="preserve"> PAGEREF _Toc24776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05DC0098">
      <w:pPr>
        <w:pStyle w:val="2"/>
        <w:tabs>
          <w:tab w:val="right" w:leader="dot" w:pos="8310"/>
          <w:tab w:val="clear" w:pos="0"/>
          <w:tab w:val="clear" w:pos="9435"/>
        </w:tabs>
        <w:spacing w:line="360" w:lineRule="auto"/>
        <w:jc w:val="center"/>
        <w:rPr>
          <w:color w:val="auto"/>
          <w:highlight w:val="none"/>
        </w:rPr>
      </w:pPr>
      <w:r>
        <w:rPr>
          <w:color w:val="auto"/>
          <w:highlight w:val="none"/>
        </w:rPr>
        <w:fldChar w:fldCharType="begin"/>
      </w:r>
      <w:r>
        <w:rPr>
          <w:color w:val="auto"/>
          <w:highlight w:val="none"/>
        </w:rPr>
        <w:instrText xml:space="preserve"> HYPERLINK \l _Toc6995 </w:instrText>
      </w:r>
      <w:r>
        <w:rPr>
          <w:color w:val="auto"/>
          <w:highlight w:val="none"/>
        </w:rPr>
        <w:fldChar w:fldCharType="separate"/>
      </w:r>
      <w:r>
        <w:rPr>
          <w:rFonts w:hint="eastAsia" w:ascii="宋体" w:hAnsi="宋体" w:cs="宋体"/>
          <w:color w:val="auto"/>
          <w:szCs w:val="44"/>
          <w:highlight w:val="none"/>
          <w:lang w:val="en-US" w:eastAsia="zh-CN"/>
        </w:rPr>
        <w:t xml:space="preserve">第五章 </w:t>
      </w:r>
      <w:r>
        <w:rPr>
          <w:rFonts w:hint="eastAsia" w:ascii="宋体" w:hAnsi="宋体" w:eastAsia="宋体" w:cs="宋体"/>
          <w:color w:val="auto"/>
          <w:szCs w:val="44"/>
          <w:highlight w:val="none"/>
          <w:lang w:val="en-US" w:eastAsia="zh-CN"/>
        </w:rPr>
        <w:t>工程量清单</w:t>
      </w:r>
      <w:r>
        <w:rPr>
          <w:color w:val="auto"/>
          <w:highlight w:val="none"/>
        </w:rPr>
        <w:tab/>
      </w:r>
      <w:r>
        <w:rPr>
          <w:color w:val="auto"/>
          <w:highlight w:val="none"/>
        </w:rPr>
        <w:fldChar w:fldCharType="begin"/>
      </w:r>
      <w:r>
        <w:rPr>
          <w:color w:val="auto"/>
          <w:highlight w:val="none"/>
        </w:rPr>
        <w:instrText xml:space="preserve"> PAGEREF _Toc6995 \h </w:instrText>
      </w:r>
      <w:r>
        <w:rPr>
          <w:color w:val="auto"/>
          <w:highlight w:val="none"/>
        </w:rPr>
        <w:fldChar w:fldCharType="separate"/>
      </w:r>
      <w:r>
        <w:rPr>
          <w:color w:val="auto"/>
          <w:highlight w:val="none"/>
        </w:rPr>
        <w:t>104</w:t>
      </w:r>
      <w:r>
        <w:rPr>
          <w:color w:val="auto"/>
          <w:highlight w:val="none"/>
        </w:rPr>
        <w:fldChar w:fldCharType="end"/>
      </w:r>
      <w:r>
        <w:rPr>
          <w:color w:val="auto"/>
          <w:highlight w:val="none"/>
        </w:rPr>
        <w:fldChar w:fldCharType="end"/>
      </w:r>
    </w:p>
    <w:p w14:paraId="3E6DC5B7">
      <w:pPr>
        <w:pStyle w:val="2"/>
        <w:tabs>
          <w:tab w:val="right" w:leader="dot" w:pos="8310"/>
          <w:tab w:val="clear" w:pos="0"/>
          <w:tab w:val="clear" w:pos="9435"/>
        </w:tabs>
        <w:spacing w:line="360" w:lineRule="auto"/>
        <w:jc w:val="center"/>
        <w:rPr>
          <w:color w:val="auto"/>
          <w:highlight w:val="none"/>
        </w:rPr>
      </w:pPr>
      <w:r>
        <w:rPr>
          <w:color w:val="auto"/>
          <w:highlight w:val="none"/>
        </w:rPr>
        <w:fldChar w:fldCharType="begin"/>
      </w:r>
      <w:r>
        <w:rPr>
          <w:color w:val="auto"/>
          <w:highlight w:val="none"/>
        </w:rPr>
        <w:instrText xml:space="preserve"> HYPERLINK \l _Toc18611 </w:instrText>
      </w:r>
      <w:r>
        <w:rPr>
          <w:color w:val="auto"/>
          <w:highlight w:val="none"/>
        </w:rPr>
        <w:fldChar w:fldCharType="separate"/>
      </w:r>
      <w:r>
        <w:rPr>
          <w:rFonts w:hint="eastAsia" w:ascii="宋体" w:hAnsi="宋体" w:eastAsia="宋体" w:cs="宋体"/>
          <w:color w:val="auto"/>
          <w:szCs w:val="44"/>
          <w:highlight w:val="none"/>
          <w:lang w:val="en-US" w:eastAsia="zh-CN"/>
        </w:rPr>
        <w:t>第</w:t>
      </w:r>
      <w:r>
        <w:rPr>
          <w:rFonts w:hint="eastAsia" w:ascii="宋体" w:hAnsi="宋体" w:cs="宋体"/>
          <w:color w:val="auto"/>
          <w:szCs w:val="44"/>
          <w:highlight w:val="none"/>
          <w:lang w:val="en-US" w:eastAsia="zh-CN"/>
        </w:rPr>
        <w:t>六</w:t>
      </w:r>
      <w:r>
        <w:rPr>
          <w:rFonts w:hint="eastAsia" w:ascii="宋体" w:hAnsi="宋体" w:eastAsia="宋体" w:cs="宋体"/>
          <w:color w:val="auto"/>
          <w:szCs w:val="44"/>
          <w:highlight w:val="none"/>
          <w:lang w:val="en-US" w:eastAsia="zh-CN"/>
        </w:rPr>
        <w:t xml:space="preserve">章 </w:t>
      </w:r>
      <w:r>
        <w:rPr>
          <w:rFonts w:hint="eastAsia" w:ascii="宋体" w:hAnsi="宋体" w:eastAsia="宋体" w:cs="宋体"/>
          <w:color w:val="auto"/>
          <w:szCs w:val="44"/>
          <w:highlight w:val="none"/>
        </w:rPr>
        <w:t xml:space="preserve"> 图纸</w:t>
      </w:r>
      <w:r>
        <w:rPr>
          <w:color w:val="auto"/>
          <w:highlight w:val="none"/>
        </w:rPr>
        <w:tab/>
      </w:r>
      <w:r>
        <w:rPr>
          <w:color w:val="auto"/>
          <w:highlight w:val="none"/>
        </w:rPr>
        <w:fldChar w:fldCharType="begin"/>
      </w:r>
      <w:r>
        <w:rPr>
          <w:color w:val="auto"/>
          <w:highlight w:val="none"/>
        </w:rPr>
        <w:instrText xml:space="preserve"> PAGEREF _Toc18611 \h </w:instrText>
      </w:r>
      <w:r>
        <w:rPr>
          <w:color w:val="auto"/>
          <w:highlight w:val="none"/>
        </w:rPr>
        <w:fldChar w:fldCharType="separate"/>
      </w:r>
      <w:r>
        <w:rPr>
          <w:color w:val="auto"/>
          <w:highlight w:val="none"/>
        </w:rPr>
        <w:t>105</w:t>
      </w:r>
      <w:r>
        <w:rPr>
          <w:color w:val="auto"/>
          <w:highlight w:val="none"/>
        </w:rPr>
        <w:fldChar w:fldCharType="end"/>
      </w:r>
      <w:r>
        <w:rPr>
          <w:color w:val="auto"/>
          <w:highlight w:val="none"/>
        </w:rPr>
        <w:fldChar w:fldCharType="end"/>
      </w:r>
    </w:p>
    <w:p w14:paraId="7191A725">
      <w:pPr>
        <w:pStyle w:val="2"/>
        <w:tabs>
          <w:tab w:val="right" w:leader="dot" w:pos="8310"/>
          <w:tab w:val="clear" w:pos="0"/>
          <w:tab w:val="clear" w:pos="9435"/>
        </w:tabs>
        <w:spacing w:line="360" w:lineRule="auto"/>
        <w:jc w:val="center"/>
        <w:rPr>
          <w:color w:val="auto"/>
          <w:highlight w:val="none"/>
        </w:rPr>
      </w:pPr>
      <w:r>
        <w:rPr>
          <w:color w:val="auto"/>
          <w:highlight w:val="none"/>
        </w:rPr>
        <w:fldChar w:fldCharType="begin"/>
      </w:r>
      <w:r>
        <w:rPr>
          <w:color w:val="auto"/>
          <w:highlight w:val="none"/>
        </w:rPr>
        <w:instrText xml:space="preserve"> HYPERLINK \l _Toc16699 </w:instrText>
      </w:r>
      <w:r>
        <w:rPr>
          <w:color w:val="auto"/>
          <w:highlight w:val="none"/>
        </w:rPr>
        <w:fldChar w:fldCharType="separate"/>
      </w:r>
      <w:r>
        <w:rPr>
          <w:rFonts w:hint="eastAsia" w:ascii="宋体" w:hAnsi="宋体" w:eastAsia="宋体" w:cs="宋体"/>
          <w:color w:val="auto"/>
          <w:szCs w:val="44"/>
          <w:highlight w:val="none"/>
        </w:rPr>
        <w:t>第</w:t>
      </w:r>
      <w:r>
        <w:rPr>
          <w:rFonts w:hint="eastAsia" w:ascii="宋体" w:hAnsi="宋体" w:cs="宋体"/>
          <w:color w:val="auto"/>
          <w:szCs w:val="44"/>
          <w:highlight w:val="none"/>
          <w:lang w:val="en-US"/>
        </w:rPr>
        <w:t>七</w:t>
      </w:r>
      <w:r>
        <w:rPr>
          <w:rFonts w:hint="eastAsia" w:ascii="宋体" w:hAnsi="宋体" w:eastAsia="宋体" w:cs="宋体"/>
          <w:color w:val="auto"/>
          <w:szCs w:val="44"/>
          <w:highlight w:val="none"/>
        </w:rPr>
        <w:t>章  技术标准和要求</w:t>
      </w:r>
      <w:r>
        <w:rPr>
          <w:color w:val="auto"/>
          <w:highlight w:val="none"/>
        </w:rPr>
        <w:tab/>
      </w:r>
      <w:r>
        <w:rPr>
          <w:color w:val="auto"/>
          <w:highlight w:val="none"/>
        </w:rPr>
        <w:fldChar w:fldCharType="begin"/>
      </w:r>
      <w:r>
        <w:rPr>
          <w:color w:val="auto"/>
          <w:highlight w:val="none"/>
        </w:rPr>
        <w:instrText xml:space="preserve"> PAGEREF _Toc16699 \h </w:instrText>
      </w:r>
      <w:r>
        <w:rPr>
          <w:color w:val="auto"/>
          <w:highlight w:val="none"/>
        </w:rPr>
        <w:fldChar w:fldCharType="separate"/>
      </w:r>
      <w:r>
        <w:rPr>
          <w:color w:val="auto"/>
          <w:highlight w:val="none"/>
        </w:rPr>
        <w:t>106</w:t>
      </w:r>
      <w:r>
        <w:rPr>
          <w:color w:val="auto"/>
          <w:highlight w:val="none"/>
        </w:rPr>
        <w:fldChar w:fldCharType="end"/>
      </w:r>
      <w:r>
        <w:rPr>
          <w:color w:val="auto"/>
          <w:highlight w:val="none"/>
        </w:rPr>
        <w:fldChar w:fldCharType="end"/>
      </w:r>
    </w:p>
    <w:p w14:paraId="3C61D20A">
      <w:pPr>
        <w:pStyle w:val="2"/>
        <w:tabs>
          <w:tab w:val="right" w:leader="dot" w:pos="8310"/>
          <w:tab w:val="clear" w:pos="0"/>
          <w:tab w:val="clear" w:pos="9435"/>
        </w:tabs>
        <w:spacing w:line="360" w:lineRule="auto"/>
        <w:jc w:val="center"/>
        <w:rPr>
          <w:color w:val="auto"/>
          <w:highlight w:val="none"/>
        </w:rPr>
      </w:pPr>
      <w:r>
        <w:rPr>
          <w:color w:val="auto"/>
          <w:highlight w:val="none"/>
        </w:rPr>
        <w:fldChar w:fldCharType="begin"/>
      </w:r>
      <w:r>
        <w:rPr>
          <w:color w:val="auto"/>
          <w:highlight w:val="none"/>
        </w:rPr>
        <w:instrText xml:space="preserve"> HYPERLINK \l _Toc20121 </w:instrText>
      </w:r>
      <w:r>
        <w:rPr>
          <w:color w:val="auto"/>
          <w:highlight w:val="none"/>
        </w:rPr>
        <w:fldChar w:fldCharType="separate"/>
      </w:r>
      <w:r>
        <w:rPr>
          <w:rFonts w:hint="eastAsia" w:ascii="宋体" w:hAnsi="宋体" w:eastAsia="宋体" w:cs="宋体"/>
          <w:color w:val="auto"/>
          <w:szCs w:val="44"/>
          <w:highlight w:val="none"/>
        </w:rPr>
        <w:t>第</w:t>
      </w:r>
      <w:r>
        <w:rPr>
          <w:rFonts w:hint="eastAsia" w:ascii="宋体" w:hAnsi="宋体" w:cs="宋体"/>
          <w:color w:val="auto"/>
          <w:szCs w:val="44"/>
          <w:highlight w:val="none"/>
          <w:lang w:val="en-US"/>
        </w:rPr>
        <w:t>八</w:t>
      </w:r>
      <w:r>
        <w:rPr>
          <w:rFonts w:hint="eastAsia" w:ascii="宋体" w:hAnsi="宋体" w:eastAsia="宋体" w:cs="宋体"/>
          <w:color w:val="auto"/>
          <w:szCs w:val="44"/>
          <w:highlight w:val="none"/>
        </w:rPr>
        <w:t xml:space="preserve">章  </w:t>
      </w:r>
      <w:r>
        <w:rPr>
          <w:rFonts w:hint="eastAsia" w:ascii="宋体" w:hAnsi="宋体" w:eastAsia="宋体" w:cs="宋体"/>
          <w:color w:val="auto"/>
          <w:szCs w:val="44"/>
          <w:highlight w:val="none"/>
          <w:lang w:eastAsia="zh-CN"/>
        </w:rPr>
        <w:t>《响应文件》</w:t>
      </w:r>
      <w:r>
        <w:rPr>
          <w:rFonts w:hint="eastAsia" w:ascii="宋体" w:hAnsi="宋体" w:eastAsia="宋体" w:cs="宋体"/>
          <w:color w:val="auto"/>
          <w:szCs w:val="44"/>
          <w:highlight w:val="none"/>
        </w:rPr>
        <w:t>（格式）</w:t>
      </w:r>
      <w:r>
        <w:rPr>
          <w:color w:val="auto"/>
          <w:highlight w:val="none"/>
        </w:rPr>
        <w:tab/>
      </w:r>
      <w:r>
        <w:rPr>
          <w:color w:val="auto"/>
          <w:highlight w:val="none"/>
        </w:rPr>
        <w:fldChar w:fldCharType="begin"/>
      </w:r>
      <w:r>
        <w:rPr>
          <w:color w:val="auto"/>
          <w:highlight w:val="none"/>
        </w:rPr>
        <w:instrText xml:space="preserve"> PAGEREF _Toc20121 \h </w:instrText>
      </w:r>
      <w:r>
        <w:rPr>
          <w:color w:val="auto"/>
          <w:highlight w:val="none"/>
        </w:rPr>
        <w:fldChar w:fldCharType="separate"/>
      </w:r>
      <w:r>
        <w:rPr>
          <w:color w:val="auto"/>
          <w:highlight w:val="none"/>
        </w:rPr>
        <w:t>107</w:t>
      </w:r>
      <w:r>
        <w:rPr>
          <w:color w:val="auto"/>
          <w:highlight w:val="none"/>
        </w:rPr>
        <w:fldChar w:fldCharType="end"/>
      </w:r>
      <w:r>
        <w:rPr>
          <w:color w:val="auto"/>
          <w:highlight w:val="none"/>
        </w:rPr>
        <w:fldChar w:fldCharType="end"/>
      </w:r>
    </w:p>
    <w:p w14:paraId="06F4E7B1">
      <w:pPr>
        <w:pStyle w:val="2"/>
        <w:tabs>
          <w:tab w:val="right" w:leader="dot" w:pos="8310"/>
          <w:tab w:val="clear" w:pos="0"/>
          <w:tab w:val="clear" w:pos="9435"/>
        </w:tabs>
        <w:spacing w:line="360" w:lineRule="auto"/>
        <w:jc w:val="center"/>
        <w:rPr>
          <w:color w:val="auto"/>
          <w:highlight w:val="none"/>
        </w:rPr>
      </w:pPr>
      <w:r>
        <w:rPr>
          <w:color w:val="auto"/>
          <w:highlight w:val="none"/>
        </w:rPr>
        <w:fldChar w:fldCharType="begin"/>
      </w:r>
      <w:r>
        <w:rPr>
          <w:color w:val="auto"/>
          <w:highlight w:val="none"/>
        </w:rPr>
        <w:instrText xml:space="preserve"> HYPERLINK \l _Toc5844 </w:instrText>
      </w:r>
      <w:r>
        <w:rPr>
          <w:color w:val="auto"/>
          <w:highlight w:val="none"/>
        </w:rPr>
        <w:fldChar w:fldCharType="separate"/>
      </w:r>
      <w:r>
        <w:rPr>
          <w:rFonts w:hint="eastAsia" w:ascii="宋体" w:hAnsi="宋体" w:eastAsia="宋体" w:cs="宋体"/>
          <w:color w:val="auto"/>
          <w:szCs w:val="40"/>
          <w:highlight w:val="none"/>
        </w:rPr>
        <w:t>第</w:t>
      </w:r>
      <w:r>
        <w:rPr>
          <w:rFonts w:hint="eastAsia" w:ascii="宋体" w:hAnsi="宋体" w:cs="宋体"/>
          <w:color w:val="auto"/>
          <w:szCs w:val="40"/>
          <w:highlight w:val="none"/>
          <w:lang w:val="en-US" w:eastAsia="zh-CN"/>
        </w:rPr>
        <w:t>九</w:t>
      </w:r>
      <w:r>
        <w:rPr>
          <w:rFonts w:hint="eastAsia" w:ascii="宋体" w:hAnsi="宋体" w:eastAsia="宋体" w:cs="宋体"/>
          <w:color w:val="auto"/>
          <w:szCs w:val="40"/>
          <w:highlight w:val="none"/>
        </w:rPr>
        <w:t>章  评标办法</w:t>
      </w:r>
      <w:r>
        <w:rPr>
          <w:color w:val="auto"/>
          <w:highlight w:val="none"/>
        </w:rPr>
        <w:tab/>
      </w:r>
      <w:r>
        <w:rPr>
          <w:color w:val="auto"/>
          <w:highlight w:val="none"/>
        </w:rPr>
        <w:fldChar w:fldCharType="begin"/>
      </w:r>
      <w:r>
        <w:rPr>
          <w:color w:val="auto"/>
          <w:highlight w:val="none"/>
        </w:rPr>
        <w:instrText xml:space="preserve"> PAGEREF _Toc5844 \h </w:instrText>
      </w:r>
      <w:r>
        <w:rPr>
          <w:color w:val="auto"/>
          <w:highlight w:val="none"/>
        </w:rPr>
        <w:fldChar w:fldCharType="separate"/>
      </w:r>
      <w:r>
        <w:rPr>
          <w:color w:val="auto"/>
          <w:highlight w:val="none"/>
        </w:rPr>
        <w:t>137</w:t>
      </w:r>
      <w:r>
        <w:rPr>
          <w:color w:val="auto"/>
          <w:highlight w:val="none"/>
        </w:rPr>
        <w:fldChar w:fldCharType="end"/>
      </w:r>
      <w:r>
        <w:rPr>
          <w:color w:val="auto"/>
          <w:highlight w:val="none"/>
        </w:rPr>
        <w:fldChar w:fldCharType="end"/>
      </w:r>
    </w:p>
    <w:p w14:paraId="3939C37A">
      <w:pPr>
        <w:pageBreakBefore w:val="0"/>
        <w:overflowPunct/>
        <w:topLinePunct w:val="0"/>
        <w:bidi w:val="0"/>
        <w:spacing w:line="360" w:lineRule="auto"/>
        <w:jc w:val="center"/>
        <w:rPr>
          <w:color w:val="auto"/>
          <w:highlight w:val="none"/>
        </w:rPr>
      </w:pPr>
      <w:r>
        <w:rPr>
          <w:color w:val="auto"/>
          <w:highlight w:val="none"/>
        </w:rPr>
        <w:fldChar w:fldCharType="end"/>
      </w:r>
    </w:p>
    <w:p w14:paraId="06348BA7">
      <w:pPr>
        <w:pageBreakBefore w:val="0"/>
        <w:overflowPunct/>
        <w:topLinePunct w:val="0"/>
        <w:bidi w:val="0"/>
        <w:spacing w:line="360" w:lineRule="auto"/>
        <w:jc w:val="center"/>
        <w:rPr>
          <w:color w:val="auto"/>
          <w:highlight w:val="none"/>
        </w:rPr>
      </w:pPr>
    </w:p>
    <w:p w14:paraId="5AEBC67E">
      <w:pPr>
        <w:pageBreakBefore w:val="0"/>
        <w:overflowPunct/>
        <w:topLinePunct w:val="0"/>
        <w:bidi w:val="0"/>
        <w:spacing w:line="360" w:lineRule="auto"/>
        <w:jc w:val="center"/>
        <w:rPr>
          <w:color w:val="auto"/>
          <w:highlight w:val="none"/>
        </w:rPr>
      </w:pPr>
    </w:p>
    <w:p w14:paraId="4E201384">
      <w:pPr>
        <w:pageBreakBefore w:val="0"/>
        <w:overflowPunct/>
        <w:topLinePunct w:val="0"/>
        <w:bidi w:val="0"/>
        <w:spacing w:line="360" w:lineRule="auto"/>
        <w:jc w:val="center"/>
        <w:rPr>
          <w:color w:val="auto"/>
          <w:highlight w:val="none"/>
        </w:rPr>
      </w:pPr>
    </w:p>
    <w:p w14:paraId="6855C36F">
      <w:pPr>
        <w:pageBreakBefore w:val="0"/>
        <w:overflowPunct/>
        <w:topLinePunct w:val="0"/>
        <w:bidi w:val="0"/>
        <w:spacing w:line="360" w:lineRule="auto"/>
        <w:rPr>
          <w:color w:val="auto"/>
          <w:highlight w:val="none"/>
        </w:rPr>
      </w:pPr>
    </w:p>
    <w:p w14:paraId="17AAEF7F">
      <w:pPr>
        <w:pageBreakBefore w:val="0"/>
        <w:overflowPunct/>
        <w:topLinePunct w:val="0"/>
        <w:bidi w:val="0"/>
        <w:spacing w:line="360" w:lineRule="auto"/>
        <w:rPr>
          <w:color w:val="auto"/>
          <w:highlight w:val="none"/>
        </w:rPr>
      </w:pPr>
    </w:p>
    <w:p w14:paraId="3872468B">
      <w:pPr>
        <w:pageBreakBefore w:val="0"/>
        <w:overflowPunct/>
        <w:topLinePunct w:val="0"/>
        <w:bidi w:val="0"/>
        <w:spacing w:line="360" w:lineRule="auto"/>
        <w:rPr>
          <w:color w:val="auto"/>
          <w:highlight w:val="none"/>
        </w:rPr>
      </w:pPr>
    </w:p>
    <w:p w14:paraId="421081CB">
      <w:pPr>
        <w:pageBreakBefore w:val="0"/>
        <w:overflowPunct/>
        <w:topLinePunct w:val="0"/>
        <w:bidi w:val="0"/>
        <w:spacing w:line="360" w:lineRule="auto"/>
        <w:rPr>
          <w:color w:val="auto"/>
          <w:highlight w:val="none"/>
        </w:rPr>
      </w:pPr>
    </w:p>
    <w:p w14:paraId="69854939">
      <w:pPr>
        <w:pageBreakBefore w:val="0"/>
        <w:overflowPunct/>
        <w:topLinePunct w:val="0"/>
        <w:bidi w:val="0"/>
        <w:spacing w:line="360" w:lineRule="auto"/>
        <w:rPr>
          <w:color w:val="auto"/>
          <w:highlight w:val="none"/>
        </w:rPr>
      </w:pPr>
    </w:p>
    <w:p w14:paraId="3BB8DF7D">
      <w:pPr>
        <w:pageBreakBefore w:val="0"/>
        <w:overflowPunct/>
        <w:topLinePunct w:val="0"/>
        <w:bidi w:val="0"/>
        <w:spacing w:line="360" w:lineRule="auto"/>
        <w:rPr>
          <w:color w:val="auto"/>
          <w:highlight w:val="none"/>
        </w:rPr>
      </w:pPr>
    </w:p>
    <w:p w14:paraId="052B7056">
      <w:pPr>
        <w:pageBreakBefore w:val="0"/>
        <w:overflowPunct/>
        <w:topLinePunct w:val="0"/>
        <w:bidi w:val="0"/>
        <w:spacing w:line="360" w:lineRule="auto"/>
        <w:rPr>
          <w:color w:val="auto"/>
          <w:highlight w:val="none"/>
        </w:rPr>
      </w:pPr>
    </w:p>
    <w:p w14:paraId="2D763CB7">
      <w:pPr>
        <w:pageBreakBefore w:val="0"/>
        <w:overflowPunct/>
        <w:topLinePunct w:val="0"/>
        <w:bidi w:val="0"/>
        <w:spacing w:line="360" w:lineRule="auto"/>
        <w:rPr>
          <w:color w:val="auto"/>
          <w:highlight w:val="none"/>
        </w:rPr>
      </w:pPr>
    </w:p>
    <w:p w14:paraId="146F6B46">
      <w:pPr>
        <w:pageBreakBefore w:val="0"/>
        <w:overflowPunct/>
        <w:topLinePunct w:val="0"/>
        <w:bidi w:val="0"/>
        <w:spacing w:line="360" w:lineRule="auto"/>
        <w:rPr>
          <w:color w:val="auto"/>
          <w:highlight w:val="none"/>
        </w:rPr>
      </w:pPr>
    </w:p>
    <w:p w14:paraId="7FD4BC93">
      <w:pPr>
        <w:pageBreakBefore w:val="0"/>
        <w:overflowPunct/>
        <w:topLinePunct w:val="0"/>
        <w:bidi w:val="0"/>
        <w:spacing w:line="360" w:lineRule="auto"/>
        <w:rPr>
          <w:color w:val="auto"/>
          <w:highlight w:val="none"/>
        </w:rPr>
      </w:pPr>
    </w:p>
    <w:p w14:paraId="64D985A2">
      <w:pPr>
        <w:pageBreakBefore w:val="0"/>
        <w:overflowPunct/>
        <w:topLinePunct w:val="0"/>
        <w:bidi w:val="0"/>
        <w:spacing w:line="360" w:lineRule="auto"/>
        <w:rPr>
          <w:color w:val="auto"/>
          <w:highlight w:val="none"/>
        </w:rPr>
      </w:pPr>
    </w:p>
    <w:p w14:paraId="0EF9056B">
      <w:pPr>
        <w:pageBreakBefore w:val="0"/>
        <w:overflowPunct/>
        <w:topLinePunct w:val="0"/>
        <w:bidi w:val="0"/>
        <w:spacing w:line="360" w:lineRule="auto"/>
        <w:rPr>
          <w:color w:val="auto"/>
          <w:highlight w:val="none"/>
        </w:rPr>
      </w:pPr>
    </w:p>
    <w:p w14:paraId="44DA5049">
      <w:pPr>
        <w:pageBreakBefore w:val="0"/>
        <w:overflowPunct/>
        <w:topLinePunct w:val="0"/>
        <w:bidi w:val="0"/>
        <w:spacing w:line="360" w:lineRule="auto"/>
        <w:rPr>
          <w:color w:val="auto"/>
          <w:highlight w:val="none"/>
        </w:rPr>
      </w:pPr>
    </w:p>
    <w:p w14:paraId="69FCFAA0">
      <w:pPr>
        <w:pageBreakBefore w:val="0"/>
        <w:overflowPunct/>
        <w:topLinePunct w:val="0"/>
        <w:bidi w:val="0"/>
        <w:spacing w:line="360" w:lineRule="auto"/>
        <w:rPr>
          <w:color w:val="auto"/>
          <w:highlight w:val="none"/>
        </w:rPr>
      </w:pPr>
    </w:p>
    <w:p w14:paraId="4F53A453">
      <w:pPr>
        <w:pageBreakBefore w:val="0"/>
        <w:overflowPunct/>
        <w:topLinePunct w:val="0"/>
        <w:bidi w:val="0"/>
        <w:spacing w:line="360" w:lineRule="auto"/>
        <w:rPr>
          <w:color w:val="auto"/>
          <w:highlight w:val="none"/>
        </w:rPr>
      </w:pPr>
    </w:p>
    <w:p w14:paraId="453F50AF">
      <w:pPr>
        <w:pageBreakBefore w:val="0"/>
        <w:overflowPunct/>
        <w:topLinePunct w:val="0"/>
        <w:bidi w:val="0"/>
        <w:spacing w:line="360" w:lineRule="auto"/>
        <w:rPr>
          <w:color w:val="auto"/>
          <w:highlight w:val="none"/>
        </w:rPr>
      </w:pPr>
    </w:p>
    <w:p w14:paraId="7E7AEFEE">
      <w:pPr>
        <w:pageBreakBefore w:val="0"/>
        <w:overflowPunct/>
        <w:topLinePunct w:val="0"/>
        <w:bidi w:val="0"/>
        <w:spacing w:line="360" w:lineRule="auto"/>
        <w:rPr>
          <w:color w:val="auto"/>
          <w:highlight w:val="none"/>
        </w:rPr>
      </w:pPr>
    </w:p>
    <w:p w14:paraId="517DC8D1">
      <w:pPr>
        <w:pageBreakBefore w:val="0"/>
        <w:overflowPunct/>
        <w:topLinePunct w:val="0"/>
        <w:bidi w:val="0"/>
        <w:spacing w:line="360" w:lineRule="auto"/>
        <w:rPr>
          <w:color w:val="auto"/>
          <w:highlight w:val="none"/>
        </w:rPr>
      </w:pPr>
    </w:p>
    <w:p w14:paraId="5966B96A">
      <w:pPr>
        <w:pageBreakBefore w:val="0"/>
        <w:overflowPunct/>
        <w:topLinePunct w:val="0"/>
        <w:bidi w:val="0"/>
        <w:spacing w:line="360" w:lineRule="auto"/>
        <w:rPr>
          <w:color w:val="auto"/>
          <w:highlight w:val="none"/>
        </w:rPr>
      </w:pPr>
    </w:p>
    <w:p w14:paraId="608D4EFE">
      <w:pPr>
        <w:pageBreakBefore w:val="0"/>
        <w:overflowPunct/>
        <w:topLinePunct w:val="0"/>
        <w:bidi w:val="0"/>
        <w:spacing w:line="360" w:lineRule="auto"/>
        <w:rPr>
          <w:color w:val="auto"/>
          <w:highlight w:val="none"/>
        </w:rPr>
      </w:pPr>
    </w:p>
    <w:p w14:paraId="3A7E0909">
      <w:pPr>
        <w:pageBreakBefore w:val="0"/>
        <w:overflowPunct/>
        <w:topLinePunct w:val="0"/>
        <w:bidi w:val="0"/>
        <w:spacing w:line="360" w:lineRule="auto"/>
        <w:rPr>
          <w:color w:val="auto"/>
          <w:highlight w:val="none"/>
        </w:rPr>
      </w:pPr>
    </w:p>
    <w:p w14:paraId="3DCAA9FC">
      <w:pPr>
        <w:pageBreakBefore w:val="0"/>
        <w:overflowPunct/>
        <w:topLinePunct w:val="0"/>
        <w:bidi w:val="0"/>
        <w:spacing w:line="360" w:lineRule="auto"/>
        <w:rPr>
          <w:color w:val="auto"/>
          <w:highlight w:val="none"/>
        </w:rPr>
      </w:pPr>
    </w:p>
    <w:p w14:paraId="36267589">
      <w:pPr>
        <w:pStyle w:val="15"/>
        <w:pageBreakBefore w:val="0"/>
        <w:numPr>
          <w:ilvl w:val="0"/>
          <w:numId w:val="1"/>
        </w:numPr>
        <w:overflowPunct/>
        <w:topLinePunct w:val="0"/>
        <w:bidi w:val="0"/>
        <w:spacing w:line="360" w:lineRule="auto"/>
        <w:jc w:val="center"/>
        <w:outlineLvl w:val="0"/>
        <w:rPr>
          <w:rFonts w:hint="eastAsia" w:ascii="宋体" w:hAnsi="宋体" w:eastAsia="宋体" w:cs="宋体"/>
          <w:b/>
          <w:color w:val="auto"/>
          <w:sz w:val="40"/>
          <w:szCs w:val="40"/>
          <w:highlight w:val="none"/>
        </w:rPr>
      </w:pPr>
      <w:bookmarkStart w:id="1" w:name="_Toc13786"/>
      <w:bookmarkStart w:id="2" w:name="_Toc21655"/>
      <w:bookmarkStart w:id="3" w:name="_Toc2855"/>
      <w:r>
        <w:rPr>
          <w:rFonts w:hint="eastAsia" w:ascii="宋体" w:hAnsi="宋体" w:eastAsia="宋体" w:cs="宋体"/>
          <w:b/>
          <w:color w:val="auto"/>
          <w:sz w:val="40"/>
          <w:szCs w:val="40"/>
          <w:highlight w:val="none"/>
        </w:rPr>
        <w:t>竞争性磋商公告</w:t>
      </w:r>
      <w:bookmarkEnd w:id="0"/>
      <w:bookmarkEnd w:id="1"/>
      <w:bookmarkEnd w:id="2"/>
      <w:bookmarkEnd w:id="3"/>
    </w:p>
    <w:p w14:paraId="67D987A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overflowPunct/>
        <w:topLinePunct w:val="0"/>
        <w:bidi w:val="0"/>
        <w:spacing w:before="0" w:beforeAutospacing="0" w:after="0" w:afterAutospacing="0" w:line="360" w:lineRule="auto"/>
        <w:ind w:left="-360" w:leftChars="0" w:right="240" w:rightChars="0" w:firstLine="562" w:firstLineChars="200"/>
        <w:rPr>
          <w:rFonts w:hint="eastAsia" w:ascii="宋体" w:hAnsi="宋体" w:eastAsia="宋体" w:cs="宋体"/>
          <w:b/>
          <w:color w:val="auto"/>
          <w:sz w:val="28"/>
          <w:szCs w:val="28"/>
          <w:highlight w:val="none"/>
        </w:rPr>
      </w:pPr>
      <w:r>
        <w:rPr>
          <w:rFonts w:hint="eastAsia" w:ascii="宋体" w:hAnsi="宋体" w:cs="宋体"/>
          <w:b/>
          <w:bCs/>
          <w:color w:val="auto"/>
          <w:sz w:val="28"/>
          <w:szCs w:val="28"/>
          <w:highlight w:val="none"/>
          <w:lang w:eastAsia="zh-CN"/>
        </w:rPr>
        <w:t>广西朗亿工程咨询有限公司</w:t>
      </w:r>
      <w:r>
        <w:rPr>
          <w:rFonts w:hint="eastAsia" w:ascii="宋体" w:hAnsi="宋体" w:eastAsia="宋体" w:cs="宋体"/>
          <w:b/>
          <w:bCs/>
          <w:color w:val="auto"/>
          <w:sz w:val="28"/>
          <w:szCs w:val="28"/>
          <w:highlight w:val="none"/>
        </w:rPr>
        <w:t>关于</w:t>
      </w:r>
      <w:r>
        <w:rPr>
          <w:rFonts w:hint="eastAsia" w:ascii="宋体" w:hAnsi="宋体" w:cs="宋体"/>
          <w:b/>
          <w:bCs/>
          <w:color w:val="auto"/>
          <w:sz w:val="28"/>
          <w:szCs w:val="28"/>
          <w:highlight w:val="none"/>
          <w:lang w:eastAsia="zh-CN"/>
        </w:rPr>
        <w:t>富川民宗局2026年第二批财政常态化帮扶资金项目</w:t>
      </w:r>
      <w:r>
        <w:rPr>
          <w:rFonts w:hint="eastAsia" w:ascii="宋体" w:hAnsi="宋体" w:eastAsia="宋体" w:cs="宋体"/>
          <w:b/>
          <w:bCs/>
          <w:color w:val="auto"/>
          <w:sz w:val="28"/>
          <w:szCs w:val="28"/>
          <w:highlight w:val="none"/>
          <w:u w:val="none"/>
          <w:lang w:val="en-US" w:eastAsia="zh-CN"/>
        </w:rPr>
        <w:t>（项</w:t>
      </w:r>
      <w:r>
        <w:rPr>
          <w:rFonts w:hint="eastAsia" w:ascii="宋体" w:hAnsi="宋体" w:eastAsia="宋体" w:cs="宋体"/>
          <w:b/>
          <w:bCs/>
          <w:color w:val="auto"/>
          <w:sz w:val="28"/>
          <w:szCs w:val="28"/>
          <w:highlight w:val="none"/>
          <w:lang w:val="en-US" w:eastAsia="zh-CN"/>
        </w:rPr>
        <w:t>目编号：HZZC2026-C2-230069-LYGC）竞争性磋商公告</w:t>
      </w:r>
      <w:r>
        <w:rPr>
          <w:rFonts w:hint="eastAsia" w:ascii="宋体" w:hAnsi="宋体" w:eastAsia="宋体" w:cs="宋体"/>
          <w:b/>
          <w:color w:val="auto"/>
          <w:sz w:val="28"/>
          <w:szCs w:val="28"/>
          <w:highlight w:val="none"/>
          <w:lang w:eastAsia="zh-CN"/>
        </w:rPr>
        <w:t>（</w:t>
      </w:r>
      <w:r>
        <w:rPr>
          <w:rFonts w:hint="eastAsia" w:ascii="宋体" w:hAnsi="宋体" w:eastAsia="宋体" w:cs="宋体"/>
          <w:b/>
          <w:color w:val="auto"/>
          <w:sz w:val="28"/>
          <w:szCs w:val="28"/>
          <w:highlight w:val="none"/>
          <w:lang w:val="en-US" w:eastAsia="zh-CN"/>
        </w:rPr>
        <w:t>远程异地评标</w:t>
      </w:r>
      <w:r>
        <w:rPr>
          <w:rFonts w:hint="eastAsia" w:ascii="宋体" w:hAnsi="宋体" w:eastAsia="宋体" w:cs="宋体"/>
          <w:b/>
          <w:color w:val="auto"/>
          <w:sz w:val="28"/>
          <w:szCs w:val="28"/>
          <w:highlight w:val="none"/>
          <w:lang w:eastAsia="zh-CN"/>
        </w:rPr>
        <w:t>）</w:t>
      </w:r>
    </w:p>
    <w:p w14:paraId="6A99B630">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项目概况</w:t>
      </w:r>
      <w:r>
        <w:rPr>
          <w:rFonts w:hint="eastAsia" w:ascii="宋体" w:hAnsi="宋体" w:eastAsia="宋体" w:cs="宋体"/>
          <w:color w:val="auto"/>
          <w:sz w:val="21"/>
          <w:szCs w:val="21"/>
          <w:highlight w:val="none"/>
          <w:lang w:eastAsia="zh-CN"/>
        </w:rPr>
        <w:t>：</w:t>
      </w:r>
    </w:p>
    <w:p w14:paraId="79C1D250">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u w:val="single"/>
          <w:lang w:eastAsia="zh-CN"/>
        </w:rPr>
        <w:t>富川民宗局2026年第二批财政常态化帮扶资金项目</w:t>
      </w:r>
      <w:r>
        <w:rPr>
          <w:rFonts w:hint="eastAsia" w:ascii="宋体" w:hAnsi="宋体" w:eastAsia="宋体" w:cs="宋体"/>
          <w:color w:val="auto"/>
          <w:sz w:val="21"/>
          <w:szCs w:val="21"/>
          <w:highlight w:val="none"/>
        </w:rPr>
        <w:t>采购项目的潜在供应商应在</w:t>
      </w:r>
      <w:r>
        <w:rPr>
          <w:rFonts w:hint="eastAsia" w:ascii="宋体" w:hAnsi="宋体" w:eastAsia="宋体" w:cs="宋体"/>
          <w:color w:val="auto"/>
          <w:sz w:val="21"/>
          <w:szCs w:val="21"/>
          <w:highlight w:val="none"/>
          <w:u w:val="single"/>
        </w:rPr>
        <w:t>广西政府采购云平台（https://www.gcy.zfcg.gxzf.gov.cn/）</w:t>
      </w:r>
      <w:r>
        <w:rPr>
          <w:rFonts w:hint="eastAsia" w:ascii="宋体" w:hAnsi="宋体" w:eastAsia="宋体" w:cs="宋体"/>
          <w:color w:val="auto"/>
          <w:sz w:val="21"/>
          <w:szCs w:val="21"/>
          <w:highlight w:val="none"/>
        </w:rPr>
        <w:t>获取</w:t>
      </w:r>
      <w:r>
        <w:rPr>
          <w:rFonts w:hint="eastAsia" w:ascii="宋体" w:hAnsi="宋体" w:eastAsia="宋体" w:cs="宋体"/>
          <w:color w:val="auto"/>
          <w:sz w:val="21"/>
          <w:szCs w:val="21"/>
          <w:highlight w:val="none"/>
          <w:lang w:val="en-US" w:eastAsia="zh-CN"/>
        </w:rPr>
        <w:t>竞争性磋商</w:t>
      </w:r>
      <w:r>
        <w:rPr>
          <w:rFonts w:hint="eastAsia" w:ascii="宋体" w:hAnsi="宋体" w:eastAsia="宋体" w:cs="宋体"/>
          <w:color w:val="auto"/>
          <w:sz w:val="21"/>
          <w:szCs w:val="21"/>
          <w:highlight w:val="none"/>
        </w:rPr>
        <w:t>文件，并于</w:t>
      </w:r>
      <w:r>
        <w:rPr>
          <w:rFonts w:hint="eastAsia" w:ascii="宋体" w:hAnsi="宋体" w:eastAsia="宋体" w:cs="宋体"/>
          <w:color w:val="auto"/>
          <w:sz w:val="21"/>
          <w:szCs w:val="21"/>
          <w:highlight w:val="none"/>
          <w:u w:val="single"/>
          <w:lang w:val="en-US" w:eastAsia="zh-CN"/>
        </w:rPr>
        <w:t>202</w:t>
      </w:r>
      <w:r>
        <w:rPr>
          <w:rFonts w:hint="eastAsia" w:ascii="宋体" w:hAnsi="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lang w:val="en-US" w:eastAsia="zh-CN"/>
        </w:rPr>
        <w:t>年</w:t>
      </w:r>
      <w:r>
        <w:rPr>
          <w:rFonts w:hint="eastAsia" w:ascii="宋体" w:hAnsi="宋体" w:cs="宋体"/>
          <w:color w:val="auto"/>
          <w:sz w:val="21"/>
          <w:szCs w:val="21"/>
          <w:highlight w:val="none"/>
          <w:u w:val="single"/>
          <w:lang w:val="en-US" w:eastAsia="zh-CN"/>
        </w:rPr>
        <w:t>08</w:t>
      </w:r>
      <w:r>
        <w:rPr>
          <w:rFonts w:hint="eastAsia" w:ascii="宋体" w:hAnsi="宋体" w:eastAsia="宋体" w:cs="宋体"/>
          <w:color w:val="auto"/>
          <w:sz w:val="21"/>
          <w:szCs w:val="21"/>
          <w:highlight w:val="none"/>
          <w:u w:val="single"/>
          <w:lang w:val="en-US" w:eastAsia="zh-CN"/>
        </w:rPr>
        <w:t>月</w:t>
      </w:r>
      <w:r>
        <w:rPr>
          <w:rFonts w:hint="eastAsia" w:ascii="宋体" w:hAnsi="宋体" w:cs="宋体"/>
          <w:color w:val="auto"/>
          <w:sz w:val="21"/>
          <w:szCs w:val="21"/>
          <w:highlight w:val="none"/>
          <w:u w:val="single"/>
          <w:lang w:val="en-US" w:eastAsia="zh-CN"/>
        </w:rPr>
        <w:t>14</w:t>
      </w:r>
      <w:r>
        <w:rPr>
          <w:rFonts w:hint="eastAsia" w:ascii="宋体" w:hAnsi="宋体" w:eastAsia="宋体" w:cs="宋体"/>
          <w:color w:val="auto"/>
          <w:sz w:val="21"/>
          <w:szCs w:val="21"/>
          <w:highlight w:val="none"/>
          <w:u w:val="single"/>
          <w:lang w:val="en-US" w:eastAsia="zh-CN"/>
        </w:rPr>
        <w:t>日</w:t>
      </w:r>
      <w:r>
        <w:rPr>
          <w:rFonts w:hint="eastAsia" w:ascii="宋体" w:hAnsi="宋体" w:cs="宋体"/>
          <w:bCs/>
          <w:color w:val="auto"/>
          <w:sz w:val="21"/>
          <w:szCs w:val="21"/>
          <w:highlight w:val="none"/>
          <w:u w:val="single"/>
          <w:lang w:val="en-US" w:eastAsia="zh-CN"/>
        </w:rPr>
        <w:t>15</w:t>
      </w:r>
      <w:r>
        <w:rPr>
          <w:rFonts w:hint="eastAsia" w:ascii="宋体" w:hAnsi="宋体" w:eastAsia="宋体" w:cs="宋体"/>
          <w:bCs/>
          <w:color w:val="auto"/>
          <w:sz w:val="21"/>
          <w:szCs w:val="21"/>
          <w:highlight w:val="none"/>
          <w:u w:val="single"/>
          <w:lang w:val="en-US" w:eastAsia="zh-CN"/>
        </w:rPr>
        <w:t>时</w:t>
      </w:r>
      <w:r>
        <w:rPr>
          <w:rFonts w:hint="eastAsia" w:ascii="宋体" w:hAnsi="宋体" w:cs="宋体"/>
          <w:bCs/>
          <w:color w:val="auto"/>
          <w:sz w:val="21"/>
          <w:szCs w:val="21"/>
          <w:highlight w:val="none"/>
          <w:u w:val="single"/>
          <w:lang w:val="en-US" w:eastAsia="zh-CN"/>
        </w:rPr>
        <w:t>00</w:t>
      </w:r>
      <w:r>
        <w:rPr>
          <w:rFonts w:hint="eastAsia" w:ascii="宋体" w:hAnsi="宋体" w:eastAsia="宋体" w:cs="宋体"/>
          <w:bCs/>
          <w:color w:val="auto"/>
          <w:sz w:val="21"/>
          <w:szCs w:val="21"/>
          <w:highlight w:val="none"/>
          <w:u w:val="single"/>
          <w:lang w:val="en-US" w:eastAsia="zh-CN"/>
        </w:rPr>
        <w:t xml:space="preserve"> 分 </w:t>
      </w:r>
      <w:r>
        <w:rPr>
          <w:rFonts w:hint="eastAsia" w:ascii="宋体" w:hAnsi="宋体" w:eastAsia="宋体" w:cs="宋体"/>
          <w:bCs/>
          <w:color w:val="auto"/>
          <w:sz w:val="21"/>
          <w:szCs w:val="21"/>
          <w:highlight w:val="none"/>
        </w:rPr>
        <w:t>（北京时间）前提交响应文件</w:t>
      </w:r>
      <w:r>
        <w:rPr>
          <w:rFonts w:hint="eastAsia" w:ascii="宋体" w:hAnsi="宋体" w:eastAsia="宋体" w:cs="宋体"/>
          <w:color w:val="auto"/>
          <w:sz w:val="21"/>
          <w:szCs w:val="21"/>
          <w:highlight w:val="none"/>
        </w:rPr>
        <w:t>。</w:t>
      </w:r>
    </w:p>
    <w:p w14:paraId="25B25322">
      <w:pPr>
        <w:pStyle w:val="4"/>
        <w:pageBreakBefore w:val="0"/>
        <w:widowControl w:val="0"/>
        <w:tabs>
          <w:tab w:val="left" w:pos="6188"/>
        </w:tabs>
        <w:kinsoku/>
        <w:wordWrap/>
        <w:overflowPunct/>
        <w:topLinePunct w:val="0"/>
        <w:autoSpaceDE/>
        <w:autoSpaceDN/>
        <w:bidi w:val="0"/>
        <w:adjustRightInd/>
        <w:snapToGrid/>
        <w:spacing w:before="0" w:after="0" w:line="360" w:lineRule="auto"/>
        <w:jc w:val="left"/>
        <w:textAlignment w:val="auto"/>
        <w:rPr>
          <w:rFonts w:hint="eastAsia" w:ascii="宋体" w:hAnsi="宋体" w:eastAsia="宋体" w:cs="宋体"/>
          <w:b/>
          <w:bCs w:val="0"/>
          <w:color w:val="auto"/>
          <w:sz w:val="21"/>
          <w:szCs w:val="21"/>
          <w:highlight w:val="none"/>
          <w:lang w:eastAsia="zh-CN"/>
        </w:rPr>
      </w:pPr>
      <w:bookmarkStart w:id="4" w:name="_Toc35393629"/>
      <w:bookmarkStart w:id="5" w:name="_Toc28359089"/>
      <w:bookmarkStart w:id="6" w:name="_Toc21493"/>
      <w:bookmarkStart w:id="7" w:name="_Toc35393798"/>
      <w:bookmarkStart w:id="8" w:name="_Toc28359012"/>
      <w:r>
        <w:rPr>
          <w:rFonts w:hint="eastAsia" w:ascii="宋体" w:hAnsi="宋体" w:eastAsia="宋体" w:cs="宋体"/>
          <w:b/>
          <w:bCs w:val="0"/>
          <w:color w:val="auto"/>
          <w:sz w:val="21"/>
          <w:szCs w:val="21"/>
          <w:highlight w:val="none"/>
        </w:rPr>
        <w:t>一、项目基本情况</w:t>
      </w:r>
      <w:bookmarkEnd w:id="4"/>
      <w:bookmarkEnd w:id="5"/>
      <w:bookmarkEnd w:id="6"/>
      <w:bookmarkEnd w:id="7"/>
      <w:bookmarkEnd w:id="8"/>
      <w:r>
        <w:rPr>
          <w:rFonts w:hint="eastAsia" w:ascii="宋体" w:hAnsi="宋体" w:eastAsia="宋体" w:cs="宋体"/>
          <w:b/>
          <w:bCs w:val="0"/>
          <w:color w:val="auto"/>
          <w:sz w:val="21"/>
          <w:szCs w:val="21"/>
          <w:highlight w:val="none"/>
          <w:lang w:eastAsia="zh-CN"/>
        </w:rPr>
        <w:tab/>
      </w:r>
    </w:p>
    <w:p w14:paraId="0C1C5EBB">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val="0"/>
          <w:bCs w:val="0"/>
          <w:color w:val="auto"/>
          <w:sz w:val="21"/>
          <w:szCs w:val="21"/>
          <w:highlight w:val="none"/>
        </w:rPr>
        <w:t>项目编号</w:t>
      </w:r>
      <w:r>
        <w:rPr>
          <w:rFonts w:hint="eastAsia" w:ascii="宋体" w:hAnsi="宋体" w:eastAsia="宋体" w:cs="宋体"/>
          <w:color w:val="auto"/>
          <w:sz w:val="21"/>
          <w:szCs w:val="21"/>
          <w:highlight w:val="none"/>
        </w:rPr>
        <w:t>：HZZC2026-C2-230069-LYGC</w:t>
      </w:r>
      <w:r>
        <w:rPr>
          <w:rFonts w:hint="eastAsia" w:ascii="宋体" w:hAnsi="宋体" w:cs="宋体"/>
          <w:color w:val="auto"/>
          <w:sz w:val="21"/>
          <w:szCs w:val="21"/>
          <w:highlight w:val="none"/>
          <w:lang w:eastAsia="zh-CN"/>
        </w:rPr>
        <w:t xml:space="preserve">       </w:t>
      </w:r>
    </w:p>
    <w:p w14:paraId="49F874C4">
      <w:pPr>
        <w:pageBreakBefore w:val="0"/>
        <w:widowControl w:val="0"/>
        <w:kinsoku/>
        <w:wordWrap/>
        <w:overflowPunct/>
        <w:topLinePunct w:val="0"/>
        <w:autoSpaceDE/>
        <w:autoSpaceDN/>
        <w:bidi w:val="0"/>
        <w:adjustRightInd/>
        <w:snapToGrid/>
        <w:spacing w:line="360" w:lineRule="auto"/>
        <w:ind w:left="420" w:leftChars="200" w:firstLine="0" w:firstLineChars="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项目名称</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富川民宗局2026年第二批财政常态化帮扶资金项目</w:t>
      </w:r>
    </w:p>
    <w:p w14:paraId="30BDCE08">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rPr>
        <w:t>采购方式</w:t>
      </w:r>
      <w:r>
        <w:rPr>
          <w:rFonts w:hint="eastAsia" w:ascii="宋体" w:hAnsi="宋体" w:eastAsia="宋体" w:cs="宋体"/>
          <w:color w:val="auto"/>
          <w:sz w:val="21"/>
          <w:szCs w:val="21"/>
          <w:highlight w:val="none"/>
        </w:rPr>
        <w:t>：竞争性磋商</w:t>
      </w:r>
      <w:r>
        <w:rPr>
          <w:rFonts w:hint="eastAsia" w:ascii="宋体" w:hAnsi="宋体" w:eastAsia="宋体" w:cs="宋体"/>
          <w:color w:val="auto"/>
          <w:sz w:val="21"/>
          <w:szCs w:val="21"/>
          <w:highlight w:val="none"/>
          <w:lang w:val="en-US" w:eastAsia="zh-CN"/>
        </w:rPr>
        <w:t xml:space="preserve">  </w:t>
      </w:r>
    </w:p>
    <w:p w14:paraId="4B215C03">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u w:val="none"/>
        </w:rPr>
      </w:pPr>
      <w:r>
        <w:rPr>
          <w:rFonts w:hint="eastAsia" w:ascii="宋体" w:hAnsi="宋体" w:eastAsia="宋体" w:cs="宋体"/>
          <w:b w:val="0"/>
          <w:bCs w:val="0"/>
          <w:color w:val="auto"/>
          <w:sz w:val="21"/>
          <w:szCs w:val="21"/>
          <w:highlight w:val="none"/>
        </w:rPr>
        <w:t>预算金额：</w:t>
      </w:r>
      <w:r>
        <w:rPr>
          <w:rFonts w:hint="eastAsia" w:ascii="宋体" w:hAnsi="宋体" w:cs="宋体"/>
          <w:b w:val="0"/>
          <w:bCs w:val="0"/>
          <w:color w:val="auto"/>
          <w:sz w:val="21"/>
          <w:szCs w:val="21"/>
          <w:highlight w:val="none"/>
          <w:u w:val="none"/>
          <w:lang w:val="en-US" w:eastAsia="zh-CN"/>
        </w:rPr>
        <w:t>人民币壹佰叁拾伍万柒仟捌佰零叁元零贰分（￥1357803.02）（含社会保险费）</w:t>
      </w:r>
    </w:p>
    <w:p w14:paraId="181E3513">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u w:val="none"/>
        </w:rPr>
        <w:t>最高限价：</w:t>
      </w:r>
      <w:bookmarkStart w:id="1420" w:name="_GoBack"/>
      <w:r>
        <w:rPr>
          <w:rFonts w:hint="eastAsia" w:ascii="宋体" w:hAnsi="宋体" w:cs="宋体"/>
          <w:b w:val="0"/>
          <w:bCs w:val="0"/>
          <w:color w:val="auto"/>
          <w:sz w:val="21"/>
          <w:szCs w:val="21"/>
          <w:highlight w:val="none"/>
          <w:u w:val="none"/>
          <w:lang w:val="en-US" w:eastAsia="zh-CN"/>
        </w:rPr>
        <w:t>人民币壹佰叁拾伍万柒仟捌佰零叁元零贰分（￥1357803.02）（含社会保险费）（其中</w:t>
      </w:r>
      <w:r>
        <w:rPr>
          <w:rFonts w:hint="eastAsia" w:ascii="宋体" w:hAnsi="宋体" w:eastAsia="宋体" w:cs="宋体"/>
          <w:b w:val="0"/>
          <w:bCs w:val="0"/>
          <w:color w:val="auto"/>
          <w:sz w:val="21"/>
          <w:szCs w:val="21"/>
          <w:highlight w:val="none"/>
          <w:u w:val="none"/>
        </w:rPr>
        <w:t>1.麦岭村委长广村大山至岐山塘脐橙产业路硬化工程</w:t>
      </w:r>
      <w:r>
        <w:rPr>
          <w:rFonts w:hint="eastAsia" w:ascii="宋体" w:hAnsi="宋体" w:cs="宋体"/>
          <w:b w:val="0"/>
          <w:bCs w:val="0"/>
          <w:color w:val="auto"/>
          <w:sz w:val="21"/>
          <w:szCs w:val="21"/>
          <w:highlight w:val="none"/>
          <w:u w:val="none"/>
          <w:lang w:val="en-US" w:eastAsia="zh-CN"/>
        </w:rPr>
        <w:t>最高限价为￥530654.84；</w:t>
      </w:r>
      <w:r>
        <w:rPr>
          <w:rFonts w:hint="eastAsia" w:ascii="宋体" w:hAnsi="宋体" w:eastAsia="宋体" w:cs="宋体"/>
          <w:b w:val="0"/>
          <w:bCs w:val="0"/>
          <w:color w:val="auto"/>
          <w:sz w:val="21"/>
          <w:szCs w:val="21"/>
          <w:highlight w:val="none"/>
          <w:u w:val="none"/>
        </w:rPr>
        <w:t>2.石家乡石家社区双马塘至黄竹村脐橙产业路硬化工程</w:t>
      </w:r>
      <w:r>
        <w:rPr>
          <w:rFonts w:hint="eastAsia" w:ascii="宋体" w:hAnsi="宋体" w:cs="宋体"/>
          <w:b w:val="0"/>
          <w:bCs w:val="0"/>
          <w:color w:val="auto"/>
          <w:sz w:val="21"/>
          <w:szCs w:val="21"/>
          <w:highlight w:val="none"/>
          <w:u w:val="none"/>
          <w:lang w:val="en-US" w:eastAsia="zh-CN"/>
        </w:rPr>
        <w:t>最高限价为￥493831.47；</w:t>
      </w:r>
      <w:r>
        <w:rPr>
          <w:rFonts w:hint="eastAsia" w:ascii="宋体" w:hAnsi="宋体" w:eastAsia="宋体" w:cs="宋体"/>
          <w:b w:val="0"/>
          <w:bCs w:val="0"/>
          <w:color w:val="auto"/>
          <w:sz w:val="21"/>
          <w:szCs w:val="21"/>
          <w:highlight w:val="none"/>
          <w:u w:val="none"/>
        </w:rPr>
        <w:t>3.葛坡镇岐山村委岐山大村石板桥至鸭婆塘蔬菜基地三面光水渠建设最高限价为</w:t>
      </w:r>
      <w:r>
        <w:rPr>
          <w:rFonts w:hint="eastAsia" w:ascii="宋体" w:hAnsi="宋体" w:cs="宋体"/>
          <w:b w:val="0"/>
          <w:bCs w:val="0"/>
          <w:color w:val="auto"/>
          <w:sz w:val="21"/>
          <w:szCs w:val="21"/>
          <w:highlight w:val="none"/>
          <w:u w:val="none"/>
          <w:lang w:eastAsia="zh-CN"/>
        </w:rPr>
        <w:t>￥333316.71</w:t>
      </w:r>
      <w:r>
        <w:rPr>
          <w:rFonts w:hint="eastAsia" w:ascii="宋体" w:hAnsi="宋体" w:cs="宋体"/>
          <w:b w:val="0"/>
          <w:bCs w:val="0"/>
          <w:color w:val="auto"/>
          <w:sz w:val="21"/>
          <w:szCs w:val="21"/>
          <w:highlight w:val="none"/>
          <w:u w:val="none"/>
          <w:lang w:val="en-US" w:eastAsia="zh-CN"/>
        </w:rPr>
        <w:t>）</w:t>
      </w:r>
      <w:bookmarkEnd w:id="1420"/>
    </w:p>
    <w:p w14:paraId="2FF4B254">
      <w:pPr>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工程建设规模与内容：本项目包含三个子项目：1.麦岭村委长广村大山至岐山塘脐橙产业路硬化工程；2.石家乡石家社区双马塘至黄竹村脐橙产业路硬化工程；3.葛坡镇岐山村委岐山大村石板桥至鸭婆塘蔬菜基地三面光水渠建设。具体详见经财政投资评审的《工程量清单》内容及相关设计图纸要求范围内所有工程内容。</w:t>
      </w:r>
    </w:p>
    <w:p w14:paraId="2A6CABBF">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b w:val="0"/>
          <w:bCs w:val="0"/>
          <w:color w:val="auto"/>
          <w:sz w:val="21"/>
          <w:szCs w:val="21"/>
          <w:highlight w:val="none"/>
        </w:rPr>
        <w:t>合同履行期限</w:t>
      </w:r>
      <w:r>
        <w:rPr>
          <w:rFonts w:hint="eastAsia" w:ascii="宋体" w:hAnsi="宋体" w:eastAsia="宋体" w:cs="宋体"/>
          <w:color w:val="auto"/>
          <w:sz w:val="21"/>
          <w:szCs w:val="21"/>
          <w:highlight w:val="none"/>
        </w:rPr>
        <w:t>：100日历天</w:t>
      </w:r>
      <w:r>
        <w:rPr>
          <w:rFonts w:hint="eastAsia" w:ascii="宋体" w:hAnsi="宋体" w:eastAsia="宋体" w:cs="宋体"/>
          <w:color w:val="auto"/>
          <w:sz w:val="21"/>
          <w:szCs w:val="21"/>
          <w:highlight w:val="none"/>
          <w:lang w:eastAsia="zh-CN"/>
        </w:rPr>
        <w:t>。</w:t>
      </w:r>
    </w:p>
    <w:p w14:paraId="32C65816">
      <w:pPr>
        <w:pStyle w:val="4"/>
        <w:pageBreakBefore w:val="0"/>
        <w:widowControl w:val="0"/>
        <w:kinsoku/>
        <w:wordWrap/>
        <w:overflowPunct/>
        <w:topLinePunct w:val="0"/>
        <w:autoSpaceDE/>
        <w:autoSpaceDN/>
        <w:bidi w:val="0"/>
        <w:adjustRightInd/>
        <w:snapToGrid/>
        <w:spacing w:before="0" w:after="0" w:line="360" w:lineRule="auto"/>
        <w:jc w:val="left"/>
        <w:textAlignment w:val="auto"/>
        <w:rPr>
          <w:rFonts w:hint="eastAsia" w:ascii="宋体" w:hAnsi="宋体" w:eastAsia="宋体" w:cs="宋体"/>
          <w:b/>
          <w:bCs w:val="0"/>
          <w:color w:val="auto"/>
          <w:sz w:val="21"/>
          <w:szCs w:val="21"/>
          <w:highlight w:val="none"/>
        </w:rPr>
      </w:pPr>
      <w:bookmarkStart w:id="9" w:name="_Toc35393799"/>
      <w:bookmarkStart w:id="10" w:name="_Toc17706"/>
      <w:bookmarkStart w:id="11" w:name="_Toc35393630"/>
      <w:bookmarkStart w:id="12" w:name="_Toc28359013"/>
      <w:bookmarkStart w:id="13" w:name="_Toc28359090"/>
      <w:r>
        <w:rPr>
          <w:rFonts w:hint="eastAsia" w:ascii="宋体" w:hAnsi="宋体" w:eastAsia="宋体" w:cs="宋体"/>
          <w:b/>
          <w:bCs w:val="0"/>
          <w:color w:val="auto"/>
          <w:sz w:val="21"/>
          <w:szCs w:val="21"/>
          <w:highlight w:val="none"/>
        </w:rPr>
        <w:t>二、申请人的资格要求：</w:t>
      </w:r>
      <w:bookmarkEnd w:id="9"/>
      <w:bookmarkEnd w:id="10"/>
      <w:bookmarkEnd w:id="11"/>
      <w:bookmarkEnd w:id="12"/>
      <w:bookmarkEnd w:id="13"/>
    </w:p>
    <w:p w14:paraId="1F18F5E2">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1.满足《中华人民共和国政府采购法》第二十二条规定；</w:t>
      </w:r>
    </w:p>
    <w:p w14:paraId="20104C3B">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bookmarkStart w:id="14" w:name="_Toc28359014"/>
      <w:bookmarkStart w:id="15" w:name="_Toc28359091"/>
      <w:r>
        <w:rPr>
          <w:rFonts w:hint="eastAsia" w:ascii="宋体" w:hAnsi="宋体" w:eastAsia="宋体" w:cs="宋体"/>
          <w:color w:val="auto"/>
          <w:sz w:val="21"/>
          <w:szCs w:val="21"/>
          <w:highlight w:val="none"/>
        </w:rPr>
        <w:t>2.落实政府采购政策需满足的资格要求：</w:t>
      </w:r>
    </w:p>
    <w:p w14:paraId="2188A346">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☑专门面向中小企业采购的项目（供应商应为中小微企业、监狱企业、残疾人福利性单位)</w:t>
      </w:r>
    </w:p>
    <w:p w14:paraId="7614C4B6">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rPr>
        <w:t>□非专门面向中小企业采购的项目</w:t>
      </w:r>
      <w:r>
        <w:rPr>
          <w:rFonts w:hint="eastAsia" w:ascii="宋体" w:hAnsi="宋体" w:eastAsia="宋体" w:cs="宋体"/>
          <w:color w:val="auto"/>
          <w:sz w:val="21"/>
          <w:szCs w:val="21"/>
          <w:highlight w:val="none"/>
          <w:u w:val="none"/>
          <w:lang w:eastAsia="zh-CN"/>
        </w:rPr>
        <w:t>；</w:t>
      </w:r>
    </w:p>
    <w:p w14:paraId="51C977DA">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3.本项目的特定资格要求：</w:t>
      </w:r>
    </w:p>
    <w:p w14:paraId="5D70B807">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(1)具备</w:t>
      </w:r>
      <w:r>
        <w:rPr>
          <w:rFonts w:hint="eastAsia" w:ascii="宋体" w:hAnsi="宋体" w:cs="宋体"/>
          <w:color w:val="auto"/>
          <w:sz w:val="21"/>
          <w:szCs w:val="21"/>
          <w:highlight w:val="none"/>
          <w:lang w:val="en-US" w:eastAsia="zh-CN"/>
        </w:rPr>
        <w:t>市政公用工程施工总承包三级(含)以上资质及有效的安全生产许可证</w:t>
      </w:r>
      <w:r>
        <w:rPr>
          <w:rFonts w:hint="eastAsia" w:ascii="宋体" w:hAnsi="宋体" w:eastAsia="宋体" w:cs="宋体"/>
          <w:color w:val="auto"/>
          <w:sz w:val="21"/>
          <w:szCs w:val="21"/>
          <w:highlight w:val="none"/>
          <w:lang w:val="en-US" w:eastAsia="zh-CN"/>
        </w:rPr>
        <w:t>；</w:t>
      </w:r>
    </w:p>
    <w:p w14:paraId="38AD1368">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(2)拟投入的项目经理须具备</w:t>
      </w:r>
      <w:r>
        <w:rPr>
          <w:rFonts w:hint="eastAsia" w:ascii="宋体" w:hAnsi="宋体" w:cs="宋体"/>
          <w:color w:val="auto"/>
          <w:sz w:val="21"/>
          <w:szCs w:val="21"/>
          <w:highlight w:val="none"/>
          <w:lang w:val="en-US" w:eastAsia="zh-CN"/>
        </w:rPr>
        <w:t>市政公用工程专业二级</w:t>
      </w:r>
      <w:r>
        <w:rPr>
          <w:rFonts w:hint="eastAsia" w:ascii="宋体" w:hAnsi="宋体" w:eastAsia="宋体" w:cs="宋体"/>
          <w:color w:val="auto"/>
          <w:sz w:val="21"/>
          <w:szCs w:val="21"/>
          <w:highlight w:val="none"/>
          <w:lang w:val="en-US" w:eastAsia="zh-CN"/>
        </w:rPr>
        <w:t>（含）以上注册建造师资格，持有有效的B类安全生产考核合格证；</w:t>
      </w:r>
    </w:p>
    <w:p w14:paraId="11C28EBF">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(3)拟派往本项目的专职安全员须具备有效的安全生产考核合格证书（C类），人数不少于1人</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 xml:space="preserve"> </w:t>
      </w:r>
    </w:p>
    <w:p w14:paraId="3D974EA6">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(4)拟派驻本项目的技术负责人须具</w:t>
      </w:r>
      <w:r>
        <w:rPr>
          <w:rFonts w:hint="eastAsia" w:ascii="宋体" w:hAnsi="宋体" w:eastAsia="宋体" w:cs="宋体"/>
          <w:b w:val="0"/>
          <w:bCs w:val="0"/>
          <w:i w:val="0"/>
          <w:iCs w:val="0"/>
          <w:caps w:val="0"/>
          <w:color w:val="auto"/>
          <w:spacing w:val="0"/>
          <w:sz w:val="21"/>
          <w:szCs w:val="21"/>
          <w:highlight w:val="none"/>
          <w:shd w:val="clear"/>
        </w:rPr>
        <w:t>备</w:t>
      </w:r>
      <w:r>
        <w:rPr>
          <w:rFonts w:hint="eastAsia" w:ascii="宋体" w:hAnsi="宋体" w:eastAsia="宋体" w:cs="宋体"/>
          <w:color w:val="auto"/>
          <w:kern w:val="0"/>
          <w:sz w:val="21"/>
          <w:szCs w:val="21"/>
          <w:highlight w:val="none"/>
          <w:lang w:val="en-US" w:eastAsia="zh-CN" w:bidi="ar-SA"/>
        </w:rPr>
        <w:t>中级</w:t>
      </w:r>
      <w:r>
        <w:rPr>
          <w:rFonts w:hint="eastAsia" w:ascii="宋体" w:hAnsi="宋体" w:cs="宋体"/>
          <w:color w:val="auto"/>
          <w:kern w:val="0"/>
          <w:sz w:val="21"/>
          <w:szCs w:val="21"/>
          <w:highlight w:val="none"/>
          <w:lang w:val="en-US" w:eastAsia="zh-CN" w:bidi="ar-SA"/>
        </w:rPr>
        <w:t>及</w:t>
      </w:r>
      <w:r>
        <w:rPr>
          <w:rFonts w:hint="eastAsia" w:ascii="宋体" w:hAnsi="宋体" w:eastAsia="宋体" w:cs="宋体"/>
          <w:color w:val="auto"/>
          <w:kern w:val="0"/>
          <w:sz w:val="21"/>
          <w:szCs w:val="21"/>
          <w:highlight w:val="none"/>
          <w:lang w:val="en-US" w:eastAsia="zh-CN" w:bidi="ar-SA"/>
        </w:rPr>
        <w:t>以上技术职称</w:t>
      </w:r>
      <w:r>
        <w:rPr>
          <w:rFonts w:hint="eastAsia" w:ascii="宋体" w:hAnsi="宋体" w:cs="宋体"/>
          <w:color w:val="auto"/>
          <w:kern w:val="0"/>
          <w:sz w:val="21"/>
          <w:szCs w:val="21"/>
          <w:highlight w:val="none"/>
          <w:lang w:val="en-US" w:eastAsia="zh-CN" w:bidi="ar-SA"/>
        </w:rPr>
        <w:t>；</w:t>
      </w:r>
    </w:p>
    <w:p w14:paraId="557846B9">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(5)施工员、质量员、材料员应具有相应岗位资格证书。</w:t>
      </w:r>
    </w:p>
    <w:p w14:paraId="6A2F6999">
      <w:pPr>
        <w:widowControl w:val="0"/>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 w:val="21"/>
          <w:szCs w:val="21"/>
          <w:highlight w:val="none"/>
          <w:lang w:val="en-US" w:eastAsia="zh-CN"/>
        </w:rPr>
        <w:t>4.本项目不接受有在建、已中标未开工或已列为其他项目中标候选人第一名的建造师作为项目经理。</w:t>
      </w:r>
    </w:p>
    <w:p w14:paraId="0BFD3C89">
      <w:pPr>
        <w:widowControl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本项目不接受联合体磋商。</w:t>
      </w:r>
    </w:p>
    <w:p w14:paraId="61329785">
      <w:pPr>
        <w:pStyle w:val="4"/>
        <w:pageBreakBefore w:val="0"/>
        <w:widowControl w:val="0"/>
        <w:kinsoku/>
        <w:wordWrap/>
        <w:overflowPunct/>
        <w:topLinePunct w:val="0"/>
        <w:autoSpaceDE/>
        <w:autoSpaceDN/>
        <w:bidi w:val="0"/>
        <w:adjustRightInd/>
        <w:snapToGrid/>
        <w:spacing w:before="0" w:after="0" w:line="360" w:lineRule="auto"/>
        <w:jc w:val="left"/>
        <w:textAlignment w:val="auto"/>
        <w:rPr>
          <w:rFonts w:hint="eastAsia" w:ascii="宋体" w:hAnsi="宋体" w:eastAsia="宋体" w:cs="宋体"/>
          <w:b/>
          <w:bCs w:val="0"/>
          <w:color w:val="auto"/>
          <w:sz w:val="21"/>
          <w:szCs w:val="21"/>
          <w:highlight w:val="none"/>
        </w:rPr>
      </w:pPr>
      <w:bookmarkStart w:id="16" w:name="_Toc35393800"/>
      <w:bookmarkStart w:id="17" w:name="_Toc35393631"/>
      <w:bookmarkStart w:id="18" w:name="_Toc24012"/>
      <w:r>
        <w:rPr>
          <w:rFonts w:hint="eastAsia" w:ascii="宋体" w:hAnsi="宋体" w:eastAsia="宋体" w:cs="宋体"/>
          <w:b/>
          <w:bCs w:val="0"/>
          <w:color w:val="auto"/>
          <w:sz w:val="21"/>
          <w:szCs w:val="21"/>
          <w:highlight w:val="none"/>
        </w:rPr>
        <w:t>三、获取采购文件</w:t>
      </w:r>
      <w:bookmarkEnd w:id="14"/>
      <w:bookmarkEnd w:id="15"/>
      <w:bookmarkEnd w:id="16"/>
      <w:bookmarkEnd w:id="17"/>
      <w:bookmarkEnd w:id="18"/>
    </w:p>
    <w:p w14:paraId="42F9571B">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时间：202</w:t>
      </w:r>
      <w:r>
        <w:rPr>
          <w:rFonts w:hint="eastAsia" w:ascii="宋体" w:hAnsi="宋体" w:cs="宋体"/>
          <w:bCs/>
          <w:color w:val="auto"/>
          <w:sz w:val="21"/>
          <w:szCs w:val="21"/>
          <w:highlight w:val="none"/>
          <w:lang w:val="en-US" w:eastAsia="zh-CN"/>
        </w:rPr>
        <w:t>6</w:t>
      </w:r>
      <w:r>
        <w:rPr>
          <w:rFonts w:hint="eastAsia" w:ascii="宋体" w:hAnsi="宋体" w:eastAsia="宋体" w:cs="宋体"/>
          <w:bCs/>
          <w:color w:val="auto"/>
          <w:sz w:val="21"/>
          <w:szCs w:val="21"/>
          <w:highlight w:val="none"/>
          <w:lang w:val="en-US" w:eastAsia="zh-CN"/>
        </w:rPr>
        <w:t>年</w:t>
      </w:r>
      <w:r>
        <w:rPr>
          <w:rFonts w:hint="eastAsia" w:ascii="宋体" w:hAnsi="宋体" w:cs="宋体"/>
          <w:bCs/>
          <w:color w:val="auto"/>
          <w:sz w:val="21"/>
          <w:szCs w:val="21"/>
          <w:highlight w:val="none"/>
          <w:lang w:val="en-US" w:eastAsia="zh-CN"/>
        </w:rPr>
        <w:t>08</w:t>
      </w:r>
      <w:r>
        <w:rPr>
          <w:rFonts w:hint="eastAsia" w:ascii="宋体" w:hAnsi="宋体" w:eastAsia="宋体" w:cs="宋体"/>
          <w:bCs/>
          <w:color w:val="auto"/>
          <w:sz w:val="21"/>
          <w:szCs w:val="21"/>
          <w:highlight w:val="none"/>
          <w:lang w:val="en-US" w:eastAsia="zh-CN"/>
        </w:rPr>
        <w:t>月</w:t>
      </w:r>
      <w:r>
        <w:rPr>
          <w:rFonts w:hint="eastAsia" w:ascii="宋体" w:hAnsi="宋体" w:cs="宋体"/>
          <w:bCs/>
          <w:color w:val="auto"/>
          <w:sz w:val="21"/>
          <w:szCs w:val="21"/>
          <w:highlight w:val="none"/>
          <w:lang w:val="en-US" w:eastAsia="zh-CN"/>
        </w:rPr>
        <w:t>03</w:t>
      </w:r>
      <w:r>
        <w:rPr>
          <w:rFonts w:hint="eastAsia" w:ascii="宋体" w:hAnsi="宋体" w:eastAsia="宋体" w:cs="宋体"/>
          <w:bCs/>
          <w:color w:val="auto"/>
          <w:sz w:val="21"/>
          <w:szCs w:val="21"/>
          <w:highlight w:val="none"/>
          <w:lang w:val="en-US" w:eastAsia="zh-CN"/>
        </w:rPr>
        <w:t>日公告发布之时至202</w:t>
      </w:r>
      <w:r>
        <w:rPr>
          <w:rFonts w:hint="eastAsia" w:ascii="宋体" w:hAnsi="宋体" w:cs="宋体"/>
          <w:bCs/>
          <w:color w:val="auto"/>
          <w:sz w:val="21"/>
          <w:szCs w:val="21"/>
          <w:highlight w:val="none"/>
          <w:lang w:val="en-US" w:eastAsia="zh-CN"/>
        </w:rPr>
        <w:t>6</w:t>
      </w:r>
      <w:r>
        <w:rPr>
          <w:rFonts w:hint="eastAsia" w:ascii="宋体" w:hAnsi="宋体" w:eastAsia="宋体" w:cs="宋体"/>
          <w:bCs/>
          <w:color w:val="auto"/>
          <w:sz w:val="21"/>
          <w:szCs w:val="21"/>
          <w:highlight w:val="none"/>
          <w:lang w:val="en-US" w:eastAsia="zh-CN"/>
        </w:rPr>
        <w:t>年</w:t>
      </w:r>
      <w:r>
        <w:rPr>
          <w:rFonts w:hint="eastAsia" w:ascii="宋体" w:hAnsi="宋体" w:cs="宋体"/>
          <w:bCs/>
          <w:color w:val="auto"/>
          <w:sz w:val="21"/>
          <w:szCs w:val="21"/>
          <w:highlight w:val="none"/>
          <w:lang w:val="en-US" w:eastAsia="zh-CN"/>
        </w:rPr>
        <w:t>08</w:t>
      </w:r>
      <w:r>
        <w:rPr>
          <w:rFonts w:hint="eastAsia" w:ascii="宋体" w:hAnsi="宋体" w:eastAsia="宋体" w:cs="宋体"/>
          <w:bCs/>
          <w:color w:val="auto"/>
          <w:sz w:val="21"/>
          <w:szCs w:val="21"/>
          <w:highlight w:val="none"/>
          <w:lang w:val="en-US" w:eastAsia="zh-CN"/>
        </w:rPr>
        <w:t>月</w:t>
      </w:r>
      <w:r>
        <w:rPr>
          <w:rFonts w:hint="eastAsia" w:ascii="宋体" w:hAnsi="宋体" w:cs="宋体"/>
          <w:bCs/>
          <w:color w:val="auto"/>
          <w:sz w:val="21"/>
          <w:szCs w:val="21"/>
          <w:highlight w:val="none"/>
          <w:lang w:val="en-US" w:eastAsia="zh-CN"/>
        </w:rPr>
        <w:t>10</w:t>
      </w:r>
      <w:r>
        <w:rPr>
          <w:rFonts w:hint="eastAsia" w:ascii="宋体" w:hAnsi="宋体" w:eastAsia="宋体" w:cs="宋体"/>
          <w:bCs/>
          <w:color w:val="auto"/>
          <w:sz w:val="21"/>
          <w:szCs w:val="21"/>
          <w:highlight w:val="none"/>
          <w:lang w:val="en-US" w:eastAsia="zh-CN"/>
        </w:rPr>
        <w:t>日18 时 00分（北京时间）；</w:t>
      </w:r>
    </w:p>
    <w:p w14:paraId="182EA802">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地点：广西政府采购云平台（https://www.gcy.zfcg.gxzf.gov.cn/）</w:t>
      </w:r>
    </w:p>
    <w:p w14:paraId="3D3C3793">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方式：</w:t>
      </w:r>
      <w:r>
        <w:rPr>
          <w:rFonts w:hint="eastAsia" w:ascii="宋体" w:hAnsi="宋体" w:eastAsia="宋体" w:cs="宋体"/>
          <w:bCs/>
          <w:color w:val="auto"/>
          <w:sz w:val="21"/>
          <w:szCs w:val="21"/>
          <w:highlight w:val="none"/>
          <w:lang w:val="en-US" w:eastAsia="zh-CN"/>
        </w:rPr>
        <w:t>供应商登录广西政府采购云平台（https://www.gcy.zfcg.gxzf.gov.cn/）在线申请获取采购文件（进入“项目采购”应用，在获取采购文件菜单中选择项目，申请获取采购文件）。</w:t>
      </w:r>
    </w:p>
    <w:p w14:paraId="3B9BC7EA">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本项目采用资格后审，已获取竞争性磋商文件的供应商不等于符合本项目资格要求。电子响应文件制作需要基于“</w:t>
      </w:r>
      <w:r>
        <w:rPr>
          <w:rFonts w:hint="eastAsia" w:ascii="宋体" w:hAnsi="宋体" w:eastAsia="宋体" w:cs="宋体"/>
          <w:bCs/>
          <w:color w:val="auto"/>
          <w:sz w:val="21"/>
          <w:szCs w:val="21"/>
          <w:highlight w:val="none"/>
        </w:rPr>
        <w:t>广西政府采购云平台</w:t>
      </w:r>
      <w:r>
        <w:rPr>
          <w:rFonts w:hint="eastAsia" w:ascii="宋体" w:hAnsi="宋体" w:eastAsia="宋体" w:cs="宋体"/>
          <w:bCs/>
          <w:color w:val="auto"/>
          <w:sz w:val="21"/>
          <w:szCs w:val="21"/>
          <w:highlight w:val="none"/>
          <w:lang w:val="en-US" w:eastAsia="zh-CN"/>
        </w:rPr>
        <w:t>”获取的竞争性磋商文件编制。</w:t>
      </w:r>
    </w:p>
    <w:p w14:paraId="4356AE07">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rPr>
        <w:t>售价：</w:t>
      </w:r>
      <w:r>
        <w:rPr>
          <w:rFonts w:hint="eastAsia" w:ascii="宋体" w:hAnsi="宋体" w:eastAsia="宋体" w:cs="宋体"/>
          <w:bCs/>
          <w:color w:val="auto"/>
          <w:sz w:val="21"/>
          <w:szCs w:val="21"/>
          <w:highlight w:val="none"/>
          <w:lang w:val="en-US" w:eastAsia="zh-CN"/>
        </w:rPr>
        <w:t>0</w:t>
      </w:r>
      <w:r>
        <w:rPr>
          <w:rFonts w:hint="eastAsia" w:ascii="宋体" w:hAnsi="宋体" w:eastAsia="宋体" w:cs="宋体"/>
          <w:bCs/>
          <w:color w:val="auto"/>
          <w:sz w:val="21"/>
          <w:szCs w:val="21"/>
          <w:highlight w:val="none"/>
        </w:rPr>
        <w:t>元</w:t>
      </w:r>
      <w:r>
        <w:rPr>
          <w:rFonts w:hint="eastAsia" w:ascii="宋体" w:hAnsi="宋体" w:eastAsia="宋体" w:cs="宋体"/>
          <w:bCs/>
          <w:color w:val="auto"/>
          <w:sz w:val="21"/>
          <w:szCs w:val="21"/>
          <w:highlight w:val="none"/>
          <w:lang w:eastAsia="zh-CN"/>
        </w:rPr>
        <w:t>。</w:t>
      </w:r>
    </w:p>
    <w:p w14:paraId="60343BE3">
      <w:pPr>
        <w:pStyle w:val="4"/>
        <w:pageBreakBefore w:val="0"/>
        <w:widowControl w:val="0"/>
        <w:kinsoku/>
        <w:wordWrap/>
        <w:overflowPunct/>
        <w:topLinePunct w:val="0"/>
        <w:autoSpaceDE/>
        <w:autoSpaceDN/>
        <w:bidi w:val="0"/>
        <w:adjustRightInd/>
        <w:snapToGrid/>
        <w:spacing w:before="0" w:after="0" w:line="360" w:lineRule="auto"/>
        <w:jc w:val="left"/>
        <w:textAlignment w:val="auto"/>
        <w:rPr>
          <w:rFonts w:hint="eastAsia" w:ascii="宋体" w:hAnsi="宋体" w:eastAsia="宋体" w:cs="宋体"/>
          <w:b/>
          <w:bCs w:val="0"/>
          <w:color w:val="auto"/>
          <w:sz w:val="21"/>
          <w:szCs w:val="21"/>
          <w:highlight w:val="none"/>
        </w:rPr>
      </w:pPr>
      <w:bookmarkStart w:id="19" w:name="_Toc35393801"/>
      <w:bookmarkStart w:id="20" w:name="_Toc28359015"/>
      <w:bookmarkStart w:id="21" w:name="_Toc28359092"/>
      <w:bookmarkStart w:id="22" w:name="_Toc29652"/>
      <w:bookmarkStart w:id="23" w:name="_Toc35393632"/>
      <w:r>
        <w:rPr>
          <w:rFonts w:hint="eastAsia" w:ascii="宋体" w:hAnsi="宋体" w:eastAsia="宋体" w:cs="宋体"/>
          <w:b/>
          <w:bCs w:val="0"/>
          <w:color w:val="auto"/>
          <w:sz w:val="21"/>
          <w:szCs w:val="21"/>
          <w:highlight w:val="none"/>
        </w:rPr>
        <w:t>四、响应文件提交</w:t>
      </w:r>
      <w:bookmarkEnd w:id="19"/>
      <w:bookmarkEnd w:id="20"/>
      <w:bookmarkEnd w:id="21"/>
      <w:bookmarkEnd w:id="22"/>
      <w:bookmarkEnd w:id="23"/>
    </w:p>
    <w:p w14:paraId="3ADFF7C7">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rPr>
        <w:t>截止时间：</w:t>
      </w:r>
      <w:r>
        <w:rPr>
          <w:rFonts w:hint="eastAsia" w:ascii="宋体" w:hAnsi="宋体" w:eastAsia="宋体" w:cs="宋体"/>
          <w:color w:val="auto"/>
          <w:sz w:val="21"/>
          <w:szCs w:val="21"/>
          <w:highlight w:val="none"/>
          <w:u w:val="none"/>
          <w:lang w:val="en-US" w:eastAsia="zh-CN"/>
        </w:rPr>
        <w:t>202</w:t>
      </w:r>
      <w:r>
        <w:rPr>
          <w:rFonts w:hint="eastAsia" w:ascii="宋体" w:hAnsi="宋体" w:cs="宋体"/>
          <w:color w:val="auto"/>
          <w:sz w:val="21"/>
          <w:szCs w:val="21"/>
          <w:highlight w:val="none"/>
          <w:u w:val="none"/>
          <w:lang w:val="en-US" w:eastAsia="zh-CN"/>
        </w:rPr>
        <w:t>6</w:t>
      </w:r>
      <w:r>
        <w:rPr>
          <w:rFonts w:hint="eastAsia" w:ascii="宋体" w:hAnsi="宋体" w:eastAsia="宋体" w:cs="宋体"/>
          <w:color w:val="auto"/>
          <w:sz w:val="21"/>
          <w:szCs w:val="21"/>
          <w:highlight w:val="none"/>
          <w:u w:val="none"/>
          <w:lang w:val="en-US" w:eastAsia="zh-CN"/>
        </w:rPr>
        <w:t>年</w:t>
      </w:r>
      <w:r>
        <w:rPr>
          <w:rFonts w:hint="eastAsia" w:ascii="宋体" w:hAnsi="宋体" w:cs="宋体"/>
          <w:color w:val="auto"/>
          <w:sz w:val="21"/>
          <w:szCs w:val="21"/>
          <w:highlight w:val="none"/>
          <w:u w:val="none"/>
          <w:lang w:val="en-US" w:eastAsia="zh-CN"/>
        </w:rPr>
        <w:t>08</w:t>
      </w:r>
      <w:r>
        <w:rPr>
          <w:rFonts w:hint="eastAsia" w:ascii="宋体" w:hAnsi="宋体" w:eastAsia="宋体" w:cs="宋体"/>
          <w:color w:val="auto"/>
          <w:sz w:val="21"/>
          <w:szCs w:val="21"/>
          <w:highlight w:val="none"/>
          <w:u w:val="none"/>
          <w:lang w:val="en-US" w:eastAsia="zh-CN"/>
        </w:rPr>
        <w:t>月</w:t>
      </w:r>
      <w:r>
        <w:rPr>
          <w:rFonts w:hint="eastAsia" w:ascii="宋体" w:hAnsi="宋体" w:cs="宋体"/>
          <w:color w:val="auto"/>
          <w:sz w:val="21"/>
          <w:szCs w:val="21"/>
          <w:highlight w:val="none"/>
          <w:u w:val="none"/>
          <w:lang w:val="en-US" w:eastAsia="zh-CN"/>
        </w:rPr>
        <w:t>14</w:t>
      </w:r>
      <w:r>
        <w:rPr>
          <w:rFonts w:hint="eastAsia" w:ascii="宋体" w:hAnsi="宋体" w:eastAsia="宋体" w:cs="宋体"/>
          <w:color w:val="auto"/>
          <w:sz w:val="21"/>
          <w:szCs w:val="21"/>
          <w:highlight w:val="none"/>
          <w:u w:val="none"/>
          <w:lang w:val="en-US" w:eastAsia="zh-CN"/>
        </w:rPr>
        <w:t>日</w:t>
      </w:r>
      <w:r>
        <w:rPr>
          <w:rFonts w:hint="eastAsia" w:ascii="宋体" w:hAnsi="宋体" w:cs="宋体"/>
          <w:bCs/>
          <w:color w:val="auto"/>
          <w:sz w:val="21"/>
          <w:szCs w:val="21"/>
          <w:highlight w:val="none"/>
          <w:u w:val="none"/>
          <w:lang w:val="en-US" w:eastAsia="zh-CN"/>
        </w:rPr>
        <w:t>15</w:t>
      </w:r>
      <w:r>
        <w:rPr>
          <w:rFonts w:hint="eastAsia" w:ascii="宋体" w:hAnsi="宋体" w:eastAsia="宋体" w:cs="宋体"/>
          <w:bCs/>
          <w:color w:val="auto"/>
          <w:sz w:val="21"/>
          <w:szCs w:val="21"/>
          <w:highlight w:val="none"/>
          <w:u w:val="none"/>
          <w:lang w:val="en-US" w:eastAsia="zh-CN"/>
        </w:rPr>
        <w:t xml:space="preserve"> 时</w:t>
      </w:r>
      <w:r>
        <w:rPr>
          <w:rFonts w:hint="eastAsia" w:ascii="宋体" w:hAnsi="宋体" w:cs="宋体"/>
          <w:bCs/>
          <w:color w:val="auto"/>
          <w:sz w:val="21"/>
          <w:szCs w:val="21"/>
          <w:highlight w:val="none"/>
          <w:u w:val="none"/>
          <w:lang w:val="en-US" w:eastAsia="zh-CN"/>
        </w:rPr>
        <w:t>0</w:t>
      </w:r>
      <w:r>
        <w:rPr>
          <w:rFonts w:hint="eastAsia" w:ascii="宋体" w:hAnsi="宋体" w:eastAsia="宋体" w:cs="宋体"/>
          <w:bCs/>
          <w:color w:val="auto"/>
          <w:sz w:val="21"/>
          <w:szCs w:val="21"/>
          <w:highlight w:val="none"/>
          <w:u w:val="none"/>
          <w:lang w:val="en-US" w:eastAsia="zh-CN"/>
        </w:rPr>
        <w:t xml:space="preserve">0 分 </w:t>
      </w:r>
      <w:r>
        <w:rPr>
          <w:rFonts w:hint="eastAsia" w:ascii="宋体" w:hAnsi="宋体" w:eastAsia="宋体" w:cs="宋体"/>
          <w:bCs/>
          <w:color w:val="auto"/>
          <w:sz w:val="21"/>
          <w:szCs w:val="21"/>
          <w:highlight w:val="none"/>
        </w:rPr>
        <w:t>（北京时间）</w:t>
      </w:r>
      <w:r>
        <w:rPr>
          <w:rFonts w:hint="eastAsia" w:ascii="宋体" w:hAnsi="宋体" w:eastAsia="宋体" w:cs="宋体"/>
          <w:bCs/>
          <w:color w:val="auto"/>
          <w:sz w:val="21"/>
          <w:szCs w:val="21"/>
          <w:highlight w:val="none"/>
          <w:lang w:eastAsia="zh-CN"/>
        </w:rPr>
        <w:t>；</w:t>
      </w:r>
    </w:p>
    <w:p w14:paraId="14E783D9">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地点：通过广西政府采购云平台（https://www.gcy.zfcg.gxzf.gov.cn/）实行在线电子投标</w:t>
      </w:r>
      <w:r>
        <w:rPr>
          <w:rFonts w:hint="eastAsia" w:ascii="宋体" w:hAnsi="宋体" w:eastAsia="宋体" w:cs="宋体"/>
          <w:color w:val="auto"/>
          <w:sz w:val="21"/>
          <w:szCs w:val="21"/>
          <w:highlight w:val="none"/>
          <w:lang w:eastAsia="zh-CN"/>
        </w:rPr>
        <w:t>。</w:t>
      </w:r>
    </w:p>
    <w:p w14:paraId="7AEBFF37">
      <w:pPr>
        <w:pStyle w:val="4"/>
        <w:pageBreakBefore w:val="0"/>
        <w:widowControl w:val="0"/>
        <w:kinsoku/>
        <w:wordWrap/>
        <w:overflowPunct/>
        <w:topLinePunct w:val="0"/>
        <w:autoSpaceDE/>
        <w:autoSpaceDN/>
        <w:bidi w:val="0"/>
        <w:adjustRightInd/>
        <w:snapToGrid/>
        <w:spacing w:before="0" w:after="0" w:line="360" w:lineRule="auto"/>
        <w:jc w:val="left"/>
        <w:textAlignment w:val="auto"/>
        <w:rPr>
          <w:rFonts w:hint="eastAsia" w:ascii="宋体" w:hAnsi="宋体" w:eastAsia="宋体" w:cs="宋体"/>
          <w:b/>
          <w:bCs w:val="0"/>
          <w:color w:val="auto"/>
          <w:sz w:val="21"/>
          <w:szCs w:val="21"/>
          <w:highlight w:val="none"/>
          <w:lang w:val="en-US" w:eastAsia="zh-CN"/>
        </w:rPr>
      </w:pPr>
      <w:bookmarkStart w:id="24" w:name="_Toc35393802"/>
      <w:bookmarkStart w:id="25" w:name="_Toc35393633"/>
      <w:bookmarkStart w:id="26" w:name="_Toc25576"/>
      <w:bookmarkStart w:id="27" w:name="_Toc28359093"/>
      <w:bookmarkStart w:id="28" w:name="_Toc28359016"/>
      <w:r>
        <w:rPr>
          <w:rFonts w:hint="eastAsia" w:ascii="宋体" w:hAnsi="宋体" w:eastAsia="宋体" w:cs="宋体"/>
          <w:b/>
          <w:bCs w:val="0"/>
          <w:color w:val="auto"/>
          <w:sz w:val="21"/>
          <w:szCs w:val="21"/>
          <w:highlight w:val="none"/>
          <w:lang w:val="en-US" w:eastAsia="zh-CN"/>
        </w:rPr>
        <w:t>五、开启</w:t>
      </w:r>
      <w:bookmarkEnd w:id="24"/>
      <w:bookmarkEnd w:id="25"/>
      <w:bookmarkEnd w:id="26"/>
      <w:bookmarkEnd w:id="27"/>
      <w:bookmarkEnd w:id="28"/>
    </w:p>
    <w:p w14:paraId="5844C32E">
      <w:pPr>
        <w:pStyle w:val="4"/>
        <w:pageBreakBefore w:val="0"/>
        <w:widowControl w:val="0"/>
        <w:kinsoku/>
        <w:wordWrap/>
        <w:overflowPunct/>
        <w:topLinePunct w:val="0"/>
        <w:autoSpaceDE/>
        <w:autoSpaceDN/>
        <w:bidi w:val="0"/>
        <w:adjustRightInd/>
        <w:snapToGrid/>
        <w:spacing w:before="0" w:after="0" w:line="360" w:lineRule="auto"/>
        <w:ind w:firstLine="420" w:firstLineChars="200"/>
        <w:jc w:val="left"/>
        <w:textAlignment w:val="auto"/>
        <w:rPr>
          <w:rFonts w:hint="eastAsia" w:ascii="宋体" w:hAnsi="宋体" w:eastAsia="宋体" w:cs="宋体"/>
          <w:b w:val="0"/>
          <w:bCs/>
          <w:color w:val="auto"/>
          <w:sz w:val="21"/>
          <w:szCs w:val="21"/>
          <w:highlight w:val="none"/>
          <w:u w:val="none"/>
          <w:lang w:eastAsia="zh-CN"/>
        </w:rPr>
      </w:pPr>
      <w:bookmarkStart w:id="29" w:name="_Toc18261"/>
      <w:r>
        <w:rPr>
          <w:rFonts w:hint="eastAsia" w:ascii="宋体" w:hAnsi="宋体" w:eastAsia="宋体" w:cs="宋体"/>
          <w:b w:val="0"/>
          <w:bCs/>
          <w:color w:val="auto"/>
          <w:sz w:val="21"/>
          <w:szCs w:val="21"/>
          <w:highlight w:val="none"/>
          <w:u w:val="none"/>
        </w:rPr>
        <w:t>时间：202</w:t>
      </w:r>
      <w:r>
        <w:rPr>
          <w:rFonts w:hint="eastAsia" w:ascii="宋体" w:hAnsi="宋体" w:eastAsia="宋体" w:cs="宋体"/>
          <w:b w:val="0"/>
          <w:bCs/>
          <w:color w:val="auto"/>
          <w:sz w:val="21"/>
          <w:szCs w:val="21"/>
          <w:highlight w:val="none"/>
          <w:u w:val="none"/>
          <w:lang w:val="en-US" w:eastAsia="zh-CN"/>
        </w:rPr>
        <w:t>5</w:t>
      </w:r>
      <w:r>
        <w:rPr>
          <w:rFonts w:hint="eastAsia" w:ascii="宋体" w:hAnsi="宋体" w:eastAsia="宋体" w:cs="宋体"/>
          <w:b w:val="0"/>
          <w:bCs/>
          <w:color w:val="auto"/>
          <w:sz w:val="21"/>
          <w:szCs w:val="21"/>
          <w:highlight w:val="none"/>
          <w:u w:val="none"/>
        </w:rPr>
        <w:t>年</w:t>
      </w:r>
      <w:r>
        <w:rPr>
          <w:rFonts w:hint="eastAsia" w:ascii="宋体" w:hAnsi="宋体" w:eastAsia="宋体" w:cs="宋体"/>
          <w:b w:val="0"/>
          <w:bCs/>
          <w:color w:val="auto"/>
          <w:sz w:val="21"/>
          <w:szCs w:val="21"/>
          <w:highlight w:val="none"/>
          <w:u w:val="none"/>
          <w:lang w:val="en-US" w:eastAsia="zh-CN"/>
        </w:rPr>
        <w:t>08</w:t>
      </w:r>
      <w:r>
        <w:rPr>
          <w:rFonts w:hint="eastAsia" w:ascii="宋体" w:hAnsi="宋体" w:eastAsia="宋体" w:cs="宋体"/>
          <w:b w:val="0"/>
          <w:bCs/>
          <w:color w:val="auto"/>
          <w:sz w:val="21"/>
          <w:szCs w:val="21"/>
          <w:highlight w:val="none"/>
          <w:u w:val="none"/>
        </w:rPr>
        <w:t>月</w:t>
      </w:r>
      <w:r>
        <w:rPr>
          <w:rFonts w:hint="eastAsia" w:ascii="宋体" w:hAnsi="宋体" w:eastAsia="宋体" w:cs="宋体"/>
          <w:b w:val="0"/>
          <w:bCs/>
          <w:color w:val="auto"/>
          <w:sz w:val="21"/>
          <w:szCs w:val="21"/>
          <w:highlight w:val="none"/>
          <w:u w:val="none"/>
          <w:lang w:val="en-US" w:eastAsia="zh-CN"/>
        </w:rPr>
        <w:t xml:space="preserve">14 </w:t>
      </w:r>
      <w:r>
        <w:rPr>
          <w:rFonts w:hint="eastAsia" w:ascii="宋体" w:hAnsi="宋体" w:eastAsia="宋体" w:cs="宋体"/>
          <w:b w:val="0"/>
          <w:bCs/>
          <w:color w:val="auto"/>
          <w:sz w:val="21"/>
          <w:szCs w:val="21"/>
          <w:highlight w:val="none"/>
          <w:u w:val="none"/>
        </w:rPr>
        <w:t>日</w:t>
      </w:r>
      <w:r>
        <w:rPr>
          <w:rFonts w:hint="eastAsia" w:ascii="宋体" w:hAnsi="宋体" w:eastAsia="宋体" w:cs="宋体"/>
          <w:b w:val="0"/>
          <w:bCs/>
          <w:color w:val="auto"/>
          <w:sz w:val="21"/>
          <w:szCs w:val="21"/>
          <w:highlight w:val="none"/>
          <w:u w:val="none"/>
          <w:lang w:val="en-US" w:eastAsia="zh-CN"/>
        </w:rPr>
        <w:t>15</w:t>
      </w:r>
      <w:r>
        <w:rPr>
          <w:rFonts w:hint="eastAsia" w:ascii="宋体" w:hAnsi="宋体" w:eastAsia="宋体" w:cs="宋体"/>
          <w:b w:val="0"/>
          <w:bCs/>
          <w:color w:val="auto"/>
          <w:sz w:val="21"/>
          <w:szCs w:val="21"/>
          <w:highlight w:val="none"/>
          <w:u w:val="none"/>
        </w:rPr>
        <w:t xml:space="preserve"> 时</w:t>
      </w:r>
      <w:r>
        <w:rPr>
          <w:rFonts w:hint="eastAsia" w:ascii="宋体" w:hAnsi="宋体" w:eastAsia="宋体" w:cs="宋体"/>
          <w:b w:val="0"/>
          <w:bCs/>
          <w:color w:val="auto"/>
          <w:sz w:val="21"/>
          <w:szCs w:val="21"/>
          <w:highlight w:val="none"/>
          <w:u w:val="none"/>
          <w:lang w:val="en-US" w:eastAsia="zh-CN"/>
        </w:rPr>
        <w:t>00</w:t>
      </w:r>
      <w:r>
        <w:rPr>
          <w:rFonts w:hint="eastAsia" w:ascii="宋体" w:hAnsi="宋体" w:eastAsia="宋体" w:cs="宋体"/>
          <w:b w:val="0"/>
          <w:bCs/>
          <w:color w:val="auto"/>
          <w:sz w:val="21"/>
          <w:szCs w:val="21"/>
          <w:highlight w:val="none"/>
          <w:u w:val="none"/>
        </w:rPr>
        <w:t>分（北京时间）</w:t>
      </w:r>
      <w:r>
        <w:rPr>
          <w:rFonts w:hint="eastAsia" w:ascii="宋体" w:hAnsi="宋体" w:eastAsia="宋体" w:cs="宋体"/>
          <w:b w:val="0"/>
          <w:bCs/>
          <w:color w:val="auto"/>
          <w:sz w:val="21"/>
          <w:szCs w:val="21"/>
          <w:highlight w:val="none"/>
          <w:u w:val="none"/>
          <w:lang w:eastAsia="zh-CN"/>
        </w:rPr>
        <w:t>；</w:t>
      </w:r>
      <w:bookmarkEnd w:id="29"/>
    </w:p>
    <w:p w14:paraId="06A11B8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overflowPunct/>
        <w:topLinePunct w:val="0"/>
        <w:bidi w:val="0"/>
        <w:spacing w:before="0" w:beforeAutospacing="0" w:after="0" w:afterAutospacing="0" w:line="360" w:lineRule="auto"/>
        <w:ind w:right="0"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b w:val="0"/>
          <w:bCs/>
          <w:color w:val="auto"/>
          <w:sz w:val="21"/>
          <w:szCs w:val="21"/>
          <w:highlight w:val="none"/>
        </w:rPr>
        <w:t>地点：广西政府采购云平台电子开标大厅开标</w:t>
      </w:r>
      <w:r>
        <w:rPr>
          <w:rFonts w:hint="eastAsia" w:ascii="宋体" w:hAnsi="宋体" w:eastAsia="宋体" w:cs="宋体"/>
          <w:b w:val="0"/>
          <w:bCs/>
          <w:color w:val="auto"/>
          <w:sz w:val="21"/>
          <w:szCs w:val="21"/>
          <w:highlight w:val="none"/>
          <w:lang w:eastAsia="zh-CN"/>
        </w:rPr>
        <w:t>。</w:t>
      </w:r>
      <w:r>
        <w:rPr>
          <w:rFonts w:hint="eastAsia" w:ascii="宋体" w:hAnsi="宋体" w:eastAsia="宋体" w:cs="宋体"/>
          <w:i w:val="0"/>
          <w:iCs w:val="0"/>
          <w:caps w:val="0"/>
          <w:color w:val="auto"/>
          <w:spacing w:val="0"/>
          <w:kern w:val="0"/>
          <w:sz w:val="21"/>
          <w:szCs w:val="21"/>
          <w:highlight w:val="none"/>
          <w:shd w:val="clear" w:fill="FFFFFF"/>
          <w:lang w:val="en-US" w:eastAsia="zh-CN" w:bidi="ar"/>
        </w:rPr>
        <w:t>（本项目不要求竞标供应商到达开标现场，但供应商应派法定代表人或委托代理人准时在线出席电子开评标会议，随时关注开评标进度，如在开评标过程中有电子询标，应在规定的时间内对电子询标函进行澄清回复。）</w:t>
      </w:r>
    </w:p>
    <w:p w14:paraId="3013B14C">
      <w:pPr>
        <w:pStyle w:val="4"/>
        <w:pageBreakBefore w:val="0"/>
        <w:widowControl w:val="0"/>
        <w:kinsoku/>
        <w:wordWrap/>
        <w:overflowPunct/>
        <w:topLinePunct w:val="0"/>
        <w:autoSpaceDE/>
        <w:autoSpaceDN/>
        <w:bidi w:val="0"/>
        <w:adjustRightInd/>
        <w:snapToGrid/>
        <w:spacing w:before="0" w:after="0" w:line="360" w:lineRule="auto"/>
        <w:jc w:val="left"/>
        <w:textAlignment w:val="auto"/>
        <w:rPr>
          <w:rFonts w:hint="eastAsia" w:ascii="宋体" w:hAnsi="宋体" w:eastAsia="宋体" w:cs="宋体"/>
          <w:b/>
          <w:bCs w:val="0"/>
          <w:color w:val="auto"/>
          <w:sz w:val="21"/>
          <w:szCs w:val="21"/>
          <w:highlight w:val="none"/>
        </w:rPr>
      </w:pPr>
      <w:bookmarkStart w:id="30" w:name="_Toc25474"/>
      <w:bookmarkStart w:id="31" w:name="_Toc28359017"/>
      <w:bookmarkStart w:id="32" w:name="_Toc28359094"/>
      <w:bookmarkStart w:id="33" w:name="_Toc35393803"/>
      <w:bookmarkStart w:id="34" w:name="_Toc35393634"/>
      <w:r>
        <w:rPr>
          <w:rFonts w:hint="eastAsia" w:ascii="宋体" w:hAnsi="宋体" w:eastAsia="宋体" w:cs="宋体"/>
          <w:b/>
          <w:bCs w:val="0"/>
          <w:color w:val="auto"/>
          <w:sz w:val="21"/>
          <w:szCs w:val="21"/>
          <w:highlight w:val="none"/>
        </w:rPr>
        <w:t>六、公告期限</w:t>
      </w:r>
      <w:bookmarkEnd w:id="30"/>
      <w:bookmarkEnd w:id="31"/>
      <w:bookmarkEnd w:id="32"/>
      <w:bookmarkEnd w:id="33"/>
      <w:bookmarkEnd w:id="34"/>
    </w:p>
    <w:p w14:paraId="00BE7409">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自本公告发布之日起</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个工作日。</w:t>
      </w:r>
    </w:p>
    <w:p w14:paraId="1DE0059D">
      <w:pPr>
        <w:pStyle w:val="4"/>
        <w:pageBreakBefore w:val="0"/>
        <w:widowControl w:val="0"/>
        <w:numPr>
          <w:ilvl w:val="0"/>
          <w:numId w:val="2"/>
        </w:numPr>
        <w:kinsoku/>
        <w:wordWrap/>
        <w:overflowPunct/>
        <w:topLinePunct w:val="0"/>
        <w:autoSpaceDE/>
        <w:autoSpaceDN/>
        <w:bidi w:val="0"/>
        <w:adjustRightInd/>
        <w:snapToGrid/>
        <w:spacing w:before="0" w:after="0" w:line="360" w:lineRule="auto"/>
        <w:jc w:val="left"/>
        <w:textAlignment w:val="auto"/>
        <w:rPr>
          <w:rFonts w:hint="eastAsia" w:ascii="宋体" w:hAnsi="宋体" w:eastAsia="宋体" w:cs="宋体"/>
          <w:b/>
          <w:bCs w:val="0"/>
          <w:color w:val="auto"/>
          <w:sz w:val="21"/>
          <w:szCs w:val="21"/>
          <w:highlight w:val="none"/>
        </w:rPr>
      </w:pPr>
      <w:bookmarkStart w:id="35" w:name="_Toc35393635"/>
      <w:bookmarkStart w:id="36" w:name="_Toc35393804"/>
      <w:bookmarkStart w:id="37" w:name="_Toc22354"/>
      <w:r>
        <w:rPr>
          <w:rFonts w:hint="eastAsia" w:ascii="宋体" w:hAnsi="宋体" w:eastAsia="宋体" w:cs="宋体"/>
          <w:b/>
          <w:bCs w:val="0"/>
          <w:color w:val="auto"/>
          <w:sz w:val="21"/>
          <w:szCs w:val="21"/>
          <w:highlight w:val="none"/>
        </w:rPr>
        <w:t>其他补充事宜</w:t>
      </w:r>
      <w:bookmarkEnd w:id="35"/>
      <w:bookmarkEnd w:id="36"/>
      <w:bookmarkEnd w:id="37"/>
    </w:p>
    <w:p w14:paraId="36B15317">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7.1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6B597C59">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7.2对在“信用中国”网站(www.creditchina.gov.cn)或中国政府采购网(www.ccgp.gov.cn)等渠道列入失信被执行人、重大税收违法案件当事人名单、政府采购严重违法失信行为记录名单的磋商人，不得参与政府采购活动（以评标过程中查询结</w:t>
      </w:r>
      <w:r>
        <w:rPr>
          <w:rFonts w:hint="eastAsia" w:ascii="宋体" w:hAnsi="宋体" w:eastAsia="宋体" w:cs="宋体"/>
          <w:color w:val="auto"/>
          <w:sz w:val="21"/>
          <w:szCs w:val="21"/>
          <w:highlight w:val="none"/>
        </w:rPr>
        <w:t>果为准）；</w:t>
      </w:r>
    </w:p>
    <w:p w14:paraId="79E43E13">
      <w:pPr>
        <w:pageBreakBefore w:val="0"/>
        <w:kinsoku/>
        <w:wordWrap/>
        <w:overflowPunct/>
        <w:topLinePunct w:val="0"/>
        <w:autoSpaceDE/>
        <w:autoSpaceDN/>
        <w:bidi w:val="0"/>
        <w:snapToGrid/>
        <w:spacing w:line="360" w:lineRule="auto"/>
        <w:ind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7.3磋商保证金：本项目无需缴纳磋商保证金。</w:t>
      </w:r>
    </w:p>
    <w:p w14:paraId="248708F2">
      <w:pPr>
        <w:pageBreakBefore w:val="0"/>
        <w:kinsoku/>
        <w:wordWrap/>
        <w:overflowPunct/>
        <w:topLinePunct w:val="0"/>
        <w:autoSpaceDE/>
        <w:autoSpaceDN/>
        <w:bidi w:val="0"/>
        <w:snapToGrid/>
        <w:spacing w:line="360" w:lineRule="auto"/>
        <w:ind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7.4评标办法和评标标准：综合评分法。</w:t>
      </w:r>
    </w:p>
    <w:p w14:paraId="09B0C677">
      <w:pPr>
        <w:pageBreakBefore w:val="0"/>
        <w:kinsoku/>
        <w:wordWrap/>
        <w:overflowPunct/>
        <w:topLinePunct w:val="0"/>
        <w:autoSpaceDE/>
        <w:autoSpaceDN/>
        <w:bidi w:val="0"/>
        <w:snapToGrid/>
        <w:spacing w:line="360" w:lineRule="auto"/>
        <w:ind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7.5发布公告的媒介：</w:t>
      </w:r>
    </w:p>
    <w:p w14:paraId="629C6CE8">
      <w:pPr>
        <w:pageBreakBefore w:val="0"/>
        <w:kinsoku/>
        <w:wordWrap/>
        <w:overflowPunct/>
        <w:topLinePunct w:val="0"/>
        <w:autoSpaceDE/>
        <w:autoSpaceDN/>
        <w:bidi w:val="0"/>
        <w:snapToGrid/>
        <w:spacing w:line="360" w:lineRule="auto"/>
        <w:ind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中国政府采购网（http://pub.ccgp.gov.cn/）；</w:t>
      </w:r>
    </w:p>
    <w:p w14:paraId="1541E359">
      <w:pPr>
        <w:pageBreakBefore w:val="0"/>
        <w:kinsoku/>
        <w:wordWrap/>
        <w:overflowPunct/>
        <w:topLinePunct w:val="0"/>
        <w:autoSpaceDE/>
        <w:autoSpaceDN/>
        <w:bidi w:val="0"/>
        <w:snapToGrid/>
        <w:spacing w:line="360" w:lineRule="auto"/>
        <w:ind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广西壮族自治区政府采购网（http://zfcg.gxzf.gov.cn/）</w:t>
      </w:r>
      <w:r>
        <w:rPr>
          <w:rFonts w:hint="eastAsia" w:ascii="宋体" w:hAnsi="宋体" w:cs="宋体"/>
          <w:b w:val="0"/>
          <w:bCs/>
          <w:color w:val="auto"/>
          <w:kern w:val="2"/>
          <w:sz w:val="21"/>
          <w:szCs w:val="21"/>
          <w:highlight w:val="none"/>
          <w:lang w:val="en-US" w:eastAsia="zh-CN" w:bidi="ar-SA"/>
        </w:rPr>
        <w:t>。</w:t>
      </w:r>
    </w:p>
    <w:p w14:paraId="3B685536">
      <w:pPr>
        <w:pageBreakBefore w:val="0"/>
        <w:kinsoku/>
        <w:wordWrap/>
        <w:overflowPunct/>
        <w:topLinePunct w:val="0"/>
        <w:autoSpaceDE/>
        <w:autoSpaceDN/>
        <w:bidi w:val="0"/>
        <w:snapToGrid/>
        <w:spacing w:line="360" w:lineRule="auto"/>
        <w:ind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7.6本项目需要落实的政府采购政策：《政府采购促进中小企业发展管理办法》（财库[2020]46号）、《关于政府采购支持监狱企业展有关问题的通知（财库[2014]68号）》、《关于促进残疾人就业政府采购政策的通知（财库 [2017]141号）》。</w:t>
      </w:r>
    </w:p>
    <w:p w14:paraId="1FB15AB4">
      <w:pPr>
        <w:pageBreakBefore w:val="0"/>
        <w:kinsoku/>
        <w:wordWrap/>
        <w:overflowPunct/>
        <w:topLinePunct w:val="0"/>
        <w:autoSpaceDE/>
        <w:autoSpaceDN/>
        <w:bidi w:val="0"/>
        <w:snapToGrid/>
        <w:spacing w:line="360" w:lineRule="auto"/>
        <w:ind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7.7在线投标响应（电子投标）说明：</w:t>
      </w:r>
    </w:p>
    <w:p w14:paraId="2ED08718">
      <w:pPr>
        <w:pageBreakBefore w:val="0"/>
        <w:kinsoku/>
        <w:wordWrap/>
        <w:overflowPunct/>
        <w:topLinePunct w:val="0"/>
        <w:autoSpaceDE/>
        <w:autoSpaceDN/>
        <w:bidi w:val="0"/>
        <w:snapToGrid/>
        <w:spacing w:line="360" w:lineRule="auto"/>
        <w:ind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1）本项目通过广西政府采购云平台实行在线投标响应（电子投标），供应商需要先安装“广西政府采购云平台电子交易客户端”，并按照本竞争性磋商采购文件和广西政府采购云平台的要求，通过“广西政府采购云平台电子交易客户端”编制并加密响应文件。供应商未按规定编制并加密的响应文件，广西政府采购云平台将予以拒收。</w:t>
      </w:r>
    </w:p>
    <w:p w14:paraId="355F68A4">
      <w:pPr>
        <w:pageBreakBefore w:val="0"/>
        <w:kinsoku/>
        <w:wordWrap/>
        <w:overflowPunct/>
        <w:topLinePunct w:val="0"/>
        <w:autoSpaceDE/>
        <w:autoSpaceDN/>
        <w:bidi w:val="0"/>
        <w:snapToGrid/>
        <w:spacing w:line="360" w:lineRule="auto"/>
        <w:ind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2）“广西政府采购云平台电子交易客户端”请自行前往广西政府采购网下载并安装（http://zfcg.gxzf.gov.cn/OfficeService/DownloadArea/2455918.html?utm=sites_group_front.b8b6c91.0.0.c51f9820a48111eabb9bcbdf01af125e）；电子投标具体操作流程参考《政府采购项目电子交易管理操作指南-供应商》；在使用广西政府采购云平台投标客户端时，建议使用WIN7及以上操作系统，通过广西政府采购云平台参与在线投标时如遇平台技术问题详询95763。</w:t>
      </w:r>
    </w:p>
    <w:p w14:paraId="33B850FB">
      <w:pPr>
        <w:pageBreakBefore w:val="0"/>
        <w:kinsoku/>
        <w:wordWrap/>
        <w:overflowPunct/>
        <w:topLinePunct w:val="0"/>
        <w:autoSpaceDE/>
        <w:autoSpaceDN/>
        <w:bidi w:val="0"/>
        <w:snapToGrid/>
        <w:spacing w:line="360" w:lineRule="auto"/>
        <w:ind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3）为确保网上操作合法、有效和安全，磋商供应商应当在开标截止时间前完成在“广西政府采购云平台”的身份认证，确保在电子投标过程中能够对相关数据电文进行加密和使用电子签章。使用“广西政府采购云平台电子交易客户端”需要提前申领CA数字证书，申领流程请自行前往相关网站进行查阅（完成CA数字证书办理预计一周左右，建议供应商获取竞争性磋商采购文件后立即办理）。</w:t>
      </w:r>
    </w:p>
    <w:p w14:paraId="4EACDAC8">
      <w:pPr>
        <w:pageBreakBefore w:val="0"/>
        <w:kinsoku/>
        <w:wordWrap/>
        <w:overflowPunct/>
        <w:topLinePunct w:val="0"/>
        <w:autoSpaceDE/>
        <w:autoSpaceDN/>
        <w:bidi w:val="0"/>
        <w:snapToGrid/>
        <w:spacing w:line="360" w:lineRule="auto"/>
        <w:ind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4）磋商供应商应当在开标截止时间前，将生成的“电子加密响应文件”上传递交至广西政府采购云平台。响应文件递交截止时间前可以补充、修改或者撤回电子磋商响应文件。补充或者修改电子磋商响应文件的，应当先行撤回原文件，补充、修改后重新传输递交，开标截止时间前未完成传输的，视为撤回响应文件。</w:t>
      </w:r>
    </w:p>
    <w:p w14:paraId="6A8B9341">
      <w:pPr>
        <w:pageBreakBefore w:val="0"/>
        <w:kinsoku/>
        <w:wordWrap/>
        <w:overflowPunct/>
        <w:topLinePunct w:val="0"/>
        <w:autoSpaceDE/>
        <w:autoSpaceDN/>
        <w:bidi w:val="0"/>
        <w:snapToGrid/>
        <w:spacing w:line="360" w:lineRule="auto"/>
        <w:ind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5）响应文件递交截止时间后，广西政府采购云平台（电子交易平台）自动提取所有响应文件，各供应商须在提交响应文件截止后30分钟内对上传广西政府采购云平台的响应文件进行解密，所有供应商在规定的解密时限内解密完成或解密时限到后，采购代理机构开启响应文件；供应商超过解密时限的，系统默认自动放弃。</w:t>
      </w:r>
    </w:p>
    <w:p w14:paraId="2DD42030">
      <w:pPr>
        <w:pageBreakBefore w:val="0"/>
        <w:kinsoku/>
        <w:wordWrap/>
        <w:overflowPunct/>
        <w:topLinePunct w:val="0"/>
        <w:autoSpaceDE/>
        <w:autoSpaceDN/>
        <w:bidi w:val="0"/>
        <w:snapToGrid/>
        <w:spacing w:line="360" w:lineRule="auto"/>
        <w:ind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（6）因未注册入库、未办理CA数字证书、CA证书故障、操作不当等原因造成无法投标或投标失败等后果由供应商自行承担。</w:t>
      </w:r>
    </w:p>
    <w:p w14:paraId="21174C49">
      <w:pPr>
        <w:keepNext w:val="0"/>
        <w:keepLines w:val="0"/>
        <w:pageBreakBefore w:val="0"/>
        <w:tabs>
          <w:tab w:val="left" w:pos="2100"/>
        </w:tabs>
        <w:overflowPunct/>
        <w:topLinePunct w:val="0"/>
        <w:bidi w:val="0"/>
        <w:spacing w:line="360" w:lineRule="auto"/>
        <w:ind w:firstLine="420"/>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8.</w:t>
      </w:r>
      <w:r>
        <w:rPr>
          <w:rFonts w:hint="eastAsia" w:ascii="宋体" w:hAnsi="宋体" w:eastAsia="宋体" w:cs="宋体"/>
          <w:b/>
          <w:bCs/>
          <w:color w:val="auto"/>
          <w:highlight w:val="none"/>
          <w:lang w:eastAsia="zh-CN"/>
        </w:rPr>
        <w:t>评标说明注意事项：本项目采用远程异地评标，评审主会场地址：</w:t>
      </w:r>
      <w:r>
        <w:rPr>
          <w:rFonts w:hint="eastAsia" w:ascii="宋体" w:hAnsi="宋体" w:cs="宋体"/>
          <w:b/>
          <w:bCs/>
          <w:color w:val="auto"/>
          <w:highlight w:val="none"/>
          <w:lang w:eastAsia="zh-CN"/>
        </w:rPr>
        <w:t>广西朗亿工程咨询有限公司（广西壮族自治区贺州市八步区城东新区回建地C地块137、138号）；评审副场地址：广西元强建设项目管理有限公司(广西百色市龙景区新环球投资大厦左塔19楼1926号评标室)。</w:t>
      </w:r>
    </w:p>
    <w:p w14:paraId="22B9F57C">
      <w:pPr>
        <w:pStyle w:val="9"/>
        <w:pageBreakBefore w:val="0"/>
        <w:overflowPunct/>
        <w:topLinePunct w:val="0"/>
        <w:bidi w:val="0"/>
        <w:spacing w:line="360" w:lineRule="auto"/>
        <w:rPr>
          <w:rFonts w:hint="eastAsia"/>
          <w:color w:val="auto"/>
          <w:highlight w:val="none"/>
          <w:lang w:val="en-US" w:eastAsia="zh-CN"/>
        </w:rPr>
      </w:pPr>
    </w:p>
    <w:p w14:paraId="0DFE4C47">
      <w:pPr>
        <w:pStyle w:val="4"/>
        <w:pageBreakBefore w:val="0"/>
        <w:widowControl w:val="0"/>
        <w:kinsoku/>
        <w:wordWrap/>
        <w:overflowPunct/>
        <w:topLinePunct w:val="0"/>
        <w:autoSpaceDE/>
        <w:autoSpaceDN/>
        <w:bidi w:val="0"/>
        <w:adjustRightInd/>
        <w:snapToGrid/>
        <w:spacing w:before="0" w:after="0" w:line="360" w:lineRule="auto"/>
        <w:jc w:val="left"/>
        <w:textAlignment w:val="auto"/>
        <w:rPr>
          <w:rFonts w:hint="eastAsia" w:ascii="宋体" w:hAnsi="宋体" w:eastAsia="宋体" w:cs="宋体"/>
          <w:b/>
          <w:bCs w:val="0"/>
          <w:color w:val="auto"/>
          <w:sz w:val="21"/>
          <w:szCs w:val="21"/>
          <w:highlight w:val="none"/>
        </w:rPr>
      </w:pPr>
      <w:bookmarkStart w:id="38" w:name="_Toc28359018"/>
      <w:bookmarkStart w:id="39" w:name="_Toc35393636"/>
      <w:bookmarkStart w:id="40" w:name="_Toc4046"/>
      <w:bookmarkStart w:id="41" w:name="_Toc28359095"/>
      <w:bookmarkStart w:id="42" w:name="_Toc35393805"/>
      <w:r>
        <w:rPr>
          <w:rFonts w:hint="eastAsia" w:ascii="宋体" w:hAnsi="宋体" w:eastAsia="宋体" w:cs="宋体"/>
          <w:b/>
          <w:bCs w:val="0"/>
          <w:color w:val="auto"/>
          <w:sz w:val="21"/>
          <w:szCs w:val="21"/>
          <w:highlight w:val="none"/>
        </w:rPr>
        <w:t>八、凡对本次采购提出询问，请按以下方式联系。</w:t>
      </w:r>
      <w:bookmarkEnd w:id="38"/>
      <w:bookmarkEnd w:id="39"/>
      <w:bookmarkEnd w:id="40"/>
      <w:bookmarkEnd w:id="41"/>
      <w:bookmarkEnd w:id="42"/>
    </w:p>
    <w:p w14:paraId="7611CA24">
      <w:pPr>
        <w:pageBreakBefore w:val="0"/>
        <w:widowControl w:val="0"/>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 w:val="21"/>
          <w:szCs w:val="21"/>
          <w:highlight w:val="none"/>
        </w:rPr>
      </w:pPr>
      <w:bookmarkStart w:id="43" w:name="_Toc35393637"/>
      <w:bookmarkStart w:id="44" w:name="_Toc28359019"/>
      <w:bookmarkStart w:id="45" w:name="_Toc35393806"/>
      <w:bookmarkStart w:id="46" w:name="_Toc28359096"/>
      <w:r>
        <w:rPr>
          <w:rFonts w:hint="eastAsia" w:ascii="宋体" w:hAnsi="宋体" w:eastAsia="宋体" w:cs="宋体"/>
          <w:color w:val="auto"/>
          <w:sz w:val="21"/>
          <w:szCs w:val="21"/>
          <w:highlight w:val="none"/>
        </w:rPr>
        <w:t>1.采购人信息</w:t>
      </w:r>
      <w:bookmarkEnd w:id="43"/>
      <w:bookmarkEnd w:id="44"/>
      <w:bookmarkEnd w:id="45"/>
      <w:bookmarkEnd w:id="46"/>
    </w:p>
    <w:p w14:paraId="2FC9AB23">
      <w:pPr>
        <w:pageBreakBefore w:val="0"/>
        <w:widowControl w:val="0"/>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名    称：</w:t>
      </w:r>
      <w:r>
        <w:rPr>
          <w:rFonts w:hint="eastAsia" w:ascii="宋体" w:hAnsi="宋体" w:cs="宋体"/>
          <w:color w:val="auto"/>
          <w:sz w:val="21"/>
          <w:szCs w:val="21"/>
          <w:highlight w:val="none"/>
          <w:lang w:eastAsia="zh-CN"/>
        </w:rPr>
        <w:t>富川瑶族目治县民族宗教事务局</w:t>
      </w:r>
    </w:p>
    <w:p w14:paraId="71F76239">
      <w:pPr>
        <w:pageBreakBefore w:val="0"/>
        <w:widowControl w:val="0"/>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    址：</w:t>
      </w:r>
      <w:r>
        <w:rPr>
          <w:rFonts w:hint="eastAsia" w:ascii="宋体" w:hAnsi="宋体" w:cs="宋体"/>
          <w:color w:val="auto"/>
          <w:sz w:val="21"/>
          <w:szCs w:val="21"/>
          <w:highlight w:val="none"/>
          <w:lang w:eastAsia="zh-CN"/>
        </w:rPr>
        <w:t>富川瑶族自治县园区大厦8楼818室</w:t>
      </w:r>
    </w:p>
    <w:p w14:paraId="657F34DD">
      <w:pPr>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 w:val="21"/>
          <w:szCs w:val="21"/>
          <w:highlight w:val="none"/>
        </w:rPr>
        <w:t>联系方式：</w:t>
      </w:r>
      <w:bookmarkStart w:id="47" w:name="_Toc35393807"/>
      <w:bookmarkStart w:id="48" w:name="_Toc28359020"/>
      <w:bookmarkStart w:id="49" w:name="_Toc35393638"/>
      <w:bookmarkStart w:id="50" w:name="_Toc28359097"/>
      <w:r>
        <w:rPr>
          <w:rFonts w:hint="eastAsia" w:ascii="宋体" w:hAnsi="宋体" w:cs="宋体"/>
          <w:color w:val="auto"/>
          <w:sz w:val="21"/>
          <w:szCs w:val="21"/>
          <w:highlight w:val="none"/>
          <w:lang w:val="en-US" w:eastAsia="zh-CN"/>
        </w:rPr>
        <w:t xml:space="preserve">李正洪，0774-7882658                               </w:t>
      </w:r>
    </w:p>
    <w:p w14:paraId="25F73D21">
      <w:pPr>
        <w:pageBreakBefore w:val="0"/>
        <w:widowControl w:val="0"/>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2.采购代理机构信息</w:t>
      </w:r>
      <w:bookmarkEnd w:id="47"/>
      <w:bookmarkEnd w:id="48"/>
      <w:bookmarkEnd w:id="49"/>
      <w:bookmarkEnd w:id="50"/>
    </w:p>
    <w:p w14:paraId="6DB2E1C1">
      <w:pPr>
        <w:pageBreakBefore w:val="0"/>
        <w:widowControl w:val="0"/>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名    称：</w:t>
      </w:r>
      <w:r>
        <w:rPr>
          <w:rFonts w:hint="eastAsia" w:ascii="宋体" w:hAnsi="宋体" w:cs="宋体"/>
          <w:color w:val="auto"/>
          <w:sz w:val="21"/>
          <w:szCs w:val="21"/>
          <w:highlight w:val="none"/>
          <w:lang w:eastAsia="zh-CN"/>
        </w:rPr>
        <w:t>广西朗亿工程咨询有限公司</w:t>
      </w:r>
    </w:p>
    <w:p w14:paraId="3C02934D">
      <w:pPr>
        <w:pageBreakBefore w:val="0"/>
        <w:widowControl w:val="0"/>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　　址：</w:t>
      </w:r>
      <w:r>
        <w:rPr>
          <w:rFonts w:hint="eastAsia" w:ascii="宋体" w:hAnsi="宋体" w:cs="宋体"/>
          <w:color w:val="auto"/>
          <w:sz w:val="21"/>
          <w:szCs w:val="21"/>
          <w:highlight w:val="none"/>
          <w:lang w:eastAsia="zh-CN"/>
        </w:rPr>
        <w:t>广西壮族自治区贺州市八步区城东新区回建地C地块137、138号</w:t>
      </w:r>
    </w:p>
    <w:p w14:paraId="0C28E619">
      <w:pPr>
        <w:pageBreakBefore w:val="0"/>
        <w:widowControl w:val="0"/>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联系方式：</w:t>
      </w:r>
      <w:r>
        <w:rPr>
          <w:rFonts w:hint="eastAsia" w:ascii="宋体" w:hAnsi="宋体" w:eastAsia="宋体" w:cs="宋体"/>
          <w:color w:val="auto"/>
          <w:sz w:val="21"/>
          <w:szCs w:val="21"/>
          <w:highlight w:val="none"/>
          <w:lang w:eastAsia="zh-CN"/>
        </w:rPr>
        <w:t xml:space="preserve"> </w:t>
      </w:r>
      <w:bookmarkStart w:id="51" w:name="_Toc28359098"/>
      <w:bookmarkStart w:id="52" w:name="_Toc35393639"/>
      <w:bookmarkStart w:id="53" w:name="_Toc35393808"/>
      <w:bookmarkStart w:id="54" w:name="_Toc28359021"/>
      <w:r>
        <w:rPr>
          <w:rFonts w:hint="eastAsia" w:ascii="宋体" w:hAnsi="宋体" w:cs="宋体"/>
          <w:color w:val="auto"/>
          <w:sz w:val="21"/>
          <w:szCs w:val="21"/>
          <w:highlight w:val="none"/>
          <w:lang w:val="en-US" w:eastAsia="zh-CN"/>
        </w:rPr>
        <w:t>0774-5138578</w:t>
      </w:r>
    </w:p>
    <w:p w14:paraId="00514EE8">
      <w:pPr>
        <w:pageBreakBefore w:val="0"/>
        <w:widowControl w:val="0"/>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3.监督部门：</w:t>
      </w:r>
      <w:r>
        <w:rPr>
          <w:rFonts w:hint="eastAsia" w:ascii="宋体" w:hAnsi="宋体" w:cs="宋体"/>
          <w:color w:val="auto"/>
          <w:sz w:val="21"/>
          <w:szCs w:val="21"/>
          <w:highlight w:val="none"/>
          <w:lang w:eastAsia="zh-CN"/>
        </w:rPr>
        <w:t>富川瑶族自治县财政局政府采购服务中心</w:t>
      </w:r>
      <w:r>
        <w:rPr>
          <w:rFonts w:hint="eastAsia" w:ascii="宋体" w:hAnsi="宋体" w:eastAsia="宋体" w:cs="宋体"/>
          <w:color w:val="auto"/>
          <w:sz w:val="21"/>
          <w:szCs w:val="21"/>
          <w:highlight w:val="none"/>
          <w:lang w:eastAsia="zh-CN"/>
        </w:rPr>
        <w:t>（联系电话：</w:t>
      </w:r>
      <w:r>
        <w:rPr>
          <w:rFonts w:hint="eastAsia" w:ascii="宋体" w:hAnsi="宋体" w:cs="宋体"/>
          <w:color w:val="auto"/>
          <w:sz w:val="21"/>
          <w:szCs w:val="21"/>
          <w:highlight w:val="none"/>
          <w:lang w:eastAsia="zh-CN"/>
        </w:rPr>
        <w:t>0774-7882324</w:t>
      </w:r>
      <w:r>
        <w:rPr>
          <w:rFonts w:hint="eastAsia" w:ascii="宋体" w:hAnsi="宋体" w:eastAsia="宋体" w:cs="宋体"/>
          <w:color w:val="auto"/>
          <w:sz w:val="21"/>
          <w:szCs w:val="21"/>
          <w:highlight w:val="none"/>
          <w:lang w:eastAsia="zh-CN"/>
        </w:rPr>
        <w:t xml:space="preserve">） </w:t>
      </w:r>
    </w:p>
    <w:p w14:paraId="60D8921E">
      <w:pPr>
        <w:pageBreakBefore w:val="0"/>
        <w:widowControl w:val="0"/>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项目联系方式</w:t>
      </w:r>
      <w:bookmarkEnd w:id="51"/>
      <w:bookmarkEnd w:id="52"/>
      <w:bookmarkEnd w:id="53"/>
      <w:bookmarkEnd w:id="54"/>
    </w:p>
    <w:p w14:paraId="3B1B831A">
      <w:pPr>
        <w:pageBreakBefore w:val="0"/>
        <w:widowControl w:val="0"/>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项目联系人：</w:t>
      </w:r>
      <w:r>
        <w:rPr>
          <w:rFonts w:hint="eastAsia" w:ascii="宋体" w:hAnsi="宋体" w:cs="宋体"/>
          <w:color w:val="auto"/>
          <w:sz w:val="21"/>
          <w:szCs w:val="21"/>
          <w:highlight w:val="none"/>
          <w:lang w:eastAsia="zh-CN"/>
        </w:rPr>
        <w:t>凌秋梅</w:t>
      </w:r>
      <w:r>
        <w:rPr>
          <w:rFonts w:hint="eastAsia" w:ascii="宋体" w:hAnsi="宋体" w:eastAsia="宋体" w:cs="宋体"/>
          <w:color w:val="auto"/>
          <w:sz w:val="21"/>
          <w:szCs w:val="21"/>
          <w:highlight w:val="none"/>
          <w:lang w:eastAsia="zh-CN"/>
        </w:rPr>
        <w:t xml:space="preserve"> </w:t>
      </w:r>
    </w:p>
    <w:p w14:paraId="3F29BC22">
      <w:pPr>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电　　 话：</w:t>
      </w:r>
      <w:r>
        <w:rPr>
          <w:rFonts w:hint="eastAsia" w:ascii="宋体" w:hAnsi="宋体" w:cs="宋体"/>
          <w:color w:val="auto"/>
          <w:sz w:val="21"/>
          <w:szCs w:val="21"/>
          <w:highlight w:val="none"/>
          <w:lang w:val="en-US" w:eastAsia="zh-CN"/>
        </w:rPr>
        <w:t>19197736625</w:t>
      </w:r>
    </w:p>
    <w:p w14:paraId="4446CF13">
      <w:pPr>
        <w:pStyle w:val="15"/>
        <w:pageBreakBefore w:val="0"/>
        <w:overflowPunct/>
        <w:topLinePunct w:val="0"/>
        <w:bidi w:val="0"/>
        <w:spacing w:line="360" w:lineRule="auto"/>
        <w:rPr>
          <w:rFonts w:hint="eastAsia" w:ascii="宋体" w:hAnsi="宋体" w:eastAsia="宋体" w:cs="宋体"/>
          <w:color w:val="auto"/>
          <w:sz w:val="21"/>
          <w:szCs w:val="21"/>
          <w:highlight w:val="none"/>
          <w:lang w:val="en-US" w:eastAsia="zh-CN"/>
        </w:rPr>
      </w:pPr>
    </w:p>
    <w:p w14:paraId="67826586">
      <w:pPr>
        <w:pStyle w:val="15"/>
        <w:pageBreakBefore w:val="0"/>
        <w:overflowPunct/>
        <w:topLinePunct w:val="0"/>
        <w:bidi w:val="0"/>
        <w:spacing w:line="360" w:lineRule="auto"/>
        <w:rPr>
          <w:rFonts w:hint="eastAsia" w:ascii="宋体" w:hAnsi="宋体" w:eastAsia="宋体" w:cs="宋体"/>
          <w:color w:val="auto"/>
          <w:sz w:val="21"/>
          <w:szCs w:val="21"/>
          <w:highlight w:val="none"/>
          <w:lang w:val="en-US" w:eastAsia="zh-CN"/>
        </w:rPr>
      </w:pPr>
    </w:p>
    <w:p w14:paraId="5D709D02">
      <w:pPr>
        <w:pageBreakBefore w:val="0"/>
        <w:widowControl w:val="0"/>
        <w:kinsoku/>
        <w:wordWrap/>
        <w:overflowPunct/>
        <w:topLinePunct w:val="0"/>
        <w:autoSpaceDE/>
        <w:autoSpaceDN/>
        <w:bidi w:val="0"/>
        <w:adjustRightInd/>
        <w:snapToGrid/>
        <w:spacing w:line="360" w:lineRule="auto"/>
        <w:ind w:firstLine="630" w:firstLineChars="300"/>
        <w:jc w:val="righ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w:t>
      </w:r>
      <w:r>
        <w:rPr>
          <w:rFonts w:hint="eastAsia" w:ascii="宋体" w:hAnsi="宋体" w:cs="宋体"/>
          <w:color w:val="auto"/>
          <w:sz w:val="21"/>
          <w:szCs w:val="21"/>
          <w:highlight w:val="none"/>
          <w:lang w:eastAsia="zh-CN"/>
        </w:rPr>
        <w:t>富川瑶族目治县民族宗教事务局</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zh-TW" w:eastAsia="zh-CN"/>
        </w:rPr>
        <w:t xml:space="preserve">     </w:t>
      </w:r>
    </w:p>
    <w:p w14:paraId="4FEEDE59">
      <w:pPr>
        <w:pageBreakBefore w:val="0"/>
        <w:overflowPunct/>
        <w:topLinePunct w:val="0"/>
        <w:bidi w:val="0"/>
        <w:spacing w:line="360" w:lineRule="auto"/>
        <w:ind w:firstLine="630" w:firstLineChars="300"/>
        <w:jc w:val="right"/>
        <w:rPr>
          <w:rFonts w:hint="eastAsia" w:ascii="宋体" w:hAnsi="宋体" w:eastAsia="宋体" w:cs="宋体"/>
          <w:color w:val="auto"/>
          <w:sz w:val="21"/>
          <w:szCs w:val="21"/>
          <w:highlight w:val="none"/>
        </w:rPr>
      </w:pPr>
    </w:p>
    <w:p w14:paraId="349F2975">
      <w:pPr>
        <w:pageBreakBefore w:val="0"/>
        <w:overflowPunct/>
        <w:topLinePunct w:val="0"/>
        <w:bidi w:val="0"/>
        <w:spacing w:line="360" w:lineRule="auto"/>
        <w:ind w:firstLine="630" w:firstLineChars="30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w:t>
      </w:r>
      <w:r>
        <w:rPr>
          <w:rFonts w:hint="eastAsia" w:ascii="宋体" w:hAnsi="宋体" w:cs="宋体"/>
          <w:color w:val="auto"/>
          <w:sz w:val="21"/>
          <w:szCs w:val="21"/>
          <w:highlight w:val="none"/>
          <w:lang w:eastAsia="zh-CN"/>
        </w:rPr>
        <w:t>广西朗亿工程咨询有限公司</w:t>
      </w:r>
      <w:r>
        <w:rPr>
          <w:rFonts w:hint="eastAsia" w:ascii="宋体" w:hAnsi="宋体" w:eastAsia="宋体" w:cs="宋体"/>
          <w:color w:val="auto"/>
          <w:sz w:val="21"/>
          <w:szCs w:val="21"/>
          <w:highlight w:val="none"/>
        </w:rPr>
        <w:t xml:space="preserve"> </w:t>
      </w:r>
    </w:p>
    <w:p w14:paraId="31723775">
      <w:pPr>
        <w:pageBreakBefore w:val="0"/>
        <w:overflowPunct/>
        <w:topLinePunct w:val="0"/>
        <w:bidi w:val="0"/>
        <w:spacing w:line="360" w:lineRule="auto"/>
        <w:ind w:firstLine="630" w:firstLineChars="30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74941AE3">
      <w:pPr>
        <w:pageBreakBefore w:val="0"/>
        <w:overflowPunct/>
        <w:topLinePunct w:val="0"/>
        <w:bidi w:val="0"/>
        <w:spacing w:line="360" w:lineRule="auto"/>
        <w:jc w:val="right"/>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eastAsia="zh-CN"/>
        </w:rPr>
        <w:t>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年</w:t>
      </w:r>
      <w:r>
        <w:rPr>
          <w:rFonts w:hint="eastAsia" w:ascii="宋体" w:hAnsi="宋体" w:cs="宋体"/>
          <w:color w:val="auto"/>
          <w:sz w:val="21"/>
          <w:szCs w:val="21"/>
          <w:highlight w:val="none"/>
          <w:lang w:val="en-US" w:eastAsia="zh-CN"/>
        </w:rPr>
        <w:t>08</w:t>
      </w:r>
      <w:r>
        <w:rPr>
          <w:rFonts w:hint="eastAsia" w:ascii="宋体" w:hAnsi="宋体" w:eastAsia="宋体" w:cs="宋体"/>
          <w:color w:val="auto"/>
          <w:sz w:val="21"/>
          <w:szCs w:val="21"/>
          <w:highlight w:val="none"/>
          <w:lang w:val="en-US" w:eastAsia="zh-CN"/>
        </w:rPr>
        <w:t>月</w:t>
      </w:r>
      <w:r>
        <w:rPr>
          <w:rFonts w:hint="eastAsia" w:ascii="宋体" w:hAnsi="宋体" w:cs="宋体"/>
          <w:color w:val="auto"/>
          <w:sz w:val="21"/>
          <w:szCs w:val="21"/>
          <w:highlight w:val="none"/>
          <w:lang w:val="en-US" w:eastAsia="zh-CN"/>
        </w:rPr>
        <w:t>03</w:t>
      </w:r>
      <w:r>
        <w:rPr>
          <w:rFonts w:hint="eastAsia" w:ascii="宋体" w:hAnsi="宋体" w:eastAsia="宋体" w:cs="宋体"/>
          <w:color w:val="auto"/>
          <w:sz w:val="21"/>
          <w:szCs w:val="21"/>
          <w:highlight w:val="none"/>
          <w:lang w:val="en-US" w:eastAsia="zh-CN"/>
        </w:rPr>
        <w:t>日</w:t>
      </w:r>
    </w:p>
    <w:p w14:paraId="072B4D6E">
      <w:pPr>
        <w:pageBreakBefore w:val="0"/>
        <w:overflowPunct/>
        <w:topLinePunct w:val="0"/>
        <w:bidi w:val="0"/>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49194FC7">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color w:val="auto"/>
          <w:sz w:val="40"/>
          <w:szCs w:val="40"/>
          <w:highlight w:val="none"/>
          <w:lang w:val="en-US" w:eastAsia="zh-CN"/>
        </w:rPr>
      </w:pPr>
      <w:bookmarkStart w:id="55" w:name="_Toc11692"/>
      <w:bookmarkStart w:id="56" w:name="_Toc4846"/>
      <w:r>
        <w:rPr>
          <w:rFonts w:hint="eastAsia" w:ascii="宋体" w:hAnsi="宋体" w:eastAsia="宋体" w:cs="宋体"/>
          <w:b/>
          <w:bCs/>
          <w:color w:val="auto"/>
          <w:sz w:val="40"/>
          <w:szCs w:val="40"/>
          <w:highlight w:val="none"/>
          <w:lang w:val="en-US" w:eastAsia="zh-CN"/>
        </w:rPr>
        <w:t>“政采贷”政策告知函</w:t>
      </w:r>
      <w:bookmarkEnd w:id="55"/>
      <w:bookmarkEnd w:id="56"/>
    </w:p>
    <w:p w14:paraId="053E06CC">
      <w:pPr>
        <w:keepNext w:val="0"/>
        <w:keepLines w:val="0"/>
        <w:pageBreakBefore w:val="0"/>
        <w:kinsoku/>
        <w:wordWrap/>
        <w:overflowPunct/>
        <w:topLinePunct w:val="0"/>
        <w:autoSpaceDE/>
        <w:autoSpaceDN/>
        <w:bidi w:val="0"/>
        <w:spacing w:line="360" w:lineRule="auto"/>
        <w:jc w:val="both"/>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各供应商:</w:t>
      </w:r>
    </w:p>
    <w:p w14:paraId="7EBB7B05">
      <w:pPr>
        <w:keepNext w:val="0"/>
        <w:keepLines w:val="0"/>
        <w:pageBreakBefore w:val="0"/>
        <w:kinsoku/>
        <w:wordWrap/>
        <w:overflowPunct/>
        <w:topLinePunct w:val="0"/>
        <w:autoSpaceDE/>
        <w:autoSpaceDN/>
        <w:bidi w:val="0"/>
        <w:spacing w:line="360" w:lineRule="auto"/>
        <w:ind w:firstLine="420" w:firstLineChars="200"/>
        <w:jc w:val="both"/>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欢迎贵公司参与贺州市政府采购活动!</w:t>
      </w:r>
    </w:p>
    <w:p w14:paraId="6B075FBD">
      <w:pPr>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合同融资是支持中小微企业发展，针对参与政府采购活动的供应商融资难、融资贵问题推出的融资政策。参与政府采购的供应商凭借包括中标（成交）通知书或政府采购合同等在内的相关材料、信息向银行业金融机构申请融资，银行业金融机构依托供应商信用和政府采购信息信誉，为其发放贷款，包括银行业金融机构以供应商的历史中标及履约情况等政府采购信息作为授信参考并发放的贷款。贵公司若成为本次政府采购项目的中标成交供应商，可持政府采购合同</w:t>
      </w:r>
      <w:r>
        <w:rPr>
          <w:rFonts w:hint="eastAsia" w:ascii="宋体" w:hAnsi="宋体" w:eastAsia="宋体" w:cs="宋体"/>
          <w:color w:val="auto"/>
          <w:sz w:val="21"/>
          <w:szCs w:val="21"/>
          <w:highlight w:val="none"/>
          <w:lang w:eastAsia="zh-CN"/>
        </w:rPr>
        <w:t>等相关材料</w:t>
      </w:r>
      <w:r>
        <w:rPr>
          <w:rFonts w:hint="eastAsia" w:ascii="宋体" w:hAnsi="宋体" w:eastAsia="宋体" w:cs="宋体"/>
          <w:color w:val="auto"/>
          <w:sz w:val="21"/>
          <w:szCs w:val="21"/>
          <w:highlight w:val="none"/>
        </w:rPr>
        <w:t>向金融机构申请贷款，金融机构核实信息，按照双方自愿的原则提供便捷、优惠的贷款服务。</w:t>
      </w:r>
    </w:p>
    <w:p w14:paraId="7E09D219">
      <w:pPr>
        <w:keepNext w:val="0"/>
        <w:keepLines w:val="0"/>
        <w:pageBreakBefore w:val="0"/>
        <w:widowControl/>
        <w:kinsoku/>
        <w:wordWrap/>
        <w:overflowPunct/>
        <w:topLinePunct w:val="0"/>
        <w:autoSpaceDE/>
        <w:autoSpaceDN/>
        <w:bidi w:val="0"/>
        <w:adjustRightInd w:val="0"/>
        <w:snapToGrid w:val="0"/>
        <w:spacing w:after="0" w:line="360" w:lineRule="auto"/>
        <w:ind w:right="0" w:rightChars="0"/>
        <w:jc w:val="both"/>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一、“政采贷”操作流程</w:t>
      </w:r>
    </w:p>
    <w:p w14:paraId="05A3AA8A">
      <w:pPr>
        <w:keepNext w:val="0"/>
        <w:keepLines w:val="0"/>
        <w:pageBreakBefore w:val="0"/>
        <w:widowControl/>
        <w:kinsoku/>
        <w:wordWrap/>
        <w:overflowPunct/>
        <w:topLinePunct w:val="0"/>
        <w:autoSpaceDE/>
        <w:autoSpaceDN/>
        <w:bidi w:val="0"/>
        <w:adjustRightInd w:val="0"/>
        <w:snapToGrid w:val="0"/>
        <w:spacing w:after="0" w:line="360" w:lineRule="auto"/>
        <w:ind w:right="0" w:rightChars="0" w:firstLine="420" w:firstLineChars="200"/>
        <w:jc w:val="both"/>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进入“广西政府采购网”（</w:t>
      </w:r>
      <w:r>
        <w:rPr>
          <w:rFonts w:hint="eastAsia" w:ascii="宋体" w:hAnsi="宋体" w:eastAsia="宋体" w:cs="宋体"/>
          <w:color w:val="auto"/>
          <w:sz w:val="21"/>
          <w:szCs w:val="21"/>
          <w:highlight w:val="none"/>
          <w:lang w:eastAsia="zh-CN"/>
        </w:rPr>
        <w:fldChar w:fldCharType="begin"/>
      </w:r>
      <w:r>
        <w:rPr>
          <w:rFonts w:hint="eastAsia" w:ascii="宋体" w:hAnsi="宋体" w:eastAsia="宋体" w:cs="宋体"/>
          <w:color w:val="auto"/>
          <w:sz w:val="21"/>
          <w:szCs w:val="21"/>
          <w:highlight w:val="none"/>
          <w:lang w:eastAsia="zh-CN"/>
        </w:rPr>
        <w:instrText xml:space="preserve"> HYPERLINK "http://zfcg.gxzf.gov.cn/" </w:instrText>
      </w:r>
      <w:r>
        <w:rPr>
          <w:rFonts w:hint="eastAsia" w:ascii="宋体" w:hAnsi="宋体" w:eastAsia="宋体" w:cs="宋体"/>
          <w:color w:val="auto"/>
          <w:sz w:val="21"/>
          <w:szCs w:val="21"/>
          <w:highlight w:val="none"/>
          <w:lang w:eastAsia="zh-CN"/>
        </w:rPr>
        <w:fldChar w:fldCharType="separate"/>
      </w:r>
      <w:r>
        <w:rPr>
          <w:rStyle w:val="33"/>
          <w:rFonts w:hint="eastAsia" w:ascii="宋体" w:hAnsi="宋体" w:eastAsia="宋体" w:cs="宋体"/>
          <w:color w:val="auto"/>
          <w:sz w:val="21"/>
          <w:szCs w:val="21"/>
          <w:highlight w:val="none"/>
          <w:lang w:eastAsia="zh-CN"/>
        </w:rPr>
        <w:t>http://zfcg.gxzf.gov.cn/</w:t>
      </w:r>
      <w:r>
        <w:rPr>
          <w:rFonts w:hint="eastAsia" w:ascii="宋体" w:hAnsi="宋体" w:eastAsia="宋体" w:cs="宋体"/>
          <w:color w:val="auto"/>
          <w:sz w:val="21"/>
          <w:szCs w:val="21"/>
          <w:highlight w:val="none"/>
          <w:lang w:eastAsia="zh-CN"/>
        </w:rPr>
        <w:fldChar w:fldCharType="end"/>
      </w:r>
      <w:r>
        <w:rPr>
          <w:rFonts w:hint="eastAsia" w:ascii="宋体" w:hAnsi="宋体" w:eastAsia="宋体" w:cs="宋体"/>
          <w:color w:val="auto"/>
          <w:sz w:val="21"/>
          <w:szCs w:val="21"/>
          <w:highlight w:val="none"/>
          <w:lang w:eastAsia="zh-CN"/>
        </w:rPr>
        <w:t>）“办事指南”专栏找到“金融融资”板块，进入“广西政府采购金融服务平台”登录，选择试点银行机构进行合同融资预申请。（详情请按照《贺州市财政局关于进一步推行“政采贷”工作的通知》（贺财采〔2024〕3号）文件执行）</w:t>
      </w:r>
    </w:p>
    <w:p w14:paraId="21BCADAD">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right="0" w:rightChars="0"/>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二、</w:t>
      </w:r>
      <w:r>
        <w:rPr>
          <w:rFonts w:hint="eastAsia" w:ascii="宋体" w:hAnsi="宋体" w:eastAsia="宋体" w:cs="宋体"/>
          <w:color w:val="auto"/>
          <w:sz w:val="21"/>
          <w:szCs w:val="21"/>
          <w:highlight w:val="none"/>
          <w:lang w:val="en-US" w:eastAsia="zh-CN"/>
        </w:rPr>
        <w:t>承接银行联系方式</w:t>
      </w:r>
    </w:p>
    <w:p w14:paraId="6429B599">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right="0" w:rightChars="0"/>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1.中国建设银行贺州分行</w:t>
      </w:r>
    </w:p>
    <w:tbl>
      <w:tblPr>
        <w:tblStyle w:val="23"/>
        <w:tblpPr w:leftFromText="180" w:rightFromText="180" w:vertAnchor="text" w:horzAnchor="page" w:tblpX="1362" w:tblpY="14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2007"/>
        <w:gridCol w:w="1020"/>
        <w:gridCol w:w="1200"/>
        <w:gridCol w:w="1600"/>
        <w:gridCol w:w="3383"/>
      </w:tblGrid>
      <w:tr w14:paraId="57D4F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600" w:type="dxa"/>
            <w:gridSpan w:val="6"/>
            <w:noWrap w:val="0"/>
            <w:vAlign w:val="center"/>
          </w:tcPr>
          <w:p w14:paraId="394D3F49">
            <w:pPr>
              <w:keepNext w:val="0"/>
              <w:keepLines w:val="0"/>
              <w:pageBreakBefore w:val="0"/>
              <w:widowControl/>
              <w:tabs>
                <w:tab w:val="left" w:pos="2172"/>
              </w:tabs>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中国建设银行贺州分行 总协调人：杨宏毅  职务：公司业务部副总经理  手机号码：18077397188</w:t>
            </w:r>
          </w:p>
        </w:tc>
      </w:tr>
      <w:tr w14:paraId="150AA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noWrap w:val="0"/>
            <w:vAlign w:val="center"/>
          </w:tcPr>
          <w:p w14:paraId="400D87CE">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序号</w:t>
            </w:r>
          </w:p>
        </w:tc>
        <w:tc>
          <w:tcPr>
            <w:tcW w:w="2007" w:type="dxa"/>
            <w:noWrap w:val="0"/>
            <w:vAlign w:val="center"/>
          </w:tcPr>
          <w:p w14:paraId="2F607036">
            <w:pPr>
              <w:keepNext w:val="0"/>
              <w:keepLines w:val="0"/>
              <w:pageBreakBefore w:val="0"/>
              <w:widowControl/>
              <w:tabs>
                <w:tab w:val="left" w:pos="2172"/>
              </w:tabs>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金融机构</w:t>
            </w:r>
          </w:p>
        </w:tc>
        <w:tc>
          <w:tcPr>
            <w:tcW w:w="1020" w:type="dxa"/>
            <w:noWrap w:val="0"/>
            <w:vAlign w:val="center"/>
          </w:tcPr>
          <w:p w14:paraId="26978104">
            <w:pPr>
              <w:keepNext w:val="0"/>
              <w:keepLines w:val="0"/>
              <w:pageBreakBefore w:val="0"/>
              <w:widowControl/>
              <w:tabs>
                <w:tab w:val="left" w:pos="2172"/>
              </w:tabs>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联系人</w:t>
            </w:r>
          </w:p>
        </w:tc>
        <w:tc>
          <w:tcPr>
            <w:tcW w:w="1200" w:type="dxa"/>
            <w:noWrap w:val="0"/>
            <w:vAlign w:val="center"/>
          </w:tcPr>
          <w:p w14:paraId="4D49B49B">
            <w:pPr>
              <w:keepNext w:val="0"/>
              <w:keepLines w:val="0"/>
              <w:pageBreakBefore w:val="0"/>
              <w:widowControl/>
              <w:tabs>
                <w:tab w:val="left" w:pos="2172"/>
              </w:tabs>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职务</w:t>
            </w:r>
          </w:p>
        </w:tc>
        <w:tc>
          <w:tcPr>
            <w:tcW w:w="1600" w:type="dxa"/>
            <w:noWrap w:val="0"/>
            <w:vAlign w:val="center"/>
          </w:tcPr>
          <w:p w14:paraId="0926022A">
            <w:pPr>
              <w:keepNext w:val="0"/>
              <w:keepLines w:val="0"/>
              <w:pageBreakBefore w:val="0"/>
              <w:widowControl/>
              <w:tabs>
                <w:tab w:val="left" w:pos="2172"/>
              </w:tabs>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手机号码</w:t>
            </w:r>
          </w:p>
        </w:tc>
        <w:tc>
          <w:tcPr>
            <w:tcW w:w="3383" w:type="dxa"/>
            <w:noWrap w:val="0"/>
            <w:vAlign w:val="center"/>
          </w:tcPr>
          <w:p w14:paraId="1967B677">
            <w:pPr>
              <w:keepNext w:val="0"/>
              <w:keepLines w:val="0"/>
              <w:pageBreakBefore w:val="0"/>
              <w:widowControl/>
              <w:tabs>
                <w:tab w:val="left" w:pos="2172"/>
              </w:tabs>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银行地址</w:t>
            </w:r>
          </w:p>
        </w:tc>
      </w:tr>
      <w:tr w14:paraId="704B8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390" w:type="dxa"/>
            <w:noWrap w:val="0"/>
            <w:vAlign w:val="center"/>
          </w:tcPr>
          <w:p w14:paraId="33BFF609">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w:t>
            </w:r>
          </w:p>
        </w:tc>
        <w:tc>
          <w:tcPr>
            <w:tcW w:w="2007" w:type="dxa"/>
            <w:noWrap w:val="0"/>
            <w:vAlign w:val="center"/>
          </w:tcPr>
          <w:p w14:paraId="463F6709">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color w:val="auto"/>
                <w:kern w:val="0"/>
                <w:sz w:val="21"/>
                <w:szCs w:val="21"/>
                <w:highlight w:val="none"/>
                <w:u w:val="none"/>
                <w:lang w:val="en-US" w:eastAsia="zh-CN" w:bidi="ar"/>
              </w:rPr>
              <w:t>中国建设银行贺州分行营业部</w:t>
            </w:r>
          </w:p>
        </w:tc>
        <w:tc>
          <w:tcPr>
            <w:tcW w:w="1020" w:type="dxa"/>
            <w:noWrap w:val="0"/>
            <w:vAlign w:val="center"/>
          </w:tcPr>
          <w:p w14:paraId="055DCB2C">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刘  雍</w:t>
            </w:r>
          </w:p>
        </w:tc>
        <w:tc>
          <w:tcPr>
            <w:tcW w:w="1200" w:type="dxa"/>
            <w:noWrap w:val="0"/>
            <w:vAlign w:val="center"/>
          </w:tcPr>
          <w:p w14:paraId="2AA3AA56">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客户经理</w:t>
            </w:r>
          </w:p>
        </w:tc>
        <w:tc>
          <w:tcPr>
            <w:tcW w:w="1600" w:type="dxa"/>
            <w:noWrap w:val="0"/>
            <w:vAlign w:val="center"/>
          </w:tcPr>
          <w:p w14:paraId="3C9B53D6">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18778943521</w:t>
            </w:r>
          </w:p>
        </w:tc>
        <w:tc>
          <w:tcPr>
            <w:tcW w:w="3383" w:type="dxa"/>
            <w:noWrap w:val="0"/>
            <w:vAlign w:val="center"/>
          </w:tcPr>
          <w:p w14:paraId="6E9B9F7E">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贺州市八步区建设中路1号</w:t>
            </w:r>
          </w:p>
        </w:tc>
      </w:tr>
      <w:tr w14:paraId="46064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72FA2898">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2</w:t>
            </w:r>
          </w:p>
        </w:tc>
        <w:tc>
          <w:tcPr>
            <w:tcW w:w="2007" w:type="dxa"/>
            <w:noWrap w:val="0"/>
            <w:vAlign w:val="center"/>
          </w:tcPr>
          <w:p w14:paraId="4459DEF0">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中国建设银行贺州城东支行</w:t>
            </w:r>
          </w:p>
        </w:tc>
        <w:tc>
          <w:tcPr>
            <w:tcW w:w="1020" w:type="dxa"/>
            <w:noWrap w:val="0"/>
            <w:vAlign w:val="center"/>
          </w:tcPr>
          <w:p w14:paraId="219C3FFD">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刘昭勇</w:t>
            </w:r>
          </w:p>
        </w:tc>
        <w:tc>
          <w:tcPr>
            <w:tcW w:w="1200" w:type="dxa"/>
            <w:noWrap w:val="0"/>
            <w:vAlign w:val="center"/>
          </w:tcPr>
          <w:p w14:paraId="2121F0FD">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客户经理</w:t>
            </w:r>
          </w:p>
        </w:tc>
        <w:tc>
          <w:tcPr>
            <w:tcW w:w="1600" w:type="dxa"/>
            <w:noWrap w:val="0"/>
            <w:vAlign w:val="center"/>
          </w:tcPr>
          <w:p w14:paraId="295C687D">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18877499257</w:t>
            </w:r>
          </w:p>
        </w:tc>
        <w:tc>
          <w:tcPr>
            <w:tcW w:w="3383" w:type="dxa"/>
            <w:noWrap w:val="0"/>
            <w:vAlign w:val="center"/>
          </w:tcPr>
          <w:p w14:paraId="2846D994">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贺州市八步区平安西路266号贺州广场购物中心1号楼一层东面</w:t>
            </w:r>
          </w:p>
        </w:tc>
      </w:tr>
      <w:tr w14:paraId="520A8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352B5392">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2007" w:type="dxa"/>
            <w:noWrap w:val="0"/>
            <w:vAlign w:val="center"/>
          </w:tcPr>
          <w:p w14:paraId="65EA4CBA">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中国建设银行贺州城西支行</w:t>
            </w:r>
          </w:p>
        </w:tc>
        <w:tc>
          <w:tcPr>
            <w:tcW w:w="1020" w:type="dxa"/>
            <w:noWrap w:val="0"/>
            <w:vAlign w:val="center"/>
          </w:tcPr>
          <w:p w14:paraId="32BC8FDF">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于丛家</w:t>
            </w:r>
          </w:p>
        </w:tc>
        <w:tc>
          <w:tcPr>
            <w:tcW w:w="1200" w:type="dxa"/>
            <w:noWrap w:val="0"/>
            <w:vAlign w:val="center"/>
          </w:tcPr>
          <w:p w14:paraId="45EC8A1F">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客户经理</w:t>
            </w:r>
          </w:p>
        </w:tc>
        <w:tc>
          <w:tcPr>
            <w:tcW w:w="1600" w:type="dxa"/>
            <w:noWrap w:val="0"/>
            <w:vAlign w:val="center"/>
          </w:tcPr>
          <w:p w14:paraId="62F34829">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15177666737</w:t>
            </w:r>
          </w:p>
        </w:tc>
        <w:tc>
          <w:tcPr>
            <w:tcW w:w="3383" w:type="dxa"/>
            <w:noWrap w:val="0"/>
            <w:vAlign w:val="center"/>
          </w:tcPr>
          <w:p w14:paraId="53D48222">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贺州市八步区八达西路689号1栋11号商铺</w:t>
            </w:r>
          </w:p>
        </w:tc>
      </w:tr>
      <w:tr w14:paraId="309CA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2A4E72A2">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4</w:t>
            </w:r>
          </w:p>
        </w:tc>
        <w:tc>
          <w:tcPr>
            <w:tcW w:w="2007" w:type="dxa"/>
            <w:noWrap w:val="0"/>
            <w:vAlign w:val="center"/>
          </w:tcPr>
          <w:p w14:paraId="600EAA26">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中国建设银行贺州平桂支行</w:t>
            </w:r>
          </w:p>
        </w:tc>
        <w:tc>
          <w:tcPr>
            <w:tcW w:w="1020" w:type="dxa"/>
            <w:noWrap w:val="0"/>
            <w:vAlign w:val="center"/>
          </w:tcPr>
          <w:p w14:paraId="1E9EE077">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邱  伟</w:t>
            </w:r>
          </w:p>
        </w:tc>
        <w:tc>
          <w:tcPr>
            <w:tcW w:w="1200" w:type="dxa"/>
            <w:noWrap w:val="0"/>
            <w:vAlign w:val="center"/>
          </w:tcPr>
          <w:p w14:paraId="0FD46F7A">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客户经理</w:t>
            </w:r>
          </w:p>
        </w:tc>
        <w:tc>
          <w:tcPr>
            <w:tcW w:w="1600" w:type="dxa"/>
            <w:noWrap w:val="0"/>
            <w:vAlign w:val="center"/>
          </w:tcPr>
          <w:p w14:paraId="1B1CE2F5">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18007840720</w:t>
            </w:r>
          </w:p>
        </w:tc>
        <w:tc>
          <w:tcPr>
            <w:tcW w:w="3383" w:type="dxa"/>
            <w:noWrap w:val="0"/>
            <w:vAlign w:val="center"/>
          </w:tcPr>
          <w:p w14:paraId="479DAC40">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贺州市平桂区平桂大道15号富旺小区1号楼105号商铺</w:t>
            </w:r>
          </w:p>
        </w:tc>
      </w:tr>
      <w:tr w14:paraId="13B73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1D8C637F">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5</w:t>
            </w:r>
          </w:p>
        </w:tc>
        <w:tc>
          <w:tcPr>
            <w:tcW w:w="2007" w:type="dxa"/>
            <w:noWrap w:val="0"/>
            <w:vAlign w:val="center"/>
          </w:tcPr>
          <w:p w14:paraId="1A033B5F">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中国建设银行钟山支行</w:t>
            </w:r>
          </w:p>
        </w:tc>
        <w:tc>
          <w:tcPr>
            <w:tcW w:w="1020" w:type="dxa"/>
            <w:noWrap w:val="0"/>
            <w:vAlign w:val="center"/>
          </w:tcPr>
          <w:p w14:paraId="6C50986D">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张文韬</w:t>
            </w:r>
          </w:p>
        </w:tc>
        <w:tc>
          <w:tcPr>
            <w:tcW w:w="1200" w:type="dxa"/>
            <w:noWrap w:val="0"/>
            <w:vAlign w:val="center"/>
          </w:tcPr>
          <w:p w14:paraId="2A2F2EA7">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客户经理</w:t>
            </w:r>
          </w:p>
        </w:tc>
        <w:tc>
          <w:tcPr>
            <w:tcW w:w="1600" w:type="dxa"/>
            <w:noWrap w:val="0"/>
            <w:vAlign w:val="center"/>
          </w:tcPr>
          <w:p w14:paraId="4047AFDF">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13047836009</w:t>
            </w:r>
          </w:p>
        </w:tc>
        <w:tc>
          <w:tcPr>
            <w:tcW w:w="3383" w:type="dxa"/>
            <w:noWrap w:val="0"/>
            <w:vAlign w:val="center"/>
          </w:tcPr>
          <w:p w14:paraId="2D9CFCBC">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贺州市钟山县城书香西路南侧</w:t>
            </w:r>
          </w:p>
        </w:tc>
      </w:tr>
      <w:tr w14:paraId="75A9E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69B33897">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6</w:t>
            </w:r>
          </w:p>
        </w:tc>
        <w:tc>
          <w:tcPr>
            <w:tcW w:w="2007" w:type="dxa"/>
            <w:noWrap w:val="0"/>
            <w:vAlign w:val="center"/>
          </w:tcPr>
          <w:p w14:paraId="1AACCD74">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中国建设银行富川支行</w:t>
            </w:r>
          </w:p>
        </w:tc>
        <w:tc>
          <w:tcPr>
            <w:tcW w:w="1020" w:type="dxa"/>
            <w:noWrap w:val="0"/>
            <w:vAlign w:val="center"/>
          </w:tcPr>
          <w:p w14:paraId="74782459">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邓李杰</w:t>
            </w:r>
          </w:p>
        </w:tc>
        <w:tc>
          <w:tcPr>
            <w:tcW w:w="1200" w:type="dxa"/>
            <w:noWrap w:val="0"/>
            <w:vAlign w:val="center"/>
          </w:tcPr>
          <w:p w14:paraId="1E2F40A9">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营业室总经理</w:t>
            </w:r>
          </w:p>
        </w:tc>
        <w:tc>
          <w:tcPr>
            <w:tcW w:w="1600" w:type="dxa"/>
            <w:noWrap w:val="0"/>
            <w:vAlign w:val="center"/>
          </w:tcPr>
          <w:p w14:paraId="05367D50">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18276498401</w:t>
            </w:r>
          </w:p>
        </w:tc>
        <w:tc>
          <w:tcPr>
            <w:tcW w:w="3383" w:type="dxa"/>
            <w:noWrap w:val="0"/>
            <w:vAlign w:val="center"/>
          </w:tcPr>
          <w:p w14:paraId="16CF7B76">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贺州市富川瑶族自治县富阳镇凤凰路汇龙华府第13号楼</w:t>
            </w:r>
          </w:p>
        </w:tc>
      </w:tr>
      <w:tr w14:paraId="1CFF8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555E01D0">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7</w:t>
            </w:r>
          </w:p>
        </w:tc>
        <w:tc>
          <w:tcPr>
            <w:tcW w:w="2007" w:type="dxa"/>
            <w:noWrap w:val="0"/>
            <w:vAlign w:val="center"/>
          </w:tcPr>
          <w:p w14:paraId="14360AE4">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中国建设银行昭平支行</w:t>
            </w:r>
          </w:p>
        </w:tc>
        <w:tc>
          <w:tcPr>
            <w:tcW w:w="1020" w:type="dxa"/>
            <w:noWrap w:val="0"/>
            <w:vAlign w:val="center"/>
          </w:tcPr>
          <w:p w14:paraId="01AED93A">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贝晟延</w:t>
            </w:r>
          </w:p>
        </w:tc>
        <w:tc>
          <w:tcPr>
            <w:tcW w:w="1200" w:type="dxa"/>
            <w:noWrap w:val="0"/>
            <w:vAlign w:val="center"/>
          </w:tcPr>
          <w:p w14:paraId="5A1E0571">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客户经理</w:t>
            </w:r>
          </w:p>
        </w:tc>
        <w:tc>
          <w:tcPr>
            <w:tcW w:w="1600" w:type="dxa"/>
            <w:noWrap w:val="0"/>
            <w:vAlign w:val="center"/>
          </w:tcPr>
          <w:p w14:paraId="17497024">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15676427374</w:t>
            </w:r>
          </w:p>
        </w:tc>
        <w:tc>
          <w:tcPr>
            <w:tcW w:w="3383" w:type="dxa"/>
            <w:noWrap w:val="0"/>
            <w:vAlign w:val="center"/>
          </w:tcPr>
          <w:p w14:paraId="54D27051">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贺州市昭平县昭平镇东宁中路19号</w:t>
            </w:r>
          </w:p>
        </w:tc>
      </w:tr>
    </w:tbl>
    <w:p w14:paraId="76FB7A8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after="0" w:line="360" w:lineRule="auto"/>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2.广西北部湾银行</w:t>
      </w:r>
    </w:p>
    <w:tbl>
      <w:tblPr>
        <w:tblStyle w:val="23"/>
        <w:tblpPr w:leftFromText="180" w:rightFromText="180" w:vertAnchor="text" w:horzAnchor="page" w:tblpX="1362" w:tblpY="142"/>
        <w:tblOverlap w:val="never"/>
        <w:tblW w:w="9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
        <w:gridCol w:w="1993"/>
        <w:gridCol w:w="1040"/>
        <w:gridCol w:w="1210"/>
        <w:gridCol w:w="1610"/>
        <w:gridCol w:w="3412"/>
      </w:tblGrid>
      <w:tr w14:paraId="732A6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620" w:type="dxa"/>
            <w:gridSpan w:val="6"/>
            <w:noWrap w:val="0"/>
            <w:vAlign w:val="center"/>
          </w:tcPr>
          <w:p w14:paraId="6DB24AA3">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广西北部湾银行贺州分行 总协调人：杨政  职务：普惠金融部总经理  手机号码：18978413000</w:t>
            </w:r>
          </w:p>
        </w:tc>
      </w:tr>
      <w:tr w14:paraId="2F71F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 w:type="dxa"/>
            <w:noWrap w:val="0"/>
            <w:vAlign w:val="center"/>
          </w:tcPr>
          <w:p w14:paraId="5DCFED8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序号</w:t>
            </w:r>
          </w:p>
        </w:tc>
        <w:tc>
          <w:tcPr>
            <w:tcW w:w="1993" w:type="dxa"/>
            <w:noWrap w:val="0"/>
            <w:vAlign w:val="center"/>
          </w:tcPr>
          <w:p w14:paraId="1DB4779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金融机构</w:t>
            </w:r>
          </w:p>
        </w:tc>
        <w:tc>
          <w:tcPr>
            <w:tcW w:w="1040" w:type="dxa"/>
            <w:noWrap w:val="0"/>
            <w:vAlign w:val="center"/>
          </w:tcPr>
          <w:p w14:paraId="377A360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联系人</w:t>
            </w:r>
          </w:p>
        </w:tc>
        <w:tc>
          <w:tcPr>
            <w:tcW w:w="1210" w:type="dxa"/>
            <w:noWrap w:val="0"/>
            <w:vAlign w:val="center"/>
          </w:tcPr>
          <w:p w14:paraId="05B0F78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职务</w:t>
            </w:r>
          </w:p>
        </w:tc>
        <w:tc>
          <w:tcPr>
            <w:tcW w:w="1610" w:type="dxa"/>
            <w:noWrap w:val="0"/>
            <w:vAlign w:val="center"/>
          </w:tcPr>
          <w:p w14:paraId="7727269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手机号码</w:t>
            </w:r>
          </w:p>
        </w:tc>
        <w:tc>
          <w:tcPr>
            <w:tcW w:w="3412" w:type="dxa"/>
            <w:noWrap w:val="0"/>
            <w:vAlign w:val="center"/>
          </w:tcPr>
          <w:p w14:paraId="370768E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银行地址</w:t>
            </w:r>
          </w:p>
        </w:tc>
      </w:tr>
      <w:tr w14:paraId="2915B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64EE300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w:t>
            </w:r>
          </w:p>
        </w:tc>
        <w:tc>
          <w:tcPr>
            <w:tcW w:w="1993" w:type="dxa"/>
            <w:noWrap w:val="0"/>
            <w:vAlign w:val="center"/>
          </w:tcPr>
          <w:p w14:paraId="77FFF5F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color w:val="auto"/>
                <w:kern w:val="0"/>
                <w:sz w:val="21"/>
                <w:szCs w:val="21"/>
                <w:highlight w:val="none"/>
                <w:u w:val="none"/>
                <w:lang w:val="en-US" w:eastAsia="zh-CN" w:bidi="ar"/>
              </w:rPr>
              <w:t>广西北部湾银行贺州分行</w:t>
            </w:r>
          </w:p>
        </w:tc>
        <w:tc>
          <w:tcPr>
            <w:tcW w:w="1040" w:type="dxa"/>
            <w:noWrap w:val="0"/>
            <w:vAlign w:val="center"/>
          </w:tcPr>
          <w:p w14:paraId="5EB945E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黄剑锐</w:t>
            </w:r>
          </w:p>
        </w:tc>
        <w:tc>
          <w:tcPr>
            <w:tcW w:w="1210" w:type="dxa"/>
            <w:noWrap w:val="0"/>
            <w:vAlign w:val="center"/>
          </w:tcPr>
          <w:p w14:paraId="40B7338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个人金融部副经理</w:t>
            </w:r>
          </w:p>
        </w:tc>
        <w:tc>
          <w:tcPr>
            <w:tcW w:w="1610" w:type="dxa"/>
            <w:noWrap w:val="0"/>
            <w:vAlign w:val="center"/>
          </w:tcPr>
          <w:p w14:paraId="387F0B4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15507848190</w:t>
            </w:r>
          </w:p>
        </w:tc>
        <w:tc>
          <w:tcPr>
            <w:tcW w:w="3412" w:type="dxa"/>
            <w:noWrap w:val="0"/>
            <w:vAlign w:val="center"/>
          </w:tcPr>
          <w:p w14:paraId="7BFFCE6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贺州市八步区太白西路153号8号楼</w:t>
            </w:r>
          </w:p>
        </w:tc>
      </w:tr>
      <w:tr w14:paraId="2E17D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3B373B4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2</w:t>
            </w:r>
          </w:p>
        </w:tc>
        <w:tc>
          <w:tcPr>
            <w:tcW w:w="1993" w:type="dxa"/>
            <w:noWrap w:val="0"/>
            <w:vAlign w:val="center"/>
          </w:tcPr>
          <w:p w14:paraId="6901723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广西北部湾银行贺州市平桂支行</w:t>
            </w:r>
          </w:p>
        </w:tc>
        <w:tc>
          <w:tcPr>
            <w:tcW w:w="1040" w:type="dxa"/>
            <w:noWrap w:val="0"/>
            <w:vAlign w:val="center"/>
          </w:tcPr>
          <w:p w14:paraId="679E17C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刘  乐</w:t>
            </w:r>
          </w:p>
        </w:tc>
        <w:tc>
          <w:tcPr>
            <w:tcW w:w="1210" w:type="dxa"/>
            <w:noWrap w:val="0"/>
            <w:vAlign w:val="center"/>
          </w:tcPr>
          <w:p w14:paraId="5C097B8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公司客户经理</w:t>
            </w:r>
          </w:p>
        </w:tc>
        <w:tc>
          <w:tcPr>
            <w:tcW w:w="1610" w:type="dxa"/>
            <w:noWrap w:val="0"/>
            <w:vAlign w:val="center"/>
          </w:tcPr>
          <w:p w14:paraId="423599A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13036871008</w:t>
            </w:r>
          </w:p>
        </w:tc>
        <w:tc>
          <w:tcPr>
            <w:tcW w:w="3412" w:type="dxa"/>
            <w:noWrap w:val="0"/>
            <w:vAlign w:val="center"/>
          </w:tcPr>
          <w:p w14:paraId="7D8463A3">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贺州市平桂区平桂大道4号3号楼103号商铺</w:t>
            </w:r>
          </w:p>
        </w:tc>
      </w:tr>
      <w:tr w14:paraId="1B7E8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7D0D0B7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1993" w:type="dxa"/>
            <w:noWrap w:val="0"/>
            <w:vAlign w:val="center"/>
          </w:tcPr>
          <w:p w14:paraId="456E99F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广西北部湾银行钟山支行</w:t>
            </w:r>
          </w:p>
        </w:tc>
        <w:tc>
          <w:tcPr>
            <w:tcW w:w="1040" w:type="dxa"/>
            <w:noWrap w:val="0"/>
            <w:vAlign w:val="center"/>
          </w:tcPr>
          <w:p w14:paraId="48060603">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唐振豪</w:t>
            </w:r>
          </w:p>
        </w:tc>
        <w:tc>
          <w:tcPr>
            <w:tcW w:w="1210" w:type="dxa"/>
            <w:noWrap w:val="0"/>
            <w:vAlign w:val="center"/>
          </w:tcPr>
          <w:p w14:paraId="51B35EB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公司客户经理</w:t>
            </w:r>
          </w:p>
        </w:tc>
        <w:tc>
          <w:tcPr>
            <w:tcW w:w="1610" w:type="dxa"/>
            <w:noWrap w:val="0"/>
            <w:vAlign w:val="center"/>
          </w:tcPr>
          <w:p w14:paraId="2B383D0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18878480702</w:t>
            </w:r>
          </w:p>
        </w:tc>
        <w:tc>
          <w:tcPr>
            <w:tcW w:w="3412" w:type="dxa"/>
            <w:noWrap w:val="0"/>
            <w:vAlign w:val="center"/>
          </w:tcPr>
          <w:p w14:paraId="5E223B0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贺州市钟山县广场西路南侧悦城壹号院B区1#楼B09-13号商铺</w:t>
            </w:r>
          </w:p>
        </w:tc>
      </w:tr>
      <w:tr w14:paraId="5C9A8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4CDB50C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4</w:t>
            </w:r>
          </w:p>
        </w:tc>
        <w:tc>
          <w:tcPr>
            <w:tcW w:w="1993" w:type="dxa"/>
            <w:noWrap w:val="0"/>
            <w:vAlign w:val="center"/>
          </w:tcPr>
          <w:p w14:paraId="0CA26AF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广西北部湾银行富川支行</w:t>
            </w:r>
          </w:p>
        </w:tc>
        <w:tc>
          <w:tcPr>
            <w:tcW w:w="1040" w:type="dxa"/>
            <w:noWrap w:val="0"/>
            <w:vAlign w:val="center"/>
          </w:tcPr>
          <w:p w14:paraId="78E81C9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秦明龙</w:t>
            </w:r>
          </w:p>
        </w:tc>
        <w:tc>
          <w:tcPr>
            <w:tcW w:w="1210" w:type="dxa"/>
            <w:noWrap w:val="0"/>
            <w:vAlign w:val="center"/>
          </w:tcPr>
          <w:p w14:paraId="113CEB8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业务发展部经理</w:t>
            </w:r>
          </w:p>
        </w:tc>
        <w:tc>
          <w:tcPr>
            <w:tcW w:w="1610" w:type="dxa"/>
            <w:noWrap w:val="0"/>
            <w:vAlign w:val="center"/>
          </w:tcPr>
          <w:p w14:paraId="03420F8D">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17776119667</w:t>
            </w:r>
          </w:p>
        </w:tc>
        <w:tc>
          <w:tcPr>
            <w:tcW w:w="3412" w:type="dxa"/>
            <w:noWrap w:val="0"/>
            <w:vAlign w:val="center"/>
          </w:tcPr>
          <w:p w14:paraId="4CC2E30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贺州市富川瑶族自治县富阳镇凤凰路121号</w:t>
            </w:r>
          </w:p>
        </w:tc>
      </w:tr>
      <w:tr w14:paraId="3BBBA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1C7E712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5</w:t>
            </w:r>
          </w:p>
        </w:tc>
        <w:tc>
          <w:tcPr>
            <w:tcW w:w="1993" w:type="dxa"/>
            <w:noWrap w:val="0"/>
            <w:vAlign w:val="center"/>
          </w:tcPr>
          <w:p w14:paraId="0B4AC863">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广西北部湾银行昭平支行</w:t>
            </w:r>
          </w:p>
        </w:tc>
        <w:tc>
          <w:tcPr>
            <w:tcW w:w="1040" w:type="dxa"/>
            <w:noWrap w:val="0"/>
            <w:vAlign w:val="center"/>
          </w:tcPr>
          <w:p w14:paraId="719DA17D">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邱俊豪</w:t>
            </w:r>
          </w:p>
        </w:tc>
        <w:tc>
          <w:tcPr>
            <w:tcW w:w="1210" w:type="dxa"/>
            <w:noWrap w:val="0"/>
            <w:vAlign w:val="center"/>
          </w:tcPr>
          <w:p w14:paraId="2D03F2F3">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综合客户经理</w:t>
            </w:r>
          </w:p>
        </w:tc>
        <w:tc>
          <w:tcPr>
            <w:tcW w:w="1610" w:type="dxa"/>
            <w:noWrap w:val="0"/>
            <w:vAlign w:val="center"/>
          </w:tcPr>
          <w:p w14:paraId="452F142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18107842696</w:t>
            </w:r>
          </w:p>
        </w:tc>
        <w:tc>
          <w:tcPr>
            <w:tcW w:w="3412" w:type="dxa"/>
            <w:noWrap w:val="0"/>
            <w:vAlign w:val="center"/>
          </w:tcPr>
          <w:p w14:paraId="35ABED2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贺州市昭平县昭平镇河西东路（江湾一号）101-103铺面</w:t>
            </w:r>
          </w:p>
        </w:tc>
      </w:tr>
    </w:tbl>
    <w:p w14:paraId="1353E32A">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3.广西贺州桂东农村合作银行</w:t>
      </w:r>
    </w:p>
    <w:tbl>
      <w:tblPr>
        <w:tblStyle w:val="23"/>
        <w:tblpPr w:leftFromText="180" w:rightFromText="180" w:vertAnchor="text" w:horzAnchor="page" w:tblpX="1362" w:tblpY="142"/>
        <w:tblOverlap w:val="never"/>
        <w:tblW w:w="96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
        <w:gridCol w:w="2343"/>
        <w:gridCol w:w="992"/>
        <w:gridCol w:w="1582"/>
        <w:gridCol w:w="1562"/>
        <w:gridCol w:w="2767"/>
      </w:tblGrid>
      <w:tr w14:paraId="71571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9600" w:type="dxa"/>
            <w:gridSpan w:val="6"/>
            <w:noWrap w:val="0"/>
            <w:vAlign w:val="center"/>
          </w:tcPr>
          <w:p w14:paraId="163AFB2B">
            <w:pPr>
              <w:keepNext w:val="0"/>
              <w:keepLines w:val="0"/>
              <w:pageBreakBefore w:val="0"/>
              <w:widowControl/>
              <w:suppressLineNumbers w:val="0"/>
              <w:overflowPunct/>
              <w:topLinePunct w:val="0"/>
              <w:bidi w:val="0"/>
              <w:spacing w:line="360" w:lineRule="auto"/>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广西贺州桂东农村合作银行 总协调人：卢士强  职务：授信审批部总经理  手机号码：18077409115</w:t>
            </w:r>
          </w:p>
        </w:tc>
      </w:tr>
      <w:tr w14:paraId="077CC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54" w:type="dxa"/>
            <w:noWrap w:val="0"/>
            <w:vAlign w:val="center"/>
          </w:tcPr>
          <w:p w14:paraId="755BC082">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序号</w:t>
            </w:r>
          </w:p>
        </w:tc>
        <w:tc>
          <w:tcPr>
            <w:tcW w:w="2343" w:type="dxa"/>
            <w:noWrap w:val="0"/>
            <w:vAlign w:val="center"/>
          </w:tcPr>
          <w:p w14:paraId="31213327">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金融机构</w:t>
            </w:r>
          </w:p>
        </w:tc>
        <w:tc>
          <w:tcPr>
            <w:tcW w:w="992" w:type="dxa"/>
            <w:noWrap w:val="0"/>
            <w:vAlign w:val="center"/>
          </w:tcPr>
          <w:p w14:paraId="2AB3BF34">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联系人</w:t>
            </w:r>
          </w:p>
        </w:tc>
        <w:tc>
          <w:tcPr>
            <w:tcW w:w="1582" w:type="dxa"/>
            <w:noWrap w:val="0"/>
            <w:vAlign w:val="center"/>
          </w:tcPr>
          <w:p w14:paraId="54B12661">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职务</w:t>
            </w:r>
          </w:p>
        </w:tc>
        <w:tc>
          <w:tcPr>
            <w:tcW w:w="1562" w:type="dxa"/>
            <w:noWrap w:val="0"/>
            <w:vAlign w:val="center"/>
          </w:tcPr>
          <w:p w14:paraId="1BBF815F">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手机号码</w:t>
            </w:r>
          </w:p>
        </w:tc>
        <w:tc>
          <w:tcPr>
            <w:tcW w:w="2767" w:type="dxa"/>
            <w:noWrap w:val="0"/>
            <w:vAlign w:val="center"/>
          </w:tcPr>
          <w:p w14:paraId="5E73B355">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银行地址</w:t>
            </w:r>
          </w:p>
        </w:tc>
      </w:tr>
      <w:tr w14:paraId="3C98A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trPr>
        <w:tc>
          <w:tcPr>
            <w:tcW w:w="354" w:type="dxa"/>
            <w:noWrap w:val="0"/>
            <w:vAlign w:val="center"/>
          </w:tcPr>
          <w:p w14:paraId="6A02FE65">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w:t>
            </w:r>
          </w:p>
        </w:tc>
        <w:tc>
          <w:tcPr>
            <w:tcW w:w="2343" w:type="dxa"/>
            <w:noWrap w:val="0"/>
            <w:vAlign w:val="center"/>
          </w:tcPr>
          <w:p w14:paraId="4E2E098F">
            <w:pPr>
              <w:keepNext w:val="0"/>
              <w:keepLines w:val="0"/>
              <w:pageBreakBefore w:val="0"/>
              <w:widowControl/>
              <w:suppressLineNumbers w:val="0"/>
              <w:overflowPunct/>
              <w:topLinePunct w:val="0"/>
              <w:bidi w:val="0"/>
              <w:spacing w:line="360" w:lineRule="auto"/>
              <w:jc w:val="left"/>
              <w:textAlignment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color w:val="auto"/>
                <w:kern w:val="0"/>
                <w:sz w:val="21"/>
                <w:szCs w:val="21"/>
                <w:highlight w:val="none"/>
                <w:u w:val="none"/>
                <w:lang w:val="en-US" w:eastAsia="zh-CN" w:bidi="ar"/>
              </w:rPr>
              <w:t>广西贺州桂东农村合作银行</w:t>
            </w:r>
          </w:p>
        </w:tc>
        <w:tc>
          <w:tcPr>
            <w:tcW w:w="992" w:type="dxa"/>
            <w:noWrap w:val="0"/>
            <w:vAlign w:val="center"/>
          </w:tcPr>
          <w:p w14:paraId="76D9B247">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黄  腾</w:t>
            </w:r>
          </w:p>
        </w:tc>
        <w:tc>
          <w:tcPr>
            <w:tcW w:w="1582" w:type="dxa"/>
            <w:noWrap w:val="0"/>
            <w:vAlign w:val="center"/>
          </w:tcPr>
          <w:p w14:paraId="2AFBB683">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授信审批部审查员</w:t>
            </w:r>
          </w:p>
        </w:tc>
        <w:tc>
          <w:tcPr>
            <w:tcW w:w="1562" w:type="dxa"/>
            <w:noWrap w:val="0"/>
            <w:vAlign w:val="center"/>
          </w:tcPr>
          <w:p w14:paraId="537F019C">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15078333887</w:t>
            </w:r>
          </w:p>
        </w:tc>
        <w:tc>
          <w:tcPr>
            <w:tcW w:w="2767" w:type="dxa"/>
            <w:noWrap w:val="0"/>
            <w:vAlign w:val="center"/>
          </w:tcPr>
          <w:p w14:paraId="10FD19BE">
            <w:pPr>
              <w:keepNext w:val="0"/>
              <w:keepLines w:val="0"/>
              <w:pageBreakBefore w:val="0"/>
              <w:widowControl/>
              <w:suppressLineNumbers w:val="0"/>
              <w:overflowPunct/>
              <w:topLinePunct w:val="0"/>
              <w:bidi w:val="0"/>
              <w:spacing w:line="360" w:lineRule="auto"/>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贺州市八步区建设东路6号</w:t>
            </w:r>
          </w:p>
        </w:tc>
      </w:tr>
      <w:tr w14:paraId="7C972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trPr>
        <w:tc>
          <w:tcPr>
            <w:tcW w:w="354" w:type="dxa"/>
            <w:noWrap w:val="0"/>
            <w:vAlign w:val="center"/>
          </w:tcPr>
          <w:p w14:paraId="6DEE667D">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2</w:t>
            </w:r>
          </w:p>
        </w:tc>
        <w:tc>
          <w:tcPr>
            <w:tcW w:w="2343" w:type="dxa"/>
            <w:noWrap w:val="0"/>
            <w:vAlign w:val="center"/>
          </w:tcPr>
          <w:p w14:paraId="5E18370F">
            <w:pPr>
              <w:keepNext w:val="0"/>
              <w:keepLines w:val="0"/>
              <w:pageBreakBefore w:val="0"/>
              <w:widowControl/>
              <w:suppressLineNumbers w:val="0"/>
              <w:overflowPunct/>
              <w:topLinePunct w:val="0"/>
              <w:bidi w:val="0"/>
              <w:spacing w:line="360" w:lineRule="auto"/>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广西贺州桂东农村合作银行营业部</w:t>
            </w:r>
          </w:p>
        </w:tc>
        <w:tc>
          <w:tcPr>
            <w:tcW w:w="992" w:type="dxa"/>
            <w:noWrap w:val="0"/>
            <w:vAlign w:val="center"/>
          </w:tcPr>
          <w:p w14:paraId="11B03F38">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刘  瑜</w:t>
            </w:r>
          </w:p>
        </w:tc>
        <w:tc>
          <w:tcPr>
            <w:tcW w:w="1582" w:type="dxa"/>
            <w:noWrap w:val="0"/>
            <w:vAlign w:val="center"/>
          </w:tcPr>
          <w:p w14:paraId="6C0D457B">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营业部副总经理</w:t>
            </w:r>
          </w:p>
        </w:tc>
        <w:tc>
          <w:tcPr>
            <w:tcW w:w="1562" w:type="dxa"/>
            <w:noWrap w:val="0"/>
            <w:vAlign w:val="center"/>
          </w:tcPr>
          <w:p w14:paraId="4F21FA43">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18007843000</w:t>
            </w:r>
          </w:p>
        </w:tc>
        <w:tc>
          <w:tcPr>
            <w:tcW w:w="2767" w:type="dxa"/>
            <w:noWrap w:val="0"/>
            <w:vAlign w:val="center"/>
          </w:tcPr>
          <w:p w14:paraId="65D0D47D">
            <w:pPr>
              <w:keepNext w:val="0"/>
              <w:keepLines w:val="0"/>
              <w:pageBreakBefore w:val="0"/>
              <w:widowControl/>
              <w:suppressLineNumbers w:val="0"/>
              <w:overflowPunct/>
              <w:topLinePunct w:val="0"/>
              <w:bidi w:val="0"/>
              <w:spacing w:line="360" w:lineRule="auto"/>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贺州市八步区建设东路6号</w:t>
            </w:r>
          </w:p>
        </w:tc>
      </w:tr>
      <w:tr w14:paraId="42AEA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trPr>
        <w:tc>
          <w:tcPr>
            <w:tcW w:w="354" w:type="dxa"/>
            <w:noWrap w:val="0"/>
            <w:vAlign w:val="center"/>
          </w:tcPr>
          <w:p w14:paraId="0D133DF1">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2343" w:type="dxa"/>
            <w:noWrap w:val="0"/>
            <w:vAlign w:val="center"/>
          </w:tcPr>
          <w:p w14:paraId="735BC341">
            <w:pPr>
              <w:keepNext w:val="0"/>
              <w:keepLines w:val="0"/>
              <w:pageBreakBefore w:val="0"/>
              <w:widowControl/>
              <w:suppressLineNumbers w:val="0"/>
              <w:overflowPunct/>
              <w:topLinePunct w:val="0"/>
              <w:bidi w:val="0"/>
              <w:spacing w:line="360" w:lineRule="auto"/>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广西贺州桂东农村合作银行八步支行</w:t>
            </w:r>
          </w:p>
        </w:tc>
        <w:tc>
          <w:tcPr>
            <w:tcW w:w="992" w:type="dxa"/>
            <w:noWrap w:val="0"/>
            <w:vAlign w:val="center"/>
          </w:tcPr>
          <w:p w14:paraId="0A794DB9">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谢地恩</w:t>
            </w:r>
          </w:p>
        </w:tc>
        <w:tc>
          <w:tcPr>
            <w:tcW w:w="1582" w:type="dxa"/>
            <w:noWrap w:val="0"/>
            <w:vAlign w:val="center"/>
          </w:tcPr>
          <w:p w14:paraId="48E5E18F">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信贷副行长</w:t>
            </w:r>
          </w:p>
        </w:tc>
        <w:tc>
          <w:tcPr>
            <w:tcW w:w="1562" w:type="dxa"/>
            <w:noWrap w:val="0"/>
            <w:vAlign w:val="center"/>
          </w:tcPr>
          <w:p w14:paraId="54FE97AD">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18007840168</w:t>
            </w:r>
          </w:p>
        </w:tc>
        <w:tc>
          <w:tcPr>
            <w:tcW w:w="2767" w:type="dxa"/>
            <w:noWrap w:val="0"/>
            <w:vAlign w:val="center"/>
          </w:tcPr>
          <w:p w14:paraId="43D6E9DA">
            <w:pPr>
              <w:keepNext w:val="0"/>
              <w:keepLines w:val="0"/>
              <w:pageBreakBefore w:val="0"/>
              <w:widowControl/>
              <w:suppressLineNumbers w:val="0"/>
              <w:overflowPunct/>
              <w:topLinePunct w:val="0"/>
              <w:bidi w:val="0"/>
              <w:spacing w:line="360" w:lineRule="auto"/>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贺州市八步区八达西路652-1号</w:t>
            </w:r>
          </w:p>
        </w:tc>
      </w:tr>
      <w:tr w14:paraId="0B666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354" w:type="dxa"/>
            <w:noWrap w:val="0"/>
            <w:vAlign w:val="center"/>
          </w:tcPr>
          <w:p w14:paraId="23B24DAF">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4</w:t>
            </w:r>
          </w:p>
        </w:tc>
        <w:tc>
          <w:tcPr>
            <w:tcW w:w="2343" w:type="dxa"/>
            <w:noWrap w:val="0"/>
            <w:vAlign w:val="center"/>
          </w:tcPr>
          <w:p w14:paraId="2FF83E1F">
            <w:pPr>
              <w:keepNext w:val="0"/>
              <w:keepLines w:val="0"/>
              <w:pageBreakBefore w:val="0"/>
              <w:widowControl/>
              <w:suppressLineNumbers w:val="0"/>
              <w:overflowPunct/>
              <w:topLinePunct w:val="0"/>
              <w:bidi w:val="0"/>
              <w:spacing w:line="360" w:lineRule="auto"/>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广西贺州桂东农村合作银行平桂支行</w:t>
            </w:r>
          </w:p>
        </w:tc>
        <w:tc>
          <w:tcPr>
            <w:tcW w:w="992" w:type="dxa"/>
            <w:noWrap w:val="0"/>
            <w:vAlign w:val="center"/>
          </w:tcPr>
          <w:p w14:paraId="08CD7AAF">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古  睿</w:t>
            </w:r>
          </w:p>
        </w:tc>
        <w:tc>
          <w:tcPr>
            <w:tcW w:w="1582" w:type="dxa"/>
            <w:noWrap w:val="0"/>
            <w:vAlign w:val="center"/>
          </w:tcPr>
          <w:p w14:paraId="2FC1ADD2">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信贷副行长</w:t>
            </w:r>
          </w:p>
        </w:tc>
        <w:tc>
          <w:tcPr>
            <w:tcW w:w="1562" w:type="dxa"/>
            <w:noWrap w:val="0"/>
            <w:vAlign w:val="center"/>
          </w:tcPr>
          <w:p w14:paraId="66CBFD1D">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18007840375</w:t>
            </w:r>
          </w:p>
        </w:tc>
        <w:tc>
          <w:tcPr>
            <w:tcW w:w="2767" w:type="dxa"/>
            <w:noWrap w:val="0"/>
            <w:vAlign w:val="center"/>
          </w:tcPr>
          <w:p w14:paraId="480429C9">
            <w:pPr>
              <w:keepNext w:val="0"/>
              <w:keepLines w:val="0"/>
              <w:pageBreakBefore w:val="0"/>
              <w:widowControl/>
              <w:suppressLineNumbers w:val="0"/>
              <w:overflowPunct/>
              <w:topLinePunct w:val="0"/>
              <w:bidi w:val="0"/>
              <w:spacing w:line="360" w:lineRule="auto"/>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贺州市平桂区平桂大道财政局一楼</w:t>
            </w:r>
          </w:p>
        </w:tc>
      </w:tr>
    </w:tbl>
    <w:p w14:paraId="0CD3B6E4">
      <w:pPr>
        <w:pageBreakBefore w:val="0"/>
        <w:overflowPunct/>
        <w:topLinePunct w:val="0"/>
        <w:bidi w:val="0"/>
        <w:spacing w:line="360" w:lineRule="auto"/>
        <w:rPr>
          <w:rFonts w:hint="eastAsia" w:ascii="宋体" w:hAnsi="宋体" w:eastAsia="宋体" w:cs="宋体"/>
          <w:color w:val="auto"/>
          <w:sz w:val="21"/>
          <w:szCs w:val="21"/>
          <w:highlight w:val="none"/>
        </w:rPr>
        <w:sectPr>
          <w:headerReference r:id="rId8" w:type="default"/>
          <w:footerReference r:id="rId9" w:type="default"/>
          <w:pgSz w:w="11910" w:h="16840"/>
          <w:pgMar w:top="1440" w:right="1080" w:bottom="1440" w:left="1080" w:header="720" w:footer="720" w:gutter="0"/>
          <w:pgNumType w:fmt="decimal"/>
          <w:cols w:space="720" w:num="1"/>
        </w:sectPr>
      </w:pPr>
    </w:p>
    <w:p w14:paraId="4E3D717C">
      <w:pPr>
        <w:pStyle w:val="15"/>
        <w:pageBreakBefore w:val="0"/>
        <w:overflowPunct/>
        <w:topLinePunct w:val="0"/>
        <w:bidi w:val="0"/>
        <w:spacing w:line="360" w:lineRule="auto"/>
        <w:jc w:val="center"/>
        <w:outlineLvl w:val="0"/>
        <w:rPr>
          <w:rFonts w:hint="eastAsia" w:ascii="宋体" w:hAnsi="宋体" w:eastAsia="宋体" w:cs="宋体"/>
          <w:b/>
          <w:color w:val="auto"/>
          <w:sz w:val="28"/>
          <w:szCs w:val="28"/>
          <w:highlight w:val="none"/>
          <w:lang w:eastAsia="zh-CN"/>
        </w:rPr>
      </w:pPr>
      <w:bookmarkStart w:id="57" w:name="_Toc6305"/>
      <w:bookmarkStart w:id="58" w:name="_Toc32400"/>
      <w:bookmarkStart w:id="59" w:name="_Toc24740"/>
      <w:bookmarkStart w:id="60" w:name="_Toc9156"/>
      <w:r>
        <w:rPr>
          <w:rFonts w:hint="eastAsia" w:ascii="宋体" w:hAnsi="宋体" w:eastAsia="宋体" w:cs="宋体"/>
          <w:b/>
          <w:color w:val="auto"/>
          <w:sz w:val="40"/>
          <w:szCs w:val="40"/>
          <w:highlight w:val="none"/>
        </w:rPr>
        <w:t>第二章</w:t>
      </w:r>
      <w:r>
        <w:rPr>
          <w:rFonts w:hint="eastAsia" w:ascii="宋体" w:hAnsi="宋体" w:eastAsia="宋体" w:cs="宋体"/>
          <w:b/>
          <w:color w:val="auto"/>
          <w:sz w:val="40"/>
          <w:szCs w:val="40"/>
          <w:highlight w:val="none"/>
          <w:lang w:val="en-US" w:eastAsia="zh-CN"/>
        </w:rPr>
        <w:t xml:space="preserve">  </w:t>
      </w:r>
      <w:r>
        <w:rPr>
          <w:rFonts w:hint="eastAsia" w:ascii="宋体" w:hAnsi="宋体" w:eastAsia="宋体" w:cs="宋体"/>
          <w:b/>
          <w:color w:val="auto"/>
          <w:sz w:val="40"/>
          <w:szCs w:val="40"/>
          <w:highlight w:val="none"/>
          <w:lang w:eastAsia="zh-CN"/>
        </w:rPr>
        <w:t>磋商供应商</w:t>
      </w:r>
      <w:r>
        <w:rPr>
          <w:rFonts w:hint="eastAsia" w:ascii="宋体" w:hAnsi="宋体" w:eastAsia="宋体" w:cs="宋体"/>
          <w:b/>
          <w:color w:val="auto"/>
          <w:sz w:val="40"/>
          <w:szCs w:val="40"/>
          <w:highlight w:val="none"/>
        </w:rPr>
        <w:t>须知及前附表</w:t>
      </w:r>
      <w:bookmarkEnd w:id="57"/>
      <w:bookmarkEnd w:id="58"/>
      <w:bookmarkEnd w:id="59"/>
      <w:bookmarkEnd w:id="60"/>
    </w:p>
    <w:p w14:paraId="17DB78FD">
      <w:pPr>
        <w:pageBreakBefore w:val="0"/>
        <w:overflowPunct/>
        <w:topLinePunct w:val="0"/>
        <w:bidi w:val="0"/>
        <w:spacing w:line="360" w:lineRule="auto"/>
        <w:ind w:firstLine="281" w:firstLineChars="10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t>磋商供应商</w:t>
      </w:r>
      <w:r>
        <w:rPr>
          <w:rFonts w:hint="eastAsia" w:ascii="宋体" w:hAnsi="宋体" w:eastAsia="宋体" w:cs="宋体"/>
          <w:b/>
          <w:color w:val="auto"/>
          <w:sz w:val="28"/>
          <w:szCs w:val="28"/>
          <w:highlight w:val="none"/>
        </w:rPr>
        <w:t>须知前附表</w:t>
      </w:r>
    </w:p>
    <w:tbl>
      <w:tblPr>
        <w:tblStyle w:val="22"/>
        <w:tblW w:w="9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1965"/>
        <w:gridCol w:w="7068"/>
      </w:tblGrid>
      <w:tr w14:paraId="240A2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6" w:type="dxa"/>
            <w:shd w:val="clear" w:color="auto" w:fill="FEFEFE"/>
            <w:tcMar>
              <w:top w:w="0" w:type="dxa"/>
              <w:left w:w="57" w:type="dxa"/>
              <w:bottom w:w="0" w:type="dxa"/>
              <w:right w:w="57" w:type="dxa"/>
            </w:tcMar>
            <w:vAlign w:val="center"/>
          </w:tcPr>
          <w:p w14:paraId="20F99320">
            <w:pPr>
              <w:pageBreakBefore w:val="0"/>
              <w:overflowPunct/>
              <w:topLinePunct w:val="0"/>
              <w:bidi w:val="0"/>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965" w:type="dxa"/>
            <w:shd w:val="clear" w:color="auto" w:fill="FEFEFE"/>
            <w:tcMar>
              <w:top w:w="0" w:type="dxa"/>
              <w:left w:w="57" w:type="dxa"/>
              <w:bottom w:w="0" w:type="dxa"/>
              <w:right w:w="57" w:type="dxa"/>
            </w:tcMar>
            <w:vAlign w:val="center"/>
          </w:tcPr>
          <w:p w14:paraId="2E2D47C6">
            <w:pPr>
              <w:pageBreakBefore w:val="0"/>
              <w:overflowPunct/>
              <w:topLinePunct w:val="0"/>
              <w:bidi w:val="0"/>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名称</w:t>
            </w:r>
          </w:p>
        </w:tc>
        <w:tc>
          <w:tcPr>
            <w:tcW w:w="7068" w:type="dxa"/>
            <w:shd w:val="clear" w:color="auto" w:fill="FEFEFE"/>
            <w:tcMar>
              <w:top w:w="0" w:type="dxa"/>
              <w:left w:w="57" w:type="dxa"/>
              <w:bottom w:w="0" w:type="dxa"/>
              <w:right w:w="57" w:type="dxa"/>
            </w:tcMar>
            <w:vAlign w:val="center"/>
          </w:tcPr>
          <w:p w14:paraId="3B9D5CD4">
            <w:pPr>
              <w:pageBreakBefore w:val="0"/>
              <w:overflowPunct/>
              <w:topLinePunct w:val="0"/>
              <w:bidi w:val="0"/>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内     容</w:t>
            </w:r>
          </w:p>
        </w:tc>
      </w:tr>
      <w:tr w14:paraId="4052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vMerge w:val="restart"/>
            <w:shd w:val="clear" w:color="auto" w:fill="FEFEFE"/>
            <w:tcMar>
              <w:top w:w="0" w:type="dxa"/>
              <w:left w:w="57" w:type="dxa"/>
              <w:bottom w:w="0" w:type="dxa"/>
              <w:right w:w="57" w:type="dxa"/>
            </w:tcMar>
            <w:vAlign w:val="center"/>
          </w:tcPr>
          <w:p w14:paraId="187E74C6">
            <w:pPr>
              <w:pageBreakBefore w:val="0"/>
              <w:tabs>
                <w:tab w:val="left" w:pos="1680"/>
              </w:tabs>
              <w:overflowPunct/>
              <w:topLinePunct w:val="0"/>
              <w:bidi w:val="0"/>
              <w:spacing w:line="360" w:lineRule="auto"/>
              <w:ind w:right="-192"/>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965" w:type="dxa"/>
            <w:shd w:val="clear" w:color="auto" w:fill="FEFEFE"/>
            <w:tcMar>
              <w:top w:w="0" w:type="dxa"/>
              <w:left w:w="57" w:type="dxa"/>
              <w:bottom w:w="0" w:type="dxa"/>
              <w:right w:w="57" w:type="dxa"/>
            </w:tcMar>
            <w:vAlign w:val="center"/>
          </w:tcPr>
          <w:p w14:paraId="3073F0C7">
            <w:pPr>
              <w:pageBreakBefore w:val="0"/>
              <w:tabs>
                <w:tab w:val="left" w:pos="1680"/>
              </w:tabs>
              <w:overflowPunct/>
              <w:topLinePunct w:val="0"/>
              <w:bidi w:val="0"/>
              <w:spacing w:line="360" w:lineRule="auto"/>
              <w:ind w:right="-192"/>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项目名称</w:t>
            </w:r>
            <w:r>
              <w:rPr>
                <w:rFonts w:hint="eastAsia" w:ascii="宋体" w:hAnsi="宋体" w:eastAsia="宋体" w:cs="宋体"/>
                <w:b/>
                <w:bCs/>
                <w:color w:val="auto"/>
                <w:sz w:val="21"/>
                <w:szCs w:val="21"/>
                <w:highlight w:val="none"/>
                <w:lang w:eastAsia="zh-CN"/>
              </w:rPr>
              <w:t>及</w:t>
            </w:r>
          </w:p>
          <w:p w14:paraId="39DF0671">
            <w:pPr>
              <w:pageBreakBefore w:val="0"/>
              <w:tabs>
                <w:tab w:val="left" w:pos="1680"/>
              </w:tabs>
              <w:overflowPunct/>
              <w:topLinePunct w:val="0"/>
              <w:bidi w:val="0"/>
              <w:spacing w:line="360" w:lineRule="auto"/>
              <w:ind w:right="-192"/>
              <w:jc w:val="center"/>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eastAsia="zh-CN"/>
              </w:rPr>
              <w:t>项目编号</w:t>
            </w:r>
          </w:p>
        </w:tc>
        <w:tc>
          <w:tcPr>
            <w:tcW w:w="7068" w:type="dxa"/>
            <w:shd w:val="clear" w:color="auto" w:fill="FEFEFE"/>
            <w:vAlign w:val="center"/>
          </w:tcPr>
          <w:p w14:paraId="0C5684FC">
            <w:pPr>
              <w:pageBreakBefore w:val="0"/>
              <w:tabs>
                <w:tab w:val="left" w:pos="1680"/>
              </w:tabs>
              <w:overflowPunct/>
              <w:topLinePunct w:val="0"/>
              <w:bidi w:val="0"/>
              <w:spacing w:line="360" w:lineRule="auto"/>
              <w:ind w:right="69" w:rightChars="0" w:firstLine="0" w:firstLineChars="0"/>
              <w:jc w:val="both"/>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项目名称</w:t>
            </w:r>
            <w:r>
              <w:rPr>
                <w:rFonts w:hint="eastAsia" w:ascii="宋体" w:hAnsi="宋体" w:eastAsia="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eastAsia="zh-CN"/>
              </w:rPr>
              <w:t>富川民宗局2026年第二批财政常态化帮扶资金项目</w:t>
            </w:r>
          </w:p>
          <w:p w14:paraId="12C70113">
            <w:pPr>
              <w:pageBreakBefore w:val="0"/>
              <w:tabs>
                <w:tab w:val="left" w:pos="1680"/>
              </w:tabs>
              <w:overflowPunct/>
              <w:topLinePunct w:val="0"/>
              <w:bidi w:val="0"/>
              <w:spacing w:line="360" w:lineRule="auto"/>
              <w:ind w:right="-192" w:firstLine="0" w:firstLineChars="0"/>
              <w:jc w:val="both"/>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项目编号</w:t>
            </w:r>
            <w:r>
              <w:rPr>
                <w:rFonts w:hint="eastAsia" w:ascii="宋体" w:hAnsi="宋体" w:eastAsia="宋体" w:cs="宋体"/>
                <w:b w:val="0"/>
                <w:bCs w:val="0"/>
                <w:color w:val="auto"/>
                <w:sz w:val="21"/>
                <w:szCs w:val="21"/>
                <w:highlight w:val="none"/>
                <w:lang w:eastAsia="zh-CN"/>
              </w:rPr>
              <w:t>：HZZC2026-C2-230069-LYGC</w:t>
            </w:r>
            <w:r>
              <w:rPr>
                <w:rFonts w:hint="eastAsia" w:ascii="宋体" w:hAnsi="宋体" w:cs="宋体"/>
                <w:b w:val="0"/>
                <w:bCs w:val="0"/>
                <w:color w:val="auto"/>
                <w:sz w:val="21"/>
                <w:szCs w:val="21"/>
                <w:highlight w:val="none"/>
                <w:lang w:eastAsia="zh-CN"/>
              </w:rPr>
              <w:t xml:space="preserve">        </w:t>
            </w:r>
            <w:r>
              <w:rPr>
                <w:rFonts w:hint="eastAsia" w:ascii="宋体" w:hAnsi="宋体" w:eastAsia="宋体" w:cs="宋体"/>
                <w:b w:val="0"/>
                <w:bCs w:val="0"/>
                <w:color w:val="auto"/>
                <w:sz w:val="21"/>
                <w:szCs w:val="21"/>
                <w:highlight w:val="none"/>
                <w:lang w:eastAsia="zh-CN"/>
              </w:rPr>
              <w:t xml:space="preserve">     </w:t>
            </w:r>
          </w:p>
        </w:tc>
      </w:tr>
      <w:tr w14:paraId="4220E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vMerge w:val="continue"/>
            <w:shd w:val="clear" w:color="auto" w:fill="FEFEFE"/>
            <w:tcMar>
              <w:top w:w="0" w:type="dxa"/>
              <w:left w:w="57" w:type="dxa"/>
              <w:bottom w:w="0" w:type="dxa"/>
              <w:right w:w="57" w:type="dxa"/>
            </w:tcMar>
            <w:vAlign w:val="center"/>
          </w:tcPr>
          <w:p w14:paraId="12873FDD">
            <w:pPr>
              <w:pageBreakBefore w:val="0"/>
              <w:tabs>
                <w:tab w:val="left" w:pos="1680"/>
              </w:tabs>
              <w:overflowPunct/>
              <w:topLinePunct w:val="0"/>
              <w:bidi w:val="0"/>
              <w:spacing w:line="360" w:lineRule="auto"/>
              <w:ind w:right="-192"/>
              <w:jc w:val="center"/>
              <w:rPr>
                <w:rFonts w:hint="eastAsia" w:ascii="宋体" w:hAnsi="宋体" w:eastAsia="宋体" w:cs="宋体"/>
                <w:color w:val="auto"/>
                <w:sz w:val="21"/>
                <w:szCs w:val="21"/>
                <w:highlight w:val="none"/>
                <w:lang w:val="en-US" w:eastAsia="zh-CN"/>
              </w:rPr>
            </w:pPr>
          </w:p>
        </w:tc>
        <w:tc>
          <w:tcPr>
            <w:tcW w:w="1965" w:type="dxa"/>
            <w:shd w:val="clear" w:color="auto" w:fill="FEFEFE"/>
            <w:tcMar>
              <w:top w:w="0" w:type="dxa"/>
              <w:left w:w="57" w:type="dxa"/>
              <w:bottom w:w="0" w:type="dxa"/>
              <w:right w:w="57" w:type="dxa"/>
            </w:tcMar>
            <w:vAlign w:val="center"/>
          </w:tcPr>
          <w:p w14:paraId="4D513E39">
            <w:pPr>
              <w:pageBreakBefore w:val="0"/>
              <w:tabs>
                <w:tab w:val="left" w:pos="1680"/>
              </w:tabs>
              <w:overflowPunct/>
              <w:topLinePunct w:val="0"/>
              <w:bidi w:val="0"/>
              <w:spacing w:line="360" w:lineRule="auto"/>
              <w:ind w:right="-192"/>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建设地点</w:t>
            </w:r>
          </w:p>
        </w:tc>
        <w:tc>
          <w:tcPr>
            <w:tcW w:w="7068" w:type="dxa"/>
            <w:shd w:val="clear" w:color="auto" w:fill="FEFEFE"/>
            <w:vAlign w:val="center"/>
          </w:tcPr>
          <w:p w14:paraId="045FDE56">
            <w:pPr>
              <w:pageBreakBefore w:val="0"/>
              <w:tabs>
                <w:tab w:val="left" w:pos="1680"/>
              </w:tabs>
              <w:overflowPunct/>
              <w:topLinePunct w:val="0"/>
              <w:bidi w:val="0"/>
              <w:spacing w:line="360" w:lineRule="auto"/>
              <w:ind w:right="-192" w:firstLine="0" w:firstLineChars="0"/>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贺州市</w:t>
            </w:r>
          </w:p>
        </w:tc>
      </w:tr>
      <w:tr w14:paraId="45E6A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706" w:type="dxa"/>
            <w:vMerge w:val="restart"/>
            <w:shd w:val="clear" w:color="auto" w:fill="FEFEFE"/>
            <w:tcMar>
              <w:top w:w="0" w:type="dxa"/>
              <w:left w:w="57" w:type="dxa"/>
              <w:bottom w:w="0" w:type="dxa"/>
              <w:right w:w="57" w:type="dxa"/>
            </w:tcMar>
            <w:vAlign w:val="center"/>
          </w:tcPr>
          <w:p w14:paraId="78C74975">
            <w:pPr>
              <w:pageBreakBefore w:val="0"/>
              <w:tabs>
                <w:tab w:val="left" w:pos="1680"/>
              </w:tabs>
              <w:overflowPunct/>
              <w:topLinePunct w:val="0"/>
              <w:bidi w:val="0"/>
              <w:spacing w:line="360" w:lineRule="auto"/>
              <w:ind w:right="-192"/>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w:t>
            </w:r>
          </w:p>
        </w:tc>
        <w:tc>
          <w:tcPr>
            <w:tcW w:w="1965" w:type="dxa"/>
            <w:shd w:val="clear" w:color="auto" w:fill="FEFEFE"/>
            <w:tcMar>
              <w:top w:w="0" w:type="dxa"/>
              <w:left w:w="57" w:type="dxa"/>
              <w:bottom w:w="0" w:type="dxa"/>
              <w:right w:w="57" w:type="dxa"/>
            </w:tcMar>
            <w:vAlign w:val="center"/>
          </w:tcPr>
          <w:p w14:paraId="69E46434">
            <w:pPr>
              <w:pageBreakBefore w:val="0"/>
              <w:tabs>
                <w:tab w:val="left" w:pos="1680"/>
              </w:tabs>
              <w:overflowPunct/>
              <w:topLinePunct w:val="0"/>
              <w:bidi w:val="0"/>
              <w:spacing w:line="360" w:lineRule="auto"/>
              <w:ind w:right="-192"/>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工程建设规模与</w:t>
            </w:r>
          </w:p>
          <w:p w14:paraId="4C135E67">
            <w:pPr>
              <w:pageBreakBefore w:val="0"/>
              <w:tabs>
                <w:tab w:val="left" w:pos="1680"/>
              </w:tabs>
              <w:overflowPunct/>
              <w:topLinePunct w:val="0"/>
              <w:bidi w:val="0"/>
              <w:spacing w:line="360" w:lineRule="auto"/>
              <w:ind w:right="-192"/>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内容</w:t>
            </w:r>
          </w:p>
        </w:tc>
        <w:tc>
          <w:tcPr>
            <w:tcW w:w="7068" w:type="dxa"/>
            <w:shd w:val="clear" w:color="auto" w:fill="FEFEFE"/>
            <w:vAlign w:val="center"/>
          </w:tcPr>
          <w:p w14:paraId="5C82F5D1">
            <w:pPr>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本项目包含三个子项目：1.麦岭村委长广村大山至岐山塘脐橙产业路硬化工程；2.石家乡石家社区双马塘至黄竹村脐橙产业路硬化工程；3.葛坡镇岐山村委岐山大村石板桥至鸭婆塘蔬菜基地三面光水渠建设。具体详见经财政投资评审的《工程量清单》内容及相关设计图纸要求范围内所有工程内容。</w:t>
            </w:r>
          </w:p>
        </w:tc>
      </w:tr>
      <w:tr w14:paraId="2321E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6" w:type="dxa"/>
            <w:vMerge w:val="continue"/>
            <w:shd w:val="clear" w:color="auto" w:fill="FEFEFE"/>
            <w:tcMar>
              <w:top w:w="0" w:type="dxa"/>
              <w:left w:w="57" w:type="dxa"/>
              <w:bottom w:w="0" w:type="dxa"/>
              <w:right w:w="57" w:type="dxa"/>
            </w:tcMar>
            <w:vAlign w:val="center"/>
          </w:tcPr>
          <w:p w14:paraId="6E4BC1E4">
            <w:pPr>
              <w:pageBreakBefore w:val="0"/>
              <w:tabs>
                <w:tab w:val="left" w:pos="1680"/>
              </w:tabs>
              <w:overflowPunct/>
              <w:topLinePunct w:val="0"/>
              <w:bidi w:val="0"/>
              <w:spacing w:line="360" w:lineRule="auto"/>
              <w:ind w:right="-192"/>
              <w:jc w:val="center"/>
              <w:rPr>
                <w:rFonts w:hint="eastAsia" w:ascii="宋体" w:hAnsi="宋体" w:eastAsia="宋体" w:cs="宋体"/>
                <w:b w:val="0"/>
                <w:bCs w:val="0"/>
                <w:color w:val="auto"/>
                <w:sz w:val="21"/>
                <w:szCs w:val="21"/>
                <w:highlight w:val="none"/>
                <w:lang w:val="en-US" w:eastAsia="zh-CN"/>
              </w:rPr>
            </w:pPr>
          </w:p>
        </w:tc>
        <w:tc>
          <w:tcPr>
            <w:tcW w:w="1965" w:type="dxa"/>
            <w:shd w:val="clear" w:color="auto" w:fill="FEFEFE"/>
            <w:tcMar>
              <w:top w:w="0" w:type="dxa"/>
              <w:left w:w="57" w:type="dxa"/>
              <w:bottom w:w="0" w:type="dxa"/>
              <w:right w:w="57" w:type="dxa"/>
            </w:tcMar>
            <w:vAlign w:val="center"/>
          </w:tcPr>
          <w:p w14:paraId="22EA6188">
            <w:pPr>
              <w:pageBreakBefore w:val="0"/>
              <w:tabs>
                <w:tab w:val="left" w:pos="1680"/>
              </w:tabs>
              <w:overflowPunct/>
              <w:topLinePunct w:val="0"/>
              <w:bidi w:val="0"/>
              <w:spacing w:line="360" w:lineRule="auto"/>
              <w:ind w:right="-192"/>
              <w:jc w:val="center"/>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设计单位</w:t>
            </w:r>
          </w:p>
        </w:tc>
        <w:tc>
          <w:tcPr>
            <w:tcW w:w="7068" w:type="dxa"/>
            <w:shd w:val="clear" w:color="auto" w:fill="FEFEFE"/>
            <w:vAlign w:val="center"/>
          </w:tcPr>
          <w:p w14:paraId="1750B8DD">
            <w:pPr>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中样设计有限责任公司</w:t>
            </w:r>
          </w:p>
        </w:tc>
      </w:tr>
      <w:tr w14:paraId="56A13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6" w:type="dxa"/>
            <w:vMerge w:val="continue"/>
            <w:shd w:val="clear" w:color="auto" w:fill="FEFEFE"/>
            <w:tcMar>
              <w:top w:w="0" w:type="dxa"/>
              <w:left w:w="57" w:type="dxa"/>
              <w:bottom w:w="0" w:type="dxa"/>
              <w:right w:w="57" w:type="dxa"/>
            </w:tcMar>
            <w:vAlign w:val="center"/>
          </w:tcPr>
          <w:p w14:paraId="6ACD6652">
            <w:pPr>
              <w:pageBreakBefore w:val="0"/>
              <w:tabs>
                <w:tab w:val="left" w:pos="1680"/>
              </w:tabs>
              <w:overflowPunct/>
              <w:topLinePunct w:val="0"/>
              <w:bidi w:val="0"/>
              <w:spacing w:line="360" w:lineRule="auto"/>
              <w:ind w:right="-192"/>
              <w:jc w:val="center"/>
              <w:rPr>
                <w:rFonts w:hint="eastAsia" w:ascii="宋体" w:hAnsi="宋体" w:eastAsia="宋体" w:cs="宋体"/>
                <w:b w:val="0"/>
                <w:bCs w:val="0"/>
                <w:color w:val="auto"/>
                <w:sz w:val="21"/>
                <w:szCs w:val="21"/>
                <w:highlight w:val="none"/>
                <w:lang w:val="en-US" w:eastAsia="zh-CN"/>
              </w:rPr>
            </w:pPr>
          </w:p>
        </w:tc>
        <w:tc>
          <w:tcPr>
            <w:tcW w:w="1965" w:type="dxa"/>
            <w:shd w:val="clear" w:color="auto" w:fill="FEFEFE"/>
            <w:tcMar>
              <w:top w:w="0" w:type="dxa"/>
              <w:left w:w="57" w:type="dxa"/>
              <w:bottom w:w="0" w:type="dxa"/>
              <w:right w:w="57" w:type="dxa"/>
            </w:tcMar>
            <w:vAlign w:val="center"/>
          </w:tcPr>
          <w:p w14:paraId="38D988D9">
            <w:pPr>
              <w:pageBreakBefore w:val="0"/>
              <w:tabs>
                <w:tab w:val="left" w:pos="1680"/>
              </w:tabs>
              <w:overflowPunct/>
              <w:topLinePunct w:val="0"/>
              <w:bidi w:val="0"/>
              <w:spacing w:line="360" w:lineRule="auto"/>
              <w:ind w:right="-192"/>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中小企业划分标准</w:t>
            </w:r>
          </w:p>
          <w:p w14:paraId="699A4098">
            <w:pPr>
              <w:pageBreakBefore w:val="0"/>
              <w:tabs>
                <w:tab w:val="left" w:pos="1680"/>
              </w:tabs>
              <w:overflowPunct/>
              <w:topLinePunct w:val="0"/>
              <w:bidi w:val="0"/>
              <w:spacing w:line="360" w:lineRule="auto"/>
              <w:ind w:right="-192" w:rightChars="0"/>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所属行业名称</w:t>
            </w:r>
          </w:p>
        </w:tc>
        <w:tc>
          <w:tcPr>
            <w:tcW w:w="7068" w:type="dxa"/>
            <w:shd w:val="clear" w:color="auto" w:fill="FEFEFE"/>
            <w:vAlign w:val="center"/>
          </w:tcPr>
          <w:p w14:paraId="55210F19">
            <w:pPr>
              <w:pageBreakBefore w:val="0"/>
              <w:tabs>
                <w:tab w:val="left" w:pos="1680"/>
              </w:tabs>
              <w:overflowPunct/>
              <w:topLinePunct w:val="0"/>
              <w:bidi w:val="0"/>
              <w:spacing w:line="360" w:lineRule="auto"/>
              <w:ind w:right="-74" w:rightChars="0" w:firstLine="0" w:firstLineChars="0"/>
              <w:jc w:val="both"/>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color w:val="auto"/>
                <w:highlight w:val="none"/>
              </w:rPr>
              <w:t>本项目按《国家统计局关于执行国民经济行业分类第1号修改单的通知（国统字</w:t>
            </w:r>
            <w:r>
              <w:rPr>
                <w:rFonts w:hint="eastAsia" w:ascii="宋体" w:hAnsi="宋体" w:eastAsia="宋体" w:cs="宋体"/>
                <w:b w:val="0"/>
                <w:bCs/>
                <w:color w:val="auto"/>
                <w:highlight w:val="none"/>
                <w:lang w:eastAsia="zh-CN"/>
              </w:rPr>
              <w:t>〔</w:t>
            </w:r>
            <w:r>
              <w:rPr>
                <w:rFonts w:hint="eastAsia" w:ascii="宋体" w:hAnsi="宋体" w:eastAsia="宋体" w:cs="宋体"/>
                <w:b w:val="0"/>
                <w:bCs/>
                <w:color w:val="auto"/>
                <w:highlight w:val="none"/>
              </w:rPr>
              <w:t>2019</w:t>
            </w:r>
            <w:r>
              <w:rPr>
                <w:rFonts w:hint="eastAsia" w:ascii="宋体" w:hAnsi="宋体" w:eastAsia="宋体" w:cs="宋体"/>
                <w:b w:val="0"/>
                <w:bCs/>
                <w:color w:val="auto"/>
                <w:highlight w:val="none"/>
                <w:lang w:eastAsia="zh-CN"/>
              </w:rPr>
              <w:t>〕</w:t>
            </w:r>
            <w:r>
              <w:rPr>
                <w:rFonts w:hint="eastAsia" w:ascii="宋体" w:hAnsi="宋体" w:eastAsia="宋体" w:cs="宋体"/>
                <w:b w:val="0"/>
                <w:bCs/>
                <w:color w:val="auto"/>
                <w:highlight w:val="none"/>
              </w:rPr>
              <w:t>66号）》行业分类划分为“</w:t>
            </w:r>
            <w:r>
              <w:rPr>
                <w:rFonts w:hint="eastAsia" w:ascii="宋体" w:hAnsi="宋体" w:eastAsia="宋体" w:cs="宋体"/>
                <w:b w:val="0"/>
                <w:bCs/>
                <w:color w:val="auto"/>
                <w:highlight w:val="none"/>
                <w:lang w:eastAsia="zh-CN"/>
              </w:rPr>
              <w:t>E建筑业—4812</w:t>
            </w:r>
            <w:r>
              <w:rPr>
                <w:rFonts w:hint="eastAsia" w:ascii="宋体" w:hAnsi="宋体" w:eastAsia="宋体" w:cs="宋体"/>
                <w:b w:val="0"/>
                <w:bCs/>
                <w:color w:val="auto"/>
                <w:highlight w:val="none"/>
                <w:lang w:val="en-US" w:eastAsia="zh-CN"/>
              </w:rPr>
              <w:t xml:space="preserve">  公路工程建筑</w:t>
            </w:r>
            <w:r>
              <w:rPr>
                <w:rFonts w:hint="eastAsia" w:ascii="宋体" w:hAnsi="宋体" w:eastAsia="宋体" w:cs="宋体"/>
                <w:b w:val="0"/>
                <w:bCs/>
                <w:color w:val="auto"/>
                <w:highlight w:val="none"/>
              </w:rPr>
              <w:t>”，置换归属《中小企业划型标准规定的通知（工信部联企业</w:t>
            </w:r>
            <w:r>
              <w:rPr>
                <w:rFonts w:hint="eastAsia" w:ascii="宋体" w:hAnsi="宋体" w:eastAsia="宋体" w:cs="宋体"/>
                <w:b w:val="0"/>
                <w:bCs/>
                <w:color w:val="auto"/>
                <w:highlight w:val="none"/>
                <w:lang w:eastAsia="zh-CN"/>
              </w:rPr>
              <w:t>〔</w:t>
            </w:r>
            <w:r>
              <w:rPr>
                <w:rFonts w:hint="eastAsia" w:ascii="宋体" w:hAnsi="宋体" w:eastAsia="宋体" w:cs="宋体"/>
                <w:b w:val="0"/>
                <w:bCs/>
                <w:color w:val="auto"/>
                <w:highlight w:val="none"/>
              </w:rPr>
              <w:t>2011</w:t>
            </w:r>
            <w:r>
              <w:rPr>
                <w:rFonts w:hint="eastAsia" w:ascii="宋体" w:hAnsi="宋体" w:eastAsia="宋体" w:cs="宋体"/>
                <w:b w:val="0"/>
                <w:bCs/>
                <w:color w:val="auto"/>
                <w:highlight w:val="none"/>
                <w:lang w:eastAsia="zh-CN"/>
              </w:rPr>
              <w:t>〕</w:t>
            </w:r>
            <w:r>
              <w:rPr>
                <w:rFonts w:hint="eastAsia" w:ascii="宋体" w:hAnsi="宋体" w:eastAsia="宋体" w:cs="宋体"/>
                <w:b w:val="0"/>
                <w:bCs/>
                <w:color w:val="auto"/>
                <w:highlight w:val="none"/>
              </w:rPr>
              <w:t>300号）》划定的“（三）建筑业”类别。</w:t>
            </w:r>
          </w:p>
        </w:tc>
      </w:tr>
      <w:tr w14:paraId="091A9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shd w:val="clear" w:color="auto" w:fill="FEFEFE"/>
            <w:tcMar>
              <w:top w:w="0" w:type="dxa"/>
              <w:left w:w="57" w:type="dxa"/>
              <w:bottom w:w="0" w:type="dxa"/>
              <w:right w:w="57" w:type="dxa"/>
            </w:tcMar>
            <w:vAlign w:val="center"/>
          </w:tcPr>
          <w:p w14:paraId="1C84AD85">
            <w:pPr>
              <w:pageBreakBefore w:val="0"/>
              <w:tabs>
                <w:tab w:val="left" w:pos="1680"/>
              </w:tabs>
              <w:overflowPunct/>
              <w:topLinePunct w:val="0"/>
              <w:bidi w:val="0"/>
              <w:spacing w:line="360" w:lineRule="auto"/>
              <w:ind w:right="-192"/>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1965" w:type="dxa"/>
            <w:shd w:val="clear" w:color="auto" w:fill="FEFEFE"/>
            <w:tcMar>
              <w:top w:w="0" w:type="dxa"/>
              <w:left w:w="57" w:type="dxa"/>
              <w:bottom w:w="0" w:type="dxa"/>
              <w:right w:w="57" w:type="dxa"/>
            </w:tcMar>
            <w:vAlign w:val="center"/>
          </w:tcPr>
          <w:p w14:paraId="4A40DB59">
            <w:pPr>
              <w:pageBreakBefore w:val="0"/>
              <w:tabs>
                <w:tab w:val="left" w:pos="1680"/>
              </w:tabs>
              <w:overflowPunct/>
              <w:topLinePunct w:val="0"/>
              <w:bidi w:val="0"/>
              <w:spacing w:line="360" w:lineRule="auto"/>
              <w:ind w:right="-192"/>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资金来源</w:t>
            </w:r>
          </w:p>
        </w:tc>
        <w:tc>
          <w:tcPr>
            <w:tcW w:w="7068" w:type="dxa"/>
            <w:shd w:val="clear" w:color="auto" w:fill="FEFEFE"/>
            <w:vAlign w:val="center"/>
          </w:tcPr>
          <w:p w14:paraId="797254A5">
            <w:pPr>
              <w:pageBreakBefore w:val="0"/>
              <w:tabs>
                <w:tab w:val="left" w:pos="1680"/>
              </w:tabs>
              <w:overflowPunct/>
              <w:topLinePunct w:val="0"/>
              <w:bidi w:val="0"/>
              <w:spacing w:line="360" w:lineRule="auto"/>
              <w:ind w:right="-74" w:rightChars="0" w:firstLine="0" w:firstLineChars="0"/>
              <w:jc w:val="both"/>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财政资金</w:t>
            </w:r>
          </w:p>
        </w:tc>
      </w:tr>
      <w:tr w14:paraId="25B29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shd w:val="clear" w:color="auto" w:fill="FEFEFE"/>
            <w:tcMar>
              <w:top w:w="0" w:type="dxa"/>
              <w:left w:w="57" w:type="dxa"/>
              <w:bottom w:w="0" w:type="dxa"/>
              <w:right w:w="57" w:type="dxa"/>
            </w:tcMar>
            <w:vAlign w:val="center"/>
          </w:tcPr>
          <w:p w14:paraId="5A0F221D">
            <w:pPr>
              <w:pageBreakBefore w:val="0"/>
              <w:tabs>
                <w:tab w:val="left" w:pos="1680"/>
              </w:tabs>
              <w:overflowPunct/>
              <w:topLinePunct w:val="0"/>
              <w:bidi w:val="0"/>
              <w:spacing w:line="360" w:lineRule="auto"/>
              <w:ind w:right="-192"/>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1965" w:type="dxa"/>
            <w:shd w:val="clear" w:color="auto" w:fill="FEFEFE"/>
            <w:tcMar>
              <w:top w:w="0" w:type="dxa"/>
              <w:left w:w="57" w:type="dxa"/>
              <w:bottom w:w="0" w:type="dxa"/>
              <w:right w:w="57" w:type="dxa"/>
            </w:tcMar>
            <w:vAlign w:val="center"/>
          </w:tcPr>
          <w:p w14:paraId="10EA36D6">
            <w:pPr>
              <w:pageBreakBefore w:val="0"/>
              <w:tabs>
                <w:tab w:val="left" w:pos="1680"/>
              </w:tabs>
              <w:overflowPunct/>
              <w:topLinePunct w:val="0"/>
              <w:bidi w:val="0"/>
              <w:spacing w:line="360" w:lineRule="auto"/>
              <w:ind w:right="-192"/>
              <w:jc w:val="center"/>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rPr>
              <w:t>工期要求</w:t>
            </w:r>
          </w:p>
        </w:tc>
        <w:tc>
          <w:tcPr>
            <w:tcW w:w="7068" w:type="dxa"/>
            <w:shd w:val="clear" w:color="auto" w:fill="FEFEFE"/>
            <w:tcMar>
              <w:top w:w="0" w:type="dxa"/>
              <w:left w:w="57" w:type="dxa"/>
              <w:bottom w:w="0" w:type="dxa"/>
              <w:right w:w="57" w:type="dxa"/>
            </w:tcMar>
            <w:vAlign w:val="center"/>
          </w:tcPr>
          <w:p w14:paraId="34153637">
            <w:pPr>
              <w:pageBreakBefore w:val="0"/>
              <w:tabs>
                <w:tab w:val="left" w:pos="1680"/>
              </w:tabs>
              <w:overflowPunct/>
              <w:topLinePunct w:val="0"/>
              <w:bidi w:val="0"/>
              <w:spacing w:line="360" w:lineRule="auto"/>
              <w:ind w:right="-192" w:firstLine="0" w:firstLineChars="0"/>
              <w:jc w:val="both"/>
              <w:rPr>
                <w:rFonts w:hint="eastAsia" w:ascii="宋体" w:hAnsi="宋体" w:eastAsia="宋体" w:cs="宋体"/>
                <w:b/>
                <w:bCs/>
                <w:color w:val="auto"/>
                <w:sz w:val="21"/>
                <w:szCs w:val="21"/>
                <w:highlight w:val="none"/>
                <w:lang w:eastAsia="zh-CN"/>
              </w:rPr>
            </w:pPr>
            <w:r>
              <w:rPr>
                <w:rFonts w:hint="eastAsia" w:ascii="宋体" w:hAnsi="宋体" w:cs="宋体"/>
                <w:color w:val="auto"/>
                <w:sz w:val="21"/>
                <w:szCs w:val="21"/>
                <w:highlight w:val="none"/>
                <w:lang w:val="en-US" w:eastAsia="zh-CN"/>
              </w:rPr>
              <w:t>100</w:t>
            </w:r>
            <w:r>
              <w:rPr>
                <w:rFonts w:hint="eastAsia" w:ascii="宋体" w:hAnsi="宋体" w:eastAsia="宋体" w:cs="宋体"/>
                <w:color w:val="auto"/>
                <w:sz w:val="21"/>
                <w:szCs w:val="21"/>
                <w:highlight w:val="none"/>
                <w:lang w:eastAsia="zh-CN"/>
              </w:rPr>
              <w:t>日历天。</w:t>
            </w:r>
          </w:p>
        </w:tc>
      </w:tr>
      <w:tr w14:paraId="01BAF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vMerge w:val="restart"/>
            <w:shd w:val="clear" w:color="auto" w:fill="FEFEFE"/>
            <w:tcMar>
              <w:top w:w="0" w:type="dxa"/>
              <w:left w:w="57" w:type="dxa"/>
              <w:bottom w:w="0" w:type="dxa"/>
              <w:right w:w="57" w:type="dxa"/>
            </w:tcMar>
            <w:vAlign w:val="center"/>
          </w:tcPr>
          <w:p w14:paraId="0FFE9D55">
            <w:pPr>
              <w:pageBreakBefore w:val="0"/>
              <w:tabs>
                <w:tab w:val="left" w:pos="1680"/>
              </w:tabs>
              <w:overflowPunct/>
              <w:topLinePunct w:val="0"/>
              <w:bidi w:val="0"/>
              <w:spacing w:line="360" w:lineRule="auto"/>
              <w:ind w:right="-192"/>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1965" w:type="dxa"/>
            <w:shd w:val="clear" w:color="auto" w:fill="FEFEFE"/>
            <w:tcMar>
              <w:top w:w="0" w:type="dxa"/>
              <w:left w:w="57" w:type="dxa"/>
              <w:bottom w:w="0" w:type="dxa"/>
              <w:right w:w="57" w:type="dxa"/>
            </w:tcMar>
            <w:vAlign w:val="center"/>
          </w:tcPr>
          <w:p w14:paraId="41753A49">
            <w:pPr>
              <w:pageBreakBefore w:val="0"/>
              <w:tabs>
                <w:tab w:val="left" w:pos="1680"/>
              </w:tabs>
              <w:overflowPunct/>
              <w:topLinePunct w:val="0"/>
              <w:bidi w:val="0"/>
              <w:spacing w:line="360" w:lineRule="auto"/>
              <w:ind w:right="-192"/>
              <w:jc w:val="center"/>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rPr>
              <w:t>质量要求</w:t>
            </w:r>
          </w:p>
        </w:tc>
        <w:tc>
          <w:tcPr>
            <w:tcW w:w="7068" w:type="dxa"/>
            <w:shd w:val="clear" w:color="auto" w:fill="FEFEFE"/>
            <w:tcMar>
              <w:top w:w="0" w:type="dxa"/>
              <w:left w:w="57" w:type="dxa"/>
              <w:bottom w:w="0" w:type="dxa"/>
              <w:right w:w="57" w:type="dxa"/>
            </w:tcMar>
            <w:vAlign w:val="center"/>
          </w:tcPr>
          <w:p w14:paraId="30FFF4CE">
            <w:pPr>
              <w:pageBreakBefore w:val="0"/>
              <w:tabs>
                <w:tab w:val="left" w:pos="1680"/>
              </w:tabs>
              <w:overflowPunct/>
              <w:topLinePunct w:val="0"/>
              <w:bidi w:val="0"/>
              <w:spacing w:line="360" w:lineRule="auto"/>
              <w:ind w:right="-192" w:firstLine="0" w:firstLineChars="0"/>
              <w:jc w:val="both"/>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达到现行国家竣工验收规范合格标准。</w:t>
            </w:r>
          </w:p>
        </w:tc>
      </w:tr>
      <w:tr w14:paraId="2A53C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vMerge w:val="continue"/>
            <w:shd w:val="clear" w:color="auto" w:fill="FEFEFE"/>
            <w:tcMar>
              <w:top w:w="0" w:type="dxa"/>
              <w:left w:w="57" w:type="dxa"/>
              <w:bottom w:w="0" w:type="dxa"/>
              <w:right w:w="57" w:type="dxa"/>
            </w:tcMar>
            <w:vAlign w:val="center"/>
          </w:tcPr>
          <w:p w14:paraId="47B85601">
            <w:pPr>
              <w:pageBreakBefore w:val="0"/>
              <w:tabs>
                <w:tab w:val="left" w:pos="1680"/>
              </w:tabs>
              <w:overflowPunct/>
              <w:topLinePunct w:val="0"/>
              <w:bidi w:val="0"/>
              <w:spacing w:line="360" w:lineRule="auto"/>
              <w:ind w:right="-192"/>
              <w:jc w:val="center"/>
              <w:rPr>
                <w:rFonts w:hint="eastAsia" w:ascii="宋体" w:hAnsi="宋体" w:eastAsia="宋体" w:cs="宋体"/>
                <w:color w:val="auto"/>
                <w:sz w:val="21"/>
                <w:szCs w:val="21"/>
                <w:highlight w:val="none"/>
                <w:lang w:val="en-US" w:eastAsia="zh-CN"/>
              </w:rPr>
            </w:pPr>
          </w:p>
        </w:tc>
        <w:tc>
          <w:tcPr>
            <w:tcW w:w="1965" w:type="dxa"/>
            <w:shd w:val="clear" w:color="auto" w:fill="FEFEFE"/>
            <w:tcMar>
              <w:top w:w="0" w:type="dxa"/>
              <w:left w:w="57" w:type="dxa"/>
              <w:bottom w:w="0" w:type="dxa"/>
              <w:right w:w="57" w:type="dxa"/>
            </w:tcMar>
            <w:vAlign w:val="center"/>
          </w:tcPr>
          <w:p w14:paraId="1FCC182D">
            <w:pPr>
              <w:pageBreakBefore w:val="0"/>
              <w:tabs>
                <w:tab w:val="left" w:pos="1680"/>
              </w:tabs>
              <w:overflowPunct/>
              <w:topLinePunct w:val="0"/>
              <w:bidi w:val="0"/>
              <w:spacing w:line="360" w:lineRule="auto"/>
              <w:ind w:right="-192"/>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分包要求</w:t>
            </w:r>
          </w:p>
        </w:tc>
        <w:tc>
          <w:tcPr>
            <w:tcW w:w="7068" w:type="dxa"/>
            <w:shd w:val="clear" w:color="auto" w:fill="FEFEFE"/>
            <w:tcMar>
              <w:top w:w="0" w:type="dxa"/>
              <w:left w:w="57" w:type="dxa"/>
              <w:bottom w:w="0" w:type="dxa"/>
              <w:right w:w="57" w:type="dxa"/>
            </w:tcMar>
            <w:vAlign w:val="center"/>
          </w:tcPr>
          <w:p w14:paraId="29A452E0">
            <w:pPr>
              <w:pageBreakBefore w:val="0"/>
              <w:tabs>
                <w:tab w:val="left" w:pos="1680"/>
              </w:tabs>
              <w:overflowPunct/>
              <w:topLinePunct w:val="0"/>
              <w:bidi w:val="0"/>
              <w:spacing w:line="360" w:lineRule="auto"/>
              <w:ind w:right="-192" w:firstLine="0" w:firstLineChars="0"/>
              <w:jc w:val="both"/>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本项目不允许分包</w:t>
            </w:r>
          </w:p>
        </w:tc>
      </w:tr>
      <w:tr w14:paraId="1EDF0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shd w:val="clear" w:color="auto" w:fill="FEFEFE"/>
            <w:tcMar>
              <w:top w:w="0" w:type="dxa"/>
              <w:left w:w="57" w:type="dxa"/>
              <w:bottom w:w="0" w:type="dxa"/>
              <w:right w:w="57" w:type="dxa"/>
            </w:tcMar>
            <w:vAlign w:val="center"/>
          </w:tcPr>
          <w:p w14:paraId="1CA9AF38">
            <w:pPr>
              <w:pageBreakBefore w:val="0"/>
              <w:overflowPunct/>
              <w:topLinePunct w:val="0"/>
              <w:bidi w:val="0"/>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p>
        </w:tc>
        <w:tc>
          <w:tcPr>
            <w:tcW w:w="1965" w:type="dxa"/>
            <w:shd w:val="clear" w:color="auto" w:fill="FEFEFE"/>
            <w:tcMar>
              <w:top w:w="0" w:type="dxa"/>
              <w:left w:w="57" w:type="dxa"/>
              <w:bottom w:w="0" w:type="dxa"/>
              <w:right w:w="57" w:type="dxa"/>
            </w:tcMar>
            <w:vAlign w:val="center"/>
          </w:tcPr>
          <w:p w14:paraId="226CC879">
            <w:pPr>
              <w:pageBreakBefore w:val="0"/>
              <w:overflowPunct/>
              <w:topLinePunct w:val="0"/>
              <w:bidi w:val="0"/>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磋商供应商</w:t>
            </w:r>
            <w:r>
              <w:rPr>
                <w:rFonts w:hint="eastAsia" w:ascii="宋体" w:hAnsi="宋体" w:eastAsia="宋体" w:cs="宋体"/>
                <w:b/>
                <w:bCs/>
                <w:color w:val="auto"/>
                <w:sz w:val="21"/>
                <w:szCs w:val="21"/>
                <w:highlight w:val="none"/>
              </w:rPr>
              <w:t>资格要求</w:t>
            </w:r>
          </w:p>
          <w:p w14:paraId="357CFCC0">
            <w:pPr>
              <w:pageBreakBefore w:val="0"/>
              <w:overflowPunct/>
              <w:topLinePunct w:val="0"/>
              <w:bidi w:val="0"/>
              <w:spacing w:line="360" w:lineRule="auto"/>
              <w:jc w:val="center"/>
              <w:rPr>
                <w:rFonts w:hint="eastAsia" w:ascii="宋体" w:hAnsi="宋体" w:eastAsia="宋体" w:cs="宋体"/>
                <w:color w:val="auto"/>
                <w:sz w:val="21"/>
                <w:szCs w:val="21"/>
                <w:highlight w:val="none"/>
              </w:rPr>
            </w:pPr>
          </w:p>
        </w:tc>
        <w:tc>
          <w:tcPr>
            <w:tcW w:w="7068" w:type="dxa"/>
            <w:shd w:val="clear" w:color="auto" w:fill="FEFEFE"/>
            <w:tcMar>
              <w:top w:w="0" w:type="dxa"/>
              <w:left w:w="57" w:type="dxa"/>
              <w:bottom w:w="0" w:type="dxa"/>
              <w:right w:w="57" w:type="dxa"/>
            </w:tcMar>
            <w:vAlign w:val="center"/>
          </w:tcPr>
          <w:p w14:paraId="142B9602">
            <w:pPr>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1.满足《中华人民共和国政府采购法》第二十二条规定；</w:t>
            </w:r>
          </w:p>
          <w:p w14:paraId="0D116FC1">
            <w:pPr>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2.落实政府采购政策需满足的资格要求：</w:t>
            </w:r>
          </w:p>
          <w:p w14:paraId="1CC75CC5">
            <w:pPr>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☑专门面向中小企业采购的项目（供应商应为中小微企业、监狱企业、残疾人福利性单位)</w:t>
            </w:r>
          </w:p>
          <w:p w14:paraId="628AAB0A">
            <w:pPr>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□非专门面向中小企业采购的项目；</w:t>
            </w:r>
          </w:p>
          <w:p w14:paraId="548B3A99">
            <w:pPr>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3.本项目的特定资格要求：</w:t>
            </w:r>
          </w:p>
          <w:p w14:paraId="6DD9FED4">
            <w:pPr>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(1)具备</w:t>
            </w:r>
            <w:r>
              <w:rPr>
                <w:rFonts w:hint="eastAsia" w:ascii="宋体" w:hAnsi="宋体" w:cs="宋体"/>
                <w:color w:val="auto"/>
                <w:sz w:val="21"/>
                <w:szCs w:val="21"/>
                <w:highlight w:val="none"/>
                <w:lang w:val="en-US" w:eastAsia="zh-CN"/>
              </w:rPr>
              <w:t>市政公用工程施工总承包三级(含)以上资质及有效的安全生产许可证</w:t>
            </w:r>
            <w:r>
              <w:rPr>
                <w:rFonts w:hint="eastAsia" w:ascii="宋体" w:hAnsi="宋体" w:eastAsia="宋体" w:cs="宋体"/>
                <w:color w:val="auto"/>
                <w:sz w:val="21"/>
                <w:szCs w:val="21"/>
                <w:highlight w:val="none"/>
                <w:lang w:val="en-US" w:eastAsia="zh-CN"/>
              </w:rPr>
              <w:t>；</w:t>
            </w:r>
          </w:p>
          <w:p w14:paraId="4A44E746">
            <w:pPr>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(2)拟投入的项目经理须具备</w:t>
            </w:r>
            <w:r>
              <w:rPr>
                <w:rFonts w:hint="eastAsia" w:ascii="宋体" w:hAnsi="宋体" w:cs="宋体"/>
                <w:color w:val="auto"/>
                <w:sz w:val="21"/>
                <w:szCs w:val="21"/>
                <w:highlight w:val="none"/>
                <w:lang w:val="en-US" w:eastAsia="zh-CN"/>
              </w:rPr>
              <w:t>市政公用工程专业二级</w:t>
            </w:r>
            <w:r>
              <w:rPr>
                <w:rFonts w:hint="eastAsia" w:ascii="宋体" w:hAnsi="宋体" w:eastAsia="宋体" w:cs="宋体"/>
                <w:color w:val="auto"/>
                <w:sz w:val="21"/>
                <w:szCs w:val="21"/>
                <w:highlight w:val="none"/>
                <w:lang w:val="en-US" w:eastAsia="zh-CN"/>
              </w:rPr>
              <w:t>（含）以上注册建造师资格，持有有效的B类安全生产考核合格证；</w:t>
            </w:r>
          </w:p>
          <w:p w14:paraId="3F312130">
            <w:pPr>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(3)拟派往本项目的专职安全员须具备有效的安全生产考核合格证书（C类），人数不少于1人</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 xml:space="preserve"> </w:t>
            </w:r>
          </w:p>
          <w:p w14:paraId="1B2AEC92">
            <w:pPr>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(4)拟派驻本项目的技术负责人须具</w:t>
            </w:r>
            <w:r>
              <w:rPr>
                <w:rFonts w:hint="eastAsia" w:ascii="宋体" w:hAnsi="宋体" w:eastAsia="宋体" w:cs="宋体"/>
                <w:b w:val="0"/>
                <w:bCs w:val="0"/>
                <w:i w:val="0"/>
                <w:iCs w:val="0"/>
                <w:caps w:val="0"/>
                <w:color w:val="auto"/>
                <w:spacing w:val="0"/>
                <w:sz w:val="21"/>
                <w:szCs w:val="21"/>
                <w:highlight w:val="none"/>
                <w:shd w:val="clear"/>
              </w:rPr>
              <w:t>备</w:t>
            </w:r>
            <w:r>
              <w:rPr>
                <w:rFonts w:hint="eastAsia" w:ascii="宋体" w:hAnsi="宋体" w:eastAsia="宋体" w:cs="宋体"/>
                <w:color w:val="auto"/>
                <w:kern w:val="0"/>
                <w:sz w:val="21"/>
                <w:szCs w:val="21"/>
                <w:highlight w:val="none"/>
                <w:lang w:val="en-US" w:eastAsia="zh-CN" w:bidi="ar-SA"/>
              </w:rPr>
              <w:t>中级</w:t>
            </w:r>
            <w:r>
              <w:rPr>
                <w:rFonts w:hint="eastAsia" w:ascii="宋体" w:hAnsi="宋体" w:cs="宋体"/>
                <w:color w:val="auto"/>
                <w:kern w:val="0"/>
                <w:sz w:val="21"/>
                <w:szCs w:val="21"/>
                <w:highlight w:val="none"/>
                <w:lang w:val="en-US" w:eastAsia="zh-CN" w:bidi="ar-SA"/>
              </w:rPr>
              <w:t>及</w:t>
            </w:r>
            <w:r>
              <w:rPr>
                <w:rFonts w:hint="eastAsia" w:ascii="宋体" w:hAnsi="宋体" w:eastAsia="宋体" w:cs="宋体"/>
                <w:color w:val="auto"/>
                <w:kern w:val="0"/>
                <w:sz w:val="21"/>
                <w:szCs w:val="21"/>
                <w:highlight w:val="none"/>
                <w:lang w:val="en-US" w:eastAsia="zh-CN" w:bidi="ar-SA"/>
              </w:rPr>
              <w:t>以上技术职称</w:t>
            </w:r>
            <w:r>
              <w:rPr>
                <w:rFonts w:hint="eastAsia" w:ascii="宋体" w:hAnsi="宋体" w:cs="宋体"/>
                <w:color w:val="auto"/>
                <w:kern w:val="0"/>
                <w:sz w:val="21"/>
                <w:szCs w:val="21"/>
                <w:highlight w:val="none"/>
                <w:lang w:val="en-US" w:eastAsia="zh-CN" w:bidi="ar-SA"/>
              </w:rPr>
              <w:t>；</w:t>
            </w:r>
          </w:p>
          <w:p w14:paraId="569B83EF">
            <w:pPr>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(5)施工员、质量员、材料员应具有相应岗位资格证书。</w:t>
            </w:r>
          </w:p>
          <w:p w14:paraId="19B28E21">
            <w:pPr>
              <w:pageBreakBefore w:val="0"/>
              <w:widowControl/>
              <w:kinsoku/>
              <w:wordWrap/>
              <w:overflowPunct/>
              <w:topLinePunct w:val="0"/>
              <w:autoSpaceDE/>
              <w:autoSpaceDN/>
              <w:bidi w:val="0"/>
              <w:snapToGrid/>
              <w:spacing w:line="360" w:lineRule="auto"/>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4.本项目不接受有在建、已中标未开工或已列为其他项目中标候选人第一名的建造师作为项目经理。</w:t>
            </w:r>
          </w:p>
          <w:p w14:paraId="0374FFF3">
            <w:pPr>
              <w:pageBreakBefore w:val="0"/>
              <w:widowControl/>
              <w:kinsoku/>
              <w:wordWrap/>
              <w:overflowPunct/>
              <w:topLinePunct w:val="0"/>
              <w:autoSpaceDE/>
              <w:autoSpaceDN/>
              <w:bidi w:val="0"/>
              <w:snapToGrid/>
              <w:spacing w:line="360" w:lineRule="auto"/>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5.本项目不接受联合体磋商。</w:t>
            </w:r>
          </w:p>
        </w:tc>
      </w:tr>
      <w:tr w14:paraId="0B6B3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6" w:type="dxa"/>
            <w:shd w:val="clear" w:color="auto" w:fill="FEFEFE"/>
            <w:tcMar>
              <w:top w:w="0" w:type="dxa"/>
              <w:left w:w="57" w:type="dxa"/>
              <w:bottom w:w="0" w:type="dxa"/>
              <w:right w:w="57" w:type="dxa"/>
            </w:tcMar>
            <w:vAlign w:val="center"/>
          </w:tcPr>
          <w:p w14:paraId="734A70AE">
            <w:pPr>
              <w:pageBreakBefore w:val="0"/>
              <w:overflowPunct/>
              <w:topLinePunct w:val="0"/>
              <w:bidi w:val="0"/>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7</w:t>
            </w:r>
          </w:p>
        </w:tc>
        <w:tc>
          <w:tcPr>
            <w:tcW w:w="1965" w:type="dxa"/>
            <w:shd w:val="clear" w:color="auto" w:fill="FEFEFE"/>
            <w:tcMar>
              <w:top w:w="0" w:type="dxa"/>
              <w:left w:w="57" w:type="dxa"/>
              <w:bottom w:w="0" w:type="dxa"/>
              <w:right w:w="57" w:type="dxa"/>
            </w:tcMar>
            <w:vAlign w:val="center"/>
          </w:tcPr>
          <w:p w14:paraId="4FCA62A0">
            <w:pPr>
              <w:pageBreakBefore w:val="0"/>
              <w:overflowPunct/>
              <w:topLinePunct w:val="0"/>
              <w:bidi w:val="0"/>
              <w:spacing w:line="360" w:lineRule="auto"/>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计税方式</w:t>
            </w:r>
          </w:p>
        </w:tc>
        <w:tc>
          <w:tcPr>
            <w:tcW w:w="7068" w:type="dxa"/>
            <w:shd w:val="clear" w:color="auto" w:fill="FEFEFE"/>
            <w:tcMar>
              <w:top w:w="0" w:type="dxa"/>
              <w:left w:w="57" w:type="dxa"/>
              <w:bottom w:w="0" w:type="dxa"/>
              <w:right w:w="57" w:type="dxa"/>
            </w:tcMar>
            <w:vAlign w:val="center"/>
          </w:tcPr>
          <w:p w14:paraId="4870E47D">
            <w:pPr>
              <w:pageBreakBefore w:val="0"/>
              <w:overflowPunct/>
              <w:topLinePunct w:val="0"/>
              <w:bidi w:val="0"/>
              <w:spacing w:line="360" w:lineRule="auto"/>
              <w:ind w:firstLine="0" w:firstLineChars="0"/>
              <w:rPr>
                <w:rFonts w:hint="eastAsia"/>
                <w:color w:val="auto"/>
                <w:highlight w:val="none"/>
              </w:rPr>
            </w:pPr>
            <w:r>
              <w:rPr>
                <w:rFonts w:hint="eastAsia" w:ascii="宋体" w:hAnsi="宋体" w:cs="宋体"/>
                <w:color w:val="auto"/>
                <w:kern w:val="2"/>
                <w:sz w:val="21"/>
                <w:szCs w:val="21"/>
                <w:highlight w:val="none"/>
                <w:lang w:val="en-US" w:eastAsia="zh-CN" w:bidi="ar-SA"/>
              </w:rPr>
              <w:t>一般</w:t>
            </w:r>
            <w:r>
              <w:rPr>
                <w:rFonts w:hint="eastAsia" w:ascii="宋体" w:hAnsi="宋体" w:eastAsia="宋体" w:cs="宋体"/>
                <w:color w:val="auto"/>
                <w:kern w:val="2"/>
                <w:sz w:val="21"/>
                <w:szCs w:val="21"/>
                <w:highlight w:val="none"/>
                <w:lang w:val="en-US" w:eastAsia="zh-CN" w:bidi="ar-SA"/>
              </w:rPr>
              <w:t>计税法。</w:t>
            </w:r>
          </w:p>
        </w:tc>
      </w:tr>
      <w:tr w14:paraId="764B2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shd w:val="clear" w:color="auto" w:fill="FEFEFE"/>
            <w:tcMar>
              <w:top w:w="0" w:type="dxa"/>
              <w:left w:w="57" w:type="dxa"/>
              <w:bottom w:w="0" w:type="dxa"/>
              <w:right w:w="57" w:type="dxa"/>
            </w:tcMar>
            <w:vAlign w:val="center"/>
          </w:tcPr>
          <w:p w14:paraId="169F1840">
            <w:pPr>
              <w:pageBreakBefore w:val="0"/>
              <w:overflowPunct/>
              <w:topLinePunct w:val="0"/>
              <w:bidi w:val="0"/>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8</w:t>
            </w:r>
          </w:p>
        </w:tc>
        <w:tc>
          <w:tcPr>
            <w:tcW w:w="1965" w:type="dxa"/>
            <w:shd w:val="clear" w:color="auto" w:fill="FEFEFE"/>
            <w:tcMar>
              <w:top w:w="0" w:type="dxa"/>
              <w:left w:w="57" w:type="dxa"/>
              <w:bottom w:w="0" w:type="dxa"/>
              <w:right w:w="57" w:type="dxa"/>
            </w:tcMar>
            <w:vAlign w:val="center"/>
          </w:tcPr>
          <w:p w14:paraId="1D5DDD84">
            <w:pPr>
              <w:pageBreakBefore w:val="0"/>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磋商有效期</w:t>
            </w:r>
          </w:p>
        </w:tc>
        <w:tc>
          <w:tcPr>
            <w:tcW w:w="7068" w:type="dxa"/>
            <w:shd w:val="clear" w:color="auto" w:fill="FEFEFE"/>
            <w:tcMar>
              <w:top w:w="0" w:type="dxa"/>
              <w:left w:w="57" w:type="dxa"/>
              <w:bottom w:w="0" w:type="dxa"/>
              <w:right w:w="57" w:type="dxa"/>
            </w:tcMar>
            <w:vAlign w:val="center"/>
          </w:tcPr>
          <w:p w14:paraId="1D03DCF6">
            <w:pPr>
              <w:pageBreakBefore w:val="0"/>
              <w:overflowPunct/>
              <w:topLinePunct w:val="0"/>
              <w:bidi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磋商截止日期后</w:t>
            </w:r>
            <w:r>
              <w:rPr>
                <w:rFonts w:hint="eastAsia" w:ascii="宋体" w:hAnsi="宋体" w:eastAsia="宋体" w:cs="宋体"/>
                <w:color w:val="auto"/>
                <w:sz w:val="21"/>
                <w:szCs w:val="21"/>
                <w:highlight w:val="none"/>
                <w:lang w:eastAsia="zh-CN"/>
              </w:rPr>
              <w:t>90</w:t>
            </w:r>
            <w:r>
              <w:rPr>
                <w:rFonts w:hint="eastAsia" w:ascii="宋体" w:hAnsi="宋体" w:eastAsia="宋体" w:cs="宋体"/>
                <w:color w:val="auto"/>
                <w:sz w:val="21"/>
                <w:szCs w:val="21"/>
                <w:highlight w:val="none"/>
              </w:rPr>
              <w:t>天。</w:t>
            </w:r>
          </w:p>
        </w:tc>
      </w:tr>
      <w:tr w14:paraId="167B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0" w:hRule="atLeast"/>
          <w:jc w:val="center"/>
        </w:trPr>
        <w:tc>
          <w:tcPr>
            <w:tcW w:w="706" w:type="dxa"/>
            <w:shd w:val="clear" w:color="auto" w:fill="FEFEFE"/>
            <w:tcMar>
              <w:top w:w="0" w:type="dxa"/>
              <w:left w:w="57" w:type="dxa"/>
              <w:bottom w:w="0" w:type="dxa"/>
              <w:right w:w="57" w:type="dxa"/>
            </w:tcMar>
            <w:vAlign w:val="center"/>
          </w:tcPr>
          <w:p w14:paraId="1DAEDB3E">
            <w:pPr>
              <w:pageBreakBefore w:val="0"/>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1965" w:type="dxa"/>
            <w:shd w:val="clear" w:color="auto" w:fill="FEFEFE"/>
            <w:tcMar>
              <w:top w:w="0" w:type="dxa"/>
              <w:left w:w="57" w:type="dxa"/>
              <w:bottom w:w="0" w:type="dxa"/>
              <w:right w:w="57" w:type="dxa"/>
            </w:tcMar>
            <w:vAlign w:val="center"/>
          </w:tcPr>
          <w:p w14:paraId="2393A4D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响应文件电子版要求</w:t>
            </w:r>
          </w:p>
        </w:tc>
        <w:tc>
          <w:tcPr>
            <w:tcW w:w="7068" w:type="dxa"/>
            <w:shd w:val="clear" w:color="auto" w:fill="FEFEFE"/>
            <w:tcMar>
              <w:top w:w="0" w:type="dxa"/>
              <w:left w:w="57" w:type="dxa"/>
              <w:bottom w:w="0" w:type="dxa"/>
              <w:right w:w="57" w:type="dxa"/>
            </w:tcMar>
            <w:vAlign w:val="center"/>
          </w:tcPr>
          <w:p w14:paraId="610BF335">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响应文件电子版要求：</w:t>
            </w:r>
            <w:r>
              <w:rPr>
                <w:rFonts w:hint="eastAsia" w:ascii="宋体" w:hAnsi="宋体" w:eastAsia="宋体" w:cs="宋体"/>
                <w:color w:val="auto"/>
                <w:sz w:val="21"/>
                <w:szCs w:val="21"/>
                <w:highlight w:val="none"/>
              </w:rPr>
              <w:t>按照</w:t>
            </w:r>
            <w:r>
              <w:rPr>
                <w:rFonts w:hint="eastAsia" w:ascii="宋体" w:hAnsi="宋体" w:eastAsia="宋体" w:cs="宋体"/>
                <w:color w:val="auto"/>
                <w:sz w:val="21"/>
                <w:szCs w:val="21"/>
                <w:highlight w:val="none"/>
                <w:lang w:val="en-US" w:eastAsia="zh-CN"/>
              </w:rPr>
              <w:t>竞争性磋商</w:t>
            </w:r>
            <w:r>
              <w:rPr>
                <w:rFonts w:hint="eastAsia" w:ascii="宋体" w:hAnsi="宋体" w:eastAsia="宋体" w:cs="宋体"/>
                <w:color w:val="auto"/>
                <w:sz w:val="21"/>
                <w:szCs w:val="21"/>
                <w:highlight w:val="none"/>
              </w:rPr>
              <w:t>文件第</w:t>
            </w:r>
            <w:r>
              <w:rPr>
                <w:rFonts w:hint="eastAsia" w:ascii="宋体" w:hAnsi="宋体" w:eastAsia="宋体" w:cs="宋体"/>
                <w:color w:val="auto"/>
                <w:sz w:val="21"/>
                <w:szCs w:val="21"/>
                <w:highlight w:val="none"/>
                <w:lang w:val="en-US" w:eastAsia="zh-CN"/>
              </w:rPr>
              <w:t>七</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val="en-US" w:eastAsia="zh-CN"/>
              </w:rPr>
              <w:t>响应文件</w:t>
            </w:r>
            <w:r>
              <w:rPr>
                <w:rFonts w:hint="eastAsia" w:ascii="宋体" w:hAnsi="宋体" w:eastAsia="宋体" w:cs="宋体"/>
                <w:color w:val="auto"/>
                <w:sz w:val="21"/>
                <w:szCs w:val="21"/>
                <w:highlight w:val="none"/>
              </w:rPr>
              <w:t>格式</w:t>
            </w:r>
            <w:r>
              <w:rPr>
                <w:rFonts w:hint="eastAsia" w:ascii="宋体" w:hAnsi="宋体" w:eastAsia="宋体" w:cs="宋体"/>
                <w:color w:val="auto"/>
                <w:sz w:val="21"/>
                <w:szCs w:val="21"/>
                <w:highlight w:val="none"/>
                <w:lang w:val="en-US" w:eastAsia="zh-CN"/>
              </w:rPr>
              <w:t>进行编写，按</w:t>
            </w:r>
            <w:r>
              <w:rPr>
                <w:rFonts w:hint="eastAsia" w:ascii="宋体" w:hAnsi="宋体" w:eastAsia="宋体" w:cs="宋体"/>
                <w:color w:val="auto"/>
                <w:sz w:val="21"/>
                <w:szCs w:val="21"/>
                <w:highlight w:val="none"/>
              </w:rPr>
              <w:t>要求在规定位置进行签署、盖章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七</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val="en-US" w:eastAsia="zh-CN"/>
              </w:rPr>
              <w:t>未附格式的，由供应商自行拟定。</w:t>
            </w:r>
          </w:p>
          <w:p w14:paraId="4E6E3685">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响应文件电子版密封方式：电子响应文件通过平台有效 CA 加密后在“广西政府采购云平台”投送。</w:t>
            </w:r>
          </w:p>
        </w:tc>
      </w:tr>
      <w:tr w14:paraId="0EFF3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6" w:type="dxa"/>
            <w:shd w:val="clear" w:color="auto" w:fill="FEFEFE"/>
            <w:tcMar>
              <w:top w:w="0" w:type="dxa"/>
              <w:left w:w="57" w:type="dxa"/>
              <w:bottom w:w="0" w:type="dxa"/>
              <w:right w:w="57" w:type="dxa"/>
            </w:tcMar>
            <w:vAlign w:val="center"/>
          </w:tcPr>
          <w:p w14:paraId="20DBD17D">
            <w:pPr>
              <w:pageBreakBefore w:val="0"/>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1965" w:type="dxa"/>
            <w:shd w:val="clear" w:color="auto" w:fill="FEFEFE"/>
            <w:tcMar>
              <w:top w:w="0" w:type="dxa"/>
              <w:left w:w="57" w:type="dxa"/>
              <w:bottom w:w="0" w:type="dxa"/>
              <w:right w:w="57" w:type="dxa"/>
            </w:tcMar>
            <w:vAlign w:val="center"/>
          </w:tcPr>
          <w:p w14:paraId="4EE383E2">
            <w:pPr>
              <w:pageBreakBefore w:val="0"/>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磋商保证金</w:t>
            </w:r>
          </w:p>
        </w:tc>
        <w:tc>
          <w:tcPr>
            <w:tcW w:w="7068" w:type="dxa"/>
            <w:shd w:val="clear" w:color="auto" w:fill="FEFEFE"/>
            <w:tcMar>
              <w:top w:w="0" w:type="dxa"/>
              <w:left w:w="57" w:type="dxa"/>
              <w:bottom w:w="0" w:type="dxa"/>
              <w:right w:w="57" w:type="dxa"/>
            </w:tcMar>
            <w:vAlign w:val="top"/>
          </w:tcPr>
          <w:p w14:paraId="7DC1AA27">
            <w:pPr>
              <w:pageBreakBefore w:val="0"/>
              <w:kinsoku/>
              <w:wordWrap/>
              <w:overflowPunct/>
              <w:topLinePunct w:val="0"/>
              <w:autoSpaceDE/>
              <w:autoSpaceDN/>
              <w:bidi w:val="0"/>
              <w:snapToGrid/>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磋商保证金（人民币）：本项目无需缴纳磋商保证金。</w:t>
            </w:r>
          </w:p>
        </w:tc>
      </w:tr>
      <w:tr w14:paraId="6A25D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5" w:hRule="atLeast"/>
          <w:jc w:val="center"/>
        </w:trPr>
        <w:tc>
          <w:tcPr>
            <w:tcW w:w="706" w:type="dxa"/>
            <w:vMerge w:val="restart"/>
            <w:shd w:val="clear" w:color="auto" w:fill="FEFEFE"/>
            <w:tcMar>
              <w:top w:w="0" w:type="dxa"/>
              <w:left w:w="57" w:type="dxa"/>
              <w:bottom w:w="0" w:type="dxa"/>
              <w:right w:w="57" w:type="dxa"/>
            </w:tcMar>
            <w:vAlign w:val="center"/>
          </w:tcPr>
          <w:p w14:paraId="2CC97196">
            <w:pPr>
              <w:pageBreakBefore w:val="0"/>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1965" w:type="dxa"/>
            <w:vMerge w:val="restart"/>
            <w:shd w:val="clear" w:color="auto" w:fill="FEFEFE"/>
            <w:tcMar>
              <w:top w:w="0" w:type="dxa"/>
              <w:left w:w="57" w:type="dxa"/>
              <w:bottom w:w="0" w:type="dxa"/>
              <w:right w:w="57" w:type="dxa"/>
            </w:tcMar>
            <w:vAlign w:val="center"/>
          </w:tcPr>
          <w:p w14:paraId="0870599A">
            <w:pPr>
              <w:pageBreakBefore w:val="0"/>
              <w:overflowPunct/>
              <w:topLinePunct w:val="0"/>
              <w:bidi w:val="0"/>
              <w:spacing w:line="360" w:lineRule="auto"/>
              <w:jc w:val="center"/>
              <w:rPr>
                <w:rFonts w:hint="eastAsia" w:ascii="宋体" w:hAnsi="宋体" w:eastAsia="宋体" w:cs="宋体"/>
                <w:b/>
                <w:bCs/>
                <w:color w:val="auto"/>
                <w:sz w:val="21"/>
                <w:szCs w:val="21"/>
                <w:highlight w:val="none"/>
                <w:lang w:val="en-US" w:eastAsia="zh-CN"/>
              </w:rPr>
            </w:pPr>
          </w:p>
          <w:p w14:paraId="07DB59F8">
            <w:pPr>
              <w:pageBreakBefore w:val="0"/>
              <w:overflowPunct/>
              <w:topLinePunct w:val="0"/>
              <w:bidi w:val="0"/>
              <w:spacing w:line="360" w:lineRule="auto"/>
              <w:jc w:val="center"/>
              <w:rPr>
                <w:rFonts w:hint="eastAsia" w:ascii="宋体" w:hAnsi="宋体" w:eastAsia="宋体" w:cs="宋体"/>
                <w:b/>
                <w:bCs/>
                <w:color w:val="auto"/>
                <w:sz w:val="21"/>
                <w:szCs w:val="21"/>
                <w:highlight w:val="none"/>
                <w:lang w:val="en-US" w:eastAsia="zh-CN"/>
              </w:rPr>
            </w:pPr>
          </w:p>
          <w:p w14:paraId="5334DFB1">
            <w:pPr>
              <w:pageBreakBefore w:val="0"/>
              <w:overflowPunct/>
              <w:topLinePunct w:val="0"/>
              <w:bidi w:val="0"/>
              <w:spacing w:line="360" w:lineRule="auto"/>
              <w:jc w:val="center"/>
              <w:rPr>
                <w:rFonts w:hint="eastAsia" w:ascii="宋体" w:hAnsi="宋体" w:eastAsia="宋体" w:cs="宋体"/>
                <w:b/>
                <w:bCs/>
                <w:color w:val="auto"/>
                <w:sz w:val="21"/>
                <w:szCs w:val="21"/>
                <w:highlight w:val="none"/>
                <w:lang w:val="en-US" w:eastAsia="zh-CN"/>
              </w:rPr>
            </w:pPr>
          </w:p>
          <w:p w14:paraId="3BDD0493">
            <w:pPr>
              <w:pageBreakBefore w:val="0"/>
              <w:overflowPunct/>
              <w:topLinePunct w:val="0"/>
              <w:bidi w:val="0"/>
              <w:spacing w:line="360" w:lineRule="auto"/>
              <w:jc w:val="center"/>
              <w:rPr>
                <w:rFonts w:hint="eastAsia" w:ascii="宋体" w:hAnsi="宋体" w:eastAsia="宋体" w:cs="宋体"/>
                <w:b/>
                <w:bCs/>
                <w:color w:val="auto"/>
                <w:sz w:val="21"/>
                <w:szCs w:val="21"/>
                <w:highlight w:val="none"/>
                <w:lang w:val="en-US" w:eastAsia="zh-CN"/>
              </w:rPr>
            </w:pPr>
          </w:p>
          <w:p w14:paraId="7DE7D5E1">
            <w:pPr>
              <w:pageBreakBefore w:val="0"/>
              <w:overflowPunct/>
              <w:topLinePunct w:val="0"/>
              <w:bidi w:val="0"/>
              <w:spacing w:line="360" w:lineRule="auto"/>
              <w:jc w:val="center"/>
              <w:rPr>
                <w:rFonts w:hint="eastAsia" w:ascii="宋体" w:hAnsi="宋体" w:eastAsia="宋体" w:cs="宋体"/>
                <w:b/>
                <w:bCs/>
                <w:color w:val="auto"/>
                <w:sz w:val="21"/>
                <w:szCs w:val="21"/>
                <w:highlight w:val="none"/>
                <w:lang w:val="en-US" w:eastAsia="zh-CN"/>
              </w:rPr>
            </w:pPr>
          </w:p>
          <w:p w14:paraId="74160ADE">
            <w:pPr>
              <w:pageBreakBefore w:val="0"/>
              <w:overflowPunct/>
              <w:topLinePunct w:val="0"/>
              <w:bidi w:val="0"/>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响应文件的构成（分为资格证明文件、报价文件、商务技术文件三部分组成）</w:t>
            </w:r>
          </w:p>
        </w:tc>
        <w:tc>
          <w:tcPr>
            <w:tcW w:w="7068" w:type="dxa"/>
            <w:shd w:val="clear" w:color="auto" w:fill="FEFEFE"/>
            <w:tcMar>
              <w:top w:w="0" w:type="dxa"/>
              <w:left w:w="57" w:type="dxa"/>
              <w:bottom w:w="0" w:type="dxa"/>
              <w:right w:w="57" w:type="dxa"/>
            </w:tcMar>
            <w:vAlign w:val="top"/>
          </w:tcPr>
          <w:p w14:paraId="71441C22">
            <w:pPr>
              <w:pStyle w:val="15"/>
              <w:pageBreakBefore w:val="0"/>
              <w:overflowPunct/>
              <w:topLinePunct w:val="0"/>
              <w:bidi w:val="0"/>
              <w:spacing w:line="360" w:lineRule="auto"/>
              <w:ind w:firstLine="0" w:firstLineChars="0"/>
              <w:rPr>
                <w:rFonts w:hint="eastAsia" w:ascii="宋体" w:hAnsi="宋体" w:eastAsia="宋体" w:cs="宋体"/>
                <w:bCs/>
                <w:color w:val="auto"/>
                <w:sz w:val="21"/>
                <w:szCs w:val="21"/>
                <w:highlight w:val="none"/>
                <w:lang w:val="en-US" w:eastAsia="zh-CN"/>
              </w:rPr>
            </w:pPr>
            <w:r>
              <w:rPr>
                <w:rFonts w:hint="eastAsia" w:hAnsi="宋体" w:cs="宋体"/>
                <w:bCs/>
                <w:color w:val="auto"/>
                <w:sz w:val="21"/>
                <w:szCs w:val="21"/>
                <w:highlight w:val="none"/>
                <w:lang w:val="en-US" w:eastAsia="zh-CN"/>
              </w:rPr>
              <w:t>1.</w:t>
            </w:r>
            <w:r>
              <w:rPr>
                <w:rFonts w:hint="eastAsia" w:ascii="宋体" w:hAnsi="宋体" w:eastAsia="宋体" w:cs="宋体"/>
                <w:bCs/>
                <w:color w:val="auto"/>
                <w:sz w:val="21"/>
                <w:szCs w:val="21"/>
                <w:highlight w:val="none"/>
              </w:rPr>
              <w:t>资格</w:t>
            </w:r>
            <w:r>
              <w:rPr>
                <w:rFonts w:hint="eastAsia" w:ascii="宋体" w:hAnsi="宋体" w:eastAsia="宋体" w:cs="宋体"/>
                <w:bCs/>
                <w:color w:val="auto"/>
                <w:sz w:val="21"/>
                <w:szCs w:val="21"/>
                <w:highlight w:val="none"/>
                <w:lang w:val="en-US" w:eastAsia="zh-CN"/>
              </w:rPr>
              <w:t>证明文件：</w:t>
            </w:r>
          </w:p>
          <w:p w14:paraId="1F652869">
            <w:pPr>
              <w:pageBreakBefore w:val="0"/>
              <w:widowControl w:val="0"/>
              <w:overflowPunct/>
              <w:topLinePunct w:val="0"/>
              <w:bidi w:val="0"/>
              <w:spacing w:line="360" w:lineRule="auto"/>
              <w:ind w:firstLine="0" w:firstLineChars="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（1）竞标人基本情况表；</w:t>
            </w:r>
          </w:p>
          <w:p w14:paraId="7A5D0BEA">
            <w:pPr>
              <w:pStyle w:val="12"/>
              <w:pageBreakBefore w:val="0"/>
              <w:overflowPunct/>
              <w:topLinePunct w:val="0"/>
              <w:bidi w:val="0"/>
              <w:spacing w:line="360" w:lineRule="auto"/>
              <w:ind w:firstLine="0" w:firstLineChars="0"/>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w:t>
            </w:r>
            <w:r>
              <w:rPr>
                <w:rFonts w:hint="eastAsia" w:ascii="宋体" w:hAnsi="宋体" w:eastAsia="宋体" w:cs="宋体"/>
                <w:color w:val="auto"/>
                <w:sz w:val="21"/>
                <w:szCs w:val="21"/>
                <w:highlight w:val="none"/>
                <w:lang w:val="en-US" w:eastAsia="zh-CN"/>
              </w:rPr>
              <w:t>拟投入的项目经理</w:t>
            </w:r>
            <w:r>
              <w:rPr>
                <w:rFonts w:hint="eastAsia" w:ascii="宋体" w:hAnsi="宋体" w:cs="宋体"/>
                <w:color w:val="auto"/>
                <w:sz w:val="21"/>
                <w:szCs w:val="21"/>
                <w:highlight w:val="none"/>
                <w:lang w:val="en-US" w:eastAsia="zh-CN"/>
              </w:rPr>
              <w:t>市政公用工程专业二级</w:t>
            </w:r>
            <w:r>
              <w:rPr>
                <w:rFonts w:hint="eastAsia" w:ascii="宋体" w:hAnsi="宋体" w:eastAsia="宋体" w:cs="宋体"/>
                <w:color w:val="auto"/>
                <w:sz w:val="21"/>
                <w:szCs w:val="21"/>
                <w:highlight w:val="none"/>
                <w:lang w:val="en-US" w:eastAsia="zh-CN"/>
              </w:rPr>
              <w:t>（含）以上注册建造师资格</w:t>
            </w:r>
            <w:r>
              <w:rPr>
                <w:rFonts w:hint="eastAsia" w:ascii="宋体" w:hAnsi="宋体" w:cs="宋体"/>
                <w:color w:val="auto"/>
                <w:sz w:val="21"/>
                <w:szCs w:val="21"/>
                <w:highlight w:val="none"/>
                <w:lang w:val="en-US" w:eastAsia="zh-CN"/>
              </w:rPr>
              <w:t>证书及</w:t>
            </w:r>
            <w:r>
              <w:rPr>
                <w:rFonts w:hint="eastAsia" w:ascii="宋体" w:hAnsi="宋体" w:eastAsia="宋体" w:cs="宋体"/>
                <w:color w:val="auto"/>
                <w:sz w:val="21"/>
                <w:szCs w:val="21"/>
                <w:highlight w:val="none"/>
                <w:lang w:val="en-US" w:eastAsia="zh-CN"/>
              </w:rPr>
              <w:t>有效的B类安全生产考核合格证</w:t>
            </w:r>
            <w:r>
              <w:rPr>
                <w:rFonts w:hint="eastAsia" w:ascii="宋体" w:hAnsi="宋体" w:eastAsia="宋体" w:cs="宋体"/>
                <w:bCs/>
                <w:color w:val="auto"/>
                <w:kern w:val="2"/>
                <w:sz w:val="21"/>
                <w:szCs w:val="21"/>
                <w:highlight w:val="none"/>
                <w:lang w:val="en-US" w:eastAsia="zh-CN" w:bidi="ar-SA"/>
              </w:rPr>
              <w:t>扫描件；</w:t>
            </w:r>
          </w:p>
          <w:p w14:paraId="16422856">
            <w:pPr>
              <w:pageBreakBefore w:val="0"/>
              <w:overflowPunct/>
              <w:topLinePunct w:val="0"/>
              <w:bidi w:val="0"/>
              <w:spacing w:line="360" w:lineRule="auto"/>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kern w:val="2"/>
                <w:sz w:val="21"/>
                <w:szCs w:val="21"/>
                <w:highlight w:val="none"/>
                <w:lang w:val="en-US" w:eastAsia="zh-CN" w:bidi="ar-SA"/>
              </w:rPr>
              <w:t>（3）</w:t>
            </w:r>
            <w:r>
              <w:rPr>
                <w:rFonts w:hint="eastAsia" w:ascii="宋体" w:hAnsi="宋体" w:eastAsia="宋体" w:cs="宋体"/>
                <w:color w:val="auto"/>
                <w:sz w:val="21"/>
                <w:szCs w:val="21"/>
                <w:highlight w:val="none"/>
                <w:lang w:val="en-US" w:eastAsia="zh-CN"/>
              </w:rPr>
              <w:t>拟投入的项目技术负责人专业技术职称证书扫描件；</w:t>
            </w:r>
          </w:p>
          <w:p w14:paraId="0BEEE06E">
            <w:pPr>
              <w:pStyle w:val="12"/>
              <w:pageBreakBefore w:val="0"/>
              <w:overflowPunct/>
              <w:topLinePunct w:val="0"/>
              <w:bidi w:val="0"/>
              <w:spacing w:line="360" w:lineRule="auto"/>
              <w:ind w:firstLine="0" w:firstLineChars="0"/>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（4）拟投入专职安全员安全生产考核合格证书（C类）副本扫描件；</w:t>
            </w:r>
          </w:p>
          <w:p w14:paraId="3159567E">
            <w:pPr>
              <w:pStyle w:val="12"/>
              <w:pageBreakBefore w:val="0"/>
              <w:overflowPunct/>
              <w:topLinePunct w:val="0"/>
              <w:bidi w:val="0"/>
              <w:spacing w:line="360" w:lineRule="auto"/>
              <w:ind w:firstLine="0" w:firstLineChars="0"/>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（5）</w:t>
            </w:r>
            <w:r>
              <w:rPr>
                <w:rFonts w:hint="eastAsia" w:ascii="宋体" w:hAnsi="宋体" w:eastAsia="宋体" w:cs="宋体"/>
                <w:bCs/>
                <w:color w:val="auto"/>
                <w:kern w:val="2"/>
                <w:sz w:val="21"/>
                <w:szCs w:val="21"/>
                <w:highlight w:val="none"/>
                <w:lang w:val="en-US" w:eastAsia="zh-CN" w:bidi="ar-SA"/>
              </w:rPr>
              <w:t>拟投入</w:t>
            </w:r>
            <w:r>
              <w:rPr>
                <w:rFonts w:hint="eastAsia" w:ascii="宋体" w:hAnsi="宋体" w:eastAsia="宋体" w:cs="宋体"/>
                <w:color w:val="auto"/>
                <w:kern w:val="0"/>
                <w:sz w:val="21"/>
                <w:szCs w:val="21"/>
                <w:highlight w:val="none"/>
                <w:lang w:val="en-US" w:eastAsia="zh-CN" w:bidi="ar-SA"/>
              </w:rPr>
              <w:t>施工员、质量员、材料员相应岗位资格证书</w:t>
            </w:r>
            <w:r>
              <w:rPr>
                <w:rFonts w:hint="eastAsia" w:ascii="宋体" w:hAnsi="宋体" w:eastAsia="宋体" w:cs="宋体"/>
                <w:bCs/>
                <w:color w:val="auto"/>
                <w:kern w:val="2"/>
                <w:sz w:val="21"/>
                <w:szCs w:val="21"/>
                <w:highlight w:val="none"/>
                <w:lang w:val="en-US" w:eastAsia="zh-CN" w:bidi="ar-SA"/>
              </w:rPr>
              <w:t>扫描件；</w:t>
            </w:r>
          </w:p>
          <w:p w14:paraId="029CCED1">
            <w:pPr>
              <w:pageBreakBefore w:val="0"/>
              <w:overflowPunct/>
              <w:topLinePunct w:val="0"/>
              <w:bidi w:val="0"/>
              <w:spacing w:line="360" w:lineRule="auto"/>
              <w:ind w:firstLine="0" w:firstLineChars="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r>
              <w:rPr>
                <w:rFonts w:hint="eastAsia" w:ascii="宋体" w:hAnsi="宋体" w:cs="宋体"/>
                <w:color w:val="auto"/>
                <w:highlight w:val="none"/>
                <w:lang w:val="en-US" w:eastAsia="zh-CN"/>
              </w:rPr>
              <w:t>6</w:t>
            </w:r>
            <w:r>
              <w:rPr>
                <w:rFonts w:hint="eastAsia" w:ascii="宋体" w:hAnsi="宋体" w:eastAsia="宋体" w:cs="宋体"/>
                <w:color w:val="auto"/>
                <w:highlight w:val="none"/>
                <w:lang w:val="en-US" w:eastAsia="zh-CN"/>
              </w:rPr>
              <w:t>）贺州市政府采购供应商信用承诺函；</w:t>
            </w:r>
          </w:p>
          <w:p w14:paraId="07796808">
            <w:pPr>
              <w:pStyle w:val="15"/>
              <w:pageBreakBefore w:val="0"/>
              <w:overflowPunct/>
              <w:topLinePunct w:val="0"/>
              <w:bidi w:val="0"/>
              <w:spacing w:line="360" w:lineRule="auto"/>
              <w:ind w:firstLine="0" w:firstLineChars="0"/>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w:t>
            </w:r>
            <w:r>
              <w:rPr>
                <w:rFonts w:hint="eastAsia" w:hAnsi="宋体" w:cs="宋体"/>
                <w:bCs/>
                <w:color w:val="auto"/>
                <w:kern w:val="2"/>
                <w:sz w:val="21"/>
                <w:szCs w:val="21"/>
                <w:highlight w:val="none"/>
                <w:lang w:val="en-US" w:eastAsia="zh-CN" w:bidi="ar-SA"/>
              </w:rPr>
              <w:t>7</w:t>
            </w:r>
            <w:r>
              <w:rPr>
                <w:rFonts w:hint="eastAsia" w:ascii="宋体" w:hAnsi="宋体" w:eastAsia="宋体" w:cs="宋体"/>
                <w:bCs/>
                <w:color w:val="auto"/>
                <w:kern w:val="2"/>
                <w:sz w:val="21"/>
                <w:szCs w:val="21"/>
                <w:highlight w:val="none"/>
                <w:lang w:val="en-US" w:eastAsia="zh-CN" w:bidi="ar-SA"/>
              </w:rPr>
              <w:t>）法定代表人身份证明书及授权委托书（委托代理时必须提供，同时加盖单位电子公章）；</w:t>
            </w:r>
          </w:p>
          <w:p w14:paraId="28AA3538">
            <w:pPr>
              <w:pStyle w:val="15"/>
              <w:pageBreakBefore w:val="0"/>
              <w:overflowPunct/>
              <w:topLinePunct w:val="0"/>
              <w:bidi w:val="0"/>
              <w:spacing w:line="360" w:lineRule="auto"/>
              <w:ind w:firstLine="0" w:firstLineChars="0"/>
              <w:rPr>
                <w:rFonts w:hint="eastAsia" w:ascii="宋体" w:hAnsi="宋体" w:eastAsia="宋体" w:cs="宋体"/>
                <w:color w:val="auto"/>
                <w:highlight w:val="none"/>
                <w:lang w:val="en-US" w:eastAsia="zh-CN"/>
              </w:rPr>
            </w:pPr>
            <w:r>
              <w:rPr>
                <w:rFonts w:hint="eastAsia" w:ascii="宋体" w:hAnsi="宋体" w:eastAsia="宋体" w:cs="宋体"/>
                <w:bCs/>
                <w:color w:val="auto"/>
                <w:kern w:val="2"/>
                <w:sz w:val="21"/>
                <w:szCs w:val="21"/>
                <w:highlight w:val="none"/>
                <w:lang w:val="en-US" w:eastAsia="zh-CN" w:bidi="ar-SA"/>
              </w:rPr>
              <w:t>（</w:t>
            </w:r>
            <w:r>
              <w:rPr>
                <w:rFonts w:hint="eastAsia" w:hAnsi="宋体" w:cs="宋体"/>
                <w:bCs/>
                <w:color w:val="auto"/>
                <w:kern w:val="2"/>
                <w:sz w:val="21"/>
                <w:szCs w:val="21"/>
                <w:highlight w:val="none"/>
                <w:lang w:val="en-US" w:eastAsia="zh-CN" w:bidi="ar-SA"/>
              </w:rPr>
              <w:t>8</w:t>
            </w:r>
            <w:r>
              <w:rPr>
                <w:rFonts w:hint="eastAsia" w:ascii="宋体" w:hAnsi="宋体" w:eastAsia="宋体" w:cs="宋体"/>
                <w:bCs/>
                <w:color w:val="auto"/>
                <w:kern w:val="2"/>
                <w:sz w:val="21"/>
                <w:szCs w:val="21"/>
                <w:highlight w:val="none"/>
                <w:lang w:val="en-US" w:eastAsia="zh-CN" w:bidi="ar-SA"/>
              </w:rPr>
              <w:t>）中小企业</w:t>
            </w:r>
            <w:r>
              <w:rPr>
                <w:rFonts w:hint="eastAsia" w:hAnsi="宋体" w:cs="宋体"/>
                <w:bCs/>
                <w:color w:val="auto"/>
                <w:kern w:val="2"/>
                <w:sz w:val="21"/>
                <w:szCs w:val="21"/>
                <w:highlight w:val="none"/>
                <w:lang w:val="en-US" w:eastAsia="zh-CN" w:bidi="ar-SA"/>
              </w:rPr>
              <w:t>声明函</w:t>
            </w:r>
            <w:r>
              <w:rPr>
                <w:rFonts w:hint="eastAsia" w:ascii="宋体" w:hAnsi="宋体" w:eastAsia="宋体" w:cs="宋体"/>
                <w:bCs/>
                <w:color w:val="auto"/>
                <w:kern w:val="2"/>
                <w:sz w:val="21"/>
                <w:szCs w:val="21"/>
                <w:highlight w:val="none"/>
                <w:lang w:val="en-US" w:eastAsia="zh-CN" w:bidi="ar-SA"/>
              </w:rPr>
              <w:t>或监狱企业或残疾人福利性单位等证明材料；</w:t>
            </w:r>
          </w:p>
          <w:p w14:paraId="06CDC1D9">
            <w:pPr>
              <w:pStyle w:val="15"/>
              <w:pageBreakBefore w:val="0"/>
              <w:overflowPunct/>
              <w:topLinePunct w:val="0"/>
              <w:bidi w:val="0"/>
              <w:spacing w:line="360" w:lineRule="auto"/>
              <w:ind w:firstLine="0" w:firstLineChars="0"/>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w:t>
            </w:r>
            <w:r>
              <w:rPr>
                <w:rFonts w:hint="eastAsia" w:hAnsi="宋体" w:cs="宋体"/>
                <w:bCs/>
                <w:color w:val="auto"/>
                <w:kern w:val="2"/>
                <w:sz w:val="21"/>
                <w:szCs w:val="21"/>
                <w:highlight w:val="none"/>
                <w:lang w:val="en-US" w:eastAsia="zh-CN" w:bidi="ar-SA"/>
              </w:rPr>
              <w:t>9</w:t>
            </w:r>
            <w:r>
              <w:rPr>
                <w:rFonts w:hint="eastAsia" w:ascii="宋体" w:hAnsi="宋体" w:eastAsia="宋体" w:cs="宋体"/>
                <w:bCs/>
                <w:color w:val="auto"/>
                <w:kern w:val="2"/>
                <w:sz w:val="21"/>
                <w:szCs w:val="21"/>
                <w:highlight w:val="none"/>
                <w:lang w:val="en-US" w:eastAsia="zh-CN" w:bidi="ar-SA"/>
              </w:rPr>
              <w:t>）磋商供应商认为必要提供的声明及文件资料</w:t>
            </w:r>
            <w:r>
              <w:rPr>
                <w:rFonts w:hint="eastAsia" w:ascii="宋体" w:hAnsi="宋体" w:eastAsia="宋体" w:cs="宋体"/>
                <w:color w:val="auto"/>
                <w:sz w:val="21"/>
                <w:szCs w:val="21"/>
                <w:highlight w:val="none"/>
                <w:lang w:eastAsia="zh-CN"/>
              </w:rPr>
              <w:t>。</w:t>
            </w:r>
          </w:p>
          <w:p w14:paraId="2DD9094F">
            <w:pPr>
              <w:pStyle w:val="15"/>
              <w:pageBreakBefore w:val="0"/>
              <w:overflowPunct/>
              <w:topLinePunct w:val="0"/>
              <w:bidi w:val="0"/>
              <w:spacing w:line="360" w:lineRule="auto"/>
              <w:ind w:firstLine="0" w:firstLineChars="0"/>
              <w:rPr>
                <w:rFonts w:hint="eastAsia" w:ascii="宋体" w:hAnsi="宋体" w:eastAsia="宋体" w:cs="宋体"/>
                <w:b/>
                <w:color w:val="auto"/>
                <w:sz w:val="21"/>
                <w:szCs w:val="21"/>
                <w:highlight w:val="none"/>
                <w:u w:val="none"/>
              </w:rPr>
            </w:pPr>
            <w:r>
              <w:rPr>
                <w:rFonts w:hint="eastAsia" w:ascii="宋体" w:hAnsi="宋体" w:eastAsia="宋体" w:cs="宋体"/>
                <w:b/>
                <w:bCs/>
                <w:color w:val="auto"/>
                <w:sz w:val="21"/>
                <w:szCs w:val="21"/>
                <w:highlight w:val="none"/>
              </w:rPr>
              <w:t>注：</w:t>
            </w:r>
            <w:r>
              <w:rPr>
                <w:rFonts w:hint="eastAsia" w:ascii="宋体" w:hAnsi="宋体" w:eastAsia="宋体" w:cs="宋体"/>
                <w:b/>
                <w:bCs/>
                <w:color w:val="auto"/>
                <w:sz w:val="21"/>
                <w:szCs w:val="21"/>
                <w:highlight w:val="none"/>
                <w:u w:val="single"/>
                <w:lang w:val="en-US" w:eastAsia="zh-CN"/>
              </w:rPr>
              <w:t>1.</w:t>
            </w:r>
            <w:r>
              <w:rPr>
                <w:rFonts w:hint="eastAsia" w:ascii="宋体" w:hAnsi="宋体" w:eastAsia="宋体" w:cs="宋体"/>
                <w:b/>
                <w:color w:val="auto"/>
                <w:sz w:val="21"/>
                <w:szCs w:val="21"/>
                <w:highlight w:val="none"/>
                <w:u w:val="single"/>
              </w:rPr>
              <w:t>上述材料缺少任何一项或任何一项无效均会被视为资格审查不合格，作无效磋商处理</w:t>
            </w:r>
            <w:r>
              <w:rPr>
                <w:rFonts w:hint="eastAsia" w:ascii="宋体" w:hAnsi="宋体" w:eastAsia="宋体" w:cs="宋体"/>
                <w:b/>
                <w:color w:val="auto"/>
                <w:sz w:val="21"/>
                <w:szCs w:val="21"/>
                <w:highlight w:val="none"/>
                <w:u w:val="none"/>
              </w:rPr>
              <w:t>。</w:t>
            </w:r>
          </w:p>
          <w:p w14:paraId="5956E7E9">
            <w:pPr>
              <w:pStyle w:val="15"/>
              <w:pageBreakBefore w:val="0"/>
              <w:overflowPunct/>
              <w:topLinePunct w:val="0"/>
              <w:bidi w:val="0"/>
              <w:spacing w:line="360" w:lineRule="auto"/>
              <w:ind w:firstLine="0" w:firstLineChars="0"/>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color w:val="auto"/>
                <w:sz w:val="21"/>
                <w:szCs w:val="21"/>
                <w:highlight w:val="none"/>
                <w:u w:val="single"/>
                <w:lang w:val="en-US" w:eastAsia="zh-CN"/>
              </w:rPr>
              <w:t>2.以上材料属于复印件的扫描件的，必须加盖供应商电子公章，否则响应文件按无效响应处理。</w:t>
            </w:r>
          </w:p>
        </w:tc>
      </w:tr>
      <w:tr w14:paraId="6A8DB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vMerge w:val="continue"/>
            <w:shd w:val="clear" w:color="auto" w:fill="FEFEFE"/>
            <w:tcMar>
              <w:top w:w="0" w:type="dxa"/>
              <w:left w:w="57" w:type="dxa"/>
              <w:bottom w:w="0" w:type="dxa"/>
              <w:right w:w="57" w:type="dxa"/>
            </w:tcMar>
            <w:vAlign w:val="center"/>
          </w:tcPr>
          <w:p w14:paraId="054DAD2C">
            <w:pPr>
              <w:pageBreakBefore w:val="0"/>
              <w:overflowPunct/>
              <w:topLinePunct w:val="0"/>
              <w:bidi w:val="0"/>
              <w:spacing w:line="360" w:lineRule="auto"/>
              <w:jc w:val="center"/>
              <w:rPr>
                <w:rFonts w:hint="eastAsia" w:ascii="宋体" w:hAnsi="宋体" w:eastAsia="宋体" w:cs="宋体"/>
                <w:color w:val="auto"/>
                <w:sz w:val="21"/>
                <w:szCs w:val="21"/>
                <w:highlight w:val="none"/>
                <w:lang w:val="en-US" w:eastAsia="zh-CN"/>
              </w:rPr>
            </w:pPr>
          </w:p>
        </w:tc>
        <w:tc>
          <w:tcPr>
            <w:tcW w:w="1965" w:type="dxa"/>
            <w:vMerge w:val="continue"/>
            <w:shd w:val="clear" w:color="auto" w:fill="FEFEFE"/>
            <w:tcMar>
              <w:top w:w="0" w:type="dxa"/>
              <w:left w:w="57" w:type="dxa"/>
              <w:bottom w:w="0" w:type="dxa"/>
              <w:right w:w="57" w:type="dxa"/>
            </w:tcMar>
            <w:vAlign w:val="center"/>
          </w:tcPr>
          <w:p w14:paraId="399293DC">
            <w:pPr>
              <w:pageBreakBefore w:val="0"/>
              <w:overflowPunct/>
              <w:topLinePunct w:val="0"/>
              <w:bidi w:val="0"/>
              <w:spacing w:line="360" w:lineRule="auto"/>
              <w:jc w:val="center"/>
              <w:rPr>
                <w:rFonts w:hint="eastAsia" w:ascii="宋体" w:hAnsi="宋体" w:eastAsia="宋体" w:cs="宋体"/>
                <w:b/>
                <w:bCs/>
                <w:color w:val="auto"/>
                <w:sz w:val="21"/>
                <w:szCs w:val="21"/>
                <w:highlight w:val="none"/>
                <w:lang w:val="en-US" w:eastAsia="zh-CN"/>
              </w:rPr>
            </w:pPr>
          </w:p>
        </w:tc>
        <w:tc>
          <w:tcPr>
            <w:tcW w:w="7068" w:type="dxa"/>
            <w:shd w:val="clear" w:color="auto" w:fill="FEFEFE"/>
            <w:tcMar>
              <w:top w:w="0" w:type="dxa"/>
              <w:left w:w="57" w:type="dxa"/>
              <w:bottom w:w="0" w:type="dxa"/>
              <w:right w:w="57" w:type="dxa"/>
            </w:tcMar>
            <w:vAlign w:val="top"/>
          </w:tcPr>
          <w:p w14:paraId="161331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2.</w:t>
            </w:r>
            <w:r>
              <w:rPr>
                <w:rFonts w:hint="eastAsia" w:ascii="宋体" w:hAnsi="宋体" w:eastAsia="宋体" w:cs="宋体"/>
                <w:bCs/>
                <w:color w:val="auto"/>
                <w:kern w:val="2"/>
                <w:sz w:val="21"/>
                <w:szCs w:val="21"/>
                <w:highlight w:val="none"/>
                <w:lang w:val="en-US" w:eastAsia="zh-CN" w:bidi="ar-SA"/>
              </w:rPr>
              <w:t>报价文件</w:t>
            </w:r>
          </w:p>
          <w:p w14:paraId="6CE1C7DB">
            <w:pPr>
              <w:pStyle w:val="40"/>
              <w:pageBreakBefore w:val="0"/>
              <w:overflowPunct/>
              <w:topLinePunct w:val="0"/>
              <w:bidi w:val="0"/>
              <w:spacing w:line="360" w:lineRule="auto"/>
              <w:ind w:firstLine="0" w:firstLineChars="0"/>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（1）磋商函及磋商函附录</w:t>
            </w:r>
          </w:p>
          <w:p w14:paraId="4A418702">
            <w:pPr>
              <w:pStyle w:val="40"/>
              <w:pageBreakBefore w:val="0"/>
              <w:overflowPunct/>
              <w:topLinePunct w:val="0"/>
              <w:bidi w:val="0"/>
              <w:spacing w:line="360" w:lineRule="auto"/>
              <w:ind w:firstLine="0" w:firstLineChars="0"/>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（2）已标价工程量清单</w:t>
            </w:r>
          </w:p>
          <w:p w14:paraId="57C456A1">
            <w:pPr>
              <w:pStyle w:val="40"/>
              <w:pageBreakBefore w:val="0"/>
              <w:overflowPunct/>
              <w:topLinePunct w:val="0"/>
              <w:bidi w:val="0"/>
              <w:spacing w:line="360" w:lineRule="auto"/>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b/>
                <w:color w:val="auto"/>
                <w:sz w:val="21"/>
                <w:szCs w:val="21"/>
                <w:highlight w:val="none"/>
                <w:u w:val="single"/>
                <w:lang w:val="en-US" w:eastAsia="zh-CN"/>
              </w:rPr>
              <w:t>注：以上材料属于复印件的扫描件的，必须加盖供应商电子公章，否则响应文件按无效响应处理。</w:t>
            </w:r>
          </w:p>
        </w:tc>
      </w:tr>
      <w:tr w14:paraId="67C2A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9" w:hRule="atLeast"/>
          <w:jc w:val="center"/>
        </w:trPr>
        <w:tc>
          <w:tcPr>
            <w:tcW w:w="706" w:type="dxa"/>
            <w:vMerge w:val="continue"/>
            <w:shd w:val="clear" w:color="auto" w:fill="FEFEFE"/>
            <w:tcMar>
              <w:top w:w="0" w:type="dxa"/>
              <w:left w:w="57" w:type="dxa"/>
              <w:bottom w:w="0" w:type="dxa"/>
              <w:right w:w="57" w:type="dxa"/>
            </w:tcMar>
            <w:vAlign w:val="center"/>
          </w:tcPr>
          <w:p w14:paraId="310C5863">
            <w:pPr>
              <w:pageBreakBefore w:val="0"/>
              <w:overflowPunct/>
              <w:topLinePunct w:val="0"/>
              <w:bidi w:val="0"/>
              <w:spacing w:line="360" w:lineRule="auto"/>
              <w:jc w:val="center"/>
              <w:rPr>
                <w:rFonts w:hint="eastAsia" w:ascii="宋体" w:hAnsi="宋体" w:eastAsia="宋体" w:cs="宋体"/>
                <w:color w:val="auto"/>
                <w:sz w:val="21"/>
                <w:szCs w:val="21"/>
                <w:highlight w:val="none"/>
                <w:lang w:val="en-US" w:eastAsia="zh-CN"/>
              </w:rPr>
            </w:pPr>
          </w:p>
        </w:tc>
        <w:tc>
          <w:tcPr>
            <w:tcW w:w="1965" w:type="dxa"/>
            <w:vMerge w:val="continue"/>
            <w:shd w:val="clear" w:color="auto" w:fill="FEFEFE"/>
            <w:tcMar>
              <w:top w:w="0" w:type="dxa"/>
              <w:left w:w="57" w:type="dxa"/>
              <w:bottom w:w="0" w:type="dxa"/>
              <w:right w:w="57" w:type="dxa"/>
            </w:tcMar>
            <w:vAlign w:val="center"/>
          </w:tcPr>
          <w:p w14:paraId="2C982F66">
            <w:pPr>
              <w:pageBreakBefore w:val="0"/>
              <w:overflowPunct/>
              <w:topLinePunct w:val="0"/>
              <w:bidi w:val="0"/>
              <w:spacing w:line="360" w:lineRule="auto"/>
              <w:jc w:val="center"/>
              <w:rPr>
                <w:rFonts w:hint="eastAsia" w:ascii="宋体" w:hAnsi="宋体" w:eastAsia="宋体" w:cs="宋体"/>
                <w:b/>
                <w:bCs/>
                <w:color w:val="auto"/>
                <w:sz w:val="21"/>
                <w:szCs w:val="21"/>
                <w:highlight w:val="none"/>
                <w:lang w:val="en-US" w:eastAsia="zh-CN"/>
              </w:rPr>
            </w:pPr>
          </w:p>
        </w:tc>
        <w:tc>
          <w:tcPr>
            <w:tcW w:w="7068" w:type="dxa"/>
            <w:shd w:val="clear" w:color="auto" w:fill="FEFEFE"/>
            <w:tcMar>
              <w:top w:w="0" w:type="dxa"/>
              <w:left w:w="57" w:type="dxa"/>
              <w:bottom w:w="0" w:type="dxa"/>
              <w:right w:w="57" w:type="dxa"/>
            </w:tcMar>
            <w:vAlign w:val="top"/>
          </w:tcPr>
          <w:p w14:paraId="1469D302">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3.</w:t>
            </w:r>
            <w:r>
              <w:rPr>
                <w:rFonts w:hint="eastAsia" w:ascii="宋体" w:hAnsi="宋体" w:eastAsia="宋体" w:cs="宋体"/>
                <w:bCs/>
                <w:color w:val="auto"/>
                <w:kern w:val="2"/>
                <w:sz w:val="21"/>
                <w:szCs w:val="21"/>
                <w:highlight w:val="none"/>
                <w:lang w:val="en-US" w:eastAsia="zh-CN" w:bidi="ar-SA"/>
              </w:rPr>
              <w:t>商务技术文件</w:t>
            </w:r>
          </w:p>
          <w:p w14:paraId="3061F922">
            <w:pPr>
              <w:pStyle w:val="15"/>
              <w:pageBreakBefore w:val="0"/>
              <w:overflowPunct/>
              <w:topLinePunct w:val="0"/>
              <w:bidi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主要管理人员表</w:t>
            </w:r>
          </w:p>
          <w:p w14:paraId="2C71CBF1">
            <w:pPr>
              <w:pStyle w:val="15"/>
              <w:pageBreakBefore w:val="0"/>
              <w:overflowPunct/>
              <w:topLinePunct w:val="0"/>
              <w:bidi w:val="0"/>
              <w:spacing w:line="36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)建设工程项目管理承诺书</w:t>
            </w:r>
          </w:p>
          <w:p w14:paraId="51615BD0">
            <w:pPr>
              <w:pStyle w:val="15"/>
              <w:pageBreakBefore w:val="0"/>
              <w:overflowPunct/>
              <w:topLinePunct w:val="0"/>
              <w:bidi w:val="0"/>
              <w:spacing w:line="36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)施工组织设计</w:t>
            </w:r>
          </w:p>
          <w:p w14:paraId="01967CB9">
            <w:pPr>
              <w:pStyle w:val="15"/>
              <w:pageBreakBefore w:val="0"/>
              <w:overflowPunct/>
              <w:topLinePunct w:val="0"/>
              <w:bidi w:val="0"/>
              <w:spacing w:line="360" w:lineRule="auto"/>
              <w:ind w:firstLine="0" w:firstLineChars="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业绩</w:t>
            </w:r>
          </w:p>
          <w:p w14:paraId="2E629E5C">
            <w:pPr>
              <w:pStyle w:val="15"/>
              <w:pageBreakBefore w:val="0"/>
              <w:overflowPunct/>
              <w:topLinePunct w:val="0"/>
              <w:bidi w:val="0"/>
              <w:spacing w:line="36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)其他资料</w:t>
            </w:r>
          </w:p>
          <w:p w14:paraId="33D1809F">
            <w:pPr>
              <w:pStyle w:val="40"/>
              <w:pageBreakBefore w:val="0"/>
              <w:overflowPunct/>
              <w:topLinePunct w:val="0"/>
              <w:bidi w:val="0"/>
              <w:spacing w:line="360" w:lineRule="auto"/>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b/>
                <w:color w:val="auto"/>
                <w:sz w:val="21"/>
                <w:szCs w:val="21"/>
                <w:highlight w:val="none"/>
                <w:u w:val="single"/>
                <w:lang w:val="en-US" w:eastAsia="zh-CN"/>
              </w:rPr>
              <w:t>注：以上材料属于复印件的扫描件的，必须加盖供应商电子公章，否则响应文件按无效响应处理。</w:t>
            </w:r>
          </w:p>
        </w:tc>
      </w:tr>
      <w:tr w14:paraId="6529E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shd w:val="clear" w:color="auto" w:fill="FEFEFE"/>
            <w:tcMar>
              <w:top w:w="0" w:type="dxa"/>
              <w:left w:w="57" w:type="dxa"/>
              <w:bottom w:w="0" w:type="dxa"/>
              <w:right w:w="57" w:type="dxa"/>
            </w:tcMar>
            <w:vAlign w:val="center"/>
          </w:tcPr>
          <w:p w14:paraId="3DC3BDC7">
            <w:pPr>
              <w:pageBreakBefore w:val="0"/>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1965" w:type="dxa"/>
            <w:shd w:val="clear" w:color="auto" w:fill="FEFEFE"/>
            <w:tcMar>
              <w:top w:w="0" w:type="dxa"/>
              <w:left w:w="57" w:type="dxa"/>
              <w:bottom w:w="0" w:type="dxa"/>
              <w:right w:w="57" w:type="dxa"/>
            </w:tcMar>
            <w:vAlign w:val="center"/>
          </w:tcPr>
          <w:p w14:paraId="5F9B91C4">
            <w:pPr>
              <w:pageBreakBefore w:val="0"/>
              <w:overflowPunct/>
              <w:topLinePunct w:val="0"/>
              <w:bidi w:val="0"/>
              <w:spacing w:line="360" w:lineRule="auto"/>
              <w:ind w:firstLine="211" w:firstLineChars="100"/>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《响应文件》的递交</w:t>
            </w:r>
          </w:p>
        </w:tc>
        <w:tc>
          <w:tcPr>
            <w:tcW w:w="7068" w:type="dxa"/>
            <w:shd w:val="clear" w:color="auto" w:fill="FEFEFE"/>
            <w:tcMar>
              <w:top w:w="0" w:type="dxa"/>
              <w:left w:w="57" w:type="dxa"/>
              <w:bottom w:w="0" w:type="dxa"/>
              <w:right w:w="57" w:type="dxa"/>
            </w:tcMar>
            <w:vAlign w:val="top"/>
          </w:tcPr>
          <w:p w14:paraId="70E3FFFE">
            <w:pPr>
              <w:pageBreakBefore w:val="0"/>
              <w:overflowPunct/>
              <w:topLinePunct w:val="0"/>
              <w:bidi w:val="0"/>
              <w:spacing w:line="360" w:lineRule="auto"/>
              <w:ind w:firstLine="0" w:firstLineChars="0"/>
              <w:rPr>
                <w:rFonts w:hint="eastAsia" w:ascii="宋体" w:hAnsi="宋体" w:eastAsia="宋体" w:cs="宋体"/>
                <w:b w:val="0"/>
                <w:bCs w:val="0"/>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递交</w:t>
            </w:r>
            <w:r>
              <w:rPr>
                <w:rFonts w:hint="eastAsia" w:ascii="宋体" w:hAnsi="宋体" w:eastAsia="宋体" w:cs="宋体"/>
                <w:color w:val="auto"/>
                <w:sz w:val="21"/>
                <w:szCs w:val="21"/>
                <w:highlight w:val="none"/>
                <w:lang w:eastAsia="zh-CN"/>
              </w:rPr>
              <w:t>地点：</w:t>
            </w:r>
            <w:r>
              <w:rPr>
                <w:rFonts w:hint="eastAsia" w:ascii="宋体" w:hAnsi="宋体" w:eastAsia="宋体" w:cs="宋体"/>
                <w:color w:val="auto"/>
                <w:sz w:val="21"/>
                <w:szCs w:val="21"/>
                <w:highlight w:val="none"/>
              </w:rPr>
              <w:t>本项目为贺州市电子化项目，通过“广西政府采购云平台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http：//www.zcygov.cn）实行在线电子投标，供应商应先安装“广西政府采购云平台电子交易客户端”（请自行前往“广西政府采购云平台”进行下载），并按照本项目招标文件和“广西政府采购云平台”的要求编制、加密后在投标截止时间前通过网络上传至“广西政府采购云平台</w:t>
            </w:r>
            <w:r>
              <w:rPr>
                <w:rFonts w:hint="eastAsia" w:ascii="宋体" w:hAnsi="宋体" w:eastAsia="宋体" w:cs="宋体"/>
                <w:b w:val="0"/>
                <w:bCs w:val="0"/>
                <w:color w:val="auto"/>
                <w:sz w:val="21"/>
                <w:szCs w:val="21"/>
                <w:highlight w:val="none"/>
              </w:rPr>
              <w:t>”，供应商在“</w:t>
            </w:r>
            <w:r>
              <w:rPr>
                <w:rFonts w:hint="eastAsia" w:ascii="宋体" w:hAnsi="宋体" w:eastAsia="宋体" w:cs="宋体"/>
                <w:b w:val="0"/>
                <w:bCs/>
                <w:color w:val="auto"/>
                <w:kern w:val="2"/>
                <w:sz w:val="21"/>
                <w:szCs w:val="21"/>
                <w:highlight w:val="none"/>
                <w:lang w:val="en-US" w:eastAsia="zh-CN" w:bidi="ar-SA"/>
              </w:rPr>
              <w:t>广西政府采购云平台</w:t>
            </w:r>
            <w:r>
              <w:rPr>
                <w:rFonts w:hint="eastAsia" w:ascii="宋体" w:hAnsi="宋体" w:eastAsia="宋体" w:cs="宋体"/>
                <w:b w:val="0"/>
                <w:bCs w:val="0"/>
                <w:color w:val="auto"/>
                <w:sz w:val="21"/>
                <w:szCs w:val="21"/>
                <w:highlight w:val="none"/>
              </w:rPr>
              <w:t>”提交电子版响应文件时，请填写参加远程开标活动经办人联系方式，如在操作过程中遇到问题或需技术支持，请致电</w:t>
            </w:r>
            <w:r>
              <w:rPr>
                <w:rFonts w:hint="eastAsia" w:ascii="宋体" w:hAnsi="宋体" w:eastAsia="宋体" w:cs="宋体"/>
                <w:b w:val="0"/>
                <w:bCs/>
                <w:color w:val="auto"/>
                <w:kern w:val="2"/>
                <w:sz w:val="21"/>
                <w:szCs w:val="21"/>
                <w:highlight w:val="none"/>
                <w:lang w:val="en-US" w:eastAsia="zh-CN" w:bidi="ar-SA"/>
              </w:rPr>
              <w:t>广西政府采购云平台</w:t>
            </w:r>
            <w:r>
              <w:rPr>
                <w:rFonts w:hint="eastAsia" w:ascii="宋体" w:hAnsi="宋体" w:eastAsia="宋体" w:cs="宋体"/>
                <w:b w:val="0"/>
                <w:bCs w:val="0"/>
                <w:color w:val="auto"/>
                <w:sz w:val="21"/>
                <w:szCs w:val="21"/>
                <w:highlight w:val="none"/>
              </w:rPr>
              <w:t>客服热线：</w:t>
            </w:r>
            <w:r>
              <w:rPr>
                <w:rFonts w:hint="eastAsia" w:ascii="宋体" w:hAnsi="宋体" w:eastAsia="宋体" w:cs="宋体"/>
                <w:b w:val="0"/>
                <w:bCs w:val="0"/>
                <w:color w:val="auto"/>
                <w:sz w:val="21"/>
                <w:szCs w:val="21"/>
                <w:highlight w:val="none"/>
                <w:lang w:val="en-US" w:eastAsia="zh-CN"/>
              </w:rPr>
              <w:t>95763</w:t>
            </w:r>
            <w:r>
              <w:rPr>
                <w:rFonts w:hint="eastAsia" w:ascii="宋体" w:hAnsi="宋体" w:eastAsia="宋体" w:cs="宋体"/>
                <w:b w:val="0"/>
                <w:bCs w:val="0"/>
                <w:color w:val="auto"/>
                <w:sz w:val="21"/>
                <w:szCs w:val="21"/>
                <w:highlight w:val="none"/>
                <w:lang w:eastAsia="zh-CN"/>
              </w:rPr>
              <w:t>。</w:t>
            </w:r>
          </w:p>
          <w:p w14:paraId="62450428">
            <w:pPr>
              <w:pageBreakBefore w:val="0"/>
              <w:overflowPunct/>
              <w:topLinePunct w:val="0"/>
              <w:bidi w:val="0"/>
              <w:spacing w:line="360"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递交截止时间：</w:t>
            </w:r>
            <w:r>
              <w:rPr>
                <w:rFonts w:hint="eastAsia" w:ascii="宋体" w:hAnsi="宋体" w:eastAsia="宋体" w:cs="宋体"/>
                <w:b w:val="0"/>
                <w:bCs w:val="0"/>
                <w:color w:val="auto"/>
                <w:sz w:val="21"/>
                <w:szCs w:val="21"/>
                <w:highlight w:val="none"/>
                <w:u w:val="none"/>
                <w:lang w:val="en-US" w:eastAsia="zh-CN"/>
              </w:rPr>
              <w:t>见</w:t>
            </w:r>
            <w:r>
              <w:rPr>
                <w:rFonts w:hint="eastAsia" w:ascii="宋体" w:hAnsi="宋体" w:eastAsia="宋体" w:cs="宋体"/>
                <w:b w:val="0"/>
                <w:bCs/>
                <w:color w:val="auto"/>
                <w:sz w:val="21"/>
                <w:szCs w:val="21"/>
                <w:highlight w:val="none"/>
                <w:u w:val="none"/>
                <w:lang w:val="en-US" w:eastAsia="zh-CN"/>
              </w:rPr>
              <w:t>磋商公告</w:t>
            </w:r>
          </w:p>
        </w:tc>
      </w:tr>
      <w:tr w14:paraId="52FFF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shd w:val="clear" w:color="auto" w:fill="FEFEFE"/>
            <w:tcMar>
              <w:top w:w="0" w:type="dxa"/>
              <w:left w:w="57" w:type="dxa"/>
              <w:bottom w:w="0" w:type="dxa"/>
              <w:right w:w="57" w:type="dxa"/>
            </w:tcMar>
            <w:vAlign w:val="center"/>
          </w:tcPr>
          <w:p w14:paraId="5731341B">
            <w:pPr>
              <w:pageBreakBefore w:val="0"/>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1965" w:type="dxa"/>
            <w:shd w:val="clear" w:color="auto" w:fill="FEFEFE"/>
            <w:tcMar>
              <w:top w:w="0" w:type="dxa"/>
              <w:left w:w="57" w:type="dxa"/>
              <w:bottom w:w="0" w:type="dxa"/>
              <w:right w:w="57" w:type="dxa"/>
            </w:tcMar>
            <w:vAlign w:val="center"/>
          </w:tcPr>
          <w:p w14:paraId="1070582A">
            <w:pPr>
              <w:pageBreakBefore w:val="0"/>
              <w:overflowPunct/>
              <w:topLinePunct w:val="0"/>
              <w:bidi w:val="0"/>
              <w:spacing w:line="360" w:lineRule="auto"/>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开标时间</w:t>
            </w:r>
          </w:p>
        </w:tc>
        <w:tc>
          <w:tcPr>
            <w:tcW w:w="7068" w:type="dxa"/>
            <w:shd w:val="clear" w:color="auto" w:fill="FEFEFE"/>
            <w:tcMar>
              <w:top w:w="0" w:type="dxa"/>
              <w:left w:w="57" w:type="dxa"/>
              <w:bottom w:w="0" w:type="dxa"/>
              <w:right w:w="57" w:type="dxa"/>
            </w:tcMar>
            <w:vAlign w:val="top"/>
          </w:tcPr>
          <w:p w14:paraId="5D8415B0">
            <w:pPr>
              <w:pageBreakBefore w:val="0"/>
              <w:overflowPunct/>
              <w:topLinePunct w:val="0"/>
              <w:bidi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开标时间：</w:t>
            </w:r>
            <w:r>
              <w:rPr>
                <w:rFonts w:hint="eastAsia" w:ascii="宋体" w:hAnsi="宋体" w:eastAsia="宋体" w:cs="宋体"/>
                <w:b w:val="0"/>
                <w:bCs/>
                <w:color w:val="auto"/>
                <w:sz w:val="21"/>
                <w:szCs w:val="21"/>
                <w:highlight w:val="none"/>
                <w:u w:val="none"/>
                <w:lang w:val="en-US" w:eastAsia="zh-CN"/>
              </w:rPr>
              <w:t>见磋商公告</w:t>
            </w:r>
          </w:p>
          <w:p w14:paraId="1B3F0C2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overflowPunct/>
              <w:topLinePunct w:val="0"/>
              <w:bidi w:val="0"/>
              <w:spacing w:before="0" w:beforeAutospacing="0" w:after="0" w:afterAutospacing="0" w:line="360" w:lineRule="auto"/>
              <w:ind w:right="0" w:firstLine="0" w:firstLineChars="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开标地点：</w:t>
            </w:r>
            <w:r>
              <w:rPr>
                <w:rFonts w:hint="eastAsia" w:ascii="宋体" w:hAnsi="宋体" w:eastAsia="宋体" w:cs="宋体"/>
                <w:b w:val="0"/>
                <w:bCs/>
                <w:color w:val="auto"/>
                <w:sz w:val="21"/>
                <w:szCs w:val="21"/>
                <w:highlight w:val="none"/>
                <w:u w:val="none"/>
                <w:lang w:val="en-US" w:eastAsia="zh-CN"/>
              </w:rPr>
              <w:t>见磋商公告</w:t>
            </w:r>
          </w:p>
          <w:p w14:paraId="12F74AB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overflowPunct/>
              <w:topLinePunct w:val="0"/>
              <w:bidi w:val="0"/>
              <w:spacing w:before="0" w:beforeAutospacing="0" w:after="0" w:afterAutospacing="0" w:line="360" w:lineRule="auto"/>
              <w:ind w:right="0"/>
              <w:jc w:val="left"/>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kern w:val="0"/>
                <w:sz w:val="21"/>
                <w:szCs w:val="21"/>
                <w:highlight w:val="none"/>
                <w:shd w:val="clear" w:fill="FFFFFF"/>
                <w:lang w:val="en-US" w:eastAsia="zh-CN" w:bidi="ar"/>
              </w:rPr>
              <w:t>（本项目不要求竞标供应商到达开标现场，但供应商应派法定代表人或委托代理人准时在线出席电子开评标会议，随时关注开评标进度，如在开评标过程中有电子询标，应在规定的时间内对电子询标函进行澄清回复。）</w:t>
            </w:r>
          </w:p>
        </w:tc>
      </w:tr>
      <w:tr w14:paraId="7C8CF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shd w:val="clear" w:color="auto" w:fill="FEFEFE"/>
            <w:tcMar>
              <w:top w:w="0" w:type="dxa"/>
              <w:left w:w="57" w:type="dxa"/>
              <w:bottom w:w="0" w:type="dxa"/>
              <w:right w:w="57" w:type="dxa"/>
            </w:tcMar>
            <w:vAlign w:val="center"/>
          </w:tcPr>
          <w:p w14:paraId="586D6BAA">
            <w:pPr>
              <w:pageBreakBefore w:val="0"/>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1965" w:type="dxa"/>
            <w:shd w:val="clear" w:color="auto" w:fill="FEFEFE"/>
            <w:tcMar>
              <w:top w:w="0" w:type="dxa"/>
              <w:left w:w="57" w:type="dxa"/>
              <w:bottom w:w="0" w:type="dxa"/>
              <w:right w:w="57" w:type="dxa"/>
            </w:tcMar>
            <w:vAlign w:val="center"/>
          </w:tcPr>
          <w:p w14:paraId="58E636BD">
            <w:pPr>
              <w:pageBreakBefore w:val="0"/>
              <w:overflowPunct/>
              <w:topLinePunct w:val="0"/>
              <w:bidi w:val="0"/>
              <w:spacing w:line="360" w:lineRule="auto"/>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开标程序</w:t>
            </w:r>
          </w:p>
        </w:tc>
        <w:tc>
          <w:tcPr>
            <w:tcW w:w="7068" w:type="dxa"/>
            <w:shd w:val="clear" w:color="auto" w:fill="FEFEFE"/>
            <w:tcMar>
              <w:top w:w="0" w:type="dxa"/>
              <w:left w:w="57" w:type="dxa"/>
              <w:bottom w:w="0" w:type="dxa"/>
              <w:right w:w="57" w:type="dxa"/>
            </w:tcMar>
            <w:vAlign w:val="top"/>
          </w:tcPr>
          <w:p w14:paraId="0A460C64">
            <w:pPr>
              <w:pageBreakBefore w:val="0"/>
              <w:numPr>
                <w:ilvl w:val="-1"/>
                <w:numId w:val="0"/>
              </w:numPr>
              <w:overflowPunct/>
              <w:topLinePunct w:val="0"/>
              <w:bidi w:val="0"/>
              <w:spacing w:line="360" w:lineRule="auto"/>
              <w:ind w:firstLine="0" w:firstLineChars="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签收、</w:t>
            </w:r>
            <w:r>
              <w:rPr>
                <w:rFonts w:hint="eastAsia" w:ascii="宋体" w:hAnsi="宋体" w:eastAsia="宋体" w:cs="宋体"/>
                <w:color w:val="auto"/>
                <w:sz w:val="21"/>
                <w:szCs w:val="21"/>
                <w:highlight w:val="none"/>
                <w:lang w:eastAsia="zh-CN"/>
              </w:rPr>
              <w:t>解密电子投标文件。</w:t>
            </w:r>
            <w:r>
              <w:rPr>
                <w:rFonts w:hint="eastAsia" w:ascii="宋体" w:hAnsi="宋体" w:eastAsia="宋体" w:cs="宋体"/>
                <w:color w:val="auto"/>
                <w:sz w:val="21"/>
                <w:szCs w:val="21"/>
                <w:highlight w:val="none"/>
                <w:lang w:val="en-US" w:eastAsia="zh-CN"/>
              </w:rPr>
              <w:t>采购代理机构将在“供应商须知前附表”规定的时间通过电子交易平台组织响应文件开启， 采购机构依托电子交易平台发起【开始解密】指令，供应商的法定代表人或其委托代理人须携带加密时所用的 CA 锁按平台提示和采购文件的规定登录到“广西政府采购云平台”电子开标大厅签到并在发起解密指令之时起 30分钟内完成对电子响应文件在线解密。发起解密指令之时起 5 分钟内供应商还未进行解密的，代理机构要通知供应商，供应商没预留联系方式或预留联系方式无效，导致代理机构无法联系到投标人在发起解密指令之时起 30分钟内完成对电子响应文件在线解密的，均视为无效投标。</w:t>
            </w:r>
          </w:p>
          <w:p w14:paraId="1FF242A1">
            <w:pPr>
              <w:pageBreakBefore w:val="0"/>
              <w:numPr>
                <w:ilvl w:val="0"/>
                <w:numId w:val="0"/>
              </w:numPr>
              <w:overflowPunct/>
              <w:topLinePunct w:val="0"/>
              <w:bidi w:val="0"/>
              <w:spacing w:line="360" w:lineRule="auto"/>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（解密异常情况处理：详见本章 15.3 电子交易活动的中止。） </w:t>
            </w:r>
          </w:p>
          <w:p w14:paraId="3F062DC5">
            <w:pPr>
              <w:pageBreakBefore w:val="0"/>
              <w:overflowPunct/>
              <w:topLinePunct w:val="0"/>
              <w:bidi w:val="0"/>
              <w:spacing w:line="360" w:lineRule="auto"/>
              <w:ind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如供应商成功解密响应文件，但未在“广西政府采购云平台”电子开标大厅参加磋商的，视同认可磋商过程和结果，由此产生的后果由供应商自行负责。参与磋商的供应商不足3 家的，不得磋商。</w:t>
            </w:r>
          </w:p>
          <w:p w14:paraId="6AA732FE">
            <w:pPr>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初步评审。</w:t>
            </w:r>
            <w:r>
              <w:rPr>
                <w:rFonts w:hint="eastAsia" w:ascii="宋体" w:hAnsi="宋体" w:eastAsia="宋体" w:cs="宋体"/>
                <w:color w:val="auto"/>
                <w:sz w:val="21"/>
                <w:szCs w:val="21"/>
                <w:highlight w:val="none"/>
                <w:lang w:eastAsia="zh-CN"/>
              </w:rPr>
              <w:t>投标文件解密结束</w:t>
            </w:r>
            <w:r>
              <w:rPr>
                <w:rFonts w:hint="eastAsia" w:ascii="宋体" w:hAnsi="宋体" w:eastAsia="宋体" w:cs="宋体"/>
                <w:color w:val="auto"/>
                <w:sz w:val="21"/>
                <w:szCs w:val="21"/>
                <w:highlight w:val="none"/>
                <w:lang w:val="en-US" w:eastAsia="zh-CN"/>
              </w:rPr>
              <w:t>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磋商小组依据法律法规和招标文件的规定，对投标人进行线上初步评审（资格性审查、符合性审查）。</w:t>
            </w:r>
          </w:p>
          <w:p w14:paraId="4E1828F3">
            <w:pPr>
              <w:pageBreakBefore w:val="0"/>
              <w:overflowPunct/>
              <w:topLinePunct w:val="0"/>
              <w:bidi w:val="0"/>
              <w:spacing w:line="360" w:lineRule="auto"/>
              <w:ind w:firstLine="0" w:firstLineChars="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电子在线询标（开启第二轮报价）。①采购代理机构将按照提交首次响应文件的顺序在线上通知，通知磋商时，若某供应商不在通知现场时，该供应商排序到最后磋商，按照签到的顺序由其下一位供应商先参与磋商。②磋商小组只接受通过资格性和符合性审查的供应商在规定时间（30分钟）内在规定地点进行磋商最终总报价或询标回复。</w:t>
            </w:r>
          </w:p>
          <w:p w14:paraId="1529206E">
            <w:pPr>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电子唱标。各投标供应商报价、</w:t>
            </w:r>
            <w:r>
              <w:rPr>
                <w:rFonts w:hint="eastAsia" w:ascii="宋体" w:hAnsi="宋体" w:eastAsia="宋体" w:cs="宋体"/>
                <w:color w:val="auto"/>
                <w:sz w:val="21"/>
                <w:szCs w:val="21"/>
                <w:highlight w:val="none"/>
                <w:lang w:val="en-US" w:eastAsia="zh-CN"/>
              </w:rPr>
              <w:t>工期等</w:t>
            </w:r>
            <w:r>
              <w:rPr>
                <w:rFonts w:hint="eastAsia" w:ascii="宋体" w:hAnsi="宋体" w:eastAsia="宋体" w:cs="宋体"/>
                <w:color w:val="auto"/>
                <w:sz w:val="21"/>
                <w:szCs w:val="21"/>
                <w:highlight w:val="none"/>
                <w:lang w:eastAsia="zh-CN"/>
              </w:rPr>
              <w:t>均在“广西政府采购云平台”远程不见面开标大厅展示；</w:t>
            </w:r>
          </w:p>
          <w:p w14:paraId="7403A173">
            <w:pPr>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投标人代表对</w:t>
            </w:r>
            <w:r>
              <w:rPr>
                <w:rFonts w:hint="eastAsia" w:ascii="宋体" w:hAnsi="宋体" w:eastAsia="宋体" w:cs="宋体"/>
                <w:color w:val="auto"/>
                <w:sz w:val="21"/>
                <w:szCs w:val="21"/>
                <w:highlight w:val="none"/>
                <w:lang w:val="en-US" w:eastAsia="zh-CN"/>
              </w:rPr>
              <w:t>磋商会议</w:t>
            </w:r>
            <w:r>
              <w:rPr>
                <w:rFonts w:hint="eastAsia" w:ascii="宋体" w:hAnsi="宋体" w:eastAsia="宋体" w:cs="宋体"/>
                <w:color w:val="auto"/>
                <w:sz w:val="21"/>
                <w:szCs w:val="21"/>
                <w:highlight w:val="none"/>
                <w:lang w:eastAsia="zh-CN"/>
              </w:rPr>
              <w:t>有</w:t>
            </w:r>
            <w:r>
              <w:rPr>
                <w:rFonts w:hint="eastAsia" w:ascii="宋体" w:hAnsi="宋体" w:eastAsia="宋体" w:cs="宋体"/>
                <w:color w:val="auto"/>
                <w:sz w:val="21"/>
                <w:szCs w:val="21"/>
                <w:highlight w:val="none"/>
                <w:lang w:val="en-US" w:eastAsia="zh-CN"/>
              </w:rPr>
              <w:t>异议</w:t>
            </w:r>
            <w:r>
              <w:rPr>
                <w:rFonts w:hint="eastAsia" w:ascii="宋体" w:hAnsi="宋体" w:eastAsia="宋体" w:cs="宋体"/>
                <w:color w:val="auto"/>
                <w:sz w:val="21"/>
                <w:szCs w:val="21"/>
                <w:highlight w:val="none"/>
                <w:lang w:eastAsia="zh-CN"/>
              </w:rPr>
              <w:t>，以及认为采购人、采购代理机构相关工作人员有需要回避的情形的，应当场提出在线询问或者回避申请。采购人、采购代理机构对投标人代表提出的询问或者回避申请应当及时处理，</w:t>
            </w:r>
            <w:r>
              <w:rPr>
                <w:rFonts w:hint="eastAsia" w:ascii="宋体" w:hAnsi="宋体" w:eastAsia="宋体" w:cs="宋体"/>
                <w:color w:val="auto"/>
                <w:sz w:val="21"/>
                <w:szCs w:val="21"/>
                <w:highlight w:val="none"/>
                <w:lang w:val="en-US" w:eastAsia="zh-CN"/>
              </w:rPr>
              <w:t>如未提出，视为无异议</w:t>
            </w:r>
            <w:r>
              <w:rPr>
                <w:rFonts w:hint="eastAsia" w:ascii="宋体" w:hAnsi="宋体" w:eastAsia="宋体" w:cs="宋体"/>
                <w:color w:val="auto"/>
                <w:sz w:val="21"/>
                <w:szCs w:val="21"/>
                <w:highlight w:val="none"/>
                <w:lang w:eastAsia="zh-CN"/>
              </w:rPr>
              <w:t>。</w:t>
            </w:r>
          </w:p>
          <w:p w14:paraId="0495AC8E">
            <w:pPr>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bCs/>
                <w:color w:val="auto"/>
                <w:sz w:val="21"/>
                <w:szCs w:val="21"/>
                <w:highlight w:val="none"/>
                <w:lang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开标结束。</w:t>
            </w:r>
          </w:p>
          <w:p w14:paraId="7404C856">
            <w:pPr>
              <w:pStyle w:val="40"/>
              <w:pageBreakBefore w:val="0"/>
              <w:overflowPunct/>
              <w:topLinePunct w:val="0"/>
              <w:bidi w:val="0"/>
              <w:spacing w:line="360" w:lineRule="auto"/>
              <w:ind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eastAsia="zh-CN"/>
              </w:rPr>
              <w:t>特别说明：如遇“广西政府采购云平台”电子化开标或评审程序调整的，按调整后执行。</w:t>
            </w:r>
          </w:p>
        </w:tc>
      </w:tr>
      <w:tr w14:paraId="4BD98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shd w:val="clear" w:color="auto" w:fill="FEFEFE"/>
            <w:tcMar>
              <w:top w:w="0" w:type="dxa"/>
              <w:left w:w="57" w:type="dxa"/>
              <w:bottom w:w="0" w:type="dxa"/>
              <w:right w:w="57" w:type="dxa"/>
            </w:tcMar>
            <w:vAlign w:val="center"/>
          </w:tcPr>
          <w:p w14:paraId="636AC947">
            <w:pPr>
              <w:pageBreakBefore w:val="0"/>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c>
          <w:tcPr>
            <w:tcW w:w="1965" w:type="dxa"/>
            <w:shd w:val="clear" w:color="auto" w:fill="FEFEFE"/>
            <w:tcMar>
              <w:top w:w="0" w:type="dxa"/>
              <w:left w:w="57" w:type="dxa"/>
              <w:bottom w:w="0" w:type="dxa"/>
              <w:right w:w="57" w:type="dxa"/>
            </w:tcMar>
            <w:vAlign w:val="center"/>
          </w:tcPr>
          <w:p w14:paraId="1A698A3E">
            <w:pPr>
              <w:pageBreakBefore w:val="0"/>
              <w:widowControl/>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b/>
                <w:bCs w:val="0"/>
                <w:color w:val="auto"/>
                <w:sz w:val="21"/>
                <w:szCs w:val="21"/>
                <w:highlight w:val="none"/>
              </w:rPr>
              <w:t>磋商小组的组成</w:t>
            </w:r>
          </w:p>
        </w:tc>
        <w:tc>
          <w:tcPr>
            <w:tcW w:w="7068" w:type="dxa"/>
            <w:shd w:val="clear" w:color="auto" w:fill="FEFEFE"/>
            <w:tcMar>
              <w:top w:w="0" w:type="dxa"/>
              <w:left w:w="57" w:type="dxa"/>
              <w:bottom w:w="0" w:type="dxa"/>
              <w:right w:w="57" w:type="dxa"/>
            </w:tcMar>
            <w:vAlign w:val="top"/>
          </w:tcPr>
          <w:p w14:paraId="383A6584">
            <w:pPr>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eastAsia="zh-CN"/>
              </w:rPr>
              <w:t>磋商小组</w:t>
            </w:r>
            <w:r>
              <w:rPr>
                <w:rFonts w:hint="eastAsia" w:ascii="宋体" w:hAnsi="宋体" w:eastAsia="宋体" w:cs="宋体"/>
                <w:b/>
                <w:bCs/>
                <w:color w:val="auto"/>
                <w:sz w:val="21"/>
                <w:szCs w:val="21"/>
                <w:highlight w:val="none"/>
              </w:rPr>
              <w:t>构成：</w:t>
            </w:r>
            <w:r>
              <w:rPr>
                <w:rFonts w:hint="eastAsia" w:ascii="宋体" w:hAnsi="宋体" w:eastAsia="宋体" w:cs="宋体"/>
                <w:color w:val="auto"/>
                <w:sz w:val="21"/>
                <w:szCs w:val="21"/>
                <w:highlight w:val="none"/>
              </w:rPr>
              <w:t>3人，其中采购人代表1人，专家2人</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其中抽取本地专家1人，抽取异地专家1人</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30831C2D">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rPr>
              <w:t>评标专家确定方式：</w:t>
            </w:r>
            <w:r>
              <w:rPr>
                <w:rFonts w:hint="eastAsia" w:ascii="宋体" w:hAnsi="宋体" w:eastAsia="宋体" w:cs="宋体"/>
                <w:color w:val="auto"/>
                <w:sz w:val="21"/>
                <w:szCs w:val="21"/>
                <w:highlight w:val="none"/>
                <w:lang w:val="en-US" w:eastAsia="zh-CN"/>
              </w:rPr>
              <w:t>开标前由采购代理机构在广西政府采购云平台广西评审专家库随机抽取确定。</w:t>
            </w:r>
          </w:p>
          <w:p w14:paraId="5B1ADA61">
            <w:pPr>
              <w:autoSpaceDE/>
              <w:autoSpaceDN/>
              <w:adjustRightInd/>
              <w:spacing w:line="360" w:lineRule="auto"/>
              <w:ind w:firstLine="0"/>
              <w:rPr>
                <w:rFonts w:hint="eastAsia"/>
                <w:color w:val="auto"/>
                <w:highlight w:val="none"/>
              </w:rPr>
            </w:pPr>
            <w:r>
              <w:rPr>
                <w:rFonts w:hint="eastAsia" w:ascii="宋体" w:hAnsi="宋体" w:eastAsia="宋体" w:cs="宋体"/>
                <w:b w:val="0"/>
                <w:bCs w:val="0"/>
                <w:color w:val="auto"/>
                <w:szCs w:val="21"/>
                <w:highlight w:val="none"/>
                <w:lang w:val="en-US" w:eastAsia="zh-CN"/>
              </w:rPr>
              <w:t>是否采取远程异地评标：是。</w:t>
            </w:r>
          </w:p>
        </w:tc>
      </w:tr>
      <w:tr w14:paraId="60E5E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6" w:type="dxa"/>
            <w:shd w:val="clear" w:color="auto" w:fill="FEFEFE"/>
            <w:tcMar>
              <w:top w:w="0" w:type="dxa"/>
              <w:left w:w="57" w:type="dxa"/>
              <w:bottom w:w="0" w:type="dxa"/>
              <w:right w:w="57" w:type="dxa"/>
            </w:tcMar>
            <w:vAlign w:val="center"/>
          </w:tcPr>
          <w:p w14:paraId="4C23343E">
            <w:pPr>
              <w:pageBreakBefore w:val="0"/>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c>
          <w:tcPr>
            <w:tcW w:w="1965" w:type="dxa"/>
            <w:shd w:val="clear" w:color="auto" w:fill="FEFEFE"/>
            <w:tcMar>
              <w:top w:w="0" w:type="dxa"/>
              <w:left w:w="57" w:type="dxa"/>
              <w:bottom w:w="0" w:type="dxa"/>
              <w:right w:w="57" w:type="dxa"/>
            </w:tcMar>
            <w:vAlign w:val="center"/>
          </w:tcPr>
          <w:p w14:paraId="58F5E12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val="0"/>
                <w:color w:val="auto"/>
                <w:sz w:val="21"/>
                <w:szCs w:val="21"/>
                <w:highlight w:val="none"/>
              </w:rPr>
            </w:pPr>
            <w:r>
              <w:rPr>
                <w:rFonts w:hint="eastAsia" w:ascii="宋体" w:hAnsi="宋体" w:eastAsia="宋体" w:cs="宋体"/>
                <w:b/>
                <w:bCs/>
                <w:color w:val="auto"/>
                <w:sz w:val="21"/>
                <w:szCs w:val="21"/>
                <w:highlight w:val="none"/>
              </w:rPr>
              <w:t>评标办法</w:t>
            </w:r>
          </w:p>
        </w:tc>
        <w:tc>
          <w:tcPr>
            <w:tcW w:w="7068" w:type="dxa"/>
            <w:shd w:val="clear" w:color="auto" w:fill="FEFEFE"/>
            <w:tcMar>
              <w:top w:w="0" w:type="dxa"/>
              <w:left w:w="57" w:type="dxa"/>
              <w:bottom w:w="0" w:type="dxa"/>
              <w:right w:w="57" w:type="dxa"/>
            </w:tcMar>
            <w:vAlign w:val="center"/>
          </w:tcPr>
          <w:p w14:paraId="4ECDEFD4">
            <w:pPr>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综合评分法</w:t>
            </w:r>
          </w:p>
        </w:tc>
      </w:tr>
      <w:tr w14:paraId="468E4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shd w:val="clear" w:color="auto" w:fill="FEFEFE"/>
            <w:tcMar>
              <w:top w:w="0" w:type="dxa"/>
              <w:left w:w="57" w:type="dxa"/>
              <w:bottom w:w="0" w:type="dxa"/>
              <w:right w:w="57" w:type="dxa"/>
            </w:tcMar>
            <w:vAlign w:val="center"/>
          </w:tcPr>
          <w:p w14:paraId="14DFA23B">
            <w:pPr>
              <w:pageBreakBefore w:val="0"/>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w:t>
            </w:r>
          </w:p>
        </w:tc>
        <w:tc>
          <w:tcPr>
            <w:tcW w:w="1965" w:type="dxa"/>
            <w:shd w:val="clear" w:color="auto" w:fill="FEFEFE"/>
            <w:tcMar>
              <w:top w:w="0" w:type="dxa"/>
              <w:left w:w="57" w:type="dxa"/>
              <w:bottom w:w="0" w:type="dxa"/>
              <w:right w:w="57" w:type="dxa"/>
            </w:tcMar>
            <w:vAlign w:val="center"/>
          </w:tcPr>
          <w:p w14:paraId="3F33EAC9">
            <w:pPr>
              <w:pageBreakBefore w:val="0"/>
              <w:overflowPunct/>
              <w:topLinePunct w:val="0"/>
              <w:bidi w:val="0"/>
              <w:spacing w:line="36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是否授权磋商小组确定</w:t>
            </w:r>
            <w:r>
              <w:rPr>
                <w:rFonts w:hint="eastAsia" w:ascii="宋体" w:hAnsi="宋体" w:eastAsia="宋体" w:cs="宋体"/>
                <w:b/>
                <w:bCs w:val="0"/>
                <w:color w:val="auto"/>
                <w:sz w:val="21"/>
                <w:szCs w:val="21"/>
                <w:highlight w:val="none"/>
                <w:lang w:eastAsia="zh-CN"/>
              </w:rPr>
              <w:t>成交</w:t>
            </w:r>
            <w:r>
              <w:rPr>
                <w:rFonts w:hint="eastAsia" w:ascii="宋体" w:hAnsi="宋体" w:eastAsia="宋体" w:cs="宋体"/>
                <w:b/>
                <w:bCs w:val="0"/>
                <w:color w:val="auto"/>
                <w:sz w:val="21"/>
                <w:szCs w:val="21"/>
                <w:highlight w:val="none"/>
              </w:rPr>
              <w:t>人</w:t>
            </w:r>
          </w:p>
        </w:tc>
        <w:tc>
          <w:tcPr>
            <w:tcW w:w="7068" w:type="dxa"/>
            <w:shd w:val="clear" w:color="auto" w:fill="FEFEFE"/>
            <w:tcMar>
              <w:top w:w="0" w:type="dxa"/>
              <w:left w:w="57" w:type="dxa"/>
              <w:bottom w:w="0" w:type="dxa"/>
              <w:right w:w="57" w:type="dxa"/>
            </w:tcMar>
            <w:vAlign w:val="center"/>
          </w:tcPr>
          <w:p w14:paraId="3B5EDD6B">
            <w:pPr>
              <w:pageBreakBefore w:val="0"/>
              <w:widowControl/>
              <w:overflowPunct/>
              <w:topLinePunct w:val="0"/>
              <w:bidi w:val="0"/>
              <w:spacing w:line="360" w:lineRule="auto"/>
              <w:ind w:firstLine="0" w:firstLineChars="0"/>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是</w:t>
            </w:r>
            <w:r>
              <w:rPr>
                <w:rFonts w:hint="eastAsia" w:ascii="宋体" w:hAnsi="宋体" w:eastAsia="宋体" w:cs="宋体"/>
                <w:bCs/>
                <w:color w:val="auto"/>
                <w:sz w:val="21"/>
                <w:szCs w:val="21"/>
                <w:highlight w:val="none"/>
                <w:lang w:eastAsia="zh-CN"/>
              </w:rPr>
              <w:t>。</w:t>
            </w:r>
          </w:p>
        </w:tc>
      </w:tr>
      <w:tr w14:paraId="23D0A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shd w:val="clear" w:color="auto" w:fill="FEFEFE"/>
            <w:tcMar>
              <w:top w:w="0" w:type="dxa"/>
              <w:left w:w="57" w:type="dxa"/>
              <w:bottom w:w="0" w:type="dxa"/>
              <w:right w:w="57" w:type="dxa"/>
            </w:tcMar>
            <w:vAlign w:val="center"/>
          </w:tcPr>
          <w:p w14:paraId="6A84836E">
            <w:pPr>
              <w:pageBreakBefore w:val="0"/>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w:t>
            </w:r>
          </w:p>
        </w:tc>
        <w:tc>
          <w:tcPr>
            <w:tcW w:w="1965" w:type="dxa"/>
            <w:shd w:val="clear" w:color="auto" w:fill="FEFEFE"/>
            <w:tcMar>
              <w:top w:w="0" w:type="dxa"/>
              <w:left w:w="57" w:type="dxa"/>
              <w:bottom w:w="0" w:type="dxa"/>
              <w:right w:w="57" w:type="dxa"/>
            </w:tcMar>
            <w:vAlign w:val="center"/>
          </w:tcPr>
          <w:p w14:paraId="391E1462">
            <w:pPr>
              <w:pageBreakBefore w:val="0"/>
              <w:overflowPunct/>
              <w:topLinePunct w:val="0"/>
              <w:bidi w:val="0"/>
              <w:spacing w:line="36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color w:val="auto"/>
                <w:sz w:val="21"/>
                <w:szCs w:val="21"/>
                <w:highlight w:val="none"/>
              </w:rPr>
              <w:t>履约保证金</w:t>
            </w:r>
          </w:p>
        </w:tc>
        <w:tc>
          <w:tcPr>
            <w:tcW w:w="7068" w:type="dxa"/>
            <w:shd w:val="clear" w:color="auto" w:fill="FEFEFE"/>
            <w:tcMar>
              <w:top w:w="0" w:type="dxa"/>
              <w:left w:w="57" w:type="dxa"/>
              <w:bottom w:w="0" w:type="dxa"/>
              <w:right w:w="57" w:type="dxa"/>
            </w:tcMar>
            <w:vAlign w:val="top"/>
          </w:tcPr>
          <w:p w14:paraId="0E22288F">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成交供应商</w:t>
            </w:r>
            <w:r>
              <w:rPr>
                <w:rFonts w:hint="eastAsia" w:ascii="宋体" w:hAnsi="宋体" w:eastAsia="宋体" w:cs="宋体"/>
                <w:b w:val="0"/>
                <w:bCs w:val="0"/>
                <w:color w:val="auto"/>
                <w:sz w:val="21"/>
                <w:szCs w:val="21"/>
                <w:highlight w:val="none"/>
                <w:lang w:val="en-US" w:eastAsia="zh-CN"/>
              </w:rPr>
              <w:t>在收到中标通知书后，须在</w:t>
            </w:r>
            <w:r>
              <w:rPr>
                <w:rFonts w:hint="eastAsia" w:ascii="宋体" w:hAnsi="宋体" w:cs="宋体"/>
                <w:b w:val="0"/>
                <w:bCs w:val="0"/>
                <w:color w:val="auto"/>
                <w:sz w:val="21"/>
                <w:szCs w:val="21"/>
                <w:highlight w:val="none"/>
                <w:u w:val="single"/>
                <w:lang w:val="en-US" w:eastAsia="zh-CN"/>
              </w:rPr>
              <w:t>/</w:t>
            </w:r>
            <w:r>
              <w:rPr>
                <w:rFonts w:hint="eastAsia" w:ascii="宋体" w:hAnsi="宋体" w:eastAsia="宋体" w:cs="宋体"/>
                <w:b w:val="0"/>
                <w:bCs w:val="0"/>
                <w:color w:val="auto"/>
                <w:sz w:val="21"/>
                <w:szCs w:val="21"/>
                <w:highlight w:val="none"/>
                <w:u w:val="single"/>
                <w:lang w:val="en-US" w:eastAsia="zh-CN"/>
              </w:rPr>
              <w:t>日</w:t>
            </w:r>
            <w:r>
              <w:rPr>
                <w:rFonts w:hint="eastAsia" w:ascii="宋体" w:hAnsi="宋体" w:eastAsia="宋体" w:cs="宋体"/>
                <w:b w:val="0"/>
                <w:bCs w:val="0"/>
                <w:color w:val="auto"/>
                <w:sz w:val="21"/>
                <w:szCs w:val="21"/>
                <w:highlight w:val="none"/>
                <w:lang w:val="en-US" w:eastAsia="zh-CN"/>
              </w:rPr>
              <w:t>内向发包人提交</w:t>
            </w:r>
            <w:r>
              <w:rPr>
                <w:rFonts w:hint="eastAsia" w:ascii="宋体" w:hAnsi="宋体" w:eastAsia="宋体" w:cs="宋体"/>
                <w:b w:val="0"/>
                <w:bCs w:val="0"/>
                <w:color w:val="auto"/>
                <w:sz w:val="21"/>
                <w:szCs w:val="21"/>
                <w:highlight w:val="none"/>
                <w:u w:val="single"/>
                <w:lang w:val="en-US" w:eastAsia="zh-CN"/>
              </w:rPr>
              <w:t>合同价款扣除暂列金额、专业工程暂估价后的</w:t>
            </w:r>
            <w:r>
              <w:rPr>
                <w:rFonts w:hint="eastAsia" w:ascii="宋体" w:hAnsi="宋体" w:cs="宋体"/>
                <w:b w:val="0"/>
                <w:bCs w:val="0"/>
                <w:color w:val="auto"/>
                <w:sz w:val="21"/>
                <w:szCs w:val="21"/>
                <w:highlight w:val="none"/>
                <w:u w:val="single"/>
                <w:lang w:val="en-US" w:eastAsia="zh-CN"/>
              </w:rPr>
              <w:t>/</w:t>
            </w:r>
            <w:r>
              <w:rPr>
                <w:rFonts w:hint="eastAsia" w:ascii="宋体" w:hAnsi="宋体" w:eastAsia="宋体" w:cs="宋体"/>
                <w:b w:val="0"/>
                <w:bCs w:val="0"/>
                <w:color w:val="auto"/>
                <w:sz w:val="21"/>
                <w:szCs w:val="21"/>
                <w:highlight w:val="none"/>
                <w:u w:val="single"/>
                <w:lang w:val="en-US" w:eastAsia="zh-CN"/>
              </w:rPr>
              <w:t xml:space="preserve"> %的履约担保</w:t>
            </w:r>
            <w:r>
              <w:rPr>
                <w:rFonts w:hint="eastAsia" w:ascii="宋体" w:hAnsi="宋体" w:eastAsia="宋体" w:cs="宋体"/>
                <w:b w:val="0"/>
                <w:bCs w:val="0"/>
                <w:color w:val="auto"/>
                <w:sz w:val="21"/>
                <w:szCs w:val="21"/>
                <w:highlight w:val="none"/>
                <w:lang w:val="en-US" w:eastAsia="zh-CN"/>
              </w:rPr>
              <w:t>（格式见合同附件7）。</w:t>
            </w:r>
          </w:p>
          <w:p w14:paraId="1FC5C771">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承包人提供履约担保的形式：</w:t>
            </w:r>
            <w:r>
              <w:rPr>
                <w:rFonts w:hint="eastAsia" w:ascii="宋体" w:hAnsi="宋体" w:eastAsia="宋体" w:cs="宋体"/>
                <w:b w:val="0"/>
                <w:bCs w:val="0"/>
                <w:color w:val="auto"/>
                <w:sz w:val="21"/>
                <w:szCs w:val="21"/>
                <w:highlight w:val="none"/>
                <w:u w:val="single"/>
                <w:lang w:val="en-US" w:eastAsia="zh-CN"/>
              </w:rPr>
              <w:t>可以是现金、银行保函、工程担保、电子保函或保证保险等形式。</w:t>
            </w:r>
          </w:p>
        </w:tc>
      </w:tr>
      <w:tr w14:paraId="3F396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shd w:val="clear" w:color="auto" w:fill="FEFEFE"/>
            <w:tcMar>
              <w:top w:w="0" w:type="dxa"/>
              <w:left w:w="57" w:type="dxa"/>
              <w:bottom w:w="0" w:type="dxa"/>
              <w:right w:w="57" w:type="dxa"/>
            </w:tcMar>
            <w:vAlign w:val="center"/>
          </w:tcPr>
          <w:p w14:paraId="42905250">
            <w:pPr>
              <w:pageBreakBefore w:val="0"/>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w:t>
            </w:r>
          </w:p>
        </w:tc>
        <w:tc>
          <w:tcPr>
            <w:tcW w:w="1965" w:type="dxa"/>
            <w:shd w:val="clear" w:color="auto" w:fill="FEFEFE"/>
            <w:tcMar>
              <w:top w:w="0" w:type="dxa"/>
              <w:left w:w="57" w:type="dxa"/>
              <w:bottom w:w="0" w:type="dxa"/>
              <w:right w:w="57" w:type="dxa"/>
            </w:tcMar>
            <w:vAlign w:val="center"/>
          </w:tcPr>
          <w:p w14:paraId="2398169A">
            <w:pPr>
              <w:pageBreakBefore w:val="0"/>
              <w:overflowPunct/>
              <w:topLinePunct w:val="0"/>
              <w:bidi w:val="0"/>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农民工工资保障金</w:t>
            </w:r>
          </w:p>
        </w:tc>
        <w:tc>
          <w:tcPr>
            <w:tcW w:w="7068" w:type="dxa"/>
            <w:shd w:val="clear" w:color="auto" w:fill="FEFEFE"/>
            <w:tcMar>
              <w:top w:w="0" w:type="dxa"/>
              <w:left w:w="57" w:type="dxa"/>
              <w:bottom w:w="0" w:type="dxa"/>
              <w:right w:w="57" w:type="dxa"/>
            </w:tcMar>
            <w:vAlign w:val="top"/>
          </w:tcPr>
          <w:p w14:paraId="70489004">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按相关规定执行。</w:t>
            </w:r>
          </w:p>
        </w:tc>
      </w:tr>
      <w:tr w14:paraId="2A07A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706" w:type="dxa"/>
            <w:shd w:val="clear" w:color="auto" w:fill="FEFEFE"/>
            <w:tcMar>
              <w:top w:w="0" w:type="dxa"/>
              <w:left w:w="57" w:type="dxa"/>
              <w:bottom w:w="0" w:type="dxa"/>
              <w:right w:w="57" w:type="dxa"/>
            </w:tcMar>
            <w:vAlign w:val="center"/>
          </w:tcPr>
          <w:p w14:paraId="1A041FDC">
            <w:pPr>
              <w:pageBreakBefore w:val="0"/>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w:t>
            </w:r>
          </w:p>
        </w:tc>
        <w:tc>
          <w:tcPr>
            <w:tcW w:w="1965" w:type="dxa"/>
            <w:shd w:val="clear" w:color="auto" w:fill="FEFEFE"/>
            <w:tcMar>
              <w:top w:w="0" w:type="dxa"/>
              <w:left w:w="57" w:type="dxa"/>
              <w:bottom w:w="0" w:type="dxa"/>
              <w:right w:w="57" w:type="dxa"/>
            </w:tcMar>
            <w:vAlign w:val="center"/>
          </w:tcPr>
          <w:p w14:paraId="65889299">
            <w:pPr>
              <w:pageBreakBefore w:val="0"/>
              <w:overflowPunct/>
              <w:topLinePunct w:val="0"/>
              <w:bidi w:val="0"/>
              <w:spacing w:line="36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上限控制价</w:t>
            </w:r>
          </w:p>
        </w:tc>
        <w:tc>
          <w:tcPr>
            <w:tcW w:w="7068" w:type="dxa"/>
            <w:shd w:val="clear" w:color="auto" w:fill="FEFEFE"/>
            <w:tcMar>
              <w:top w:w="0" w:type="dxa"/>
              <w:left w:w="57" w:type="dxa"/>
              <w:bottom w:w="0" w:type="dxa"/>
              <w:right w:w="57" w:type="dxa"/>
            </w:tcMar>
            <w:vAlign w:val="center"/>
          </w:tcPr>
          <w:p w14:paraId="4C4F90F3">
            <w:pPr>
              <w:pageBreakBefore w:val="0"/>
              <w:widowControl/>
              <w:overflowPunct/>
              <w:topLinePunct w:val="0"/>
              <w:bidi w:val="0"/>
              <w:spacing w:line="360" w:lineRule="auto"/>
              <w:ind w:firstLine="0" w:firstLineChars="0"/>
              <w:jc w:val="left"/>
              <w:rPr>
                <w:rFonts w:hint="eastAsia" w:ascii="宋体" w:hAnsi="宋体" w:eastAsia="宋体" w:cs="宋体"/>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人民币壹佰叁拾伍万柒仟捌佰零叁元零贰分（￥1357803.02）</w:t>
            </w:r>
            <w:r>
              <w:rPr>
                <w:rFonts w:hint="eastAsia" w:ascii="宋体" w:hAnsi="宋体" w:cs="宋体"/>
                <w:b w:val="0"/>
                <w:bCs w:val="0"/>
                <w:color w:val="auto"/>
                <w:sz w:val="21"/>
                <w:szCs w:val="21"/>
                <w:highlight w:val="none"/>
                <w:u w:val="none"/>
                <w:lang w:val="en-US" w:eastAsia="zh-CN"/>
              </w:rPr>
              <w:t>（含社会保险费）</w:t>
            </w:r>
            <w:r>
              <w:rPr>
                <w:rFonts w:hint="eastAsia" w:ascii="宋体" w:hAnsi="宋体" w:cs="宋体"/>
                <w:b w:val="0"/>
                <w:bCs w:val="0"/>
                <w:color w:val="auto"/>
                <w:sz w:val="21"/>
                <w:szCs w:val="21"/>
                <w:highlight w:val="none"/>
                <w:u w:val="single"/>
                <w:lang w:val="en-US" w:eastAsia="zh-CN"/>
              </w:rPr>
              <w:t>，其中</w:t>
            </w:r>
            <w:r>
              <w:rPr>
                <w:rFonts w:hint="eastAsia" w:ascii="宋体" w:hAnsi="宋体" w:eastAsia="宋体" w:cs="宋体"/>
                <w:b w:val="0"/>
                <w:bCs w:val="0"/>
                <w:color w:val="auto"/>
                <w:sz w:val="21"/>
                <w:szCs w:val="21"/>
                <w:highlight w:val="none"/>
                <w:u w:val="single"/>
              </w:rPr>
              <w:t>1.麦岭村委长广村大山至岐山塘脐橙产业路硬化工程上限控制价</w:t>
            </w:r>
            <w:r>
              <w:rPr>
                <w:rFonts w:hint="eastAsia" w:ascii="宋体" w:hAnsi="宋体" w:cs="宋体"/>
                <w:b w:val="0"/>
                <w:bCs w:val="0"/>
                <w:color w:val="auto"/>
                <w:sz w:val="21"/>
                <w:szCs w:val="21"/>
                <w:highlight w:val="none"/>
                <w:u w:val="single"/>
                <w:lang w:val="en-US" w:eastAsia="zh-CN"/>
              </w:rPr>
              <w:t>为￥530654.84；</w:t>
            </w:r>
            <w:r>
              <w:rPr>
                <w:rFonts w:hint="eastAsia" w:ascii="宋体" w:hAnsi="宋体" w:eastAsia="宋体" w:cs="宋体"/>
                <w:b w:val="0"/>
                <w:bCs w:val="0"/>
                <w:color w:val="auto"/>
                <w:sz w:val="21"/>
                <w:szCs w:val="21"/>
                <w:highlight w:val="none"/>
                <w:u w:val="single"/>
              </w:rPr>
              <w:t>2.石家乡石家社区双马塘至黄竹村脐橙产业路硬化工程上限控制价</w:t>
            </w:r>
            <w:r>
              <w:rPr>
                <w:rFonts w:hint="eastAsia" w:ascii="宋体" w:hAnsi="宋体" w:cs="宋体"/>
                <w:b w:val="0"/>
                <w:bCs w:val="0"/>
                <w:color w:val="auto"/>
                <w:sz w:val="21"/>
                <w:szCs w:val="21"/>
                <w:highlight w:val="none"/>
                <w:u w:val="single"/>
                <w:lang w:val="en-US" w:eastAsia="zh-CN"/>
              </w:rPr>
              <w:t>为￥493831.47；</w:t>
            </w:r>
            <w:r>
              <w:rPr>
                <w:rFonts w:hint="eastAsia" w:ascii="宋体" w:hAnsi="宋体" w:eastAsia="宋体" w:cs="宋体"/>
                <w:b w:val="0"/>
                <w:bCs w:val="0"/>
                <w:color w:val="auto"/>
                <w:sz w:val="21"/>
                <w:szCs w:val="21"/>
                <w:highlight w:val="none"/>
                <w:u w:val="single"/>
              </w:rPr>
              <w:t>3.葛坡镇岐山村委岐山大村石板桥至鸭婆塘蔬菜基地三面光水渠建设上限控制价</w:t>
            </w:r>
            <w:r>
              <w:rPr>
                <w:rFonts w:hint="eastAsia" w:ascii="宋体" w:hAnsi="宋体" w:cs="宋体"/>
                <w:b w:val="0"/>
                <w:bCs w:val="0"/>
                <w:color w:val="auto"/>
                <w:sz w:val="21"/>
                <w:szCs w:val="21"/>
                <w:highlight w:val="none"/>
                <w:u w:val="single"/>
                <w:lang w:val="en-US" w:eastAsia="zh-CN"/>
              </w:rPr>
              <w:t>为</w:t>
            </w:r>
            <w:r>
              <w:rPr>
                <w:rFonts w:hint="eastAsia" w:ascii="宋体" w:hAnsi="宋体" w:cs="宋体"/>
                <w:b w:val="0"/>
                <w:bCs w:val="0"/>
                <w:color w:val="auto"/>
                <w:sz w:val="21"/>
                <w:szCs w:val="21"/>
                <w:highlight w:val="none"/>
                <w:u w:val="single"/>
                <w:lang w:eastAsia="zh-CN"/>
              </w:rPr>
              <w:t>￥333316.71</w:t>
            </w:r>
            <w:r>
              <w:rPr>
                <w:rFonts w:hint="eastAsia" w:ascii="宋体" w:hAnsi="宋体" w:cs="宋体"/>
                <w:b w:val="0"/>
                <w:bCs w:val="0"/>
                <w:color w:val="auto"/>
                <w:sz w:val="21"/>
                <w:szCs w:val="21"/>
                <w:highlight w:val="none"/>
                <w:u w:val="single"/>
                <w:lang w:val="en-US" w:eastAsia="zh-CN"/>
              </w:rPr>
              <w:t>，</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报价高于公布的控制价的，其</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（磋商）作否决磋商处理。</w:t>
            </w:r>
          </w:p>
        </w:tc>
      </w:tr>
      <w:tr w14:paraId="5B748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shd w:val="clear" w:color="auto" w:fill="FEFEFE"/>
            <w:tcMar>
              <w:top w:w="0" w:type="dxa"/>
              <w:left w:w="57" w:type="dxa"/>
              <w:bottom w:w="0" w:type="dxa"/>
              <w:right w:w="57" w:type="dxa"/>
            </w:tcMar>
            <w:vAlign w:val="center"/>
          </w:tcPr>
          <w:p w14:paraId="5098B1EE">
            <w:pPr>
              <w:pageBreakBefore w:val="0"/>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w:t>
            </w:r>
          </w:p>
        </w:tc>
        <w:tc>
          <w:tcPr>
            <w:tcW w:w="1965" w:type="dxa"/>
            <w:shd w:val="clear" w:color="auto" w:fill="FEFEFE"/>
            <w:tcMar>
              <w:top w:w="0" w:type="dxa"/>
              <w:left w:w="57" w:type="dxa"/>
              <w:bottom w:w="0" w:type="dxa"/>
              <w:right w:w="57" w:type="dxa"/>
            </w:tcMar>
            <w:vAlign w:val="center"/>
          </w:tcPr>
          <w:p w14:paraId="58403A5F">
            <w:pPr>
              <w:pageBreakBefore w:val="0"/>
              <w:overflowPunct/>
              <w:topLinePunct w:val="0"/>
              <w:bidi w:val="0"/>
              <w:spacing w:line="36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代理</w:t>
            </w:r>
            <w:r>
              <w:rPr>
                <w:rFonts w:hint="eastAsia" w:ascii="宋体" w:hAnsi="宋体" w:eastAsia="宋体" w:cs="宋体"/>
                <w:b/>
                <w:bCs w:val="0"/>
                <w:color w:val="auto"/>
                <w:sz w:val="21"/>
                <w:szCs w:val="21"/>
                <w:highlight w:val="none"/>
                <w:lang w:eastAsia="zh-CN"/>
              </w:rPr>
              <w:t>服务</w:t>
            </w:r>
            <w:r>
              <w:rPr>
                <w:rFonts w:hint="eastAsia" w:ascii="宋体" w:hAnsi="宋体" w:eastAsia="宋体" w:cs="宋体"/>
                <w:b/>
                <w:bCs w:val="0"/>
                <w:color w:val="auto"/>
                <w:sz w:val="21"/>
                <w:szCs w:val="21"/>
                <w:highlight w:val="none"/>
              </w:rPr>
              <w:t>费</w:t>
            </w:r>
          </w:p>
        </w:tc>
        <w:tc>
          <w:tcPr>
            <w:tcW w:w="7068" w:type="dxa"/>
            <w:shd w:val="clear" w:color="auto" w:fill="FEFEFE"/>
            <w:tcMar>
              <w:top w:w="0" w:type="dxa"/>
              <w:left w:w="57" w:type="dxa"/>
              <w:bottom w:w="0" w:type="dxa"/>
              <w:right w:w="57" w:type="dxa"/>
            </w:tcMar>
            <w:vAlign w:val="center"/>
          </w:tcPr>
          <w:p w14:paraId="4008267B">
            <w:pPr>
              <w:snapToGrid/>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1.采购代理费支付方式：</w:t>
            </w:r>
          </w:p>
          <w:p w14:paraId="117F0DA8">
            <w:pPr>
              <w:snapToGrid/>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☑本项目代理服务费由</w:t>
            </w:r>
            <w:r>
              <w:rPr>
                <w:rFonts w:hint="eastAsia" w:hAnsi="宋体" w:cs="宋体"/>
                <w:color w:val="auto"/>
                <w:sz w:val="21"/>
                <w:highlight w:val="none"/>
                <w:u w:val="single"/>
                <w:lang w:val="en-US" w:eastAsia="zh-CN"/>
              </w:rPr>
              <w:t>成交供应商</w:t>
            </w:r>
            <w:r>
              <w:rPr>
                <w:rFonts w:hint="eastAsia" w:hAnsi="宋体" w:cs="宋体"/>
                <w:color w:val="auto"/>
                <w:sz w:val="21"/>
                <w:highlight w:val="none"/>
                <w:lang w:val="en-US" w:eastAsia="zh-CN"/>
              </w:rPr>
              <w:t>在领取中标通知书前，一次性向采购代理机构支付。</w:t>
            </w:r>
          </w:p>
          <w:p w14:paraId="3A942767">
            <w:pPr>
              <w:snapToGrid/>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□采购人支付。</w:t>
            </w:r>
          </w:p>
          <w:p w14:paraId="6DD43D5A">
            <w:pPr>
              <w:snapToGrid/>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2.采购代理费收取标准：</w:t>
            </w:r>
          </w:p>
          <w:p w14:paraId="5D534B92">
            <w:pPr>
              <w:snapToGrid/>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☑以分标（☑中标金额/□采购预算/□暂定中标金额/□其他）为计费额，按本须知正文第</w:t>
            </w:r>
            <w:r>
              <w:rPr>
                <w:rFonts w:hAnsi="宋体" w:cs="宋体"/>
                <w:color w:val="auto"/>
                <w:sz w:val="21"/>
                <w:highlight w:val="none"/>
                <w:lang w:val="en-US" w:eastAsia="zh-CN"/>
              </w:rPr>
              <w:t>3</w:t>
            </w:r>
            <w:r>
              <w:rPr>
                <w:rFonts w:hint="eastAsia" w:hAnsi="宋体" w:cs="宋体"/>
                <w:color w:val="auto"/>
                <w:sz w:val="21"/>
                <w:highlight w:val="none"/>
                <w:lang w:val="en-US" w:eastAsia="zh-CN"/>
              </w:rPr>
              <w:t>0.</w:t>
            </w:r>
            <w:r>
              <w:rPr>
                <w:rFonts w:hAnsi="宋体" w:cs="宋体"/>
                <w:color w:val="auto"/>
                <w:sz w:val="21"/>
                <w:highlight w:val="none"/>
                <w:lang w:val="en-US" w:eastAsia="zh-CN"/>
              </w:rPr>
              <w:t>2</w:t>
            </w:r>
            <w:r>
              <w:rPr>
                <w:rFonts w:hint="eastAsia" w:hAnsi="宋体" w:cs="宋体"/>
                <w:color w:val="auto"/>
                <w:sz w:val="21"/>
                <w:highlight w:val="none"/>
                <w:lang w:val="en-US" w:eastAsia="zh-CN"/>
              </w:rPr>
              <w:t>条规定的收费计算标准（□货物招标/□服务招标/☑工程招标）采用差额定率累进法计算出收费基准价格，采购代理收费以（□收费基准价格/□收费基准价格下浮</w:t>
            </w:r>
            <w:r>
              <w:rPr>
                <w:rFonts w:hint="eastAsia" w:hAnsi="宋体" w:cs="宋体"/>
                <w:color w:val="auto"/>
                <w:sz w:val="21"/>
                <w:highlight w:val="none"/>
                <w:u w:val="single"/>
                <w:lang w:val="en-US" w:eastAsia="zh-CN"/>
              </w:rPr>
              <w:t>30%</w:t>
            </w:r>
            <w:r>
              <w:rPr>
                <w:rFonts w:hAnsi="宋体" w:cs="宋体"/>
                <w:color w:val="auto"/>
                <w:sz w:val="21"/>
                <w:highlight w:val="none"/>
                <w:lang w:val="en-US" w:eastAsia="zh-CN"/>
              </w:rPr>
              <w:t>/</w:t>
            </w:r>
            <w:r>
              <w:rPr>
                <w:rFonts w:hint="eastAsia" w:hAnsi="宋体" w:cs="宋体"/>
                <w:color w:val="auto"/>
                <w:sz w:val="21"/>
                <w:highlight w:val="none"/>
                <w:lang w:val="en-US" w:eastAsia="zh-CN"/>
              </w:rPr>
              <w:t>□收费基准价格上浮</w:t>
            </w:r>
            <w:r>
              <w:rPr>
                <w:rFonts w:hint="eastAsia" w:hAnsi="宋体" w:cs="宋体"/>
                <w:color w:val="auto"/>
                <w:sz w:val="21"/>
                <w:highlight w:val="none"/>
                <w:u w:val="single"/>
                <w:lang w:val="en-US" w:eastAsia="zh-CN"/>
              </w:rPr>
              <w:t xml:space="preserve"> /</w:t>
            </w:r>
            <w:r>
              <w:rPr>
                <w:rFonts w:hAnsi="宋体" w:cs="宋体"/>
                <w:color w:val="auto"/>
                <w:sz w:val="21"/>
                <w:highlight w:val="none"/>
                <w:u w:val="single"/>
                <w:lang w:val="en-US" w:eastAsia="zh-CN"/>
              </w:rPr>
              <w:t xml:space="preserve">  </w:t>
            </w:r>
            <w:r>
              <w:rPr>
                <w:rFonts w:hint="eastAsia" w:hAnsi="宋体" w:cs="宋体"/>
                <w:color w:val="auto"/>
                <w:sz w:val="21"/>
                <w:highlight w:val="none"/>
                <w:u w:val="single"/>
                <w:lang w:val="en-US" w:eastAsia="zh-CN"/>
              </w:rPr>
              <w:t>%</w:t>
            </w:r>
            <w:r>
              <w:rPr>
                <w:rFonts w:hint="eastAsia" w:hAnsi="宋体" w:cs="宋体"/>
                <w:color w:val="auto"/>
                <w:sz w:val="21"/>
                <w:highlight w:val="none"/>
                <w:lang w:val="en-US" w:eastAsia="zh-CN"/>
              </w:rPr>
              <w:t>）收取。</w:t>
            </w:r>
          </w:p>
          <w:p w14:paraId="2CB6562D">
            <w:pPr>
              <w:snapToGrid/>
              <w:spacing w:line="360" w:lineRule="auto"/>
              <w:rPr>
                <w:rFonts w:hAnsi="宋体" w:cs="宋体"/>
                <w:color w:val="auto"/>
                <w:sz w:val="21"/>
                <w:highlight w:val="none"/>
                <w:u w:val="single"/>
                <w:lang w:val="en-US" w:eastAsia="zh-CN"/>
              </w:rPr>
            </w:pPr>
            <w:r>
              <w:rPr>
                <w:rFonts w:hint="eastAsia" w:hAnsi="宋体" w:cs="宋体"/>
                <w:color w:val="auto"/>
                <w:sz w:val="21"/>
                <w:highlight w:val="none"/>
                <w:lang w:val="en-US" w:eastAsia="zh-CN"/>
              </w:rPr>
              <w:t>□固定采购代理收费</w:t>
            </w:r>
            <w:r>
              <w:rPr>
                <w:rFonts w:hint="eastAsia" w:hAnsi="宋体" w:cs="宋体"/>
                <w:color w:val="auto"/>
                <w:sz w:val="21"/>
                <w:highlight w:val="none"/>
                <w:u w:val="single"/>
                <w:lang w:val="en-US" w:eastAsia="zh-CN"/>
              </w:rPr>
              <w:t xml:space="preserve"> /   。</w:t>
            </w:r>
          </w:p>
          <w:p w14:paraId="629434C7">
            <w:pPr>
              <w:snapToGrid/>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3</w:t>
            </w:r>
            <w:r>
              <w:rPr>
                <w:rFonts w:hAnsi="宋体" w:cs="宋体"/>
                <w:color w:val="auto"/>
                <w:sz w:val="21"/>
                <w:highlight w:val="none"/>
                <w:lang w:val="en-US" w:eastAsia="zh-CN"/>
              </w:rPr>
              <w:t>.</w:t>
            </w:r>
            <w:r>
              <w:rPr>
                <w:rFonts w:hint="eastAsia" w:hAnsi="宋体" w:cs="宋体"/>
                <w:color w:val="auto"/>
                <w:sz w:val="21"/>
                <w:highlight w:val="none"/>
                <w:lang w:val="en-US" w:eastAsia="zh-CN"/>
              </w:rPr>
              <w:t xml:space="preserve">账户名称： </w:t>
            </w:r>
          </w:p>
          <w:p w14:paraId="3B19C37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highlight w:val="none"/>
                <w:lang w:val="en-US" w:eastAsia="zh-CN"/>
              </w:rPr>
            </w:pPr>
            <w:r>
              <w:rPr>
                <w:rFonts w:hint="eastAsia"/>
                <w:color w:val="auto"/>
                <w:highlight w:val="none"/>
                <w:lang w:val="en-US" w:eastAsia="zh-CN"/>
              </w:rPr>
              <w:t>账户名称：广西朗亿工程咨询有限公司</w:t>
            </w:r>
          </w:p>
          <w:p w14:paraId="1E82B6A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highlight w:val="none"/>
                <w:lang w:val="en-US" w:eastAsia="zh-CN"/>
              </w:rPr>
            </w:pPr>
            <w:r>
              <w:rPr>
                <w:rFonts w:hint="eastAsia"/>
                <w:color w:val="auto"/>
                <w:highlight w:val="none"/>
                <w:lang w:val="en-US" w:eastAsia="zh-CN"/>
              </w:rPr>
              <w:t>账户号码：660000022794000013</w:t>
            </w:r>
          </w:p>
          <w:p w14:paraId="49B2DEBE">
            <w:pPr>
              <w:spacing w:line="360" w:lineRule="auto"/>
              <w:rPr>
                <w:rFonts w:hint="eastAsia"/>
                <w:color w:val="auto"/>
                <w:highlight w:val="none"/>
                <w:lang w:eastAsia="zh-CN"/>
              </w:rPr>
            </w:pPr>
            <w:r>
              <w:rPr>
                <w:rFonts w:hint="eastAsia"/>
                <w:color w:val="auto"/>
                <w:highlight w:val="none"/>
                <w:lang w:val="en-US" w:eastAsia="zh-CN"/>
              </w:rPr>
              <w:t>开户银行：桂林银行股份有限公司贺州分行</w:t>
            </w:r>
          </w:p>
        </w:tc>
      </w:tr>
      <w:tr w14:paraId="33CCA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shd w:val="clear" w:color="auto" w:fill="FEFEFE"/>
            <w:tcMar>
              <w:top w:w="0" w:type="dxa"/>
              <w:left w:w="57" w:type="dxa"/>
              <w:bottom w:w="0" w:type="dxa"/>
              <w:right w:w="57" w:type="dxa"/>
            </w:tcMar>
            <w:vAlign w:val="center"/>
          </w:tcPr>
          <w:p w14:paraId="6977098A">
            <w:pPr>
              <w:pageBreakBefore w:val="0"/>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w:t>
            </w:r>
          </w:p>
        </w:tc>
        <w:tc>
          <w:tcPr>
            <w:tcW w:w="1965" w:type="dxa"/>
            <w:shd w:val="clear" w:color="auto" w:fill="FEFEFE"/>
            <w:tcMar>
              <w:top w:w="0" w:type="dxa"/>
              <w:left w:w="57" w:type="dxa"/>
              <w:bottom w:w="0" w:type="dxa"/>
              <w:right w:w="57" w:type="dxa"/>
            </w:tcMar>
            <w:vAlign w:val="center"/>
          </w:tcPr>
          <w:p w14:paraId="6C171661">
            <w:pPr>
              <w:pageBreakBefore w:val="0"/>
              <w:overflowPunct/>
              <w:topLinePunct w:val="0"/>
              <w:bidi w:val="0"/>
              <w:spacing w:line="360" w:lineRule="auto"/>
              <w:jc w:val="center"/>
              <w:rPr>
                <w:rFonts w:hint="eastAsia" w:ascii="宋体" w:hAnsi="宋体" w:eastAsia="宋体" w:cs="宋体"/>
                <w:b/>
                <w:bCs w:val="0"/>
                <w:color w:val="auto"/>
                <w:sz w:val="21"/>
                <w:szCs w:val="21"/>
                <w:highlight w:val="none"/>
                <w:lang w:val="en-US" w:eastAsia="zh-CN"/>
              </w:rPr>
            </w:pPr>
          </w:p>
          <w:p w14:paraId="2DF676EE">
            <w:pPr>
              <w:pageBreakBefore w:val="0"/>
              <w:overflowPunct/>
              <w:topLinePunct w:val="0"/>
              <w:bidi w:val="0"/>
              <w:spacing w:line="360" w:lineRule="auto"/>
              <w:jc w:val="center"/>
              <w:rPr>
                <w:rFonts w:hint="eastAsia" w:ascii="宋体" w:hAnsi="宋体" w:eastAsia="宋体" w:cs="宋体"/>
                <w:b/>
                <w:bCs w:val="0"/>
                <w:color w:val="auto"/>
                <w:sz w:val="21"/>
                <w:szCs w:val="21"/>
                <w:highlight w:val="none"/>
                <w:lang w:val="en-US" w:eastAsia="zh-CN"/>
              </w:rPr>
            </w:pPr>
          </w:p>
          <w:p w14:paraId="36EDC12A">
            <w:pPr>
              <w:pageBreakBefore w:val="0"/>
              <w:overflowPunct/>
              <w:topLinePunct w:val="0"/>
              <w:bidi w:val="0"/>
              <w:spacing w:line="360" w:lineRule="auto"/>
              <w:jc w:val="center"/>
              <w:rPr>
                <w:rFonts w:hint="eastAsia" w:ascii="宋体" w:hAnsi="宋体" w:eastAsia="宋体" w:cs="宋体"/>
                <w:b/>
                <w:bCs w:val="0"/>
                <w:color w:val="auto"/>
                <w:sz w:val="21"/>
                <w:szCs w:val="21"/>
                <w:highlight w:val="none"/>
                <w:lang w:val="en-US" w:eastAsia="zh-CN"/>
              </w:rPr>
            </w:pPr>
          </w:p>
          <w:p w14:paraId="47D51F05">
            <w:pPr>
              <w:pageBreakBefore w:val="0"/>
              <w:overflowPunct/>
              <w:topLinePunct w:val="0"/>
              <w:bidi w:val="0"/>
              <w:spacing w:line="360" w:lineRule="auto"/>
              <w:jc w:val="center"/>
              <w:rPr>
                <w:rFonts w:hint="eastAsia" w:ascii="宋体" w:hAnsi="宋体" w:eastAsia="宋体" w:cs="宋体"/>
                <w:b/>
                <w:bCs w:val="0"/>
                <w:color w:val="auto"/>
                <w:sz w:val="21"/>
                <w:szCs w:val="21"/>
                <w:highlight w:val="none"/>
                <w:lang w:val="en-US" w:eastAsia="zh-CN"/>
              </w:rPr>
            </w:pPr>
          </w:p>
          <w:p w14:paraId="040D967C">
            <w:pPr>
              <w:pageBreakBefore w:val="0"/>
              <w:overflowPunct/>
              <w:topLinePunct w:val="0"/>
              <w:bidi w:val="0"/>
              <w:spacing w:line="360" w:lineRule="auto"/>
              <w:jc w:val="center"/>
              <w:rPr>
                <w:rFonts w:hint="eastAsia" w:ascii="宋体" w:hAnsi="宋体" w:eastAsia="宋体" w:cs="宋体"/>
                <w:b/>
                <w:bCs w:val="0"/>
                <w:color w:val="auto"/>
                <w:sz w:val="21"/>
                <w:szCs w:val="21"/>
                <w:highlight w:val="none"/>
                <w:lang w:val="en-US" w:eastAsia="zh-CN"/>
              </w:rPr>
            </w:pPr>
          </w:p>
          <w:p w14:paraId="51301FAF">
            <w:pPr>
              <w:pageBreakBefore w:val="0"/>
              <w:overflowPunct/>
              <w:topLinePunct w:val="0"/>
              <w:bidi w:val="0"/>
              <w:spacing w:line="360" w:lineRule="auto"/>
              <w:jc w:val="center"/>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特别说明</w:t>
            </w:r>
          </w:p>
        </w:tc>
        <w:tc>
          <w:tcPr>
            <w:tcW w:w="7068" w:type="dxa"/>
            <w:shd w:val="clear" w:color="auto" w:fill="FEFEFE"/>
            <w:tcMar>
              <w:top w:w="0" w:type="dxa"/>
              <w:left w:w="57" w:type="dxa"/>
              <w:bottom w:w="0" w:type="dxa"/>
              <w:right w:w="57" w:type="dxa"/>
            </w:tcMar>
            <w:vAlign w:val="center"/>
          </w:tcPr>
          <w:p w14:paraId="1BED882A">
            <w:pPr>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1E13792B">
            <w:pPr>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36E80F1">
            <w:pPr>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3.本磋商文件中描述供应商的“签字”是指供应商的法定代表人或者委托代理人亲自在文件规定签署处亲笔写上个人的名字的行为，私章、签字章、印鉴、影印等其他形式均不能代替亲笔签字。</w:t>
            </w:r>
          </w:p>
          <w:p w14:paraId="63A21DE4">
            <w:pPr>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4.自然人竞标的，磋商文件规定盖公章处由自然人摁手指指印。</w:t>
            </w:r>
          </w:p>
          <w:p w14:paraId="56DA0E3E">
            <w:pPr>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5.本磋商文件所称的“以上”“以下”“以内”“届满”，包括本数；所称的“不满”“超过”“以外”，不包括本数。</w:t>
            </w:r>
          </w:p>
        </w:tc>
      </w:tr>
    </w:tbl>
    <w:p w14:paraId="384EE919">
      <w:pPr>
        <w:pageBreakBefore w:val="0"/>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br w:type="page"/>
      </w:r>
      <w:r>
        <w:rPr>
          <w:rFonts w:hint="eastAsia" w:ascii="宋体" w:hAnsi="宋体" w:eastAsia="宋体" w:cs="宋体"/>
          <w:b/>
          <w:color w:val="auto"/>
          <w:sz w:val="28"/>
          <w:szCs w:val="28"/>
          <w:highlight w:val="none"/>
          <w:lang w:eastAsia="zh-CN"/>
        </w:rPr>
        <w:t>磋商供应商</w:t>
      </w:r>
      <w:r>
        <w:rPr>
          <w:rFonts w:hint="eastAsia" w:ascii="宋体" w:hAnsi="宋体" w:eastAsia="宋体" w:cs="宋体"/>
          <w:b/>
          <w:color w:val="auto"/>
          <w:sz w:val="28"/>
          <w:szCs w:val="28"/>
          <w:highlight w:val="none"/>
        </w:rPr>
        <w:t>须知</w:t>
      </w:r>
      <w:bookmarkStart w:id="61" w:name="_Toc459103898"/>
    </w:p>
    <w:p w14:paraId="7992BDB0">
      <w:pPr>
        <w:pStyle w:val="4"/>
        <w:pageBreakBefore w:val="0"/>
        <w:overflowPunct/>
        <w:topLinePunct w:val="0"/>
        <w:bidi w:val="0"/>
        <w:spacing w:before="0" w:after="0" w:line="360" w:lineRule="auto"/>
        <w:rPr>
          <w:rFonts w:hint="eastAsia" w:ascii="宋体" w:hAnsi="宋体" w:eastAsia="宋体" w:cs="宋体"/>
          <w:color w:val="auto"/>
          <w:sz w:val="21"/>
          <w:szCs w:val="21"/>
          <w:highlight w:val="none"/>
        </w:rPr>
      </w:pPr>
      <w:bookmarkStart w:id="62" w:name="_Toc1044"/>
    </w:p>
    <w:p w14:paraId="0E9C91E7">
      <w:pPr>
        <w:pStyle w:val="4"/>
        <w:pageBreakBefore w:val="0"/>
        <w:overflowPunct/>
        <w:topLinePunct w:val="0"/>
        <w:bidi w:val="0"/>
        <w:spacing w:before="0" w:after="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一、总则</w:t>
      </w:r>
      <w:bookmarkEnd w:id="61"/>
      <w:bookmarkEnd w:id="62"/>
    </w:p>
    <w:p w14:paraId="12F5E4B2">
      <w:pPr>
        <w:pageBreakBefore w:val="0"/>
        <w:overflowPunct/>
        <w:topLinePunct w:val="0"/>
        <w:bidi w:val="0"/>
        <w:spacing w:line="360" w:lineRule="auto"/>
        <w:ind w:left="1271" w:leftChars="0" w:right="-192" w:hanging="1271" w:hangingChars="603"/>
        <w:jc w:val="left"/>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rPr>
        <w:t>1、项目名称：</w:t>
      </w:r>
      <w:r>
        <w:rPr>
          <w:rFonts w:hint="eastAsia" w:ascii="宋体" w:hAnsi="宋体" w:cs="宋体"/>
          <w:color w:val="auto"/>
          <w:sz w:val="21"/>
          <w:szCs w:val="21"/>
          <w:highlight w:val="none"/>
          <w:lang w:val="en-US" w:eastAsia="zh-CN"/>
        </w:rPr>
        <w:t>富川民宗局2026年第二批财政常态化帮扶资金项目</w:t>
      </w:r>
    </w:p>
    <w:p w14:paraId="59FF3239">
      <w:pPr>
        <w:pageBreakBefore w:val="0"/>
        <w:overflowPunct/>
        <w:topLinePunct w:val="0"/>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eastAsia="zh-CN"/>
        </w:rPr>
        <w:t>磋商供应商</w:t>
      </w:r>
      <w:r>
        <w:rPr>
          <w:rFonts w:hint="eastAsia" w:ascii="宋体" w:hAnsi="宋体" w:eastAsia="宋体" w:cs="宋体"/>
          <w:b/>
          <w:bCs/>
          <w:color w:val="auto"/>
          <w:sz w:val="21"/>
          <w:szCs w:val="21"/>
          <w:highlight w:val="none"/>
        </w:rPr>
        <w:t>资质要求：</w:t>
      </w:r>
    </w:p>
    <w:p w14:paraId="1F26761A">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2.1资质要求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具体详见第一章竞争性磋商公告“</w:t>
      </w:r>
      <w:r>
        <w:rPr>
          <w:rFonts w:hint="eastAsia" w:ascii="宋体" w:hAnsi="宋体" w:eastAsia="宋体" w:cs="宋体"/>
          <w:color w:val="auto"/>
          <w:sz w:val="21"/>
          <w:szCs w:val="21"/>
          <w:highlight w:val="none"/>
        </w:rPr>
        <w:t>二、申请人的资格要求</w:t>
      </w:r>
      <w:r>
        <w:rPr>
          <w:rFonts w:hint="eastAsia" w:ascii="宋体" w:hAnsi="宋体" w:eastAsia="宋体" w:cs="宋体"/>
          <w:color w:val="auto"/>
          <w:sz w:val="21"/>
          <w:szCs w:val="21"/>
          <w:highlight w:val="none"/>
          <w:lang w:val="en-US" w:eastAsia="zh-CN"/>
        </w:rPr>
        <w:t>”</w:t>
      </w:r>
    </w:p>
    <w:p w14:paraId="15570CE4">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2.2符合</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资格的</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应承担磋商及履约中应承担的全部责任与义务。</w:t>
      </w:r>
    </w:p>
    <w:p w14:paraId="540C0046">
      <w:pPr>
        <w:pageBreakBefore w:val="0"/>
        <w:overflowPunct/>
        <w:topLinePunct w:val="0"/>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3、磋商费用</w:t>
      </w:r>
    </w:p>
    <w:p w14:paraId="3C65F8A5">
      <w:pPr>
        <w:pageBreakBefore w:val="0"/>
        <w:overflowPunct/>
        <w:topLinePunct w:val="0"/>
        <w:bidi w:val="0"/>
        <w:spacing w:line="360" w:lineRule="auto"/>
        <w:ind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rPr>
        <w:t>3.1</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应自行承担所有与本次磋商有关的全部费用。</w:t>
      </w:r>
      <w:bookmarkStart w:id="63" w:name="_Toc459103899"/>
    </w:p>
    <w:p w14:paraId="452D40F9">
      <w:pPr>
        <w:pStyle w:val="4"/>
        <w:pageBreakBefore w:val="0"/>
        <w:overflowPunct/>
        <w:topLinePunct w:val="0"/>
        <w:bidi w:val="0"/>
        <w:spacing w:before="0" w:after="0" w:line="360" w:lineRule="auto"/>
        <w:rPr>
          <w:rFonts w:hint="eastAsia" w:ascii="宋体" w:hAnsi="宋体" w:eastAsia="宋体" w:cs="宋体"/>
          <w:color w:val="auto"/>
          <w:sz w:val="24"/>
          <w:szCs w:val="24"/>
          <w:highlight w:val="none"/>
        </w:rPr>
      </w:pPr>
      <w:bookmarkStart w:id="64" w:name="_Toc20801"/>
    </w:p>
    <w:p w14:paraId="5B9D5DE0">
      <w:pPr>
        <w:pStyle w:val="4"/>
        <w:pageBreakBefore w:val="0"/>
        <w:overflowPunct/>
        <w:topLinePunct w:val="0"/>
        <w:bidi w:val="0"/>
        <w:spacing w:before="0" w:after="0"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二、</w:t>
      </w:r>
      <w:bookmarkEnd w:id="63"/>
      <w:r>
        <w:rPr>
          <w:rFonts w:hint="eastAsia" w:ascii="宋体" w:hAnsi="宋体" w:eastAsia="宋体" w:cs="宋体"/>
          <w:color w:val="auto"/>
          <w:sz w:val="24"/>
          <w:szCs w:val="24"/>
          <w:highlight w:val="none"/>
          <w:lang w:eastAsia="zh-CN"/>
        </w:rPr>
        <w:t>《竞争性磋商文件》</w:t>
      </w:r>
      <w:bookmarkEnd w:id="64"/>
    </w:p>
    <w:p w14:paraId="62523C00">
      <w:pPr>
        <w:pageBreakBefore w:val="0"/>
        <w:overflowPunct/>
        <w:topLinePunct w:val="0"/>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w:t>
      </w:r>
      <w:r>
        <w:rPr>
          <w:rFonts w:hint="eastAsia" w:ascii="宋体" w:hAnsi="宋体" w:eastAsia="宋体" w:cs="宋体"/>
          <w:b/>
          <w:bCs/>
          <w:color w:val="auto"/>
          <w:sz w:val="21"/>
          <w:szCs w:val="21"/>
          <w:highlight w:val="none"/>
          <w:lang w:eastAsia="zh-CN"/>
        </w:rPr>
        <w:t>《竞争性磋商文件》</w:t>
      </w:r>
      <w:r>
        <w:rPr>
          <w:rFonts w:hint="eastAsia" w:ascii="宋体" w:hAnsi="宋体" w:eastAsia="宋体" w:cs="宋体"/>
          <w:b/>
          <w:bCs/>
          <w:color w:val="auto"/>
          <w:sz w:val="21"/>
          <w:szCs w:val="21"/>
          <w:highlight w:val="none"/>
        </w:rPr>
        <w:t>的构成</w:t>
      </w:r>
    </w:p>
    <w:p w14:paraId="107FDAB8">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4.1磋商文件包括：</w:t>
      </w:r>
    </w:p>
    <w:p w14:paraId="082258B9">
      <w:pPr>
        <w:pStyle w:val="15"/>
        <w:pageBreakBefore w:val="0"/>
        <w:overflowPunct/>
        <w:topLinePunct w:val="0"/>
        <w:bidi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（1）竞争性磋商公告</w:t>
      </w:r>
    </w:p>
    <w:p w14:paraId="768B3A41">
      <w:pPr>
        <w:pStyle w:val="15"/>
        <w:pageBreakBefore w:val="0"/>
        <w:overflowPunct/>
        <w:topLinePunct w:val="0"/>
        <w:bidi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w:t>
      </w:r>
      <w:r>
        <w:rPr>
          <w:rFonts w:hint="eastAsia" w:ascii="宋体" w:hAnsi="宋体" w:eastAsia="宋体" w:cs="宋体"/>
          <w:bCs/>
          <w:color w:val="auto"/>
          <w:sz w:val="21"/>
          <w:szCs w:val="21"/>
          <w:highlight w:val="none"/>
          <w:lang w:eastAsia="zh-CN"/>
        </w:rPr>
        <w:t>磋商供应商</w:t>
      </w:r>
      <w:r>
        <w:rPr>
          <w:rFonts w:hint="eastAsia" w:ascii="宋体" w:hAnsi="宋体" w:eastAsia="宋体" w:cs="宋体"/>
          <w:bCs/>
          <w:color w:val="auto"/>
          <w:sz w:val="21"/>
          <w:szCs w:val="21"/>
          <w:highlight w:val="none"/>
        </w:rPr>
        <w:t>须知及前附表</w:t>
      </w:r>
    </w:p>
    <w:p w14:paraId="1E0BE533">
      <w:pPr>
        <w:pStyle w:val="15"/>
        <w:pageBreakBefore w:val="0"/>
        <w:overflowPunct/>
        <w:topLinePunct w:val="0"/>
        <w:bidi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（3）合同条款及格式</w:t>
      </w:r>
    </w:p>
    <w:p w14:paraId="7BE4E2DD">
      <w:pPr>
        <w:pStyle w:val="15"/>
        <w:pageBreakBefore w:val="0"/>
        <w:overflowPunct/>
        <w:topLinePunct w:val="0"/>
        <w:bidi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w:t>
      </w:r>
      <w:r>
        <w:rPr>
          <w:rFonts w:hint="eastAsia" w:ascii="宋体" w:hAnsi="宋体" w:eastAsia="宋体" w:cs="宋体"/>
          <w:color w:val="auto"/>
          <w:sz w:val="21"/>
          <w:szCs w:val="21"/>
          <w:highlight w:val="none"/>
        </w:rPr>
        <w:t>工程量清单</w:t>
      </w:r>
    </w:p>
    <w:p w14:paraId="2591AC50">
      <w:pPr>
        <w:pStyle w:val="15"/>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（5）图纸</w:t>
      </w:r>
    </w:p>
    <w:p w14:paraId="0773D1F2">
      <w:pPr>
        <w:pStyle w:val="15"/>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bCs/>
          <w:color w:val="auto"/>
          <w:sz w:val="21"/>
          <w:szCs w:val="21"/>
          <w:highlight w:val="none"/>
        </w:rPr>
        <w:t>技术标准和要求</w:t>
      </w:r>
    </w:p>
    <w:p w14:paraId="1D4F0272">
      <w:pPr>
        <w:pStyle w:val="15"/>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格式</w:t>
      </w:r>
    </w:p>
    <w:p w14:paraId="7C721DFE">
      <w:pPr>
        <w:pStyle w:val="15"/>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（8）评标办法</w:t>
      </w:r>
    </w:p>
    <w:p w14:paraId="114E95B7">
      <w:pPr>
        <w:pageBreakBefore w:val="0"/>
        <w:overflowPunct/>
        <w:topLinePunct w:val="0"/>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5、</w:t>
      </w:r>
      <w:r>
        <w:rPr>
          <w:rFonts w:hint="eastAsia" w:ascii="宋体" w:hAnsi="宋体" w:eastAsia="宋体" w:cs="宋体"/>
          <w:b/>
          <w:bCs/>
          <w:color w:val="auto"/>
          <w:sz w:val="21"/>
          <w:szCs w:val="21"/>
          <w:highlight w:val="none"/>
          <w:lang w:eastAsia="zh-CN"/>
        </w:rPr>
        <w:t>《竞争性磋商文件》</w:t>
      </w:r>
      <w:r>
        <w:rPr>
          <w:rFonts w:hint="eastAsia" w:ascii="宋体" w:hAnsi="宋体" w:eastAsia="宋体" w:cs="宋体"/>
          <w:b/>
          <w:bCs/>
          <w:color w:val="auto"/>
          <w:sz w:val="21"/>
          <w:szCs w:val="21"/>
          <w:highlight w:val="none"/>
        </w:rPr>
        <w:t>的澄清和修改</w:t>
      </w:r>
    </w:p>
    <w:p w14:paraId="3B953DB3">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5.1提交首次响应文件截止之日前，采购代理机构可以对已发出的磋商文件进行必要澄清或者修改，澄清或者修改的内容可能影响响应文件编制的，采购代理机构应当在提交首次响应文件递交截止时间5日前在本项目竞争性磋商公告发布的同一媒体上发布更正公告，不足5日的，应当顺延首次响应文件递交截止时间</w:t>
      </w:r>
      <w:r>
        <w:rPr>
          <w:rFonts w:hint="eastAsia" w:ascii="宋体" w:hAnsi="宋体" w:eastAsia="宋体" w:cs="宋体"/>
          <w:color w:val="auto"/>
          <w:sz w:val="21"/>
          <w:szCs w:val="21"/>
          <w:highlight w:val="none"/>
          <w:lang w:eastAsia="zh-CN"/>
        </w:rPr>
        <w:t>。</w:t>
      </w:r>
    </w:p>
    <w:p w14:paraId="6FCE2B43">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5.2澄清或者修改的内容为磋商文件的组成部分。当澄清或者修改通知就同一内容的表述不一致时，以最后发出的文件</w:t>
      </w:r>
      <w:r>
        <w:rPr>
          <w:rFonts w:hint="eastAsia" w:ascii="宋体" w:hAnsi="宋体" w:eastAsia="宋体" w:cs="宋体"/>
          <w:color w:val="auto"/>
          <w:sz w:val="21"/>
          <w:szCs w:val="21"/>
          <w:highlight w:val="none"/>
          <w:lang w:eastAsia="zh-CN"/>
        </w:rPr>
        <w:t>内容</w:t>
      </w:r>
      <w:r>
        <w:rPr>
          <w:rFonts w:hint="eastAsia" w:ascii="宋体" w:hAnsi="宋体" w:eastAsia="宋体" w:cs="宋体"/>
          <w:color w:val="auto"/>
          <w:sz w:val="21"/>
          <w:szCs w:val="21"/>
          <w:highlight w:val="none"/>
        </w:rPr>
        <w:t>为准。</w:t>
      </w:r>
    </w:p>
    <w:p w14:paraId="5286BAA9">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5.3磋商文件的澄清或者修改都应该通过本项目采购代理机构以法定形式发布，采购人非通过本机构，不得擅自澄清或者修改磋商文件。</w:t>
      </w:r>
    </w:p>
    <w:p w14:paraId="7A1E708D">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5.4采购代理机构可以视采购具体情况，延长首次响应文件递交截止时间和磋商时间，并将变更时间在本项目竞争性磋商公告发布的同一媒体上发布变更公告。</w:t>
      </w:r>
    </w:p>
    <w:p w14:paraId="37B4BB7F">
      <w:pPr>
        <w:pStyle w:val="4"/>
        <w:pageBreakBefore w:val="0"/>
        <w:overflowPunct/>
        <w:topLinePunct w:val="0"/>
        <w:bidi w:val="0"/>
        <w:spacing w:before="0" w:after="0" w:line="360" w:lineRule="auto"/>
        <w:rPr>
          <w:rFonts w:hint="eastAsia" w:ascii="宋体" w:hAnsi="宋体" w:eastAsia="宋体" w:cs="宋体"/>
          <w:color w:val="auto"/>
          <w:sz w:val="24"/>
          <w:szCs w:val="24"/>
          <w:highlight w:val="none"/>
        </w:rPr>
      </w:pPr>
    </w:p>
    <w:p w14:paraId="12E52596">
      <w:pPr>
        <w:pStyle w:val="4"/>
        <w:pageBreakBefore w:val="0"/>
        <w:overflowPunct/>
        <w:topLinePunct w:val="0"/>
        <w:bidi w:val="0"/>
        <w:spacing w:before="0"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bookmarkStart w:id="65" w:name="_Toc459103900"/>
      <w:bookmarkStart w:id="66" w:name="_Toc5970"/>
      <w:r>
        <w:rPr>
          <w:rFonts w:hint="eastAsia" w:ascii="宋体" w:hAnsi="宋体" w:eastAsia="宋体" w:cs="宋体"/>
          <w:color w:val="auto"/>
          <w:sz w:val="24"/>
          <w:szCs w:val="24"/>
          <w:highlight w:val="none"/>
        </w:rPr>
        <w:t>三、磋商报价说明</w:t>
      </w:r>
      <w:bookmarkEnd w:id="65"/>
      <w:bookmarkEnd w:id="66"/>
    </w:p>
    <w:p w14:paraId="3E920709">
      <w:pPr>
        <w:pStyle w:val="15"/>
        <w:pageBreakBefore w:val="0"/>
        <w:overflowPunct/>
        <w:topLinePunct w:val="0"/>
        <w:bidi w:val="0"/>
        <w:spacing w:line="360" w:lineRule="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6、磋商</w:t>
      </w:r>
      <w:r>
        <w:rPr>
          <w:rFonts w:hint="eastAsia" w:ascii="宋体" w:hAnsi="宋体" w:eastAsia="宋体" w:cs="宋体"/>
          <w:b/>
          <w:color w:val="auto"/>
          <w:sz w:val="21"/>
          <w:szCs w:val="21"/>
          <w:highlight w:val="none"/>
          <w:lang w:val="en-US" w:eastAsia="zh-CN"/>
        </w:rPr>
        <w:t>报价</w:t>
      </w:r>
    </w:p>
    <w:p w14:paraId="273DD812">
      <w:pPr>
        <w:pStyle w:val="15"/>
        <w:pageBreakBefore w:val="0"/>
        <w:overflowPunct/>
        <w:topLinePunct w:val="0"/>
        <w:bidi w:val="0"/>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6.1磋商报价：本项目磋商报价不允许超过采购上限控制价</w:t>
      </w:r>
      <w:r>
        <w:rPr>
          <w:rFonts w:hint="eastAsia" w:ascii="宋体" w:hAnsi="宋体" w:eastAsia="宋体" w:cs="宋体"/>
          <w:bCs/>
          <w:color w:val="auto"/>
          <w:sz w:val="21"/>
          <w:szCs w:val="21"/>
          <w:highlight w:val="none"/>
          <w:lang w:eastAsia="zh-CN"/>
        </w:rPr>
        <w:t>。</w:t>
      </w:r>
      <w:r>
        <w:rPr>
          <w:rFonts w:hint="eastAsia" w:ascii="宋体" w:hAnsi="宋体" w:eastAsia="宋体" w:cs="宋体"/>
          <w:color w:val="auto"/>
          <w:sz w:val="21"/>
          <w:szCs w:val="21"/>
          <w:highlight w:val="none"/>
          <w:lang w:val="en-US" w:eastAsia="zh-CN"/>
        </w:rPr>
        <w:t xml:space="preserve"> </w:t>
      </w:r>
    </w:p>
    <w:p w14:paraId="7E4D1547">
      <w:pPr>
        <w:pStyle w:val="15"/>
        <w:pageBreakBefore w:val="0"/>
        <w:overflowPunct/>
        <w:topLinePunct w:val="0"/>
        <w:bidi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6.1.1具有标价的工程量清单中所报的单价和合价，以及报价汇总表中的价格应包括施工设备、劳务、管理、材料、安装、维护、保险、利润、税金、政策性文件规定及合同包含的所有风险、责任等各项应有费用。</w:t>
      </w:r>
    </w:p>
    <w:p w14:paraId="7E1FAB68">
      <w:pPr>
        <w:pStyle w:val="15"/>
        <w:pageBreakBefore w:val="0"/>
        <w:tabs>
          <w:tab w:val="left" w:pos="284"/>
        </w:tabs>
        <w:overflowPunct/>
        <w:topLinePunct w:val="0"/>
        <w:bidi w:val="0"/>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bCs/>
          <w:color w:val="auto"/>
          <w:sz w:val="21"/>
          <w:szCs w:val="21"/>
          <w:highlight w:val="none"/>
        </w:rPr>
        <w:t xml:space="preserve">6.2 </w:t>
      </w:r>
      <w:r>
        <w:rPr>
          <w:rFonts w:hint="eastAsia" w:ascii="宋体" w:hAnsi="宋体" w:eastAsia="宋体" w:cs="宋体"/>
          <w:color w:val="auto"/>
          <w:sz w:val="21"/>
          <w:szCs w:val="21"/>
          <w:highlight w:val="none"/>
        </w:rPr>
        <w:t>承包方式：</w:t>
      </w:r>
      <w:r>
        <w:rPr>
          <w:rFonts w:hint="eastAsia" w:ascii="宋体" w:hAnsi="宋体" w:eastAsia="宋体" w:cs="宋体"/>
          <w:bCs/>
          <w:color w:val="auto"/>
          <w:sz w:val="21"/>
          <w:szCs w:val="21"/>
          <w:highlight w:val="none"/>
        </w:rPr>
        <w:t>　</w:t>
      </w:r>
      <w:r>
        <w:rPr>
          <w:rFonts w:hint="eastAsia" w:ascii="宋体" w:hAnsi="宋体" w:eastAsia="宋体" w:cs="宋体"/>
          <w:b/>
          <w:color w:val="auto"/>
          <w:sz w:val="21"/>
          <w:szCs w:val="21"/>
          <w:highlight w:val="none"/>
        </w:rPr>
        <w:t xml:space="preserve"> </w:t>
      </w:r>
    </w:p>
    <w:p w14:paraId="419413B1">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 xml:space="preserve">6.2.1 </w:t>
      </w:r>
      <w:r>
        <w:rPr>
          <w:rFonts w:hint="eastAsia" w:ascii="宋体" w:hAnsi="宋体" w:eastAsia="宋体" w:cs="宋体"/>
          <w:color w:val="auto"/>
          <w:sz w:val="21"/>
          <w:szCs w:val="21"/>
          <w:highlight w:val="none"/>
        </w:rPr>
        <w:t>本合同价款采用</w:t>
      </w:r>
      <w:r>
        <w:rPr>
          <w:rFonts w:hint="eastAsia" w:ascii="宋体" w:hAnsi="宋体" w:eastAsia="宋体" w:cs="宋体"/>
          <w:b/>
          <w:bCs/>
          <w:color w:val="auto"/>
          <w:sz w:val="21"/>
          <w:szCs w:val="21"/>
          <w:highlight w:val="none"/>
        </w:rPr>
        <w:t>固定综合单价方式</w:t>
      </w:r>
      <w:r>
        <w:rPr>
          <w:rFonts w:hint="eastAsia" w:ascii="宋体" w:hAnsi="宋体" w:eastAsia="宋体" w:cs="宋体"/>
          <w:color w:val="auto"/>
          <w:sz w:val="21"/>
          <w:szCs w:val="21"/>
          <w:highlight w:val="none"/>
        </w:rPr>
        <w:t>。</w:t>
      </w:r>
    </w:p>
    <w:p w14:paraId="2A6EBC80">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6.2.2 </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应按照采购人提供的工程量清单进行报价并对自己所填写的项目编码、项目名称、计量单位、工程数量负责。</w:t>
      </w:r>
      <w:r>
        <w:rPr>
          <w:rFonts w:hint="eastAsia" w:ascii="宋体" w:hAnsi="宋体" w:eastAsia="宋体" w:cs="宋体"/>
          <w:b w:val="0"/>
          <w:bCs/>
          <w:color w:val="auto"/>
          <w:sz w:val="21"/>
          <w:szCs w:val="21"/>
          <w:highlight w:val="none"/>
        </w:rPr>
        <w:t>评标时，如项目编码与项目名称不一致，以项目编码为准；如项目编码与计量单位、工程数量无法对应</w:t>
      </w:r>
      <w:r>
        <w:rPr>
          <w:rFonts w:hint="eastAsia" w:ascii="宋体" w:hAnsi="宋体" w:eastAsia="宋体" w:cs="宋体"/>
          <w:b w:val="0"/>
          <w:bCs/>
          <w:color w:val="auto"/>
          <w:sz w:val="21"/>
          <w:szCs w:val="21"/>
          <w:highlight w:val="none"/>
          <w:lang w:eastAsia="zh-CN"/>
        </w:rPr>
        <w:t>的</w:t>
      </w:r>
      <w:r>
        <w:rPr>
          <w:rFonts w:hint="eastAsia" w:ascii="宋体" w:hAnsi="宋体" w:eastAsia="宋体" w:cs="宋体"/>
          <w:b w:val="0"/>
          <w:bCs/>
          <w:color w:val="auto"/>
          <w:sz w:val="21"/>
          <w:szCs w:val="21"/>
          <w:highlight w:val="none"/>
        </w:rPr>
        <w:t>，该清单项目作废，该清单项目的费用视为包含在其它清单项目中；如作废的清单项目达到</w:t>
      </w:r>
      <w:r>
        <w:rPr>
          <w:rFonts w:hint="eastAsia" w:ascii="宋体" w:hAnsi="宋体" w:eastAsia="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rPr>
        <w:t>项及以上，视为不响应竞争性</w:t>
      </w:r>
      <w:r>
        <w:rPr>
          <w:rFonts w:hint="eastAsia" w:ascii="宋体" w:hAnsi="宋体" w:eastAsia="宋体" w:cs="宋体"/>
          <w:b w:val="0"/>
          <w:bCs/>
          <w:color w:val="auto"/>
          <w:sz w:val="21"/>
          <w:szCs w:val="21"/>
          <w:highlight w:val="none"/>
          <w:lang w:eastAsia="zh-CN"/>
        </w:rPr>
        <w:t>磋商</w:t>
      </w:r>
      <w:r>
        <w:rPr>
          <w:rFonts w:hint="eastAsia" w:ascii="宋体" w:hAnsi="宋体" w:eastAsia="宋体" w:cs="宋体"/>
          <w:b w:val="0"/>
          <w:bCs/>
          <w:color w:val="auto"/>
          <w:sz w:val="21"/>
          <w:szCs w:val="21"/>
          <w:highlight w:val="none"/>
        </w:rPr>
        <w:t>文件实质性内容，作废标处理。</w:t>
      </w:r>
    </w:p>
    <w:p w14:paraId="04882156">
      <w:pPr>
        <w:pStyle w:val="15"/>
        <w:pageBreakBefore w:val="0"/>
        <w:overflowPunct/>
        <w:topLinePunct w:val="0"/>
        <w:bidi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6.3 磋商货币：</w:t>
      </w:r>
      <w:r>
        <w:rPr>
          <w:rFonts w:hint="eastAsia" w:ascii="宋体" w:hAnsi="宋体" w:eastAsia="宋体" w:cs="宋体"/>
          <w:bCs/>
          <w:color w:val="auto"/>
          <w:sz w:val="21"/>
          <w:szCs w:val="21"/>
          <w:highlight w:val="none"/>
          <w:lang w:eastAsia="zh-CN"/>
        </w:rPr>
        <w:t>《响应文件》</w:t>
      </w:r>
      <w:r>
        <w:rPr>
          <w:rFonts w:hint="eastAsia" w:ascii="宋体" w:hAnsi="宋体" w:eastAsia="宋体" w:cs="宋体"/>
          <w:bCs/>
          <w:color w:val="auto"/>
          <w:sz w:val="21"/>
          <w:szCs w:val="21"/>
          <w:highlight w:val="none"/>
        </w:rPr>
        <w:t>报价中的单价和合价全部采用人民币表示。</w:t>
      </w:r>
    </w:p>
    <w:p w14:paraId="153902B7">
      <w:pPr>
        <w:pageBreakBefore w:val="0"/>
        <w:overflowPunct/>
        <w:topLinePunct w:val="0"/>
        <w:bidi w:val="0"/>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w:t>
      </w:r>
    </w:p>
    <w:p w14:paraId="76572B09">
      <w:pPr>
        <w:pStyle w:val="4"/>
        <w:pageBreakBefore w:val="0"/>
        <w:overflowPunct/>
        <w:topLinePunct w:val="0"/>
        <w:bidi w:val="0"/>
        <w:spacing w:before="0" w:after="0" w:line="360" w:lineRule="auto"/>
        <w:rPr>
          <w:rFonts w:hint="eastAsia" w:ascii="宋体" w:hAnsi="宋体" w:eastAsia="宋体" w:cs="宋体"/>
          <w:color w:val="auto"/>
          <w:sz w:val="24"/>
          <w:szCs w:val="24"/>
          <w:highlight w:val="none"/>
        </w:rPr>
      </w:pPr>
      <w:r>
        <w:rPr>
          <w:rFonts w:hint="eastAsia" w:ascii="宋体" w:hAnsi="宋体" w:eastAsia="宋体" w:cs="宋体"/>
          <w:b w:val="0"/>
          <w:color w:val="auto"/>
          <w:sz w:val="24"/>
          <w:szCs w:val="24"/>
          <w:highlight w:val="none"/>
        </w:rPr>
        <w:t xml:space="preserve">  </w:t>
      </w:r>
      <w:bookmarkStart w:id="67" w:name="_Toc5254"/>
      <w:bookmarkStart w:id="68" w:name="_Toc459103901"/>
      <w:r>
        <w:rPr>
          <w:rFonts w:hint="eastAsia" w:ascii="宋体" w:hAnsi="宋体" w:eastAsia="宋体" w:cs="宋体"/>
          <w:color w:val="auto"/>
          <w:sz w:val="24"/>
          <w:szCs w:val="24"/>
          <w:highlight w:val="none"/>
        </w:rPr>
        <w:t>四、</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的编制格式</w:t>
      </w:r>
      <w:bookmarkEnd w:id="67"/>
      <w:bookmarkEnd w:id="68"/>
    </w:p>
    <w:p w14:paraId="58EE3D00">
      <w:pPr>
        <w:pageBreakBefore w:val="0"/>
        <w:overflowPunct/>
        <w:topLinePunct w:val="0"/>
        <w:bidi w:val="0"/>
        <w:spacing w:line="360" w:lineRule="auto"/>
        <w:rPr>
          <w:rFonts w:hint="eastAsia"/>
          <w:color w:val="auto"/>
          <w:highlight w:val="none"/>
        </w:rPr>
      </w:pPr>
    </w:p>
    <w:p w14:paraId="428544D0">
      <w:pPr>
        <w:pStyle w:val="15"/>
        <w:pageBreakBefore w:val="0"/>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7、</w:t>
      </w:r>
      <w:r>
        <w:rPr>
          <w:rFonts w:hint="eastAsia" w:ascii="宋体" w:hAnsi="宋体" w:eastAsia="宋体" w:cs="宋体"/>
          <w:b/>
          <w:color w:val="auto"/>
          <w:sz w:val="21"/>
          <w:szCs w:val="21"/>
          <w:highlight w:val="none"/>
          <w:lang w:eastAsia="zh-CN"/>
        </w:rPr>
        <w:t>《响应文件》</w:t>
      </w:r>
      <w:r>
        <w:rPr>
          <w:rFonts w:hint="eastAsia" w:ascii="宋体" w:hAnsi="宋体" w:eastAsia="宋体" w:cs="宋体"/>
          <w:b/>
          <w:color w:val="auto"/>
          <w:sz w:val="21"/>
          <w:szCs w:val="21"/>
          <w:highlight w:val="none"/>
        </w:rPr>
        <w:t>的语言</w:t>
      </w:r>
    </w:p>
    <w:p w14:paraId="61698F99">
      <w:pPr>
        <w:pStyle w:val="15"/>
        <w:pageBreakBefore w:val="0"/>
        <w:overflowPunct/>
        <w:topLinePunct w:val="0"/>
        <w:bidi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《响应文件》</w:t>
      </w:r>
      <w:r>
        <w:rPr>
          <w:rFonts w:hint="eastAsia" w:ascii="宋体" w:hAnsi="宋体" w:eastAsia="宋体" w:cs="宋体"/>
          <w:bCs/>
          <w:color w:val="auto"/>
          <w:sz w:val="21"/>
          <w:szCs w:val="21"/>
          <w:highlight w:val="none"/>
        </w:rPr>
        <w:t>及</w:t>
      </w:r>
      <w:r>
        <w:rPr>
          <w:rFonts w:hint="eastAsia" w:ascii="宋体" w:hAnsi="宋体" w:eastAsia="宋体" w:cs="宋体"/>
          <w:bCs/>
          <w:color w:val="auto"/>
          <w:sz w:val="21"/>
          <w:szCs w:val="21"/>
          <w:highlight w:val="none"/>
          <w:lang w:eastAsia="zh-CN"/>
        </w:rPr>
        <w:t>磋商供应商</w:t>
      </w:r>
      <w:r>
        <w:rPr>
          <w:rFonts w:hint="eastAsia" w:ascii="宋体" w:hAnsi="宋体" w:eastAsia="宋体" w:cs="宋体"/>
          <w:bCs/>
          <w:color w:val="auto"/>
          <w:sz w:val="21"/>
          <w:szCs w:val="21"/>
          <w:highlight w:val="none"/>
        </w:rPr>
        <w:t>与采购人之间与磋商有关的来往通知、函件和文件均应使用中文。</w:t>
      </w:r>
    </w:p>
    <w:p w14:paraId="4CAD4D93">
      <w:pPr>
        <w:pStyle w:val="15"/>
        <w:pageBreakBefore w:val="0"/>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8、</w:t>
      </w:r>
      <w:r>
        <w:rPr>
          <w:rFonts w:hint="eastAsia" w:ascii="宋体" w:hAnsi="宋体" w:eastAsia="宋体" w:cs="宋体"/>
          <w:b/>
          <w:color w:val="auto"/>
          <w:sz w:val="21"/>
          <w:szCs w:val="21"/>
          <w:highlight w:val="none"/>
          <w:lang w:eastAsia="zh-CN"/>
        </w:rPr>
        <w:t>《响应文件》</w:t>
      </w:r>
      <w:r>
        <w:rPr>
          <w:rFonts w:hint="eastAsia" w:ascii="宋体" w:hAnsi="宋体" w:eastAsia="宋体" w:cs="宋体"/>
          <w:b/>
          <w:color w:val="auto"/>
          <w:sz w:val="21"/>
          <w:szCs w:val="21"/>
          <w:highlight w:val="none"/>
        </w:rPr>
        <w:t>的组成</w:t>
      </w:r>
    </w:p>
    <w:p w14:paraId="75160613">
      <w:pPr>
        <w:pStyle w:val="15"/>
        <w:pageBreakBefore w:val="0"/>
        <w:tabs>
          <w:tab w:val="left" w:pos="426"/>
        </w:tabs>
        <w:overflowPunct/>
        <w:topLinePunct w:val="0"/>
        <w:bidi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8.1</w:t>
      </w:r>
      <w:r>
        <w:rPr>
          <w:rFonts w:hint="eastAsia" w:ascii="宋体" w:hAnsi="宋体" w:eastAsia="宋体" w:cs="宋体"/>
          <w:bCs/>
          <w:color w:val="auto"/>
          <w:sz w:val="21"/>
          <w:szCs w:val="21"/>
          <w:highlight w:val="none"/>
          <w:lang w:eastAsia="zh-CN"/>
        </w:rPr>
        <w:t>《响应文件》</w:t>
      </w:r>
      <w:r>
        <w:rPr>
          <w:rFonts w:hint="eastAsia" w:ascii="宋体" w:hAnsi="宋体" w:eastAsia="宋体" w:cs="宋体"/>
          <w:bCs/>
          <w:color w:val="auto"/>
          <w:sz w:val="21"/>
          <w:szCs w:val="21"/>
          <w:highlight w:val="none"/>
        </w:rPr>
        <w:t>应包括下列内容：</w:t>
      </w:r>
    </w:p>
    <w:p w14:paraId="74E7D660">
      <w:pPr>
        <w:pStyle w:val="15"/>
        <w:pageBreakBefore w:val="0"/>
        <w:numPr>
          <w:ilvl w:val="-1"/>
          <w:numId w:val="0"/>
        </w:numPr>
        <w:overflowPunct/>
        <w:topLinePunct w:val="0"/>
        <w:bidi w:val="0"/>
        <w:spacing w:line="360" w:lineRule="auto"/>
        <w:ind w:firstLine="420" w:firstLineChars="200"/>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Cs/>
          <w:color w:val="auto"/>
          <w:sz w:val="21"/>
          <w:szCs w:val="21"/>
          <w:highlight w:val="none"/>
          <w:lang w:val="en-US" w:eastAsia="zh-CN"/>
        </w:rPr>
        <w:t>8.1.1</w:t>
      </w:r>
      <w:r>
        <w:rPr>
          <w:rFonts w:hint="eastAsia" w:ascii="宋体" w:hAnsi="宋体" w:eastAsia="宋体" w:cs="宋体"/>
          <w:bCs/>
          <w:color w:val="auto"/>
          <w:sz w:val="21"/>
          <w:szCs w:val="21"/>
          <w:highlight w:val="none"/>
        </w:rPr>
        <w:t>资格</w:t>
      </w:r>
      <w:r>
        <w:rPr>
          <w:rFonts w:hint="eastAsia" w:ascii="宋体" w:hAnsi="宋体" w:eastAsia="宋体" w:cs="宋体"/>
          <w:bCs/>
          <w:color w:val="auto"/>
          <w:sz w:val="21"/>
          <w:szCs w:val="21"/>
          <w:highlight w:val="none"/>
          <w:lang w:val="en-US" w:eastAsia="zh-CN"/>
        </w:rPr>
        <w:t>证明文件：</w:t>
      </w:r>
      <w:r>
        <w:rPr>
          <w:rFonts w:hint="eastAsia" w:ascii="宋体" w:hAnsi="宋体" w:eastAsia="宋体" w:cs="宋体"/>
          <w:b w:val="0"/>
          <w:bCs/>
          <w:color w:val="auto"/>
          <w:sz w:val="21"/>
          <w:szCs w:val="21"/>
          <w:highlight w:val="none"/>
          <w:lang w:val="en-US" w:eastAsia="zh-CN"/>
        </w:rPr>
        <w:t>具体详见</w:t>
      </w:r>
      <w:r>
        <w:rPr>
          <w:rFonts w:hint="eastAsia" w:ascii="宋体" w:hAnsi="宋体" w:eastAsia="宋体" w:cs="宋体"/>
          <w:b w:val="0"/>
          <w:bCs/>
          <w:color w:val="auto"/>
          <w:sz w:val="21"/>
          <w:szCs w:val="21"/>
          <w:highlight w:val="none"/>
        </w:rPr>
        <w:t>第二章</w:t>
      </w:r>
      <w:r>
        <w:rPr>
          <w:rFonts w:hint="eastAsia" w:ascii="宋体" w:hAnsi="宋体" w:eastAsia="宋体" w:cs="宋体"/>
          <w:b w:val="0"/>
          <w:bCs/>
          <w:color w:val="auto"/>
          <w:sz w:val="21"/>
          <w:szCs w:val="21"/>
          <w:highlight w:val="none"/>
          <w:lang w:val="en-US" w:eastAsia="zh-CN"/>
        </w:rPr>
        <w:t xml:space="preserve">  </w:t>
      </w:r>
      <w:r>
        <w:rPr>
          <w:rFonts w:hint="eastAsia" w:ascii="宋体" w:hAnsi="宋体" w:eastAsia="宋体" w:cs="宋体"/>
          <w:b w:val="0"/>
          <w:bCs/>
          <w:color w:val="auto"/>
          <w:sz w:val="21"/>
          <w:szCs w:val="21"/>
          <w:highlight w:val="none"/>
          <w:lang w:eastAsia="zh-CN"/>
        </w:rPr>
        <w:t>磋商供应商</w:t>
      </w:r>
      <w:r>
        <w:rPr>
          <w:rFonts w:hint="eastAsia" w:ascii="宋体" w:hAnsi="宋体" w:eastAsia="宋体" w:cs="宋体"/>
          <w:b w:val="0"/>
          <w:bCs/>
          <w:color w:val="auto"/>
          <w:sz w:val="21"/>
          <w:szCs w:val="21"/>
          <w:highlight w:val="none"/>
        </w:rPr>
        <w:t>须知及前附表</w:t>
      </w:r>
    </w:p>
    <w:p w14:paraId="6811B223">
      <w:pPr>
        <w:pStyle w:val="15"/>
        <w:pageBreakBefore w:val="0"/>
        <w:overflowPunct/>
        <w:topLinePunct w:val="0"/>
        <w:bidi w:val="0"/>
        <w:spacing w:line="360" w:lineRule="auto"/>
        <w:ind w:firstLine="420" w:firstLineChars="200"/>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8.1.2报价文件</w:t>
      </w:r>
    </w:p>
    <w:p w14:paraId="12BC87E4">
      <w:pPr>
        <w:pStyle w:val="15"/>
        <w:pageBreakBefore w:val="0"/>
        <w:overflowPunct/>
        <w:topLinePunct w:val="0"/>
        <w:bidi w:val="0"/>
        <w:spacing w:line="360" w:lineRule="auto"/>
        <w:ind w:firstLine="420" w:firstLineChars="200"/>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（1）磋商函及磋商函附录</w:t>
      </w:r>
    </w:p>
    <w:p w14:paraId="07EB6019">
      <w:pPr>
        <w:pStyle w:val="15"/>
        <w:pageBreakBefore w:val="0"/>
        <w:overflowPunct/>
        <w:topLinePunct w:val="0"/>
        <w:bidi w:val="0"/>
        <w:spacing w:line="360" w:lineRule="auto"/>
        <w:ind w:firstLine="420" w:firstLineChars="200"/>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（2）已标价工程量清单</w:t>
      </w:r>
    </w:p>
    <w:p w14:paraId="79399E88">
      <w:pPr>
        <w:pStyle w:val="40"/>
        <w:pageBreakBefore w:val="0"/>
        <w:overflowPunct/>
        <w:topLinePunct w:val="0"/>
        <w:bidi w:val="0"/>
        <w:spacing w:line="360" w:lineRule="auto"/>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u w:val="single"/>
          <w:lang w:val="en-US" w:eastAsia="zh-CN"/>
        </w:rPr>
        <w:t>注：以上材料属于复印件的扫描件的，必须加盖供应商电子公章，否则响应文件按无效响应处理。</w:t>
      </w:r>
    </w:p>
    <w:p w14:paraId="31CA7B4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8.1.3商务技术文件</w:t>
      </w:r>
    </w:p>
    <w:p w14:paraId="77760EC7">
      <w:pPr>
        <w:pStyle w:val="15"/>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主要管理人员表</w:t>
      </w:r>
    </w:p>
    <w:p w14:paraId="2340CFAC">
      <w:pPr>
        <w:pStyle w:val="15"/>
        <w:pageBreakBefore w:val="0"/>
        <w:overflowPunct/>
        <w:topLinePunct w:val="0"/>
        <w:bidi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)建设工程项目管理承诺书</w:t>
      </w:r>
    </w:p>
    <w:p w14:paraId="2B2D6625">
      <w:pPr>
        <w:pStyle w:val="15"/>
        <w:pageBreakBefore w:val="0"/>
        <w:overflowPunct/>
        <w:topLinePunct w:val="0"/>
        <w:bidi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)施工组织设计</w:t>
      </w:r>
    </w:p>
    <w:p w14:paraId="4260D807">
      <w:pPr>
        <w:pStyle w:val="15"/>
        <w:pageBreakBefore w:val="0"/>
        <w:overflowPunct/>
        <w:topLinePunct w:val="0"/>
        <w:bidi w:val="0"/>
        <w:spacing w:line="360" w:lineRule="auto"/>
        <w:ind w:firstLine="420" w:firstLineChars="20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业绩</w:t>
      </w:r>
    </w:p>
    <w:p w14:paraId="6B6FC051">
      <w:pPr>
        <w:pStyle w:val="15"/>
        <w:pageBreakBefore w:val="0"/>
        <w:overflowPunct/>
        <w:topLinePunct w:val="0"/>
        <w:bidi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)其他资料</w:t>
      </w:r>
    </w:p>
    <w:p w14:paraId="715967CC">
      <w:pPr>
        <w:pStyle w:val="41"/>
        <w:pageBreakBefore w:val="0"/>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u w:val="single"/>
          <w:lang w:val="en-US" w:eastAsia="zh-CN"/>
        </w:rPr>
        <w:t>注：以上材料属于复印件的扫描件的，必须加盖供应商电子公章，否则响应文件按无效响应处理。</w:t>
      </w:r>
    </w:p>
    <w:p w14:paraId="596A6A69">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8.2 磋商单位应使用</w:t>
      </w:r>
      <w:r>
        <w:rPr>
          <w:rFonts w:hint="eastAsia" w:ascii="宋体" w:hAnsi="宋体" w:eastAsia="宋体" w:cs="宋体"/>
          <w:color w:val="auto"/>
          <w:sz w:val="21"/>
          <w:szCs w:val="21"/>
          <w:highlight w:val="none"/>
          <w:lang w:eastAsia="zh-CN"/>
        </w:rPr>
        <w:t>《竞争性磋商文件》</w:t>
      </w:r>
      <w:r>
        <w:rPr>
          <w:rFonts w:hint="eastAsia" w:ascii="宋体" w:hAnsi="宋体" w:eastAsia="宋体" w:cs="宋体"/>
          <w:bCs/>
          <w:color w:val="auto"/>
          <w:sz w:val="21"/>
          <w:szCs w:val="21"/>
          <w:highlight w:val="none"/>
        </w:rPr>
        <w:t>提供的格式，但表格可以按同样格式扩展，磋商保证金、履约保证金的方式按本须知有关条款的规定可以选择。</w:t>
      </w:r>
    </w:p>
    <w:p w14:paraId="7A9BE0E0">
      <w:pPr>
        <w:pageBreakBefore w:val="0"/>
        <w:overflowPunct/>
        <w:topLinePunct w:val="0"/>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9、磋商货币</w:t>
      </w:r>
    </w:p>
    <w:p w14:paraId="6FB2C9D5">
      <w:pPr>
        <w:pageBreakBefore w:val="0"/>
        <w:tabs>
          <w:tab w:val="left" w:pos="426"/>
        </w:tabs>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9.1磋商应以人民币报价。</w:t>
      </w:r>
    </w:p>
    <w:p w14:paraId="3272AEF9">
      <w:pPr>
        <w:pageBreakBefore w:val="0"/>
        <w:overflowPunct/>
        <w:topLinePunct w:val="0"/>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10、磋商的有效期</w:t>
      </w:r>
    </w:p>
    <w:p w14:paraId="5481B764">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从磋商截止日期后</w:t>
      </w:r>
      <w:r>
        <w:rPr>
          <w:rFonts w:hint="eastAsia" w:ascii="宋体" w:hAnsi="宋体" w:eastAsia="宋体" w:cs="宋体"/>
          <w:color w:val="auto"/>
          <w:sz w:val="21"/>
          <w:szCs w:val="21"/>
          <w:highlight w:val="none"/>
          <w:lang w:eastAsia="zh-CN"/>
        </w:rPr>
        <w:t>90</w:t>
      </w:r>
      <w:r>
        <w:rPr>
          <w:rFonts w:hint="eastAsia" w:ascii="宋体" w:hAnsi="宋体" w:eastAsia="宋体" w:cs="宋体"/>
          <w:color w:val="auto"/>
          <w:sz w:val="21"/>
          <w:szCs w:val="21"/>
          <w:highlight w:val="none"/>
        </w:rPr>
        <w:t>天内有效。</w:t>
      </w:r>
    </w:p>
    <w:p w14:paraId="413D7FF8">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10．2在特殊情况下，采购代理机构可与</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协商延长</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的有效期。</w:t>
      </w:r>
    </w:p>
    <w:p w14:paraId="60F4B2EA">
      <w:pPr>
        <w:pageBreakBefore w:val="0"/>
        <w:overflowPunct/>
        <w:topLinePunct w:val="0"/>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11、</w:t>
      </w:r>
      <w:r>
        <w:rPr>
          <w:rFonts w:hint="eastAsia" w:ascii="宋体" w:hAnsi="宋体" w:eastAsia="宋体" w:cs="宋体"/>
          <w:b/>
          <w:bCs/>
          <w:color w:val="auto"/>
          <w:sz w:val="21"/>
          <w:szCs w:val="21"/>
          <w:highlight w:val="none"/>
          <w:lang w:eastAsia="zh-CN"/>
        </w:rPr>
        <w:t>《响应文件》</w:t>
      </w:r>
      <w:r>
        <w:rPr>
          <w:rFonts w:hint="eastAsia" w:ascii="宋体" w:hAnsi="宋体" w:eastAsia="宋体" w:cs="宋体"/>
          <w:b/>
          <w:bCs/>
          <w:color w:val="auto"/>
          <w:sz w:val="21"/>
          <w:szCs w:val="21"/>
          <w:highlight w:val="none"/>
          <w:lang w:val="en-US" w:eastAsia="zh-CN"/>
        </w:rPr>
        <w:t>电子版的编制要求</w:t>
      </w:r>
    </w:p>
    <w:p w14:paraId="690A2100">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w:t>
      </w:r>
      <w:r>
        <w:rPr>
          <w:rFonts w:hint="eastAsia" w:ascii="宋体" w:hAnsi="宋体" w:eastAsia="宋体" w:cs="宋体"/>
          <w:color w:val="auto"/>
          <w:sz w:val="21"/>
          <w:szCs w:val="21"/>
          <w:highlight w:val="none"/>
          <w:lang w:val="en-US" w:eastAsia="zh-CN"/>
        </w:rPr>
        <w:t>各供应商在编制响应文件时请按照磋商文件“第七章 响应文件（格式）”规定的格式进行，</w:t>
      </w: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七</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val="en-US" w:eastAsia="zh-CN"/>
        </w:rPr>
        <w:t>未附格式的，由供应商自行拟定。混乱的编排导致响应文件被误读或磋商小组查找不到有效文件是供应商的风险。不完整、编排混乱导致响应文件被误读、漏读或者查找不到相关内容的，由此引发的后果由供应商承担</w:t>
      </w:r>
      <w:r>
        <w:rPr>
          <w:rFonts w:hint="eastAsia" w:ascii="宋体" w:hAnsi="宋体" w:eastAsia="宋体" w:cs="宋体"/>
          <w:color w:val="auto"/>
          <w:sz w:val="21"/>
          <w:szCs w:val="21"/>
          <w:highlight w:val="none"/>
        </w:rPr>
        <w:t>。</w:t>
      </w:r>
    </w:p>
    <w:p w14:paraId="7FC25A83">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w:t>
      </w:r>
      <w:r>
        <w:rPr>
          <w:rFonts w:hint="eastAsia" w:ascii="宋体" w:hAnsi="宋体" w:eastAsia="宋体" w:cs="宋体"/>
          <w:color w:val="auto"/>
          <w:sz w:val="21"/>
          <w:szCs w:val="21"/>
          <w:highlight w:val="none"/>
          <w:lang w:val="en-US" w:eastAsia="zh-CN"/>
        </w:rPr>
        <w:t>本磋商只接受电子版响应文件，要求见本章前附表 “响应文件电子版要求”。</w:t>
      </w:r>
    </w:p>
    <w:p w14:paraId="3FEAB534">
      <w:pPr>
        <w:pageBreakBefore w:val="0"/>
        <w:overflowPunct/>
        <w:topLinePunct w:val="0"/>
        <w:bidi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11.3</w:t>
      </w:r>
      <w:r>
        <w:rPr>
          <w:rFonts w:hint="eastAsia" w:ascii="宋体" w:hAnsi="宋体" w:eastAsia="宋体" w:cs="宋体"/>
          <w:color w:val="auto"/>
          <w:sz w:val="21"/>
          <w:szCs w:val="21"/>
          <w:highlight w:val="none"/>
          <w:lang w:val="en-US" w:eastAsia="zh-CN"/>
        </w:rPr>
        <w:t>响应文件须由供应商在“第七章 响应文件（格式）”规定位置进行签署、盖章，否则其响应文件按无效响应处理。</w:t>
      </w:r>
    </w:p>
    <w:p w14:paraId="006D1B25">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11.4</w:t>
      </w:r>
      <w:r>
        <w:rPr>
          <w:rFonts w:hint="eastAsia" w:ascii="宋体" w:hAnsi="宋体" w:eastAsia="宋体" w:cs="宋体"/>
          <w:bCs/>
          <w:color w:val="auto"/>
          <w:sz w:val="21"/>
          <w:szCs w:val="21"/>
          <w:highlight w:val="none"/>
          <w:lang w:val="en-US" w:eastAsia="zh-CN"/>
        </w:rPr>
        <w:t>响应文件中标注的供应商名称应与电子公章一致，否则其响应文件按无效响应处理</w:t>
      </w:r>
      <w:r>
        <w:rPr>
          <w:rFonts w:hint="eastAsia" w:ascii="宋体" w:hAnsi="宋体" w:eastAsia="宋体" w:cs="宋体"/>
          <w:color w:val="auto"/>
          <w:sz w:val="21"/>
          <w:szCs w:val="21"/>
          <w:highlight w:val="none"/>
        </w:rPr>
        <w:t>。</w:t>
      </w:r>
    </w:p>
    <w:p w14:paraId="1D48A892">
      <w:pPr>
        <w:pageBreakBefore w:val="0"/>
        <w:overflowPunct/>
        <w:topLinePunct w:val="0"/>
        <w:bidi w:val="0"/>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12、磋商保证金</w:t>
      </w:r>
      <w:r>
        <w:rPr>
          <w:rFonts w:hint="eastAsia" w:ascii="宋体" w:hAnsi="宋体" w:eastAsia="宋体" w:cs="宋体"/>
          <w:b/>
          <w:bCs/>
          <w:color w:val="auto"/>
          <w:sz w:val="21"/>
          <w:szCs w:val="21"/>
          <w:highlight w:val="none"/>
          <w:lang w:eastAsia="zh-CN"/>
        </w:rPr>
        <w:t>：</w:t>
      </w:r>
    </w:p>
    <w:p w14:paraId="41A69060">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12.1本项目无需缴纳磋商保证金。</w:t>
      </w:r>
    </w:p>
    <w:p w14:paraId="7366115D">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如</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有下列情况，</w:t>
      </w:r>
      <w:r>
        <w:rPr>
          <w:rFonts w:hint="eastAsia" w:ascii="宋体" w:hAnsi="宋体" w:eastAsia="宋体" w:cs="宋体"/>
          <w:color w:val="auto"/>
          <w:sz w:val="21"/>
          <w:szCs w:val="21"/>
          <w:highlight w:val="none"/>
          <w:lang w:val="en-US" w:eastAsia="zh-CN"/>
        </w:rPr>
        <w:t>采购人有权投诉至相关部门</w:t>
      </w:r>
      <w:r>
        <w:rPr>
          <w:rFonts w:hint="eastAsia" w:ascii="宋体" w:hAnsi="宋体" w:eastAsia="宋体" w:cs="宋体"/>
          <w:color w:val="auto"/>
          <w:sz w:val="21"/>
          <w:szCs w:val="21"/>
          <w:highlight w:val="none"/>
        </w:rPr>
        <w:t xml:space="preserve">：　　　  </w:t>
      </w:r>
    </w:p>
    <w:p w14:paraId="30F3E4DD">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在其磋商有效期内撤回其</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w:t>
      </w:r>
    </w:p>
    <w:p w14:paraId="42F8AA16">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（2）成交</w:t>
      </w:r>
      <w:r>
        <w:rPr>
          <w:rFonts w:hint="eastAsia" w:ascii="宋体" w:hAnsi="宋体" w:eastAsia="宋体" w:cs="宋体"/>
          <w:color w:val="auto"/>
          <w:sz w:val="21"/>
          <w:szCs w:val="21"/>
          <w:highlight w:val="none"/>
          <w:lang w:eastAsia="zh-CN"/>
        </w:rPr>
        <w:t>人</w:t>
      </w:r>
      <w:r>
        <w:rPr>
          <w:rFonts w:hint="eastAsia" w:ascii="宋体" w:hAnsi="宋体" w:eastAsia="宋体" w:cs="宋体"/>
          <w:color w:val="auto"/>
          <w:sz w:val="21"/>
          <w:szCs w:val="21"/>
          <w:highlight w:val="none"/>
        </w:rPr>
        <w:t>未能在规定期限内签署合同协议。</w:t>
      </w:r>
      <w:bookmarkStart w:id="69" w:name="_Toc459103902"/>
    </w:p>
    <w:p w14:paraId="6BE58640">
      <w:pPr>
        <w:pStyle w:val="40"/>
        <w:pageBreakBefore w:val="0"/>
        <w:overflowPunct/>
        <w:topLinePunct w:val="0"/>
        <w:bidi w:val="0"/>
        <w:spacing w:line="360" w:lineRule="auto"/>
        <w:rPr>
          <w:rFonts w:hint="eastAsia" w:ascii="宋体" w:hAnsi="宋体" w:eastAsia="宋体" w:cs="宋体"/>
          <w:color w:val="auto"/>
          <w:sz w:val="24"/>
          <w:szCs w:val="24"/>
          <w:highlight w:val="none"/>
        </w:rPr>
      </w:pPr>
    </w:p>
    <w:p w14:paraId="4B8FFCA8">
      <w:pPr>
        <w:pStyle w:val="4"/>
        <w:pageBreakBefore w:val="0"/>
        <w:overflowPunct/>
        <w:topLinePunct w:val="0"/>
        <w:bidi w:val="0"/>
        <w:spacing w:before="0" w:after="0" w:line="360" w:lineRule="auto"/>
        <w:rPr>
          <w:rFonts w:hint="eastAsia" w:ascii="宋体" w:hAnsi="宋体" w:eastAsia="宋体" w:cs="宋体"/>
          <w:color w:val="auto"/>
          <w:sz w:val="24"/>
          <w:szCs w:val="24"/>
          <w:highlight w:val="none"/>
        </w:rPr>
      </w:pPr>
      <w:bookmarkStart w:id="70" w:name="_Toc26149"/>
      <w:r>
        <w:rPr>
          <w:rFonts w:hint="eastAsia" w:ascii="宋体" w:hAnsi="宋体" w:eastAsia="宋体" w:cs="宋体"/>
          <w:color w:val="auto"/>
          <w:sz w:val="24"/>
          <w:szCs w:val="24"/>
          <w:highlight w:val="none"/>
        </w:rPr>
        <w:t>五、</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的递交</w:t>
      </w:r>
      <w:bookmarkEnd w:id="69"/>
      <w:bookmarkEnd w:id="70"/>
    </w:p>
    <w:p w14:paraId="7126DAE4">
      <w:pPr>
        <w:pageBreakBefore w:val="0"/>
        <w:overflowPunct/>
        <w:topLinePunct w:val="0"/>
        <w:bidi w:val="0"/>
        <w:spacing w:line="360" w:lineRule="auto"/>
        <w:rPr>
          <w:rFonts w:hint="eastAsia" w:ascii="宋体" w:hAnsi="宋体" w:eastAsia="宋体" w:cs="宋体"/>
          <w:b/>
          <w:bCs/>
          <w:color w:val="auto"/>
          <w:sz w:val="21"/>
          <w:szCs w:val="21"/>
          <w:highlight w:val="none"/>
        </w:rPr>
      </w:pPr>
    </w:p>
    <w:p w14:paraId="28E2C417">
      <w:pPr>
        <w:pageBreakBefore w:val="0"/>
        <w:overflowPunct/>
        <w:topLinePunct w:val="0"/>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《响应文件》</w:t>
      </w:r>
      <w:r>
        <w:rPr>
          <w:rFonts w:hint="eastAsia" w:ascii="宋体" w:hAnsi="宋体" w:eastAsia="宋体" w:cs="宋体"/>
          <w:b/>
          <w:bCs/>
          <w:color w:val="auto"/>
          <w:sz w:val="21"/>
          <w:szCs w:val="21"/>
          <w:highlight w:val="none"/>
        </w:rPr>
        <w:t>的密封与标记</w:t>
      </w:r>
    </w:p>
    <w:p w14:paraId="5962289C">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3.1供应商进行电子交易应安装客户端软件“广西政府采购云平台电子交易客户端”，并按照磋商文件和电子交易平台的要求编制并加密响应文件。供应商未按规定加密的响应文件，电子交易平台将拒收并提示</w:t>
      </w:r>
      <w:r>
        <w:rPr>
          <w:rFonts w:hint="eastAsia" w:ascii="宋体" w:hAnsi="宋体" w:eastAsia="宋体" w:cs="宋体"/>
          <w:color w:val="auto"/>
          <w:sz w:val="21"/>
          <w:szCs w:val="21"/>
          <w:highlight w:val="none"/>
        </w:rPr>
        <w:t>。</w:t>
      </w:r>
    </w:p>
    <w:p w14:paraId="666AC920">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3.2</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使用“广西政府采购云平台电子交易客户端”需要提前申领 CA 数字证书，申领流程见本项目采购公告</w:t>
      </w:r>
      <w:r>
        <w:rPr>
          <w:rFonts w:hint="eastAsia" w:ascii="宋体" w:hAnsi="宋体" w:eastAsia="宋体" w:cs="宋体"/>
          <w:color w:val="auto"/>
          <w:sz w:val="21"/>
          <w:szCs w:val="21"/>
          <w:highlight w:val="none"/>
        </w:rPr>
        <w:t>。</w:t>
      </w:r>
    </w:p>
    <w:p w14:paraId="4C2DFA29">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3.3为确保网上操作合法、有效和安全，供应商应当在响应文件提交截止时间前完成在“政府采购云平台”的身份认证，确保在电子交易过程中能够对相关数据电文进行加密和使用电子签名。</w:t>
      </w:r>
    </w:p>
    <w:p w14:paraId="0B314FFD">
      <w:pPr>
        <w:pageBreakBefore w:val="0"/>
        <w:overflowPunct/>
        <w:topLinePunct w:val="0"/>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 xml:space="preserve">、磋商截止时间  </w:t>
      </w:r>
    </w:p>
    <w:p w14:paraId="27D179B7">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val="en-US" w:eastAsia="zh-CN"/>
        </w:rPr>
        <w:t>14.1</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的递交不得迟于本须知前附表第</w:t>
      </w: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项规定的截止时间。</w:t>
      </w:r>
    </w:p>
    <w:p w14:paraId="587DDD9E">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必须在规定时间内将</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送到本须知前附表第</w:t>
      </w: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项规定地点，</w:t>
      </w:r>
      <w:r>
        <w:rPr>
          <w:rFonts w:hint="eastAsia" w:ascii="宋体" w:hAnsi="宋体" w:eastAsia="宋体" w:cs="宋体"/>
          <w:color w:val="auto"/>
          <w:sz w:val="21"/>
          <w:szCs w:val="21"/>
          <w:highlight w:val="none"/>
          <w:lang w:val="en-US" w:eastAsia="zh-CN"/>
        </w:rPr>
        <w:t>采购代理机构不可视情况延长提交响应文件的截止时间，</w:t>
      </w:r>
      <w:r>
        <w:rPr>
          <w:rFonts w:hint="eastAsia" w:ascii="宋体" w:hAnsi="宋体" w:eastAsia="宋体" w:cs="宋体"/>
          <w:color w:val="auto"/>
          <w:sz w:val="21"/>
          <w:szCs w:val="21"/>
          <w:highlight w:val="none"/>
        </w:rPr>
        <w:t>超过磋商截止时间送达的</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将不予受理。</w:t>
      </w:r>
    </w:p>
    <w:p w14:paraId="48C0BEEE">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14.3磋商供应商应当在开标截止时间前，将生成的“电子加密响应文件”上传递交至广西政府采购云平台。响应文件递交截止时间前可以补充、修改或者撤回电子磋商响应文件。补充或者修改电子磋商响应文件的，应当先行撤回原文件，补充、修改后重新传输递交，开标截止时间前未完成传输的，视为撤回响应文件</w:t>
      </w:r>
      <w:r>
        <w:rPr>
          <w:rFonts w:hint="eastAsia" w:ascii="宋体" w:hAnsi="宋体" w:eastAsia="宋体" w:cs="宋体"/>
          <w:color w:val="auto"/>
          <w:sz w:val="21"/>
          <w:szCs w:val="21"/>
          <w:highlight w:val="none"/>
          <w:lang w:eastAsia="zh-CN"/>
        </w:rPr>
        <w:t>。</w:t>
      </w:r>
    </w:p>
    <w:p w14:paraId="6FAED353">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14.4电子交易平台收到响应文件，将妥善保存并即时向供应商发出确认回执通知。在响应文件提交截止时间前，除供应商补充、修改或者撤回响应文件外，任何单位和个人不得解密或提取响应文件。</w:t>
      </w:r>
    </w:p>
    <w:p w14:paraId="270138C2">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14.5响应文件提交截止时间止提交响应文件的供应商不足 3 家时，电子响应文件由代理机构在“广西政府采购云平台”操作退回，除此之外采购人和采购代理机构对已提交的电子响应文件概不退回。</w:t>
      </w:r>
      <w:bookmarkStart w:id="71" w:name="_Toc459103903"/>
    </w:p>
    <w:p w14:paraId="4C87A647">
      <w:pPr>
        <w:pStyle w:val="40"/>
        <w:pageBreakBefore w:val="0"/>
        <w:overflowPunct/>
        <w:topLinePunct w:val="0"/>
        <w:bidi w:val="0"/>
        <w:spacing w:line="360" w:lineRule="auto"/>
        <w:rPr>
          <w:rFonts w:hint="eastAsia" w:ascii="宋体" w:hAnsi="宋体" w:eastAsia="宋体" w:cs="宋体"/>
          <w:color w:val="auto"/>
          <w:highlight w:val="none"/>
        </w:rPr>
      </w:pPr>
    </w:p>
    <w:p w14:paraId="5F8634BC">
      <w:pPr>
        <w:pStyle w:val="4"/>
        <w:pageBreakBefore w:val="0"/>
        <w:overflowPunct/>
        <w:topLinePunct w:val="0"/>
        <w:bidi w:val="0"/>
        <w:spacing w:before="0" w:after="0" w:line="360" w:lineRule="auto"/>
        <w:rPr>
          <w:rFonts w:hint="eastAsia" w:ascii="宋体" w:hAnsi="宋体" w:eastAsia="宋体" w:cs="宋体"/>
          <w:color w:val="auto"/>
          <w:sz w:val="24"/>
          <w:szCs w:val="24"/>
          <w:highlight w:val="none"/>
        </w:rPr>
      </w:pPr>
      <w:bookmarkStart w:id="72" w:name="_Toc12103"/>
      <w:r>
        <w:rPr>
          <w:rFonts w:hint="eastAsia" w:ascii="宋体" w:hAnsi="宋体" w:eastAsia="宋体" w:cs="宋体"/>
          <w:color w:val="auto"/>
          <w:sz w:val="24"/>
          <w:szCs w:val="24"/>
          <w:highlight w:val="none"/>
        </w:rPr>
        <w:t>六、竞争性磋商与评标</w:t>
      </w:r>
      <w:bookmarkEnd w:id="71"/>
      <w:bookmarkEnd w:id="72"/>
    </w:p>
    <w:p w14:paraId="79F0832D">
      <w:pPr>
        <w:pageBreakBefore w:val="0"/>
        <w:overflowPunct/>
        <w:topLinePunct w:val="0"/>
        <w:bidi w:val="0"/>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15</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val="en-US" w:eastAsia="zh-CN"/>
        </w:rPr>
        <w:t>响应文件的开启</w:t>
      </w:r>
    </w:p>
    <w:p w14:paraId="466095E1">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15.1响应文件由磋商小组或者采购代理机构在“供应商须知前附表”规定的时间开启。</w:t>
      </w:r>
    </w:p>
    <w:p w14:paraId="537CE9D7">
      <w:pPr>
        <w:pageBreakBefore w:val="0"/>
        <w:overflowPunct/>
        <w:topLinePunct w:val="0"/>
        <w:bidi w:val="0"/>
        <w:spacing w:line="360" w:lineRule="auto"/>
        <w:ind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15.2响应文件解密</w:t>
      </w:r>
    </w:p>
    <w:p w14:paraId="6339EEE4">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采购代理机构将在“供应商须知前附表”规定的时间通过电子交易平台组织响应文件开启， 采购机构依托电子交易平台发起【开始解密】指令，供应商的法定代表人或其委托代理人须携带加密时所用的 CA 锁按平台提示和采购文件的规定登录到“广西政府采购云平台”电子开标大厅签到并在发起解密指令之时起 30分钟内完成对电子响应文件在线解密。发起解密指令之时起 5 分钟内供应商还未进行解密的，代理机构要通知供应商，供应商没预留联系方式或预留联系方式无效，导致代理机构无法联系到投标人在发起解密指令之时起 30分钟内完成对电子响应文件在线解密的，均视为无效投标。（解密异常情况处理：详见本章 15.3 电子交易活动的中止。） </w:t>
      </w:r>
    </w:p>
    <w:p w14:paraId="6903BA5C">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如供应商成功解密响应文件，但未在“广西政府采购云平台”电子开标大厅参加磋商的，视同认可磋商过程和结果，由此产生的后果由供应商自行负责。参与磋商的供应商不足3 家的，不得继续磋商。</w:t>
      </w:r>
    </w:p>
    <w:p w14:paraId="6ABA7673">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15.3电子交易活动的中止</w:t>
      </w:r>
    </w:p>
    <w:p w14:paraId="3B83DCC8">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采购过程中出现以下情形，导致电子交易平台无法正常运行， 或者无法保证电子交易的公平、公正和安全时，采购机构可中止电子交易活动： </w:t>
      </w:r>
    </w:p>
    <w:p w14:paraId="742E3BA7">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（1）电子交易平台发生故障而无法登录访问的； </w:t>
      </w:r>
    </w:p>
    <w:p w14:paraId="35351DBD">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（2）电子交易平台应用或数据库出现错误，不能进行正常操作的； </w:t>
      </w:r>
    </w:p>
    <w:p w14:paraId="3AE99606">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（3）电子交易平台发现严重安全漏洞，有潜在泄密危险的； </w:t>
      </w:r>
    </w:p>
    <w:p w14:paraId="60BB7ADC">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（4）病毒发作导致不能进行正常操作的； </w:t>
      </w:r>
    </w:p>
    <w:p w14:paraId="29FEC03E">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（5）其他无法保证电子交易的公平、公正和安全的情况 </w:t>
      </w:r>
    </w:p>
    <w:p w14:paraId="0C830F8A">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15.4 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监管部门备案。</w:t>
      </w:r>
    </w:p>
    <w:p w14:paraId="5230D176">
      <w:pPr>
        <w:pageBreakBefore w:val="0"/>
        <w:overflowPunct/>
        <w:topLinePunct w:val="0"/>
        <w:bidi w:val="0"/>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磋商</w:t>
      </w:r>
    </w:p>
    <w:p w14:paraId="1F14AEF5">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6.1</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时间及地点：截标后为与</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时间，</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地点为“广西政府采购云平台”电子开标大厅</w:t>
      </w:r>
      <w:r>
        <w:rPr>
          <w:rFonts w:hint="eastAsia" w:ascii="宋体" w:hAnsi="宋体" w:eastAsia="宋体" w:cs="宋体"/>
          <w:color w:val="auto"/>
          <w:sz w:val="21"/>
          <w:szCs w:val="21"/>
          <w:highlight w:val="none"/>
          <w:lang w:eastAsia="zh-CN"/>
        </w:rPr>
        <w:t>。</w:t>
      </w:r>
    </w:p>
    <w:p w14:paraId="5A486679">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6.2</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根据要求</w:t>
      </w:r>
      <w:r>
        <w:rPr>
          <w:rFonts w:hint="eastAsia" w:ascii="宋体" w:hAnsi="宋体" w:eastAsia="宋体" w:cs="宋体"/>
          <w:color w:val="auto"/>
          <w:sz w:val="21"/>
          <w:szCs w:val="21"/>
          <w:highlight w:val="none"/>
          <w:lang w:eastAsia="zh-CN"/>
        </w:rPr>
        <w:t>依法</w:t>
      </w:r>
      <w:r>
        <w:rPr>
          <w:rFonts w:hint="eastAsia" w:ascii="宋体" w:hAnsi="宋体" w:eastAsia="宋体" w:cs="宋体"/>
          <w:color w:val="auto"/>
          <w:sz w:val="21"/>
          <w:szCs w:val="21"/>
          <w:highlight w:val="none"/>
        </w:rPr>
        <w:t>组建竞争性磋商小组（以下简称磋商小组），磋商小组由采购人代表和评审专家共三人以上（含三人）单数组成，其中评审专家人数不少于磋商小组成员总数的2/3。评审专家</w:t>
      </w:r>
      <w:r>
        <w:rPr>
          <w:rFonts w:hint="eastAsia" w:ascii="宋体" w:hAnsi="宋体" w:eastAsia="宋体" w:cs="宋体"/>
          <w:color w:val="auto"/>
          <w:sz w:val="21"/>
          <w:szCs w:val="21"/>
          <w:highlight w:val="none"/>
          <w:lang w:val="en-US" w:eastAsia="zh-CN"/>
        </w:rPr>
        <w:t>由采购代理机构在广西政府采购云平台广西评审专家库内</w:t>
      </w:r>
      <w:r>
        <w:rPr>
          <w:rFonts w:hint="eastAsia" w:ascii="宋体" w:hAnsi="宋体" w:eastAsia="宋体" w:cs="宋体"/>
          <w:color w:val="auto"/>
          <w:sz w:val="21"/>
          <w:szCs w:val="21"/>
          <w:highlight w:val="none"/>
        </w:rPr>
        <w:t>相关专业技术、经济等方面的专家名单中随机抽取。</w:t>
      </w:r>
    </w:p>
    <w:p w14:paraId="679C05C3">
      <w:pPr>
        <w:pStyle w:val="2"/>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6.3</w:t>
      </w:r>
      <w:r>
        <w:rPr>
          <w:rFonts w:hint="eastAsia" w:ascii="宋体" w:hAnsi="宋体" w:eastAsia="宋体" w:cs="宋体"/>
          <w:color w:val="auto"/>
          <w:sz w:val="21"/>
          <w:szCs w:val="21"/>
          <w:highlight w:val="none"/>
        </w:rPr>
        <w:t>评审专家应当遵守评审工作纪律，不得泄露评审情况和评审中获悉的商业秘密。</w:t>
      </w:r>
    </w:p>
    <w:p w14:paraId="72FDD562">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6.4</w:t>
      </w:r>
      <w:r>
        <w:rPr>
          <w:rFonts w:hint="eastAsia" w:ascii="宋体" w:hAnsi="宋体" w:eastAsia="宋体" w:cs="宋体"/>
          <w:color w:val="auto"/>
          <w:sz w:val="21"/>
          <w:szCs w:val="21"/>
          <w:highlight w:val="none"/>
        </w:rPr>
        <w:t>磋商小组成员应当按照客观、公正、审慎的原则，根据磋商文件规定的评审程序、评审方法和评审标准进行独立评审</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在整个</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过程中，</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小组将负责对全部</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进行审查、</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及评标工作。</w:t>
      </w:r>
    </w:p>
    <w:p w14:paraId="7E6D3C25">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6.5</w:t>
      </w:r>
      <w:r>
        <w:rPr>
          <w:rFonts w:hint="eastAsia" w:ascii="宋体" w:hAnsi="宋体" w:eastAsia="宋体" w:cs="宋体"/>
          <w:color w:val="auto"/>
          <w:sz w:val="21"/>
          <w:szCs w:val="21"/>
          <w:highlight w:val="none"/>
        </w:rPr>
        <w:t>采购代理机构将</w:t>
      </w:r>
      <w:r>
        <w:rPr>
          <w:rFonts w:hint="eastAsia" w:ascii="宋体" w:hAnsi="宋体" w:eastAsia="宋体" w:cs="宋体"/>
          <w:color w:val="auto"/>
          <w:sz w:val="21"/>
          <w:szCs w:val="21"/>
          <w:highlight w:val="none"/>
          <w:lang w:val="en-US" w:eastAsia="zh-CN"/>
        </w:rPr>
        <w:t xml:space="preserve">按照提交首次响应文件的顺序在线上通知，通知磋商时，若某供应商不在通知现场时，该供应商排序到最后磋商，按照签到的顺序由其下一位供应商先参与磋商。 </w:t>
      </w:r>
    </w:p>
    <w:p w14:paraId="4E0A4340">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6.6</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的内容包括技术性条件、商务性条件以及</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小组认为需要</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的内容。当</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有实质性变动的，</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小组以</w:t>
      </w:r>
      <w:r>
        <w:rPr>
          <w:rFonts w:hint="eastAsia" w:ascii="宋体" w:hAnsi="宋体" w:eastAsia="宋体" w:cs="宋体"/>
          <w:color w:val="auto"/>
          <w:sz w:val="21"/>
          <w:szCs w:val="21"/>
          <w:highlight w:val="none"/>
          <w:lang w:val="en-US" w:eastAsia="zh-CN"/>
        </w:rPr>
        <w:t>在线询标</w:t>
      </w:r>
      <w:r>
        <w:rPr>
          <w:rFonts w:hint="eastAsia" w:ascii="宋体" w:hAnsi="宋体" w:eastAsia="宋体" w:cs="宋体"/>
          <w:color w:val="auto"/>
          <w:sz w:val="21"/>
          <w:szCs w:val="21"/>
          <w:highlight w:val="none"/>
        </w:rPr>
        <w:t>通知所有参加</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lang w:val="en-US" w:eastAsia="zh-CN"/>
        </w:rPr>
        <w:t>应在规定的地点、时间内在线回复询标函。</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就商务和技术条件作出的包含补充、修改、承诺、重新报价等内容的</w:t>
      </w:r>
      <w:r>
        <w:rPr>
          <w:rFonts w:hint="eastAsia" w:ascii="宋体" w:hAnsi="宋体" w:eastAsia="宋体" w:cs="宋体"/>
          <w:color w:val="auto"/>
          <w:sz w:val="21"/>
          <w:szCs w:val="21"/>
          <w:highlight w:val="none"/>
          <w:lang w:val="en-US" w:eastAsia="zh-CN"/>
        </w:rPr>
        <w:t>询标回复函或第二轮报价</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询标回复函</w:t>
      </w:r>
      <w:r>
        <w:rPr>
          <w:rFonts w:hint="eastAsia" w:ascii="宋体" w:hAnsi="宋体" w:eastAsia="宋体" w:cs="宋体"/>
          <w:color w:val="auto"/>
          <w:sz w:val="21"/>
          <w:szCs w:val="21"/>
          <w:highlight w:val="none"/>
        </w:rPr>
        <w:t>必须由</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的法定代表人或委托代理人签名或盖</w:t>
      </w:r>
      <w:r>
        <w:rPr>
          <w:rFonts w:hint="eastAsia" w:ascii="宋体" w:hAnsi="宋体" w:eastAsia="宋体" w:cs="宋体"/>
          <w:color w:val="auto"/>
          <w:sz w:val="21"/>
          <w:szCs w:val="21"/>
          <w:highlight w:val="none"/>
          <w:lang w:val="en-US" w:eastAsia="zh-CN"/>
        </w:rPr>
        <w:t>电子</w:t>
      </w:r>
      <w:r>
        <w:rPr>
          <w:rFonts w:hint="eastAsia" w:ascii="宋体" w:hAnsi="宋体" w:eastAsia="宋体" w:cs="宋体"/>
          <w:color w:val="auto"/>
          <w:sz w:val="21"/>
          <w:szCs w:val="21"/>
          <w:highlight w:val="none"/>
        </w:rPr>
        <w:t>公章，</w:t>
      </w:r>
      <w:r>
        <w:rPr>
          <w:rFonts w:hint="eastAsia" w:ascii="宋体" w:hAnsi="宋体" w:eastAsia="宋体" w:cs="宋体"/>
          <w:color w:val="auto"/>
          <w:sz w:val="21"/>
          <w:szCs w:val="21"/>
          <w:highlight w:val="none"/>
          <w:lang w:val="en-US" w:eastAsia="zh-CN"/>
        </w:rPr>
        <w:t>询标回复函</w:t>
      </w:r>
      <w:r>
        <w:rPr>
          <w:rFonts w:hint="eastAsia" w:ascii="宋体" w:hAnsi="宋体" w:eastAsia="宋体" w:cs="宋体"/>
          <w:color w:val="auto"/>
          <w:sz w:val="21"/>
          <w:szCs w:val="21"/>
          <w:highlight w:val="none"/>
        </w:rPr>
        <w:t>构成</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的一部分。</w:t>
      </w:r>
    </w:p>
    <w:p w14:paraId="62C06C99">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6.7</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小组对各</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递交的</w:t>
      </w:r>
      <w:r>
        <w:rPr>
          <w:rFonts w:hint="eastAsia" w:ascii="宋体" w:hAnsi="宋体" w:eastAsia="宋体" w:cs="宋体"/>
          <w:color w:val="auto"/>
          <w:sz w:val="21"/>
          <w:szCs w:val="21"/>
          <w:highlight w:val="none"/>
          <w:lang w:val="en-US" w:eastAsia="zh-CN"/>
        </w:rPr>
        <w:t>询标回复函或响应文件</w:t>
      </w:r>
      <w:r>
        <w:rPr>
          <w:rFonts w:hint="eastAsia" w:ascii="宋体" w:hAnsi="宋体" w:eastAsia="宋体" w:cs="宋体"/>
          <w:color w:val="auto"/>
          <w:sz w:val="21"/>
          <w:szCs w:val="21"/>
          <w:highlight w:val="none"/>
        </w:rPr>
        <w:t>统一开启，并进行评审后，认为有必要再次进行</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的，可再次与</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进行</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程序和要求按本须知1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规定执行，直至</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小组认为没有必要再进行</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方可结束。对最后一轮</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小组</w:t>
      </w:r>
      <w:r>
        <w:rPr>
          <w:rFonts w:hint="eastAsia" w:ascii="宋体" w:hAnsi="宋体" w:eastAsia="宋体" w:cs="宋体"/>
          <w:color w:val="auto"/>
          <w:sz w:val="21"/>
          <w:szCs w:val="21"/>
          <w:highlight w:val="none"/>
          <w:lang w:val="en-US" w:eastAsia="zh-CN"/>
        </w:rPr>
        <w:t>应</w:t>
      </w:r>
      <w:r>
        <w:rPr>
          <w:rFonts w:hint="eastAsia" w:ascii="宋体" w:hAnsi="宋体" w:eastAsia="宋体" w:cs="宋体"/>
          <w:color w:val="auto"/>
          <w:sz w:val="21"/>
          <w:szCs w:val="21"/>
          <w:highlight w:val="none"/>
        </w:rPr>
        <w:t>明确告知</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，并要求所有</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在规定的时间</w:t>
      </w:r>
      <w:r>
        <w:rPr>
          <w:rFonts w:hint="eastAsia" w:ascii="宋体" w:hAnsi="宋体" w:eastAsia="宋体" w:cs="宋体"/>
          <w:color w:val="auto"/>
          <w:sz w:val="21"/>
          <w:szCs w:val="21"/>
          <w:highlight w:val="none"/>
          <w:lang w:val="en-US" w:eastAsia="zh-CN"/>
        </w:rPr>
        <w:t>（30分钟）</w:t>
      </w:r>
      <w:r>
        <w:rPr>
          <w:rFonts w:hint="eastAsia" w:ascii="宋体" w:hAnsi="宋体" w:eastAsia="宋体" w:cs="宋体"/>
          <w:color w:val="auto"/>
          <w:sz w:val="21"/>
          <w:szCs w:val="21"/>
          <w:highlight w:val="none"/>
        </w:rPr>
        <w:t>、地点以</w:t>
      </w:r>
      <w:r>
        <w:rPr>
          <w:rFonts w:hint="eastAsia" w:ascii="宋体" w:hAnsi="宋体" w:eastAsia="宋体" w:cs="宋体"/>
          <w:color w:val="auto"/>
          <w:sz w:val="21"/>
          <w:szCs w:val="21"/>
          <w:highlight w:val="none"/>
          <w:lang w:val="en-US" w:eastAsia="zh-CN"/>
        </w:rPr>
        <w:t>在线回复</w:t>
      </w:r>
      <w:r>
        <w:rPr>
          <w:rFonts w:hint="eastAsia" w:ascii="宋体" w:hAnsi="宋体" w:eastAsia="宋体" w:cs="宋体"/>
          <w:color w:val="auto"/>
          <w:sz w:val="21"/>
          <w:szCs w:val="21"/>
          <w:highlight w:val="none"/>
        </w:rPr>
        <w:t>形式递交最终的</w:t>
      </w:r>
      <w:r>
        <w:rPr>
          <w:rFonts w:hint="eastAsia" w:ascii="宋体" w:hAnsi="宋体" w:eastAsia="宋体" w:cs="宋体"/>
          <w:color w:val="auto"/>
          <w:sz w:val="21"/>
          <w:szCs w:val="21"/>
          <w:highlight w:val="none"/>
          <w:lang w:val="en-US" w:eastAsia="zh-CN"/>
        </w:rPr>
        <w:t>报价或询标回复函</w:t>
      </w:r>
      <w:r>
        <w:rPr>
          <w:rFonts w:hint="eastAsia" w:ascii="宋体" w:hAnsi="宋体" w:eastAsia="宋体" w:cs="宋体"/>
          <w:color w:val="auto"/>
          <w:sz w:val="21"/>
          <w:szCs w:val="21"/>
          <w:highlight w:val="none"/>
        </w:rPr>
        <w:t>。</w:t>
      </w:r>
    </w:p>
    <w:p w14:paraId="76ED0050">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6.8</w:t>
      </w:r>
      <w:r>
        <w:rPr>
          <w:rFonts w:hint="eastAsia" w:ascii="宋体" w:hAnsi="宋体" w:eastAsia="宋体" w:cs="宋体"/>
          <w:color w:val="auto"/>
          <w:sz w:val="21"/>
          <w:szCs w:val="21"/>
          <w:highlight w:val="none"/>
        </w:rPr>
        <w:t>最终</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结束后，</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小组不得再与</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进行任何形式的商谈。</w:t>
      </w:r>
    </w:p>
    <w:p w14:paraId="71207642">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6.9</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的任何一方不得透露与</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有关的其他</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的技术资料、价格和其他信息。</w:t>
      </w:r>
    </w:p>
    <w:p w14:paraId="54D1F1CB">
      <w:pPr>
        <w:pageBreakBefore w:val="0"/>
        <w:overflowPunct/>
        <w:topLinePunct w:val="0"/>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val="en-US" w:eastAsia="zh-CN"/>
        </w:rPr>
        <w:t>7</w:t>
      </w:r>
      <w:r>
        <w:rPr>
          <w:rFonts w:hint="eastAsia" w:ascii="宋体" w:hAnsi="宋体" w:eastAsia="宋体" w:cs="宋体"/>
          <w:b/>
          <w:bCs/>
          <w:color w:val="auto"/>
          <w:sz w:val="21"/>
          <w:szCs w:val="21"/>
          <w:highlight w:val="none"/>
        </w:rPr>
        <w:t>、评标</w:t>
      </w:r>
    </w:p>
    <w:p w14:paraId="6167197C">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.1本采购项目的评标依据为</w:t>
      </w:r>
      <w:r>
        <w:rPr>
          <w:rFonts w:hint="eastAsia" w:ascii="宋体" w:hAnsi="宋体" w:eastAsia="宋体" w:cs="宋体"/>
          <w:color w:val="auto"/>
          <w:sz w:val="21"/>
          <w:szCs w:val="21"/>
          <w:highlight w:val="none"/>
          <w:lang w:eastAsia="zh-CN"/>
        </w:rPr>
        <w:t>《竞争性磋商文件》</w:t>
      </w:r>
      <w:r>
        <w:rPr>
          <w:rFonts w:hint="eastAsia" w:ascii="宋体" w:hAnsi="宋体" w:eastAsia="宋体" w:cs="宋体"/>
          <w:color w:val="auto"/>
          <w:sz w:val="21"/>
          <w:szCs w:val="21"/>
          <w:highlight w:val="none"/>
        </w:rPr>
        <w:t>和</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w:t>
      </w:r>
    </w:p>
    <w:p w14:paraId="29E88352">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.2评标工作将采取</w:t>
      </w:r>
      <w:r>
        <w:rPr>
          <w:rFonts w:hint="eastAsia" w:ascii="宋体" w:hAnsi="宋体" w:eastAsia="宋体" w:cs="宋体"/>
          <w:color w:val="auto"/>
          <w:sz w:val="21"/>
          <w:szCs w:val="21"/>
          <w:highlight w:val="none"/>
          <w:u w:val="single"/>
        </w:rPr>
        <w:t>封闭方式</w:t>
      </w:r>
      <w:r>
        <w:rPr>
          <w:rFonts w:hint="eastAsia" w:ascii="宋体" w:hAnsi="宋体" w:eastAsia="宋体" w:cs="宋体"/>
          <w:color w:val="auto"/>
          <w:sz w:val="21"/>
          <w:szCs w:val="21"/>
          <w:highlight w:val="none"/>
        </w:rPr>
        <w:t>进行，</w:t>
      </w:r>
      <w:r>
        <w:rPr>
          <w:rFonts w:hint="eastAsia" w:ascii="宋体" w:hAnsi="宋体" w:eastAsia="宋体" w:cs="宋体"/>
          <w:color w:val="auto"/>
          <w:sz w:val="21"/>
          <w:szCs w:val="21"/>
          <w:highlight w:val="none"/>
          <w:lang w:eastAsia="zh-CN"/>
        </w:rPr>
        <w:t>磋商小组</w:t>
      </w:r>
      <w:r>
        <w:rPr>
          <w:rFonts w:hint="eastAsia" w:ascii="宋体" w:hAnsi="宋体" w:eastAsia="宋体" w:cs="宋体"/>
          <w:color w:val="auto"/>
          <w:sz w:val="21"/>
          <w:szCs w:val="21"/>
          <w:highlight w:val="none"/>
        </w:rPr>
        <w:t>成员和有关工作人员不得透露对</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的评审、比较和成交人的</w:t>
      </w:r>
      <w:r>
        <w:rPr>
          <w:rFonts w:hint="eastAsia" w:ascii="宋体" w:hAnsi="宋体" w:eastAsia="宋体" w:cs="宋体"/>
          <w:color w:val="auto"/>
          <w:sz w:val="21"/>
          <w:szCs w:val="21"/>
          <w:highlight w:val="none"/>
          <w:lang w:eastAsia="zh-CN"/>
        </w:rPr>
        <w:t>确定</w:t>
      </w:r>
      <w:r>
        <w:rPr>
          <w:rFonts w:hint="eastAsia" w:ascii="宋体" w:hAnsi="宋体" w:eastAsia="宋体" w:cs="宋体"/>
          <w:color w:val="auto"/>
          <w:sz w:val="21"/>
          <w:szCs w:val="21"/>
          <w:highlight w:val="none"/>
        </w:rPr>
        <w:t>情况以及与评标有关的其他情况。</w:t>
      </w:r>
    </w:p>
    <w:p w14:paraId="7E1FD0EE">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在评标过程中，所进行的力图影响评标结果公正性的活动，将可能导致其成交资格被取消。</w:t>
      </w:r>
    </w:p>
    <w:p w14:paraId="4B7D61AD">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17</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磋商小组成员按照客观、公正、审慎的原则，根据磋商文件规定的评审程序、评审方法和评审标准进行独立评审。</w:t>
      </w:r>
    </w:p>
    <w:p w14:paraId="47397D76">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17.4</w:t>
      </w:r>
      <w:r>
        <w:rPr>
          <w:rFonts w:hint="eastAsia" w:ascii="宋体" w:hAnsi="宋体" w:eastAsia="宋体" w:cs="宋体"/>
          <w:color w:val="auto"/>
          <w:sz w:val="21"/>
          <w:szCs w:val="21"/>
          <w:highlight w:val="none"/>
        </w:rPr>
        <w:t>.1响应文件</w:t>
      </w:r>
      <w:r>
        <w:rPr>
          <w:rFonts w:hint="eastAsia" w:ascii="宋体" w:hAnsi="宋体" w:eastAsia="宋体" w:cs="宋体"/>
          <w:color w:val="auto"/>
          <w:sz w:val="21"/>
          <w:szCs w:val="21"/>
          <w:highlight w:val="none"/>
          <w:lang w:val="en-US" w:eastAsia="zh-CN"/>
        </w:rPr>
        <w:t>线上资格评审</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资格评审</w:t>
      </w:r>
      <w:r>
        <w:rPr>
          <w:rFonts w:hint="eastAsia" w:ascii="宋体" w:hAnsi="宋体" w:eastAsia="宋体" w:cs="宋体"/>
          <w:color w:val="auto"/>
          <w:sz w:val="21"/>
          <w:szCs w:val="21"/>
          <w:highlight w:val="none"/>
        </w:rPr>
        <w:t>分为资格性审查和符合性审查。</w:t>
      </w:r>
    </w:p>
    <w:p w14:paraId="5943304F">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资格性检查。依据法律法规和竞争性磋商文件的规定对响应文件的资质证明进行审查，以确定供应商是否具备竞标资格。它所涉及到的主要文件和内容为磋商文件供应商须知第</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条、第1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条所述的资格证明文件内容和签</w:t>
      </w:r>
      <w:r>
        <w:rPr>
          <w:rFonts w:hint="eastAsia" w:ascii="宋体" w:hAnsi="宋体" w:eastAsia="宋体" w:cs="宋体"/>
          <w:color w:val="auto"/>
          <w:sz w:val="21"/>
          <w:szCs w:val="21"/>
          <w:highlight w:val="none"/>
          <w:lang w:val="en-US" w:eastAsia="zh-CN"/>
        </w:rPr>
        <w:t>署、盖</w:t>
      </w:r>
      <w:r>
        <w:rPr>
          <w:rFonts w:hint="eastAsia" w:ascii="宋体" w:hAnsi="宋体" w:eastAsia="宋体" w:cs="宋体"/>
          <w:color w:val="auto"/>
          <w:sz w:val="21"/>
          <w:szCs w:val="21"/>
          <w:highlight w:val="none"/>
        </w:rPr>
        <w:t>章的合格性、合法性等（注：其中信用查询规则见“</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须知前附表”，“</w:t>
      </w:r>
      <w:r>
        <w:rPr>
          <w:rFonts w:hint="eastAsia" w:ascii="宋体" w:hAnsi="宋体" w:eastAsia="宋体" w:cs="宋体"/>
          <w:b w:val="0"/>
          <w:bCs/>
          <w:color w:val="auto"/>
          <w:kern w:val="2"/>
          <w:sz w:val="21"/>
          <w:szCs w:val="21"/>
          <w:highlight w:val="none"/>
          <w:lang w:val="en-US" w:eastAsia="zh-CN" w:bidi="ar-SA"/>
        </w:rPr>
        <w:t>广西政府采购云平台</w:t>
      </w:r>
      <w:r>
        <w:rPr>
          <w:rFonts w:hint="eastAsia" w:ascii="宋体" w:hAnsi="宋体" w:eastAsia="宋体" w:cs="宋体"/>
          <w:color w:val="auto"/>
          <w:sz w:val="21"/>
          <w:szCs w:val="21"/>
          <w:highlight w:val="none"/>
        </w:rPr>
        <w:t>”已与“信用中国”</w:t>
      </w:r>
      <w:r>
        <w:rPr>
          <w:rFonts w:hint="eastAsia" w:ascii="宋体" w:hAnsi="宋体" w:eastAsia="宋体" w:cs="宋体"/>
          <w:color w:val="auto"/>
          <w:sz w:val="21"/>
          <w:szCs w:val="21"/>
          <w:highlight w:val="none"/>
          <w:lang w:val="en-US" w:eastAsia="zh-CN"/>
        </w:rPr>
        <w:t>和“中国政府采购网”</w:t>
      </w:r>
      <w:r>
        <w:rPr>
          <w:rFonts w:hint="eastAsia" w:ascii="宋体" w:hAnsi="宋体" w:eastAsia="宋体" w:cs="宋体"/>
          <w:color w:val="auto"/>
          <w:sz w:val="21"/>
          <w:szCs w:val="21"/>
          <w:highlight w:val="none"/>
        </w:rPr>
        <w:t>平台做接口，</w:t>
      </w:r>
      <w:r>
        <w:rPr>
          <w:rFonts w:hint="eastAsia" w:ascii="宋体" w:hAnsi="宋体" w:eastAsia="宋体" w:cs="宋体"/>
          <w:color w:val="auto"/>
          <w:sz w:val="21"/>
          <w:szCs w:val="21"/>
          <w:highlight w:val="none"/>
          <w:lang w:val="en-US" w:eastAsia="zh-CN"/>
        </w:rPr>
        <w:t>磋商小组</w:t>
      </w:r>
      <w:r>
        <w:rPr>
          <w:rFonts w:hint="eastAsia" w:ascii="宋体" w:hAnsi="宋体" w:eastAsia="宋体" w:cs="宋体"/>
          <w:color w:val="auto"/>
          <w:sz w:val="21"/>
          <w:szCs w:val="21"/>
          <w:highlight w:val="none"/>
        </w:rPr>
        <w:t>可直接在线查询）。如果供应商不具备竞标资格，不满足磋商文件所规定的资格标准或提供资格证明文件不全的，其竞标将被拒绝。</w:t>
      </w:r>
    </w:p>
    <w:p w14:paraId="3812DA46">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符合性检查。依据磋商文件的规定，从响应文件的有效性、完整性和对磋商文件的响应程度进行审查，以确定是否符合对磋商文件的实质性要求作出响应（采购人可根据具体项目的情况对实质性要求作特别的规定）。实质性偏离是指：(1)实质性影响合同的范围、质量和履行；(2)实质性违背磋商文件，限制了采购人的权利和成交人合同项下的义务；(3)不公正地影响了其它作出实质性响应的供应商的竞争地位。对没有实质性响应的响应文件将不进行评审，其竞标将被拒绝。</w:t>
      </w:r>
    </w:p>
    <w:p w14:paraId="512ED6F4">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出现下列情况之一的，视为未实质性响应磋商文件的响应文件，按无效响应处理。</w:t>
      </w:r>
    </w:p>
    <w:p w14:paraId="2DF5DCAF">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 响应文件未按本须知第</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条、第</w:t>
      </w: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条规定进行编制、签署、盖章的；</w:t>
      </w:r>
    </w:p>
    <w:p w14:paraId="30F636E4">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 磋商有效期不满足磋商文件要求的；</w:t>
      </w:r>
    </w:p>
    <w:p w14:paraId="7592FB4D">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 响应文件的关键内容字迹模糊、无法辨认的；</w:t>
      </w:r>
    </w:p>
    <w:p w14:paraId="4191652A">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 供应商提交的是可选择的报价的，或最后报价超过采购预算价的；</w:t>
      </w:r>
    </w:p>
    <w:p w14:paraId="77733F32">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⑤ 不符合有关法律、法规和磋商文件中规定的实质性条款</w:t>
      </w:r>
      <w:r>
        <w:rPr>
          <w:rFonts w:hint="eastAsia" w:ascii="宋体" w:hAnsi="宋体" w:cs="宋体"/>
          <w:color w:val="auto"/>
          <w:sz w:val="21"/>
          <w:szCs w:val="21"/>
          <w:highlight w:val="none"/>
          <w:lang w:eastAsia="zh-CN"/>
        </w:rPr>
        <w:t>；</w:t>
      </w:r>
    </w:p>
    <w:p w14:paraId="13B42713">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⑥</w:t>
      </w:r>
      <w:r>
        <w:rPr>
          <w:rFonts w:hint="eastAsia" w:ascii="宋体" w:hAnsi="宋体" w:eastAsia="宋体" w:cs="宋体"/>
          <w:color w:val="auto"/>
          <w:sz w:val="21"/>
          <w:szCs w:val="21"/>
          <w:highlight w:val="none"/>
          <w:lang w:eastAsia="zh-CN"/>
        </w:rPr>
        <w:t>不存在</w:t>
      </w: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val="en-US" w:eastAsia="zh-CN"/>
        </w:rPr>
        <w:t>磋商供应商</w:t>
      </w:r>
      <w:r>
        <w:rPr>
          <w:rFonts w:hint="eastAsia" w:ascii="宋体" w:hAnsi="宋体" w:eastAsia="宋体" w:cs="宋体"/>
          <w:color w:val="auto"/>
          <w:sz w:val="21"/>
          <w:szCs w:val="21"/>
          <w:highlight w:val="none"/>
        </w:rPr>
        <w:t>须知”</w:t>
      </w:r>
      <w:r>
        <w:rPr>
          <w:rFonts w:hint="eastAsia" w:ascii="宋体" w:hAnsi="宋体" w:eastAsia="宋体" w:cs="宋体"/>
          <w:color w:val="auto"/>
          <w:sz w:val="21"/>
          <w:szCs w:val="21"/>
          <w:highlight w:val="none"/>
          <w:lang w:eastAsia="zh-CN"/>
        </w:rPr>
        <w:t>中任意一项否决或无效投标情形。</w:t>
      </w:r>
    </w:p>
    <w:p w14:paraId="2ABA1233">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p>
    <w:p w14:paraId="117A2CE0">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17</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.2澄清有关问题。</w:t>
      </w:r>
    </w:p>
    <w:p w14:paraId="552D8215">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E8AC55F">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(2)磋商小组要求供应商澄清、说明或者更正响应文件应当以</w:t>
      </w:r>
      <w:r>
        <w:rPr>
          <w:rFonts w:hint="eastAsia" w:ascii="宋体" w:hAnsi="宋体" w:eastAsia="宋体" w:cs="宋体"/>
          <w:color w:val="auto"/>
          <w:sz w:val="21"/>
          <w:szCs w:val="21"/>
          <w:highlight w:val="none"/>
          <w:lang w:val="en-US" w:eastAsia="zh-CN"/>
        </w:rPr>
        <w:t>在线询标</w:t>
      </w:r>
      <w:r>
        <w:rPr>
          <w:rFonts w:hint="eastAsia" w:ascii="宋体" w:hAnsi="宋体" w:eastAsia="宋体" w:cs="宋体"/>
          <w:color w:val="auto"/>
          <w:sz w:val="21"/>
          <w:szCs w:val="21"/>
          <w:highlight w:val="none"/>
        </w:rPr>
        <w:t>形式作出。供应商的澄清、说明或者更正应当由法定代表人或委托代理人签名或盖</w:t>
      </w:r>
      <w:r>
        <w:rPr>
          <w:rFonts w:hint="eastAsia" w:ascii="宋体" w:hAnsi="宋体" w:eastAsia="宋体" w:cs="宋体"/>
          <w:color w:val="auto"/>
          <w:sz w:val="21"/>
          <w:szCs w:val="21"/>
          <w:highlight w:val="none"/>
          <w:lang w:val="en-US" w:eastAsia="zh-CN"/>
        </w:rPr>
        <w:t>电子</w:t>
      </w:r>
      <w:r>
        <w:rPr>
          <w:rFonts w:hint="eastAsia" w:ascii="宋体" w:hAnsi="宋体" w:eastAsia="宋体" w:cs="宋体"/>
          <w:color w:val="auto"/>
          <w:sz w:val="21"/>
          <w:szCs w:val="21"/>
          <w:highlight w:val="none"/>
        </w:rPr>
        <w:t>公章。由授权代表签字的，应当附法定代表人授权书。</w:t>
      </w:r>
    </w:p>
    <w:p w14:paraId="6D1D4AB9">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(3)响应文件如果出现计算或表达上的错误，修正错误的原则如下：</w:t>
      </w:r>
    </w:p>
    <w:p w14:paraId="3F1EC41C">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 响应文件中《</w:t>
      </w:r>
      <w:r>
        <w:rPr>
          <w:rFonts w:hint="eastAsia" w:ascii="宋体" w:hAnsi="宋体" w:eastAsia="宋体" w:cs="宋体"/>
          <w:color w:val="auto"/>
          <w:sz w:val="21"/>
          <w:szCs w:val="21"/>
          <w:highlight w:val="none"/>
          <w:lang w:val="en-US" w:eastAsia="zh-CN"/>
        </w:rPr>
        <w:t>竞标函附录</w:t>
      </w:r>
      <w:r>
        <w:rPr>
          <w:rFonts w:hint="eastAsia" w:ascii="宋体" w:hAnsi="宋体" w:eastAsia="宋体" w:cs="宋体"/>
          <w:color w:val="auto"/>
          <w:sz w:val="21"/>
          <w:szCs w:val="21"/>
          <w:highlight w:val="none"/>
        </w:rPr>
        <w:t>》与《竞标函》内容不一致的，以《</w:t>
      </w:r>
      <w:r>
        <w:rPr>
          <w:rFonts w:hint="eastAsia" w:ascii="宋体" w:hAnsi="宋体" w:eastAsia="宋体" w:cs="宋体"/>
          <w:color w:val="auto"/>
          <w:sz w:val="21"/>
          <w:szCs w:val="21"/>
          <w:highlight w:val="none"/>
          <w:lang w:val="en-US" w:eastAsia="zh-CN"/>
        </w:rPr>
        <w:t>竞标函附录</w:t>
      </w:r>
      <w:r>
        <w:rPr>
          <w:rFonts w:hint="eastAsia" w:ascii="宋体" w:hAnsi="宋体" w:eastAsia="宋体" w:cs="宋体"/>
          <w:color w:val="auto"/>
          <w:sz w:val="21"/>
          <w:szCs w:val="21"/>
          <w:highlight w:val="none"/>
        </w:rPr>
        <w:t>》为准。</w:t>
      </w:r>
    </w:p>
    <w:p w14:paraId="13D231D6">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 响应文件的大写金额和小写金额不一致的，以大写金额为准；</w:t>
      </w:r>
    </w:p>
    <w:p w14:paraId="35980F42">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 总价金额与按单价汇总金额不一致的，以单价金额计算结果为准；</w:t>
      </w:r>
    </w:p>
    <w:p w14:paraId="796CEA4D">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 单价金额小数点有明显错位的，应以总价为准，并修改单价；</w:t>
      </w:r>
    </w:p>
    <w:p w14:paraId="52EBCAD7">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⑤ 对不同文字文本响应文件的解释发生异议的，以中文文本为准。</w:t>
      </w:r>
    </w:p>
    <w:p w14:paraId="1C11F377">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⑥ 按上述修正错误的原则及方法调整或修正响应文件的磋商报价，在供应商确认后，调整后的磋商报价对供应商起约束作用。如果供应商拒绝确认，不接受修正后的价格或报价，则其响应文件将不予评审，其竞标将被拒绝。</w:t>
      </w:r>
    </w:p>
    <w:p w14:paraId="771BE206">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磋商过程。</w:t>
      </w:r>
    </w:p>
    <w:p w14:paraId="3C66FFF3">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(1)磋商小组所有成员集中与单一供应商分别进行磋商（最多三轮），磋商的内容包括技术条件、商务性条件及磋商小组认为需要磋商的内容。</w:t>
      </w:r>
    </w:p>
    <w:p w14:paraId="133596BD">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(2)在磋商过程中，磋商小组可以根据磋商文件和磋商情况实质性变动项目需求中的技术、服务要求以及合同草案条款，但不得变动磋商文件中的其他内容。实质性变动的内容，须经采购人代表确认。</w:t>
      </w:r>
    </w:p>
    <w:p w14:paraId="38230203">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(3)对磋商文件作出的实质性变动是磋商文件的有效组成部分，磋商小组应当及时以</w:t>
      </w:r>
      <w:r>
        <w:rPr>
          <w:rFonts w:hint="eastAsia" w:ascii="宋体" w:hAnsi="宋体" w:eastAsia="宋体" w:cs="宋体"/>
          <w:color w:val="auto"/>
          <w:sz w:val="21"/>
          <w:szCs w:val="21"/>
          <w:highlight w:val="none"/>
          <w:lang w:val="en-US" w:eastAsia="zh-CN"/>
        </w:rPr>
        <w:t>在线询标/澄清</w:t>
      </w:r>
      <w:r>
        <w:rPr>
          <w:rFonts w:hint="eastAsia" w:ascii="宋体" w:hAnsi="宋体" w:eastAsia="宋体" w:cs="宋体"/>
          <w:color w:val="auto"/>
          <w:sz w:val="21"/>
          <w:szCs w:val="21"/>
          <w:highlight w:val="none"/>
        </w:rPr>
        <w:t>形式同时通知所有参加磋商的供应商。</w:t>
      </w:r>
    </w:p>
    <w:p w14:paraId="34475ACD">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(4)供应商应当按照磋商文件的变动情况和磋商小组的要求重新提交</w:t>
      </w:r>
      <w:r>
        <w:rPr>
          <w:rFonts w:hint="eastAsia" w:ascii="宋体" w:hAnsi="宋体" w:eastAsia="宋体" w:cs="宋体"/>
          <w:color w:val="auto"/>
          <w:sz w:val="21"/>
          <w:szCs w:val="21"/>
          <w:highlight w:val="none"/>
          <w:lang w:val="en-US" w:eastAsia="zh-CN"/>
        </w:rPr>
        <w:t>应答</w:t>
      </w:r>
      <w:r>
        <w:rPr>
          <w:rFonts w:hint="eastAsia" w:ascii="宋体" w:hAnsi="宋体" w:eastAsia="宋体" w:cs="宋体"/>
          <w:color w:val="auto"/>
          <w:sz w:val="21"/>
          <w:szCs w:val="21"/>
          <w:highlight w:val="none"/>
        </w:rPr>
        <w:t>文件，并由其法定代表人或委托代理人签名或盖</w:t>
      </w:r>
      <w:r>
        <w:rPr>
          <w:rFonts w:hint="eastAsia" w:ascii="宋体" w:hAnsi="宋体" w:eastAsia="宋体" w:cs="宋体"/>
          <w:color w:val="auto"/>
          <w:sz w:val="21"/>
          <w:szCs w:val="21"/>
          <w:highlight w:val="none"/>
          <w:lang w:val="en-US" w:eastAsia="zh-CN"/>
        </w:rPr>
        <w:t>电子</w:t>
      </w:r>
      <w:r>
        <w:rPr>
          <w:rFonts w:hint="eastAsia" w:ascii="宋体" w:hAnsi="宋体" w:eastAsia="宋体" w:cs="宋体"/>
          <w:color w:val="auto"/>
          <w:sz w:val="21"/>
          <w:szCs w:val="21"/>
          <w:highlight w:val="none"/>
        </w:rPr>
        <w:t>公章。由授权代表签字的，应当附法定代表人授权书。</w:t>
      </w:r>
    </w:p>
    <w:p w14:paraId="49DAC785">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)供应商未在通知的时间内到达现场参加磋商的，或未提交书面说明退出磋商的，或未在规定时间内提交</w:t>
      </w:r>
      <w:r>
        <w:rPr>
          <w:rFonts w:hint="eastAsia" w:ascii="宋体" w:hAnsi="宋体" w:eastAsia="宋体" w:cs="宋体"/>
          <w:color w:val="auto"/>
          <w:sz w:val="21"/>
          <w:szCs w:val="21"/>
          <w:highlight w:val="none"/>
          <w:lang w:val="en-US" w:eastAsia="zh-CN"/>
        </w:rPr>
        <w:t>在线</w:t>
      </w:r>
      <w:r>
        <w:rPr>
          <w:rFonts w:hint="eastAsia" w:ascii="宋体" w:hAnsi="宋体" w:eastAsia="宋体" w:cs="宋体"/>
          <w:color w:val="auto"/>
          <w:sz w:val="21"/>
          <w:szCs w:val="21"/>
          <w:highlight w:val="none"/>
        </w:rPr>
        <w:t>应答文件和最后报价的，视为供应商自动放弃磋商。</w:t>
      </w:r>
    </w:p>
    <w:p w14:paraId="674B3340">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)最终磋商结束后，磋商小组不得再与供应商进行任何形式的商谈。磋商的任何一方不得透露与磋商有关的其他供应商的技术资料、价格和其他信息。</w:t>
      </w:r>
    </w:p>
    <w:p w14:paraId="55BA1B75">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17</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.4磋商小组对竞标人资格性和竞标文件符合性审查。磋商小组只接受通过资格性和符合性审查竞标人在规定时间（</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0分钟）内进行磋商最终总报价。</w:t>
      </w:r>
    </w:p>
    <w:p w14:paraId="5E394211">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17</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.5比较与评价。经磋商确定最终采购需求和提交最后报价的供应商后，由磋商小组采用综合评分法（详见第</w:t>
      </w:r>
      <w:r>
        <w:rPr>
          <w:rFonts w:hint="eastAsia" w:ascii="宋体" w:hAnsi="宋体" w:eastAsia="宋体" w:cs="宋体"/>
          <w:color w:val="auto"/>
          <w:sz w:val="21"/>
          <w:szCs w:val="21"/>
          <w:highlight w:val="none"/>
          <w:lang w:val="en-US" w:eastAsia="zh-CN"/>
        </w:rPr>
        <w:t>八</w:t>
      </w:r>
      <w:r>
        <w:rPr>
          <w:rFonts w:hint="eastAsia" w:ascii="宋体" w:hAnsi="宋体" w:eastAsia="宋体" w:cs="宋体"/>
          <w:color w:val="auto"/>
          <w:sz w:val="21"/>
          <w:szCs w:val="21"/>
          <w:highlight w:val="none"/>
        </w:rPr>
        <w:t>章）对提交最后报价的供应商的响应文件和最后报价进行综合评分。</w:t>
      </w:r>
    </w:p>
    <w:p w14:paraId="15E0D7DC">
      <w:pPr>
        <w:pStyle w:val="40"/>
        <w:keepNext w:val="0"/>
        <w:keepLines w:val="0"/>
        <w:pageBreakBefore w:val="0"/>
        <w:numPr>
          <w:ilvl w:val="-1"/>
          <w:numId w:val="0"/>
        </w:numPr>
        <w:overflowPunct/>
        <w:topLinePunct w:val="0"/>
        <w:bidi w:val="0"/>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17.4.6</w:t>
      </w:r>
      <w:r>
        <w:rPr>
          <w:rFonts w:hint="eastAsia" w:ascii="宋体" w:hAnsi="宋体" w:eastAsia="宋体" w:cs="宋体"/>
          <w:b/>
          <w:bCs/>
          <w:color w:val="auto"/>
          <w:sz w:val="21"/>
          <w:szCs w:val="21"/>
          <w:highlight w:val="none"/>
        </w:rPr>
        <w:t>启动异常低价投标(响应)审查程序</w:t>
      </w:r>
    </w:p>
    <w:p w14:paraId="4AF90F97">
      <w:pPr>
        <w:pStyle w:val="40"/>
        <w:keepNext w:val="0"/>
        <w:keepLines w:val="0"/>
        <w:pageBreakBefore w:val="0"/>
        <w:numPr>
          <w:ilvl w:val="-1"/>
          <w:numId w:val="0"/>
        </w:numPr>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根据《贺州市财政局关于开展推动解决政府采购低价异常问题试点工作的通知》(贺财采﹝2025﹞4 号)规定，政府采购评审中出现下列情形之一的，评审委员会应当启动异常低价投标(响应)审查程序:</w:t>
      </w:r>
      <w:r>
        <w:rPr>
          <w:rFonts w:hint="eastAsia" w:ascii="宋体" w:hAnsi="宋体" w:eastAsia="宋体" w:cs="宋体"/>
          <w:color w:val="auto"/>
          <w:sz w:val="21"/>
          <w:szCs w:val="21"/>
          <w:highlight w:val="none"/>
          <w:lang w:val="en-US" w:eastAsia="zh-CN"/>
        </w:rPr>
        <w:t xml:space="preserve">   </w:t>
      </w:r>
    </w:p>
    <w:p w14:paraId="05FD543C">
      <w:pPr>
        <w:pStyle w:val="40"/>
        <w:keepNext w:val="0"/>
        <w:keepLines w:val="0"/>
        <w:pageBreakBefore w:val="0"/>
        <w:numPr>
          <w:ilvl w:val="-1"/>
          <w:numId w:val="0"/>
        </w:numPr>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①投标(响应)报价低于全部通过符合性审査供应商投标(响应)报价平均值 50%的，即投标(响应)报价&lt;全部通过符合性审查供应商投标(响应)报价平均值×50%;</w:t>
      </w:r>
    </w:p>
    <w:p w14:paraId="786CA05D">
      <w:pPr>
        <w:pStyle w:val="40"/>
        <w:keepNext w:val="0"/>
        <w:keepLines w:val="0"/>
        <w:pageBreakBefore w:val="0"/>
        <w:numPr>
          <w:ilvl w:val="-1"/>
          <w:numId w:val="0"/>
        </w:numPr>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②投标(响应)报价低于通过符合性审査且报价次低供应商投标(响应)报价50%的，即投标(响应)报价&lt;通过符合性审查且报价次低供应商投标(响应)报价×50%;</w:t>
      </w:r>
    </w:p>
    <w:p w14:paraId="7FF7480A">
      <w:pPr>
        <w:pStyle w:val="40"/>
        <w:keepNext w:val="0"/>
        <w:keepLines w:val="0"/>
        <w:pageBreakBefore w:val="0"/>
        <w:numPr>
          <w:ilvl w:val="-1"/>
          <w:numId w:val="0"/>
        </w:numPr>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③投标(响应)报价低于采购项目最高限价 45%的，即投标(响应)报价&lt;采购项目最高限价×45%;</w:t>
      </w:r>
    </w:p>
    <w:p w14:paraId="4ABEDB6C">
      <w:pPr>
        <w:spacing w:line="360" w:lineRule="auto"/>
        <w:ind w:firstLine="420" w:firstLineChars="200"/>
        <w:rPr>
          <w:rFonts w:hint="eastAsia"/>
          <w:color w:val="auto"/>
          <w:highlight w:val="none"/>
        </w:rPr>
      </w:pPr>
      <w:r>
        <w:rPr>
          <w:rFonts w:hint="eastAsia" w:ascii="宋体" w:hAnsi="宋体" w:eastAsia="宋体" w:cs="宋体"/>
          <w:color w:val="auto"/>
          <w:sz w:val="21"/>
          <w:szCs w:val="21"/>
          <w:highlight w:val="none"/>
        </w:rPr>
        <w:t>④其他评审委员会认为供应商报价过低，有可能影响产品质量或者不能诚信约的情形。本项目己根据(贺财采(2025)4号)填报“贺州市开展政府采购异常低价试点项目申报表”备案。</w:t>
      </w:r>
    </w:p>
    <w:p w14:paraId="3FE06647">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17</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推荐成交候选人名单及编写评审报告。磋商小组根据综合评分情况，按照评分办法的成交标准及成交候选人推荐原则依次推荐成交候选人名单，并根据磋商过程和结果编写评审报告。</w:t>
      </w:r>
    </w:p>
    <w:p w14:paraId="223792BC">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17</w:t>
      </w:r>
      <w:r>
        <w:rPr>
          <w:rFonts w:hint="eastAsia" w:ascii="宋体" w:hAnsi="宋体" w:eastAsia="宋体" w:cs="宋体"/>
          <w:color w:val="auto"/>
          <w:sz w:val="21"/>
          <w:szCs w:val="21"/>
          <w:highlight w:val="none"/>
        </w:rPr>
        <w:t>.</w:t>
      </w:r>
      <w:r>
        <w:rPr>
          <w:rFonts w:hint="default"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评审会纪律</w:t>
      </w:r>
    </w:p>
    <w:p w14:paraId="602D12D0">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17</w:t>
      </w:r>
      <w:r>
        <w:rPr>
          <w:rFonts w:hint="eastAsia" w:ascii="宋体" w:hAnsi="宋体" w:eastAsia="宋体" w:cs="宋体"/>
          <w:color w:val="auto"/>
          <w:sz w:val="21"/>
          <w:szCs w:val="21"/>
          <w:highlight w:val="none"/>
        </w:rPr>
        <w:t>.</w:t>
      </w:r>
      <w:r>
        <w:rPr>
          <w:rFonts w:hint="default"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.1评审过程的保密性。磋商小组成员、有关工作人员及其他知情人不得透露对响应文件评审、比较、成交候选人的推荐情况以及与评审有关的其他情况。</w:t>
      </w:r>
    </w:p>
    <w:p w14:paraId="46DB1E62">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17</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.2在磋商评审期间，供应商</w:t>
      </w:r>
      <w:r>
        <w:rPr>
          <w:rFonts w:hint="eastAsia" w:ascii="宋体" w:hAnsi="宋体" w:eastAsia="宋体" w:cs="宋体"/>
          <w:color w:val="auto"/>
          <w:sz w:val="21"/>
          <w:szCs w:val="21"/>
          <w:highlight w:val="none"/>
          <w:lang w:eastAsia="zh-CN"/>
        </w:rPr>
        <w:t>试图</w:t>
      </w:r>
      <w:r>
        <w:rPr>
          <w:rFonts w:hint="eastAsia" w:ascii="宋体" w:hAnsi="宋体" w:eastAsia="宋体" w:cs="宋体"/>
          <w:color w:val="auto"/>
          <w:sz w:val="21"/>
          <w:szCs w:val="21"/>
          <w:highlight w:val="none"/>
        </w:rPr>
        <w:t>影响采购人和磋商小组的任何活动，将导致其报价被拒绝，并承担相应的法律责任。</w:t>
      </w:r>
    </w:p>
    <w:p w14:paraId="481D71DD">
      <w:pPr>
        <w:pStyle w:val="15"/>
        <w:pageBreakBefore w:val="0"/>
        <w:overflowPunct/>
        <w:topLinePunct w:val="0"/>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18</w:t>
      </w:r>
      <w:r>
        <w:rPr>
          <w:rFonts w:hint="eastAsia" w:ascii="宋体" w:hAnsi="宋体" w:eastAsia="宋体" w:cs="宋体"/>
          <w:b/>
          <w:bCs/>
          <w:color w:val="auto"/>
          <w:sz w:val="21"/>
          <w:szCs w:val="21"/>
          <w:highlight w:val="none"/>
        </w:rPr>
        <w:t>、拒绝接收</w:t>
      </w:r>
    </w:p>
    <w:p w14:paraId="046B7F02">
      <w:pPr>
        <w:pStyle w:val="15"/>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18</w:t>
      </w:r>
      <w:r>
        <w:rPr>
          <w:rFonts w:hint="eastAsia" w:ascii="宋体" w:hAnsi="宋体" w:eastAsia="宋体" w:cs="宋体"/>
          <w:color w:val="auto"/>
          <w:sz w:val="21"/>
          <w:szCs w:val="21"/>
          <w:highlight w:val="none"/>
        </w:rPr>
        <w:t>.1属下列情形之一的，采购机构应当拒绝接收磋商供应商的响应文件：</w:t>
      </w:r>
    </w:p>
    <w:p w14:paraId="54236FA7">
      <w:pPr>
        <w:pStyle w:val="15"/>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（1）在本章第</w:t>
      </w: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.1项规定的投标截止时间之后送达的；</w:t>
      </w:r>
    </w:p>
    <w:p w14:paraId="4F35273B">
      <w:pPr>
        <w:pStyle w:val="15"/>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（2）未送达至本章第</w:t>
      </w: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项指定的递交响应文件地点的；</w:t>
      </w:r>
    </w:p>
    <w:p w14:paraId="54D47FE6">
      <w:pPr>
        <w:pStyle w:val="42"/>
        <w:pageBreakBefore w:val="0"/>
        <w:overflowPunct/>
        <w:topLinePunct w:val="0"/>
        <w:bidi w:val="0"/>
        <w:spacing w:line="360" w:lineRule="auto"/>
        <w:outlineLvl w:val="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19</w:t>
      </w:r>
      <w:r>
        <w:rPr>
          <w:rFonts w:hint="eastAsia" w:ascii="宋体" w:hAnsi="宋体" w:eastAsia="宋体" w:cs="宋体"/>
          <w:b/>
          <w:color w:val="auto"/>
          <w:sz w:val="21"/>
          <w:szCs w:val="21"/>
          <w:highlight w:val="none"/>
        </w:rPr>
        <w:t>、无效的响应文件</w:t>
      </w:r>
    </w:p>
    <w:p w14:paraId="1EA687C9">
      <w:pPr>
        <w:pageBreakBefore w:val="0"/>
        <w:widowControl/>
        <w:overflowPunct/>
        <w:topLinePunct w:val="0"/>
        <w:bidi w:val="0"/>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.1响应文件如有下列情况之一，将会在评标中视为无效文件处理：</w:t>
      </w:r>
    </w:p>
    <w:p w14:paraId="36ABB0AB">
      <w:pPr>
        <w:pageBreakBefore w:val="0"/>
        <w:widowControl/>
        <w:numPr>
          <w:ilvl w:val="0"/>
          <w:numId w:val="3"/>
        </w:numPr>
        <w:overflowPunct/>
        <w:topLinePunct w:val="0"/>
        <w:bidi w:val="0"/>
        <w:spacing w:line="360" w:lineRule="auto"/>
        <w:ind w:left="840" w:hanging="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未按照磋商文件规定要求密封、签署、盖章的；</w:t>
      </w:r>
    </w:p>
    <w:p w14:paraId="00B26B1E">
      <w:pPr>
        <w:pageBreakBefore w:val="0"/>
        <w:widowControl/>
        <w:numPr>
          <w:ilvl w:val="0"/>
          <w:numId w:val="3"/>
        </w:numPr>
        <w:overflowPunct/>
        <w:topLinePunct w:val="0"/>
        <w:bidi w:val="0"/>
        <w:spacing w:line="360" w:lineRule="auto"/>
        <w:ind w:left="840" w:hanging="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不具备磋商文件中规定资格要求的；</w:t>
      </w:r>
    </w:p>
    <w:p w14:paraId="75F86083">
      <w:pPr>
        <w:pageBreakBefore w:val="0"/>
        <w:widowControl/>
        <w:numPr>
          <w:ilvl w:val="0"/>
          <w:numId w:val="3"/>
        </w:numPr>
        <w:overflowPunct/>
        <w:topLinePunct w:val="0"/>
        <w:bidi w:val="0"/>
        <w:spacing w:line="360" w:lineRule="auto"/>
        <w:ind w:left="840" w:hanging="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磋商供应商报价超出了采购预算价的；</w:t>
      </w:r>
    </w:p>
    <w:p w14:paraId="1823BC2A">
      <w:pPr>
        <w:pageBreakBefore w:val="0"/>
        <w:widowControl/>
        <w:numPr>
          <w:ilvl w:val="0"/>
          <w:numId w:val="3"/>
        </w:numPr>
        <w:overflowPunct/>
        <w:topLinePunct w:val="0"/>
        <w:bidi w:val="0"/>
        <w:spacing w:line="360" w:lineRule="auto"/>
        <w:ind w:left="840" w:hanging="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不符磋商文件中规定的其它实质性要求并且在磋商规定内时间无法说明和补充的；</w:t>
      </w:r>
    </w:p>
    <w:p w14:paraId="4CECBCFE">
      <w:pPr>
        <w:pageBreakBefore w:val="0"/>
        <w:widowControl/>
        <w:numPr>
          <w:ilvl w:val="0"/>
          <w:numId w:val="3"/>
        </w:numPr>
        <w:overflowPunct/>
        <w:topLinePunct w:val="0"/>
        <w:bidi w:val="0"/>
        <w:spacing w:line="360" w:lineRule="auto"/>
        <w:ind w:left="840" w:hanging="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未按磋商文件中提出实质性要求和条件作出完全响应的；</w:t>
      </w:r>
    </w:p>
    <w:p w14:paraId="4C8A7045">
      <w:pPr>
        <w:pageBreakBefore w:val="0"/>
        <w:widowControl/>
        <w:numPr>
          <w:ilvl w:val="0"/>
          <w:numId w:val="3"/>
        </w:numPr>
        <w:overflowPunct/>
        <w:topLinePunct w:val="0"/>
        <w:bidi w:val="0"/>
        <w:spacing w:line="360" w:lineRule="auto"/>
        <w:ind w:left="840" w:hanging="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不同供应商的响应文件由同一单位或者个人编制的；</w:t>
      </w:r>
      <w:r>
        <w:rPr>
          <w:rFonts w:hint="eastAsia" w:ascii="宋体" w:hAnsi="宋体" w:eastAsia="宋体" w:cs="宋体"/>
          <w:b w:val="0"/>
          <w:bCs/>
          <w:color w:val="auto"/>
          <w:sz w:val="21"/>
          <w:szCs w:val="21"/>
          <w:highlight w:val="none"/>
        </w:rPr>
        <w:t>或者不同供应商报名的IP地址一致的；</w:t>
      </w:r>
    </w:p>
    <w:p w14:paraId="5ACD9A0F">
      <w:pPr>
        <w:pageBreakBefore w:val="0"/>
        <w:widowControl/>
        <w:numPr>
          <w:ilvl w:val="0"/>
          <w:numId w:val="3"/>
        </w:numPr>
        <w:overflowPunct/>
        <w:topLinePunct w:val="0"/>
        <w:bidi w:val="0"/>
        <w:spacing w:line="360" w:lineRule="auto"/>
        <w:ind w:left="840" w:hanging="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不同供应商委托同一单位或者个人办理竞标事宜的；</w:t>
      </w:r>
    </w:p>
    <w:p w14:paraId="16335CA5">
      <w:pPr>
        <w:pageBreakBefore w:val="0"/>
        <w:widowControl/>
        <w:numPr>
          <w:ilvl w:val="0"/>
          <w:numId w:val="3"/>
        </w:numPr>
        <w:overflowPunct/>
        <w:topLinePunct w:val="0"/>
        <w:bidi w:val="0"/>
        <w:spacing w:line="360" w:lineRule="auto"/>
        <w:ind w:left="840" w:hanging="420"/>
        <w:jc w:val="left"/>
        <w:rPr>
          <w:rFonts w:hint="eastAsia" w:ascii="宋体" w:hAnsi="宋体" w:eastAsia="宋体" w:cs="宋体"/>
          <w:bCs/>
          <w:color w:val="auto"/>
          <w:sz w:val="21"/>
          <w:szCs w:val="21"/>
          <w:highlight w:val="none"/>
        </w:rPr>
      </w:pPr>
      <w:r>
        <w:rPr>
          <w:rFonts w:hint="eastAsia" w:ascii="宋体" w:hAnsi="宋体" w:eastAsia="宋体" w:cs="宋体"/>
          <w:b w:val="0"/>
          <w:bCs/>
          <w:color w:val="auto"/>
          <w:sz w:val="21"/>
          <w:szCs w:val="21"/>
          <w:highlight w:val="none"/>
        </w:rPr>
        <w:t>不同的供应商的响应文件载明的项目管理员为同一个人；</w:t>
      </w:r>
    </w:p>
    <w:p w14:paraId="07294A21">
      <w:pPr>
        <w:pageBreakBefore w:val="0"/>
        <w:widowControl/>
        <w:numPr>
          <w:ilvl w:val="0"/>
          <w:numId w:val="3"/>
        </w:numPr>
        <w:overflowPunct/>
        <w:topLinePunct w:val="0"/>
        <w:bidi w:val="0"/>
        <w:spacing w:line="360" w:lineRule="auto"/>
        <w:ind w:left="840" w:hanging="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不同供应商的响应文件异常一致或者磋商报价呈规律性差异；</w:t>
      </w:r>
    </w:p>
    <w:p w14:paraId="6BC303FB">
      <w:pPr>
        <w:pStyle w:val="42"/>
        <w:pageBreakBefore w:val="0"/>
        <w:overflowPunct/>
        <w:topLinePunct w:val="0"/>
        <w:bidi w:val="0"/>
        <w:spacing w:line="360" w:lineRule="auto"/>
        <w:outlineLvl w:val="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20</w:t>
      </w:r>
      <w:r>
        <w:rPr>
          <w:rFonts w:hint="eastAsia" w:ascii="宋体" w:hAnsi="宋体" w:eastAsia="宋体" w:cs="宋体"/>
          <w:b/>
          <w:color w:val="auto"/>
          <w:sz w:val="21"/>
          <w:szCs w:val="21"/>
          <w:highlight w:val="none"/>
        </w:rPr>
        <w:t>、废标</w:t>
      </w:r>
    </w:p>
    <w:p w14:paraId="6C93DF44">
      <w:pPr>
        <w:pStyle w:val="15"/>
        <w:pageBreakBefore w:val="0"/>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w:t>
      </w:r>
      <w:r>
        <w:rPr>
          <w:rFonts w:hint="eastAsia" w:ascii="宋体" w:hAnsi="宋体" w:eastAsia="宋体" w:cs="宋体"/>
          <w:b/>
          <w:bCs/>
          <w:color w:val="auto"/>
          <w:sz w:val="21"/>
          <w:szCs w:val="21"/>
          <w:highlight w:val="none"/>
          <w:lang w:val="en-US" w:eastAsia="zh-CN"/>
        </w:rPr>
        <w:t>20</w:t>
      </w:r>
      <w:r>
        <w:rPr>
          <w:rFonts w:hint="eastAsia" w:ascii="宋体" w:hAnsi="宋体" w:eastAsia="宋体" w:cs="宋体"/>
          <w:b/>
          <w:bCs/>
          <w:color w:val="auto"/>
          <w:sz w:val="21"/>
          <w:szCs w:val="21"/>
          <w:highlight w:val="none"/>
        </w:rPr>
        <w:t>.1磋商采购项目出现下列情形之一的，采购代理机构将予以废标：</w:t>
      </w:r>
    </w:p>
    <w:p w14:paraId="355EC934">
      <w:pPr>
        <w:pStyle w:val="15"/>
        <w:pageBreakBefore w:val="0"/>
        <w:overflowPunct/>
        <w:topLinePunct w:val="0"/>
        <w:bidi w:val="0"/>
        <w:spacing w:line="360" w:lineRule="auto"/>
        <w:ind w:firstLine="4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(1)出现影响采购公正的违法、违规行为的；</w:t>
      </w:r>
    </w:p>
    <w:p w14:paraId="51C69A5B">
      <w:pPr>
        <w:pStyle w:val="15"/>
        <w:pageBreakBefore w:val="0"/>
        <w:overflowPunct/>
        <w:topLinePunct w:val="0"/>
        <w:bidi w:val="0"/>
        <w:spacing w:line="360" w:lineRule="auto"/>
        <w:ind w:firstLine="4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(2)所有服务商的报价均超过了采购预算，采购人不能支付的；</w:t>
      </w:r>
    </w:p>
    <w:p w14:paraId="464B9922">
      <w:pPr>
        <w:pStyle w:val="15"/>
        <w:pageBreakBefore w:val="0"/>
        <w:overflowPunct/>
        <w:topLinePunct w:val="0"/>
        <w:bidi w:val="0"/>
        <w:spacing w:line="360" w:lineRule="auto"/>
        <w:ind w:firstLine="4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(3)因重大变故，采购任务取消的；</w:t>
      </w:r>
    </w:p>
    <w:p w14:paraId="098016E4">
      <w:pPr>
        <w:pStyle w:val="15"/>
        <w:pageBreakBefore w:val="0"/>
        <w:overflowPunct/>
        <w:topLinePunct w:val="0"/>
        <w:bidi w:val="0"/>
        <w:spacing w:line="360" w:lineRule="auto"/>
        <w:ind w:firstLine="42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(4)磋商文件存在不合理条款的，竞争性磋商公告时间及程序不符合规定的；</w:t>
      </w:r>
    </w:p>
    <w:p w14:paraId="658AA370">
      <w:pPr>
        <w:pStyle w:val="15"/>
        <w:pageBreakBefore w:val="0"/>
        <w:overflowPunct/>
        <w:topLinePunct w:val="0"/>
        <w:bidi w:val="0"/>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.2如本次项目废标后，采购代理机构将把废标理由通知所有磋商供应商。</w:t>
      </w:r>
    </w:p>
    <w:p w14:paraId="3136B084">
      <w:pPr>
        <w:pStyle w:val="42"/>
        <w:pageBreakBefore w:val="0"/>
        <w:overflowPunct/>
        <w:topLinePunct w:val="0"/>
        <w:bidi w:val="0"/>
        <w:spacing w:line="360" w:lineRule="auto"/>
        <w:outlineLvl w:val="3"/>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21、重新招标</w:t>
      </w:r>
    </w:p>
    <w:p w14:paraId="36678FE0">
      <w:pPr>
        <w:pStyle w:val="15"/>
        <w:pageBreakBefore w:val="0"/>
        <w:numPr>
          <w:ilvl w:val="0"/>
          <w:numId w:val="0"/>
        </w:numPr>
        <w:overflowPunct/>
        <w:topLinePunct w:val="0"/>
        <w:bidi w:val="0"/>
        <w:spacing w:line="360" w:lineRule="auto"/>
        <w:ind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21.1 经磋商小组评审后，认为所有竞标均不符合竞争性磋商采购文件要求，可以否决所有竞标。所有竞标被否决后，采购人将依法重新招标。</w:t>
      </w:r>
    </w:p>
    <w:p w14:paraId="55785DDF">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rPr>
      </w:pPr>
      <w:r>
        <w:rPr>
          <w:rFonts w:hint="eastAsia" w:ascii="宋体" w:hAnsi="宋体" w:eastAsia="宋体" w:cs="宋体"/>
          <w:b w:val="0"/>
          <w:bCs w:val="0"/>
          <w:color w:val="auto"/>
          <w:sz w:val="21"/>
          <w:szCs w:val="21"/>
          <w:highlight w:val="none"/>
          <w:lang w:val="en-US" w:eastAsia="zh-CN"/>
        </w:rPr>
        <w:t>21.2重新招标后竞标人仍少于三个或者所有竞标被否决的，属于必须审批或核准的工程建设项目，经原审批或核准部门批准后不再进行招标</w:t>
      </w:r>
      <w:bookmarkStart w:id="73" w:name="_Toc459103904"/>
      <w:r>
        <w:rPr>
          <w:rFonts w:hint="eastAsia" w:ascii="宋体" w:hAnsi="宋体" w:eastAsia="宋体" w:cs="宋体"/>
          <w:b w:val="0"/>
          <w:bCs w:val="0"/>
          <w:color w:val="auto"/>
          <w:sz w:val="21"/>
          <w:szCs w:val="21"/>
          <w:highlight w:val="none"/>
          <w:lang w:val="en-US" w:eastAsia="zh-CN"/>
        </w:rPr>
        <w:t>。</w:t>
      </w:r>
    </w:p>
    <w:p w14:paraId="23258F40">
      <w:pPr>
        <w:pStyle w:val="4"/>
        <w:pageBreakBefore w:val="0"/>
        <w:overflowPunct/>
        <w:topLinePunct w:val="0"/>
        <w:bidi w:val="0"/>
        <w:spacing w:before="0" w:after="0" w:line="360" w:lineRule="auto"/>
        <w:rPr>
          <w:rFonts w:hint="eastAsia" w:ascii="宋体" w:hAnsi="宋体" w:eastAsia="宋体" w:cs="宋体"/>
          <w:color w:val="auto"/>
          <w:sz w:val="21"/>
          <w:szCs w:val="21"/>
          <w:highlight w:val="none"/>
        </w:rPr>
      </w:pPr>
      <w:bookmarkStart w:id="74" w:name="_Toc3280"/>
      <w:r>
        <w:rPr>
          <w:rFonts w:hint="eastAsia" w:ascii="宋体" w:hAnsi="宋体" w:eastAsia="宋体" w:cs="宋体"/>
          <w:color w:val="auto"/>
          <w:sz w:val="21"/>
          <w:szCs w:val="21"/>
          <w:highlight w:val="none"/>
        </w:rPr>
        <w:t>七、签订合同</w:t>
      </w:r>
      <w:bookmarkEnd w:id="73"/>
      <w:bookmarkEnd w:id="74"/>
    </w:p>
    <w:p w14:paraId="2B9059D1">
      <w:pPr>
        <w:pStyle w:val="15"/>
        <w:pageBreakBefore w:val="0"/>
        <w:overflowPunct/>
        <w:topLinePunct w:val="0"/>
        <w:bidi w:val="0"/>
        <w:spacing w:line="360" w:lineRule="auto"/>
        <w:outlineLvl w:val="2"/>
        <w:rPr>
          <w:rFonts w:hint="eastAsia" w:ascii="宋体" w:hAnsi="宋体" w:eastAsia="宋体" w:cs="宋体"/>
          <w:b/>
          <w:color w:val="auto"/>
          <w:sz w:val="21"/>
          <w:szCs w:val="21"/>
          <w:highlight w:val="none"/>
        </w:rPr>
      </w:pPr>
      <w:bookmarkStart w:id="75" w:name="_Toc7205"/>
      <w:bookmarkStart w:id="76" w:name="_Toc12438"/>
      <w:r>
        <w:rPr>
          <w:rFonts w:hint="eastAsia" w:ascii="宋体" w:hAnsi="宋体" w:eastAsia="宋体" w:cs="宋体"/>
          <w:b/>
          <w:color w:val="auto"/>
          <w:sz w:val="21"/>
          <w:szCs w:val="21"/>
          <w:highlight w:val="none"/>
          <w:lang w:val="en-US" w:eastAsia="zh-CN"/>
        </w:rPr>
        <w:t>22</w:t>
      </w:r>
      <w:r>
        <w:rPr>
          <w:rFonts w:hint="eastAsia" w:ascii="宋体" w:hAnsi="宋体" w:eastAsia="宋体" w:cs="宋体"/>
          <w:b/>
          <w:color w:val="auto"/>
          <w:sz w:val="21"/>
          <w:szCs w:val="21"/>
          <w:highlight w:val="none"/>
        </w:rPr>
        <w:t>.成交结果</w:t>
      </w:r>
      <w:bookmarkEnd w:id="75"/>
      <w:r>
        <w:rPr>
          <w:rFonts w:hint="eastAsia" w:ascii="宋体" w:hAnsi="宋体" w:eastAsia="宋体" w:cs="宋体"/>
          <w:b/>
          <w:color w:val="auto"/>
          <w:sz w:val="21"/>
          <w:szCs w:val="21"/>
          <w:highlight w:val="none"/>
        </w:rPr>
        <w:t>公告</w:t>
      </w:r>
      <w:bookmarkEnd w:id="76"/>
    </w:p>
    <w:p w14:paraId="7A64F22E">
      <w:pPr>
        <w:pStyle w:val="15"/>
        <w:pageBreakBefore w:val="0"/>
        <w:overflowPunct/>
        <w:topLinePunct w:val="0"/>
        <w:bidi w:val="0"/>
        <w:spacing w:line="360" w:lineRule="auto"/>
        <w:ind w:firstLine="420" w:firstLineChars="200"/>
        <w:outlineLvl w:val="2"/>
        <w:rPr>
          <w:rFonts w:hint="eastAsia" w:ascii="宋体" w:hAnsi="宋体" w:eastAsia="宋体" w:cs="宋体"/>
          <w:bCs/>
          <w:color w:val="auto"/>
          <w:sz w:val="21"/>
          <w:szCs w:val="21"/>
          <w:highlight w:val="none"/>
        </w:rPr>
      </w:pPr>
      <w:bookmarkStart w:id="77" w:name="_Toc6803"/>
      <w:bookmarkStart w:id="78" w:name="_Toc5678"/>
      <w:r>
        <w:rPr>
          <w:rFonts w:hint="eastAsia" w:ascii="宋体" w:hAnsi="宋体" w:eastAsia="宋体" w:cs="宋体"/>
          <w:bCs/>
          <w:color w:val="auto"/>
          <w:sz w:val="21"/>
          <w:szCs w:val="21"/>
          <w:highlight w:val="none"/>
          <w:lang w:val="en-US" w:eastAsia="zh-CN"/>
        </w:rPr>
        <w:t>22</w:t>
      </w:r>
      <w:r>
        <w:rPr>
          <w:rFonts w:hint="eastAsia" w:ascii="宋体" w:hAnsi="宋体" w:eastAsia="宋体" w:cs="宋体"/>
          <w:bCs/>
          <w:color w:val="auto"/>
          <w:sz w:val="21"/>
          <w:szCs w:val="21"/>
          <w:highlight w:val="none"/>
        </w:rPr>
        <w:t>.1采购代理机构在磋商工作完成后2日内将磋商报告送采购人，采购人确认后，成交结果公告将在</w:t>
      </w:r>
      <w:r>
        <w:rPr>
          <w:rFonts w:hint="eastAsia" w:ascii="宋体" w:hAnsi="宋体" w:eastAsia="宋体" w:cs="宋体"/>
          <w:bCs/>
          <w:color w:val="auto"/>
          <w:sz w:val="21"/>
          <w:szCs w:val="21"/>
          <w:highlight w:val="none"/>
          <w:lang w:eastAsia="zh-CN"/>
        </w:rPr>
        <w:t>发布本项目竞争性磋商公告的同一网站上发布</w:t>
      </w:r>
      <w:r>
        <w:rPr>
          <w:rFonts w:hint="eastAsia" w:ascii="宋体" w:hAnsi="宋体" w:eastAsia="宋体" w:cs="宋体"/>
          <w:bCs/>
          <w:color w:val="auto"/>
          <w:sz w:val="21"/>
          <w:szCs w:val="21"/>
          <w:highlight w:val="none"/>
        </w:rPr>
        <w:t>。</w:t>
      </w:r>
      <w:bookmarkEnd w:id="77"/>
      <w:bookmarkEnd w:id="78"/>
    </w:p>
    <w:p w14:paraId="00AF204E">
      <w:pPr>
        <w:pStyle w:val="15"/>
        <w:pageBreakBefore w:val="0"/>
        <w:overflowPunct/>
        <w:topLinePunct w:val="0"/>
        <w:bidi w:val="0"/>
        <w:spacing w:line="360" w:lineRule="auto"/>
        <w:ind w:firstLine="420"/>
        <w:rPr>
          <w:rFonts w:hint="eastAsia" w:ascii="宋体" w:hAnsi="宋体" w:eastAsia="宋体" w:cs="宋体"/>
          <w:bCs/>
          <w:color w:val="auto"/>
          <w:sz w:val="21"/>
          <w:szCs w:val="21"/>
          <w:highlight w:val="none"/>
          <w:lang w:eastAsia="zh-CN"/>
        </w:rPr>
      </w:pPr>
      <w:bookmarkStart w:id="79" w:name="_Toc29884"/>
      <w:r>
        <w:rPr>
          <w:rFonts w:hint="eastAsia" w:ascii="宋体" w:hAnsi="宋体" w:eastAsia="宋体" w:cs="宋体"/>
          <w:bCs/>
          <w:color w:val="auto"/>
          <w:sz w:val="21"/>
          <w:szCs w:val="21"/>
          <w:highlight w:val="none"/>
          <w:lang w:val="en-US" w:eastAsia="zh-CN"/>
        </w:rPr>
        <w:t>22</w:t>
      </w:r>
      <w:r>
        <w:rPr>
          <w:rFonts w:hint="eastAsia" w:ascii="宋体" w:hAnsi="宋体" w:eastAsia="宋体" w:cs="宋体"/>
          <w:bCs/>
          <w:color w:val="auto"/>
          <w:sz w:val="21"/>
          <w:szCs w:val="21"/>
          <w:highlight w:val="none"/>
        </w:rPr>
        <w:t>.2成交结果公告期限为1个工作日，发布</w:t>
      </w:r>
      <w:r>
        <w:rPr>
          <w:rFonts w:hint="eastAsia" w:ascii="宋体" w:hAnsi="宋体" w:eastAsia="宋体" w:cs="宋体"/>
          <w:bCs/>
          <w:color w:val="auto"/>
          <w:sz w:val="21"/>
          <w:szCs w:val="21"/>
          <w:highlight w:val="none"/>
          <w:lang w:val="en-US" w:eastAsia="zh-CN"/>
        </w:rPr>
        <w:t>成交</w:t>
      </w:r>
      <w:r>
        <w:rPr>
          <w:rFonts w:hint="eastAsia" w:ascii="宋体" w:hAnsi="宋体" w:eastAsia="宋体" w:cs="宋体"/>
          <w:bCs/>
          <w:color w:val="auto"/>
          <w:sz w:val="21"/>
          <w:szCs w:val="21"/>
          <w:highlight w:val="none"/>
        </w:rPr>
        <w:t>结果公告的同时向</w:t>
      </w:r>
      <w:r>
        <w:rPr>
          <w:rFonts w:hint="eastAsia" w:ascii="宋体" w:hAnsi="宋体" w:eastAsia="宋体" w:cs="宋体"/>
          <w:bCs/>
          <w:color w:val="auto"/>
          <w:sz w:val="21"/>
          <w:szCs w:val="21"/>
          <w:highlight w:val="none"/>
          <w:lang w:val="en-US" w:eastAsia="zh-CN"/>
        </w:rPr>
        <w:t>成交</w:t>
      </w:r>
      <w:r>
        <w:rPr>
          <w:rFonts w:hint="eastAsia" w:ascii="宋体" w:hAnsi="宋体" w:eastAsia="宋体" w:cs="宋体"/>
          <w:bCs/>
          <w:color w:val="auto"/>
          <w:sz w:val="21"/>
          <w:szCs w:val="21"/>
          <w:highlight w:val="none"/>
        </w:rPr>
        <w:t>供应商发出</w:t>
      </w:r>
      <w:r>
        <w:rPr>
          <w:rFonts w:hint="eastAsia" w:ascii="宋体" w:hAnsi="宋体" w:eastAsia="宋体" w:cs="宋体"/>
          <w:bCs/>
          <w:color w:val="auto"/>
          <w:sz w:val="21"/>
          <w:szCs w:val="21"/>
          <w:highlight w:val="none"/>
          <w:lang w:val="en-US" w:eastAsia="zh-CN"/>
        </w:rPr>
        <w:t>成交</w:t>
      </w:r>
      <w:r>
        <w:rPr>
          <w:rFonts w:hint="eastAsia" w:ascii="宋体" w:hAnsi="宋体" w:eastAsia="宋体" w:cs="宋体"/>
          <w:bCs/>
          <w:color w:val="auto"/>
          <w:sz w:val="21"/>
          <w:szCs w:val="21"/>
          <w:highlight w:val="none"/>
        </w:rPr>
        <w:t>通知书。采购代理机构发出</w:t>
      </w:r>
      <w:r>
        <w:rPr>
          <w:rFonts w:hint="eastAsia" w:ascii="宋体" w:hAnsi="宋体" w:eastAsia="宋体" w:cs="宋体"/>
          <w:bCs/>
          <w:color w:val="auto"/>
          <w:sz w:val="21"/>
          <w:szCs w:val="21"/>
          <w:highlight w:val="none"/>
          <w:lang w:val="en-US" w:eastAsia="zh-CN"/>
        </w:rPr>
        <w:t>成交</w:t>
      </w:r>
      <w:r>
        <w:rPr>
          <w:rFonts w:hint="eastAsia" w:ascii="宋体" w:hAnsi="宋体" w:eastAsia="宋体" w:cs="宋体"/>
          <w:bCs/>
          <w:color w:val="auto"/>
          <w:sz w:val="21"/>
          <w:szCs w:val="21"/>
          <w:highlight w:val="none"/>
        </w:rPr>
        <w:t>通知书前，应当对</w:t>
      </w:r>
      <w:r>
        <w:rPr>
          <w:rFonts w:hint="eastAsia" w:ascii="宋体" w:hAnsi="宋体" w:eastAsia="宋体" w:cs="宋体"/>
          <w:bCs/>
          <w:color w:val="auto"/>
          <w:sz w:val="21"/>
          <w:szCs w:val="21"/>
          <w:highlight w:val="none"/>
          <w:lang w:val="en-US" w:eastAsia="zh-CN"/>
        </w:rPr>
        <w:t>成交</w:t>
      </w:r>
      <w:r>
        <w:rPr>
          <w:rFonts w:hint="eastAsia" w:ascii="宋体" w:hAnsi="宋体" w:eastAsia="宋体" w:cs="宋体"/>
          <w:bCs/>
          <w:color w:val="auto"/>
          <w:sz w:val="21"/>
          <w:szCs w:val="21"/>
          <w:highlight w:val="none"/>
        </w:rPr>
        <w:t>人信用进行核实，对列入失信被执行人、重大税收违法案件当事人名单、政府采购严重违法失信行为记录名单及其他不符合《中华人民共和国政府采购法》第二十二条规定条件的</w:t>
      </w:r>
      <w:r>
        <w:rPr>
          <w:rFonts w:hint="eastAsia" w:ascii="宋体" w:hAnsi="宋体" w:eastAsia="宋体" w:cs="宋体"/>
          <w:bCs/>
          <w:color w:val="auto"/>
          <w:sz w:val="21"/>
          <w:szCs w:val="21"/>
          <w:highlight w:val="none"/>
          <w:lang w:val="en-US" w:eastAsia="zh-CN"/>
        </w:rPr>
        <w:t>竞</w:t>
      </w:r>
      <w:r>
        <w:rPr>
          <w:rFonts w:hint="eastAsia" w:ascii="宋体" w:hAnsi="宋体" w:eastAsia="宋体" w:cs="宋体"/>
          <w:bCs/>
          <w:color w:val="auto"/>
          <w:sz w:val="21"/>
          <w:szCs w:val="21"/>
          <w:highlight w:val="none"/>
        </w:rPr>
        <w:t>标人，取消其</w:t>
      </w:r>
      <w:r>
        <w:rPr>
          <w:rFonts w:hint="eastAsia" w:ascii="宋体" w:hAnsi="宋体" w:eastAsia="宋体" w:cs="宋体"/>
          <w:bCs/>
          <w:color w:val="auto"/>
          <w:sz w:val="21"/>
          <w:szCs w:val="21"/>
          <w:highlight w:val="none"/>
          <w:lang w:val="en-US" w:eastAsia="zh-CN"/>
        </w:rPr>
        <w:t>成交</w:t>
      </w:r>
      <w:r>
        <w:rPr>
          <w:rFonts w:hint="eastAsia" w:ascii="宋体" w:hAnsi="宋体" w:eastAsia="宋体" w:cs="宋体"/>
          <w:bCs/>
          <w:color w:val="auto"/>
          <w:sz w:val="21"/>
          <w:szCs w:val="21"/>
          <w:highlight w:val="none"/>
        </w:rPr>
        <w:t>资格，并确定排名第二的</w:t>
      </w:r>
      <w:r>
        <w:rPr>
          <w:rFonts w:hint="eastAsia" w:ascii="宋体" w:hAnsi="宋体" w:eastAsia="宋体" w:cs="宋体"/>
          <w:bCs/>
          <w:color w:val="auto"/>
          <w:sz w:val="21"/>
          <w:szCs w:val="21"/>
          <w:highlight w:val="none"/>
          <w:lang w:val="en-US" w:eastAsia="zh-CN"/>
        </w:rPr>
        <w:t>成交</w:t>
      </w:r>
      <w:r>
        <w:rPr>
          <w:rFonts w:hint="eastAsia" w:ascii="宋体" w:hAnsi="宋体" w:eastAsia="宋体" w:cs="宋体"/>
          <w:bCs/>
          <w:color w:val="auto"/>
          <w:sz w:val="21"/>
          <w:szCs w:val="21"/>
          <w:highlight w:val="none"/>
        </w:rPr>
        <w:t>候选人为</w:t>
      </w:r>
      <w:r>
        <w:rPr>
          <w:rFonts w:hint="eastAsia" w:ascii="宋体" w:hAnsi="宋体" w:eastAsia="宋体" w:cs="宋体"/>
          <w:bCs/>
          <w:color w:val="auto"/>
          <w:sz w:val="21"/>
          <w:szCs w:val="21"/>
          <w:highlight w:val="none"/>
          <w:lang w:val="en-US" w:eastAsia="zh-CN"/>
        </w:rPr>
        <w:t>成交</w:t>
      </w:r>
      <w:r>
        <w:rPr>
          <w:rFonts w:hint="eastAsia" w:ascii="宋体" w:hAnsi="宋体" w:eastAsia="宋体" w:cs="宋体"/>
          <w:bCs/>
          <w:color w:val="auto"/>
          <w:sz w:val="21"/>
          <w:szCs w:val="21"/>
          <w:highlight w:val="none"/>
        </w:rPr>
        <w:t>人。排名第二的</w:t>
      </w:r>
      <w:r>
        <w:rPr>
          <w:rFonts w:hint="eastAsia" w:ascii="宋体" w:hAnsi="宋体" w:eastAsia="宋体" w:cs="宋体"/>
          <w:bCs/>
          <w:color w:val="auto"/>
          <w:sz w:val="21"/>
          <w:szCs w:val="21"/>
          <w:highlight w:val="none"/>
          <w:lang w:val="en-US" w:eastAsia="zh-CN"/>
        </w:rPr>
        <w:t>成交</w:t>
      </w:r>
      <w:r>
        <w:rPr>
          <w:rFonts w:hint="eastAsia" w:ascii="宋体" w:hAnsi="宋体" w:eastAsia="宋体" w:cs="宋体"/>
          <w:bCs/>
          <w:color w:val="auto"/>
          <w:sz w:val="21"/>
          <w:szCs w:val="21"/>
          <w:highlight w:val="none"/>
        </w:rPr>
        <w:t>候选人因前款规定的同样原因被取消</w:t>
      </w:r>
      <w:r>
        <w:rPr>
          <w:rFonts w:hint="eastAsia" w:ascii="宋体" w:hAnsi="宋体" w:eastAsia="宋体" w:cs="宋体"/>
          <w:bCs/>
          <w:color w:val="auto"/>
          <w:sz w:val="21"/>
          <w:szCs w:val="21"/>
          <w:highlight w:val="none"/>
          <w:lang w:val="en-US" w:eastAsia="zh-CN"/>
        </w:rPr>
        <w:t>成交</w:t>
      </w:r>
      <w:r>
        <w:rPr>
          <w:rFonts w:hint="eastAsia" w:ascii="宋体" w:hAnsi="宋体" w:eastAsia="宋体" w:cs="宋体"/>
          <w:bCs/>
          <w:color w:val="auto"/>
          <w:sz w:val="21"/>
          <w:szCs w:val="21"/>
          <w:highlight w:val="none"/>
        </w:rPr>
        <w:t>资格的，</w:t>
      </w:r>
      <w:r>
        <w:rPr>
          <w:rFonts w:hint="eastAsia" w:ascii="宋体" w:hAnsi="宋体" w:eastAsia="宋体" w:cs="宋体"/>
          <w:bCs/>
          <w:color w:val="auto"/>
          <w:sz w:val="21"/>
          <w:szCs w:val="21"/>
          <w:highlight w:val="none"/>
          <w:lang w:val="en-US" w:eastAsia="zh-CN"/>
        </w:rPr>
        <w:t>采购人</w:t>
      </w:r>
      <w:r>
        <w:rPr>
          <w:rFonts w:hint="eastAsia" w:ascii="宋体" w:hAnsi="宋体" w:eastAsia="宋体" w:cs="宋体"/>
          <w:bCs/>
          <w:color w:val="auto"/>
          <w:sz w:val="21"/>
          <w:szCs w:val="21"/>
          <w:highlight w:val="none"/>
        </w:rPr>
        <w:t>可以确定排名第三的</w:t>
      </w:r>
      <w:r>
        <w:rPr>
          <w:rFonts w:hint="eastAsia" w:ascii="宋体" w:hAnsi="宋体" w:eastAsia="宋体" w:cs="宋体"/>
          <w:bCs/>
          <w:color w:val="auto"/>
          <w:sz w:val="21"/>
          <w:szCs w:val="21"/>
          <w:highlight w:val="none"/>
          <w:lang w:val="en-US" w:eastAsia="zh-CN"/>
        </w:rPr>
        <w:t>成交</w:t>
      </w:r>
      <w:r>
        <w:rPr>
          <w:rFonts w:hint="eastAsia" w:ascii="宋体" w:hAnsi="宋体" w:eastAsia="宋体" w:cs="宋体"/>
          <w:bCs/>
          <w:color w:val="auto"/>
          <w:sz w:val="21"/>
          <w:szCs w:val="21"/>
          <w:highlight w:val="none"/>
        </w:rPr>
        <w:t>候选人为</w:t>
      </w:r>
      <w:r>
        <w:rPr>
          <w:rFonts w:hint="eastAsia" w:ascii="宋体" w:hAnsi="宋体" w:eastAsia="宋体" w:cs="宋体"/>
          <w:bCs/>
          <w:color w:val="auto"/>
          <w:sz w:val="21"/>
          <w:szCs w:val="21"/>
          <w:highlight w:val="none"/>
          <w:lang w:val="en-US" w:eastAsia="zh-CN"/>
        </w:rPr>
        <w:t>成交</w:t>
      </w:r>
      <w:r>
        <w:rPr>
          <w:rFonts w:hint="eastAsia" w:ascii="宋体" w:hAnsi="宋体" w:eastAsia="宋体" w:cs="宋体"/>
          <w:bCs/>
          <w:color w:val="auto"/>
          <w:sz w:val="21"/>
          <w:szCs w:val="21"/>
          <w:highlight w:val="none"/>
        </w:rPr>
        <w:t>人，以此类推。以上信息查询记录及相关证据与采购文件一并保存</w:t>
      </w:r>
      <w:r>
        <w:rPr>
          <w:rFonts w:hint="eastAsia" w:ascii="宋体" w:hAnsi="宋体" w:eastAsia="宋体" w:cs="宋体"/>
          <w:bCs/>
          <w:color w:val="auto"/>
          <w:sz w:val="21"/>
          <w:szCs w:val="21"/>
          <w:highlight w:val="none"/>
          <w:lang w:eastAsia="zh-CN"/>
        </w:rPr>
        <w:t>。</w:t>
      </w:r>
    </w:p>
    <w:p w14:paraId="10DF0EC0">
      <w:pPr>
        <w:pStyle w:val="15"/>
        <w:pageBreakBefore w:val="0"/>
        <w:overflowPunct/>
        <w:topLinePunct w:val="0"/>
        <w:bidi w:val="0"/>
        <w:spacing w:line="360" w:lineRule="auto"/>
        <w:ind w:firstLine="42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22.3中小企业在政府采购活动过程中，请根据企业的真实情况出具《中小企业声明函》。依法享受中小企业优惠政策的，采购人或者采购代理机构在公告成交结果时，同时公告其《中小企业声明函》，接受社会监督。</w:t>
      </w:r>
    </w:p>
    <w:bookmarkEnd w:id="79"/>
    <w:p w14:paraId="779FDF65">
      <w:pPr>
        <w:pageBreakBefore w:val="0"/>
        <w:overflowPunct/>
        <w:topLinePunct w:val="0"/>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23</w:t>
      </w:r>
      <w:r>
        <w:rPr>
          <w:rFonts w:hint="eastAsia" w:ascii="宋体" w:hAnsi="宋体" w:eastAsia="宋体" w:cs="宋体"/>
          <w:b/>
          <w:bCs/>
          <w:color w:val="auto"/>
          <w:sz w:val="21"/>
          <w:szCs w:val="21"/>
          <w:highlight w:val="none"/>
        </w:rPr>
        <w:t>、成交通知</w:t>
      </w:r>
    </w:p>
    <w:p w14:paraId="234A007D">
      <w:pPr>
        <w:pStyle w:val="15"/>
        <w:pageBreakBefore w:val="0"/>
        <w:overflowPunct/>
        <w:topLinePunct w:val="0"/>
        <w:bidi w:val="0"/>
        <w:spacing w:line="360" w:lineRule="auto"/>
        <w:ind w:firstLine="420" w:firstLineChars="200"/>
        <w:outlineLvl w:val="2"/>
        <w:rPr>
          <w:rFonts w:hint="eastAsia" w:ascii="宋体" w:hAnsi="宋体" w:eastAsia="宋体" w:cs="宋体"/>
          <w:bCs/>
          <w:color w:val="auto"/>
          <w:sz w:val="21"/>
          <w:szCs w:val="21"/>
          <w:highlight w:val="none"/>
        </w:rPr>
      </w:pPr>
      <w:bookmarkStart w:id="80" w:name="_Toc32090"/>
      <w:bookmarkStart w:id="81" w:name="_Toc30837"/>
      <w:r>
        <w:rPr>
          <w:rFonts w:hint="eastAsia" w:ascii="宋体" w:hAnsi="宋体" w:eastAsia="宋体" w:cs="宋体"/>
          <w:bCs/>
          <w:color w:val="auto"/>
          <w:sz w:val="21"/>
          <w:szCs w:val="21"/>
          <w:highlight w:val="none"/>
          <w:lang w:val="en-US" w:eastAsia="zh-CN"/>
        </w:rPr>
        <w:t>23</w:t>
      </w:r>
      <w:r>
        <w:rPr>
          <w:rFonts w:hint="eastAsia" w:ascii="宋体" w:hAnsi="宋体" w:eastAsia="宋体" w:cs="宋体"/>
          <w:bCs/>
          <w:color w:val="auto"/>
          <w:sz w:val="21"/>
          <w:szCs w:val="21"/>
          <w:highlight w:val="none"/>
        </w:rPr>
        <w:t>.1采购代理机构在发布</w:t>
      </w:r>
      <w:r>
        <w:rPr>
          <w:rFonts w:hint="eastAsia" w:ascii="宋体" w:hAnsi="宋体" w:eastAsia="宋体" w:cs="宋体"/>
          <w:bCs/>
          <w:color w:val="auto"/>
          <w:sz w:val="21"/>
          <w:szCs w:val="21"/>
          <w:highlight w:val="none"/>
          <w:lang w:val="en-US" w:eastAsia="zh-CN"/>
        </w:rPr>
        <w:t>成交</w:t>
      </w:r>
      <w:r>
        <w:rPr>
          <w:rFonts w:hint="eastAsia" w:ascii="宋体" w:hAnsi="宋体" w:eastAsia="宋体" w:cs="宋体"/>
          <w:bCs/>
          <w:color w:val="auto"/>
          <w:sz w:val="21"/>
          <w:szCs w:val="21"/>
          <w:highlight w:val="none"/>
        </w:rPr>
        <w:t>公告的同时，采购代理机构向</w:t>
      </w:r>
      <w:r>
        <w:rPr>
          <w:rFonts w:hint="eastAsia" w:ascii="宋体" w:hAnsi="宋体" w:eastAsia="宋体" w:cs="宋体"/>
          <w:bCs/>
          <w:color w:val="auto"/>
          <w:sz w:val="21"/>
          <w:szCs w:val="21"/>
          <w:highlight w:val="none"/>
          <w:lang w:val="en-US" w:eastAsia="zh-CN"/>
        </w:rPr>
        <w:t>成交</w:t>
      </w:r>
      <w:r>
        <w:rPr>
          <w:rFonts w:hint="eastAsia" w:ascii="宋体" w:hAnsi="宋体" w:eastAsia="宋体" w:cs="宋体"/>
          <w:bCs/>
          <w:color w:val="auto"/>
          <w:sz w:val="21"/>
          <w:szCs w:val="21"/>
          <w:highlight w:val="none"/>
        </w:rPr>
        <w:t>人发出</w:t>
      </w:r>
      <w:r>
        <w:rPr>
          <w:rFonts w:hint="eastAsia" w:ascii="宋体" w:hAnsi="宋体" w:eastAsia="宋体" w:cs="宋体"/>
          <w:bCs/>
          <w:color w:val="auto"/>
          <w:sz w:val="21"/>
          <w:szCs w:val="21"/>
          <w:highlight w:val="none"/>
          <w:lang w:eastAsia="zh-CN"/>
        </w:rPr>
        <w:t>成交</w:t>
      </w:r>
      <w:r>
        <w:rPr>
          <w:rFonts w:hint="eastAsia" w:ascii="宋体" w:hAnsi="宋体" w:eastAsia="宋体" w:cs="宋体"/>
          <w:bCs/>
          <w:color w:val="auto"/>
          <w:sz w:val="21"/>
          <w:szCs w:val="21"/>
          <w:highlight w:val="none"/>
        </w:rPr>
        <w:t>通知书。</w:t>
      </w:r>
      <w:bookmarkEnd w:id="80"/>
      <w:bookmarkEnd w:id="81"/>
    </w:p>
    <w:p w14:paraId="4E37183A">
      <w:pPr>
        <w:pStyle w:val="15"/>
        <w:pageBreakBefore w:val="0"/>
        <w:overflowPunct/>
        <w:topLinePunct w:val="0"/>
        <w:bidi w:val="0"/>
        <w:spacing w:line="360" w:lineRule="auto"/>
        <w:ind w:firstLine="420" w:firstLineChars="200"/>
        <w:outlineLvl w:val="2"/>
        <w:rPr>
          <w:rFonts w:hint="eastAsia" w:ascii="宋体" w:hAnsi="宋体" w:eastAsia="宋体" w:cs="宋体"/>
          <w:bCs/>
          <w:color w:val="auto"/>
          <w:sz w:val="21"/>
          <w:szCs w:val="21"/>
          <w:highlight w:val="none"/>
          <w:lang w:eastAsia="zh-CN"/>
        </w:rPr>
      </w:pPr>
      <w:bookmarkStart w:id="82" w:name="_Toc20666"/>
      <w:bookmarkStart w:id="83" w:name="_Toc28429"/>
      <w:r>
        <w:rPr>
          <w:rFonts w:hint="eastAsia" w:ascii="宋体" w:hAnsi="宋体" w:eastAsia="宋体" w:cs="宋体"/>
          <w:bCs/>
          <w:color w:val="auto"/>
          <w:sz w:val="21"/>
          <w:szCs w:val="21"/>
          <w:highlight w:val="none"/>
          <w:lang w:val="en-US" w:eastAsia="zh-CN"/>
        </w:rPr>
        <w:t>23</w:t>
      </w:r>
      <w:r>
        <w:rPr>
          <w:rFonts w:hint="eastAsia" w:ascii="宋体" w:hAnsi="宋体" w:eastAsia="宋体" w:cs="宋体"/>
          <w:bCs/>
          <w:color w:val="auto"/>
          <w:sz w:val="21"/>
          <w:szCs w:val="21"/>
          <w:highlight w:val="none"/>
        </w:rPr>
        <w:t>.2对未通过资格审查的</w:t>
      </w:r>
      <w:r>
        <w:rPr>
          <w:rFonts w:hint="eastAsia" w:ascii="宋体" w:hAnsi="宋体" w:eastAsia="宋体" w:cs="宋体"/>
          <w:bCs/>
          <w:color w:val="auto"/>
          <w:sz w:val="21"/>
          <w:szCs w:val="21"/>
          <w:highlight w:val="none"/>
          <w:lang w:val="en-US" w:eastAsia="zh-CN"/>
        </w:rPr>
        <w:t>竞</w:t>
      </w:r>
      <w:r>
        <w:rPr>
          <w:rFonts w:hint="eastAsia" w:ascii="宋体" w:hAnsi="宋体" w:eastAsia="宋体" w:cs="宋体"/>
          <w:bCs/>
          <w:color w:val="auto"/>
          <w:sz w:val="21"/>
          <w:szCs w:val="21"/>
          <w:highlight w:val="none"/>
        </w:rPr>
        <w:t>标人，采购人或采购机构应当告知其未通过的原因；采用综合评分办法评审的，采购人或采购机构还应当告知未</w:t>
      </w:r>
      <w:r>
        <w:rPr>
          <w:rFonts w:hint="eastAsia" w:ascii="宋体" w:hAnsi="宋体" w:eastAsia="宋体" w:cs="宋体"/>
          <w:bCs/>
          <w:color w:val="auto"/>
          <w:sz w:val="21"/>
          <w:szCs w:val="21"/>
          <w:highlight w:val="none"/>
          <w:lang w:val="en-US" w:eastAsia="zh-CN"/>
        </w:rPr>
        <w:t>成交</w:t>
      </w:r>
      <w:r>
        <w:rPr>
          <w:rFonts w:hint="eastAsia" w:ascii="宋体" w:hAnsi="宋体" w:eastAsia="宋体" w:cs="宋体"/>
          <w:bCs/>
          <w:color w:val="auto"/>
          <w:sz w:val="21"/>
          <w:szCs w:val="21"/>
          <w:highlight w:val="none"/>
        </w:rPr>
        <w:t>人本人的评审得分与排序</w:t>
      </w:r>
      <w:r>
        <w:rPr>
          <w:rFonts w:hint="eastAsia" w:ascii="宋体" w:hAnsi="宋体" w:eastAsia="宋体" w:cs="宋体"/>
          <w:bCs/>
          <w:color w:val="auto"/>
          <w:sz w:val="21"/>
          <w:szCs w:val="21"/>
          <w:highlight w:val="none"/>
          <w:lang w:eastAsia="zh-CN"/>
        </w:rPr>
        <w:t>。</w:t>
      </w:r>
      <w:bookmarkEnd w:id="82"/>
    </w:p>
    <w:p w14:paraId="458CF8B8">
      <w:pPr>
        <w:pStyle w:val="15"/>
        <w:pageBreakBefore w:val="0"/>
        <w:overflowPunct/>
        <w:topLinePunct w:val="0"/>
        <w:bidi w:val="0"/>
        <w:spacing w:line="360" w:lineRule="auto"/>
        <w:ind w:firstLine="420" w:firstLineChars="200"/>
        <w:outlineLvl w:val="2"/>
        <w:rPr>
          <w:rFonts w:hint="eastAsia" w:ascii="宋体" w:hAnsi="宋体" w:eastAsia="宋体" w:cs="宋体"/>
          <w:bCs/>
          <w:color w:val="auto"/>
          <w:sz w:val="21"/>
          <w:szCs w:val="21"/>
          <w:highlight w:val="none"/>
        </w:rPr>
      </w:pPr>
      <w:bookmarkStart w:id="84" w:name="_Toc2481"/>
      <w:r>
        <w:rPr>
          <w:rFonts w:hint="eastAsia" w:ascii="宋体" w:hAnsi="宋体" w:eastAsia="宋体" w:cs="宋体"/>
          <w:bCs/>
          <w:color w:val="auto"/>
          <w:sz w:val="21"/>
          <w:szCs w:val="21"/>
          <w:highlight w:val="none"/>
          <w:lang w:val="en-US" w:eastAsia="zh-CN"/>
        </w:rPr>
        <w:t>23.3</w:t>
      </w:r>
      <w:r>
        <w:rPr>
          <w:rFonts w:hint="eastAsia" w:ascii="宋体" w:hAnsi="宋体" w:eastAsia="宋体" w:cs="宋体"/>
          <w:bCs/>
          <w:color w:val="auto"/>
          <w:sz w:val="21"/>
          <w:szCs w:val="21"/>
          <w:highlight w:val="none"/>
        </w:rPr>
        <w:t>采购代理机构无义务向落标的</w:t>
      </w:r>
      <w:r>
        <w:rPr>
          <w:rFonts w:hint="eastAsia" w:ascii="宋体" w:hAnsi="宋体" w:eastAsia="宋体" w:cs="宋体"/>
          <w:bCs/>
          <w:color w:val="auto"/>
          <w:sz w:val="21"/>
          <w:szCs w:val="21"/>
          <w:highlight w:val="none"/>
          <w:lang w:eastAsia="zh-CN"/>
        </w:rPr>
        <w:t>磋商供应商</w:t>
      </w:r>
      <w:r>
        <w:rPr>
          <w:rFonts w:hint="eastAsia" w:ascii="宋体" w:hAnsi="宋体" w:eastAsia="宋体" w:cs="宋体"/>
          <w:bCs/>
          <w:color w:val="auto"/>
          <w:sz w:val="21"/>
          <w:szCs w:val="21"/>
          <w:highlight w:val="none"/>
        </w:rPr>
        <w:t>解释落标原因和退还</w:t>
      </w:r>
      <w:r>
        <w:rPr>
          <w:rFonts w:hint="eastAsia" w:ascii="宋体" w:hAnsi="宋体" w:eastAsia="宋体" w:cs="宋体"/>
          <w:bCs/>
          <w:color w:val="auto"/>
          <w:sz w:val="21"/>
          <w:szCs w:val="21"/>
          <w:highlight w:val="none"/>
          <w:lang w:eastAsia="zh-CN"/>
        </w:rPr>
        <w:t>《响应文件》</w:t>
      </w:r>
      <w:r>
        <w:rPr>
          <w:rFonts w:hint="eastAsia" w:ascii="宋体" w:hAnsi="宋体" w:eastAsia="宋体" w:cs="宋体"/>
          <w:bCs/>
          <w:color w:val="auto"/>
          <w:sz w:val="21"/>
          <w:szCs w:val="21"/>
          <w:highlight w:val="none"/>
        </w:rPr>
        <w:t>。</w:t>
      </w:r>
      <w:bookmarkEnd w:id="83"/>
      <w:bookmarkEnd w:id="84"/>
    </w:p>
    <w:p w14:paraId="2D96833A">
      <w:pPr>
        <w:pStyle w:val="15"/>
        <w:pageBreakBefore w:val="0"/>
        <w:overflowPunct/>
        <w:topLinePunct w:val="0"/>
        <w:bidi w:val="0"/>
        <w:spacing w:line="360" w:lineRule="auto"/>
        <w:outlineLvl w:val="2"/>
        <w:rPr>
          <w:rFonts w:hint="eastAsia" w:ascii="宋体" w:hAnsi="宋体" w:eastAsia="宋体" w:cs="宋体"/>
          <w:bCs/>
          <w:color w:val="auto"/>
          <w:sz w:val="21"/>
          <w:szCs w:val="21"/>
          <w:highlight w:val="none"/>
        </w:rPr>
      </w:pPr>
      <w:bookmarkStart w:id="85" w:name="_Toc16088"/>
      <w:bookmarkStart w:id="86" w:name="_Toc4861"/>
      <w:bookmarkStart w:id="87" w:name="_Toc17903"/>
      <w:r>
        <w:rPr>
          <w:rFonts w:hint="eastAsia" w:ascii="宋体" w:hAnsi="宋体" w:eastAsia="宋体" w:cs="宋体"/>
          <w:b/>
          <w:color w:val="auto"/>
          <w:sz w:val="21"/>
          <w:szCs w:val="21"/>
          <w:highlight w:val="none"/>
          <w:lang w:val="en-US" w:eastAsia="zh-CN"/>
        </w:rPr>
        <w:t>24</w:t>
      </w:r>
      <w:r>
        <w:rPr>
          <w:rFonts w:hint="eastAsia" w:ascii="宋体" w:hAnsi="宋体" w:eastAsia="宋体" w:cs="宋体"/>
          <w:b/>
          <w:color w:val="auto"/>
          <w:sz w:val="21"/>
          <w:szCs w:val="21"/>
          <w:highlight w:val="none"/>
        </w:rPr>
        <w:t>.合同授予标准</w:t>
      </w:r>
      <w:bookmarkEnd w:id="85"/>
      <w:bookmarkEnd w:id="86"/>
    </w:p>
    <w:p w14:paraId="53E99FF3">
      <w:pPr>
        <w:pStyle w:val="15"/>
        <w:pageBreakBefore w:val="0"/>
        <w:overflowPunct/>
        <w:topLinePunct w:val="0"/>
        <w:bidi w:val="0"/>
        <w:spacing w:line="360" w:lineRule="auto"/>
        <w:ind w:firstLine="420" w:firstLineChars="200"/>
        <w:outlineLvl w:val="2"/>
        <w:rPr>
          <w:rFonts w:hint="eastAsia" w:ascii="宋体" w:hAnsi="宋体" w:eastAsia="宋体" w:cs="宋体"/>
          <w:bCs/>
          <w:color w:val="auto"/>
          <w:sz w:val="21"/>
          <w:szCs w:val="21"/>
          <w:highlight w:val="none"/>
        </w:rPr>
      </w:pPr>
      <w:bookmarkStart w:id="88" w:name="_Toc12849"/>
      <w:r>
        <w:rPr>
          <w:rFonts w:hint="eastAsia" w:ascii="宋体" w:hAnsi="宋体" w:eastAsia="宋体" w:cs="宋体"/>
          <w:bCs/>
          <w:color w:val="auto"/>
          <w:sz w:val="21"/>
          <w:szCs w:val="21"/>
          <w:highlight w:val="none"/>
          <w:lang w:val="en-US" w:eastAsia="zh-CN"/>
        </w:rPr>
        <w:t>24</w:t>
      </w:r>
      <w:r>
        <w:rPr>
          <w:rFonts w:hint="eastAsia" w:ascii="宋体" w:hAnsi="宋体" w:eastAsia="宋体" w:cs="宋体"/>
          <w:bCs/>
          <w:color w:val="auto"/>
          <w:sz w:val="21"/>
          <w:szCs w:val="21"/>
          <w:highlight w:val="none"/>
        </w:rPr>
        <w:t>.1合同将授予被确定为实质上响应</w:t>
      </w:r>
      <w:r>
        <w:rPr>
          <w:rFonts w:hint="eastAsia" w:ascii="宋体" w:hAnsi="宋体" w:eastAsia="宋体" w:cs="宋体"/>
          <w:bCs/>
          <w:color w:val="auto"/>
          <w:sz w:val="21"/>
          <w:szCs w:val="21"/>
          <w:highlight w:val="none"/>
          <w:lang w:eastAsia="zh-CN"/>
        </w:rPr>
        <w:t>《竞争性磋商文件》</w:t>
      </w:r>
      <w:r>
        <w:rPr>
          <w:rFonts w:hint="eastAsia" w:ascii="宋体" w:hAnsi="宋体" w:eastAsia="宋体" w:cs="宋体"/>
          <w:bCs/>
          <w:color w:val="auto"/>
          <w:sz w:val="21"/>
          <w:szCs w:val="21"/>
          <w:highlight w:val="none"/>
        </w:rPr>
        <w:t>要求，评标认为具备履行合同能力，获得综合评分最高的</w:t>
      </w:r>
      <w:r>
        <w:rPr>
          <w:rFonts w:hint="eastAsia" w:ascii="宋体" w:hAnsi="宋体" w:eastAsia="宋体" w:cs="宋体"/>
          <w:bCs/>
          <w:color w:val="auto"/>
          <w:sz w:val="21"/>
          <w:szCs w:val="21"/>
          <w:highlight w:val="none"/>
          <w:lang w:eastAsia="zh-CN"/>
        </w:rPr>
        <w:t>磋商供应商</w:t>
      </w:r>
      <w:r>
        <w:rPr>
          <w:rFonts w:hint="eastAsia" w:ascii="宋体" w:hAnsi="宋体" w:eastAsia="宋体" w:cs="宋体"/>
          <w:bCs/>
          <w:color w:val="auto"/>
          <w:sz w:val="21"/>
          <w:szCs w:val="21"/>
          <w:highlight w:val="none"/>
        </w:rPr>
        <w:t>。</w:t>
      </w:r>
      <w:bookmarkEnd w:id="87"/>
      <w:bookmarkEnd w:id="88"/>
    </w:p>
    <w:p w14:paraId="7A9696DF">
      <w:pPr>
        <w:pStyle w:val="15"/>
        <w:pageBreakBefore w:val="0"/>
        <w:overflowPunct/>
        <w:topLinePunct w:val="0"/>
        <w:bidi w:val="0"/>
        <w:spacing w:line="360" w:lineRule="auto"/>
        <w:ind w:firstLine="420" w:firstLineChars="200"/>
        <w:outlineLvl w:val="2"/>
        <w:rPr>
          <w:rFonts w:hint="eastAsia" w:ascii="宋体" w:hAnsi="宋体" w:eastAsia="宋体" w:cs="宋体"/>
          <w:bCs/>
          <w:color w:val="auto"/>
          <w:sz w:val="21"/>
          <w:szCs w:val="21"/>
          <w:highlight w:val="none"/>
          <w:lang w:val="en-US" w:eastAsia="zh-CN"/>
        </w:rPr>
      </w:pPr>
      <w:bookmarkStart w:id="89" w:name="_Toc22962"/>
      <w:bookmarkStart w:id="90" w:name="_Toc23610"/>
      <w:r>
        <w:rPr>
          <w:rFonts w:hint="eastAsia" w:ascii="宋体" w:hAnsi="宋体" w:eastAsia="宋体" w:cs="宋体"/>
          <w:bCs/>
          <w:color w:val="auto"/>
          <w:sz w:val="21"/>
          <w:szCs w:val="21"/>
          <w:highlight w:val="none"/>
          <w:lang w:val="en-US" w:eastAsia="zh-CN"/>
        </w:rPr>
        <w:t>24</w:t>
      </w:r>
      <w:r>
        <w:rPr>
          <w:rFonts w:hint="eastAsia" w:ascii="宋体" w:hAnsi="宋体" w:eastAsia="宋体" w:cs="宋体"/>
          <w:bCs/>
          <w:color w:val="auto"/>
          <w:sz w:val="21"/>
          <w:szCs w:val="21"/>
          <w:highlight w:val="none"/>
        </w:rPr>
        <w:t>.2采购人应按照评标报告中推荐的成交候选人顺序确定成交人</w:t>
      </w:r>
      <w:bookmarkEnd w:id="89"/>
      <w:r>
        <w:rPr>
          <w:rFonts w:hint="eastAsia" w:ascii="宋体" w:hAnsi="宋体" w:eastAsia="宋体" w:cs="宋体"/>
          <w:bCs/>
          <w:color w:val="auto"/>
          <w:sz w:val="21"/>
          <w:szCs w:val="21"/>
          <w:highlight w:val="none"/>
          <w:lang w:eastAsia="zh-CN"/>
        </w:rPr>
        <w:t>。</w:t>
      </w:r>
      <w:bookmarkEnd w:id="90"/>
    </w:p>
    <w:p w14:paraId="3C703C98">
      <w:pPr>
        <w:pageBreakBefore w:val="0"/>
        <w:overflowPunct/>
        <w:topLinePunct w:val="0"/>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、签订合同</w:t>
      </w:r>
    </w:p>
    <w:p w14:paraId="72DBA6DD">
      <w:pPr>
        <w:pStyle w:val="15"/>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bookmarkStart w:id="91" w:name="_Toc459103905"/>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人领取电子</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通知书后，按成交通知书中规定的时间、地点与采购人签订合同。</w:t>
      </w:r>
    </w:p>
    <w:p w14:paraId="15C51F14">
      <w:pPr>
        <w:pStyle w:val="15"/>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.2如成交人不按成交通知书的规定签订合同（采购人原因除外），则按成交人违约处理，本代理将取消该成交决定，成交人应当依法承担法律责任。</w:t>
      </w:r>
      <w:r>
        <w:rPr>
          <w:rFonts w:hint="eastAsia" w:ascii="宋体" w:hAnsi="宋体" w:eastAsia="宋体" w:cs="宋体"/>
          <w:color w:val="auto"/>
          <w:sz w:val="21"/>
          <w:szCs w:val="21"/>
          <w:highlight w:val="none"/>
          <w:lang w:eastAsia="zh-CN"/>
        </w:rPr>
        <w:t>如采购人无正当理由拒签合同的，给</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lang w:eastAsia="zh-CN"/>
        </w:rPr>
        <w:t>供应商造成损失的，</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lang w:eastAsia="zh-CN"/>
        </w:rPr>
        <w:t>供应商可追究采购人承担相应的法律责任。</w:t>
      </w:r>
    </w:p>
    <w:p w14:paraId="1128B41D">
      <w:pPr>
        <w:pStyle w:val="15"/>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.3成交人因不可抗力或者自身原因不能履行政府采购合同的，采购人可以确定排名第二位的成交候选人并与其签订政府采购合同，以此类推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也可以重新开展政府采购活动</w:t>
      </w:r>
      <w:r>
        <w:rPr>
          <w:rFonts w:hint="eastAsia" w:ascii="宋体" w:hAnsi="宋体" w:eastAsia="宋体" w:cs="宋体"/>
          <w:color w:val="auto"/>
          <w:sz w:val="21"/>
          <w:szCs w:val="21"/>
          <w:highlight w:val="none"/>
          <w:lang w:eastAsia="zh-CN"/>
        </w:rPr>
        <w:t>。</w:t>
      </w:r>
    </w:p>
    <w:p w14:paraId="77A6BD34">
      <w:pPr>
        <w:pStyle w:val="15"/>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4由于成交人放弃成交或未按规定签订合同，造成本项目的合同成交价提高（指采购人选择第二成交候选人或重新采购导致成交金额高于违约单位的成交价），所超出违约供应的成交价部分由违约单位承担赔偿责任。</w:t>
      </w:r>
    </w:p>
    <w:p w14:paraId="036A5F5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25.5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285968E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25.6</w:t>
      </w:r>
      <w:r>
        <w:rPr>
          <w:rFonts w:hint="eastAsia" w:ascii="宋体" w:hAnsi="宋体" w:eastAsia="宋体" w:cs="宋体"/>
          <w:b/>
          <w:bCs/>
          <w:color w:val="auto"/>
          <w:kern w:val="2"/>
          <w:sz w:val="21"/>
          <w:szCs w:val="21"/>
          <w:highlight w:val="none"/>
          <w:lang w:val="en-US" w:eastAsia="zh-CN" w:bidi="ar-SA"/>
        </w:rPr>
        <w:t>采购人和成交人应当在竞标有效期内以及《成交通知书》</w:t>
      </w:r>
      <w:r>
        <w:rPr>
          <w:rFonts w:hint="eastAsia" w:ascii="宋体" w:hAnsi="宋体" w:eastAsia="宋体" w:cs="宋体"/>
          <w:b/>
          <w:bCs/>
          <w:color w:val="auto"/>
          <w:sz w:val="21"/>
          <w:szCs w:val="21"/>
          <w:highlight w:val="none"/>
        </w:rPr>
        <w:t>中规定的时间</w:t>
      </w:r>
      <w:r>
        <w:rPr>
          <w:rFonts w:hint="eastAsia" w:ascii="宋体" w:hAnsi="宋体" w:cs="宋体"/>
          <w:b/>
          <w:bCs/>
          <w:color w:val="auto"/>
          <w:sz w:val="21"/>
          <w:szCs w:val="21"/>
          <w:highlight w:val="none"/>
          <w:lang w:val="en-US" w:eastAsia="zh-CN"/>
        </w:rPr>
        <w:t>以内</w:t>
      </w:r>
      <w:r>
        <w:rPr>
          <w:rFonts w:hint="eastAsia" w:ascii="宋体" w:hAnsi="宋体" w:eastAsia="宋体" w:cs="宋体"/>
          <w:b/>
          <w:bCs/>
          <w:color w:val="auto"/>
          <w:kern w:val="2"/>
          <w:sz w:val="21"/>
          <w:szCs w:val="21"/>
          <w:highlight w:val="none"/>
          <w:lang w:val="en-US" w:eastAsia="zh-CN" w:bidi="ar-SA"/>
        </w:rPr>
        <w:t>，</w:t>
      </w:r>
      <w:r>
        <w:rPr>
          <w:rFonts w:hint="default" w:ascii="宋体" w:hAnsi="宋体" w:eastAsia="宋体" w:cs="宋体"/>
          <w:b/>
          <w:bCs/>
          <w:color w:val="auto"/>
          <w:kern w:val="2"/>
          <w:sz w:val="21"/>
          <w:szCs w:val="21"/>
          <w:highlight w:val="none"/>
          <w:lang w:val="en-US" w:eastAsia="zh-CN" w:bidi="ar-SA"/>
        </w:rPr>
        <w:t>根据</w:t>
      </w:r>
      <w:r>
        <w:rPr>
          <w:rFonts w:hint="eastAsia" w:ascii="宋体" w:hAnsi="宋体" w:eastAsia="宋体" w:cs="宋体"/>
          <w:b/>
          <w:bCs/>
          <w:color w:val="auto"/>
          <w:kern w:val="2"/>
          <w:sz w:val="21"/>
          <w:szCs w:val="21"/>
          <w:highlight w:val="none"/>
          <w:lang w:val="en-US" w:eastAsia="zh-CN" w:bidi="ar-SA"/>
        </w:rPr>
        <w:t>《竞争性磋商文件》和成交人的《响应文件》等内容通过政府采购电子交易平台在线签订，自动备案，在线签订须携带有效 CA 证书加盖单位电子公章。</w:t>
      </w:r>
    </w:p>
    <w:p w14:paraId="2DBBAD2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25.7采购单位自采购合同签订之日起在2个工作日内（争取1个工作日内），将政府采购合同通过委托的政府采购代理机构在财政部门指定的媒体上公告，但政府采购合同中涉及国家秘密、商业秘密的内容除外。</w:t>
      </w:r>
    </w:p>
    <w:p w14:paraId="66D3B394">
      <w:pPr>
        <w:pStyle w:val="15"/>
        <w:pageBreakBefore w:val="0"/>
        <w:overflowPunct/>
        <w:topLinePunct w:val="0"/>
        <w:bidi w:val="0"/>
        <w:spacing w:line="360" w:lineRule="auto"/>
        <w:outlineLvl w:val="2"/>
        <w:rPr>
          <w:rFonts w:hint="eastAsia" w:ascii="宋体" w:hAnsi="宋体" w:eastAsia="宋体" w:cs="宋体"/>
          <w:b/>
          <w:color w:val="auto"/>
          <w:sz w:val="21"/>
          <w:szCs w:val="21"/>
          <w:highlight w:val="none"/>
        </w:rPr>
      </w:pPr>
      <w:bookmarkStart w:id="92" w:name="_Toc23653"/>
      <w:bookmarkStart w:id="93" w:name="_Toc8743"/>
      <w:r>
        <w:rPr>
          <w:rFonts w:hint="eastAsia" w:ascii="宋体" w:hAnsi="宋体" w:eastAsia="宋体" w:cs="宋体"/>
          <w:b/>
          <w:color w:val="auto"/>
          <w:sz w:val="21"/>
          <w:szCs w:val="21"/>
          <w:highlight w:val="none"/>
        </w:rPr>
        <w:t>2</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.合同履行中的追加</w:t>
      </w:r>
      <w:bookmarkEnd w:id="92"/>
      <w:bookmarkEnd w:id="93"/>
    </w:p>
    <w:p w14:paraId="1EBD96EC">
      <w:pPr>
        <w:pStyle w:val="15"/>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1政府采购合同履行中，采购单位需追加与合同标的相同的货物、工程和服务的，在不改变合同其他条款的前提下，可以与成交人协商签订补充的合同。但补充的合同涉及的采购金额不得超过原合同采购金额的10%。</w:t>
      </w:r>
    </w:p>
    <w:p w14:paraId="27462455">
      <w:pPr>
        <w:pageBreakBefore w:val="0"/>
        <w:overflowPunct/>
        <w:topLinePunct w:val="0"/>
        <w:bidi w:val="0"/>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27.农民工工资保障金</w:t>
      </w:r>
    </w:p>
    <w:p w14:paraId="0A09FDA3">
      <w:pPr>
        <w:pStyle w:val="4"/>
        <w:pageBreakBefore w:val="0"/>
        <w:overflowPunct/>
        <w:topLinePunct w:val="0"/>
        <w:bidi w:val="0"/>
        <w:spacing w:before="0" w:after="0" w:line="360" w:lineRule="auto"/>
        <w:ind w:firstLine="420" w:firstLineChars="200"/>
        <w:jc w:val="both"/>
        <w:rPr>
          <w:rFonts w:hint="eastAsia" w:ascii="宋体" w:hAnsi="宋体" w:eastAsia="宋体" w:cs="宋体"/>
          <w:b w:val="0"/>
          <w:color w:val="auto"/>
          <w:kern w:val="2"/>
          <w:sz w:val="21"/>
          <w:szCs w:val="21"/>
          <w:highlight w:val="none"/>
          <w:lang w:val="en-US" w:eastAsia="zh-CN" w:bidi="ar-SA"/>
        </w:rPr>
      </w:pPr>
      <w:bookmarkStart w:id="94" w:name="_Toc24963"/>
      <w:r>
        <w:rPr>
          <w:rFonts w:hint="eastAsia" w:ascii="宋体" w:hAnsi="宋体" w:eastAsia="宋体" w:cs="宋体"/>
          <w:b w:val="0"/>
          <w:color w:val="auto"/>
          <w:kern w:val="2"/>
          <w:sz w:val="21"/>
          <w:szCs w:val="21"/>
          <w:highlight w:val="none"/>
          <w:lang w:val="en-US" w:eastAsia="zh-CN" w:bidi="ar-SA"/>
        </w:rPr>
        <w:t>27.1按相关规定执行。</w:t>
      </w:r>
      <w:bookmarkEnd w:id="94"/>
    </w:p>
    <w:p w14:paraId="6E9B2A41">
      <w:pPr>
        <w:pStyle w:val="4"/>
        <w:pageBreakBefore w:val="0"/>
        <w:overflowPunct/>
        <w:topLinePunct w:val="0"/>
        <w:bidi w:val="0"/>
        <w:spacing w:before="0" w:after="0" w:line="360" w:lineRule="auto"/>
        <w:rPr>
          <w:rFonts w:hint="eastAsia" w:ascii="宋体" w:hAnsi="宋体" w:eastAsia="宋体" w:cs="宋体"/>
          <w:color w:val="auto"/>
          <w:sz w:val="21"/>
          <w:szCs w:val="21"/>
          <w:highlight w:val="none"/>
        </w:rPr>
      </w:pPr>
      <w:bookmarkStart w:id="95" w:name="_Toc32760"/>
      <w:r>
        <w:rPr>
          <w:rFonts w:hint="eastAsia" w:ascii="宋体" w:hAnsi="宋体" w:eastAsia="宋体" w:cs="宋体"/>
          <w:color w:val="auto"/>
          <w:sz w:val="21"/>
          <w:szCs w:val="21"/>
          <w:highlight w:val="none"/>
        </w:rPr>
        <w:t>八、其他事项</w:t>
      </w:r>
      <w:bookmarkEnd w:id="91"/>
      <w:bookmarkEnd w:id="95"/>
    </w:p>
    <w:p w14:paraId="445A646B">
      <w:pPr>
        <w:pageBreakBefore w:val="0"/>
        <w:overflowPunct/>
        <w:topLinePunct w:val="0"/>
        <w:bidi w:val="0"/>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val="en-US" w:eastAsia="zh-CN"/>
        </w:rPr>
        <w:t>8</w:t>
      </w:r>
      <w:r>
        <w:rPr>
          <w:rFonts w:hint="eastAsia" w:ascii="宋体" w:hAnsi="宋体" w:eastAsia="宋体" w:cs="宋体"/>
          <w:b/>
          <w:bCs/>
          <w:color w:val="auto"/>
          <w:sz w:val="21"/>
          <w:szCs w:val="21"/>
          <w:highlight w:val="none"/>
        </w:rPr>
        <w:t>、询问、</w:t>
      </w:r>
      <w:r>
        <w:rPr>
          <w:rFonts w:hint="eastAsia" w:ascii="宋体" w:hAnsi="宋体" w:eastAsia="宋体" w:cs="宋体"/>
          <w:b/>
          <w:bCs/>
          <w:color w:val="auto"/>
          <w:sz w:val="21"/>
          <w:szCs w:val="21"/>
          <w:highlight w:val="none"/>
          <w:lang w:val="en-US" w:eastAsia="zh-CN"/>
        </w:rPr>
        <w:t>质疑和投诉</w:t>
      </w:r>
    </w:p>
    <w:p w14:paraId="3512130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lang w:val="en-US" w:eastAsia="zh-CN"/>
        </w:rPr>
        <w:t>28</w:t>
      </w:r>
      <w:r>
        <w:rPr>
          <w:rFonts w:hint="eastAsia" w:ascii="宋体" w:hAnsi="宋体" w:cs="宋体"/>
          <w:color w:val="auto"/>
          <w:highlight w:val="none"/>
        </w:rPr>
        <w:t>.1供应商对政府采购活动事项有疑问的，可以向采购人、采购代理机构提出询问，采购人或者采购代理机构应当在3个工作日内对供应商依法提出的询问作出答复。</w:t>
      </w:r>
    </w:p>
    <w:p w14:paraId="3AF0847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lang w:val="en-US" w:eastAsia="zh-CN"/>
        </w:rPr>
        <w:t>28</w:t>
      </w:r>
      <w:r>
        <w:rPr>
          <w:rFonts w:hint="eastAsia" w:ascii="宋体" w:hAnsi="宋体" w:cs="宋体"/>
          <w:color w:val="auto"/>
          <w:highlight w:val="none"/>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auto"/>
          <w:highlight w:val="none"/>
          <w:shd w:val="clear" w:color="auto" w:fill="FFFFFF"/>
        </w:rPr>
        <w:t>接收质疑函的方式、联系部门、联系电话和通讯地址等信息</w:t>
      </w:r>
      <w:r>
        <w:rPr>
          <w:rFonts w:hint="eastAsia" w:ascii="宋体" w:hAnsi="宋体" w:cs="Arial"/>
          <w:color w:val="auto"/>
          <w:highlight w:val="none"/>
          <w:shd w:val="clear" w:color="auto" w:fill="FFFFFF"/>
        </w:rPr>
        <w:t>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2DF5FE3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（1）对可以质疑的磋商文件提出质疑的，为收到磋商文件之日或者</w:t>
      </w:r>
      <w:r>
        <w:rPr>
          <w:rFonts w:hint="eastAsia" w:ascii="宋体" w:hAnsi="宋体"/>
          <w:color w:val="auto"/>
          <w:highlight w:val="none"/>
        </w:rPr>
        <w:t>竞争性磋商公告期限届满之日</w:t>
      </w:r>
      <w:r>
        <w:rPr>
          <w:rFonts w:hint="eastAsia" w:ascii="宋体" w:hAnsi="宋体" w:cs="宋体"/>
          <w:color w:val="auto"/>
          <w:highlight w:val="none"/>
        </w:rPr>
        <w:t>；</w:t>
      </w:r>
    </w:p>
    <w:p w14:paraId="66FA3B3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4FCA1C0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2FDB97B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409D106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lang w:val="en-US" w:eastAsia="zh-CN"/>
        </w:rPr>
        <w:t>28</w:t>
      </w:r>
      <w:r>
        <w:rPr>
          <w:rFonts w:hint="eastAsia" w:ascii="宋体" w:hAnsi="宋体" w:cs="宋体"/>
          <w:color w:val="auto"/>
          <w:highlight w:val="none"/>
        </w:rPr>
        <w:t>.4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2B3CDB6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7BFA13D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（2）质疑项目的名称、编号；</w:t>
      </w:r>
    </w:p>
    <w:p w14:paraId="603DDB5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3C253A2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（4）事实依据；</w:t>
      </w:r>
    </w:p>
    <w:p w14:paraId="642C5B0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（5）必要的法律依据；</w:t>
      </w:r>
    </w:p>
    <w:p w14:paraId="701C272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（6）提出质疑的日期。</w:t>
      </w:r>
    </w:p>
    <w:p w14:paraId="1258DD6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0871AD9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lang w:val="en-US" w:eastAsia="zh-CN"/>
        </w:rPr>
        <w:t>28</w:t>
      </w:r>
      <w:r>
        <w:rPr>
          <w:rFonts w:ascii="宋体" w:hAnsi="宋体" w:cs="宋体"/>
          <w:color w:val="auto"/>
          <w:highlight w:val="none"/>
        </w:rPr>
        <w:t>.5</w:t>
      </w:r>
      <w:r>
        <w:rPr>
          <w:rFonts w:hint="eastAsia" w:ascii="宋体" w:hAnsi="宋体" w:cs="宋体"/>
          <w:color w:val="auto"/>
          <w:highlight w:val="none"/>
        </w:rPr>
        <w:t>采购人、采购代理机构认为供应商质疑不成立，或者成立但未对成交结果构成影响的，继续开展采购活动；认为供应商质疑成立且影响或者可能影响成交结果的，按照下列情况处理：</w:t>
      </w:r>
    </w:p>
    <w:p w14:paraId="03A6069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2AE17864">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71D8EA9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7574188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highlight w:val="none"/>
          <w:lang w:val="en-US" w:eastAsia="zh-CN"/>
        </w:rPr>
        <w:t>28</w:t>
      </w: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7AAE3AE1">
      <w:pPr>
        <w:pageBreakBefore w:val="0"/>
        <w:overflowPunct/>
        <w:topLinePunct w:val="0"/>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29、</w:t>
      </w:r>
      <w:r>
        <w:rPr>
          <w:rFonts w:hint="eastAsia" w:ascii="宋体" w:hAnsi="宋体" w:eastAsia="宋体" w:cs="宋体"/>
          <w:b/>
          <w:bCs/>
          <w:color w:val="auto"/>
          <w:sz w:val="21"/>
          <w:szCs w:val="21"/>
          <w:highlight w:val="none"/>
        </w:rPr>
        <w:t>解释权</w:t>
      </w:r>
    </w:p>
    <w:p w14:paraId="4A3B4749">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w:t>
      </w:r>
      <w:r>
        <w:rPr>
          <w:rFonts w:hint="eastAsia" w:ascii="宋体" w:hAnsi="宋体" w:eastAsia="宋体" w:cs="宋体"/>
          <w:color w:val="auto"/>
          <w:sz w:val="21"/>
          <w:szCs w:val="21"/>
          <w:highlight w:val="none"/>
          <w:lang w:eastAsia="zh-CN"/>
        </w:rPr>
        <w:t>《竞争性磋商文件》</w:t>
      </w:r>
      <w:r>
        <w:rPr>
          <w:rFonts w:hint="eastAsia" w:ascii="宋体" w:hAnsi="宋体" w:eastAsia="宋体" w:cs="宋体"/>
          <w:color w:val="auto"/>
          <w:sz w:val="21"/>
          <w:szCs w:val="21"/>
          <w:highlight w:val="none"/>
        </w:rPr>
        <w:t>是根据国家有关法律、法规以及政府采购管理有关规定和参照国际惯例编制，解释权属本采购代理机构。</w:t>
      </w:r>
    </w:p>
    <w:p w14:paraId="3608A1AB">
      <w:pPr>
        <w:pageBreakBefore w:val="0"/>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30</w:t>
      </w:r>
      <w:r>
        <w:rPr>
          <w:rFonts w:hint="eastAsia" w:ascii="宋体" w:hAnsi="宋体" w:eastAsia="宋体" w:cs="宋体"/>
          <w:b/>
          <w:color w:val="auto"/>
          <w:sz w:val="21"/>
          <w:szCs w:val="21"/>
          <w:highlight w:val="none"/>
        </w:rPr>
        <w:t>、代理</w:t>
      </w:r>
      <w:r>
        <w:rPr>
          <w:rFonts w:hint="eastAsia" w:ascii="宋体" w:hAnsi="宋体" w:eastAsia="宋体" w:cs="宋体"/>
          <w:b/>
          <w:color w:val="auto"/>
          <w:sz w:val="21"/>
          <w:szCs w:val="21"/>
          <w:highlight w:val="none"/>
          <w:lang w:eastAsia="zh-CN"/>
        </w:rPr>
        <w:t>服务</w:t>
      </w:r>
      <w:r>
        <w:rPr>
          <w:rFonts w:hint="eastAsia" w:ascii="宋体" w:hAnsi="宋体" w:eastAsia="宋体" w:cs="宋体"/>
          <w:b/>
          <w:color w:val="auto"/>
          <w:sz w:val="21"/>
          <w:szCs w:val="21"/>
          <w:highlight w:val="none"/>
        </w:rPr>
        <w:t>费</w:t>
      </w:r>
    </w:p>
    <w:p w14:paraId="2AFC5AF0">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.1代理服务收费标准及缴费账户详见“供应商须知前附表”，供应商为联合体的，可以由联合体中的一方或者多方共同交纳代理服务费。</w:t>
      </w:r>
    </w:p>
    <w:p w14:paraId="540870D0">
      <w:pPr>
        <w:tabs>
          <w:tab w:val="left" w:pos="2835"/>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.2</w:t>
      </w:r>
      <w:r>
        <w:rPr>
          <w:rFonts w:hint="eastAsia" w:ascii="宋体" w:hAnsi="宋体" w:cs="宋体"/>
          <w:color w:val="auto"/>
          <w:szCs w:val="21"/>
          <w:highlight w:val="none"/>
        </w:rPr>
        <w:t>代理服务费收费计算标准：</w:t>
      </w:r>
    </w:p>
    <w:tbl>
      <w:tblPr>
        <w:tblStyle w:val="2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72859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20BB266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费率</w:t>
            </w:r>
          </w:p>
          <w:p w14:paraId="2EC9F52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金额</w:t>
            </w:r>
          </w:p>
        </w:tc>
        <w:tc>
          <w:tcPr>
            <w:tcW w:w="1659" w:type="dxa"/>
            <w:noWrap w:val="0"/>
            <w:vAlign w:val="center"/>
          </w:tcPr>
          <w:p w14:paraId="3320F15E">
            <w:pPr>
              <w:spacing w:line="360" w:lineRule="auto"/>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货物类</w:t>
            </w:r>
          </w:p>
        </w:tc>
        <w:tc>
          <w:tcPr>
            <w:tcW w:w="1532" w:type="dxa"/>
            <w:noWrap w:val="0"/>
            <w:vAlign w:val="center"/>
          </w:tcPr>
          <w:p w14:paraId="5FA19BA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服务类</w:t>
            </w:r>
          </w:p>
        </w:tc>
        <w:tc>
          <w:tcPr>
            <w:tcW w:w="1546" w:type="dxa"/>
            <w:noWrap w:val="0"/>
            <w:vAlign w:val="center"/>
          </w:tcPr>
          <w:p w14:paraId="675433B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工程类</w:t>
            </w:r>
          </w:p>
        </w:tc>
      </w:tr>
      <w:tr w14:paraId="44E69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7F1446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100万元以下</w:t>
            </w:r>
          </w:p>
        </w:tc>
        <w:tc>
          <w:tcPr>
            <w:tcW w:w="1659" w:type="dxa"/>
            <w:noWrap w:val="0"/>
            <w:vAlign w:val="top"/>
          </w:tcPr>
          <w:p w14:paraId="7065D621">
            <w:pPr>
              <w:spacing w:line="360" w:lineRule="auto"/>
              <w:rPr>
                <w:rFonts w:hint="eastAsia" w:ascii="宋体" w:hAnsi="宋体" w:cs="宋体"/>
                <w:color w:val="auto"/>
                <w:szCs w:val="21"/>
                <w:highlight w:val="none"/>
              </w:rPr>
            </w:pPr>
            <w:r>
              <w:rPr>
                <w:rFonts w:hint="eastAsia" w:ascii="宋体" w:hAnsi="宋体" w:cs="宋体"/>
                <w:color w:val="auto"/>
                <w:kern w:val="0"/>
                <w:szCs w:val="21"/>
                <w:highlight w:val="none"/>
              </w:rPr>
              <w:t xml:space="preserve">  1.5%                </w:t>
            </w:r>
          </w:p>
        </w:tc>
        <w:tc>
          <w:tcPr>
            <w:tcW w:w="1532" w:type="dxa"/>
            <w:noWrap w:val="0"/>
            <w:vAlign w:val="top"/>
          </w:tcPr>
          <w:p w14:paraId="47B5E3C7">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1.5%</w:t>
            </w:r>
          </w:p>
        </w:tc>
        <w:tc>
          <w:tcPr>
            <w:tcW w:w="1546" w:type="dxa"/>
            <w:noWrap w:val="0"/>
            <w:vAlign w:val="top"/>
          </w:tcPr>
          <w:p w14:paraId="57AA97A7">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1.0% </w:t>
            </w:r>
          </w:p>
        </w:tc>
      </w:tr>
      <w:tr w14:paraId="32DB3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589026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100～500万元</w:t>
            </w:r>
          </w:p>
        </w:tc>
        <w:tc>
          <w:tcPr>
            <w:tcW w:w="1659" w:type="dxa"/>
            <w:noWrap w:val="0"/>
            <w:vAlign w:val="top"/>
          </w:tcPr>
          <w:p w14:paraId="37C91452">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1.1%                 </w:t>
            </w:r>
          </w:p>
        </w:tc>
        <w:tc>
          <w:tcPr>
            <w:tcW w:w="1532" w:type="dxa"/>
            <w:noWrap w:val="0"/>
            <w:vAlign w:val="top"/>
          </w:tcPr>
          <w:p w14:paraId="562292BB">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0.8%</w:t>
            </w:r>
          </w:p>
        </w:tc>
        <w:tc>
          <w:tcPr>
            <w:tcW w:w="1546" w:type="dxa"/>
            <w:noWrap w:val="0"/>
            <w:vAlign w:val="top"/>
          </w:tcPr>
          <w:p w14:paraId="5A09BC63">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0.7% </w:t>
            </w:r>
          </w:p>
        </w:tc>
      </w:tr>
      <w:tr w14:paraId="18F5E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BAD536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500～1000万元</w:t>
            </w:r>
          </w:p>
        </w:tc>
        <w:tc>
          <w:tcPr>
            <w:tcW w:w="1659" w:type="dxa"/>
            <w:noWrap w:val="0"/>
            <w:vAlign w:val="top"/>
          </w:tcPr>
          <w:p w14:paraId="72AC0A70">
            <w:pPr>
              <w:spacing w:line="360" w:lineRule="auto"/>
              <w:rPr>
                <w:rFonts w:hint="eastAsia" w:ascii="宋体" w:hAnsi="宋体" w:cs="宋体"/>
                <w:color w:val="auto"/>
                <w:szCs w:val="21"/>
                <w:highlight w:val="none"/>
              </w:rPr>
            </w:pPr>
            <w:r>
              <w:rPr>
                <w:rFonts w:hint="eastAsia" w:ascii="宋体" w:hAnsi="宋体" w:cs="宋体"/>
                <w:color w:val="auto"/>
                <w:kern w:val="0"/>
                <w:szCs w:val="21"/>
                <w:highlight w:val="none"/>
              </w:rPr>
              <w:t xml:space="preserve">  0.8%                </w:t>
            </w:r>
          </w:p>
        </w:tc>
        <w:tc>
          <w:tcPr>
            <w:tcW w:w="1532" w:type="dxa"/>
            <w:noWrap w:val="0"/>
            <w:vAlign w:val="top"/>
          </w:tcPr>
          <w:p w14:paraId="354EAFCF">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0.45%</w:t>
            </w:r>
          </w:p>
        </w:tc>
        <w:tc>
          <w:tcPr>
            <w:tcW w:w="1546" w:type="dxa"/>
            <w:noWrap w:val="0"/>
            <w:vAlign w:val="top"/>
          </w:tcPr>
          <w:p w14:paraId="27814EFC">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0.55%</w:t>
            </w:r>
          </w:p>
        </w:tc>
      </w:tr>
      <w:tr w14:paraId="4D57E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CDE38B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1000～5000万元</w:t>
            </w:r>
          </w:p>
        </w:tc>
        <w:tc>
          <w:tcPr>
            <w:tcW w:w="1659" w:type="dxa"/>
            <w:noWrap w:val="0"/>
            <w:vAlign w:val="top"/>
          </w:tcPr>
          <w:p w14:paraId="7D6B620E">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0.5%                </w:t>
            </w:r>
          </w:p>
        </w:tc>
        <w:tc>
          <w:tcPr>
            <w:tcW w:w="1532" w:type="dxa"/>
            <w:noWrap w:val="0"/>
            <w:vAlign w:val="top"/>
          </w:tcPr>
          <w:p w14:paraId="09287008">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0.25%</w:t>
            </w:r>
          </w:p>
        </w:tc>
        <w:tc>
          <w:tcPr>
            <w:tcW w:w="1546" w:type="dxa"/>
            <w:noWrap w:val="0"/>
            <w:vAlign w:val="top"/>
          </w:tcPr>
          <w:p w14:paraId="450554FB">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0.35% </w:t>
            </w:r>
          </w:p>
        </w:tc>
      </w:tr>
      <w:tr w14:paraId="52403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F6F369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5000万元～1亿元</w:t>
            </w:r>
          </w:p>
        </w:tc>
        <w:tc>
          <w:tcPr>
            <w:tcW w:w="1659" w:type="dxa"/>
            <w:noWrap w:val="0"/>
            <w:vAlign w:val="top"/>
          </w:tcPr>
          <w:p w14:paraId="1A07AE30">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0.25%                 </w:t>
            </w:r>
          </w:p>
        </w:tc>
        <w:tc>
          <w:tcPr>
            <w:tcW w:w="1532" w:type="dxa"/>
            <w:noWrap w:val="0"/>
            <w:vAlign w:val="top"/>
          </w:tcPr>
          <w:p w14:paraId="0459E542">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0.1%</w:t>
            </w:r>
          </w:p>
        </w:tc>
        <w:tc>
          <w:tcPr>
            <w:tcW w:w="1546" w:type="dxa"/>
            <w:noWrap w:val="0"/>
            <w:vAlign w:val="top"/>
          </w:tcPr>
          <w:p w14:paraId="05ACD737">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0.2%</w:t>
            </w:r>
          </w:p>
        </w:tc>
      </w:tr>
      <w:tr w14:paraId="0101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0AEDDC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1～5亿元</w:t>
            </w:r>
          </w:p>
        </w:tc>
        <w:tc>
          <w:tcPr>
            <w:tcW w:w="1659" w:type="dxa"/>
            <w:noWrap w:val="0"/>
            <w:vAlign w:val="top"/>
          </w:tcPr>
          <w:p w14:paraId="74A831B1">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0.05%</w:t>
            </w:r>
          </w:p>
        </w:tc>
        <w:tc>
          <w:tcPr>
            <w:tcW w:w="1532" w:type="dxa"/>
            <w:noWrap w:val="0"/>
            <w:vAlign w:val="top"/>
          </w:tcPr>
          <w:p w14:paraId="78B3812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0.05%</w:t>
            </w:r>
          </w:p>
        </w:tc>
        <w:tc>
          <w:tcPr>
            <w:tcW w:w="1546" w:type="dxa"/>
            <w:noWrap w:val="0"/>
            <w:vAlign w:val="top"/>
          </w:tcPr>
          <w:p w14:paraId="2C909B4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0.05%</w:t>
            </w:r>
          </w:p>
        </w:tc>
      </w:tr>
      <w:tr w14:paraId="77A29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C4488E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5～10亿元</w:t>
            </w:r>
          </w:p>
        </w:tc>
        <w:tc>
          <w:tcPr>
            <w:tcW w:w="1659" w:type="dxa"/>
            <w:noWrap w:val="0"/>
            <w:vAlign w:val="top"/>
          </w:tcPr>
          <w:p w14:paraId="0ADF840E">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0.035%</w:t>
            </w:r>
          </w:p>
        </w:tc>
        <w:tc>
          <w:tcPr>
            <w:tcW w:w="1532" w:type="dxa"/>
            <w:noWrap w:val="0"/>
            <w:vAlign w:val="top"/>
          </w:tcPr>
          <w:p w14:paraId="2965331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0.035%</w:t>
            </w:r>
          </w:p>
        </w:tc>
        <w:tc>
          <w:tcPr>
            <w:tcW w:w="1546" w:type="dxa"/>
            <w:noWrap w:val="0"/>
            <w:vAlign w:val="top"/>
          </w:tcPr>
          <w:p w14:paraId="69ADAEC3">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0.035%</w:t>
            </w:r>
          </w:p>
        </w:tc>
      </w:tr>
      <w:tr w14:paraId="34439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F5D3FC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10～50亿元</w:t>
            </w:r>
          </w:p>
        </w:tc>
        <w:tc>
          <w:tcPr>
            <w:tcW w:w="1659" w:type="dxa"/>
            <w:noWrap w:val="0"/>
            <w:vAlign w:val="top"/>
          </w:tcPr>
          <w:p w14:paraId="6BF76E67">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532" w:type="dxa"/>
            <w:noWrap w:val="0"/>
            <w:vAlign w:val="top"/>
          </w:tcPr>
          <w:p w14:paraId="62DF8FC3">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546" w:type="dxa"/>
            <w:noWrap w:val="0"/>
            <w:vAlign w:val="top"/>
          </w:tcPr>
          <w:p w14:paraId="7278EAD8">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0.008%</w:t>
            </w:r>
          </w:p>
        </w:tc>
      </w:tr>
      <w:tr w14:paraId="4CE8C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A69590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50～100亿元</w:t>
            </w:r>
          </w:p>
        </w:tc>
        <w:tc>
          <w:tcPr>
            <w:tcW w:w="1659" w:type="dxa"/>
            <w:noWrap w:val="0"/>
            <w:vAlign w:val="top"/>
          </w:tcPr>
          <w:p w14:paraId="3CD0F2F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0.006%</w:t>
            </w:r>
          </w:p>
        </w:tc>
        <w:tc>
          <w:tcPr>
            <w:tcW w:w="1532" w:type="dxa"/>
            <w:noWrap w:val="0"/>
            <w:vAlign w:val="top"/>
          </w:tcPr>
          <w:p w14:paraId="2D50DFD0">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0.006%</w:t>
            </w:r>
          </w:p>
        </w:tc>
        <w:tc>
          <w:tcPr>
            <w:tcW w:w="1546" w:type="dxa"/>
            <w:noWrap w:val="0"/>
            <w:vAlign w:val="top"/>
          </w:tcPr>
          <w:p w14:paraId="14AA1C47">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0.006%</w:t>
            </w:r>
          </w:p>
        </w:tc>
      </w:tr>
      <w:tr w14:paraId="4D44B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0F71A3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100亿以上</w:t>
            </w:r>
          </w:p>
        </w:tc>
        <w:tc>
          <w:tcPr>
            <w:tcW w:w="1659" w:type="dxa"/>
            <w:noWrap w:val="0"/>
            <w:vAlign w:val="top"/>
          </w:tcPr>
          <w:p w14:paraId="419D708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0.004%</w:t>
            </w:r>
          </w:p>
        </w:tc>
        <w:tc>
          <w:tcPr>
            <w:tcW w:w="1532" w:type="dxa"/>
            <w:noWrap w:val="0"/>
            <w:vAlign w:val="top"/>
          </w:tcPr>
          <w:p w14:paraId="45F82565">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0.004%</w:t>
            </w:r>
          </w:p>
        </w:tc>
        <w:tc>
          <w:tcPr>
            <w:tcW w:w="1546" w:type="dxa"/>
            <w:noWrap w:val="0"/>
            <w:vAlign w:val="top"/>
          </w:tcPr>
          <w:p w14:paraId="070F40A2">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0.004%</w:t>
            </w:r>
          </w:p>
        </w:tc>
      </w:tr>
    </w:tbl>
    <w:p w14:paraId="3129D918">
      <w:pPr>
        <w:spacing w:line="360" w:lineRule="auto"/>
        <w:ind w:firstLine="420" w:firstLineChars="200"/>
        <w:rPr>
          <w:rFonts w:ascii="宋体" w:hAnsi="宋体" w:cs="宋体"/>
          <w:color w:val="auto"/>
          <w:highlight w:val="none"/>
        </w:rPr>
      </w:pPr>
      <w:r>
        <w:rPr>
          <w:rFonts w:ascii="宋体" w:hAnsi="宋体" w:cs="宋体"/>
          <w:color w:val="auto"/>
          <w:highlight w:val="none"/>
        </w:rPr>
        <w:t>注：</w:t>
      </w:r>
    </w:p>
    <w:p w14:paraId="2C176D3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w:t>
      </w:r>
      <w:r>
        <w:rPr>
          <w:rFonts w:ascii="宋体" w:hAnsi="宋体" w:cs="宋体"/>
          <w:color w:val="auto"/>
          <w:highlight w:val="none"/>
        </w:rPr>
        <w:t>按本表费率计算的收费为</w:t>
      </w:r>
      <w:r>
        <w:rPr>
          <w:rFonts w:hint="eastAsia" w:ascii="宋体" w:hAnsi="宋体" w:cs="宋体"/>
          <w:color w:val="auto"/>
          <w:highlight w:val="none"/>
        </w:rPr>
        <w:t>采购</w:t>
      </w:r>
      <w:r>
        <w:rPr>
          <w:rFonts w:ascii="宋体" w:hAnsi="宋体" w:cs="宋体"/>
          <w:color w:val="auto"/>
          <w:highlight w:val="none"/>
        </w:rPr>
        <w:t>代理的收费基准价格</w:t>
      </w:r>
      <w:r>
        <w:rPr>
          <w:rFonts w:hint="eastAsia" w:ascii="宋体" w:hAnsi="宋体" w:cs="宋体"/>
          <w:color w:val="auto"/>
          <w:highlight w:val="none"/>
        </w:rPr>
        <w:t>；</w:t>
      </w:r>
    </w:p>
    <w:p w14:paraId="0F0D356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（2）采购</w:t>
      </w:r>
      <w:r>
        <w:rPr>
          <w:rFonts w:ascii="宋体" w:hAnsi="宋体" w:cs="宋体"/>
          <w:color w:val="auto"/>
          <w:highlight w:val="none"/>
        </w:rPr>
        <w:t>代理收费按差额定率累进法计算。</w:t>
      </w:r>
    </w:p>
    <w:p w14:paraId="0EA5CD33">
      <w:pPr>
        <w:spacing w:line="360" w:lineRule="auto"/>
        <w:ind w:firstLine="420" w:firstLineChars="200"/>
        <w:rPr>
          <w:rFonts w:ascii="宋体" w:hAnsi="宋体" w:cs="宋体"/>
          <w:color w:val="auto"/>
          <w:highlight w:val="none"/>
        </w:rPr>
      </w:pPr>
      <w:r>
        <w:rPr>
          <w:rFonts w:ascii="宋体" w:hAnsi="宋体" w:cs="宋体"/>
          <w:color w:val="auto"/>
          <w:highlight w:val="none"/>
        </w:rPr>
        <w:t>例如：某</w:t>
      </w:r>
      <w:r>
        <w:rPr>
          <w:rFonts w:hint="eastAsia" w:ascii="宋体" w:hAnsi="宋体" w:cs="宋体"/>
          <w:color w:val="auto"/>
          <w:highlight w:val="none"/>
        </w:rPr>
        <w:t>服务采购</w:t>
      </w:r>
      <w:r>
        <w:rPr>
          <w:rFonts w:ascii="宋体" w:hAnsi="宋体" w:cs="宋体"/>
          <w:color w:val="auto"/>
          <w:highlight w:val="none"/>
        </w:rPr>
        <w:t>代理业务</w:t>
      </w:r>
      <w:r>
        <w:rPr>
          <w:rFonts w:hint="eastAsia" w:ascii="宋体" w:hAnsi="宋体" w:cs="宋体"/>
          <w:color w:val="auto"/>
          <w:highlight w:val="none"/>
        </w:rPr>
        <w:t>成交</w:t>
      </w:r>
      <w:r>
        <w:rPr>
          <w:rFonts w:ascii="宋体" w:hAnsi="宋体" w:cs="宋体"/>
          <w:color w:val="auto"/>
          <w:highlight w:val="none"/>
        </w:rPr>
        <w:t>金额</w:t>
      </w:r>
      <w:r>
        <w:rPr>
          <w:rFonts w:hint="eastAsia" w:ascii="宋体" w:hAnsi="宋体" w:cs="宋体"/>
          <w:color w:val="auto"/>
          <w:highlight w:val="none"/>
        </w:rPr>
        <w:t>或者暂定价</w:t>
      </w:r>
      <w:r>
        <w:rPr>
          <w:rFonts w:ascii="宋体" w:hAnsi="宋体" w:cs="宋体"/>
          <w:color w:val="auto"/>
          <w:highlight w:val="none"/>
        </w:rPr>
        <w:t>为150万元，计算</w:t>
      </w:r>
      <w:r>
        <w:rPr>
          <w:rFonts w:hint="eastAsia" w:ascii="宋体" w:hAnsi="宋体" w:cs="宋体"/>
          <w:color w:val="auto"/>
          <w:highlight w:val="none"/>
        </w:rPr>
        <w:t>采购</w:t>
      </w:r>
      <w:r>
        <w:rPr>
          <w:rFonts w:ascii="宋体" w:hAnsi="宋体" w:cs="宋体"/>
          <w:color w:val="auto"/>
          <w:highlight w:val="none"/>
        </w:rPr>
        <w:t>代理收费额如下：</w:t>
      </w:r>
    </w:p>
    <w:p w14:paraId="5C030C61">
      <w:pPr>
        <w:spacing w:line="360" w:lineRule="auto"/>
        <w:ind w:firstLine="420" w:firstLineChars="200"/>
        <w:rPr>
          <w:rFonts w:ascii="宋体" w:hAnsi="宋体" w:cs="宋体"/>
          <w:color w:val="auto"/>
          <w:highlight w:val="none"/>
        </w:rPr>
      </w:pPr>
      <w:r>
        <w:rPr>
          <w:rFonts w:ascii="宋体" w:hAnsi="宋体" w:cs="宋体"/>
          <w:color w:val="auto"/>
          <w:highlight w:val="none"/>
        </w:rPr>
        <w:t>100 万元 ×l.5 %＝ 1.5 万元</w:t>
      </w:r>
    </w:p>
    <w:p w14:paraId="3D2160E6">
      <w:pPr>
        <w:spacing w:line="360" w:lineRule="auto"/>
        <w:ind w:firstLine="420" w:firstLineChars="200"/>
        <w:rPr>
          <w:rFonts w:ascii="宋体" w:hAnsi="宋体" w:cs="宋体"/>
          <w:color w:val="auto"/>
          <w:highlight w:val="none"/>
        </w:rPr>
      </w:pPr>
      <w:r>
        <w:rPr>
          <w:rFonts w:ascii="宋体" w:hAnsi="宋体" w:cs="宋体"/>
          <w:color w:val="auto"/>
          <w:highlight w:val="none"/>
        </w:rPr>
        <w:t>（ 150 － 100 ）万元 ×0.8%＝ 0.4万元</w:t>
      </w:r>
    </w:p>
    <w:p w14:paraId="555AF519">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eastAsia="zh-CN"/>
        </w:rPr>
      </w:pPr>
      <w:r>
        <w:rPr>
          <w:rFonts w:ascii="宋体" w:hAnsi="宋体" w:cs="宋体"/>
          <w:color w:val="auto"/>
          <w:highlight w:val="none"/>
        </w:rPr>
        <w:t>合计收费＝ 1.5 ＋ 0.4＝ 1.9 万元</w:t>
      </w:r>
    </w:p>
    <w:p w14:paraId="2F616460">
      <w:pPr>
        <w:pageBreakBefore w:val="0"/>
        <w:overflowPunct/>
        <w:topLinePunct w:val="0"/>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lang w:val="en-US" w:eastAsia="zh-CN"/>
        </w:rPr>
        <w:t>31</w:t>
      </w:r>
      <w:r>
        <w:rPr>
          <w:rFonts w:hint="eastAsia" w:ascii="宋体" w:hAnsi="宋体" w:eastAsia="宋体" w:cs="宋体"/>
          <w:b/>
          <w:color w:val="auto"/>
          <w:sz w:val="21"/>
          <w:szCs w:val="21"/>
          <w:highlight w:val="none"/>
        </w:rPr>
        <w:t>、</w:t>
      </w:r>
      <w:r>
        <w:rPr>
          <w:rFonts w:hint="eastAsia" w:ascii="宋体" w:hAnsi="宋体" w:eastAsia="宋体" w:cs="宋体"/>
          <w:b/>
          <w:bCs/>
          <w:color w:val="auto"/>
          <w:sz w:val="21"/>
          <w:szCs w:val="21"/>
          <w:highlight w:val="none"/>
        </w:rPr>
        <w:t>有关事宜</w:t>
      </w:r>
    </w:p>
    <w:p w14:paraId="76FA200A">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31</w:t>
      </w:r>
      <w:r>
        <w:rPr>
          <w:rFonts w:hint="eastAsia" w:ascii="宋体" w:hAnsi="宋体" w:eastAsia="宋体" w:cs="宋体"/>
          <w:color w:val="auto"/>
          <w:sz w:val="21"/>
          <w:szCs w:val="21"/>
          <w:highlight w:val="none"/>
        </w:rPr>
        <w:t>.1所有与本磋商文件有关的函电请按下列通讯地址联系：</w:t>
      </w:r>
    </w:p>
    <w:p w14:paraId="3CAAFA9E">
      <w:pPr>
        <w:pageBreakBefore w:val="0"/>
        <w:numPr>
          <w:ilvl w:val="0"/>
          <w:numId w:val="0"/>
        </w:numPr>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b w:val="0"/>
          <w:bCs w:val="0"/>
          <w:color w:val="auto"/>
          <w:sz w:val="21"/>
          <w:szCs w:val="21"/>
          <w:highlight w:val="none"/>
          <w:lang w:val="en-US" w:eastAsia="zh-CN"/>
        </w:rPr>
        <w:t>31.1.1</w:t>
      </w:r>
      <w:r>
        <w:rPr>
          <w:rFonts w:hint="eastAsia" w:ascii="宋体" w:hAnsi="宋体" w:eastAsia="宋体" w:cs="宋体"/>
          <w:b w:val="0"/>
          <w:bCs w:val="0"/>
          <w:color w:val="auto"/>
          <w:sz w:val="21"/>
          <w:szCs w:val="21"/>
          <w:highlight w:val="none"/>
        </w:rPr>
        <w:t>采购代理机构：</w:t>
      </w:r>
    </w:p>
    <w:p w14:paraId="5256C651">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采购代理机构：</w:t>
      </w:r>
      <w:r>
        <w:rPr>
          <w:rFonts w:hint="eastAsia" w:ascii="宋体" w:hAnsi="宋体" w:cs="宋体"/>
          <w:color w:val="auto"/>
          <w:sz w:val="21"/>
          <w:szCs w:val="21"/>
          <w:highlight w:val="none"/>
          <w:lang w:eastAsia="zh-CN"/>
        </w:rPr>
        <w:t>广西朗亿工程咨询有限公司</w:t>
      </w:r>
    </w:p>
    <w:p w14:paraId="7A074BAB">
      <w:pPr>
        <w:pageBreakBefore w:val="0"/>
        <w:overflowPunct/>
        <w:topLinePunct w:val="0"/>
        <w:bidi w:val="0"/>
        <w:spacing w:line="360" w:lineRule="auto"/>
        <w:ind w:right="-192"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 址：</w:t>
      </w:r>
      <w:r>
        <w:rPr>
          <w:rFonts w:hint="eastAsia" w:ascii="宋体" w:hAnsi="宋体" w:cs="宋体"/>
          <w:color w:val="auto"/>
          <w:kern w:val="0"/>
          <w:sz w:val="21"/>
          <w:szCs w:val="21"/>
          <w:highlight w:val="none"/>
          <w:lang w:eastAsia="zh-CN"/>
        </w:rPr>
        <w:t>广西壮族自治区贺州市八步区城东新区回建地C地块137、138号</w:t>
      </w:r>
    </w:p>
    <w:p w14:paraId="499B365C">
      <w:pPr>
        <w:pageBreakBefore w:val="0"/>
        <w:overflowPunct/>
        <w:topLinePunct w:val="0"/>
        <w:bidi w:val="0"/>
        <w:spacing w:line="360" w:lineRule="auto"/>
        <w:ind w:right="-192"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联系人：</w:t>
      </w:r>
      <w:r>
        <w:rPr>
          <w:rFonts w:hint="eastAsia" w:ascii="宋体" w:hAnsi="宋体" w:cs="宋体"/>
          <w:color w:val="auto"/>
          <w:sz w:val="21"/>
          <w:szCs w:val="21"/>
          <w:highlight w:val="none"/>
          <w:lang w:eastAsia="zh-CN"/>
        </w:rPr>
        <w:t>凌秋梅</w:t>
      </w:r>
    </w:p>
    <w:p w14:paraId="75C139D2">
      <w:pPr>
        <w:pageBreakBefore w:val="0"/>
        <w:overflowPunct/>
        <w:topLinePunct w:val="0"/>
        <w:bidi w:val="0"/>
        <w:spacing w:line="360" w:lineRule="auto"/>
        <w:ind w:right="-192"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电 话：</w:t>
      </w:r>
      <w:r>
        <w:rPr>
          <w:rFonts w:hint="eastAsia" w:ascii="宋体" w:hAnsi="宋体" w:cs="宋体"/>
          <w:color w:val="auto"/>
          <w:sz w:val="21"/>
          <w:szCs w:val="21"/>
          <w:highlight w:val="none"/>
          <w:lang w:val="en-US" w:eastAsia="zh-CN"/>
        </w:rPr>
        <w:t>0774-5138578</w:t>
      </w:r>
    </w:p>
    <w:p w14:paraId="290E77AC">
      <w:pPr>
        <w:pageBreakBefore w:val="0"/>
        <w:numPr>
          <w:ilvl w:val="0"/>
          <w:numId w:val="0"/>
        </w:numPr>
        <w:overflowPunct/>
        <w:topLinePunct w:val="0"/>
        <w:bidi w:val="0"/>
        <w:spacing w:line="360" w:lineRule="auto"/>
        <w:ind w:firstLine="420" w:firstLineChars="200"/>
        <w:rPr>
          <w:rStyle w:val="64"/>
          <w:rFonts w:hint="eastAsia" w:ascii="宋体" w:hAnsi="宋体" w:eastAsia="宋体" w:cs="宋体"/>
          <w:color w:val="auto"/>
          <w:sz w:val="44"/>
          <w:szCs w:val="44"/>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b w:val="0"/>
          <w:bCs w:val="0"/>
          <w:color w:val="auto"/>
          <w:sz w:val="21"/>
          <w:szCs w:val="21"/>
          <w:highlight w:val="none"/>
          <w:lang w:val="en-US" w:eastAsia="zh-CN"/>
        </w:rPr>
        <w:t>1.1.2监督单位全称</w:t>
      </w:r>
      <w:r>
        <w:rPr>
          <w:rFonts w:hint="eastAsia" w:ascii="宋体" w:hAnsi="宋体" w:cs="宋体"/>
          <w:b w:val="0"/>
          <w:bCs w:val="0"/>
          <w:color w:val="auto"/>
          <w:sz w:val="21"/>
          <w:szCs w:val="21"/>
          <w:highlight w:val="none"/>
          <w:lang w:val="en-US" w:eastAsia="zh-CN"/>
        </w:rPr>
        <w:t>及联系方式</w:t>
      </w:r>
      <w:r>
        <w:rPr>
          <w:rFonts w:hint="eastAsia" w:ascii="宋体" w:hAnsi="宋体" w:eastAsia="宋体" w:cs="宋体"/>
          <w:b w:val="0"/>
          <w:bCs w:val="0"/>
          <w:color w:val="auto"/>
          <w:sz w:val="21"/>
          <w:szCs w:val="21"/>
          <w:highlight w:val="none"/>
          <w:lang w:val="en-US" w:eastAsia="zh-CN"/>
        </w:rPr>
        <w:t>：</w:t>
      </w:r>
      <w:bookmarkStart w:id="96" w:name="_Toc406071080"/>
      <w:bookmarkStart w:id="97" w:name="_Toc373478199"/>
      <w:bookmarkStart w:id="98" w:name="_Toc351203480"/>
      <w:bookmarkStart w:id="99" w:name="_Toc296890982"/>
      <w:bookmarkStart w:id="100" w:name="_Toc430095341"/>
      <w:bookmarkStart w:id="101" w:name="_Toc373227552"/>
      <w:bookmarkStart w:id="102" w:name="_Toc440877583"/>
      <w:bookmarkStart w:id="103" w:name="_Toc389065255"/>
      <w:bookmarkStart w:id="104" w:name="_Toc296503025"/>
      <w:bookmarkStart w:id="105" w:name="_Toc439163592"/>
      <w:r>
        <w:rPr>
          <w:rFonts w:hint="eastAsia" w:ascii="宋体" w:hAnsi="宋体" w:cs="宋体"/>
          <w:b w:val="0"/>
          <w:bCs w:val="0"/>
          <w:color w:val="auto"/>
          <w:sz w:val="21"/>
          <w:szCs w:val="21"/>
          <w:highlight w:val="none"/>
          <w:lang w:val="en-US" w:eastAsia="zh-CN"/>
        </w:rPr>
        <w:t>富川瑶族自治县财政局政府采购服务中心</w:t>
      </w:r>
      <w:r>
        <w:rPr>
          <w:rFonts w:hint="eastAsia" w:ascii="宋体" w:hAnsi="宋体" w:eastAsia="宋体" w:cs="宋体"/>
          <w:b w:val="0"/>
          <w:bCs w:val="0"/>
          <w:color w:val="auto"/>
          <w:sz w:val="21"/>
          <w:szCs w:val="21"/>
          <w:highlight w:val="none"/>
          <w:lang w:val="en-US" w:eastAsia="zh-CN"/>
        </w:rPr>
        <w:t>（联系电话：</w:t>
      </w:r>
      <w:r>
        <w:rPr>
          <w:rFonts w:hint="eastAsia" w:ascii="宋体" w:hAnsi="宋体" w:cs="宋体"/>
          <w:b w:val="0"/>
          <w:bCs w:val="0"/>
          <w:color w:val="auto"/>
          <w:sz w:val="21"/>
          <w:szCs w:val="21"/>
          <w:highlight w:val="none"/>
          <w:lang w:val="en-US" w:eastAsia="zh-CN"/>
        </w:rPr>
        <w:t>0774-7882324</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br w:type="page"/>
      </w:r>
      <w:bookmarkStart w:id="106" w:name="_Toc13564"/>
      <w:bookmarkStart w:id="107" w:name="_Toc7960"/>
    </w:p>
    <w:p w14:paraId="10198AE7">
      <w:pPr>
        <w:pStyle w:val="15"/>
        <w:keepNext w:val="0"/>
        <w:keepLines w:val="0"/>
        <w:pageBreakBefore w:val="0"/>
        <w:kinsoku/>
        <w:wordWrap/>
        <w:overflowPunct/>
        <w:topLinePunct w:val="0"/>
        <w:autoSpaceDE/>
        <w:autoSpaceDN/>
        <w:bidi w:val="0"/>
        <w:adjustRightInd/>
        <w:snapToGrid/>
        <w:spacing w:line="360" w:lineRule="auto"/>
        <w:jc w:val="center"/>
        <w:textAlignment w:val="auto"/>
        <w:outlineLvl w:val="0"/>
        <w:rPr>
          <w:rStyle w:val="64"/>
          <w:rFonts w:hint="eastAsia" w:ascii="宋体" w:hAnsi="宋体" w:eastAsia="宋体" w:cs="宋体"/>
          <w:color w:val="auto"/>
          <w:sz w:val="44"/>
          <w:szCs w:val="44"/>
          <w:highlight w:val="none"/>
          <w:lang w:val="en-US" w:eastAsia="zh-CN"/>
        </w:rPr>
      </w:pPr>
      <w:bookmarkStart w:id="108" w:name="_Toc7569"/>
      <w:bookmarkStart w:id="109" w:name="_Toc6548"/>
      <w:r>
        <w:rPr>
          <w:rStyle w:val="64"/>
          <w:rFonts w:hint="eastAsia" w:ascii="宋体" w:hAnsi="宋体" w:eastAsia="宋体" w:cs="宋体"/>
          <w:color w:val="auto"/>
          <w:sz w:val="44"/>
          <w:szCs w:val="44"/>
          <w:highlight w:val="none"/>
          <w:lang w:val="en-US" w:eastAsia="zh-CN"/>
        </w:rPr>
        <w:t>第三章  采购需求表</w:t>
      </w:r>
      <w:bookmarkEnd w:id="108"/>
      <w:bookmarkEnd w:id="109"/>
    </w:p>
    <w:p w14:paraId="372B7443">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bCs w:val="0"/>
          <w:color w:val="auto"/>
          <w:sz w:val="24"/>
          <w:szCs w:val="24"/>
          <w:highlight w:val="none"/>
          <w:lang w:eastAsia="zh-CN"/>
        </w:rPr>
      </w:pPr>
      <w:r>
        <w:rPr>
          <w:rFonts w:hint="eastAsia" w:ascii="宋体" w:hAnsi="宋体" w:cs="宋体"/>
          <w:b/>
          <w:bCs w:val="0"/>
          <w:color w:val="auto"/>
          <w:sz w:val="24"/>
          <w:szCs w:val="24"/>
          <w:highlight w:val="none"/>
          <w:lang w:val="en-US" w:eastAsia="zh-CN"/>
        </w:rPr>
        <w:t>一、</w:t>
      </w:r>
      <w:r>
        <w:rPr>
          <w:rFonts w:hint="eastAsia" w:ascii="宋体" w:hAnsi="宋体" w:eastAsia="宋体" w:cs="宋体"/>
          <w:b/>
          <w:bCs w:val="0"/>
          <w:color w:val="auto"/>
          <w:sz w:val="24"/>
          <w:szCs w:val="24"/>
          <w:highlight w:val="none"/>
          <w:lang w:eastAsia="zh-CN"/>
        </w:rPr>
        <w:t>项目概况</w:t>
      </w:r>
    </w:p>
    <w:p w14:paraId="33D403F4">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rPr>
        <w:t>项目名称：</w:t>
      </w:r>
      <w:r>
        <w:rPr>
          <w:rFonts w:hint="eastAsia" w:ascii="宋体" w:hAnsi="宋体" w:cs="宋体"/>
          <w:b w:val="0"/>
          <w:bCs/>
          <w:color w:val="auto"/>
          <w:sz w:val="24"/>
          <w:szCs w:val="24"/>
          <w:highlight w:val="none"/>
          <w:lang w:eastAsia="zh-CN"/>
        </w:rPr>
        <w:t>富川民宗局2026年第二批财政常态化帮扶资金项目</w:t>
      </w:r>
    </w:p>
    <w:p w14:paraId="69F4F9AA">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rPr>
      </w:pPr>
      <w:r>
        <w:rPr>
          <w:rFonts w:hint="eastAsia" w:ascii="宋体" w:hAnsi="宋体"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rPr>
        <w:t xml:space="preserve">采购方式：竞争性磋商  </w:t>
      </w:r>
    </w:p>
    <w:p w14:paraId="0E45785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rPr>
        <w:t>预算金额：</w:t>
      </w:r>
      <w:r>
        <w:rPr>
          <w:rFonts w:hint="eastAsia" w:ascii="宋体" w:hAnsi="宋体" w:eastAsia="宋体" w:cs="宋体"/>
          <w:b w:val="0"/>
          <w:bCs/>
          <w:color w:val="auto"/>
          <w:sz w:val="24"/>
          <w:szCs w:val="24"/>
          <w:highlight w:val="none"/>
          <w:lang w:val="en-US" w:eastAsia="zh-CN"/>
        </w:rPr>
        <w:t>人民币壹佰叁拾伍万柒仟捌佰零叁元零贰分</w:t>
      </w: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1357803.02</w:t>
      </w:r>
      <w:r>
        <w:rPr>
          <w:rFonts w:hint="eastAsia" w:ascii="宋体" w:hAnsi="宋体" w:eastAsia="宋体" w:cs="宋体"/>
          <w:b w:val="0"/>
          <w:bCs/>
          <w:color w:val="auto"/>
          <w:sz w:val="24"/>
          <w:szCs w:val="24"/>
          <w:highlight w:val="none"/>
        </w:rPr>
        <w:t>）（含社会保险费）</w:t>
      </w:r>
      <w:r>
        <w:rPr>
          <w:rFonts w:hint="eastAsia" w:ascii="宋体" w:hAnsi="宋体" w:cs="宋体"/>
          <w:b w:val="0"/>
          <w:bCs/>
          <w:color w:val="auto"/>
          <w:sz w:val="24"/>
          <w:szCs w:val="24"/>
          <w:highlight w:val="none"/>
          <w:lang w:val="en-US" w:eastAsia="zh-CN"/>
        </w:rPr>
        <w:t xml:space="preserve"> </w:t>
      </w:r>
    </w:p>
    <w:p w14:paraId="38E7DA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u w:val="single"/>
          <w:lang w:val="en-US"/>
        </w:rPr>
      </w:pPr>
      <w:r>
        <w:rPr>
          <w:rFonts w:hint="eastAsia" w:ascii="宋体" w:hAnsi="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rPr>
        <w:t>最高限价：人民币壹佰叁拾伍万柒仟捌佰零叁元零贰分（￥1357803.02）（含社会保险费）（其中1.麦岭村委长广村大山至岐山塘脐橙产业路硬化工程最高限价为￥530654.84；2.石家乡石家社区双马塘至黄竹村脐橙产业路硬化工程最高限价为￥493831.47；3.葛坡镇岐山村委岐山大村石板桥至鸭婆塘蔬菜基地三面光水渠建设最高限价为￥333316.71）</w:t>
      </w:r>
    </w:p>
    <w:p w14:paraId="06AB0B32">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cs="宋体"/>
          <w:b w:val="0"/>
          <w:bCs/>
          <w:color w:val="auto"/>
          <w:sz w:val="24"/>
          <w:szCs w:val="24"/>
          <w:highlight w:val="none"/>
          <w:lang w:val="en-US" w:eastAsia="zh-CN"/>
        </w:rPr>
        <w:t>5.项目概况与建设内容</w:t>
      </w:r>
      <w:r>
        <w:rPr>
          <w:rFonts w:hint="eastAsia" w:ascii="宋体" w:hAnsi="宋体" w:cs="宋体"/>
          <w:b w:val="0"/>
          <w:bCs/>
          <w:color w:val="auto"/>
          <w:sz w:val="24"/>
          <w:szCs w:val="24"/>
          <w:highlight w:val="none"/>
          <w:lang w:eastAsia="zh-CN"/>
        </w:rPr>
        <w:t>：</w:t>
      </w:r>
      <w:r>
        <w:rPr>
          <w:rFonts w:hint="eastAsia" w:ascii="宋体" w:hAnsi="宋体" w:cs="宋体"/>
          <w:b w:val="0"/>
          <w:bCs/>
          <w:color w:val="auto"/>
          <w:sz w:val="24"/>
          <w:szCs w:val="24"/>
          <w:highlight w:val="none"/>
          <w:lang w:val="en-US" w:eastAsia="zh-CN"/>
        </w:rPr>
        <w:t>本项目包含三个子项目：1.麦岭村委长广村大山至岐山塘脐橙产业路硬化工程；2.石家乡石家社区双马塘至黄竹村脐橙产业路硬化工程；3.葛坡镇岐山村委岐山大村石板桥至鸭婆塘蔬菜基地三面光水渠建设。</w:t>
      </w:r>
      <w:r>
        <w:rPr>
          <w:rFonts w:hint="eastAsia" w:ascii="宋体" w:hAnsi="宋体" w:cs="宋体"/>
          <w:b w:val="0"/>
          <w:bCs/>
          <w:color w:val="auto"/>
          <w:sz w:val="24"/>
          <w:szCs w:val="24"/>
          <w:highlight w:val="none"/>
          <w:lang w:eastAsia="zh-CN"/>
        </w:rPr>
        <w:t>具体详见经财政投资评审的《工程量清单》内容及相关设计图纸要求范围内所有工程内容。</w:t>
      </w:r>
    </w:p>
    <w:p w14:paraId="4E2658DC">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bCs w:val="0"/>
          <w:color w:val="auto"/>
          <w:sz w:val="24"/>
          <w:szCs w:val="24"/>
          <w:highlight w:val="none"/>
        </w:rPr>
      </w:pPr>
      <w:r>
        <w:rPr>
          <w:rFonts w:hint="eastAsia" w:ascii="宋体" w:hAnsi="宋体" w:cs="宋体"/>
          <w:b/>
          <w:bCs w:val="0"/>
          <w:color w:val="auto"/>
          <w:sz w:val="24"/>
          <w:szCs w:val="24"/>
          <w:highlight w:val="none"/>
          <w:lang w:val="en-US" w:eastAsia="zh-CN"/>
        </w:rPr>
        <w:t>二、供应商</w:t>
      </w:r>
      <w:r>
        <w:rPr>
          <w:rFonts w:hint="eastAsia" w:ascii="宋体" w:hAnsi="宋体" w:eastAsia="宋体" w:cs="宋体"/>
          <w:b/>
          <w:bCs w:val="0"/>
          <w:color w:val="auto"/>
          <w:sz w:val="24"/>
          <w:szCs w:val="24"/>
          <w:highlight w:val="none"/>
        </w:rPr>
        <w:t>的资格要求</w:t>
      </w:r>
    </w:p>
    <w:p w14:paraId="51793A96">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rPr>
      </w:pPr>
      <w:r>
        <w:rPr>
          <w:rFonts w:hint="eastAsia" w:ascii="宋体" w:hAnsi="宋体"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rPr>
        <w:t>满足《中华人民共和国政府采购法》第二十二条规定；</w:t>
      </w:r>
    </w:p>
    <w:p w14:paraId="76AD0CA0">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rPr>
      </w:pPr>
      <w:r>
        <w:rPr>
          <w:rFonts w:hint="eastAsia" w:ascii="宋体" w:hAnsi="宋体"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rPr>
        <w:t>落实政府采购政策需满足的资格要求：</w:t>
      </w:r>
    </w:p>
    <w:p w14:paraId="4360DDF8">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☑专门面向中小企业采购的项目（供应商应为中小微企业、监狱企业、残疾人福利性单位)</w:t>
      </w:r>
    </w:p>
    <w:p w14:paraId="014A6FC0">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rPr>
      </w:pPr>
      <w:r>
        <w:rPr>
          <w:rFonts w:hint="eastAsia" w:ascii="宋体" w:hAnsi="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rPr>
        <w:t>本项目的特定资格要求：</w:t>
      </w:r>
    </w:p>
    <w:p w14:paraId="35BA9E37">
      <w:pPr>
        <w:pageBreakBefore w:val="0"/>
        <w:overflowPunct/>
        <w:topLinePunct w:val="0"/>
        <w:bidi w:val="0"/>
        <w:spacing w:line="360" w:lineRule="auto"/>
        <w:ind w:firstLine="48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(1)具备</w:t>
      </w:r>
      <w:r>
        <w:rPr>
          <w:rFonts w:hint="eastAsia" w:ascii="宋体" w:hAnsi="宋体" w:cs="宋体"/>
          <w:b w:val="0"/>
          <w:bCs/>
          <w:color w:val="auto"/>
          <w:sz w:val="24"/>
          <w:szCs w:val="24"/>
          <w:highlight w:val="none"/>
          <w:lang w:val="en-US" w:eastAsia="zh-CN"/>
        </w:rPr>
        <w:t>市政公用工程</w:t>
      </w:r>
      <w:r>
        <w:rPr>
          <w:rFonts w:hint="eastAsia" w:ascii="宋体" w:hAnsi="宋体" w:eastAsia="宋体" w:cs="宋体"/>
          <w:b w:val="0"/>
          <w:bCs/>
          <w:color w:val="auto"/>
          <w:sz w:val="24"/>
          <w:szCs w:val="24"/>
          <w:highlight w:val="none"/>
          <w:lang w:val="en-US" w:eastAsia="zh-CN"/>
        </w:rPr>
        <w:t>施工总承包三级(含)以上资质及有效的安全生产许可证；</w:t>
      </w:r>
    </w:p>
    <w:p w14:paraId="31A3F44E">
      <w:pPr>
        <w:pageBreakBefore w:val="0"/>
        <w:overflowPunct/>
        <w:topLinePunct w:val="0"/>
        <w:bidi w:val="0"/>
        <w:spacing w:line="360" w:lineRule="auto"/>
        <w:ind w:firstLine="48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(2)拟投入的项目经理须具备</w:t>
      </w:r>
      <w:r>
        <w:rPr>
          <w:rFonts w:hint="eastAsia" w:ascii="宋体" w:hAnsi="宋体" w:cs="宋体"/>
          <w:b w:val="0"/>
          <w:bCs/>
          <w:color w:val="auto"/>
          <w:sz w:val="24"/>
          <w:szCs w:val="24"/>
          <w:highlight w:val="none"/>
          <w:lang w:val="en-US" w:eastAsia="zh-CN"/>
        </w:rPr>
        <w:t>市政公用工程</w:t>
      </w:r>
      <w:r>
        <w:rPr>
          <w:rFonts w:hint="eastAsia" w:ascii="宋体" w:hAnsi="宋体" w:eastAsia="宋体" w:cs="宋体"/>
          <w:b w:val="0"/>
          <w:bCs/>
          <w:color w:val="auto"/>
          <w:sz w:val="24"/>
          <w:szCs w:val="24"/>
          <w:highlight w:val="none"/>
          <w:lang w:val="en-US" w:eastAsia="zh-CN"/>
        </w:rPr>
        <w:t>专业二级（含）以上注册建造师资格，持有有效的B类安全生产考核合格证；</w:t>
      </w:r>
    </w:p>
    <w:p w14:paraId="3CF66DA1">
      <w:pPr>
        <w:pageBreakBefore w:val="0"/>
        <w:overflowPunct/>
        <w:topLinePunct w:val="0"/>
        <w:bidi w:val="0"/>
        <w:spacing w:line="360" w:lineRule="auto"/>
        <w:ind w:firstLine="48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 xml:space="preserve">(3)拟派往本项目的专职安全员须具备有效的安全生产考核合格证书（C类），人数不少于1人； </w:t>
      </w:r>
    </w:p>
    <w:p w14:paraId="5D3D34C5">
      <w:pPr>
        <w:pageBreakBefore w:val="0"/>
        <w:overflowPunct/>
        <w:topLinePunct w:val="0"/>
        <w:bidi w:val="0"/>
        <w:spacing w:line="360" w:lineRule="auto"/>
        <w:ind w:firstLine="48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(4)拟派驻本项目的技术负责人须具备中级及以上技术职称；</w:t>
      </w:r>
    </w:p>
    <w:p w14:paraId="08D58796">
      <w:pPr>
        <w:pageBreakBefore w:val="0"/>
        <w:overflowPunct/>
        <w:topLinePunct w:val="0"/>
        <w:bidi w:val="0"/>
        <w:spacing w:line="360" w:lineRule="auto"/>
        <w:ind w:firstLine="48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(5)施工员、质量员、材料员应具有相应岗位资格证书。</w:t>
      </w:r>
    </w:p>
    <w:p w14:paraId="74A9C083">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宋体" w:hAnsi="宋体" w:eastAsia="宋体" w:cs="宋体"/>
          <w:b/>
          <w:bCs w:val="0"/>
          <w:color w:val="auto"/>
          <w:sz w:val="24"/>
          <w:szCs w:val="24"/>
          <w:highlight w:val="none"/>
          <w:lang w:eastAsia="zh-CN"/>
        </w:rPr>
      </w:pPr>
      <w:r>
        <w:rPr>
          <w:rFonts w:hint="eastAsia" w:ascii="宋体" w:hAnsi="宋体" w:cs="宋体"/>
          <w:b/>
          <w:bCs w:val="0"/>
          <w:color w:val="auto"/>
          <w:sz w:val="24"/>
          <w:szCs w:val="24"/>
          <w:highlight w:val="none"/>
          <w:lang w:val="en-US" w:eastAsia="zh-CN"/>
        </w:rPr>
        <w:t>三、</w:t>
      </w:r>
      <w:r>
        <w:rPr>
          <w:rFonts w:hint="eastAsia" w:ascii="宋体" w:hAnsi="宋体" w:eastAsia="宋体" w:cs="宋体"/>
          <w:b/>
          <w:bCs w:val="0"/>
          <w:color w:val="auto"/>
          <w:sz w:val="24"/>
          <w:szCs w:val="24"/>
          <w:highlight w:val="none"/>
        </w:rPr>
        <w:t>商务</w:t>
      </w:r>
      <w:r>
        <w:rPr>
          <w:rFonts w:hint="eastAsia" w:ascii="宋体" w:hAnsi="宋体" w:cs="宋体"/>
          <w:b/>
          <w:bCs w:val="0"/>
          <w:color w:val="auto"/>
          <w:sz w:val="24"/>
          <w:szCs w:val="24"/>
          <w:highlight w:val="none"/>
          <w:lang w:val="en-US" w:eastAsia="zh-CN"/>
        </w:rPr>
        <w:t>要求</w:t>
      </w:r>
    </w:p>
    <w:p w14:paraId="37D0CA36">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w:t>
      </w:r>
      <w:r>
        <w:rPr>
          <w:rFonts w:hint="eastAsia" w:ascii="宋体" w:hAnsi="宋体" w:cs="宋体"/>
          <w:b w:val="0"/>
          <w:bCs/>
          <w:color w:val="auto"/>
          <w:sz w:val="24"/>
          <w:szCs w:val="24"/>
          <w:highlight w:val="none"/>
          <w:lang w:val="en-US" w:eastAsia="zh-CN"/>
        </w:rPr>
        <w:t>工期</w:t>
      </w:r>
      <w:r>
        <w:rPr>
          <w:rFonts w:hint="eastAsia" w:ascii="宋体" w:hAnsi="宋体" w:eastAsia="宋体" w:cs="宋体"/>
          <w:b w:val="0"/>
          <w:bCs/>
          <w:color w:val="auto"/>
          <w:sz w:val="24"/>
          <w:szCs w:val="24"/>
          <w:highlight w:val="none"/>
        </w:rPr>
        <w:t>：</w:t>
      </w:r>
      <w:r>
        <w:rPr>
          <w:rFonts w:hint="eastAsia" w:ascii="宋体" w:hAnsi="宋体" w:cs="宋体"/>
          <w:b w:val="0"/>
          <w:bCs/>
          <w:color w:val="auto"/>
          <w:sz w:val="24"/>
          <w:szCs w:val="24"/>
          <w:highlight w:val="none"/>
          <w:u w:val="single"/>
          <w:lang w:val="en-US" w:eastAsia="zh-CN"/>
        </w:rPr>
        <w:t>100</w:t>
      </w:r>
      <w:r>
        <w:rPr>
          <w:rFonts w:hint="eastAsia" w:ascii="宋体" w:hAnsi="宋体" w:eastAsia="宋体" w:cs="宋体"/>
          <w:b w:val="0"/>
          <w:bCs/>
          <w:color w:val="auto"/>
          <w:sz w:val="24"/>
          <w:szCs w:val="24"/>
          <w:highlight w:val="none"/>
        </w:rPr>
        <w:t>日历天。</w:t>
      </w:r>
    </w:p>
    <w:p w14:paraId="398ECB55">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lang w:val="en-US" w:eastAsia="zh-CN"/>
        </w:rPr>
        <w:t>合同付款方式：</w:t>
      </w:r>
    </w:p>
    <w:p w14:paraId="6435FBAE">
      <w:pPr>
        <w:pageBreakBefore w:val="0"/>
        <w:widowControl/>
        <w:kinsoku/>
        <w:overflowPunct/>
        <w:topLinePunct w:val="0"/>
        <w:bidi w:val="0"/>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rPr>
        <w:t>预付款</w:t>
      </w:r>
    </w:p>
    <w:p w14:paraId="6B8D8849">
      <w:pPr>
        <w:pageBreakBefore w:val="0"/>
        <w:widowControl/>
        <w:kinsoku/>
        <w:overflowPunct/>
        <w:topLinePunct w:val="0"/>
        <w:bidi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预付款支付比例或金额：签订合同、具备开工条件(监理单位发出开工令</w:t>
      </w:r>
      <w:r>
        <w:rPr>
          <w:rFonts w:hint="eastAsia" w:ascii="宋体" w:hAnsi="宋体" w:cs="宋体"/>
          <w:bCs/>
          <w:color w:val="auto"/>
          <w:sz w:val="24"/>
          <w:szCs w:val="24"/>
          <w:highlight w:val="none"/>
          <w:lang w:eastAsia="zh-CN"/>
        </w:rPr>
        <w:t>；</w:t>
      </w:r>
      <w:r>
        <w:rPr>
          <w:rFonts w:hint="eastAsia" w:ascii="宋体" w:hAnsi="宋体" w:eastAsia="宋体" w:cs="宋体"/>
          <w:bCs/>
          <w:color w:val="auto"/>
          <w:sz w:val="24"/>
          <w:szCs w:val="24"/>
          <w:highlight w:val="none"/>
        </w:rPr>
        <w:t>施工人员、机械及材料进场报审完毕)后支付合同价的30%作为项目预付款</w:t>
      </w:r>
      <w:r>
        <w:rPr>
          <w:rFonts w:hint="eastAsia" w:ascii="宋体" w:hAnsi="宋体" w:eastAsia="宋体" w:cs="宋体"/>
          <w:bCs/>
          <w:color w:val="auto"/>
          <w:sz w:val="24"/>
          <w:szCs w:val="24"/>
          <w:highlight w:val="none"/>
          <w:u w:val="none"/>
        </w:rPr>
        <w:t>。</w:t>
      </w:r>
    </w:p>
    <w:p w14:paraId="4AABC524">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工程进度付款</w:t>
      </w:r>
      <w:r>
        <w:rPr>
          <w:rFonts w:hint="eastAsia" w:ascii="宋体" w:hAnsi="宋体" w:cs="宋体"/>
          <w:b w:val="0"/>
          <w:bCs/>
          <w:color w:val="auto"/>
          <w:sz w:val="24"/>
          <w:szCs w:val="24"/>
          <w:highlight w:val="none"/>
          <w:lang w:eastAsia="zh-CN"/>
        </w:rPr>
        <w:t>：</w:t>
      </w:r>
      <w:r>
        <w:rPr>
          <w:rFonts w:hint="eastAsia" w:ascii="宋体" w:hAnsi="宋体" w:cs="宋体"/>
          <w:bCs/>
          <w:color w:val="auto"/>
          <w:kern w:val="2"/>
          <w:sz w:val="24"/>
          <w:szCs w:val="24"/>
          <w:highlight w:val="none"/>
          <w:u w:val="none"/>
          <w:lang w:val="en-US" w:eastAsia="zh-CN" w:bidi="ar-SA"/>
        </w:rPr>
        <w:t>详见合同专用条款。</w:t>
      </w:r>
    </w:p>
    <w:p w14:paraId="6237B264">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lang w:val="en-US" w:eastAsia="zh-CN"/>
        </w:rPr>
        <w:t>缺陷责任期：12个月，缺陷责任期自工程竣工验收合格之日起计算。</w:t>
      </w:r>
    </w:p>
    <w:p w14:paraId="49FC540E">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4.质量要求：</w:t>
      </w:r>
      <w:r>
        <w:rPr>
          <w:rFonts w:hint="eastAsia" w:ascii="宋体" w:hAnsi="宋体" w:eastAsia="宋体" w:cs="宋体"/>
          <w:b w:val="0"/>
          <w:bCs w:val="0"/>
          <w:color w:val="auto"/>
          <w:sz w:val="24"/>
          <w:szCs w:val="24"/>
          <w:highlight w:val="none"/>
          <w:lang w:val="en-US" w:eastAsia="zh-CN"/>
        </w:rPr>
        <w:t>达到现行国家竣工验收规范合格标准。</w:t>
      </w:r>
    </w:p>
    <w:p w14:paraId="225D3391">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bCs w:val="0"/>
          <w:caps w:val="0"/>
          <w:color w:val="auto"/>
          <w:spacing w:val="0"/>
          <w:sz w:val="24"/>
          <w:szCs w:val="24"/>
          <w:highlight w:val="none"/>
          <w:shd w:val="clear" w:color="auto" w:fill="FFFFFF"/>
        </w:rPr>
      </w:pPr>
      <w:r>
        <w:rPr>
          <w:rFonts w:hint="eastAsia" w:ascii="宋体" w:hAnsi="宋体" w:eastAsia="宋体" w:cs="宋体"/>
          <w:b/>
          <w:bCs w:val="0"/>
          <w:caps w:val="0"/>
          <w:color w:val="auto"/>
          <w:spacing w:val="0"/>
          <w:sz w:val="24"/>
          <w:szCs w:val="24"/>
          <w:highlight w:val="none"/>
          <w:shd w:val="clear" w:color="auto" w:fill="FFFFFF"/>
          <w:lang w:val="en-US" w:eastAsia="zh-CN"/>
        </w:rPr>
        <w:t>四</w:t>
      </w:r>
      <w:r>
        <w:rPr>
          <w:rFonts w:hint="eastAsia" w:ascii="宋体" w:hAnsi="宋体" w:eastAsia="宋体" w:cs="宋体"/>
          <w:b/>
          <w:bCs w:val="0"/>
          <w:caps w:val="0"/>
          <w:color w:val="auto"/>
          <w:spacing w:val="0"/>
          <w:sz w:val="24"/>
          <w:szCs w:val="24"/>
          <w:highlight w:val="none"/>
          <w:shd w:val="clear" w:color="auto" w:fill="FFFFFF"/>
        </w:rPr>
        <w:t>、其他补充条款</w:t>
      </w:r>
    </w:p>
    <w:p w14:paraId="75BBD930">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aps w:val="0"/>
          <w:color w:val="auto"/>
          <w:spacing w:val="0"/>
          <w:sz w:val="24"/>
          <w:szCs w:val="24"/>
          <w:highlight w:val="none"/>
          <w:shd w:val="clear" w:color="auto" w:fill="FFFFFF"/>
          <w:lang w:val="en-US" w:eastAsia="zh-CN"/>
        </w:rPr>
        <w:t>1.</w:t>
      </w:r>
      <w:r>
        <w:rPr>
          <w:rFonts w:hint="eastAsia" w:ascii="宋体" w:hAnsi="宋体" w:eastAsia="宋体" w:cs="宋体"/>
          <w:b w:val="0"/>
          <w:bCs/>
          <w:color w:val="auto"/>
          <w:sz w:val="24"/>
          <w:szCs w:val="24"/>
          <w:highlight w:val="none"/>
          <w:lang w:val="en-US" w:eastAsia="zh-CN"/>
        </w:rPr>
        <w:t>磋商保证金：本项目无需缴纳磋商保证金。</w:t>
      </w:r>
    </w:p>
    <w:p w14:paraId="5C31037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rPr>
      </w:pPr>
      <w:r>
        <w:rPr>
          <w:rFonts w:hint="eastAsia" w:ascii="宋体" w:hAnsi="宋体"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lang w:val="en-US" w:eastAsia="zh-CN"/>
        </w:rPr>
        <w:t>履约保证金：本项目不收取履约保证金。</w:t>
      </w:r>
    </w:p>
    <w:p w14:paraId="357E731C">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 w:val="0"/>
          <w:bCs/>
          <w:i w:val="0"/>
          <w:iCs w:val="0"/>
          <w:caps w:val="0"/>
          <w:color w:val="auto"/>
          <w:spacing w:val="0"/>
          <w:sz w:val="24"/>
          <w:szCs w:val="24"/>
          <w:highlight w:val="none"/>
          <w:shd w:val="clear" w:color="auto" w:fill="FFFFFF"/>
        </w:rPr>
      </w:pPr>
      <w:r>
        <w:rPr>
          <w:rFonts w:hint="eastAsia" w:ascii="宋体" w:hAnsi="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lang w:val="en-US" w:eastAsia="zh-CN"/>
        </w:rPr>
        <w:t>合同签订：中标（成交）通知书发放之日起7日内。</w:t>
      </w:r>
    </w:p>
    <w:p w14:paraId="49F1EFC8">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 w:val="0"/>
          <w:bCs/>
          <w:i w:val="0"/>
          <w:iCs w:val="0"/>
          <w:caps w:val="0"/>
          <w:color w:val="auto"/>
          <w:spacing w:val="0"/>
          <w:sz w:val="24"/>
          <w:szCs w:val="24"/>
          <w:highlight w:val="none"/>
          <w:shd w:val="clear" w:color="auto" w:fill="FFFFFF"/>
        </w:rPr>
      </w:pPr>
      <w:r>
        <w:rPr>
          <w:rFonts w:hint="eastAsia" w:ascii="宋体" w:hAnsi="宋体" w:eastAsia="宋体" w:cs="宋体"/>
          <w:b w:val="0"/>
          <w:bCs/>
          <w:i w:val="0"/>
          <w:iCs w:val="0"/>
          <w:caps w:val="0"/>
          <w:color w:val="auto"/>
          <w:spacing w:val="0"/>
          <w:sz w:val="24"/>
          <w:szCs w:val="24"/>
          <w:highlight w:val="none"/>
          <w:shd w:val="clear" w:color="auto" w:fill="FFFFFF"/>
          <w:lang w:val="en-US" w:eastAsia="zh-CN"/>
        </w:rPr>
        <w:t>4.</w:t>
      </w:r>
      <w:r>
        <w:rPr>
          <w:rFonts w:hint="eastAsia" w:ascii="宋体" w:hAnsi="宋体" w:eastAsia="宋体" w:cs="宋体"/>
          <w:b w:val="0"/>
          <w:bCs/>
          <w:i w:val="0"/>
          <w:iCs w:val="0"/>
          <w:caps w:val="0"/>
          <w:color w:val="auto"/>
          <w:spacing w:val="0"/>
          <w:sz w:val="24"/>
          <w:szCs w:val="24"/>
          <w:highlight w:val="none"/>
          <w:shd w:val="clear" w:color="auto" w:fill="FFFFFF"/>
        </w:rPr>
        <w:t>成交供应商不得将工程转包或违法分包，一经发现，采购人有权解除合同并追究违约责任。</w:t>
      </w:r>
    </w:p>
    <w:p w14:paraId="63B3CA21">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 w:val="0"/>
          <w:bCs/>
          <w:i w:val="0"/>
          <w:iCs w:val="0"/>
          <w:caps w:val="0"/>
          <w:color w:val="auto"/>
          <w:spacing w:val="0"/>
          <w:sz w:val="24"/>
          <w:szCs w:val="24"/>
          <w:highlight w:val="none"/>
          <w:shd w:val="clear" w:color="auto" w:fill="FFFFFF"/>
        </w:rPr>
      </w:pPr>
      <w:r>
        <w:rPr>
          <w:rFonts w:hint="eastAsia" w:ascii="宋体" w:hAnsi="宋体" w:eastAsia="宋体" w:cs="宋体"/>
          <w:b w:val="0"/>
          <w:bCs/>
          <w:i w:val="0"/>
          <w:iCs w:val="0"/>
          <w:caps w:val="0"/>
          <w:color w:val="auto"/>
          <w:spacing w:val="0"/>
          <w:sz w:val="24"/>
          <w:szCs w:val="24"/>
          <w:highlight w:val="none"/>
          <w:shd w:val="clear" w:color="auto" w:fill="FFFFFF"/>
          <w:lang w:val="en-US" w:eastAsia="zh-CN"/>
        </w:rPr>
        <w:t>5.</w:t>
      </w:r>
      <w:r>
        <w:rPr>
          <w:rFonts w:hint="eastAsia" w:ascii="宋体" w:hAnsi="宋体" w:eastAsia="宋体" w:cs="宋体"/>
          <w:b w:val="0"/>
          <w:bCs/>
          <w:i w:val="0"/>
          <w:iCs w:val="0"/>
          <w:caps w:val="0"/>
          <w:color w:val="auto"/>
          <w:spacing w:val="0"/>
          <w:sz w:val="24"/>
          <w:szCs w:val="24"/>
          <w:highlight w:val="none"/>
          <w:shd w:val="clear" w:color="auto" w:fill="FFFFFF"/>
        </w:rPr>
        <w:t>本项目不接受有在建、已中标未开工或已列为其他项目中标候选人第一名的建造师作为项目经理。</w:t>
      </w:r>
    </w:p>
    <w:p w14:paraId="55252A64">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 w:val="0"/>
          <w:bCs/>
          <w:i w:val="0"/>
          <w:iCs w:val="0"/>
          <w:caps w:val="0"/>
          <w:color w:val="auto"/>
          <w:spacing w:val="0"/>
          <w:sz w:val="24"/>
          <w:szCs w:val="24"/>
          <w:highlight w:val="none"/>
          <w:shd w:val="clear" w:color="auto" w:fill="FFFFFF"/>
        </w:rPr>
      </w:pPr>
      <w:r>
        <w:rPr>
          <w:rFonts w:hint="eastAsia" w:ascii="宋体" w:hAnsi="宋体" w:eastAsia="宋体" w:cs="宋体"/>
          <w:b w:val="0"/>
          <w:bCs/>
          <w:i w:val="0"/>
          <w:iCs w:val="0"/>
          <w:caps w:val="0"/>
          <w:color w:val="auto"/>
          <w:spacing w:val="0"/>
          <w:sz w:val="24"/>
          <w:szCs w:val="24"/>
          <w:highlight w:val="none"/>
          <w:shd w:val="clear" w:color="auto" w:fill="FFFFFF"/>
          <w:lang w:val="en-US" w:eastAsia="zh-CN"/>
        </w:rPr>
        <w:t>6.</w:t>
      </w:r>
      <w:r>
        <w:rPr>
          <w:rFonts w:hint="eastAsia" w:ascii="宋体" w:hAnsi="宋体" w:eastAsia="宋体" w:cs="宋体"/>
          <w:b w:val="0"/>
          <w:bCs/>
          <w:i w:val="0"/>
          <w:iCs w:val="0"/>
          <w:caps w:val="0"/>
          <w:color w:val="auto"/>
          <w:spacing w:val="0"/>
          <w:sz w:val="24"/>
          <w:szCs w:val="24"/>
          <w:highlight w:val="none"/>
          <w:shd w:val="clear" w:color="auto" w:fill="FFFFFF"/>
        </w:rPr>
        <w:t>本采购需求作为合同组成部分，与合同具有同等法律效力。</w:t>
      </w:r>
    </w:p>
    <w:p w14:paraId="624BB3BB">
      <w:pPr>
        <w:keepNext w:val="0"/>
        <w:keepLines w:val="0"/>
        <w:pageBreakBefore w:val="0"/>
        <w:widowControl/>
        <w:numPr>
          <w:ilvl w:val="0"/>
          <w:numId w:val="0"/>
        </w:numPr>
        <w:suppressLineNumbers w:val="0"/>
        <w:kinsoku/>
        <w:wordWrap/>
        <w:overflowPunct/>
        <w:topLinePunct w:val="0"/>
        <w:autoSpaceDE/>
        <w:autoSpaceDN/>
        <w:bidi w:val="0"/>
        <w:snapToGrid/>
        <w:spacing w:before="90" w:beforeAutospacing="0" w:after="100" w:afterAutospacing="1" w:line="360" w:lineRule="auto"/>
        <w:ind w:left="0" w:leftChars="0"/>
        <w:textAlignment w:val="auto"/>
        <w:rPr>
          <w:color w:val="auto"/>
          <w:sz w:val="24"/>
          <w:szCs w:val="24"/>
          <w:highlight w:val="none"/>
        </w:rPr>
      </w:pPr>
    </w:p>
    <w:p w14:paraId="6A37F902">
      <w:pPr>
        <w:pStyle w:val="39"/>
        <w:keepNext w:val="0"/>
        <w:keepLines w:val="0"/>
        <w:pageBreakBefore w:val="0"/>
        <w:kinsoku/>
        <w:wordWrap/>
        <w:overflowPunct/>
        <w:topLinePunct w:val="0"/>
        <w:autoSpaceDE/>
        <w:autoSpaceDN/>
        <w:bidi w:val="0"/>
        <w:snapToGrid/>
        <w:spacing w:line="360" w:lineRule="auto"/>
        <w:ind w:left="0" w:leftChars="0" w:firstLine="0" w:firstLineChars="0"/>
        <w:textAlignment w:val="auto"/>
        <w:rPr>
          <w:rStyle w:val="64"/>
          <w:rFonts w:hint="eastAsia" w:ascii="宋体" w:hAnsi="宋体" w:eastAsia="宋体" w:cs="宋体"/>
          <w:color w:val="auto"/>
          <w:sz w:val="24"/>
          <w:szCs w:val="24"/>
          <w:highlight w:val="none"/>
        </w:rPr>
      </w:pPr>
    </w:p>
    <w:p w14:paraId="6B823127">
      <w:pPr>
        <w:pStyle w:val="39"/>
        <w:keepNext w:val="0"/>
        <w:keepLines w:val="0"/>
        <w:pageBreakBefore w:val="0"/>
        <w:kinsoku/>
        <w:wordWrap/>
        <w:overflowPunct/>
        <w:topLinePunct w:val="0"/>
        <w:autoSpaceDE/>
        <w:autoSpaceDN/>
        <w:bidi w:val="0"/>
        <w:snapToGrid/>
        <w:spacing w:line="360" w:lineRule="auto"/>
        <w:ind w:left="0" w:leftChars="0" w:firstLine="0" w:firstLineChars="0"/>
        <w:textAlignment w:val="auto"/>
        <w:rPr>
          <w:rStyle w:val="64"/>
          <w:rFonts w:hint="eastAsia" w:ascii="宋体" w:hAnsi="宋体" w:eastAsia="宋体" w:cs="宋体"/>
          <w:color w:val="auto"/>
          <w:sz w:val="24"/>
          <w:szCs w:val="24"/>
          <w:highlight w:val="none"/>
        </w:rPr>
      </w:pPr>
    </w:p>
    <w:p w14:paraId="27A9F593">
      <w:pPr>
        <w:keepNext w:val="0"/>
        <w:keepLines w:val="0"/>
        <w:pageBreakBefore w:val="0"/>
        <w:kinsoku/>
        <w:wordWrap/>
        <w:overflowPunct/>
        <w:topLinePunct w:val="0"/>
        <w:autoSpaceDE/>
        <w:autoSpaceDN/>
        <w:bidi w:val="0"/>
        <w:snapToGrid/>
        <w:spacing w:line="360" w:lineRule="auto"/>
        <w:ind w:left="0"/>
        <w:textAlignment w:val="auto"/>
        <w:rPr>
          <w:color w:val="auto"/>
          <w:sz w:val="24"/>
          <w:szCs w:val="24"/>
          <w:highlight w:val="none"/>
        </w:rPr>
      </w:pPr>
    </w:p>
    <w:p w14:paraId="557C8C83">
      <w:pPr>
        <w:pStyle w:val="39"/>
        <w:pageBreakBefore w:val="0"/>
        <w:overflowPunct/>
        <w:topLinePunct w:val="0"/>
        <w:autoSpaceDE/>
        <w:autoSpaceDN/>
        <w:bidi w:val="0"/>
        <w:spacing w:line="360" w:lineRule="auto"/>
        <w:ind w:left="0" w:leftChars="0" w:firstLine="0" w:firstLineChars="0"/>
        <w:rPr>
          <w:rStyle w:val="64"/>
          <w:rFonts w:hint="eastAsia" w:ascii="宋体" w:hAnsi="宋体" w:eastAsia="宋体" w:cs="宋体"/>
          <w:color w:val="auto"/>
          <w:sz w:val="21"/>
          <w:szCs w:val="21"/>
          <w:highlight w:val="none"/>
        </w:rPr>
      </w:pPr>
    </w:p>
    <w:p w14:paraId="195A78F6">
      <w:pPr>
        <w:pageBreakBefore w:val="0"/>
        <w:overflowPunct/>
        <w:topLinePunct w:val="0"/>
        <w:bidi w:val="0"/>
        <w:spacing w:line="360" w:lineRule="auto"/>
        <w:rPr>
          <w:color w:val="auto"/>
          <w:sz w:val="24"/>
          <w:szCs w:val="24"/>
          <w:highlight w:val="none"/>
        </w:rPr>
      </w:pPr>
    </w:p>
    <w:p w14:paraId="084E49C6">
      <w:pPr>
        <w:pStyle w:val="15"/>
        <w:pageBreakBefore w:val="0"/>
        <w:overflowPunct/>
        <w:topLinePunct w:val="0"/>
        <w:bidi w:val="0"/>
        <w:spacing w:line="360" w:lineRule="auto"/>
        <w:jc w:val="center"/>
        <w:outlineLvl w:val="0"/>
        <w:rPr>
          <w:rStyle w:val="64"/>
          <w:rFonts w:hint="eastAsia" w:ascii="宋体" w:hAnsi="宋体" w:eastAsia="宋体" w:cs="宋体"/>
          <w:color w:val="auto"/>
          <w:highlight w:val="none"/>
        </w:rPr>
      </w:pPr>
    </w:p>
    <w:p w14:paraId="04547405">
      <w:pPr>
        <w:rPr>
          <w:rStyle w:val="64"/>
          <w:rFonts w:hint="eastAsia" w:ascii="宋体" w:hAnsi="宋体" w:eastAsia="宋体" w:cs="宋体"/>
          <w:color w:val="auto"/>
          <w:highlight w:val="none"/>
        </w:rPr>
      </w:pPr>
    </w:p>
    <w:p w14:paraId="546E8AA5">
      <w:pPr>
        <w:pStyle w:val="2"/>
        <w:rPr>
          <w:rStyle w:val="64"/>
          <w:rFonts w:hint="eastAsia" w:ascii="宋体" w:hAnsi="宋体" w:eastAsia="宋体" w:cs="宋体"/>
          <w:color w:val="auto"/>
          <w:highlight w:val="none"/>
        </w:rPr>
      </w:pPr>
    </w:p>
    <w:p w14:paraId="0ED12B31">
      <w:pPr>
        <w:rPr>
          <w:rStyle w:val="64"/>
          <w:rFonts w:hint="eastAsia" w:ascii="宋体" w:hAnsi="宋体" w:eastAsia="宋体" w:cs="宋体"/>
          <w:color w:val="auto"/>
          <w:highlight w:val="none"/>
        </w:rPr>
      </w:pPr>
    </w:p>
    <w:p w14:paraId="1B0860CB">
      <w:pPr>
        <w:pStyle w:val="2"/>
        <w:rPr>
          <w:rFonts w:hint="eastAsia"/>
          <w:color w:val="auto"/>
          <w:highlight w:val="none"/>
        </w:rPr>
      </w:pPr>
    </w:p>
    <w:bookmarkEnd w:id="96"/>
    <w:bookmarkEnd w:id="97"/>
    <w:bookmarkEnd w:id="98"/>
    <w:bookmarkEnd w:id="99"/>
    <w:bookmarkEnd w:id="100"/>
    <w:bookmarkEnd w:id="101"/>
    <w:bookmarkEnd w:id="102"/>
    <w:bookmarkEnd w:id="103"/>
    <w:bookmarkEnd w:id="104"/>
    <w:bookmarkEnd w:id="105"/>
    <w:bookmarkEnd w:id="106"/>
    <w:bookmarkEnd w:id="107"/>
    <w:p w14:paraId="018854F4">
      <w:pPr>
        <w:pStyle w:val="15"/>
        <w:pageBreakBefore w:val="0"/>
        <w:overflowPunct/>
        <w:topLinePunct w:val="0"/>
        <w:bidi w:val="0"/>
        <w:spacing w:line="360" w:lineRule="auto"/>
        <w:jc w:val="center"/>
        <w:outlineLvl w:val="0"/>
        <w:rPr>
          <w:rStyle w:val="64"/>
          <w:rFonts w:hint="eastAsia" w:ascii="宋体" w:hAnsi="宋体" w:eastAsia="宋体" w:cs="宋体"/>
          <w:color w:val="auto"/>
          <w:highlight w:val="none"/>
        </w:rPr>
      </w:pPr>
      <w:bookmarkStart w:id="110" w:name="_Toc1051"/>
      <w:bookmarkStart w:id="111" w:name="_Toc24776"/>
      <w:bookmarkStart w:id="112" w:name="_Toc1643"/>
      <w:bookmarkStart w:id="113" w:name="_Toc24209"/>
      <w:bookmarkStart w:id="114" w:name="_Toc430095344"/>
      <w:bookmarkStart w:id="115" w:name="_Toc440877586"/>
      <w:r>
        <w:rPr>
          <w:rStyle w:val="64"/>
          <w:rFonts w:hint="eastAsia" w:ascii="宋体" w:hAnsi="宋体" w:eastAsia="宋体" w:cs="宋体"/>
          <w:color w:val="auto"/>
          <w:highlight w:val="none"/>
        </w:rPr>
        <w:t>第</w:t>
      </w:r>
      <w:r>
        <w:rPr>
          <w:rStyle w:val="64"/>
          <w:rFonts w:hint="eastAsia" w:hAnsi="宋体" w:cs="宋体"/>
          <w:color w:val="auto"/>
          <w:highlight w:val="none"/>
          <w:lang w:val="en-US"/>
        </w:rPr>
        <w:t>四</w:t>
      </w:r>
      <w:r>
        <w:rPr>
          <w:rStyle w:val="64"/>
          <w:rFonts w:hint="eastAsia" w:ascii="宋体" w:hAnsi="宋体" w:eastAsia="宋体" w:cs="宋体"/>
          <w:color w:val="auto"/>
          <w:highlight w:val="none"/>
        </w:rPr>
        <w:t>章  合同条款及格式</w:t>
      </w:r>
      <w:bookmarkEnd w:id="110"/>
      <w:bookmarkEnd w:id="111"/>
    </w:p>
    <w:p w14:paraId="30B15282">
      <w:pPr>
        <w:pStyle w:val="21"/>
        <w:spacing w:line="360" w:lineRule="auto"/>
        <w:ind w:firstLine="0" w:firstLineChars="0"/>
        <w:rPr>
          <w:rFonts w:hint="eastAsia" w:cs="黑体"/>
          <w:color w:val="auto"/>
          <w:sz w:val="52"/>
          <w:szCs w:val="48"/>
          <w:highlight w:val="none"/>
        </w:rPr>
      </w:pPr>
      <w:bookmarkStart w:id="116" w:name="_Toc724920571"/>
      <w:bookmarkStart w:id="117" w:name="_Toc78449777"/>
      <w:bookmarkStart w:id="118" w:name="_Toc407135191"/>
      <w:bookmarkStart w:id="119" w:name="_Toc4704"/>
    </w:p>
    <w:p w14:paraId="0B29FA1D">
      <w:pPr>
        <w:spacing w:line="360" w:lineRule="auto"/>
        <w:outlineLvl w:val="9"/>
        <w:rPr>
          <w:rFonts w:hint="eastAsia" w:cs="黑体"/>
          <w:b/>
          <w:bCs/>
          <w:color w:val="auto"/>
          <w:sz w:val="40"/>
          <w:szCs w:val="48"/>
          <w:highlight w:val="none"/>
        </w:rPr>
      </w:pPr>
      <w:r>
        <w:rPr>
          <w:rFonts w:hint="eastAsia" w:cs="黑体"/>
          <w:b/>
          <w:bCs/>
          <w:color w:val="auto"/>
          <w:sz w:val="40"/>
          <w:szCs w:val="48"/>
          <w:highlight w:val="none"/>
        </w:rPr>
        <w:t>第一部分 合同协议书</w:t>
      </w:r>
      <w:bookmarkEnd w:id="116"/>
      <w:bookmarkEnd w:id="117"/>
      <w:bookmarkEnd w:id="118"/>
      <w:bookmarkEnd w:id="119"/>
    </w:p>
    <w:p w14:paraId="4942FF2D">
      <w:pPr>
        <w:spacing w:line="360" w:lineRule="auto"/>
        <w:rPr>
          <w:color w:val="auto"/>
          <w:highlight w:val="none"/>
          <w:u w:val="single"/>
        </w:rPr>
      </w:pPr>
      <w:r>
        <w:rPr>
          <w:rFonts w:hint="eastAsia" w:hAnsi="宋体" w:cs="宋体"/>
          <w:color w:val="auto"/>
          <w:highlight w:val="none"/>
        </w:rPr>
        <w:t>发包人（全称）：</w:t>
      </w:r>
      <w:r>
        <w:rPr>
          <w:rFonts w:hAnsi="宋体"/>
          <w:color w:val="auto"/>
          <w:highlight w:val="none"/>
          <w:u w:val="single"/>
        </w:rPr>
        <w:t xml:space="preserve">                              </w:t>
      </w:r>
    </w:p>
    <w:p w14:paraId="4E9193DB">
      <w:pPr>
        <w:spacing w:line="360" w:lineRule="auto"/>
        <w:rPr>
          <w:color w:val="auto"/>
          <w:highlight w:val="none"/>
          <w:u w:val="single"/>
        </w:rPr>
      </w:pPr>
      <w:r>
        <w:rPr>
          <w:rFonts w:hint="eastAsia" w:hAnsi="宋体" w:cs="宋体"/>
          <w:color w:val="auto"/>
          <w:highlight w:val="none"/>
        </w:rPr>
        <w:t>承包人（全称）：</w:t>
      </w:r>
      <w:r>
        <w:rPr>
          <w:rFonts w:hAnsi="宋体"/>
          <w:color w:val="auto"/>
          <w:highlight w:val="none"/>
          <w:u w:val="single"/>
        </w:rPr>
        <w:t xml:space="preserve">                              </w:t>
      </w:r>
    </w:p>
    <w:p w14:paraId="08311E59">
      <w:pPr>
        <w:spacing w:line="360" w:lineRule="auto"/>
        <w:ind w:firstLine="420" w:firstLineChars="200"/>
        <w:rPr>
          <w:rFonts w:hAnsi="宋体"/>
          <w:color w:val="auto"/>
          <w:highlight w:val="none"/>
        </w:rPr>
      </w:pPr>
      <w:r>
        <w:rPr>
          <w:rFonts w:hint="eastAsia" w:hAnsi="宋体" w:cs="宋体"/>
          <w:color w:val="auto"/>
          <w:highlight w:val="none"/>
        </w:rPr>
        <w:t>根据《中华人民共和国民法典</w:t>
      </w:r>
      <w:r>
        <w:rPr>
          <w:rFonts w:hint="eastAsia" w:hAnsi="宋体" w:cs="宋体"/>
          <w:color w:val="auto"/>
          <w:highlight w:val="none"/>
          <w:lang w:eastAsia="zh-CN"/>
        </w:rPr>
        <w:t>》《</w:t>
      </w:r>
      <w:r>
        <w:rPr>
          <w:rFonts w:hint="eastAsia" w:hAnsi="宋体" w:cs="宋体"/>
          <w:color w:val="auto"/>
          <w:highlight w:val="none"/>
        </w:rPr>
        <w:t>中华人民共和国建筑法》及有关法律规定，遵循平等、自愿、公平和诚实信用的原则，双方就</w:t>
      </w:r>
      <w:r>
        <w:rPr>
          <w:color w:val="auto"/>
          <w:highlight w:val="none"/>
          <w:u w:val="single"/>
        </w:rPr>
        <w:t xml:space="preserve">                       </w:t>
      </w:r>
      <w:r>
        <w:rPr>
          <w:rFonts w:hint="eastAsia" w:hAnsi="宋体" w:cs="宋体"/>
          <w:color w:val="auto"/>
          <w:highlight w:val="none"/>
        </w:rPr>
        <w:t>工程施工及有关事项协商一致，共同达成如下协议：</w:t>
      </w:r>
      <w:bookmarkStart w:id="120" w:name="_Toc351203481"/>
    </w:p>
    <w:p w14:paraId="29A0B84F">
      <w:pPr>
        <w:spacing w:line="360" w:lineRule="auto"/>
        <w:ind w:firstLine="422" w:firstLineChars="200"/>
        <w:outlineLvl w:val="9"/>
        <w:rPr>
          <w:b/>
          <w:bCs/>
          <w:color w:val="auto"/>
          <w:highlight w:val="none"/>
        </w:rPr>
      </w:pPr>
      <w:r>
        <w:rPr>
          <w:rFonts w:hint="eastAsia" w:hAnsi="宋体" w:cs="宋体"/>
          <w:b/>
          <w:bCs/>
          <w:color w:val="auto"/>
          <w:highlight w:val="none"/>
        </w:rPr>
        <w:t>一、工程概况</w:t>
      </w:r>
      <w:bookmarkEnd w:id="120"/>
    </w:p>
    <w:p w14:paraId="4E69AB01">
      <w:pPr>
        <w:spacing w:line="360" w:lineRule="auto"/>
        <w:ind w:firstLine="411" w:firstLineChars="196"/>
        <w:rPr>
          <w:color w:val="auto"/>
          <w:highlight w:val="none"/>
          <w:u w:val="single"/>
        </w:rPr>
      </w:pPr>
      <w:r>
        <w:rPr>
          <w:color w:val="auto"/>
          <w:highlight w:val="none"/>
        </w:rPr>
        <w:t xml:space="preserve">1. </w:t>
      </w:r>
      <w:r>
        <w:rPr>
          <w:rFonts w:hint="eastAsia" w:hAnsi="宋体" w:cs="宋体"/>
          <w:color w:val="auto"/>
          <w:highlight w:val="none"/>
        </w:rPr>
        <w:t>工程名称：</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highlight w:val="none"/>
        </w:rPr>
        <w:t>。</w:t>
      </w:r>
    </w:p>
    <w:p w14:paraId="5219456D">
      <w:pPr>
        <w:spacing w:line="360" w:lineRule="auto"/>
        <w:ind w:firstLine="411" w:firstLineChars="196"/>
        <w:rPr>
          <w:color w:val="auto"/>
          <w:highlight w:val="none"/>
        </w:rPr>
      </w:pPr>
      <w:r>
        <w:rPr>
          <w:color w:val="auto"/>
          <w:highlight w:val="none"/>
        </w:rPr>
        <w:t xml:space="preserve">2. </w:t>
      </w:r>
      <w:r>
        <w:rPr>
          <w:rFonts w:hint="eastAsia" w:hAnsi="宋体" w:cs="宋体"/>
          <w:color w:val="auto"/>
          <w:highlight w:val="none"/>
        </w:rPr>
        <w:t>工程地点：</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highlight w:val="none"/>
        </w:rPr>
        <w:t>。</w:t>
      </w:r>
    </w:p>
    <w:p w14:paraId="2AF12567">
      <w:pPr>
        <w:spacing w:line="360" w:lineRule="auto"/>
        <w:ind w:firstLine="411" w:firstLineChars="196"/>
        <w:rPr>
          <w:color w:val="auto"/>
          <w:highlight w:val="none"/>
        </w:rPr>
      </w:pPr>
      <w:r>
        <w:rPr>
          <w:color w:val="auto"/>
          <w:highlight w:val="none"/>
        </w:rPr>
        <w:t xml:space="preserve">3. </w:t>
      </w:r>
      <w:r>
        <w:rPr>
          <w:rFonts w:hint="eastAsia" w:hAnsi="宋体" w:cs="宋体"/>
          <w:color w:val="auto"/>
          <w:highlight w:val="none"/>
        </w:rPr>
        <w:t>工程立项批准文号：</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highlight w:val="none"/>
        </w:rPr>
        <w:t>。</w:t>
      </w:r>
    </w:p>
    <w:p w14:paraId="3BE10DA6">
      <w:pPr>
        <w:spacing w:line="360" w:lineRule="auto"/>
        <w:ind w:firstLine="411" w:firstLineChars="196"/>
        <w:rPr>
          <w:color w:val="auto"/>
          <w:highlight w:val="none"/>
        </w:rPr>
      </w:pPr>
      <w:r>
        <w:rPr>
          <w:color w:val="auto"/>
          <w:highlight w:val="none"/>
        </w:rPr>
        <w:t xml:space="preserve">4. </w:t>
      </w:r>
      <w:r>
        <w:rPr>
          <w:rFonts w:hint="eastAsia" w:hAnsi="宋体" w:cs="宋体"/>
          <w:color w:val="auto"/>
          <w:highlight w:val="none"/>
        </w:rPr>
        <w:t>资金来源：</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highlight w:val="none"/>
        </w:rPr>
        <w:t>。</w:t>
      </w:r>
    </w:p>
    <w:p w14:paraId="74B2050B">
      <w:pPr>
        <w:spacing w:line="360" w:lineRule="auto"/>
        <w:ind w:firstLine="411" w:firstLineChars="196"/>
        <w:rPr>
          <w:color w:val="auto"/>
          <w:highlight w:val="none"/>
        </w:rPr>
      </w:pPr>
      <w:r>
        <w:rPr>
          <w:color w:val="auto"/>
          <w:highlight w:val="none"/>
        </w:rPr>
        <w:t xml:space="preserve">5. </w:t>
      </w:r>
      <w:r>
        <w:rPr>
          <w:rFonts w:hint="eastAsia" w:hAnsi="宋体" w:cs="宋体"/>
          <w:color w:val="auto"/>
          <w:highlight w:val="none"/>
        </w:rPr>
        <w:t>工程内容：</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highlight w:val="none"/>
        </w:rPr>
        <w:t>。</w:t>
      </w:r>
    </w:p>
    <w:p w14:paraId="5042A35A">
      <w:pPr>
        <w:spacing w:line="360" w:lineRule="auto"/>
        <w:ind w:firstLine="411" w:firstLineChars="196"/>
        <w:rPr>
          <w:color w:val="auto"/>
          <w:highlight w:val="none"/>
        </w:rPr>
      </w:pPr>
      <w:r>
        <w:rPr>
          <w:rFonts w:hint="eastAsia" w:hAnsi="宋体" w:cs="宋体"/>
          <w:color w:val="auto"/>
          <w:highlight w:val="none"/>
        </w:rPr>
        <w:t>群体工程应附《承包人承揽工程项目一览表》（附件</w:t>
      </w:r>
      <w:r>
        <w:rPr>
          <w:color w:val="auto"/>
          <w:highlight w:val="none"/>
        </w:rPr>
        <w:t>1</w:t>
      </w:r>
      <w:r>
        <w:rPr>
          <w:rFonts w:hint="eastAsia" w:hAnsi="宋体" w:cs="宋体"/>
          <w:color w:val="auto"/>
          <w:highlight w:val="none"/>
        </w:rPr>
        <w:t>）。</w:t>
      </w:r>
    </w:p>
    <w:p w14:paraId="1F070A4C">
      <w:pPr>
        <w:spacing w:line="360" w:lineRule="auto"/>
        <w:ind w:firstLine="411" w:firstLineChars="196"/>
        <w:rPr>
          <w:color w:val="auto"/>
          <w:highlight w:val="none"/>
        </w:rPr>
      </w:pPr>
      <w:r>
        <w:rPr>
          <w:color w:val="auto"/>
          <w:highlight w:val="none"/>
        </w:rPr>
        <w:t xml:space="preserve">6. </w:t>
      </w:r>
      <w:r>
        <w:rPr>
          <w:rFonts w:hint="eastAsia" w:hAnsi="宋体" w:cs="宋体"/>
          <w:color w:val="auto"/>
          <w:highlight w:val="none"/>
        </w:rPr>
        <w:t>工程承包范围：</w:t>
      </w:r>
    </w:p>
    <w:p w14:paraId="2FDD6F33">
      <w:pPr>
        <w:spacing w:line="360" w:lineRule="auto"/>
        <w:ind w:firstLine="405" w:firstLineChars="193"/>
        <w:rPr>
          <w:rFonts w:hAnsi="宋体"/>
          <w:color w:val="auto"/>
          <w:highlight w:val="none"/>
        </w:rPr>
      </w:pP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highlight w:val="none"/>
        </w:rPr>
        <w:t>。</w:t>
      </w:r>
    </w:p>
    <w:p w14:paraId="645500DF">
      <w:pPr>
        <w:spacing w:line="360" w:lineRule="auto"/>
        <w:ind w:firstLine="407" w:firstLineChars="193"/>
        <w:outlineLvl w:val="9"/>
        <w:rPr>
          <w:b/>
          <w:bCs/>
          <w:color w:val="auto"/>
          <w:highlight w:val="none"/>
        </w:rPr>
      </w:pPr>
      <w:bookmarkStart w:id="121" w:name="_Toc351203482"/>
      <w:r>
        <w:rPr>
          <w:rFonts w:hint="eastAsia" w:hAnsi="宋体" w:cs="宋体"/>
          <w:b/>
          <w:bCs/>
          <w:color w:val="auto"/>
          <w:highlight w:val="none"/>
        </w:rPr>
        <w:t>二、合同工期</w:t>
      </w:r>
      <w:bookmarkEnd w:id="121"/>
    </w:p>
    <w:p w14:paraId="7A048B9F">
      <w:pPr>
        <w:spacing w:line="360" w:lineRule="auto"/>
        <w:ind w:firstLine="459"/>
        <w:rPr>
          <w:color w:val="auto"/>
          <w:highlight w:val="none"/>
        </w:rPr>
      </w:pPr>
      <w:r>
        <w:rPr>
          <w:rFonts w:hint="eastAsia" w:hAnsi="宋体" w:cs="宋体"/>
          <w:color w:val="auto"/>
          <w:highlight w:val="none"/>
        </w:rPr>
        <w:t>计划开工日期：</w:t>
      </w:r>
      <w:r>
        <w:rPr>
          <w:rFonts w:hint="eastAsia" w:hAnsi="宋体"/>
          <w:color w:val="auto"/>
          <w:highlight w:val="none"/>
          <w:u w:val="single"/>
          <w:lang w:eastAsia="zh-CN"/>
        </w:rPr>
        <w:t xml:space="preserve">          </w:t>
      </w:r>
      <w:r>
        <w:rPr>
          <w:rFonts w:hAnsi="宋体"/>
          <w:color w:val="auto"/>
          <w:highlight w:val="none"/>
        </w:rPr>
        <w:t>年</w:t>
      </w:r>
      <w:r>
        <w:rPr>
          <w:rFonts w:hint="eastAsia" w:hAnsi="宋体"/>
          <w:color w:val="auto"/>
          <w:highlight w:val="none"/>
          <w:u w:val="single"/>
          <w:lang w:eastAsia="zh-CN"/>
        </w:rPr>
        <w:t xml:space="preserve">      </w:t>
      </w:r>
      <w:r>
        <w:rPr>
          <w:rFonts w:hAnsi="宋体"/>
          <w:color w:val="auto"/>
          <w:highlight w:val="none"/>
        </w:rPr>
        <w:t>月</w:t>
      </w:r>
      <w:r>
        <w:rPr>
          <w:rFonts w:hint="eastAsia" w:hAnsi="宋体"/>
          <w:color w:val="auto"/>
          <w:highlight w:val="none"/>
          <w:u w:val="single"/>
          <w:lang w:eastAsia="zh-CN"/>
        </w:rPr>
        <w:t xml:space="preserve">      </w:t>
      </w:r>
      <w:r>
        <w:rPr>
          <w:rFonts w:hAnsi="宋体"/>
          <w:color w:val="auto"/>
          <w:highlight w:val="none"/>
        </w:rPr>
        <w:t>日。</w:t>
      </w:r>
      <w:r>
        <w:rPr>
          <w:rFonts w:hint="eastAsia" w:hAnsi="宋体" w:cs="宋体"/>
          <w:color w:val="auto"/>
          <w:highlight w:val="none"/>
        </w:rPr>
        <w:t>（具体以发包人书面通知为准）</w:t>
      </w:r>
    </w:p>
    <w:p w14:paraId="07ED13D3">
      <w:pPr>
        <w:spacing w:line="360" w:lineRule="auto"/>
        <w:ind w:firstLine="459"/>
        <w:rPr>
          <w:color w:val="auto"/>
          <w:highlight w:val="none"/>
        </w:rPr>
      </w:pPr>
      <w:r>
        <w:rPr>
          <w:rFonts w:hint="eastAsia" w:hAnsi="宋体" w:cs="宋体"/>
          <w:color w:val="auto"/>
          <w:highlight w:val="none"/>
        </w:rPr>
        <w:t>计划竣工日期：</w:t>
      </w:r>
      <w:r>
        <w:rPr>
          <w:rFonts w:hint="eastAsia" w:hAnsi="宋体"/>
          <w:color w:val="auto"/>
          <w:highlight w:val="none"/>
          <w:u w:val="single"/>
          <w:lang w:eastAsia="zh-CN"/>
        </w:rPr>
        <w:t xml:space="preserve">          </w:t>
      </w:r>
      <w:r>
        <w:rPr>
          <w:rFonts w:hAnsi="宋体"/>
          <w:color w:val="auto"/>
          <w:highlight w:val="none"/>
        </w:rPr>
        <w:t>年</w:t>
      </w:r>
      <w:r>
        <w:rPr>
          <w:rFonts w:hint="eastAsia" w:hAnsi="宋体"/>
          <w:color w:val="auto"/>
          <w:highlight w:val="none"/>
          <w:u w:val="single"/>
          <w:lang w:eastAsia="zh-CN"/>
        </w:rPr>
        <w:t xml:space="preserve">      </w:t>
      </w:r>
      <w:r>
        <w:rPr>
          <w:rFonts w:hAnsi="宋体"/>
          <w:color w:val="auto"/>
          <w:highlight w:val="none"/>
        </w:rPr>
        <w:t>月</w:t>
      </w:r>
      <w:r>
        <w:rPr>
          <w:rFonts w:hint="eastAsia" w:hAnsi="宋体"/>
          <w:color w:val="auto"/>
          <w:highlight w:val="none"/>
          <w:u w:val="single"/>
          <w:lang w:eastAsia="zh-CN"/>
        </w:rPr>
        <w:t xml:space="preserve">      </w:t>
      </w:r>
      <w:r>
        <w:rPr>
          <w:rFonts w:hAnsi="宋体"/>
          <w:color w:val="auto"/>
          <w:highlight w:val="none"/>
        </w:rPr>
        <w:t>日</w:t>
      </w:r>
      <w:r>
        <w:rPr>
          <w:rFonts w:hint="eastAsia" w:hAnsi="宋体" w:cs="宋体"/>
          <w:color w:val="auto"/>
          <w:highlight w:val="none"/>
        </w:rPr>
        <w:t>。</w:t>
      </w:r>
    </w:p>
    <w:p w14:paraId="7672C675">
      <w:pPr>
        <w:spacing w:line="360" w:lineRule="auto"/>
        <w:ind w:firstLine="459"/>
        <w:rPr>
          <w:rFonts w:hAnsi="宋体"/>
          <w:color w:val="auto"/>
          <w:highlight w:val="none"/>
        </w:rPr>
      </w:pPr>
      <w:r>
        <w:rPr>
          <w:rFonts w:hint="eastAsia" w:hAnsi="宋体" w:cs="宋体"/>
          <w:color w:val="auto"/>
          <w:highlight w:val="none"/>
        </w:rPr>
        <w:t>工期总日历天数：</w:t>
      </w:r>
      <w:r>
        <w:rPr>
          <w:rFonts w:hint="eastAsia" w:hAnsi="宋体" w:cs="宋体"/>
          <w:color w:val="auto"/>
          <w:highlight w:val="none"/>
          <w:u w:val="single"/>
        </w:rPr>
        <w:t xml:space="preserve">         </w:t>
      </w:r>
      <w:r>
        <w:rPr>
          <w:rFonts w:hint="eastAsia" w:hAnsi="宋体" w:cs="宋体"/>
          <w:color w:val="auto"/>
          <w:highlight w:val="none"/>
        </w:rPr>
        <w:t>天。工期总日历天数与根据前述计划开竣工日期计算的工期天数不一致的，以工期总日历天数为准。</w:t>
      </w:r>
    </w:p>
    <w:p w14:paraId="18D37E31">
      <w:pPr>
        <w:spacing w:line="360" w:lineRule="auto"/>
        <w:ind w:firstLine="459"/>
        <w:outlineLvl w:val="9"/>
        <w:rPr>
          <w:b/>
          <w:bCs/>
          <w:color w:val="auto"/>
          <w:highlight w:val="none"/>
        </w:rPr>
      </w:pPr>
      <w:bookmarkStart w:id="122" w:name="_Toc351203483"/>
      <w:r>
        <w:rPr>
          <w:rFonts w:hint="eastAsia" w:hAnsi="宋体" w:cs="宋体"/>
          <w:b/>
          <w:bCs/>
          <w:color w:val="auto"/>
          <w:highlight w:val="none"/>
        </w:rPr>
        <w:t>三、质量标准</w:t>
      </w:r>
      <w:bookmarkEnd w:id="122"/>
    </w:p>
    <w:p w14:paraId="5CE568CC">
      <w:pPr>
        <w:spacing w:line="360" w:lineRule="auto"/>
        <w:ind w:firstLine="459"/>
        <w:rPr>
          <w:rFonts w:hAnsi="宋体"/>
          <w:color w:val="auto"/>
          <w:highlight w:val="none"/>
        </w:rPr>
      </w:pPr>
      <w:r>
        <w:rPr>
          <w:rFonts w:hint="eastAsia" w:hAnsi="宋体" w:cs="宋体"/>
          <w:color w:val="auto"/>
          <w:highlight w:val="none"/>
        </w:rPr>
        <w:t>工程质量符合</w:t>
      </w:r>
      <w:r>
        <w:rPr>
          <w:rFonts w:hint="eastAsia" w:eastAsia="仿宋_GB2312"/>
          <w:color w:val="auto"/>
          <w:highlight w:val="none"/>
          <w:u w:val="single"/>
          <w:lang w:eastAsia="zh-CN"/>
        </w:rPr>
        <w:t xml:space="preserve">                    </w:t>
      </w:r>
      <w:r>
        <w:rPr>
          <w:rFonts w:hint="eastAsia" w:eastAsia="仿宋_GB2312"/>
          <w:color w:val="auto"/>
          <w:highlight w:val="none"/>
          <w:u w:val="single"/>
        </w:rPr>
        <w:t xml:space="preserve">           </w:t>
      </w:r>
      <w:r>
        <w:rPr>
          <w:rFonts w:hint="eastAsia" w:eastAsia="仿宋_GB2312"/>
          <w:color w:val="auto"/>
          <w:highlight w:val="none"/>
          <w:u w:val="single"/>
          <w:lang w:eastAsia="zh-CN"/>
        </w:rPr>
        <w:t xml:space="preserve">          </w:t>
      </w:r>
      <w:r>
        <w:rPr>
          <w:rFonts w:hint="eastAsia" w:hAnsi="宋体" w:cs="宋体"/>
          <w:color w:val="auto"/>
          <w:highlight w:val="none"/>
        </w:rPr>
        <w:t>标准。</w:t>
      </w:r>
    </w:p>
    <w:p w14:paraId="1D6E5664">
      <w:pPr>
        <w:spacing w:line="360" w:lineRule="auto"/>
        <w:ind w:firstLine="459"/>
        <w:outlineLvl w:val="9"/>
        <w:rPr>
          <w:rFonts w:hAnsi="宋体"/>
          <w:b/>
          <w:bCs/>
          <w:color w:val="auto"/>
          <w:highlight w:val="none"/>
        </w:rPr>
      </w:pPr>
      <w:bookmarkStart w:id="123" w:name="_Toc351203484"/>
      <w:r>
        <w:rPr>
          <w:rFonts w:hint="eastAsia" w:hAnsi="宋体" w:cs="宋体"/>
          <w:b/>
          <w:bCs/>
          <w:color w:val="auto"/>
          <w:highlight w:val="none"/>
        </w:rPr>
        <w:t>四、签约合同价与合同价格形式</w:t>
      </w:r>
      <w:bookmarkEnd w:id="123"/>
    </w:p>
    <w:p w14:paraId="08811BCD">
      <w:pPr>
        <w:spacing w:line="360" w:lineRule="auto"/>
        <w:ind w:firstLine="459"/>
        <w:rPr>
          <w:color w:val="auto"/>
          <w:highlight w:val="none"/>
        </w:rPr>
      </w:pPr>
      <w:r>
        <w:rPr>
          <w:color w:val="auto"/>
          <w:highlight w:val="none"/>
        </w:rPr>
        <w:t xml:space="preserve">1. </w:t>
      </w:r>
      <w:r>
        <w:rPr>
          <w:rFonts w:hint="eastAsia" w:hAnsi="宋体" w:cs="宋体"/>
          <w:color w:val="auto"/>
          <w:highlight w:val="none"/>
        </w:rPr>
        <w:t>签约合同价</w:t>
      </w:r>
      <w:r>
        <w:rPr>
          <w:rFonts w:hint="eastAsia" w:hAnsi="宋体" w:cs="宋体"/>
          <w:color w:val="auto"/>
          <w:highlight w:val="none"/>
          <w:lang w:eastAsia="zh-CN"/>
        </w:rPr>
        <w:t>（</w:t>
      </w:r>
      <w:r>
        <w:rPr>
          <w:rFonts w:hint="eastAsia" w:hAnsi="宋体" w:cs="宋体"/>
          <w:color w:val="auto"/>
          <w:highlight w:val="none"/>
          <w:lang w:val="en-US" w:eastAsia="zh-CN"/>
        </w:rPr>
        <w:t>含税）</w:t>
      </w:r>
      <w:r>
        <w:rPr>
          <w:rFonts w:hint="eastAsia" w:hAnsi="宋体" w:cs="宋体"/>
          <w:color w:val="auto"/>
          <w:highlight w:val="none"/>
        </w:rPr>
        <w:t>为：</w:t>
      </w:r>
    </w:p>
    <w:p w14:paraId="05606BD6">
      <w:pPr>
        <w:spacing w:line="360" w:lineRule="auto"/>
        <w:ind w:firstLine="525" w:firstLineChars="250"/>
        <w:rPr>
          <w:rFonts w:hAnsi="宋体"/>
          <w:color w:val="auto"/>
          <w:highlight w:val="none"/>
        </w:rPr>
      </w:pPr>
      <w:r>
        <w:rPr>
          <w:rFonts w:hint="eastAsia" w:hAnsi="宋体" w:cs="宋体"/>
          <w:color w:val="auto"/>
          <w:highlight w:val="none"/>
          <w:lang w:val="en-US" w:eastAsia="zh-CN"/>
        </w:rPr>
        <w:t>（1）</w:t>
      </w:r>
      <w:r>
        <w:rPr>
          <w:rFonts w:hint="eastAsia" w:hAnsi="宋体" w:cs="宋体"/>
          <w:color w:val="auto"/>
          <w:highlight w:val="none"/>
        </w:rPr>
        <w:t>建筑安装工程费（含税）：人民币（大写）</w:t>
      </w:r>
      <w:r>
        <w:rPr>
          <w:color w:val="auto"/>
          <w:highlight w:val="none"/>
          <w:u w:val="single"/>
        </w:rPr>
        <w:t xml:space="preserve">                 </w:t>
      </w:r>
      <w:r>
        <w:rPr>
          <w:rFonts w:hint="eastAsia" w:cs="宋体"/>
          <w:color w:val="auto"/>
          <w:highlight w:val="none"/>
        </w:rPr>
        <w:t>（</w:t>
      </w:r>
      <w:r>
        <w:rPr>
          <w:color w:val="auto"/>
          <w:highlight w:val="none"/>
        </w:rPr>
        <w:t>¥</w:t>
      </w:r>
      <w:r>
        <w:rPr>
          <w:color w:val="auto"/>
          <w:highlight w:val="none"/>
          <w:u w:val="single"/>
        </w:rPr>
        <w:t xml:space="preserve">            </w:t>
      </w:r>
      <w:r>
        <w:rPr>
          <w:rFonts w:hint="eastAsia" w:hAnsi="宋体" w:cs="宋体"/>
          <w:color w:val="auto"/>
          <w:highlight w:val="none"/>
        </w:rPr>
        <w:t>元</w:t>
      </w:r>
      <w:r>
        <w:rPr>
          <w:rFonts w:hint="eastAsia" w:cs="宋体"/>
          <w:color w:val="auto"/>
          <w:highlight w:val="none"/>
        </w:rPr>
        <w:t>）</w:t>
      </w:r>
      <w:r>
        <w:rPr>
          <w:rFonts w:hint="eastAsia" w:hAnsi="宋体" w:cs="宋体"/>
          <w:color w:val="auto"/>
          <w:highlight w:val="none"/>
        </w:rPr>
        <w:t>；增值税税率</w:t>
      </w:r>
      <w:r>
        <w:rPr>
          <w:rFonts w:hint="eastAsia" w:hAnsi="宋体" w:cs="宋体"/>
          <w:color w:val="auto"/>
          <w:highlight w:val="none"/>
          <w:u w:val="single"/>
        </w:rPr>
        <w:t xml:space="preserve">    </w:t>
      </w:r>
      <w:r>
        <w:rPr>
          <w:rFonts w:hint="eastAsia" w:hAnsi="宋体" w:cs="宋体"/>
          <w:color w:val="auto"/>
          <w:highlight w:val="none"/>
        </w:rPr>
        <w:t>%。</w:t>
      </w:r>
    </w:p>
    <w:p w14:paraId="1637F129">
      <w:pPr>
        <w:spacing w:line="360" w:lineRule="auto"/>
        <w:ind w:firstLine="525" w:firstLineChars="250"/>
        <w:rPr>
          <w:rFonts w:hAnsi="宋体"/>
          <w:color w:val="auto"/>
          <w:highlight w:val="none"/>
        </w:rPr>
      </w:pPr>
      <w:r>
        <w:rPr>
          <w:rFonts w:hint="eastAsia" w:hAnsi="宋体" w:cs="宋体"/>
          <w:color w:val="auto"/>
          <w:highlight w:val="none"/>
        </w:rPr>
        <w:t>其中：</w:t>
      </w:r>
    </w:p>
    <w:p w14:paraId="1E786CA3">
      <w:pPr>
        <w:spacing w:line="360" w:lineRule="auto"/>
        <w:ind w:firstLine="420" w:firstLineChars="200"/>
        <w:rPr>
          <w:color w:val="auto"/>
          <w:highlight w:val="none"/>
        </w:rPr>
      </w:pPr>
      <w:r>
        <w:rPr>
          <w:rFonts w:hint="default" w:ascii="Calibri" w:hAnsi="Calibri" w:cs="Calibri"/>
          <w:color w:val="auto"/>
          <w:highlight w:val="none"/>
        </w:rPr>
        <w:t>①</w:t>
      </w:r>
      <w:r>
        <w:rPr>
          <w:rFonts w:hint="eastAsia" w:hAnsi="宋体" w:cs="宋体"/>
          <w:color w:val="auto"/>
          <w:highlight w:val="none"/>
        </w:rPr>
        <w:t>安全</w:t>
      </w:r>
      <w:r>
        <w:rPr>
          <w:rFonts w:hint="eastAsia" w:hAnsi="宋体" w:cs="宋体"/>
          <w:color w:val="auto"/>
          <w:highlight w:val="none"/>
          <w:lang w:val="en-US" w:eastAsia="zh-CN"/>
        </w:rPr>
        <w:t>生产</w:t>
      </w:r>
      <w:r>
        <w:rPr>
          <w:rFonts w:hint="eastAsia" w:hAnsi="宋体" w:cs="宋体"/>
          <w:color w:val="auto"/>
          <w:highlight w:val="none"/>
        </w:rPr>
        <w:t>费</w:t>
      </w:r>
      <w:r>
        <w:rPr>
          <w:rFonts w:hint="eastAsia" w:hAnsi="宋体" w:cs="宋体"/>
          <w:color w:val="auto"/>
          <w:highlight w:val="none"/>
          <w:lang w:eastAsia="zh-CN"/>
        </w:rPr>
        <w:t>（含税）</w:t>
      </w:r>
      <w:r>
        <w:rPr>
          <w:rFonts w:hint="eastAsia" w:hAnsi="宋体" w:cs="宋体"/>
          <w:color w:val="auto"/>
          <w:highlight w:val="none"/>
        </w:rPr>
        <w:t>：</w:t>
      </w:r>
    </w:p>
    <w:p w14:paraId="333C56FD">
      <w:pPr>
        <w:spacing w:line="360" w:lineRule="auto"/>
        <w:ind w:left="420" w:leftChars="200" w:firstLine="525" w:firstLineChars="250"/>
        <w:rPr>
          <w:rFonts w:hAnsi="宋体"/>
          <w:color w:val="auto"/>
          <w:highlight w:val="none"/>
        </w:rPr>
      </w:pPr>
      <w:r>
        <w:rPr>
          <w:rFonts w:hint="eastAsia" w:hAnsi="宋体" w:cs="宋体"/>
          <w:color w:val="auto"/>
          <w:highlight w:val="none"/>
        </w:rPr>
        <w:t>人民币（大写）</w:t>
      </w:r>
      <w:r>
        <w:rPr>
          <w:color w:val="auto"/>
          <w:highlight w:val="none"/>
          <w:u w:val="single"/>
        </w:rPr>
        <w:t xml:space="preserve">              </w:t>
      </w:r>
      <w:r>
        <w:rPr>
          <w:color w:val="auto"/>
          <w:highlight w:val="none"/>
        </w:rPr>
        <w:t xml:space="preserve"> </w:t>
      </w:r>
      <w:r>
        <w:rPr>
          <w:rFonts w:hint="eastAsia" w:cs="宋体"/>
          <w:color w:val="auto"/>
          <w:highlight w:val="none"/>
        </w:rPr>
        <w:t>（</w:t>
      </w:r>
      <w:r>
        <w:rPr>
          <w:color w:val="auto"/>
          <w:highlight w:val="none"/>
        </w:rPr>
        <w:t>¥</w:t>
      </w:r>
      <w:r>
        <w:rPr>
          <w:color w:val="auto"/>
          <w:highlight w:val="none"/>
          <w:u w:val="single"/>
        </w:rPr>
        <w:t xml:space="preserve">          </w:t>
      </w:r>
      <w:r>
        <w:rPr>
          <w:rFonts w:hint="eastAsia" w:hAnsi="宋体" w:cs="宋体"/>
          <w:color w:val="auto"/>
          <w:highlight w:val="none"/>
        </w:rPr>
        <w:t>元</w:t>
      </w:r>
      <w:r>
        <w:rPr>
          <w:rFonts w:hint="eastAsia" w:cs="宋体"/>
          <w:color w:val="auto"/>
          <w:highlight w:val="none"/>
        </w:rPr>
        <w:t>）</w:t>
      </w:r>
      <w:r>
        <w:rPr>
          <w:rFonts w:hint="eastAsia" w:hAnsi="宋体" w:cs="宋体"/>
          <w:color w:val="auto"/>
          <w:highlight w:val="none"/>
        </w:rPr>
        <w:t>；</w:t>
      </w:r>
    </w:p>
    <w:p w14:paraId="2D0F53F5">
      <w:pPr>
        <w:spacing w:line="360" w:lineRule="auto"/>
        <w:ind w:firstLine="420" w:firstLineChars="200"/>
        <w:rPr>
          <w:color w:val="auto"/>
          <w:highlight w:val="none"/>
        </w:rPr>
      </w:pPr>
      <w:r>
        <w:rPr>
          <w:rFonts w:hint="default" w:ascii="Calibri" w:hAnsi="Calibri" w:cs="Calibri"/>
          <w:color w:val="auto"/>
          <w:highlight w:val="none"/>
        </w:rPr>
        <w:t>②</w:t>
      </w:r>
      <w:r>
        <w:rPr>
          <w:rFonts w:hint="eastAsia" w:hAnsi="宋体" w:cs="宋体"/>
          <w:color w:val="auto"/>
          <w:highlight w:val="none"/>
        </w:rPr>
        <w:t>材料暂估价金额</w:t>
      </w:r>
      <w:r>
        <w:rPr>
          <w:rFonts w:hint="eastAsia" w:hAnsi="宋体" w:cs="宋体"/>
          <w:color w:val="auto"/>
          <w:highlight w:val="none"/>
          <w:lang w:eastAsia="zh-CN"/>
        </w:rPr>
        <w:t>（含税）</w:t>
      </w:r>
      <w:r>
        <w:rPr>
          <w:rFonts w:hint="eastAsia" w:hAnsi="宋体" w:cs="宋体"/>
          <w:color w:val="auto"/>
          <w:highlight w:val="none"/>
        </w:rPr>
        <w:t>：</w:t>
      </w:r>
    </w:p>
    <w:p w14:paraId="40E351BC">
      <w:pPr>
        <w:spacing w:line="360" w:lineRule="auto"/>
        <w:ind w:firstLine="945" w:firstLineChars="450"/>
        <w:rPr>
          <w:color w:val="auto"/>
          <w:highlight w:val="none"/>
        </w:rPr>
      </w:pPr>
      <w:r>
        <w:rPr>
          <w:rFonts w:hint="eastAsia" w:hAnsi="宋体" w:cs="宋体"/>
          <w:color w:val="auto"/>
          <w:highlight w:val="none"/>
        </w:rPr>
        <w:t>人民币（大写）</w:t>
      </w:r>
      <w:r>
        <w:rPr>
          <w:color w:val="auto"/>
          <w:highlight w:val="none"/>
          <w:u w:val="single"/>
        </w:rPr>
        <w:t xml:space="preserve">              </w:t>
      </w:r>
      <w:r>
        <w:rPr>
          <w:color w:val="auto"/>
          <w:highlight w:val="none"/>
        </w:rPr>
        <w:t xml:space="preserve"> </w:t>
      </w:r>
      <w:r>
        <w:rPr>
          <w:rFonts w:hint="eastAsia" w:cs="宋体"/>
          <w:color w:val="auto"/>
          <w:highlight w:val="none"/>
        </w:rPr>
        <w:t>（</w:t>
      </w:r>
      <w:r>
        <w:rPr>
          <w:color w:val="auto"/>
          <w:highlight w:val="none"/>
        </w:rPr>
        <w:t>¥</w:t>
      </w:r>
      <w:r>
        <w:rPr>
          <w:color w:val="auto"/>
          <w:highlight w:val="none"/>
          <w:u w:val="single"/>
        </w:rPr>
        <w:t xml:space="preserve">          </w:t>
      </w:r>
      <w:r>
        <w:rPr>
          <w:rFonts w:hint="eastAsia" w:hAnsi="宋体" w:cs="宋体"/>
          <w:color w:val="auto"/>
          <w:highlight w:val="none"/>
        </w:rPr>
        <w:t>元</w:t>
      </w:r>
      <w:r>
        <w:rPr>
          <w:rFonts w:hint="eastAsia" w:cs="宋体"/>
          <w:color w:val="auto"/>
          <w:highlight w:val="none"/>
        </w:rPr>
        <w:t>）</w:t>
      </w:r>
      <w:r>
        <w:rPr>
          <w:rFonts w:hint="eastAsia" w:hAnsi="宋体" w:cs="宋体"/>
          <w:color w:val="auto"/>
          <w:highlight w:val="none"/>
        </w:rPr>
        <w:t>；</w:t>
      </w:r>
    </w:p>
    <w:p w14:paraId="70AEFD89">
      <w:pPr>
        <w:spacing w:line="360" w:lineRule="auto"/>
        <w:ind w:firstLine="420" w:firstLineChars="200"/>
        <w:rPr>
          <w:color w:val="auto"/>
          <w:highlight w:val="none"/>
        </w:rPr>
      </w:pPr>
      <w:r>
        <w:rPr>
          <w:rFonts w:hint="default" w:ascii="Calibri" w:hAnsi="Calibri" w:cs="Calibri"/>
          <w:color w:val="auto"/>
          <w:highlight w:val="none"/>
        </w:rPr>
        <w:t>③</w:t>
      </w:r>
      <w:r>
        <w:rPr>
          <w:rFonts w:hint="eastAsia" w:hAnsi="宋体" w:cs="宋体"/>
          <w:color w:val="auto"/>
          <w:highlight w:val="none"/>
        </w:rPr>
        <w:t>专业工程暂估价金额</w:t>
      </w:r>
      <w:r>
        <w:rPr>
          <w:rFonts w:hint="eastAsia" w:hAnsi="宋体" w:cs="宋体"/>
          <w:color w:val="auto"/>
          <w:highlight w:val="none"/>
          <w:lang w:eastAsia="zh-CN"/>
        </w:rPr>
        <w:t>（含税）</w:t>
      </w:r>
      <w:r>
        <w:rPr>
          <w:rFonts w:hint="eastAsia" w:hAnsi="宋体" w:cs="宋体"/>
          <w:color w:val="auto"/>
          <w:highlight w:val="none"/>
        </w:rPr>
        <w:t>：</w:t>
      </w:r>
    </w:p>
    <w:p w14:paraId="1011F7F4">
      <w:pPr>
        <w:spacing w:line="360" w:lineRule="auto"/>
        <w:ind w:firstLine="945" w:firstLineChars="450"/>
        <w:rPr>
          <w:color w:val="auto"/>
          <w:highlight w:val="none"/>
        </w:rPr>
      </w:pPr>
      <w:r>
        <w:rPr>
          <w:rFonts w:hint="eastAsia" w:hAnsi="宋体" w:cs="宋体"/>
          <w:color w:val="auto"/>
          <w:highlight w:val="none"/>
        </w:rPr>
        <w:t>人民币（大写）</w:t>
      </w:r>
      <w:r>
        <w:rPr>
          <w:color w:val="auto"/>
          <w:highlight w:val="none"/>
          <w:u w:val="single"/>
        </w:rPr>
        <w:t xml:space="preserve">              </w:t>
      </w:r>
      <w:r>
        <w:rPr>
          <w:color w:val="auto"/>
          <w:highlight w:val="none"/>
        </w:rPr>
        <w:t xml:space="preserve"> </w:t>
      </w:r>
      <w:r>
        <w:rPr>
          <w:rFonts w:hint="eastAsia" w:cs="宋体"/>
          <w:color w:val="auto"/>
          <w:highlight w:val="none"/>
        </w:rPr>
        <w:t>（</w:t>
      </w:r>
      <w:r>
        <w:rPr>
          <w:color w:val="auto"/>
          <w:highlight w:val="none"/>
        </w:rPr>
        <w:t>¥</w:t>
      </w:r>
      <w:r>
        <w:rPr>
          <w:color w:val="auto"/>
          <w:highlight w:val="none"/>
          <w:u w:val="single"/>
        </w:rPr>
        <w:t xml:space="preserve">          </w:t>
      </w:r>
      <w:r>
        <w:rPr>
          <w:rFonts w:hint="eastAsia" w:hAnsi="宋体" w:cs="宋体"/>
          <w:color w:val="auto"/>
          <w:highlight w:val="none"/>
        </w:rPr>
        <w:t>元</w:t>
      </w:r>
      <w:r>
        <w:rPr>
          <w:rFonts w:hint="eastAsia" w:cs="宋体"/>
          <w:color w:val="auto"/>
          <w:highlight w:val="none"/>
        </w:rPr>
        <w:t>）</w:t>
      </w:r>
      <w:r>
        <w:rPr>
          <w:rFonts w:hint="eastAsia" w:hAnsi="宋体" w:cs="宋体"/>
          <w:color w:val="auto"/>
          <w:highlight w:val="none"/>
        </w:rPr>
        <w:t>；</w:t>
      </w:r>
    </w:p>
    <w:p w14:paraId="033A9A0A">
      <w:pPr>
        <w:spacing w:line="360" w:lineRule="auto"/>
        <w:ind w:firstLine="420" w:firstLineChars="200"/>
        <w:rPr>
          <w:color w:val="auto"/>
          <w:highlight w:val="none"/>
        </w:rPr>
      </w:pPr>
      <w:r>
        <w:rPr>
          <w:rFonts w:hint="default" w:ascii="Calibri" w:hAnsi="Calibri" w:eastAsia="宋体" w:cs="Calibri"/>
          <w:color w:val="auto"/>
          <w:highlight w:val="none"/>
        </w:rPr>
        <w:t>④</w:t>
      </w:r>
      <w:r>
        <w:rPr>
          <w:rFonts w:hint="eastAsia" w:hAnsi="宋体" w:cs="宋体"/>
          <w:color w:val="auto"/>
          <w:highlight w:val="none"/>
        </w:rPr>
        <w:t>暂列金额</w:t>
      </w:r>
      <w:r>
        <w:rPr>
          <w:rFonts w:hint="eastAsia" w:hAnsi="宋体" w:cs="宋体"/>
          <w:color w:val="auto"/>
          <w:highlight w:val="none"/>
          <w:lang w:eastAsia="zh-CN"/>
        </w:rPr>
        <w:t>（含税）</w:t>
      </w:r>
      <w:r>
        <w:rPr>
          <w:rFonts w:hint="eastAsia" w:hAnsi="宋体" w:cs="宋体"/>
          <w:color w:val="auto"/>
          <w:highlight w:val="none"/>
        </w:rPr>
        <w:t>：</w:t>
      </w:r>
    </w:p>
    <w:p w14:paraId="003E1694">
      <w:pPr>
        <w:spacing w:line="360" w:lineRule="auto"/>
        <w:ind w:firstLine="945" w:firstLineChars="450"/>
        <w:rPr>
          <w:rFonts w:hint="eastAsia" w:hAnsi="宋体" w:eastAsia="宋体" w:cs="宋体"/>
          <w:color w:val="auto"/>
          <w:highlight w:val="none"/>
          <w:lang w:eastAsia="zh-CN"/>
        </w:rPr>
      </w:pPr>
      <w:r>
        <w:rPr>
          <w:rFonts w:hint="eastAsia" w:hAnsi="宋体" w:cs="宋体"/>
          <w:color w:val="auto"/>
          <w:highlight w:val="none"/>
        </w:rPr>
        <w:t>人民币（大写）</w:t>
      </w:r>
      <w:r>
        <w:rPr>
          <w:color w:val="auto"/>
          <w:highlight w:val="none"/>
          <w:u w:val="single"/>
        </w:rPr>
        <w:t xml:space="preserve">              </w:t>
      </w:r>
      <w:r>
        <w:rPr>
          <w:color w:val="auto"/>
          <w:highlight w:val="none"/>
        </w:rPr>
        <w:t xml:space="preserve"> </w:t>
      </w:r>
      <w:r>
        <w:rPr>
          <w:rFonts w:hint="eastAsia" w:cs="宋体"/>
          <w:color w:val="auto"/>
          <w:highlight w:val="none"/>
        </w:rPr>
        <w:t>（</w:t>
      </w:r>
      <w:r>
        <w:rPr>
          <w:color w:val="auto"/>
          <w:highlight w:val="none"/>
        </w:rPr>
        <w:t>¥</w:t>
      </w:r>
      <w:r>
        <w:rPr>
          <w:color w:val="auto"/>
          <w:highlight w:val="none"/>
          <w:u w:val="single"/>
        </w:rPr>
        <w:t xml:space="preserve">          </w:t>
      </w:r>
      <w:r>
        <w:rPr>
          <w:rFonts w:hint="eastAsia" w:hAnsi="宋体" w:cs="宋体"/>
          <w:color w:val="auto"/>
          <w:highlight w:val="none"/>
        </w:rPr>
        <w:t>元</w:t>
      </w:r>
      <w:r>
        <w:rPr>
          <w:rFonts w:hint="eastAsia" w:cs="宋体"/>
          <w:color w:val="auto"/>
          <w:highlight w:val="none"/>
        </w:rPr>
        <w:t>）</w:t>
      </w:r>
      <w:r>
        <w:rPr>
          <w:rFonts w:hint="eastAsia" w:hAnsi="宋体" w:cs="宋体"/>
          <w:color w:val="auto"/>
          <w:highlight w:val="none"/>
          <w:lang w:eastAsia="zh-CN"/>
        </w:rPr>
        <w:t>；</w:t>
      </w:r>
    </w:p>
    <w:p w14:paraId="330CC1A2">
      <w:pPr>
        <w:pStyle w:val="21"/>
        <w:numPr>
          <w:ilvl w:val="0"/>
          <w:numId w:val="0"/>
        </w:numPr>
        <w:spacing w:line="360" w:lineRule="auto"/>
        <w:ind w:firstLineChars="200"/>
        <w:rPr>
          <w:rFonts w:hint="eastAsia" w:hAnsi="宋体" w:cs="宋体"/>
          <w:color w:val="auto"/>
          <w:sz w:val="21"/>
          <w:szCs w:val="21"/>
          <w:highlight w:val="none"/>
          <w:lang w:eastAsia="zh-CN"/>
        </w:rPr>
      </w:pPr>
      <w:r>
        <w:rPr>
          <w:rFonts w:hint="eastAsia" w:hAnsi="宋体" w:cs="宋体"/>
          <w:color w:val="auto"/>
          <w:kern w:val="2"/>
          <w:sz w:val="21"/>
          <w:szCs w:val="21"/>
          <w:highlight w:val="none"/>
          <w:lang w:val="en-US" w:eastAsia="zh-CN" w:bidi="ar-SA"/>
        </w:rPr>
        <w:t>（2</w:t>
      </w:r>
      <w:r>
        <w:rPr>
          <w:rFonts w:hint="eastAsia" w:ascii="Times New Roman" w:hAnsi="宋体" w:eastAsia="宋体" w:cs="宋体"/>
          <w:color w:val="auto"/>
          <w:kern w:val="2"/>
          <w:sz w:val="21"/>
          <w:szCs w:val="21"/>
          <w:highlight w:val="none"/>
          <w:lang w:val="en-US" w:eastAsia="zh-CN" w:bidi="ar-SA"/>
        </w:rPr>
        <w:t>）</w:t>
      </w:r>
      <w:r>
        <w:rPr>
          <w:rFonts w:hint="eastAsia" w:hAnsi="宋体" w:cs="宋体"/>
          <w:color w:val="auto"/>
          <w:sz w:val="21"/>
          <w:szCs w:val="21"/>
          <w:highlight w:val="none"/>
          <w:lang w:eastAsia="zh-CN"/>
        </w:rPr>
        <w:t>设备购置费（含税）：</w:t>
      </w:r>
    </w:p>
    <w:p w14:paraId="03D8BA7C">
      <w:pPr>
        <w:pStyle w:val="21"/>
        <w:numPr>
          <w:ilvl w:val="0"/>
          <w:numId w:val="0"/>
        </w:numPr>
        <w:spacing w:line="360" w:lineRule="auto"/>
        <w:ind w:leftChars="230" w:firstLineChars="200"/>
        <w:rPr>
          <w:rFonts w:hint="eastAsia" w:hAnsi="宋体" w:cs="宋体"/>
          <w:color w:val="auto"/>
          <w:sz w:val="21"/>
          <w:szCs w:val="21"/>
          <w:highlight w:val="none"/>
          <w:lang w:eastAsia="zh-CN"/>
        </w:rPr>
      </w:pPr>
      <w:r>
        <w:rPr>
          <w:rFonts w:hint="eastAsia" w:hAnsi="宋体" w:cs="宋体"/>
          <w:color w:val="auto"/>
          <w:sz w:val="21"/>
          <w:szCs w:val="21"/>
          <w:highlight w:val="none"/>
        </w:rPr>
        <w:t>人民币（大写）</w:t>
      </w:r>
      <w:r>
        <w:rPr>
          <w:color w:val="auto"/>
          <w:sz w:val="21"/>
          <w:szCs w:val="21"/>
          <w:highlight w:val="none"/>
          <w:u w:val="single"/>
        </w:rPr>
        <w:t xml:space="preserve">              </w:t>
      </w:r>
      <w:r>
        <w:rPr>
          <w:color w:val="auto"/>
          <w:sz w:val="21"/>
          <w:szCs w:val="21"/>
          <w:highlight w:val="none"/>
        </w:rPr>
        <w:t xml:space="preserve"> </w:t>
      </w:r>
      <w:r>
        <w:rPr>
          <w:rFonts w:hint="eastAsia" w:cs="宋体"/>
          <w:color w:val="auto"/>
          <w:sz w:val="21"/>
          <w:szCs w:val="21"/>
          <w:highlight w:val="none"/>
        </w:rPr>
        <w:t>（</w:t>
      </w:r>
      <w:r>
        <w:rPr>
          <w:color w:val="auto"/>
          <w:sz w:val="21"/>
          <w:szCs w:val="21"/>
          <w:highlight w:val="none"/>
        </w:rPr>
        <w:t>¥</w:t>
      </w:r>
      <w:r>
        <w:rPr>
          <w:color w:val="auto"/>
          <w:sz w:val="21"/>
          <w:szCs w:val="21"/>
          <w:highlight w:val="none"/>
          <w:u w:val="single"/>
        </w:rPr>
        <w:t xml:space="preserve">          </w:t>
      </w:r>
      <w:r>
        <w:rPr>
          <w:rFonts w:hint="eastAsia" w:hAnsi="宋体" w:cs="宋体"/>
          <w:color w:val="auto"/>
          <w:sz w:val="21"/>
          <w:szCs w:val="21"/>
          <w:highlight w:val="none"/>
        </w:rPr>
        <w:t>元</w:t>
      </w:r>
      <w:r>
        <w:rPr>
          <w:rFonts w:hint="eastAsia" w:cs="宋体"/>
          <w:color w:val="auto"/>
          <w:sz w:val="21"/>
          <w:szCs w:val="21"/>
          <w:highlight w:val="none"/>
        </w:rPr>
        <w:t>）</w:t>
      </w:r>
      <w:r>
        <w:rPr>
          <w:rFonts w:hint="eastAsia" w:cs="宋体"/>
          <w:color w:val="auto"/>
          <w:sz w:val="21"/>
          <w:szCs w:val="21"/>
          <w:highlight w:val="none"/>
          <w:lang w:eastAsia="zh-CN"/>
        </w:rPr>
        <w:t>；</w:t>
      </w:r>
      <w:r>
        <w:rPr>
          <w:rFonts w:hint="eastAsia" w:hAnsi="宋体" w:cs="宋体"/>
          <w:color w:val="auto"/>
          <w:sz w:val="21"/>
          <w:szCs w:val="21"/>
          <w:highlight w:val="none"/>
        </w:rPr>
        <w:t>增值税税率</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w:t>
      </w:r>
    </w:p>
    <w:p w14:paraId="0038F918">
      <w:pPr>
        <w:spacing w:line="360" w:lineRule="auto"/>
        <w:ind w:firstLine="420" w:firstLineChars="200"/>
        <w:rPr>
          <w:rFonts w:hint="eastAsia" w:hAnsi="宋体"/>
          <w:color w:val="auto"/>
          <w:highlight w:val="none"/>
        </w:rPr>
      </w:pPr>
      <w:r>
        <w:rPr>
          <w:color w:val="auto"/>
          <w:highlight w:val="none"/>
        </w:rPr>
        <w:t xml:space="preserve">2. </w:t>
      </w:r>
      <w:r>
        <w:rPr>
          <w:rFonts w:hint="eastAsia" w:hAnsi="宋体" w:cs="宋体"/>
          <w:color w:val="auto"/>
          <w:highlight w:val="none"/>
        </w:rPr>
        <w:t>合同价格形式：</w:t>
      </w:r>
      <w:r>
        <w:rPr>
          <w:color w:val="auto"/>
          <w:highlight w:val="none"/>
          <w:u w:val="single"/>
        </w:rPr>
        <w:t xml:space="preserve">                  </w:t>
      </w:r>
      <w:r>
        <w:rPr>
          <w:rFonts w:hint="eastAsia" w:hAnsi="宋体" w:cs="宋体"/>
          <w:color w:val="auto"/>
          <w:highlight w:val="none"/>
        </w:rPr>
        <w:t>。</w:t>
      </w:r>
    </w:p>
    <w:p w14:paraId="422723D4">
      <w:pPr>
        <w:spacing w:line="360" w:lineRule="auto"/>
        <w:ind w:firstLine="422" w:firstLineChars="200"/>
        <w:outlineLvl w:val="9"/>
        <w:rPr>
          <w:b/>
          <w:bCs/>
          <w:color w:val="auto"/>
          <w:highlight w:val="none"/>
        </w:rPr>
      </w:pPr>
      <w:bookmarkStart w:id="124" w:name="_Toc351203485"/>
      <w:r>
        <w:rPr>
          <w:rFonts w:hint="eastAsia" w:hAnsi="宋体" w:cs="宋体"/>
          <w:b/>
          <w:bCs/>
          <w:color w:val="auto"/>
          <w:highlight w:val="none"/>
        </w:rPr>
        <w:t>五、</w:t>
      </w:r>
      <w:bookmarkEnd w:id="124"/>
      <w:r>
        <w:rPr>
          <w:rFonts w:hint="eastAsia" w:hAnsi="宋体" w:cs="宋体"/>
          <w:b/>
          <w:bCs/>
          <w:color w:val="auto"/>
          <w:highlight w:val="none"/>
        </w:rPr>
        <w:t>项目经理</w:t>
      </w:r>
    </w:p>
    <w:p w14:paraId="594AEB34">
      <w:pPr>
        <w:spacing w:line="360" w:lineRule="auto"/>
        <w:ind w:firstLine="420" w:firstLineChars="200"/>
        <w:rPr>
          <w:rFonts w:hAnsi="宋体"/>
          <w:color w:val="auto"/>
          <w:highlight w:val="none"/>
        </w:rPr>
      </w:pPr>
      <w:r>
        <w:rPr>
          <w:rFonts w:hint="eastAsia" w:hAnsi="宋体" w:cs="宋体"/>
          <w:color w:val="auto"/>
          <w:highlight w:val="none"/>
        </w:rPr>
        <w:t>承包人项目经理：</w:t>
      </w:r>
      <w:r>
        <w:rPr>
          <w:color w:val="auto"/>
          <w:highlight w:val="none"/>
          <w:u w:val="single"/>
        </w:rPr>
        <w:t xml:space="preserve">                     </w:t>
      </w:r>
      <w:r>
        <w:rPr>
          <w:rFonts w:hint="eastAsia" w:hAnsi="宋体" w:cs="宋体"/>
          <w:color w:val="auto"/>
          <w:highlight w:val="none"/>
        </w:rPr>
        <w:t>。</w:t>
      </w:r>
    </w:p>
    <w:p w14:paraId="6E26A0AB">
      <w:pPr>
        <w:spacing w:line="360" w:lineRule="auto"/>
        <w:ind w:firstLine="422" w:firstLineChars="200"/>
        <w:outlineLvl w:val="9"/>
        <w:rPr>
          <w:b/>
          <w:bCs/>
          <w:color w:val="auto"/>
          <w:highlight w:val="none"/>
        </w:rPr>
      </w:pPr>
      <w:bookmarkStart w:id="125" w:name="_Toc351203486"/>
      <w:r>
        <w:rPr>
          <w:rFonts w:hint="eastAsia" w:hAnsi="宋体" w:cs="宋体"/>
          <w:b/>
          <w:bCs/>
          <w:color w:val="auto"/>
          <w:highlight w:val="none"/>
        </w:rPr>
        <w:t>六、合同文件构成</w:t>
      </w:r>
      <w:bookmarkEnd w:id="125"/>
    </w:p>
    <w:p w14:paraId="0A07537D">
      <w:pPr>
        <w:spacing w:line="360" w:lineRule="auto"/>
        <w:ind w:firstLine="420" w:firstLineChars="200"/>
        <w:rPr>
          <w:color w:val="auto"/>
          <w:highlight w:val="none"/>
        </w:rPr>
      </w:pPr>
      <w:r>
        <w:rPr>
          <w:rFonts w:hint="eastAsia" w:hAnsi="宋体" w:cs="宋体"/>
          <w:color w:val="auto"/>
          <w:highlight w:val="none"/>
        </w:rPr>
        <w:t>本协议书与下列文件一起构成合同文件：</w:t>
      </w:r>
    </w:p>
    <w:p w14:paraId="22566589">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1</w:t>
      </w:r>
      <w:r>
        <w:rPr>
          <w:rFonts w:hint="eastAsia" w:hAnsi="宋体" w:cs="宋体"/>
          <w:color w:val="auto"/>
          <w:highlight w:val="none"/>
        </w:rPr>
        <w:t>）中标通知书（如有）；</w:t>
      </w:r>
    </w:p>
    <w:p w14:paraId="4B19C784">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）投标函及其附录（如有）；</w:t>
      </w:r>
      <w:r>
        <w:rPr>
          <w:color w:val="auto"/>
          <w:highlight w:val="none"/>
        </w:rPr>
        <w:t xml:space="preserve"> </w:t>
      </w:r>
    </w:p>
    <w:p w14:paraId="66B12A35">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3</w:t>
      </w:r>
      <w:r>
        <w:rPr>
          <w:rFonts w:hint="eastAsia" w:hAnsi="宋体" w:cs="宋体"/>
          <w:color w:val="auto"/>
          <w:highlight w:val="none"/>
        </w:rPr>
        <w:t>）专用合同条款及其附件；</w:t>
      </w:r>
    </w:p>
    <w:p w14:paraId="5417C868">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4</w:t>
      </w:r>
      <w:r>
        <w:rPr>
          <w:rFonts w:hint="eastAsia" w:hAnsi="宋体" w:cs="宋体"/>
          <w:color w:val="auto"/>
          <w:highlight w:val="none"/>
        </w:rPr>
        <w:t>）通用合同条款；</w:t>
      </w:r>
    </w:p>
    <w:p w14:paraId="1ACD5381">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5</w:t>
      </w:r>
      <w:r>
        <w:rPr>
          <w:rFonts w:hint="eastAsia" w:hAnsi="宋体" w:cs="宋体"/>
          <w:color w:val="auto"/>
          <w:highlight w:val="none"/>
        </w:rPr>
        <w:t>）</w:t>
      </w:r>
      <w:r>
        <w:rPr>
          <w:rFonts w:hint="default" w:ascii="Times New Roman" w:hAnsi="Times New Roman" w:cs="Times New Roman"/>
          <w:color w:val="auto"/>
          <w:szCs w:val="21"/>
          <w:highlight w:val="none"/>
        </w:rPr>
        <w:t>标准、规范及有关技术文件</w:t>
      </w:r>
      <w:r>
        <w:rPr>
          <w:rFonts w:hint="eastAsia" w:hAnsi="宋体" w:cs="宋体"/>
          <w:color w:val="auto"/>
          <w:highlight w:val="none"/>
        </w:rPr>
        <w:t>；</w:t>
      </w:r>
    </w:p>
    <w:p w14:paraId="68C6D563">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6</w:t>
      </w:r>
      <w:r>
        <w:rPr>
          <w:rFonts w:hint="eastAsia" w:hAnsi="宋体" w:cs="宋体"/>
          <w:color w:val="auto"/>
          <w:highlight w:val="none"/>
        </w:rPr>
        <w:t>）已标价工程量清单；</w:t>
      </w:r>
    </w:p>
    <w:p w14:paraId="5C3A3EF3">
      <w:pPr>
        <w:autoSpaceDE w:val="0"/>
        <w:autoSpaceDN w:val="0"/>
        <w:adjustRightInd w:val="0"/>
        <w:spacing w:line="360" w:lineRule="auto"/>
        <w:ind w:firstLine="420" w:firstLineChars="200"/>
        <w:jc w:val="left"/>
        <w:rPr>
          <w:rFonts w:hint="eastAsia" w:eastAsia="宋体"/>
          <w:color w:val="auto"/>
          <w:highlight w:val="none"/>
          <w:lang w:eastAsia="zh-CN"/>
        </w:rPr>
      </w:pPr>
      <w:r>
        <w:rPr>
          <w:rFonts w:hint="eastAsia" w:hAnsi="宋体" w:cs="宋体"/>
          <w:color w:val="auto"/>
          <w:highlight w:val="none"/>
        </w:rPr>
        <w:t>（</w:t>
      </w:r>
      <w:r>
        <w:rPr>
          <w:rFonts w:hint="eastAsia"/>
          <w:color w:val="auto"/>
          <w:highlight w:val="none"/>
          <w:lang w:val="en-US" w:eastAsia="zh-CN"/>
        </w:rPr>
        <w:t>7</w:t>
      </w:r>
      <w:r>
        <w:rPr>
          <w:rFonts w:hint="eastAsia" w:hAnsi="宋体" w:cs="宋体"/>
          <w:color w:val="auto"/>
          <w:highlight w:val="none"/>
        </w:rPr>
        <w:t>）</w:t>
      </w:r>
      <w:r>
        <w:rPr>
          <w:rFonts w:hint="default" w:ascii="Times New Roman" w:hAnsi="Times New Roman" w:cs="Times New Roman"/>
          <w:color w:val="auto"/>
          <w:szCs w:val="21"/>
          <w:highlight w:val="none"/>
        </w:rPr>
        <w:t>其他合同文件</w:t>
      </w:r>
      <w:r>
        <w:rPr>
          <w:rFonts w:hint="eastAsia" w:hAnsi="宋体" w:cs="宋体"/>
          <w:color w:val="auto"/>
          <w:highlight w:val="none"/>
          <w:lang w:eastAsia="zh-CN"/>
        </w:rPr>
        <w:t>；</w:t>
      </w:r>
    </w:p>
    <w:p w14:paraId="14983BD3">
      <w:pPr>
        <w:autoSpaceDE w:val="0"/>
        <w:autoSpaceDN w:val="0"/>
        <w:adjustRightInd w:val="0"/>
        <w:spacing w:line="360" w:lineRule="auto"/>
        <w:ind w:firstLine="420" w:firstLineChars="200"/>
        <w:jc w:val="left"/>
        <w:rPr>
          <w:color w:val="auto"/>
          <w:highlight w:val="none"/>
        </w:rPr>
      </w:pPr>
    </w:p>
    <w:p w14:paraId="7107F331">
      <w:pPr>
        <w:autoSpaceDE w:val="0"/>
        <w:autoSpaceDN w:val="0"/>
        <w:adjustRightInd w:val="0"/>
        <w:spacing w:line="360" w:lineRule="auto"/>
        <w:ind w:firstLine="420" w:firstLineChars="200"/>
        <w:jc w:val="left"/>
        <w:rPr>
          <w:rFonts w:hAnsi="宋体"/>
          <w:color w:val="auto"/>
          <w:highlight w:val="none"/>
        </w:rPr>
      </w:pPr>
      <w:r>
        <w:rPr>
          <w:rFonts w:hint="eastAsia" w:hAnsi="宋体" w:cs="宋体"/>
          <w:color w:val="auto"/>
          <w:highlight w:val="none"/>
        </w:rPr>
        <w:t>上述各项合同文件包括合同当事人就该项合同文件所作出的补充和修改，属于同一类内容的文件，应以最新签署的为准（违反招标文件</w:t>
      </w:r>
      <w:r>
        <w:rPr>
          <w:rFonts w:hAnsi="宋体" w:cs="宋体"/>
          <w:color w:val="auto"/>
          <w:highlight w:val="none"/>
        </w:rPr>
        <w:t>实质性内容的约定除外</w:t>
      </w:r>
      <w:r>
        <w:rPr>
          <w:rFonts w:hint="eastAsia" w:hAnsi="宋体" w:cs="宋体"/>
          <w:color w:val="auto"/>
          <w:highlight w:val="none"/>
        </w:rPr>
        <w:t>）。专用合同条款及其附件须经合同当事人签字或盖章。</w:t>
      </w:r>
    </w:p>
    <w:p w14:paraId="215E2467">
      <w:pPr>
        <w:autoSpaceDE w:val="0"/>
        <w:autoSpaceDN w:val="0"/>
        <w:adjustRightInd w:val="0"/>
        <w:spacing w:line="360" w:lineRule="auto"/>
        <w:ind w:firstLine="422" w:firstLineChars="200"/>
        <w:jc w:val="left"/>
        <w:outlineLvl w:val="9"/>
        <w:rPr>
          <w:b/>
          <w:bCs/>
          <w:color w:val="auto"/>
          <w:highlight w:val="none"/>
        </w:rPr>
      </w:pPr>
      <w:bookmarkStart w:id="126" w:name="_Toc351203487"/>
      <w:r>
        <w:rPr>
          <w:rFonts w:hint="eastAsia" w:hAnsi="宋体" w:cs="宋体"/>
          <w:b/>
          <w:bCs/>
          <w:color w:val="auto"/>
          <w:highlight w:val="none"/>
        </w:rPr>
        <w:t>七、承诺</w:t>
      </w:r>
      <w:bookmarkEnd w:id="126"/>
    </w:p>
    <w:p w14:paraId="6642DA9C">
      <w:pPr>
        <w:spacing w:line="360" w:lineRule="auto"/>
        <w:ind w:firstLine="420" w:firstLineChars="200"/>
        <w:rPr>
          <w:color w:val="auto"/>
          <w:highlight w:val="none"/>
        </w:rPr>
      </w:pPr>
      <w:r>
        <w:rPr>
          <w:color w:val="auto"/>
          <w:highlight w:val="none"/>
        </w:rPr>
        <w:t xml:space="preserve">1. </w:t>
      </w:r>
      <w:r>
        <w:rPr>
          <w:rFonts w:hint="eastAsia" w:hAnsi="宋体" w:cs="宋体"/>
          <w:color w:val="auto"/>
          <w:highlight w:val="none"/>
        </w:rPr>
        <w:t>发包人承诺按照法律规定履行项目审批手续、筹集工程建设资金并按照合同约定的期限和方式支付合同价款。</w:t>
      </w:r>
    </w:p>
    <w:p w14:paraId="62410578">
      <w:pPr>
        <w:spacing w:line="360" w:lineRule="auto"/>
        <w:ind w:firstLine="420" w:firstLineChars="200"/>
        <w:rPr>
          <w:color w:val="auto"/>
          <w:highlight w:val="none"/>
        </w:rPr>
      </w:pPr>
      <w:r>
        <w:rPr>
          <w:color w:val="auto"/>
          <w:highlight w:val="none"/>
        </w:rPr>
        <w:t xml:space="preserve">2. </w:t>
      </w:r>
      <w:r>
        <w:rPr>
          <w:rFonts w:hint="eastAsia" w:hAnsi="宋体" w:cs="宋体"/>
          <w:color w:val="auto"/>
          <w:highlight w:val="none"/>
        </w:rPr>
        <w:t>承包人承诺按照法律规定及合同约定组织完成工程施工，确保工程质量和安全，不进行转包及违法分包，并在缺陷责任期及保修期内承担相应的工程维修责任。</w:t>
      </w:r>
    </w:p>
    <w:p w14:paraId="7A65BC26">
      <w:pPr>
        <w:spacing w:line="360" w:lineRule="auto"/>
        <w:ind w:firstLine="420" w:firstLineChars="200"/>
        <w:rPr>
          <w:rFonts w:hAnsi="宋体"/>
          <w:color w:val="auto"/>
          <w:highlight w:val="none"/>
        </w:rPr>
      </w:pPr>
      <w:r>
        <w:rPr>
          <w:color w:val="auto"/>
          <w:highlight w:val="none"/>
        </w:rPr>
        <w:t xml:space="preserve">3. </w:t>
      </w:r>
      <w:r>
        <w:rPr>
          <w:rFonts w:hint="eastAsia" w:hAnsi="宋体" w:cs="宋体"/>
          <w:color w:val="auto"/>
          <w:highlight w:val="none"/>
        </w:rPr>
        <w:t>发包人和承包人通过招投标形式签订合同的，双方理解并承诺不再就同一工程另行签订与合同实质性内容相背离的协议。</w:t>
      </w:r>
      <w:bookmarkStart w:id="127" w:name="_Toc351203488"/>
    </w:p>
    <w:p w14:paraId="63FF2195">
      <w:pPr>
        <w:spacing w:line="360" w:lineRule="auto"/>
        <w:ind w:firstLine="422" w:firstLineChars="200"/>
        <w:outlineLvl w:val="9"/>
        <w:rPr>
          <w:b/>
          <w:bCs/>
          <w:color w:val="auto"/>
          <w:highlight w:val="none"/>
        </w:rPr>
      </w:pPr>
      <w:r>
        <w:rPr>
          <w:rFonts w:hint="eastAsia" w:hAnsi="宋体" w:cs="宋体"/>
          <w:b/>
          <w:bCs/>
          <w:color w:val="auto"/>
          <w:highlight w:val="none"/>
        </w:rPr>
        <w:t>八、词语含义</w:t>
      </w:r>
      <w:bookmarkEnd w:id="127"/>
    </w:p>
    <w:p w14:paraId="4943EB81">
      <w:pPr>
        <w:spacing w:line="360" w:lineRule="auto"/>
        <w:ind w:firstLine="420" w:firstLineChars="200"/>
        <w:rPr>
          <w:rFonts w:hAnsi="宋体"/>
          <w:color w:val="auto"/>
          <w:highlight w:val="none"/>
        </w:rPr>
      </w:pPr>
      <w:r>
        <w:rPr>
          <w:rFonts w:hint="eastAsia" w:hAnsi="宋体" w:cs="宋体"/>
          <w:color w:val="auto"/>
          <w:highlight w:val="none"/>
        </w:rPr>
        <w:t>本协议书中词语含义与第二部分通用合同条款中赋予的含义相同。</w:t>
      </w:r>
    </w:p>
    <w:p w14:paraId="0F5DFEBE">
      <w:pPr>
        <w:spacing w:line="360" w:lineRule="auto"/>
        <w:ind w:firstLine="422" w:firstLineChars="200"/>
        <w:outlineLvl w:val="9"/>
        <w:rPr>
          <w:b/>
          <w:bCs/>
          <w:color w:val="auto"/>
          <w:highlight w:val="none"/>
        </w:rPr>
      </w:pPr>
      <w:bookmarkStart w:id="128" w:name="_Toc351203489"/>
      <w:r>
        <w:rPr>
          <w:rFonts w:hint="eastAsia" w:hAnsi="宋体" w:cs="宋体"/>
          <w:b/>
          <w:bCs/>
          <w:color w:val="auto"/>
          <w:highlight w:val="none"/>
        </w:rPr>
        <w:t>九、签订时间</w:t>
      </w:r>
      <w:bookmarkEnd w:id="128"/>
    </w:p>
    <w:p w14:paraId="14B3803F">
      <w:pPr>
        <w:spacing w:line="360" w:lineRule="auto"/>
        <w:ind w:firstLine="420" w:firstLineChars="200"/>
        <w:rPr>
          <w:rFonts w:hAnsi="宋体"/>
          <w:color w:val="auto"/>
          <w:highlight w:val="none"/>
        </w:rPr>
      </w:pPr>
      <w:r>
        <w:rPr>
          <w:rFonts w:hint="eastAsia" w:hAnsi="宋体" w:cs="宋体"/>
          <w:color w:val="auto"/>
          <w:highlight w:val="none"/>
        </w:rPr>
        <w:t>本合同于</w:t>
      </w:r>
      <w:r>
        <w:rPr>
          <w:color w:val="auto"/>
          <w:highlight w:val="none"/>
          <w:u w:val="single"/>
        </w:rPr>
        <w:t xml:space="preserve">         </w:t>
      </w:r>
      <w:r>
        <w:rPr>
          <w:rFonts w:hint="eastAsia" w:hAnsi="宋体" w:cs="宋体"/>
          <w:color w:val="auto"/>
          <w:highlight w:val="none"/>
        </w:rPr>
        <w:t>年</w:t>
      </w:r>
      <w:r>
        <w:rPr>
          <w:color w:val="auto"/>
          <w:highlight w:val="none"/>
          <w:u w:val="single"/>
        </w:rPr>
        <w:t xml:space="preserve">    </w:t>
      </w:r>
      <w:r>
        <w:rPr>
          <w:rFonts w:hint="eastAsia" w:hAnsi="宋体" w:cs="宋体"/>
          <w:color w:val="auto"/>
          <w:highlight w:val="none"/>
        </w:rPr>
        <w:t>月</w:t>
      </w:r>
      <w:r>
        <w:rPr>
          <w:color w:val="auto"/>
          <w:highlight w:val="none"/>
          <w:u w:val="single"/>
        </w:rPr>
        <w:t xml:space="preserve">    </w:t>
      </w:r>
      <w:r>
        <w:rPr>
          <w:rFonts w:hint="eastAsia" w:hAnsi="宋体" w:cs="宋体"/>
          <w:color w:val="auto"/>
          <w:highlight w:val="none"/>
        </w:rPr>
        <w:t>日签订。</w:t>
      </w:r>
    </w:p>
    <w:p w14:paraId="0C2EE4D7">
      <w:pPr>
        <w:spacing w:line="360" w:lineRule="auto"/>
        <w:ind w:firstLine="422" w:firstLineChars="200"/>
        <w:outlineLvl w:val="9"/>
        <w:rPr>
          <w:b/>
          <w:bCs/>
          <w:color w:val="auto"/>
          <w:highlight w:val="none"/>
        </w:rPr>
      </w:pPr>
      <w:bookmarkStart w:id="129" w:name="_Toc351203490"/>
      <w:r>
        <w:rPr>
          <w:rFonts w:hint="eastAsia" w:hAnsi="宋体" w:cs="宋体"/>
          <w:b/>
          <w:bCs/>
          <w:color w:val="auto"/>
          <w:highlight w:val="none"/>
        </w:rPr>
        <w:t>十、签订地点</w:t>
      </w:r>
      <w:bookmarkEnd w:id="129"/>
    </w:p>
    <w:p w14:paraId="7AEA49C7">
      <w:pPr>
        <w:spacing w:line="360" w:lineRule="auto"/>
        <w:ind w:firstLine="420" w:firstLineChars="200"/>
        <w:rPr>
          <w:rFonts w:hAnsi="宋体"/>
          <w:color w:val="auto"/>
          <w:highlight w:val="none"/>
        </w:rPr>
      </w:pPr>
      <w:r>
        <w:rPr>
          <w:rFonts w:hint="eastAsia" w:hAnsi="宋体" w:cs="宋体"/>
          <w:color w:val="auto"/>
          <w:highlight w:val="none"/>
        </w:rPr>
        <w:t>本合同在</w:t>
      </w:r>
      <w:r>
        <w:rPr>
          <w:color w:val="auto"/>
          <w:highlight w:val="none"/>
          <w:u w:val="single"/>
        </w:rPr>
        <w:t xml:space="preserve">                                    </w:t>
      </w:r>
      <w:r>
        <w:rPr>
          <w:rFonts w:hint="eastAsia" w:hAnsi="宋体" w:cs="宋体"/>
          <w:color w:val="auto"/>
          <w:highlight w:val="none"/>
        </w:rPr>
        <w:t>签订。</w:t>
      </w:r>
    </w:p>
    <w:p w14:paraId="5A39870A">
      <w:pPr>
        <w:spacing w:line="360" w:lineRule="auto"/>
        <w:ind w:firstLine="422" w:firstLineChars="200"/>
        <w:outlineLvl w:val="9"/>
        <w:rPr>
          <w:b/>
          <w:bCs/>
          <w:color w:val="auto"/>
          <w:highlight w:val="none"/>
        </w:rPr>
      </w:pPr>
      <w:bookmarkStart w:id="130" w:name="_Toc351203491"/>
      <w:r>
        <w:rPr>
          <w:rFonts w:hint="eastAsia" w:hAnsi="宋体" w:cs="宋体"/>
          <w:b/>
          <w:bCs/>
          <w:color w:val="auto"/>
          <w:highlight w:val="none"/>
        </w:rPr>
        <w:t>十一、补充协议</w:t>
      </w:r>
      <w:bookmarkEnd w:id="130"/>
    </w:p>
    <w:p w14:paraId="7FB2715C">
      <w:pPr>
        <w:spacing w:line="360" w:lineRule="auto"/>
        <w:ind w:firstLine="420" w:firstLineChars="200"/>
        <w:rPr>
          <w:rFonts w:hAnsi="宋体"/>
          <w:color w:val="auto"/>
          <w:highlight w:val="none"/>
        </w:rPr>
      </w:pPr>
      <w:r>
        <w:rPr>
          <w:rFonts w:hint="eastAsia" w:hAnsi="宋体" w:cs="宋体"/>
          <w:color w:val="auto"/>
          <w:highlight w:val="none"/>
        </w:rPr>
        <w:t>合同未尽事宜，合同当事人另行签订补充协议，补充协议是合同的组成部分。</w:t>
      </w:r>
    </w:p>
    <w:p w14:paraId="26CD684A">
      <w:pPr>
        <w:spacing w:line="360" w:lineRule="auto"/>
        <w:ind w:firstLine="422" w:firstLineChars="200"/>
        <w:outlineLvl w:val="9"/>
        <w:rPr>
          <w:b/>
          <w:bCs/>
          <w:color w:val="auto"/>
          <w:highlight w:val="none"/>
        </w:rPr>
      </w:pPr>
      <w:bookmarkStart w:id="131" w:name="_Toc351203492"/>
      <w:r>
        <w:rPr>
          <w:rFonts w:hint="eastAsia" w:hAnsi="宋体" w:cs="宋体"/>
          <w:b/>
          <w:bCs/>
          <w:color w:val="auto"/>
          <w:highlight w:val="none"/>
        </w:rPr>
        <w:t>十二、合同生效</w:t>
      </w:r>
      <w:bookmarkEnd w:id="131"/>
    </w:p>
    <w:p w14:paraId="4227F6D5">
      <w:pPr>
        <w:spacing w:line="360" w:lineRule="auto"/>
        <w:ind w:firstLine="420" w:firstLineChars="200"/>
        <w:rPr>
          <w:rFonts w:hAnsi="宋体"/>
          <w:color w:val="auto"/>
          <w:highlight w:val="none"/>
        </w:rPr>
      </w:pPr>
      <w:r>
        <w:rPr>
          <w:rFonts w:hint="eastAsia" w:hAnsi="宋体" w:cs="宋体"/>
          <w:color w:val="auto"/>
          <w:highlight w:val="none"/>
        </w:rPr>
        <w:t>本合同自</w:t>
      </w:r>
      <w:r>
        <w:rPr>
          <w:color w:val="auto"/>
          <w:highlight w:val="none"/>
          <w:u w:val="single"/>
        </w:rPr>
        <w:t xml:space="preserve">                                   </w:t>
      </w:r>
      <w:r>
        <w:rPr>
          <w:rFonts w:hint="eastAsia" w:hAnsi="宋体" w:cs="宋体"/>
          <w:color w:val="auto"/>
          <w:highlight w:val="none"/>
        </w:rPr>
        <w:t>生效。</w:t>
      </w:r>
    </w:p>
    <w:p w14:paraId="20690A16">
      <w:pPr>
        <w:spacing w:line="360" w:lineRule="auto"/>
        <w:ind w:firstLine="422" w:firstLineChars="200"/>
        <w:outlineLvl w:val="9"/>
        <w:rPr>
          <w:b/>
          <w:bCs/>
          <w:color w:val="auto"/>
          <w:highlight w:val="none"/>
        </w:rPr>
      </w:pPr>
      <w:bookmarkStart w:id="132" w:name="_Toc351203493"/>
      <w:r>
        <w:rPr>
          <w:rFonts w:hint="eastAsia" w:hAnsi="宋体" w:cs="宋体"/>
          <w:b/>
          <w:bCs/>
          <w:color w:val="auto"/>
          <w:highlight w:val="none"/>
        </w:rPr>
        <w:t>十三、合同份数</w:t>
      </w:r>
      <w:bookmarkEnd w:id="132"/>
    </w:p>
    <w:p w14:paraId="2F7238F8">
      <w:pPr>
        <w:spacing w:line="360" w:lineRule="auto"/>
        <w:ind w:firstLine="420" w:firstLineChars="200"/>
        <w:rPr>
          <w:color w:val="auto"/>
          <w:highlight w:val="none"/>
        </w:rPr>
      </w:pPr>
      <w:r>
        <w:rPr>
          <w:rFonts w:hint="eastAsia" w:hAnsi="宋体" w:cs="宋体"/>
          <w:color w:val="auto"/>
          <w:highlight w:val="none"/>
        </w:rPr>
        <w:t>本合同一式</w:t>
      </w:r>
      <w:r>
        <w:rPr>
          <w:color w:val="auto"/>
          <w:highlight w:val="none"/>
          <w:u w:val="single"/>
        </w:rPr>
        <w:t xml:space="preserve">    </w:t>
      </w:r>
      <w:r>
        <w:rPr>
          <w:rFonts w:hint="eastAsia" w:hAnsi="宋体" w:cs="宋体"/>
          <w:color w:val="auto"/>
          <w:highlight w:val="none"/>
        </w:rPr>
        <w:t>份，均具有同等法律效力，发包人执</w:t>
      </w:r>
      <w:r>
        <w:rPr>
          <w:color w:val="auto"/>
          <w:highlight w:val="none"/>
          <w:u w:val="single"/>
        </w:rPr>
        <w:t xml:space="preserve">    </w:t>
      </w:r>
      <w:r>
        <w:rPr>
          <w:rFonts w:hint="eastAsia" w:hAnsi="宋体" w:cs="宋体"/>
          <w:color w:val="auto"/>
          <w:highlight w:val="none"/>
        </w:rPr>
        <w:t>份，承包人执</w:t>
      </w:r>
      <w:r>
        <w:rPr>
          <w:color w:val="auto"/>
          <w:highlight w:val="none"/>
          <w:u w:val="single"/>
        </w:rPr>
        <w:t xml:space="preserve">    </w:t>
      </w:r>
      <w:r>
        <w:rPr>
          <w:rFonts w:hint="eastAsia" w:hAnsi="宋体" w:cs="宋体"/>
          <w:color w:val="auto"/>
          <w:highlight w:val="none"/>
        </w:rPr>
        <w:t>份。</w:t>
      </w:r>
    </w:p>
    <w:p w14:paraId="6196E9E5">
      <w:pPr>
        <w:spacing w:line="360" w:lineRule="auto"/>
        <w:rPr>
          <w:color w:val="auto"/>
          <w:highlight w:val="none"/>
        </w:rPr>
      </w:pPr>
    </w:p>
    <w:p w14:paraId="3AD9BF8E">
      <w:pPr>
        <w:spacing w:line="360" w:lineRule="auto"/>
        <w:rPr>
          <w:color w:val="auto"/>
          <w:highlight w:val="none"/>
        </w:rPr>
      </w:pPr>
    </w:p>
    <w:p w14:paraId="658BDEC7">
      <w:pPr>
        <w:spacing w:line="360" w:lineRule="auto"/>
        <w:rPr>
          <w:color w:val="auto"/>
          <w:highlight w:val="none"/>
        </w:rPr>
      </w:pPr>
      <w:r>
        <w:rPr>
          <w:rFonts w:hint="eastAsia" w:hAnsi="宋体" w:cs="宋体"/>
          <w:color w:val="auto"/>
          <w:highlight w:val="none"/>
        </w:rPr>
        <w:t>发包人：</w:t>
      </w:r>
      <w:r>
        <w:rPr>
          <w:color w:val="auto"/>
          <w:highlight w:val="none"/>
        </w:rPr>
        <w:t xml:space="preserve">  </w:t>
      </w:r>
      <w:r>
        <w:rPr>
          <w:rFonts w:hint="eastAsia" w:cs="宋体"/>
          <w:color w:val="auto"/>
          <w:highlight w:val="none"/>
        </w:rPr>
        <w:t>（</w:t>
      </w:r>
      <w:r>
        <w:rPr>
          <w:rFonts w:hint="eastAsia" w:hAnsi="宋体" w:cs="宋体"/>
          <w:color w:val="auto"/>
          <w:highlight w:val="none"/>
        </w:rPr>
        <w:t>公章</w:t>
      </w:r>
      <w:r>
        <w:rPr>
          <w:rFonts w:hint="eastAsia" w:cs="宋体"/>
          <w:color w:val="auto"/>
          <w:highlight w:val="none"/>
        </w:rPr>
        <w:t>）</w:t>
      </w:r>
      <w:r>
        <w:rPr>
          <w:color w:val="auto"/>
          <w:highlight w:val="none"/>
        </w:rPr>
        <w:t xml:space="preserve">                              </w:t>
      </w:r>
      <w:r>
        <w:rPr>
          <w:rFonts w:hint="eastAsia" w:hAnsi="宋体" w:cs="宋体"/>
          <w:color w:val="auto"/>
          <w:highlight w:val="none"/>
        </w:rPr>
        <w:t>承包人：</w:t>
      </w:r>
      <w:r>
        <w:rPr>
          <w:color w:val="auto"/>
          <w:highlight w:val="none"/>
        </w:rPr>
        <w:t xml:space="preserve">  </w:t>
      </w:r>
      <w:r>
        <w:rPr>
          <w:rFonts w:hint="eastAsia" w:cs="宋体"/>
          <w:color w:val="auto"/>
          <w:highlight w:val="none"/>
        </w:rPr>
        <w:t>（</w:t>
      </w:r>
      <w:r>
        <w:rPr>
          <w:rFonts w:hint="eastAsia" w:hAnsi="宋体" w:cs="宋体"/>
          <w:color w:val="auto"/>
          <w:highlight w:val="none"/>
        </w:rPr>
        <w:t>公章</w:t>
      </w:r>
      <w:r>
        <w:rPr>
          <w:rFonts w:hint="eastAsia" w:cs="宋体"/>
          <w:color w:val="auto"/>
          <w:highlight w:val="none"/>
        </w:rPr>
        <w:t>）</w:t>
      </w:r>
    </w:p>
    <w:p w14:paraId="21D1ADB5">
      <w:pPr>
        <w:spacing w:line="360" w:lineRule="auto"/>
        <w:rPr>
          <w:color w:val="auto"/>
          <w:highlight w:val="none"/>
          <w:u w:val="single"/>
        </w:rPr>
      </w:pPr>
      <w:r>
        <w:rPr>
          <w:color w:val="auto"/>
          <w:highlight w:val="none"/>
        </w:rPr>
        <w:t xml:space="preserve">                                 </w:t>
      </w:r>
    </w:p>
    <w:p w14:paraId="44F9D580">
      <w:pPr>
        <w:spacing w:line="360" w:lineRule="auto"/>
        <w:rPr>
          <w:color w:val="auto"/>
          <w:highlight w:val="none"/>
        </w:rPr>
      </w:pPr>
      <w:r>
        <w:rPr>
          <w:rFonts w:hint="eastAsia" w:hAnsi="宋体" w:cs="宋体"/>
          <w:color w:val="auto"/>
          <w:highlight w:val="none"/>
        </w:rPr>
        <w:t>法定代表人或其委托代理人：</w:t>
      </w:r>
      <w:r>
        <w:rPr>
          <w:color w:val="auto"/>
          <w:highlight w:val="none"/>
        </w:rPr>
        <w:t xml:space="preserve">                    </w:t>
      </w:r>
      <w:r>
        <w:rPr>
          <w:rFonts w:hint="eastAsia" w:hAnsi="宋体" w:cs="宋体"/>
          <w:color w:val="auto"/>
          <w:highlight w:val="none"/>
        </w:rPr>
        <w:t>法定代表人或其委托代理人：</w:t>
      </w:r>
    </w:p>
    <w:p w14:paraId="66188698">
      <w:pPr>
        <w:spacing w:line="360" w:lineRule="auto"/>
        <w:rPr>
          <w:color w:val="auto"/>
          <w:highlight w:val="none"/>
        </w:rPr>
      </w:pPr>
      <w:r>
        <w:rPr>
          <w:rFonts w:hint="eastAsia" w:hAnsi="宋体" w:cs="宋体"/>
          <w:color w:val="auto"/>
          <w:highlight w:val="none"/>
        </w:rPr>
        <w:t>（签字）</w:t>
      </w:r>
      <w:r>
        <w:rPr>
          <w:color w:val="auto"/>
          <w:highlight w:val="none"/>
        </w:rPr>
        <w:t xml:space="preserve">                                     </w:t>
      </w:r>
      <w:r>
        <w:rPr>
          <w:rFonts w:hint="eastAsia" w:hAnsi="宋体" w:cs="宋体"/>
          <w:color w:val="auto"/>
          <w:highlight w:val="none"/>
        </w:rPr>
        <w:t>（签字）</w:t>
      </w:r>
    </w:p>
    <w:p w14:paraId="7251F866">
      <w:pPr>
        <w:spacing w:line="360" w:lineRule="auto"/>
        <w:rPr>
          <w:color w:val="auto"/>
          <w:highlight w:val="none"/>
          <w:u w:val="single"/>
        </w:rPr>
      </w:pPr>
    </w:p>
    <w:p w14:paraId="6DC0D53D">
      <w:pPr>
        <w:tabs>
          <w:tab w:val="left" w:pos="4410"/>
        </w:tabs>
        <w:spacing w:line="360" w:lineRule="auto"/>
        <w:rPr>
          <w:color w:val="auto"/>
          <w:highlight w:val="none"/>
        </w:rPr>
      </w:pPr>
      <w:r>
        <w:rPr>
          <w:rFonts w:hint="eastAsia" w:hAnsi="宋体" w:cs="宋体"/>
          <w:color w:val="auto"/>
          <w:highlight w:val="none"/>
        </w:rPr>
        <w:t>统一社会信用代码：</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cs="宋体"/>
          <w:color w:val="auto"/>
          <w:highlight w:val="none"/>
        </w:rPr>
        <w:t>统一</w:t>
      </w:r>
      <w:r>
        <w:rPr>
          <w:rFonts w:hint="eastAsia" w:hAnsi="宋体" w:cs="宋体"/>
          <w:color w:val="auto"/>
          <w:highlight w:val="none"/>
        </w:rPr>
        <w:t>社会信用代码：</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p>
    <w:p w14:paraId="60105E5E">
      <w:pPr>
        <w:spacing w:line="360" w:lineRule="auto"/>
        <w:rPr>
          <w:color w:val="auto"/>
          <w:highlight w:val="none"/>
        </w:rPr>
      </w:pPr>
      <w:r>
        <w:rPr>
          <w:rFonts w:hint="eastAsia" w:hAnsi="宋体" w:cs="宋体"/>
          <w:color w:val="auto"/>
          <w:highlight w:val="none"/>
        </w:rPr>
        <w:t>地</w:t>
      </w:r>
      <w:r>
        <w:rPr>
          <w:color w:val="auto"/>
          <w:highlight w:val="none"/>
        </w:rPr>
        <w:t xml:space="preserve">  </w:t>
      </w:r>
      <w:r>
        <w:rPr>
          <w:rFonts w:hint="eastAsia" w:hAnsi="宋体" w:cs="宋体"/>
          <w:color w:val="auto"/>
          <w:highlight w:val="none"/>
        </w:rPr>
        <w:t>址：</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hAnsi="宋体" w:cs="宋体"/>
          <w:color w:val="auto"/>
          <w:highlight w:val="none"/>
        </w:rPr>
        <w:t>地</w:t>
      </w:r>
      <w:r>
        <w:rPr>
          <w:color w:val="auto"/>
          <w:highlight w:val="none"/>
        </w:rPr>
        <w:t xml:space="preserve">  </w:t>
      </w:r>
      <w:r>
        <w:rPr>
          <w:rFonts w:hint="eastAsia" w:hAnsi="宋体" w:cs="宋体"/>
          <w:color w:val="auto"/>
          <w:highlight w:val="none"/>
        </w:rPr>
        <w:t>址：</w:t>
      </w:r>
      <w:r>
        <w:rPr>
          <w:color w:val="auto"/>
          <w:highlight w:val="none"/>
          <w:u w:val="single"/>
        </w:rPr>
        <w:t xml:space="preserve">        </w:t>
      </w:r>
      <w:r>
        <w:rPr>
          <w:rFonts w:hint="eastAsia"/>
          <w:color w:val="auto"/>
          <w:highlight w:val="none"/>
          <w:u w:val="single"/>
        </w:rPr>
        <w:t xml:space="preserve">                    </w:t>
      </w:r>
    </w:p>
    <w:p w14:paraId="4A77FE38">
      <w:pPr>
        <w:spacing w:line="360" w:lineRule="auto"/>
        <w:rPr>
          <w:color w:val="auto"/>
          <w:highlight w:val="none"/>
        </w:rPr>
      </w:pPr>
      <w:r>
        <w:rPr>
          <w:rFonts w:hint="eastAsia" w:hAnsi="宋体" w:cs="宋体"/>
          <w:color w:val="auto"/>
          <w:highlight w:val="none"/>
        </w:rPr>
        <w:t>邮政编码：</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color w:val="auto"/>
          <w:highlight w:val="none"/>
        </w:rPr>
        <w:t xml:space="preserve"> </w:t>
      </w:r>
      <w:r>
        <w:rPr>
          <w:rFonts w:hint="eastAsia" w:hAnsi="宋体" w:cs="宋体"/>
          <w:color w:val="auto"/>
          <w:highlight w:val="none"/>
        </w:rPr>
        <w:t>邮政编码：</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p>
    <w:p w14:paraId="5C9E966E">
      <w:pPr>
        <w:spacing w:line="360" w:lineRule="auto"/>
        <w:rPr>
          <w:color w:val="auto"/>
          <w:highlight w:val="none"/>
        </w:rPr>
      </w:pPr>
      <w:r>
        <w:rPr>
          <w:rFonts w:hint="eastAsia" w:hAnsi="宋体" w:cs="宋体"/>
          <w:color w:val="auto"/>
          <w:highlight w:val="none"/>
        </w:rPr>
        <w:t>法定代表人：</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hAnsi="宋体" w:cs="宋体"/>
          <w:color w:val="auto"/>
          <w:highlight w:val="none"/>
        </w:rPr>
        <w:t>法定代表人：</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p>
    <w:p w14:paraId="47074665">
      <w:pPr>
        <w:spacing w:line="360" w:lineRule="auto"/>
        <w:rPr>
          <w:color w:val="auto"/>
          <w:highlight w:val="none"/>
        </w:rPr>
      </w:pPr>
      <w:r>
        <w:rPr>
          <w:rFonts w:hint="eastAsia" w:hAnsi="宋体" w:cs="宋体"/>
          <w:color w:val="auto"/>
          <w:highlight w:val="none"/>
        </w:rPr>
        <w:t>委托代理人：</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hAnsi="宋体" w:cs="宋体"/>
          <w:color w:val="auto"/>
          <w:highlight w:val="none"/>
        </w:rPr>
        <w:t>委托代理人：</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p>
    <w:p w14:paraId="5EAD314D">
      <w:pPr>
        <w:spacing w:line="360" w:lineRule="auto"/>
        <w:rPr>
          <w:color w:val="auto"/>
          <w:highlight w:val="none"/>
        </w:rPr>
      </w:pPr>
      <w:r>
        <w:rPr>
          <w:rFonts w:hint="eastAsia" w:hAnsi="宋体" w:cs="宋体"/>
          <w:color w:val="auto"/>
          <w:highlight w:val="none"/>
        </w:rPr>
        <w:t>电</w:t>
      </w:r>
      <w:r>
        <w:rPr>
          <w:color w:val="auto"/>
          <w:highlight w:val="none"/>
        </w:rPr>
        <w:t xml:space="preserve">  </w:t>
      </w:r>
      <w:r>
        <w:rPr>
          <w:rFonts w:hint="eastAsia" w:hAnsi="宋体" w:cs="宋体"/>
          <w:color w:val="auto"/>
          <w:highlight w:val="none"/>
        </w:rPr>
        <w:t>话：</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hAnsi="宋体" w:cs="宋体"/>
          <w:color w:val="auto"/>
          <w:highlight w:val="none"/>
        </w:rPr>
        <w:t>电</w:t>
      </w:r>
      <w:r>
        <w:rPr>
          <w:color w:val="auto"/>
          <w:highlight w:val="none"/>
        </w:rPr>
        <w:t xml:space="preserve">  </w:t>
      </w:r>
      <w:r>
        <w:rPr>
          <w:rFonts w:hint="eastAsia" w:hAnsi="宋体" w:cs="宋体"/>
          <w:color w:val="auto"/>
          <w:highlight w:val="none"/>
        </w:rPr>
        <w:t>话：</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p>
    <w:p w14:paraId="3D754EAA">
      <w:pPr>
        <w:spacing w:line="360" w:lineRule="auto"/>
        <w:rPr>
          <w:color w:val="auto"/>
          <w:highlight w:val="none"/>
        </w:rPr>
      </w:pPr>
      <w:r>
        <w:rPr>
          <w:rFonts w:hint="eastAsia" w:hAnsi="宋体" w:cs="宋体"/>
          <w:color w:val="auto"/>
          <w:highlight w:val="none"/>
        </w:rPr>
        <w:t>传</w:t>
      </w:r>
      <w:r>
        <w:rPr>
          <w:color w:val="auto"/>
          <w:highlight w:val="none"/>
        </w:rPr>
        <w:t xml:space="preserve">  </w:t>
      </w:r>
      <w:r>
        <w:rPr>
          <w:rFonts w:hint="eastAsia" w:hAnsi="宋体" w:cs="宋体"/>
          <w:color w:val="auto"/>
          <w:highlight w:val="none"/>
        </w:rPr>
        <w:t>真：</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hAnsi="宋体" w:cs="宋体"/>
          <w:color w:val="auto"/>
          <w:highlight w:val="none"/>
        </w:rPr>
        <w:t>传</w:t>
      </w:r>
      <w:r>
        <w:rPr>
          <w:color w:val="auto"/>
          <w:highlight w:val="none"/>
        </w:rPr>
        <w:t xml:space="preserve">  </w:t>
      </w:r>
      <w:r>
        <w:rPr>
          <w:rFonts w:hint="eastAsia" w:hAnsi="宋体" w:cs="宋体"/>
          <w:color w:val="auto"/>
          <w:highlight w:val="none"/>
        </w:rPr>
        <w:t>真：</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p>
    <w:p w14:paraId="6AD8E8C4">
      <w:pPr>
        <w:spacing w:line="360" w:lineRule="auto"/>
        <w:rPr>
          <w:color w:val="auto"/>
          <w:highlight w:val="none"/>
        </w:rPr>
      </w:pPr>
      <w:r>
        <w:rPr>
          <w:rFonts w:hint="eastAsia" w:hAnsi="宋体" w:cs="宋体"/>
          <w:color w:val="auto"/>
          <w:highlight w:val="none"/>
        </w:rPr>
        <w:t>电子信箱：</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hAnsi="宋体" w:cs="宋体"/>
          <w:color w:val="auto"/>
          <w:highlight w:val="none"/>
        </w:rPr>
        <w:t>电子信箱：</w:t>
      </w:r>
      <w:r>
        <w:rPr>
          <w:color w:val="auto"/>
          <w:highlight w:val="none"/>
          <w:u w:val="single"/>
        </w:rPr>
        <w:t xml:space="preserve">   </w:t>
      </w:r>
      <w:r>
        <w:rPr>
          <w:rFonts w:hint="eastAsia"/>
          <w:color w:val="auto"/>
          <w:highlight w:val="none"/>
          <w:u w:val="single"/>
        </w:rPr>
        <w:t xml:space="preserve">                      </w:t>
      </w:r>
    </w:p>
    <w:p w14:paraId="489872A4">
      <w:pPr>
        <w:spacing w:line="360" w:lineRule="auto"/>
        <w:rPr>
          <w:color w:val="auto"/>
          <w:highlight w:val="none"/>
        </w:rPr>
      </w:pPr>
      <w:r>
        <w:rPr>
          <w:rFonts w:hint="eastAsia" w:hAnsi="宋体" w:cs="宋体"/>
          <w:color w:val="auto"/>
          <w:highlight w:val="none"/>
        </w:rPr>
        <w:t>开户银行：</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hAnsi="宋体" w:cs="宋体"/>
          <w:color w:val="auto"/>
          <w:highlight w:val="none"/>
        </w:rPr>
        <w:t>开户银行：</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p>
    <w:p w14:paraId="709E75D0">
      <w:pPr>
        <w:spacing w:line="360" w:lineRule="auto"/>
        <w:rPr>
          <w:color w:val="auto"/>
          <w:highlight w:val="none"/>
          <w:u w:val="single"/>
        </w:rPr>
      </w:pPr>
      <w:r>
        <w:rPr>
          <w:rFonts w:hint="eastAsia" w:hAnsi="宋体" w:cs="宋体"/>
          <w:color w:val="auto"/>
          <w:highlight w:val="none"/>
        </w:rPr>
        <w:t>账</w:t>
      </w:r>
      <w:r>
        <w:rPr>
          <w:color w:val="auto"/>
          <w:highlight w:val="none"/>
        </w:rPr>
        <w:t xml:space="preserve">  </w:t>
      </w:r>
      <w:r>
        <w:rPr>
          <w:rFonts w:hint="eastAsia" w:hAnsi="宋体" w:cs="宋体"/>
          <w:color w:val="auto"/>
          <w:highlight w:val="none"/>
        </w:rPr>
        <w:t>号：</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hAnsi="宋体" w:cs="宋体"/>
          <w:color w:val="auto"/>
          <w:highlight w:val="none"/>
        </w:rPr>
        <w:t>账</w:t>
      </w:r>
      <w:r>
        <w:rPr>
          <w:color w:val="auto"/>
          <w:highlight w:val="none"/>
        </w:rPr>
        <w:t xml:space="preserve">  </w:t>
      </w:r>
      <w:r>
        <w:rPr>
          <w:rFonts w:hint="eastAsia" w:hAnsi="宋体" w:cs="宋体"/>
          <w:color w:val="auto"/>
          <w:highlight w:val="none"/>
        </w:rPr>
        <w:t>号：</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p>
    <w:p w14:paraId="515438F1">
      <w:pPr>
        <w:widowControl/>
        <w:spacing w:line="360" w:lineRule="auto"/>
        <w:jc w:val="left"/>
        <w:rPr>
          <w:color w:val="auto"/>
          <w:highlight w:val="none"/>
          <w:u w:val="single"/>
        </w:rPr>
      </w:pPr>
      <w:r>
        <w:rPr>
          <w:color w:val="auto"/>
          <w:highlight w:val="none"/>
        </w:rPr>
        <w:br w:type="page"/>
      </w:r>
    </w:p>
    <w:p w14:paraId="72CE23FA">
      <w:pPr>
        <w:spacing w:line="360" w:lineRule="auto"/>
        <w:outlineLvl w:val="9"/>
        <w:rPr>
          <w:b/>
          <w:bCs/>
          <w:color w:val="auto"/>
          <w:sz w:val="40"/>
          <w:szCs w:val="48"/>
          <w:highlight w:val="none"/>
        </w:rPr>
      </w:pPr>
      <w:bookmarkStart w:id="133" w:name="_Toc407135192"/>
      <w:bookmarkStart w:id="134" w:name="_Toc7212"/>
      <w:bookmarkStart w:id="135" w:name="_Toc389065256"/>
      <w:bookmarkStart w:id="136" w:name="_Toc86847323"/>
      <w:bookmarkStart w:id="137" w:name="_Toc78449778"/>
      <w:bookmarkStart w:id="138" w:name="_Toc373227691"/>
      <w:bookmarkStart w:id="139" w:name="_Toc351203632"/>
      <w:bookmarkStart w:id="140" w:name="_Toc373478338"/>
      <w:r>
        <w:rPr>
          <w:rFonts w:hint="eastAsia" w:cs="黑体"/>
          <w:b/>
          <w:bCs/>
          <w:color w:val="auto"/>
          <w:sz w:val="40"/>
          <w:szCs w:val="48"/>
          <w:highlight w:val="none"/>
        </w:rPr>
        <w:t>第二部分</w:t>
      </w:r>
      <w:r>
        <w:rPr>
          <w:b/>
          <w:bCs/>
          <w:color w:val="auto"/>
          <w:sz w:val="40"/>
          <w:szCs w:val="48"/>
          <w:highlight w:val="none"/>
        </w:rPr>
        <w:t xml:space="preserve"> </w:t>
      </w:r>
      <w:r>
        <w:rPr>
          <w:rFonts w:hint="eastAsia" w:cs="黑体"/>
          <w:b/>
          <w:bCs/>
          <w:color w:val="auto"/>
          <w:sz w:val="40"/>
          <w:szCs w:val="48"/>
          <w:highlight w:val="none"/>
        </w:rPr>
        <w:t>通用合同条款</w:t>
      </w:r>
      <w:bookmarkEnd w:id="133"/>
      <w:bookmarkEnd w:id="134"/>
      <w:bookmarkEnd w:id="135"/>
      <w:bookmarkEnd w:id="136"/>
      <w:bookmarkEnd w:id="137"/>
    </w:p>
    <w:p w14:paraId="71F76F7E">
      <w:pPr>
        <w:spacing w:line="360" w:lineRule="auto"/>
        <w:ind w:firstLine="420" w:firstLineChars="200"/>
        <w:rPr>
          <w:rFonts w:hAnsi="宋体"/>
          <w:color w:val="auto"/>
          <w:kern w:val="0"/>
          <w:highlight w:val="none"/>
        </w:rPr>
      </w:pPr>
    </w:p>
    <w:p w14:paraId="4D06E2A3">
      <w:pPr>
        <w:spacing w:line="360" w:lineRule="auto"/>
        <w:ind w:firstLine="422" w:firstLineChars="200"/>
        <w:rPr>
          <w:rFonts w:hAnsi="宋体"/>
          <w:b/>
          <w:bCs/>
          <w:color w:val="auto"/>
          <w:kern w:val="0"/>
          <w:highlight w:val="none"/>
        </w:rPr>
      </w:pPr>
      <w:r>
        <w:rPr>
          <w:rFonts w:hint="eastAsia" w:hAnsi="宋体" w:cs="宋体"/>
          <w:b/>
          <w:bCs/>
          <w:color w:val="auto"/>
          <w:kern w:val="0"/>
          <w:highlight w:val="none"/>
        </w:rPr>
        <w:t>采用《建设工程施工合同（示范文本）》（</w:t>
      </w:r>
      <w:r>
        <w:rPr>
          <w:rFonts w:hAnsi="宋体"/>
          <w:b/>
          <w:bCs/>
          <w:color w:val="auto"/>
          <w:kern w:val="0"/>
          <w:highlight w:val="none"/>
        </w:rPr>
        <w:t>GF</w:t>
      </w:r>
      <w:r>
        <w:rPr>
          <w:rFonts w:hAnsi="宋体" w:cs="宋体"/>
          <w:b/>
          <w:bCs/>
          <w:color w:val="auto"/>
          <w:kern w:val="0"/>
          <w:highlight w:val="none"/>
        </w:rPr>
        <w:t>—</w:t>
      </w:r>
      <w:r>
        <w:rPr>
          <w:rFonts w:hAnsi="宋体"/>
          <w:b/>
          <w:bCs/>
          <w:color w:val="auto"/>
          <w:kern w:val="0"/>
          <w:highlight w:val="none"/>
        </w:rPr>
        <w:t>201</w:t>
      </w:r>
      <w:r>
        <w:rPr>
          <w:rFonts w:hint="eastAsia" w:hAnsi="宋体"/>
          <w:b/>
          <w:bCs/>
          <w:color w:val="auto"/>
          <w:kern w:val="0"/>
          <w:highlight w:val="none"/>
        </w:rPr>
        <w:t>7</w:t>
      </w:r>
      <w:r>
        <w:rPr>
          <w:rFonts w:hAnsi="宋体" w:cs="宋体"/>
          <w:b/>
          <w:bCs/>
          <w:color w:val="auto"/>
          <w:kern w:val="0"/>
          <w:highlight w:val="none"/>
        </w:rPr>
        <w:t>—</w:t>
      </w:r>
      <w:r>
        <w:rPr>
          <w:rFonts w:hAnsi="宋体"/>
          <w:b/>
          <w:bCs/>
          <w:color w:val="auto"/>
          <w:kern w:val="0"/>
          <w:highlight w:val="none"/>
        </w:rPr>
        <w:t>0201</w:t>
      </w:r>
      <w:r>
        <w:rPr>
          <w:rFonts w:hint="eastAsia" w:hAnsi="宋体" w:cs="宋体"/>
          <w:b/>
          <w:bCs/>
          <w:color w:val="auto"/>
          <w:kern w:val="0"/>
          <w:highlight w:val="none"/>
        </w:rPr>
        <w:t>）。</w:t>
      </w:r>
    </w:p>
    <w:p w14:paraId="54BE839B">
      <w:pPr>
        <w:rPr>
          <w:rFonts w:hint="eastAsia" w:hAnsi="Times New Roman" w:cs="黑体"/>
          <w:b/>
          <w:bCs/>
          <w:color w:val="auto"/>
          <w:sz w:val="40"/>
          <w:szCs w:val="48"/>
          <w:highlight w:val="none"/>
        </w:rPr>
      </w:pPr>
      <w:bookmarkStart w:id="141" w:name="_Toc704444909"/>
      <w:bookmarkStart w:id="142" w:name="_Toc78449779"/>
      <w:bookmarkStart w:id="143" w:name="_Toc407135193"/>
      <w:bookmarkStart w:id="144" w:name="_Toc389065257"/>
      <w:bookmarkStart w:id="145" w:name="_Toc15440"/>
    </w:p>
    <w:p w14:paraId="328B8636">
      <w:pPr>
        <w:rPr>
          <w:rFonts w:hint="eastAsia" w:hAnsi="Times New Roman" w:cs="黑体"/>
          <w:b/>
          <w:bCs/>
          <w:color w:val="auto"/>
          <w:sz w:val="40"/>
          <w:szCs w:val="48"/>
          <w:highlight w:val="none"/>
        </w:rPr>
      </w:pPr>
      <w:r>
        <w:rPr>
          <w:rFonts w:hint="eastAsia" w:hAnsi="Times New Roman" w:cs="黑体"/>
          <w:b/>
          <w:bCs/>
          <w:color w:val="auto"/>
          <w:sz w:val="40"/>
          <w:szCs w:val="48"/>
          <w:highlight w:val="none"/>
        </w:rPr>
        <w:t>第三部分</w:t>
      </w:r>
      <w:r>
        <w:rPr>
          <w:rFonts w:hint="eastAsia" w:cs="黑体"/>
          <w:b/>
          <w:bCs/>
          <w:color w:val="auto"/>
          <w:sz w:val="40"/>
          <w:szCs w:val="48"/>
          <w:highlight w:val="none"/>
        </w:rPr>
        <w:t xml:space="preserve"> </w:t>
      </w:r>
      <w:r>
        <w:rPr>
          <w:rFonts w:hint="eastAsia" w:hAnsi="Times New Roman" w:cs="黑体"/>
          <w:b/>
          <w:bCs/>
          <w:color w:val="auto"/>
          <w:sz w:val="40"/>
          <w:szCs w:val="48"/>
          <w:highlight w:val="none"/>
        </w:rPr>
        <w:t>专用合同条款</w:t>
      </w:r>
      <w:bookmarkEnd w:id="138"/>
      <w:bookmarkEnd w:id="139"/>
      <w:bookmarkEnd w:id="140"/>
      <w:bookmarkEnd w:id="141"/>
      <w:bookmarkEnd w:id="142"/>
      <w:bookmarkEnd w:id="143"/>
      <w:bookmarkEnd w:id="144"/>
      <w:bookmarkEnd w:id="145"/>
    </w:p>
    <w:p w14:paraId="13DC4C01">
      <w:pPr>
        <w:spacing w:line="360" w:lineRule="auto"/>
        <w:jc w:val="center"/>
        <w:rPr>
          <w:rFonts w:hAnsi="宋体"/>
          <w:b/>
          <w:bCs/>
          <w:color w:val="auto"/>
          <w:kern w:val="0"/>
          <w:highlight w:val="none"/>
        </w:rPr>
      </w:pPr>
      <w:r>
        <w:rPr>
          <w:rFonts w:hint="eastAsia" w:hAnsi="宋体" w:cs="宋体"/>
          <w:b/>
          <w:bCs/>
          <w:color w:val="auto"/>
          <w:kern w:val="0"/>
          <w:highlight w:val="none"/>
        </w:rPr>
        <w:t>（注：专用合同条款每一条均应填写完整！）</w:t>
      </w:r>
    </w:p>
    <w:p w14:paraId="52E69568">
      <w:pPr>
        <w:spacing w:line="360" w:lineRule="auto"/>
        <w:outlineLvl w:val="9"/>
        <w:rPr>
          <w:color w:val="auto"/>
          <w:highlight w:val="none"/>
        </w:rPr>
      </w:pPr>
      <w:bookmarkStart w:id="146" w:name="_Toc7869"/>
      <w:bookmarkStart w:id="147" w:name="_Toc389065258"/>
      <w:bookmarkStart w:id="148" w:name="_Toc373478339"/>
      <w:bookmarkStart w:id="149" w:name="_Toc1013968286"/>
      <w:bookmarkStart w:id="150" w:name="_Toc407135194"/>
      <w:bookmarkStart w:id="151" w:name="_Toc78449780"/>
      <w:bookmarkStart w:id="152" w:name="_Toc373227692"/>
      <w:bookmarkStart w:id="153" w:name="_Toc351203633"/>
      <w:r>
        <w:rPr>
          <w:color w:val="auto"/>
          <w:highlight w:val="none"/>
        </w:rPr>
        <w:t>1</w:t>
      </w:r>
      <w:bookmarkStart w:id="154" w:name="_Toc292559866"/>
      <w:bookmarkStart w:id="155" w:name="_Toc296891196"/>
      <w:bookmarkStart w:id="156" w:name="_Toc296347155"/>
      <w:bookmarkStart w:id="157" w:name="_Toc297120456"/>
      <w:bookmarkStart w:id="158" w:name="_Toc296944495"/>
      <w:bookmarkStart w:id="159" w:name="_Toc296346657"/>
      <w:bookmarkStart w:id="160" w:name="_Toc297048342"/>
      <w:bookmarkStart w:id="161" w:name="_Toc292559361"/>
      <w:bookmarkStart w:id="162" w:name="_Toc296503156"/>
      <w:bookmarkStart w:id="163" w:name="_Toc296890984"/>
      <w:r>
        <w:rPr>
          <w:color w:val="auto"/>
          <w:highlight w:val="none"/>
        </w:rPr>
        <w:t xml:space="preserve">. </w:t>
      </w:r>
      <w:r>
        <w:rPr>
          <w:rFonts w:hint="eastAsia" w:hAnsi="宋体" w:cs="黑体"/>
          <w:color w:val="auto"/>
          <w:highlight w:val="none"/>
        </w:rPr>
        <w:t>一般约定</w:t>
      </w:r>
      <w:bookmarkEnd w:id="146"/>
      <w:bookmarkEnd w:id="147"/>
      <w:bookmarkEnd w:id="148"/>
      <w:bookmarkEnd w:id="149"/>
      <w:bookmarkEnd w:id="150"/>
      <w:bookmarkEnd w:id="151"/>
      <w:bookmarkEnd w:id="152"/>
      <w:bookmarkEnd w:id="153"/>
    </w:p>
    <w:bookmarkEnd w:id="154"/>
    <w:bookmarkEnd w:id="155"/>
    <w:bookmarkEnd w:id="156"/>
    <w:bookmarkEnd w:id="157"/>
    <w:bookmarkEnd w:id="158"/>
    <w:bookmarkEnd w:id="159"/>
    <w:bookmarkEnd w:id="160"/>
    <w:bookmarkEnd w:id="161"/>
    <w:bookmarkEnd w:id="162"/>
    <w:bookmarkEnd w:id="163"/>
    <w:p w14:paraId="064E96D4">
      <w:pPr>
        <w:spacing w:line="360" w:lineRule="auto"/>
        <w:outlineLvl w:val="9"/>
        <w:rPr>
          <w:color w:val="auto"/>
          <w:highlight w:val="none"/>
        </w:rPr>
      </w:pPr>
      <w:bookmarkStart w:id="164" w:name="_Toc78449781"/>
      <w:bookmarkStart w:id="165" w:name="_Toc17652"/>
      <w:bookmarkStart w:id="166" w:name="_Toc389065259"/>
      <w:bookmarkStart w:id="167" w:name="_Toc373478340"/>
      <w:bookmarkStart w:id="168" w:name="_Toc31903"/>
      <w:bookmarkStart w:id="169" w:name="_Toc373227693"/>
      <w:bookmarkStart w:id="170" w:name="_Toc407135195"/>
      <w:bookmarkStart w:id="171" w:name="_Toc1618220701"/>
      <w:r>
        <w:rPr>
          <w:color w:val="auto"/>
          <w:highlight w:val="none"/>
        </w:rPr>
        <w:t xml:space="preserve">1.1 </w:t>
      </w:r>
      <w:r>
        <w:rPr>
          <w:rFonts w:hint="eastAsia" w:hAnsi="宋体" w:cs="黑体"/>
          <w:color w:val="auto"/>
          <w:highlight w:val="none"/>
        </w:rPr>
        <w:t>词语定义</w:t>
      </w:r>
      <w:bookmarkEnd w:id="164"/>
      <w:bookmarkEnd w:id="165"/>
      <w:bookmarkEnd w:id="166"/>
      <w:bookmarkEnd w:id="167"/>
      <w:bookmarkEnd w:id="168"/>
      <w:bookmarkEnd w:id="169"/>
      <w:bookmarkEnd w:id="170"/>
      <w:bookmarkEnd w:id="171"/>
    </w:p>
    <w:p w14:paraId="3A2AF73D">
      <w:pPr>
        <w:spacing w:line="360" w:lineRule="auto"/>
        <w:ind w:firstLine="420" w:firstLineChars="200"/>
        <w:rPr>
          <w:color w:val="auto"/>
          <w:kern w:val="0"/>
          <w:highlight w:val="none"/>
        </w:rPr>
      </w:pPr>
      <w:r>
        <w:rPr>
          <w:color w:val="auto"/>
          <w:kern w:val="0"/>
          <w:highlight w:val="none"/>
        </w:rPr>
        <w:t xml:space="preserve">1.1.1 </w:t>
      </w:r>
      <w:r>
        <w:rPr>
          <w:rFonts w:hint="eastAsia" w:hAnsi="宋体" w:cs="宋体"/>
          <w:color w:val="auto"/>
          <w:kern w:val="0"/>
          <w:highlight w:val="none"/>
        </w:rPr>
        <w:t>合同</w:t>
      </w:r>
    </w:p>
    <w:p w14:paraId="16EEAB10">
      <w:pPr>
        <w:spacing w:line="360" w:lineRule="auto"/>
        <w:ind w:firstLine="420" w:firstLineChars="200"/>
        <w:rPr>
          <w:color w:val="auto"/>
          <w:kern w:val="0"/>
          <w:highlight w:val="none"/>
        </w:rPr>
      </w:pPr>
      <w:r>
        <w:rPr>
          <w:color w:val="auto"/>
          <w:kern w:val="0"/>
          <w:highlight w:val="none"/>
        </w:rPr>
        <w:t xml:space="preserve">1.1.1.10 </w:t>
      </w:r>
      <w:r>
        <w:rPr>
          <w:rFonts w:hint="eastAsia" w:hAnsi="宋体" w:cs="宋体"/>
          <w:color w:val="auto"/>
          <w:kern w:val="0"/>
          <w:highlight w:val="none"/>
        </w:rPr>
        <w:t>其他合同文件包括：</w:t>
      </w:r>
      <w:r>
        <w:rPr>
          <w:rFonts w:hint="eastAsia" w:hAnsi="宋体" w:cs="宋体"/>
          <w:color w:val="auto"/>
          <w:kern w:val="0"/>
          <w:highlight w:val="none"/>
          <w:u w:val="single"/>
        </w:rPr>
        <w:t>自治区建设行政主管部门颁布的建设工程全过程计价规范及多层级工程量清单计算规范，投标文件澄清或说明的文件和回复文件，</w:t>
      </w:r>
      <w:r>
        <w:rPr>
          <w:color w:val="auto"/>
          <w:highlight w:val="none"/>
          <w:u w:val="single"/>
        </w:rPr>
        <w:t xml:space="preserve">                      </w:t>
      </w:r>
      <w:r>
        <w:rPr>
          <w:rFonts w:hint="eastAsia" w:hAnsi="宋体" w:cs="宋体"/>
          <w:color w:val="auto"/>
          <w:highlight w:val="none"/>
        </w:rPr>
        <w:t>。</w:t>
      </w:r>
    </w:p>
    <w:p w14:paraId="39971B77">
      <w:pPr>
        <w:spacing w:line="360" w:lineRule="auto"/>
        <w:ind w:firstLine="420" w:firstLineChars="200"/>
        <w:rPr>
          <w:color w:val="auto"/>
          <w:highlight w:val="none"/>
        </w:rPr>
      </w:pPr>
      <w:r>
        <w:rPr>
          <w:color w:val="auto"/>
          <w:highlight w:val="none"/>
        </w:rPr>
        <w:t xml:space="preserve">1.1.2 </w:t>
      </w:r>
      <w:r>
        <w:rPr>
          <w:rFonts w:hint="eastAsia" w:hAnsi="宋体" w:cs="宋体"/>
          <w:color w:val="auto"/>
          <w:highlight w:val="none"/>
        </w:rPr>
        <w:t>合同当事人及其他相关方</w:t>
      </w:r>
    </w:p>
    <w:p w14:paraId="5427D6D3">
      <w:pPr>
        <w:spacing w:line="360" w:lineRule="auto"/>
        <w:ind w:firstLine="420" w:firstLineChars="200"/>
        <w:outlineLvl w:val="9"/>
        <w:rPr>
          <w:color w:val="auto"/>
          <w:highlight w:val="none"/>
        </w:rPr>
      </w:pPr>
      <w:r>
        <w:rPr>
          <w:color w:val="auto"/>
          <w:highlight w:val="none"/>
        </w:rPr>
        <w:t xml:space="preserve">1.1.2.4 </w:t>
      </w:r>
      <w:r>
        <w:rPr>
          <w:rFonts w:hint="eastAsia" w:hAnsi="宋体" w:cs="宋体"/>
          <w:color w:val="auto"/>
          <w:highlight w:val="none"/>
        </w:rPr>
        <w:t>监理人：</w:t>
      </w:r>
    </w:p>
    <w:p w14:paraId="34F92A99">
      <w:pPr>
        <w:spacing w:line="360" w:lineRule="auto"/>
        <w:ind w:firstLine="420" w:firstLineChars="200"/>
        <w:rPr>
          <w:color w:val="auto"/>
          <w:highlight w:val="none"/>
        </w:rPr>
      </w:pPr>
      <w:r>
        <w:rPr>
          <w:rFonts w:hint="eastAsia" w:hAnsi="宋体" w:cs="宋体"/>
          <w:color w:val="auto"/>
          <w:highlight w:val="none"/>
        </w:rPr>
        <w:t>名</w:t>
      </w:r>
      <w:r>
        <w:rPr>
          <w:color w:val="auto"/>
          <w:highlight w:val="none"/>
        </w:rPr>
        <w:t xml:space="preserve">    </w:t>
      </w:r>
      <w:r>
        <w:rPr>
          <w:rFonts w:hint="eastAsia" w:hAnsi="宋体" w:cs="宋体"/>
          <w:color w:val="auto"/>
          <w:highlight w:val="none"/>
        </w:rPr>
        <w:t>称：</w:t>
      </w:r>
      <w:r>
        <w:rPr>
          <w:color w:val="auto"/>
          <w:highlight w:val="none"/>
          <w:u w:val="single"/>
        </w:rPr>
        <w:t xml:space="preserve">                </w:t>
      </w:r>
      <w:r>
        <w:rPr>
          <w:rFonts w:hint="eastAsia" w:hAnsi="宋体" w:cs="宋体"/>
          <w:color w:val="auto"/>
          <w:highlight w:val="none"/>
        </w:rPr>
        <w:t>；</w:t>
      </w:r>
    </w:p>
    <w:p w14:paraId="10F8EDC6">
      <w:pPr>
        <w:spacing w:line="360" w:lineRule="auto"/>
        <w:ind w:firstLine="420" w:firstLineChars="200"/>
        <w:rPr>
          <w:color w:val="auto"/>
          <w:highlight w:val="none"/>
        </w:rPr>
      </w:pPr>
      <w:r>
        <w:rPr>
          <w:rFonts w:hint="eastAsia" w:hAnsi="宋体" w:cs="宋体"/>
          <w:color w:val="auto"/>
          <w:highlight w:val="none"/>
        </w:rPr>
        <w:t>资质类别和等级：</w:t>
      </w:r>
      <w:r>
        <w:rPr>
          <w:color w:val="auto"/>
          <w:highlight w:val="none"/>
          <w:u w:val="single"/>
        </w:rPr>
        <w:t xml:space="preserve">               </w:t>
      </w:r>
      <w:r>
        <w:rPr>
          <w:rFonts w:hint="eastAsia" w:hAnsi="宋体" w:cs="宋体"/>
          <w:color w:val="auto"/>
          <w:highlight w:val="none"/>
        </w:rPr>
        <w:t>；</w:t>
      </w:r>
    </w:p>
    <w:p w14:paraId="4955614C">
      <w:pPr>
        <w:spacing w:line="360" w:lineRule="auto"/>
        <w:ind w:firstLine="420" w:firstLineChars="200"/>
        <w:rPr>
          <w:color w:val="auto"/>
          <w:highlight w:val="none"/>
        </w:rPr>
      </w:pPr>
      <w:r>
        <w:rPr>
          <w:rFonts w:hint="eastAsia" w:hAnsi="宋体" w:cs="宋体"/>
          <w:color w:val="auto"/>
          <w:highlight w:val="none"/>
        </w:rPr>
        <w:t>联系电话：</w:t>
      </w:r>
      <w:r>
        <w:rPr>
          <w:color w:val="auto"/>
          <w:highlight w:val="none"/>
          <w:u w:val="single"/>
        </w:rPr>
        <w:t xml:space="preserve">                </w:t>
      </w:r>
      <w:r>
        <w:rPr>
          <w:rFonts w:hint="eastAsia" w:hAnsi="宋体" w:cs="宋体"/>
          <w:color w:val="auto"/>
          <w:highlight w:val="none"/>
        </w:rPr>
        <w:t>；</w:t>
      </w:r>
    </w:p>
    <w:p w14:paraId="15A708F2">
      <w:pPr>
        <w:spacing w:line="360" w:lineRule="auto"/>
        <w:ind w:firstLine="420" w:firstLineChars="200"/>
        <w:rPr>
          <w:color w:val="auto"/>
          <w:highlight w:val="none"/>
        </w:rPr>
      </w:pPr>
      <w:r>
        <w:rPr>
          <w:rFonts w:hint="eastAsia" w:hAnsi="宋体" w:cs="宋体"/>
          <w:color w:val="auto"/>
          <w:highlight w:val="none"/>
        </w:rPr>
        <w:t>电子信箱：</w:t>
      </w:r>
      <w:r>
        <w:rPr>
          <w:color w:val="auto"/>
          <w:highlight w:val="none"/>
          <w:u w:val="single"/>
        </w:rPr>
        <w:t xml:space="preserve">                </w:t>
      </w:r>
      <w:r>
        <w:rPr>
          <w:rFonts w:hint="eastAsia" w:hAnsi="宋体" w:cs="宋体"/>
          <w:color w:val="auto"/>
          <w:highlight w:val="none"/>
        </w:rPr>
        <w:t>；</w:t>
      </w:r>
    </w:p>
    <w:p w14:paraId="12CE2016">
      <w:pPr>
        <w:spacing w:line="360" w:lineRule="auto"/>
        <w:ind w:firstLine="420" w:firstLineChars="200"/>
        <w:rPr>
          <w:color w:val="auto"/>
          <w:highlight w:val="none"/>
        </w:rPr>
      </w:pPr>
      <w:r>
        <w:rPr>
          <w:rFonts w:hint="eastAsia" w:hAnsi="宋体" w:cs="宋体"/>
          <w:color w:val="auto"/>
          <w:highlight w:val="none"/>
        </w:rPr>
        <w:t>通信地址：</w:t>
      </w:r>
      <w:r>
        <w:rPr>
          <w:color w:val="auto"/>
          <w:highlight w:val="none"/>
          <w:u w:val="single"/>
        </w:rPr>
        <w:t xml:space="preserve">                </w:t>
      </w:r>
      <w:r>
        <w:rPr>
          <w:rFonts w:hint="eastAsia" w:hAnsi="宋体" w:cs="宋体"/>
          <w:color w:val="auto"/>
          <w:highlight w:val="none"/>
        </w:rPr>
        <w:t>。</w:t>
      </w:r>
    </w:p>
    <w:p w14:paraId="04855B0A">
      <w:pPr>
        <w:spacing w:line="360" w:lineRule="auto"/>
        <w:ind w:firstLine="420" w:firstLineChars="200"/>
        <w:outlineLvl w:val="9"/>
        <w:rPr>
          <w:color w:val="auto"/>
          <w:highlight w:val="none"/>
        </w:rPr>
      </w:pPr>
      <w:r>
        <w:rPr>
          <w:color w:val="auto"/>
          <w:highlight w:val="none"/>
        </w:rPr>
        <w:t xml:space="preserve">1.1.2.5 </w:t>
      </w:r>
      <w:r>
        <w:rPr>
          <w:rFonts w:hint="eastAsia" w:hAnsi="宋体" w:cs="宋体"/>
          <w:color w:val="auto"/>
          <w:highlight w:val="none"/>
        </w:rPr>
        <w:t>设计人：</w:t>
      </w:r>
    </w:p>
    <w:p w14:paraId="5FC1AF42">
      <w:pPr>
        <w:spacing w:line="360" w:lineRule="auto"/>
        <w:ind w:firstLine="420" w:firstLineChars="200"/>
        <w:rPr>
          <w:color w:val="auto"/>
          <w:highlight w:val="none"/>
        </w:rPr>
      </w:pPr>
      <w:r>
        <w:rPr>
          <w:rFonts w:hint="eastAsia" w:hAnsi="宋体" w:cs="宋体"/>
          <w:color w:val="auto"/>
          <w:highlight w:val="none"/>
        </w:rPr>
        <w:t>名</w:t>
      </w:r>
      <w:r>
        <w:rPr>
          <w:color w:val="auto"/>
          <w:highlight w:val="none"/>
        </w:rPr>
        <w:t xml:space="preserve">    </w:t>
      </w:r>
      <w:r>
        <w:rPr>
          <w:rFonts w:hint="eastAsia" w:hAnsi="宋体" w:cs="宋体"/>
          <w:color w:val="auto"/>
          <w:highlight w:val="none"/>
        </w:rPr>
        <w:t>称：</w:t>
      </w:r>
      <w:r>
        <w:rPr>
          <w:color w:val="auto"/>
          <w:highlight w:val="none"/>
          <w:u w:val="single"/>
        </w:rPr>
        <w:t xml:space="preserve">                 </w:t>
      </w:r>
      <w:r>
        <w:rPr>
          <w:rFonts w:hint="eastAsia" w:hAnsi="宋体" w:cs="宋体"/>
          <w:color w:val="auto"/>
          <w:highlight w:val="none"/>
        </w:rPr>
        <w:t>；</w:t>
      </w:r>
    </w:p>
    <w:p w14:paraId="086244DE">
      <w:pPr>
        <w:spacing w:line="360" w:lineRule="auto"/>
        <w:ind w:firstLine="420" w:firstLineChars="200"/>
        <w:rPr>
          <w:color w:val="auto"/>
          <w:highlight w:val="none"/>
        </w:rPr>
      </w:pPr>
      <w:r>
        <w:rPr>
          <w:rFonts w:hint="eastAsia" w:hAnsi="宋体" w:cs="宋体"/>
          <w:color w:val="auto"/>
          <w:highlight w:val="none"/>
        </w:rPr>
        <w:t>资质类别和等级：</w:t>
      </w:r>
      <w:r>
        <w:rPr>
          <w:color w:val="auto"/>
          <w:highlight w:val="none"/>
          <w:u w:val="single"/>
        </w:rPr>
        <w:t xml:space="preserve">               </w:t>
      </w:r>
      <w:r>
        <w:rPr>
          <w:rFonts w:hint="eastAsia" w:hAnsi="宋体" w:cs="宋体"/>
          <w:color w:val="auto"/>
          <w:highlight w:val="none"/>
        </w:rPr>
        <w:t>；</w:t>
      </w:r>
    </w:p>
    <w:p w14:paraId="7F0E4CD9">
      <w:pPr>
        <w:spacing w:line="360" w:lineRule="auto"/>
        <w:ind w:firstLine="420" w:firstLineChars="200"/>
        <w:rPr>
          <w:color w:val="auto"/>
          <w:highlight w:val="none"/>
        </w:rPr>
      </w:pPr>
      <w:r>
        <w:rPr>
          <w:rFonts w:hint="eastAsia" w:hAnsi="宋体" w:cs="宋体"/>
          <w:color w:val="auto"/>
          <w:highlight w:val="none"/>
        </w:rPr>
        <w:t>联系电话：</w:t>
      </w:r>
      <w:r>
        <w:rPr>
          <w:color w:val="auto"/>
          <w:highlight w:val="none"/>
          <w:u w:val="single"/>
        </w:rPr>
        <w:t xml:space="preserve">                 </w:t>
      </w:r>
      <w:r>
        <w:rPr>
          <w:rFonts w:hint="eastAsia" w:hAnsi="宋体" w:cs="宋体"/>
          <w:color w:val="auto"/>
          <w:highlight w:val="none"/>
        </w:rPr>
        <w:t>；</w:t>
      </w:r>
    </w:p>
    <w:p w14:paraId="3A2C318E">
      <w:pPr>
        <w:spacing w:line="360" w:lineRule="auto"/>
        <w:ind w:firstLine="420" w:firstLineChars="200"/>
        <w:rPr>
          <w:color w:val="auto"/>
          <w:highlight w:val="none"/>
        </w:rPr>
      </w:pPr>
      <w:r>
        <w:rPr>
          <w:rFonts w:hint="eastAsia" w:hAnsi="宋体" w:cs="宋体"/>
          <w:color w:val="auto"/>
          <w:highlight w:val="none"/>
        </w:rPr>
        <w:t>电子信箱：</w:t>
      </w:r>
      <w:r>
        <w:rPr>
          <w:color w:val="auto"/>
          <w:highlight w:val="none"/>
          <w:u w:val="single"/>
        </w:rPr>
        <w:t xml:space="preserve">                    </w:t>
      </w:r>
      <w:r>
        <w:rPr>
          <w:rFonts w:hint="eastAsia" w:hAnsi="宋体" w:cs="宋体"/>
          <w:color w:val="auto"/>
          <w:highlight w:val="none"/>
        </w:rPr>
        <w:t>；</w:t>
      </w:r>
    </w:p>
    <w:p w14:paraId="7A4AC646">
      <w:pPr>
        <w:spacing w:line="360" w:lineRule="auto"/>
        <w:ind w:firstLine="420" w:firstLineChars="200"/>
        <w:rPr>
          <w:color w:val="auto"/>
          <w:highlight w:val="none"/>
        </w:rPr>
      </w:pPr>
      <w:r>
        <w:rPr>
          <w:rFonts w:hint="eastAsia" w:hAnsi="宋体" w:cs="宋体"/>
          <w:color w:val="auto"/>
          <w:highlight w:val="none"/>
        </w:rPr>
        <w:t>通信地址：</w:t>
      </w:r>
      <w:r>
        <w:rPr>
          <w:color w:val="auto"/>
          <w:highlight w:val="none"/>
          <w:u w:val="single"/>
        </w:rPr>
        <w:t xml:space="preserve">                </w:t>
      </w:r>
      <w:r>
        <w:rPr>
          <w:rFonts w:hint="eastAsia" w:hAnsi="宋体" w:cs="宋体"/>
          <w:color w:val="auto"/>
          <w:highlight w:val="none"/>
        </w:rPr>
        <w:t>。</w:t>
      </w:r>
    </w:p>
    <w:p w14:paraId="056E469C">
      <w:pPr>
        <w:spacing w:line="360" w:lineRule="auto"/>
        <w:ind w:firstLine="420" w:firstLineChars="200"/>
        <w:rPr>
          <w:color w:val="auto"/>
          <w:highlight w:val="none"/>
        </w:rPr>
      </w:pPr>
      <w:r>
        <w:rPr>
          <w:color w:val="auto"/>
          <w:highlight w:val="none"/>
        </w:rPr>
        <w:t xml:space="preserve">1.1.3 </w:t>
      </w:r>
      <w:r>
        <w:rPr>
          <w:rFonts w:hint="eastAsia" w:hAnsi="宋体" w:cs="宋体"/>
          <w:color w:val="auto"/>
          <w:highlight w:val="none"/>
        </w:rPr>
        <w:t>工程和设备</w:t>
      </w:r>
    </w:p>
    <w:p w14:paraId="181F599F">
      <w:pPr>
        <w:spacing w:line="360" w:lineRule="auto"/>
        <w:ind w:firstLine="420" w:firstLineChars="200"/>
        <w:outlineLvl w:val="9"/>
        <w:rPr>
          <w:color w:val="auto"/>
          <w:highlight w:val="none"/>
        </w:rPr>
      </w:pPr>
      <w:r>
        <w:rPr>
          <w:color w:val="auto"/>
          <w:highlight w:val="none"/>
        </w:rPr>
        <w:t xml:space="preserve">1.1.3.7 </w:t>
      </w:r>
      <w:r>
        <w:rPr>
          <w:rFonts w:hint="eastAsia" w:hAnsi="宋体" w:cs="宋体"/>
          <w:color w:val="auto"/>
          <w:highlight w:val="none"/>
        </w:rPr>
        <w:t>作为施工现场组成部分的其他场所包括：永久及临时占地、施工道路、工棚、施工办公生活区、加工场等</w:t>
      </w:r>
      <w:r>
        <w:rPr>
          <w:rFonts w:hAnsi="宋体"/>
          <w:color w:val="auto"/>
          <w:highlight w:val="none"/>
          <w:u w:val="single"/>
        </w:rPr>
        <w:t xml:space="preserve"> </w:t>
      </w:r>
      <w:r>
        <w:rPr>
          <w:rFonts w:hint="eastAsia" w:hAnsi="宋体" w:cs="宋体"/>
          <w:color w:val="auto"/>
          <w:highlight w:val="none"/>
        </w:rPr>
        <w:t>。</w:t>
      </w:r>
    </w:p>
    <w:p w14:paraId="0A421F42">
      <w:pPr>
        <w:spacing w:line="360" w:lineRule="auto"/>
        <w:ind w:firstLine="420" w:firstLineChars="200"/>
        <w:jc w:val="left"/>
        <w:rPr>
          <w:color w:val="auto"/>
          <w:kern w:val="0"/>
          <w:highlight w:val="none"/>
        </w:rPr>
      </w:pPr>
      <w:r>
        <w:rPr>
          <w:color w:val="auto"/>
          <w:kern w:val="0"/>
          <w:highlight w:val="none"/>
        </w:rPr>
        <w:t xml:space="preserve">1.1.3.9 </w:t>
      </w:r>
      <w:r>
        <w:rPr>
          <w:rFonts w:hint="eastAsia" w:hAnsi="宋体" w:cs="宋体"/>
          <w:color w:val="auto"/>
          <w:kern w:val="0"/>
          <w:highlight w:val="none"/>
        </w:rPr>
        <w:t>永久占地包括：</w:t>
      </w:r>
      <w:r>
        <w:rPr>
          <w:rFonts w:hint="eastAsia" w:ascii="宋体" w:hAnsi="宋体" w:eastAsia="宋体" w:cs="宋体"/>
          <w:color w:val="auto"/>
          <w:szCs w:val="21"/>
          <w:highlight w:val="none"/>
          <w:u w:val="single"/>
        </w:rPr>
        <w:t>施工图所示占地红线范围，范围、坐标详见施工图</w:t>
      </w:r>
      <w:r>
        <w:rPr>
          <w:color w:val="auto"/>
          <w:highlight w:val="none"/>
          <w:u w:val="single"/>
        </w:rPr>
        <w:t xml:space="preserve"> </w:t>
      </w:r>
      <w:r>
        <w:rPr>
          <w:rFonts w:hint="eastAsia" w:hAnsi="宋体" w:cs="宋体"/>
          <w:color w:val="auto"/>
          <w:kern w:val="0"/>
          <w:highlight w:val="none"/>
        </w:rPr>
        <w:t>。</w:t>
      </w:r>
    </w:p>
    <w:p w14:paraId="06300BBD">
      <w:pPr>
        <w:spacing w:line="360" w:lineRule="auto"/>
        <w:ind w:firstLine="420" w:firstLineChars="200"/>
        <w:jc w:val="left"/>
        <w:rPr>
          <w:color w:val="auto"/>
          <w:highlight w:val="none"/>
        </w:rPr>
      </w:pPr>
      <w:r>
        <w:rPr>
          <w:color w:val="auto"/>
          <w:kern w:val="0"/>
          <w:highlight w:val="none"/>
        </w:rPr>
        <w:t xml:space="preserve">1.1.3.10 </w:t>
      </w:r>
      <w:r>
        <w:rPr>
          <w:rFonts w:hint="eastAsia" w:hAnsi="宋体" w:cs="宋体"/>
          <w:color w:val="auto"/>
          <w:kern w:val="0"/>
          <w:highlight w:val="none"/>
        </w:rPr>
        <w:t>临时占地包括：</w:t>
      </w:r>
      <w:r>
        <w:rPr>
          <w:rFonts w:hint="eastAsia" w:ascii="宋体" w:hAnsi="宋体" w:eastAsia="宋体" w:cs="宋体"/>
          <w:color w:val="auto"/>
          <w:szCs w:val="21"/>
          <w:highlight w:val="none"/>
          <w:u w:val="single"/>
        </w:rPr>
        <w:t>合同签订后3日内承包人提交不少于5份的临时占地资料，在不影响施工的前提下，经发包人、监理单位审批，可免费提供红线范围内的场地作为施工临时占地</w:t>
      </w:r>
      <w:r>
        <w:rPr>
          <w:rFonts w:hint="eastAsia" w:hAnsi="宋体" w:cs="宋体"/>
          <w:color w:val="auto"/>
          <w:kern w:val="0"/>
          <w:highlight w:val="none"/>
        </w:rPr>
        <w:t>。</w:t>
      </w:r>
    </w:p>
    <w:p w14:paraId="73A86E33">
      <w:pPr>
        <w:spacing w:line="360" w:lineRule="auto"/>
        <w:outlineLvl w:val="9"/>
        <w:rPr>
          <w:color w:val="auto"/>
          <w:highlight w:val="none"/>
        </w:rPr>
      </w:pPr>
      <w:bookmarkStart w:id="172" w:name="_Toc16494"/>
      <w:bookmarkStart w:id="173" w:name="_Toc78449782"/>
      <w:bookmarkStart w:id="174" w:name="_Toc389065260"/>
      <w:bookmarkStart w:id="175" w:name="_Toc373227694"/>
      <w:bookmarkStart w:id="176" w:name="_Toc373478341"/>
      <w:bookmarkStart w:id="177" w:name="_Toc10861"/>
      <w:bookmarkStart w:id="178" w:name="_Toc1162259329"/>
      <w:bookmarkStart w:id="179" w:name="_Toc407135196"/>
      <w:r>
        <w:rPr>
          <w:color w:val="auto"/>
          <w:highlight w:val="none"/>
        </w:rPr>
        <w:t xml:space="preserve">1.3 </w:t>
      </w:r>
      <w:r>
        <w:rPr>
          <w:rFonts w:hint="eastAsia" w:hAnsi="宋体" w:cs="黑体"/>
          <w:color w:val="auto"/>
          <w:highlight w:val="none"/>
        </w:rPr>
        <w:t>法律</w:t>
      </w:r>
      <w:bookmarkEnd w:id="172"/>
      <w:bookmarkEnd w:id="173"/>
      <w:bookmarkEnd w:id="174"/>
      <w:bookmarkEnd w:id="175"/>
      <w:bookmarkEnd w:id="176"/>
      <w:bookmarkEnd w:id="177"/>
      <w:bookmarkEnd w:id="178"/>
      <w:bookmarkEnd w:id="179"/>
    </w:p>
    <w:p w14:paraId="2ED852B6">
      <w:pPr>
        <w:autoSpaceDE w:val="0"/>
        <w:autoSpaceDN w:val="0"/>
        <w:adjustRightInd w:val="0"/>
        <w:spacing w:line="360" w:lineRule="auto"/>
        <w:jc w:val="left"/>
        <w:rPr>
          <w:color w:val="auto"/>
          <w:highlight w:val="none"/>
        </w:rPr>
      </w:pPr>
      <w:r>
        <w:rPr>
          <w:rFonts w:hint="eastAsia" w:hAnsi="宋体" w:cs="宋体"/>
          <w:color w:val="auto"/>
          <w:highlight w:val="none"/>
        </w:rPr>
        <w:t>适用于合同的其他规范性文件：</w:t>
      </w:r>
      <w:r>
        <w:rPr>
          <w:rFonts w:hint="eastAsia" w:ascii="宋体" w:hAnsi="宋体" w:eastAsia="宋体" w:cs="宋体"/>
          <w:color w:val="auto"/>
          <w:szCs w:val="21"/>
          <w:highlight w:val="none"/>
          <w:u w:val="single"/>
        </w:rPr>
        <w:t>包括中华人民共和国法律、行政法规、部门规章，以及工程所在地的地方法规、自治条例、单行条例和地方政府规章</w:t>
      </w:r>
      <w:r>
        <w:rPr>
          <w:rFonts w:hint="eastAsia" w:hAnsi="宋体" w:cs="宋体"/>
          <w:color w:val="auto"/>
          <w:highlight w:val="none"/>
        </w:rPr>
        <w:t>。</w:t>
      </w:r>
    </w:p>
    <w:p w14:paraId="41CB6AD4">
      <w:pPr>
        <w:spacing w:line="360" w:lineRule="auto"/>
        <w:outlineLvl w:val="9"/>
        <w:rPr>
          <w:color w:val="auto"/>
          <w:highlight w:val="none"/>
        </w:rPr>
      </w:pPr>
      <w:bookmarkStart w:id="180" w:name="_Toc373478342"/>
      <w:bookmarkStart w:id="181" w:name="_Toc78449783"/>
      <w:bookmarkStart w:id="182" w:name="_Toc407135197"/>
      <w:bookmarkStart w:id="183" w:name="_Toc1694357896"/>
      <w:bookmarkStart w:id="184" w:name="_Toc389065261"/>
      <w:bookmarkStart w:id="185" w:name="_Toc1492"/>
      <w:bookmarkStart w:id="186" w:name="_Toc16410"/>
      <w:bookmarkStart w:id="187" w:name="_Toc373227695"/>
      <w:r>
        <w:rPr>
          <w:color w:val="auto"/>
          <w:highlight w:val="none"/>
        </w:rPr>
        <w:t xml:space="preserve">1.4 </w:t>
      </w:r>
      <w:r>
        <w:rPr>
          <w:rFonts w:hint="eastAsia" w:hAnsi="宋体" w:cs="黑体"/>
          <w:color w:val="auto"/>
          <w:highlight w:val="none"/>
        </w:rPr>
        <w:t>标准和规范</w:t>
      </w:r>
      <w:bookmarkEnd w:id="180"/>
      <w:bookmarkEnd w:id="181"/>
      <w:bookmarkEnd w:id="182"/>
      <w:bookmarkEnd w:id="183"/>
      <w:bookmarkEnd w:id="184"/>
      <w:bookmarkEnd w:id="185"/>
      <w:bookmarkEnd w:id="186"/>
      <w:bookmarkEnd w:id="187"/>
    </w:p>
    <w:p w14:paraId="3C5C35A2">
      <w:pPr>
        <w:spacing w:line="360" w:lineRule="auto"/>
        <w:rPr>
          <w:color w:val="auto"/>
          <w:highlight w:val="none"/>
        </w:rPr>
      </w:pPr>
      <w:r>
        <w:rPr>
          <w:color w:val="auto"/>
          <w:highlight w:val="none"/>
        </w:rPr>
        <w:t xml:space="preserve">1.4.1 </w:t>
      </w:r>
      <w:r>
        <w:rPr>
          <w:rFonts w:hint="eastAsia" w:hAnsi="宋体" w:cs="宋体"/>
          <w:color w:val="auto"/>
          <w:highlight w:val="none"/>
        </w:rPr>
        <w:t>适用于工程的标准规范包括：</w:t>
      </w:r>
      <w:r>
        <w:rPr>
          <w:rFonts w:hint="eastAsia" w:ascii="宋体" w:hAnsi="宋体" w:eastAsia="宋体" w:cs="宋体"/>
          <w:color w:val="auto"/>
          <w:szCs w:val="21"/>
          <w:highlight w:val="none"/>
          <w:u w:val="single"/>
        </w:rPr>
        <w:t>现行国家、地方、部门有关标准规范</w:t>
      </w:r>
      <w:r>
        <w:rPr>
          <w:rFonts w:hint="eastAsia" w:hAnsi="宋体" w:cs="宋体"/>
          <w:color w:val="auto"/>
          <w:highlight w:val="none"/>
        </w:rPr>
        <w:t>。</w:t>
      </w:r>
    </w:p>
    <w:p w14:paraId="4F21D936">
      <w:pPr>
        <w:spacing w:line="360" w:lineRule="auto"/>
        <w:rPr>
          <w:color w:val="auto"/>
          <w:kern w:val="0"/>
          <w:highlight w:val="none"/>
        </w:rPr>
      </w:pPr>
      <w:r>
        <w:rPr>
          <w:color w:val="auto"/>
          <w:kern w:val="0"/>
          <w:highlight w:val="none"/>
        </w:rPr>
        <w:t xml:space="preserve">1.4.2 </w:t>
      </w:r>
      <w:r>
        <w:rPr>
          <w:rFonts w:hint="eastAsia" w:hAnsi="宋体" w:cs="宋体"/>
          <w:color w:val="auto"/>
          <w:kern w:val="0"/>
          <w:highlight w:val="none"/>
        </w:rPr>
        <w:t>发包人提供国外标准、规范的名称：</w:t>
      </w:r>
      <w:r>
        <w:rPr>
          <w:rFonts w:hAnsi="宋体"/>
          <w:color w:val="auto"/>
          <w:highlight w:val="none"/>
          <w:u w:val="single"/>
        </w:rPr>
        <w:t xml:space="preserve"> </w:t>
      </w:r>
      <w:r>
        <w:rPr>
          <w:rFonts w:hint="eastAsia" w:hAnsi="宋体"/>
          <w:color w:val="auto"/>
          <w:highlight w:val="none"/>
          <w:u w:val="single"/>
          <w:lang w:val="en-US" w:eastAsia="zh-CN"/>
        </w:rPr>
        <w:t xml:space="preserve">/ </w:t>
      </w:r>
      <w:r>
        <w:rPr>
          <w:rFonts w:hint="eastAsia" w:hAnsi="宋体" w:cs="宋体"/>
          <w:color w:val="auto"/>
          <w:highlight w:val="none"/>
        </w:rPr>
        <w:t>；</w:t>
      </w:r>
    </w:p>
    <w:p w14:paraId="507A6298">
      <w:pPr>
        <w:spacing w:line="360" w:lineRule="auto"/>
        <w:ind w:firstLine="420" w:firstLineChars="200"/>
        <w:rPr>
          <w:color w:val="auto"/>
          <w:kern w:val="0"/>
          <w:highlight w:val="none"/>
        </w:rPr>
      </w:pPr>
      <w:r>
        <w:rPr>
          <w:rFonts w:hint="eastAsia" w:hAnsi="宋体" w:cs="宋体"/>
          <w:color w:val="auto"/>
          <w:kern w:val="0"/>
          <w:highlight w:val="none"/>
        </w:rPr>
        <w:t>发包人提供国外标准、规范的份数：</w:t>
      </w:r>
      <w:r>
        <w:rPr>
          <w:rFonts w:hint="eastAsia" w:hAnsi="宋体"/>
          <w:color w:val="auto"/>
          <w:highlight w:val="none"/>
          <w:u w:val="none"/>
          <w:lang w:val="en-US" w:eastAsia="zh-CN"/>
        </w:rPr>
        <w:t>/</w:t>
      </w:r>
      <w:r>
        <w:rPr>
          <w:rFonts w:hint="eastAsia" w:hAnsi="宋体" w:cs="宋体"/>
          <w:color w:val="auto"/>
          <w:kern w:val="0"/>
          <w:highlight w:val="none"/>
        </w:rPr>
        <w:t>；</w:t>
      </w:r>
    </w:p>
    <w:p w14:paraId="481080E1">
      <w:pPr>
        <w:spacing w:line="360" w:lineRule="auto"/>
        <w:ind w:firstLine="420" w:firstLineChars="200"/>
        <w:rPr>
          <w:color w:val="auto"/>
          <w:highlight w:val="none"/>
        </w:rPr>
      </w:pPr>
      <w:r>
        <w:rPr>
          <w:rFonts w:hint="eastAsia" w:hAnsi="宋体" w:cs="宋体"/>
          <w:color w:val="auto"/>
          <w:kern w:val="0"/>
          <w:highlight w:val="none"/>
        </w:rPr>
        <w:t>发包人提供国外标准、规范的名称：</w:t>
      </w:r>
      <w:r>
        <w:rPr>
          <w:rFonts w:hint="eastAsia" w:hAnsi="宋体"/>
          <w:color w:val="auto"/>
          <w:highlight w:val="none"/>
          <w:u w:val="single"/>
          <w:lang w:val="en-US" w:eastAsia="zh-CN"/>
        </w:rPr>
        <w:t>/</w:t>
      </w:r>
      <w:r>
        <w:rPr>
          <w:rFonts w:hint="eastAsia" w:hAnsi="宋体" w:cs="宋体"/>
          <w:color w:val="auto"/>
          <w:kern w:val="0"/>
          <w:highlight w:val="none"/>
        </w:rPr>
        <w:t>。</w:t>
      </w:r>
    </w:p>
    <w:p w14:paraId="6E62D8AF">
      <w:pPr>
        <w:spacing w:line="360" w:lineRule="auto"/>
        <w:ind w:firstLine="420" w:firstLineChars="200"/>
        <w:rPr>
          <w:color w:val="auto"/>
          <w:highlight w:val="none"/>
        </w:rPr>
      </w:pPr>
      <w:r>
        <w:rPr>
          <w:color w:val="auto"/>
          <w:highlight w:val="none"/>
        </w:rPr>
        <w:t xml:space="preserve">1.4.3 </w:t>
      </w:r>
      <w:r>
        <w:rPr>
          <w:rFonts w:hint="eastAsia" w:hAnsi="宋体" w:cs="宋体"/>
          <w:color w:val="auto"/>
          <w:highlight w:val="none"/>
        </w:rPr>
        <w:t>发包人对工程的技术标准和功能要求的特殊要求：</w:t>
      </w:r>
      <w:r>
        <w:rPr>
          <w:rFonts w:hint="eastAsia" w:hAnsi="宋体"/>
          <w:color w:val="auto"/>
          <w:highlight w:val="none"/>
          <w:u w:val="single"/>
          <w:lang w:val="en-US" w:eastAsia="zh-CN"/>
        </w:rPr>
        <w:t>/</w:t>
      </w:r>
      <w:r>
        <w:rPr>
          <w:rFonts w:hint="eastAsia" w:hAnsi="宋体" w:cs="宋体"/>
          <w:color w:val="auto"/>
          <w:highlight w:val="none"/>
        </w:rPr>
        <w:t>。</w:t>
      </w:r>
    </w:p>
    <w:p w14:paraId="4FCB9521">
      <w:pPr>
        <w:spacing w:line="360" w:lineRule="auto"/>
        <w:outlineLvl w:val="9"/>
        <w:rPr>
          <w:color w:val="auto"/>
          <w:highlight w:val="none"/>
        </w:rPr>
      </w:pPr>
      <w:bookmarkStart w:id="188" w:name="_Toc407135198"/>
      <w:bookmarkStart w:id="189" w:name="_Toc24431861"/>
      <w:bookmarkStart w:id="190" w:name="_Toc78449784"/>
      <w:bookmarkStart w:id="191" w:name="_Toc373478343"/>
      <w:bookmarkStart w:id="192" w:name="_Toc373227696"/>
      <w:bookmarkStart w:id="193" w:name="_Toc21404"/>
      <w:bookmarkStart w:id="194" w:name="_Toc389065262"/>
      <w:bookmarkStart w:id="195" w:name="_Toc5118"/>
      <w:r>
        <w:rPr>
          <w:color w:val="auto"/>
          <w:highlight w:val="none"/>
        </w:rPr>
        <w:t xml:space="preserve">1.5 </w:t>
      </w:r>
      <w:r>
        <w:rPr>
          <w:rFonts w:hint="eastAsia" w:cs="黑体"/>
          <w:color w:val="auto"/>
          <w:highlight w:val="none"/>
        </w:rPr>
        <w:t>合同文件的优先顺序</w:t>
      </w:r>
      <w:bookmarkEnd w:id="188"/>
      <w:bookmarkEnd w:id="189"/>
      <w:bookmarkEnd w:id="190"/>
      <w:bookmarkEnd w:id="191"/>
      <w:bookmarkEnd w:id="192"/>
      <w:bookmarkEnd w:id="193"/>
      <w:bookmarkEnd w:id="194"/>
      <w:bookmarkEnd w:id="195"/>
    </w:p>
    <w:p w14:paraId="23108257">
      <w:pPr>
        <w:spacing w:line="360" w:lineRule="auto"/>
        <w:ind w:firstLine="420" w:firstLineChars="200"/>
        <w:rPr>
          <w:rFonts w:hint="eastAsia" w:hAnsi="宋体" w:cs="宋体"/>
          <w:color w:val="auto"/>
          <w:kern w:val="0"/>
          <w:highlight w:val="none"/>
        </w:rPr>
      </w:pPr>
      <w:r>
        <w:rPr>
          <w:rFonts w:hint="eastAsia" w:hAnsi="宋体" w:cs="宋体"/>
          <w:color w:val="auto"/>
          <w:highlight w:val="none"/>
        </w:rPr>
        <w:t>合同文件组成及优先顺序为：</w:t>
      </w:r>
    </w:p>
    <w:p w14:paraId="6196689F">
      <w:pPr>
        <w:spacing w:line="360" w:lineRule="auto"/>
        <w:ind w:firstLine="420" w:firstLineChars="200"/>
        <w:rPr>
          <w:rFonts w:hint="eastAsia" w:ascii="Times New Roman" w:hAnsi="宋体" w:eastAsia="宋体" w:cs="宋体"/>
          <w:color w:val="auto"/>
          <w:kern w:val="0"/>
          <w:highlight w:val="none"/>
        </w:rPr>
      </w:pPr>
      <w:r>
        <w:rPr>
          <w:rFonts w:hint="eastAsia" w:ascii="Times New Roman" w:hAnsi="宋体" w:eastAsia="宋体" w:cs="宋体"/>
          <w:color w:val="auto"/>
          <w:kern w:val="0"/>
          <w:highlight w:val="none"/>
        </w:rPr>
        <w:t>（</w:t>
      </w:r>
      <w:r>
        <w:rPr>
          <w:rFonts w:hint="eastAsia" w:ascii="Times New Roman" w:hAnsi="宋体" w:eastAsia="宋体" w:cs="宋体"/>
          <w:color w:val="auto"/>
          <w:kern w:val="0"/>
          <w:highlight w:val="none"/>
          <w:lang w:val="en-US" w:eastAsia="zh-CN"/>
        </w:rPr>
        <w:t>1</w:t>
      </w:r>
      <w:r>
        <w:rPr>
          <w:rFonts w:hint="eastAsia" w:ascii="Times New Roman" w:hAnsi="宋体" w:eastAsia="宋体" w:cs="宋体"/>
          <w:color w:val="auto"/>
          <w:kern w:val="0"/>
          <w:highlight w:val="none"/>
        </w:rPr>
        <w:t>）合同协议书；</w:t>
      </w:r>
    </w:p>
    <w:p w14:paraId="3851DEFA">
      <w:pPr>
        <w:spacing w:line="360" w:lineRule="auto"/>
        <w:ind w:firstLine="420" w:firstLineChars="200"/>
        <w:rPr>
          <w:rFonts w:hint="eastAsia" w:ascii="Times New Roman" w:hAnsi="宋体" w:eastAsia="宋体" w:cs="宋体"/>
          <w:color w:val="auto"/>
          <w:kern w:val="0"/>
          <w:highlight w:val="none"/>
        </w:rPr>
      </w:pPr>
      <w:bookmarkStart w:id="196" w:name="bookmark916"/>
      <w:bookmarkEnd w:id="196"/>
      <w:r>
        <w:rPr>
          <w:rFonts w:hint="eastAsia" w:ascii="Times New Roman" w:hAnsi="宋体" w:eastAsia="宋体" w:cs="宋体"/>
          <w:color w:val="auto"/>
          <w:kern w:val="0"/>
          <w:highlight w:val="none"/>
        </w:rPr>
        <w:t>（</w:t>
      </w:r>
      <w:r>
        <w:rPr>
          <w:rFonts w:hint="eastAsia" w:ascii="Times New Roman" w:hAnsi="宋体" w:eastAsia="宋体" w:cs="宋体"/>
          <w:color w:val="auto"/>
          <w:kern w:val="0"/>
          <w:highlight w:val="none"/>
          <w:lang w:val="en-US" w:eastAsia="zh-CN"/>
        </w:rPr>
        <w:t>2</w:t>
      </w:r>
      <w:r>
        <w:rPr>
          <w:rFonts w:hint="eastAsia" w:ascii="Times New Roman" w:hAnsi="宋体" w:eastAsia="宋体" w:cs="宋体"/>
          <w:color w:val="auto"/>
          <w:kern w:val="0"/>
          <w:highlight w:val="none"/>
        </w:rPr>
        <w:t>）中标通知书；</w:t>
      </w:r>
    </w:p>
    <w:p w14:paraId="6354FCAF">
      <w:pPr>
        <w:spacing w:line="360" w:lineRule="auto"/>
        <w:ind w:firstLineChars="200"/>
        <w:rPr>
          <w:rFonts w:hint="eastAsia" w:ascii="Times New Roman" w:hAnsi="宋体" w:eastAsia="宋体" w:cs="宋体"/>
          <w:color w:val="auto"/>
          <w:kern w:val="0"/>
          <w:highlight w:val="none"/>
        </w:rPr>
      </w:pPr>
      <w:bookmarkStart w:id="197" w:name="bookmark917"/>
      <w:bookmarkEnd w:id="197"/>
      <w:r>
        <w:rPr>
          <w:rFonts w:hint="eastAsia" w:ascii="Times New Roman" w:hAnsi="宋体" w:eastAsia="宋体" w:cs="宋体"/>
          <w:color w:val="auto"/>
          <w:kern w:val="0"/>
          <w:highlight w:val="none"/>
        </w:rPr>
        <w:t>（</w:t>
      </w:r>
      <w:r>
        <w:rPr>
          <w:rFonts w:hint="eastAsia" w:ascii="Times New Roman" w:hAnsi="宋体" w:eastAsia="宋体" w:cs="宋体"/>
          <w:color w:val="auto"/>
          <w:kern w:val="0"/>
          <w:highlight w:val="none"/>
          <w:lang w:val="en-US" w:eastAsia="zh-CN"/>
        </w:rPr>
        <w:t>3</w:t>
      </w:r>
      <w:r>
        <w:rPr>
          <w:rFonts w:hint="eastAsia" w:ascii="Times New Roman" w:hAnsi="宋体" w:eastAsia="宋体" w:cs="宋体"/>
          <w:color w:val="auto"/>
          <w:kern w:val="0"/>
          <w:highlight w:val="none"/>
        </w:rPr>
        <w:t>）投标函及投标函附录；</w:t>
      </w:r>
    </w:p>
    <w:p w14:paraId="7BC20ACB">
      <w:pPr>
        <w:spacing w:line="360" w:lineRule="auto"/>
        <w:ind w:firstLineChars="200"/>
        <w:rPr>
          <w:rFonts w:hint="eastAsia" w:ascii="Times New Roman" w:hAnsi="宋体" w:eastAsia="宋体" w:cs="宋体"/>
          <w:color w:val="auto"/>
          <w:kern w:val="0"/>
          <w:highlight w:val="none"/>
        </w:rPr>
      </w:pPr>
      <w:bookmarkStart w:id="198" w:name="bookmark918"/>
      <w:bookmarkEnd w:id="198"/>
      <w:r>
        <w:rPr>
          <w:rFonts w:hint="eastAsia" w:ascii="Times New Roman" w:hAnsi="宋体" w:eastAsia="宋体" w:cs="宋体"/>
          <w:color w:val="auto"/>
          <w:kern w:val="0"/>
          <w:highlight w:val="none"/>
        </w:rPr>
        <w:t>（</w:t>
      </w:r>
      <w:r>
        <w:rPr>
          <w:rFonts w:hint="eastAsia" w:ascii="Times New Roman" w:hAnsi="宋体" w:eastAsia="宋体" w:cs="宋体"/>
          <w:color w:val="auto"/>
          <w:kern w:val="0"/>
          <w:highlight w:val="none"/>
          <w:lang w:val="en-US" w:eastAsia="zh-CN"/>
        </w:rPr>
        <w:t>4</w:t>
      </w:r>
      <w:r>
        <w:rPr>
          <w:rFonts w:hint="eastAsia" w:ascii="Times New Roman" w:hAnsi="宋体" w:eastAsia="宋体" w:cs="宋体"/>
          <w:color w:val="auto"/>
          <w:kern w:val="0"/>
          <w:highlight w:val="none"/>
        </w:rPr>
        <w:t>）专用合同条款；</w:t>
      </w:r>
    </w:p>
    <w:p w14:paraId="668FA4DA">
      <w:pPr>
        <w:spacing w:line="360" w:lineRule="auto"/>
        <w:ind w:firstLineChars="200"/>
        <w:rPr>
          <w:rFonts w:hint="eastAsia" w:ascii="Times New Roman" w:hAnsi="宋体" w:eastAsia="宋体" w:cs="宋体"/>
          <w:color w:val="auto"/>
          <w:kern w:val="0"/>
          <w:highlight w:val="none"/>
        </w:rPr>
      </w:pPr>
      <w:bookmarkStart w:id="199" w:name="bookmark919"/>
      <w:bookmarkEnd w:id="199"/>
      <w:r>
        <w:rPr>
          <w:rFonts w:hint="eastAsia" w:ascii="Times New Roman" w:hAnsi="宋体" w:eastAsia="宋体" w:cs="宋体"/>
          <w:color w:val="auto"/>
          <w:kern w:val="0"/>
          <w:highlight w:val="none"/>
        </w:rPr>
        <w:t>（</w:t>
      </w:r>
      <w:r>
        <w:rPr>
          <w:rFonts w:hint="eastAsia" w:ascii="Times New Roman" w:hAnsi="宋体" w:eastAsia="宋体" w:cs="宋体"/>
          <w:color w:val="auto"/>
          <w:kern w:val="0"/>
          <w:highlight w:val="none"/>
          <w:lang w:val="en-US" w:eastAsia="zh-CN"/>
        </w:rPr>
        <w:t>5</w:t>
      </w:r>
      <w:r>
        <w:rPr>
          <w:rFonts w:hint="eastAsia" w:ascii="Times New Roman" w:hAnsi="宋体" w:eastAsia="宋体" w:cs="宋体"/>
          <w:color w:val="auto"/>
          <w:kern w:val="0"/>
          <w:highlight w:val="none"/>
        </w:rPr>
        <w:t>）通用合同条款；</w:t>
      </w:r>
    </w:p>
    <w:p w14:paraId="6E59356B">
      <w:pPr>
        <w:spacing w:line="360" w:lineRule="auto"/>
        <w:ind w:firstLineChars="200"/>
        <w:rPr>
          <w:rFonts w:hint="eastAsia" w:ascii="Times New Roman" w:hAnsi="宋体" w:eastAsia="宋体" w:cs="宋体"/>
          <w:color w:val="auto"/>
          <w:kern w:val="0"/>
          <w:highlight w:val="none"/>
        </w:rPr>
      </w:pPr>
      <w:bookmarkStart w:id="200" w:name="bookmark920"/>
      <w:bookmarkEnd w:id="200"/>
      <w:r>
        <w:rPr>
          <w:rFonts w:hint="eastAsia" w:ascii="Times New Roman" w:hAnsi="宋体" w:eastAsia="宋体" w:cs="宋体"/>
          <w:color w:val="auto"/>
          <w:kern w:val="0"/>
          <w:highlight w:val="none"/>
        </w:rPr>
        <w:t>（</w:t>
      </w:r>
      <w:r>
        <w:rPr>
          <w:rFonts w:hint="eastAsia" w:ascii="Times New Roman" w:hAnsi="宋体" w:eastAsia="宋体" w:cs="宋体"/>
          <w:color w:val="auto"/>
          <w:kern w:val="0"/>
          <w:highlight w:val="none"/>
          <w:lang w:val="en-US" w:eastAsia="zh-CN"/>
        </w:rPr>
        <w:t>6</w:t>
      </w:r>
      <w:r>
        <w:rPr>
          <w:rFonts w:hint="eastAsia" w:ascii="Times New Roman" w:hAnsi="宋体" w:eastAsia="宋体" w:cs="宋体"/>
          <w:color w:val="auto"/>
          <w:kern w:val="0"/>
          <w:highlight w:val="none"/>
        </w:rPr>
        <w:t>）技术标准和要求；</w:t>
      </w:r>
    </w:p>
    <w:p w14:paraId="20EE1841">
      <w:pPr>
        <w:spacing w:line="360" w:lineRule="auto"/>
        <w:ind w:firstLineChars="200"/>
        <w:rPr>
          <w:rFonts w:hint="eastAsia" w:ascii="Times New Roman" w:hAnsi="宋体" w:eastAsia="宋体" w:cs="宋体"/>
          <w:color w:val="auto"/>
          <w:kern w:val="0"/>
          <w:highlight w:val="none"/>
        </w:rPr>
      </w:pPr>
      <w:bookmarkStart w:id="201" w:name="bookmark921"/>
      <w:bookmarkEnd w:id="201"/>
      <w:r>
        <w:rPr>
          <w:rFonts w:hint="eastAsia" w:ascii="Times New Roman" w:hAnsi="宋体" w:eastAsia="宋体" w:cs="宋体"/>
          <w:color w:val="auto"/>
          <w:kern w:val="0"/>
          <w:highlight w:val="none"/>
        </w:rPr>
        <w:t>（</w:t>
      </w:r>
      <w:r>
        <w:rPr>
          <w:rFonts w:hint="eastAsia" w:ascii="Times New Roman" w:hAnsi="宋体" w:eastAsia="宋体" w:cs="宋体"/>
          <w:color w:val="auto"/>
          <w:kern w:val="0"/>
          <w:highlight w:val="none"/>
          <w:lang w:val="en-US" w:eastAsia="zh-CN"/>
        </w:rPr>
        <w:t>7</w:t>
      </w:r>
      <w:r>
        <w:rPr>
          <w:rFonts w:hint="eastAsia" w:ascii="Times New Roman" w:hAnsi="宋体" w:eastAsia="宋体" w:cs="宋体"/>
          <w:color w:val="auto"/>
          <w:kern w:val="0"/>
          <w:highlight w:val="none"/>
        </w:rPr>
        <w:t>）图纸；</w:t>
      </w:r>
    </w:p>
    <w:p w14:paraId="78C2C990">
      <w:pPr>
        <w:spacing w:line="360" w:lineRule="auto"/>
        <w:ind w:firstLine="420" w:firstLineChars="200"/>
        <w:rPr>
          <w:rFonts w:hint="eastAsia" w:ascii="Times New Roman" w:hAnsi="宋体" w:eastAsia="宋体" w:cs="宋体"/>
          <w:color w:val="auto"/>
          <w:kern w:val="0"/>
          <w:highlight w:val="none"/>
        </w:rPr>
      </w:pPr>
      <w:bookmarkStart w:id="202" w:name="bookmark922"/>
      <w:bookmarkEnd w:id="202"/>
      <w:r>
        <w:rPr>
          <w:rFonts w:hint="eastAsia" w:ascii="Times New Roman" w:hAnsi="宋体" w:eastAsia="宋体" w:cs="宋体"/>
          <w:color w:val="auto"/>
          <w:kern w:val="0"/>
          <w:highlight w:val="none"/>
        </w:rPr>
        <w:t>（</w:t>
      </w:r>
      <w:r>
        <w:rPr>
          <w:rFonts w:hint="eastAsia" w:ascii="Times New Roman" w:hAnsi="宋体" w:eastAsia="宋体" w:cs="宋体"/>
          <w:color w:val="auto"/>
          <w:kern w:val="0"/>
          <w:highlight w:val="none"/>
          <w:lang w:val="en-US" w:eastAsia="zh-CN"/>
        </w:rPr>
        <w:t>8</w:t>
      </w:r>
      <w:r>
        <w:rPr>
          <w:rFonts w:hint="eastAsia" w:ascii="Times New Roman" w:hAnsi="宋体" w:eastAsia="宋体" w:cs="宋体"/>
          <w:color w:val="auto"/>
          <w:kern w:val="0"/>
          <w:highlight w:val="none"/>
        </w:rPr>
        <w:t>）已标价工程量清单；</w:t>
      </w:r>
    </w:p>
    <w:p w14:paraId="5150E4B2">
      <w:pPr>
        <w:autoSpaceDE/>
        <w:autoSpaceDN/>
        <w:adjustRightInd/>
        <w:spacing w:line="360" w:lineRule="auto"/>
        <w:ind w:firstLine="420" w:firstLineChars="200"/>
        <w:jc w:val="left"/>
        <w:rPr>
          <w:rFonts w:hint="eastAsia" w:ascii="Times New Roman" w:hAnsi="宋体" w:eastAsia="宋体" w:cs="宋体"/>
          <w:color w:val="auto"/>
          <w:kern w:val="0"/>
          <w:highlight w:val="none"/>
          <w:u w:val="none"/>
        </w:rPr>
      </w:pPr>
      <w:r>
        <w:rPr>
          <w:rFonts w:hint="eastAsia" w:ascii="Times New Roman" w:hAnsi="宋体" w:eastAsia="宋体" w:cs="宋体"/>
          <w:color w:val="auto"/>
          <w:kern w:val="0"/>
          <w:highlight w:val="none"/>
        </w:rPr>
        <w:t>（</w:t>
      </w:r>
      <w:r>
        <w:rPr>
          <w:rFonts w:hint="eastAsia" w:ascii="Times New Roman" w:hAnsi="宋体" w:eastAsia="宋体" w:cs="宋体"/>
          <w:color w:val="auto"/>
          <w:kern w:val="0"/>
          <w:highlight w:val="none"/>
          <w:lang w:val="en-US" w:eastAsia="zh-CN"/>
        </w:rPr>
        <w:t>9</w:t>
      </w:r>
      <w:r>
        <w:rPr>
          <w:rFonts w:hint="eastAsia" w:ascii="Times New Roman" w:hAnsi="宋体" w:eastAsia="宋体" w:cs="宋体"/>
          <w:color w:val="auto"/>
          <w:kern w:val="0"/>
          <w:highlight w:val="none"/>
        </w:rPr>
        <w:t>）</w:t>
      </w:r>
      <w:r>
        <w:rPr>
          <w:rFonts w:hint="eastAsia" w:ascii="Times New Roman" w:hAnsi="宋体" w:eastAsia="宋体" w:cs="宋体"/>
          <w:color w:val="auto"/>
          <w:kern w:val="0"/>
          <w:highlight w:val="none"/>
          <w:u w:val="none"/>
        </w:rPr>
        <w:t>其他合同文件：</w:t>
      </w:r>
    </w:p>
    <w:p w14:paraId="046C165B">
      <w:pPr>
        <w:spacing w:line="360" w:lineRule="auto"/>
        <w:ind w:firstLine="420" w:firstLineChars="200"/>
        <w:rPr>
          <w:rFonts w:hAnsi="宋体" w:cs="宋体"/>
          <w:color w:val="auto"/>
          <w:kern w:val="0"/>
          <w:highlight w:val="none"/>
        </w:rPr>
      </w:pPr>
      <w:r>
        <w:rPr>
          <w:rFonts w:hint="eastAsia" w:hAnsi="宋体" w:cs="宋体"/>
          <w:color w:val="auto"/>
          <w:kern w:val="0"/>
          <w:highlight w:val="none"/>
        </w:rPr>
        <w:t>上述各项合同文件包括合同当事人就该项合同文件所作出的补充和修改，属于同一类内容的文件，应以最新签署的为准（违反招标文件</w:t>
      </w:r>
      <w:r>
        <w:rPr>
          <w:rFonts w:hAnsi="宋体" w:cs="宋体"/>
          <w:color w:val="auto"/>
          <w:kern w:val="0"/>
          <w:highlight w:val="none"/>
        </w:rPr>
        <w:t>实质性内容的约定除外</w:t>
      </w:r>
      <w:r>
        <w:rPr>
          <w:rFonts w:hint="eastAsia" w:hAnsi="宋体" w:cs="宋体"/>
          <w:color w:val="auto"/>
          <w:kern w:val="0"/>
          <w:highlight w:val="none"/>
        </w:rPr>
        <w:t>）。专用合同条款及其附件须经合同当事人签字或盖章。</w:t>
      </w:r>
    </w:p>
    <w:p w14:paraId="38FB75DD">
      <w:pPr>
        <w:spacing w:line="360" w:lineRule="auto"/>
        <w:outlineLvl w:val="9"/>
        <w:rPr>
          <w:color w:val="auto"/>
          <w:highlight w:val="none"/>
        </w:rPr>
      </w:pPr>
      <w:bookmarkStart w:id="203" w:name="_Toc25614"/>
      <w:bookmarkStart w:id="204" w:name="_Toc1531480704"/>
      <w:bookmarkStart w:id="205" w:name="_Toc389065263"/>
      <w:bookmarkStart w:id="206" w:name="_Toc373227697"/>
      <w:bookmarkStart w:id="207" w:name="_Toc407135199"/>
      <w:bookmarkStart w:id="208" w:name="_Toc24316"/>
      <w:bookmarkStart w:id="209" w:name="_Toc373478344"/>
      <w:bookmarkStart w:id="210" w:name="_Toc78449785"/>
      <w:r>
        <w:rPr>
          <w:color w:val="auto"/>
          <w:highlight w:val="none"/>
        </w:rPr>
        <w:t xml:space="preserve">1.6 </w:t>
      </w:r>
      <w:r>
        <w:rPr>
          <w:rFonts w:hint="eastAsia" w:cs="黑体"/>
          <w:color w:val="auto"/>
          <w:highlight w:val="none"/>
        </w:rPr>
        <w:t>图纸和承包人文件</w:t>
      </w:r>
      <w:bookmarkEnd w:id="203"/>
      <w:bookmarkEnd w:id="204"/>
      <w:bookmarkEnd w:id="205"/>
      <w:bookmarkEnd w:id="206"/>
      <w:bookmarkEnd w:id="207"/>
      <w:bookmarkEnd w:id="208"/>
      <w:bookmarkEnd w:id="209"/>
      <w:bookmarkEnd w:id="210"/>
      <w:r>
        <w:rPr>
          <w:color w:val="auto"/>
          <w:highlight w:val="none"/>
        </w:rPr>
        <w:tab/>
      </w:r>
    </w:p>
    <w:p w14:paraId="10B427FA">
      <w:pPr>
        <w:spacing w:line="360" w:lineRule="auto"/>
        <w:ind w:firstLine="420" w:firstLineChars="200"/>
        <w:rPr>
          <w:color w:val="auto"/>
          <w:highlight w:val="none"/>
        </w:rPr>
      </w:pPr>
      <w:r>
        <w:rPr>
          <w:color w:val="auto"/>
          <w:highlight w:val="none"/>
        </w:rPr>
        <w:t xml:space="preserve">1.6.1 </w:t>
      </w:r>
      <w:r>
        <w:rPr>
          <w:rFonts w:hint="eastAsia" w:hAnsi="宋体" w:cs="宋体"/>
          <w:color w:val="auto"/>
          <w:highlight w:val="none"/>
        </w:rPr>
        <w:t>图纸的提供</w:t>
      </w:r>
    </w:p>
    <w:p w14:paraId="353AFA9F">
      <w:pPr>
        <w:spacing w:line="360" w:lineRule="auto"/>
        <w:ind w:firstLine="420" w:firstLineChars="200"/>
        <w:rPr>
          <w:color w:val="auto"/>
          <w:highlight w:val="none"/>
        </w:rPr>
      </w:pPr>
      <w:r>
        <w:rPr>
          <w:rFonts w:hint="eastAsia" w:hAnsi="宋体" w:cs="宋体"/>
          <w:color w:val="auto"/>
          <w:highlight w:val="none"/>
        </w:rPr>
        <w:t>发包人向承包人提供图纸的期限：</w:t>
      </w:r>
      <w:r>
        <w:rPr>
          <w:rFonts w:hint="eastAsia" w:ascii="宋体" w:hAnsi="宋体" w:eastAsia="宋体" w:cs="宋体"/>
          <w:color w:val="auto"/>
          <w:szCs w:val="21"/>
          <w:highlight w:val="none"/>
          <w:u w:val="single"/>
        </w:rPr>
        <w:t>开工日期前14天</w:t>
      </w:r>
      <w:r>
        <w:rPr>
          <w:rFonts w:hint="eastAsia" w:hAnsi="宋体" w:cs="宋体"/>
          <w:color w:val="auto"/>
          <w:highlight w:val="none"/>
        </w:rPr>
        <w:t>；</w:t>
      </w:r>
    </w:p>
    <w:p w14:paraId="19EC47A0">
      <w:pPr>
        <w:spacing w:line="360" w:lineRule="auto"/>
        <w:ind w:firstLine="420" w:firstLineChars="200"/>
        <w:rPr>
          <w:color w:val="auto"/>
          <w:highlight w:val="none"/>
        </w:rPr>
      </w:pPr>
      <w:r>
        <w:rPr>
          <w:rFonts w:hint="eastAsia" w:hAnsi="宋体" w:cs="宋体"/>
          <w:color w:val="auto"/>
          <w:highlight w:val="none"/>
        </w:rPr>
        <w:t>发包人向承包人提供图纸的数量：</w:t>
      </w:r>
      <w:r>
        <w:rPr>
          <w:rFonts w:hint="eastAsia" w:hAnsi="宋体" w:cs="宋体"/>
          <w:color w:val="auto"/>
          <w:highlight w:val="none"/>
          <w:u w:val="single"/>
          <w:lang w:val="en-US" w:eastAsia="zh-CN"/>
        </w:rPr>
        <w:t>3</w:t>
      </w:r>
      <w:r>
        <w:rPr>
          <w:rFonts w:hint="eastAsia" w:ascii="MingLiU_HKSCS-ExtB" w:cs="MingLiU_HKSCS-ExtB"/>
          <w:color w:val="auto"/>
          <w:highlight w:val="none"/>
          <w:u w:val="single"/>
        </w:rPr>
        <w:t xml:space="preserve"> </w:t>
      </w:r>
      <w:r>
        <w:rPr>
          <w:rFonts w:hint="eastAsia" w:hAnsi="宋体" w:cs="宋体"/>
          <w:color w:val="auto"/>
          <w:highlight w:val="none"/>
        </w:rPr>
        <w:t>套（承包人需要增加图纸套数的，发包人应代为复制，复制费用由承包人承担）；</w:t>
      </w:r>
    </w:p>
    <w:p w14:paraId="05666FAF">
      <w:pPr>
        <w:spacing w:line="360" w:lineRule="auto"/>
        <w:ind w:firstLine="420" w:firstLineChars="200"/>
        <w:rPr>
          <w:color w:val="auto"/>
          <w:highlight w:val="none"/>
        </w:rPr>
      </w:pPr>
      <w:r>
        <w:rPr>
          <w:rFonts w:hint="eastAsia" w:hAnsi="宋体" w:cs="宋体"/>
          <w:color w:val="auto"/>
          <w:highlight w:val="none"/>
        </w:rPr>
        <w:t>发包人向承包人提供图纸的内容：</w:t>
      </w:r>
      <w:r>
        <w:rPr>
          <w:color w:val="auto"/>
          <w:highlight w:val="none"/>
          <w:u w:val="single"/>
        </w:rPr>
        <w:t xml:space="preserve">   </w:t>
      </w:r>
      <w:r>
        <w:rPr>
          <w:rFonts w:hint="eastAsia"/>
          <w:color w:val="auto"/>
          <w:highlight w:val="none"/>
          <w:u w:val="single"/>
          <w:lang w:val="en-US" w:eastAsia="zh-CN"/>
        </w:rPr>
        <w:t>/</w:t>
      </w:r>
      <w:r>
        <w:rPr>
          <w:rFonts w:hint="eastAsia"/>
          <w:color w:val="auto"/>
          <w:highlight w:val="none"/>
          <w:u w:val="single"/>
        </w:rPr>
        <w:t xml:space="preserve">  </w:t>
      </w:r>
      <w:r>
        <w:rPr>
          <w:color w:val="auto"/>
          <w:highlight w:val="none"/>
          <w:u w:val="single"/>
        </w:rPr>
        <w:t xml:space="preserve"> </w:t>
      </w:r>
      <w:r>
        <w:rPr>
          <w:rFonts w:hint="eastAsia" w:hAnsi="宋体" w:cs="宋体"/>
          <w:color w:val="auto"/>
          <w:highlight w:val="none"/>
        </w:rPr>
        <w:t>。</w:t>
      </w:r>
    </w:p>
    <w:p w14:paraId="0A442C20">
      <w:pPr>
        <w:spacing w:line="360" w:lineRule="auto"/>
        <w:ind w:firstLine="420" w:firstLineChars="200"/>
        <w:rPr>
          <w:color w:val="auto"/>
          <w:highlight w:val="none"/>
        </w:rPr>
      </w:pPr>
      <w:r>
        <w:rPr>
          <w:color w:val="auto"/>
          <w:highlight w:val="none"/>
        </w:rPr>
        <w:t xml:space="preserve">1.6.4 </w:t>
      </w:r>
      <w:r>
        <w:rPr>
          <w:rFonts w:hint="eastAsia" w:hAnsi="宋体" w:cs="宋体"/>
          <w:color w:val="auto"/>
          <w:highlight w:val="none"/>
        </w:rPr>
        <w:t>承包人文件</w:t>
      </w:r>
    </w:p>
    <w:p w14:paraId="63193812">
      <w:pPr>
        <w:spacing w:line="360" w:lineRule="auto"/>
        <w:ind w:firstLine="420" w:firstLineChars="200"/>
        <w:jc w:val="left"/>
        <w:rPr>
          <w:color w:val="auto"/>
          <w:highlight w:val="none"/>
          <w:u w:val="single"/>
        </w:rPr>
      </w:pPr>
      <w:r>
        <w:rPr>
          <w:rFonts w:hint="eastAsia" w:hAnsi="宋体" w:cs="宋体"/>
          <w:color w:val="auto"/>
          <w:highlight w:val="none"/>
        </w:rPr>
        <w:t>需要由承包人提供的文件，包括：</w:t>
      </w:r>
      <w:r>
        <w:rPr>
          <w:rFonts w:hint="eastAsia" w:ascii="宋体" w:hAnsi="宋体" w:eastAsia="宋体" w:cs="宋体"/>
          <w:color w:val="auto"/>
          <w:szCs w:val="21"/>
          <w:highlight w:val="none"/>
          <w:u w:val="single"/>
        </w:rPr>
        <w:t>施工组织设计文件、确保施工质量的专项方案、确保施工安全的措施方案及办理施工许可证所需的相关文件资料</w:t>
      </w:r>
      <w:r>
        <w:rPr>
          <w:rFonts w:hint="eastAsia" w:hAnsi="宋体" w:cs="宋体"/>
          <w:color w:val="auto"/>
          <w:highlight w:val="none"/>
        </w:rPr>
        <w:t>；</w:t>
      </w:r>
    </w:p>
    <w:p w14:paraId="004D9F34">
      <w:pPr>
        <w:spacing w:line="360" w:lineRule="auto"/>
        <w:ind w:firstLine="420" w:firstLineChars="200"/>
        <w:rPr>
          <w:color w:val="auto"/>
          <w:highlight w:val="none"/>
        </w:rPr>
      </w:pPr>
      <w:r>
        <w:rPr>
          <w:rFonts w:hint="eastAsia" w:hAnsi="宋体" w:cs="宋体"/>
          <w:color w:val="auto"/>
          <w:highlight w:val="none"/>
        </w:rPr>
        <w:t>承包人提供的文件的期限为：</w:t>
      </w:r>
      <w:r>
        <w:rPr>
          <w:rFonts w:hint="eastAsia" w:ascii="宋体" w:hAnsi="宋体" w:eastAsia="宋体" w:cs="宋体"/>
          <w:color w:val="auto"/>
          <w:szCs w:val="21"/>
          <w:highlight w:val="none"/>
          <w:u w:val="single"/>
        </w:rPr>
        <w:t>合同签订后15日内</w:t>
      </w:r>
      <w:r>
        <w:rPr>
          <w:rFonts w:hint="eastAsia" w:hAnsi="宋体" w:cs="宋体"/>
          <w:color w:val="auto"/>
          <w:highlight w:val="none"/>
        </w:rPr>
        <w:t>；</w:t>
      </w:r>
    </w:p>
    <w:p w14:paraId="565208AB">
      <w:pPr>
        <w:spacing w:line="360" w:lineRule="auto"/>
        <w:ind w:firstLine="420" w:firstLineChars="200"/>
        <w:rPr>
          <w:color w:val="auto"/>
          <w:highlight w:val="none"/>
        </w:rPr>
      </w:pPr>
      <w:r>
        <w:rPr>
          <w:rFonts w:hint="eastAsia" w:hAnsi="宋体" w:cs="宋体"/>
          <w:color w:val="auto"/>
          <w:highlight w:val="none"/>
        </w:rPr>
        <w:t>承包人提供的文件的数量为：</w:t>
      </w:r>
      <w:r>
        <w:rPr>
          <w:color w:val="auto"/>
          <w:highlight w:val="none"/>
          <w:u w:val="single"/>
        </w:rPr>
        <w:t xml:space="preserve"> </w:t>
      </w:r>
      <w:r>
        <w:rPr>
          <w:rFonts w:hint="eastAsia" w:ascii="宋体" w:hAnsi="宋体" w:eastAsia="宋体" w:cs="宋体"/>
          <w:color w:val="auto"/>
          <w:szCs w:val="21"/>
          <w:highlight w:val="none"/>
          <w:u w:val="single"/>
        </w:rPr>
        <w:t>2套</w:t>
      </w:r>
      <w:r>
        <w:rPr>
          <w:rFonts w:hint="eastAsia" w:hAnsi="宋体" w:cs="宋体"/>
          <w:color w:val="auto"/>
          <w:highlight w:val="none"/>
        </w:rPr>
        <w:t>；</w:t>
      </w:r>
    </w:p>
    <w:p w14:paraId="0817D378">
      <w:pPr>
        <w:spacing w:line="360" w:lineRule="auto"/>
        <w:ind w:firstLine="420" w:firstLineChars="200"/>
        <w:rPr>
          <w:color w:val="auto"/>
          <w:highlight w:val="none"/>
        </w:rPr>
      </w:pPr>
      <w:r>
        <w:rPr>
          <w:rFonts w:hint="eastAsia" w:hAnsi="宋体" w:cs="宋体"/>
          <w:color w:val="auto"/>
          <w:highlight w:val="none"/>
        </w:rPr>
        <w:t>承包人提供的文件的形式为：</w:t>
      </w:r>
      <w:r>
        <w:rPr>
          <w:color w:val="auto"/>
          <w:highlight w:val="none"/>
          <w:u w:val="single"/>
        </w:rPr>
        <w:t xml:space="preserve"> </w:t>
      </w:r>
      <w:r>
        <w:rPr>
          <w:rFonts w:hint="eastAsia" w:ascii="宋体" w:hAnsi="宋体" w:eastAsia="宋体" w:cs="宋体"/>
          <w:color w:val="auto"/>
          <w:szCs w:val="21"/>
          <w:highlight w:val="none"/>
          <w:u w:val="single"/>
        </w:rPr>
        <w:t xml:space="preserve"> 纸质和电子文件</w:t>
      </w:r>
      <w:r>
        <w:rPr>
          <w:rFonts w:hAnsi="宋体"/>
          <w:color w:val="auto"/>
          <w:highlight w:val="none"/>
          <w:u w:val="single"/>
        </w:rPr>
        <w:t xml:space="preserve"> </w:t>
      </w:r>
      <w:r>
        <w:rPr>
          <w:rFonts w:hint="eastAsia" w:hAnsi="宋体" w:cs="宋体"/>
          <w:color w:val="auto"/>
          <w:highlight w:val="none"/>
        </w:rPr>
        <w:t>；</w:t>
      </w:r>
    </w:p>
    <w:p w14:paraId="5191CA9A">
      <w:pPr>
        <w:spacing w:line="360" w:lineRule="auto"/>
        <w:ind w:firstLine="420" w:firstLineChars="200"/>
        <w:rPr>
          <w:color w:val="auto"/>
          <w:highlight w:val="none"/>
        </w:rPr>
      </w:pPr>
      <w:r>
        <w:rPr>
          <w:rFonts w:hint="eastAsia" w:hAnsi="宋体" w:cs="宋体"/>
          <w:color w:val="auto"/>
          <w:highlight w:val="none"/>
        </w:rPr>
        <w:t>发包人审批承包人文件的期限：</w:t>
      </w:r>
      <w:r>
        <w:rPr>
          <w:rFonts w:hint="eastAsia" w:ascii="宋体" w:hAnsi="宋体" w:eastAsia="宋体" w:cs="宋体"/>
          <w:color w:val="auto"/>
          <w:szCs w:val="21"/>
          <w:highlight w:val="none"/>
          <w:u w:val="single"/>
        </w:rPr>
        <w:t xml:space="preserve"> 10个工作日内 </w:t>
      </w:r>
      <w:r>
        <w:rPr>
          <w:rFonts w:hAnsi="宋体"/>
          <w:color w:val="auto"/>
          <w:highlight w:val="none"/>
          <w:u w:val="single"/>
        </w:rPr>
        <w:t xml:space="preserve"> </w:t>
      </w:r>
      <w:r>
        <w:rPr>
          <w:rFonts w:hint="eastAsia" w:hAnsi="宋体" w:cs="宋体"/>
          <w:color w:val="auto"/>
          <w:highlight w:val="none"/>
        </w:rPr>
        <w:t>。</w:t>
      </w:r>
    </w:p>
    <w:p w14:paraId="5E7C79CD">
      <w:pPr>
        <w:spacing w:line="360" w:lineRule="auto"/>
        <w:ind w:firstLine="420" w:firstLineChars="200"/>
        <w:rPr>
          <w:color w:val="auto"/>
          <w:highlight w:val="none"/>
        </w:rPr>
      </w:pPr>
      <w:r>
        <w:rPr>
          <w:color w:val="auto"/>
          <w:highlight w:val="none"/>
        </w:rPr>
        <w:t xml:space="preserve">1.6.5 </w:t>
      </w:r>
      <w:r>
        <w:rPr>
          <w:rFonts w:hint="eastAsia" w:hAnsi="宋体" w:cs="宋体"/>
          <w:color w:val="auto"/>
          <w:highlight w:val="none"/>
        </w:rPr>
        <w:t>现场图纸准备</w:t>
      </w:r>
    </w:p>
    <w:p w14:paraId="3D746D53">
      <w:pPr>
        <w:spacing w:line="360" w:lineRule="auto"/>
        <w:ind w:firstLine="420" w:firstLineChars="200"/>
        <w:rPr>
          <w:color w:val="auto"/>
          <w:highlight w:val="none"/>
        </w:rPr>
      </w:pPr>
      <w:r>
        <w:rPr>
          <w:rFonts w:hint="eastAsia" w:hAnsi="宋体" w:cs="宋体"/>
          <w:color w:val="auto"/>
          <w:highlight w:val="none"/>
        </w:rPr>
        <w:t>关于现场图纸准备的约定：</w:t>
      </w:r>
      <w:r>
        <w:rPr>
          <w:color w:val="auto"/>
          <w:highlight w:val="none"/>
          <w:u w:val="single"/>
        </w:rPr>
        <w:t xml:space="preserve"> </w:t>
      </w:r>
      <w:r>
        <w:rPr>
          <w:rFonts w:hint="eastAsia" w:ascii="宋体" w:hAnsi="宋体" w:eastAsia="宋体" w:cs="宋体"/>
          <w:color w:val="auto"/>
          <w:szCs w:val="21"/>
          <w:highlight w:val="none"/>
          <w:u w:val="single"/>
        </w:rPr>
        <w:t>由承包方准备</w:t>
      </w:r>
      <w:r>
        <w:rPr>
          <w:rFonts w:hAnsi="宋体"/>
          <w:color w:val="auto"/>
          <w:highlight w:val="none"/>
          <w:u w:val="single"/>
        </w:rPr>
        <w:t xml:space="preserve"> </w:t>
      </w:r>
      <w:r>
        <w:rPr>
          <w:rFonts w:hint="eastAsia" w:hAnsi="宋体" w:cs="宋体"/>
          <w:color w:val="auto"/>
          <w:highlight w:val="none"/>
        </w:rPr>
        <w:t>。</w:t>
      </w:r>
    </w:p>
    <w:p w14:paraId="5058A510">
      <w:pPr>
        <w:spacing w:line="360" w:lineRule="auto"/>
        <w:outlineLvl w:val="9"/>
        <w:rPr>
          <w:color w:val="auto"/>
          <w:highlight w:val="none"/>
        </w:rPr>
      </w:pPr>
      <w:bookmarkStart w:id="211" w:name="_Toc373478345"/>
      <w:bookmarkStart w:id="212" w:name="_Toc373227698"/>
      <w:bookmarkStart w:id="213" w:name="_Toc389065264"/>
      <w:bookmarkStart w:id="214" w:name="_Toc854"/>
      <w:bookmarkStart w:id="215" w:name="_Toc110523719"/>
      <w:bookmarkStart w:id="216" w:name="_Toc407135200"/>
      <w:bookmarkStart w:id="217" w:name="_Toc24741"/>
      <w:bookmarkStart w:id="218" w:name="_Toc78449786"/>
      <w:r>
        <w:rPr>
          <w:color w:val="auto"/>
          <w:highlight w:val="none"/>
        </w:rPr>
        <w:t xml:space="preserve">1.7 </w:t>
      </w:r>
      <w:r>
        <w:rPr>
          <w:rFonts w:hint="eastAsia" w:hAnsi="宋体" w:cs="黑体"/>
          <w:color w:val="auto"/>
          <w:highlight w:val="none"/>
        </w:rPr>
        <w:t>联络</w:t>
      </w:r>
      <w:bookmarkEnd w:id="211"/>
      <w:bookmarkEnd w:id="212"/>
      <w:bookmarkEnd w:id="213"/>
      <w:bookmarkEnd w:id="214"/>
      <w:bookmarkEnd w:id="215"/>
      <w:bookmarkEnd w:id="216"/>
      <w:bookmarkEnd w:id="217"/>
      <w:bookmarkEnd w:id="218"/>
    </w:p>
    <w:p w14:paraId="0D04D7BC">
      <w:pPr>
        <w:spacing w:line="360" w:lineRule="auto"/>
        <w:ind w:firstLine="420" w:firstLineChars="200"/>
        <w:rPr>
          <w:color w:val="auto"/>
          <w:kern w:val="0"/>
          <w:highlight w:val="none"/>
        </w:rPr>
      </w:pPr>
      <w:r>
        <w:rPr>
          <w:color w:val="auto"/>
          <w:kern w:val="0"/>
          <w:highlight w:val="none"/>
        </w:rPr>
        <w:t>1.7.1</w:t>
      </w:r>
      <w:r>
        <w:rPr>
          <w:rFonts w:hint="eastAsia" w:hAnsi="宋体" w:cs="宋体"/>
          <w:color w:val="auto"/>
          <w:kern w:val="0"/>
          <w:highlight w:val="none"/>
        </w:rPr>
        <w:t>发包人和承包人应当在</w:t>
      </w:r>
      <w:r>
        <w:rPr>
          <w:rFonts w:hint="eastAsia"/>
          <w:color w:val="auto"/>
          <w:highlight w:val="none"/>
          <w:u w:val="single"/>
          <w:lang w:val="en-US" w:eastAsia="zh-CN"/>
        </w:rPr>
        <w:t>7</w:t>
      </w:r>
      <w:r>
        <w:rPr>
          <w:rFonts w:hint="eastAsia" w:hAnsi="宋体" w:cs="宋体"/>
          <w:color w:val="auto"/>
          <w:kern w:val="0"/>
          <w:highlight w:val="none"/>
        </w:rPr>
        <w:t>天内将与合同有关的通知、批准、证明、证书、指示、指令、要求、请求、同意、意见、确定和决定等书面函件送达对方当事人。</w:t>
      </w:r>
    </w:p>
    <w:p w14:paraId="61D17658">
      <w:pPr>
        <w:spacing w:line="360" w:lineRule="auto"/>
        <w:ind w:firstLine="420" w:firstLineChars="200"/>
        <w:rPr>
          <w:color w:val="auto"/>
          <w:kern w:val="0"/>
          <w:highlight w:val="none"/>
        </w:rPr>
      </w:pPr>
      <w:r>
        <w:rPr>
          <w:color w:val="auto"/>
          <w:kern w:val="0"/>
          <w:highlight w:val="none"/>
        </w:rPr>
        <w:t xml:space="preserve">1.7.2 </w:t>
      </w:r>
      <w:r>
        <w:rPr>
          <w:rFonts w:hint="eastAsia" w:hAnsi="宋体" w:cs="宋体"/>
          <w:color w:val="auto"/>
          <w:kern w:val="0"/>
          <w:highlight w:val="none"/>
        </w:rPr>
        <w:t>发包人接收文件的地点：</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kern w:val="0"/>
          <w:highlight w:val="none"/>
        </w:rPr>
        <w:t>；</w:t>
      </w:r>
    </w:p>
    <w:p w14:paraId="4A66004C">
      <w:pPr>
        <w:spacing w:line="360" w:lineRule="auto"/>
        <w:ind w:firstLine="420" w:firstLineChars="200"/>
        <w:rPr>
          <w:color w:val="auto"/>
          <w:kern w:val="0"/>
          <w:highlight w:val="none"/>
        </w:rPr>
      </w:pPr>
      <w:r>
        <w:rPr>
          <w:rFonts w:hint="eastAsia" w:hAnsi="宋体" w:cs="宋体"/>
          <w:color w:val="auto"/>
          <w:kern w:val="0"/>
          <w:highlight w:val="none"/>
        </w:rPr>
        <w:t>发包人指定的接收人为：</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kern w:val="0"/>
          <w:highlight w:val="none"/>
        </w:rPr>
        <w:t>。</w:t>
      </w:r>
    </w:p>
    <w:p w14:paraId="49384AB8">
      <w:pPr>
        <w:spacing w:line="360" w:lineRule="auto"/>
        <w:ind w:firstLine="420" w:firstLineChars="200"/>
        <w:rPr>
          <w:color w:val="auto"/>
          <w:kern w:val="0"/>
          <w:highlight w:val="none"/>
        </w:rPr>
      </w:pPr>
      <w:r>
        <w:rPr>
          <w:rFonts w:hint="eastAsia" w:hAnsi="宋体" w:cs="宋体"/>
          <w:color w:val="auto"/>
          <w:kern w:val="0"/>
          <w:highlight w:val="none"/>
        </w:rPr>
        <w:t>承包人接收文件的地点：</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kern w:val="0"/>
          <w:highlight w:val="none"/>
        </w:rPr>
        <w:t>；</w:t>
      </w:r>
    </w:p>
    <w:p w14:paraId="581E182C">
      <w:pPr>
        <w:spacing w:line="360" w:lineRule="auto"/>
        <w:ind w:firstLine="420" w:firstLineChars="200"/>
        <w:rPr>
          <w:color w:val="auto"/>
          <w:kern w:val="0"/>
          <w:highlight w:val="none"/>
        </w:rPr>
      </w:pPr>
      <w:r>
        <w:rPr>
          <w:rFonts w:hint="eastAsia" w:hAnsi="宋体" w:cs="宋体"/>
          <w:color w:val="auto"/>
          <w:kern w:val="0"/>
          <w:highlight w:val="none"/>
        </w:rPr>
        <w:t>承包人指定的接收人为：</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kern w:val="0"/>
          <w:highlight w:val="none"/>
        </w:rPr>
        <w:t>。</w:t>
      </w:r>
    </w:p>
    <w:p w14:paraId="03B37EA2">
      <w:pPr>
        <w:spacing w:line="360" w:lineRule="auto"/>
        <w:ind w:firstLine="420" w:firstLineChars="200"/>
        <w:rPr>
          <w:color w:val="auto"/>
          <w:kern w:val="0"/>
          <w:highlight w:val="none"/>
        </w:rPr>
      </w:pPr>
      <w:r>
        <w:rPr>
          <w:rFonts w:hint="eastAsia" w:hAnsi="宋体" w:cs="宋体"/>
          <w:color w:val="auto"/>
          <w:kern w:val="0"/>
          <w:highlight w:val="none"/>
        </w:rPr>
        <w:t>监理人接收文件的地点：</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kern w:val="0"/>
          <w:highlight w:val="none"/>
        </w:rPr>
        <w:t>；</w:t>
      </w:r>
    </w:p>
    <w:p w14:paraId="4E715FBB">
      <w:pPr>
        <w:spacing w:line="360" w:lineRule="auto"/>
        <w:ind w:firstLine="420" w:firstLineChars="200"/>
        <w:rPr>
          <w:color w:val="auto"/>
          <w:kern w:val="0"/>
          <w:highlight w:val="none"/>
        </w:rPr>
      </w:pPr>
      <w:r>
        <w:rPr>
          <w:rFonts w:hint="eastAsia" w:hAnsi="宋体" w:cs="宋体"/>
          <w:color w:val="auto"/>
          <w:kern w:val="0"/>
          <w:highlight w:val="none"/>
        </w:rPr>
        <w:t>监理人指定的接收人为：</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kern w:val="0"/>
          <w:highlight w:val="none"/>
        </w:rPr>
        <w:t>。</w:t>
      </w:r>
    </w:p>
    <w:p w14:paraId="6007F6EC">
      <w:pPr>
        <w:spacing w:line="360" w:lineRule="auto"/>
        <w:outlineLvl w:val="9"/>
        <w:rPr>
          <w:color w:val="auto"/>
          <w:highlight w:val="none"/>
        </w:rPr>
      </w:pPr>
      <w:bookmarkStart w:id="219" w:name="_Toc373227699"/>
      <w:bookmarkStart w:id="220" w:name="_Toc10879"/>
      <w:bookmarkStart w:id="221" w:name="_Toc373478346"/>
      <w:bookmarkStart w:id="222" w:name="_Toc78449787"/>
      <w:bookmarkStart w:id="223" w:name="_Toc24324"/>
      <w:bookmarkStart w:id="224" w:name="_Toc407135201"/>
      <w:bookmarkStart w:id="225" w:name="_Toc389065265"/>
      <w:bookmarkStart w:id="226" w:name="_Toc1387231545"/>
      <w:r>
        <w:rPr>
          <w:color w:val="auto"/>
          <w:highlight w:val="none"/>
        </w:rPr>
        <w:t xml:space="preserve">1.10 </w:t>
      </w:r>
      <w:r>
        <w:rPr>
          <w:rFonts w:hint="eastAsia" w:hAnsi="宋体" w:cs="黑体"/>
          <w:color w:val="auto"/>
          <w:highlight w:val="none"/>
        </w:rPr>
        <w:t>交通运输</w:t>
      </w:r>
      <w:bookmarkEnd w:id="219"/>
      <w:bookmarkEnd w:id="220"/>
      <w:bookmarkEnd w:id="221"/>
      <w:bookmarkEnd w:id="222"/>
      <w:bookmarkEnd w:id="223"/>
      <w:bookmarkEnd w:id="224"/>
      <w:bookmarkEnd w:id="225"/>
      <w:bookmarkEnd w:id="226"/>
    </w:p>
    <w:p w14:paraId="7B136B88">
      <w:pPr>
        <w:spacing w:line="360" w:lineRule="auto"/>
        <w:ind w:firstLine="420" w:firstLineChars="200"/>
        <w:rPr>
          <w:color w:val="auto"/>
          <w:highlight w:val="none"/>
        </w:rPr>
      </w:pPr>
      <w:r>
        <w:rPr>
          <w:color w:val="auto"/>
          <w:highlight w:val="none"/>
        </w:rPr>
        <w:t>1</w:t>
      </w:r>
      <w:bookmarkStart w:id="227" w:name="_Toc318581155"/>
      <w:bookmarkStart w:id="228" w:name="_Toc312677986"/>
      <w:bookmarkStart w:id="229" w:name="_Toc300934943"/>
      <w:bookmarkStart w:id="230" w:name="_Toc303539100"/>
      <w:bookmarkStart w:id="231" w:name="_Toc304295521"/>
      <w:r>
        <w:rPr>
          <w:color w:val="auto"/>
          <w:highlight w:val="none"/>
        </w:rPr>
        <w:t xml:space="preserve">.10.1 </w:t>
      </w:r>
      <w:r>
        <w:rPr>
          <w:rFonts w:hint="eastAsia" w:hAnsi="宋体" w:cs="宋体"/>
          <w:color w:val="auto"/>
          <w:highlight w:val="none"/>
        </w:rPr>
        <w:t>出入现场的权利</w:t>
      </w:r>
    </w:p>
    <w:p w14:paraId="6F4AC801">
      <w:pPr>
        <w:spacing w:line="360" w:lineRule="auto"/>
        <w:ind w:firstLine="420" w:firstLineChars="200"/>
        <w:rPr>
          <w:color w:val="auto"/>
          <w:highlight w:val="none"/>
          <w:u w:val="single"/>
        </w:rPr>
      </w:pPr>
      <w:r>
        <w:rPr>
          <w:rFonts w:hint="eastAsia" w:hAnsi="宋体" w:cs="宋体"/>
          <w:color w:val="auto"/>
          <w:highlight w:val="none"/>
        </w:rPr>
        <w:t>关于出入现场的权利的约定：</w:t>
      </w:r>
      <w:r>
        <w:rPr>
          <w:rFonts w:hint="eastAsia" w:ascii="宋体" w:hAnsi="宋体" w:eastAsia="宋体" w:cs="宋体"/>
          <w:color w:val="auto"/>
          <w:szCs w:val="21"/>
          <w:highlight w:val="none"/>
          <w:u w:val="single"/>
        </w:rPr>
        <w:t>由承包人按发包人要求负责取得出入施工现场所需的批准手续和全部权利，以及取得因施工所需修建道路、拆除临时道路、桥梁以及其他临时基础设施的权利，并承担相关手续费用和建设费用，与施工无关的人员需出入现场须经承发包双方同意</w:t>
      </w:r>
      <w:r>
        <w:rPr>
          <w:color w:val="auto"/>
          <w:highlight w:val="none"/>
          <w:u w:val="single"/>
        </w:rPr>
        <w:t xml:space="preserve"> </w:t>
      </w:r>
      <w:r>
        <w:rPr>
          <w:rFonts w:hint="eastAsia" w:hAnsi="宋体" w:cs="宋体"/>
          <w:color w:val="auto"/>
          <w:highlight w:val="none"/>
        </w:rPr>
        <w:t>。</w:t>
      </w:r>
    </w:p>
    <w:bookmarkEnd w:id="227"/>
    <w:bookmarkEnd w:id="228"/>
    <w:bookmarkEnd w:id="229"/>
    <w:bookmarkEnd w:id="230"/>
    <w:bookmarkEnd w:id="231"/>
    <w:p w14:paraId="7453FB1D">
      <w:pPr>
        <w:spacing w:line="360" w:lineRule="auto"/>
        <w:ind w:firstLine="420" w:firstLineChars="200"/>
        <w:jc w:val="left"/>
        <w:rPr>
          <w:color w:val="auto"/>
          <w:highlight w:val="none"/>
        </w:rPr>
      </w:pPr>
      <w:r>
        <w:rPr>
          <w:color w:val="auto"/>
          <w:highlight w:val="none"/>
        </w:rPr>
        <w:t>1</w:t>
      </w:r>
      <w:bookmarkStart w:id="232" w:name="_Toc303539101"/>
      <w:bookmarkStart w:id="233" w:name="_Toc304295522"/>
      <w:bookmarkStart w:id="234" w:name="_Toc318581156"/>
      <w:bookmarkStart w:id="235" w:name="_Toc300934944"/>
      <w:bookmarkStart w:id="236" w:name="_Toc312677987"/>
      <w:r>
        <w:rPr>
          <w:color w:val="auto"/>
          <w:highlight w:val="none"/>
        </w:rPr>
        <w:t xml:space="preserve">.10.3 </w:t>
      </w:r>
      <w:r>
        <w:rPr>
          <w:rFonts w:hint="eastAsia" w:hAnsi="宋体" w:cs="宋体"/>
          <w:color w:val="auto"/>
          <w:highlight w:val="none"/>
        </w:rPr>
        <w:t>场内交通</w:t>
      </w:r>
    </w:p>
    <w:p w14:paraId="58C64566">
      <w:pPr>
        <w:spacing w:line="360" w:lineRule="auto"/>
        <w:ind w:firstLine="420" w:firstLineChars="200"/>
        <w:jc w:val="left"/>
        <w:rPr>
          <w:color w:val="auto"/>
          <w:kern w:val="0"/>
          <w:highlight w:val="none"/>
        </w:rPr>
      </w:pPr>
      <w:r>
        <w:rPr>
          <w:rFonts w:hint="eastAsia" w:hAnsi="宋体" w:cs="宋体"/>
          <w:color w:val="auto"/>
          <w:kern w:val="0"/>
          <w:highlight w:val="none"/>
        </w:rPr>
        <w:t>关于场外交通和场内交通的边界的约定：</w:t>
      </w:r>
      <w:r>
        <w:rPr>
          <w:rFonts w:hint="eastAsia" w:ascii="宋体" w:hAnsi="宋体" w:eastAsia="宋体" w:cs="宋体"/>
          <w:color w:val="auto"/>
          <w:szCs w:val="21"/>
          <w:highlight w:val="none"/>
          <w:u w:val="single"/>
        </w:rPr>
        <w:t>本合同标段相应的规划许可的红线划分，以红线作为场内交通和场外交通的边界</w:t>
      </w:r>
      <w:r>
        <w:rPr>
          <w:color w:val="auto"/>
          <w:highlight w:val="none"/>
          <w:u w:val="single"/>
        </w:rPr>
        <w:t xml:space="preserve"> </w:t>
      </w:r>
      <w:r>
        <w:rPr>
          <w:rFonts w:hint="eastAsia" w:hAnsi="宋体" w:cs="宋体"/>
          <w:color w:val="auto"/>
          <w:highlight w:val="none"/>
        </w:rPr>
        <w:t>。</w:t>
      </w:r>
    </w:p>
    <w:p w14:paraId="453B74B9">
      <w:pPr>
        <w:spacing w:line="360" w:lineRule="auto"/>
        <w:ind w:firstLine="420" w:firstLineChars="200"/>
        <w:jc w:val="left"/>
        <w:rPr>
          <w:color w:val="auto"/>
          <w:highlight w:val="none"/>
        </w:rPr>
      </w:pPr>
      <w:r>
        <w:rPr>
          <w:rFonts w:hAnsi="宋体"/>
          <w:color w:val="auto"/>
          <w:highlight w:val="none"/>
        </w:rPr>
        <w:t>关于发包人向承包人免费提供满足工程施工需要的场内道路和交通设施的约定：</w:t>
      </w:r>
      <w:r>
        <w:rPr>
          <w:rFonts w:hint="eastAsia" w:ascii="宋体" w:hAnsi="宋体" w:eastAsia="宋体" w:cs="宋体"/>
          <w:color w:val="auto"/>
          <w:szCs w:val="21"/>
          <w:highlight w:val="none"/>
          <w:u w:val="single"/>
        </w:rPr>
        <w:t>按经批准的施工组织设计规定，工程竣工后承包人须恢复，施工现场内临时道路由承包人负责建设并承担相关费用</w:t>
      </w:r>
      <w:r>
        <w:rPr>
          <w:rFonts w:hAnsi="宋体"/>
          <w:color w:val="auto"/>
          <w:highlight w:val="none"/>
        </w:rPr>
        <w:t>。</w:t>
      </w:r>
      <w:bookmarkEnd w:id="232"/>
      <w:bookmarkEnd w:id="233"/>
      <w:bookmarkEnd w:id="234"/>
      <w:bookmarkEnd w:id="235"/>
      <w:bookmarkEnd w:id="236"/>
      <w:bookmarkStart w:id="237" w:name="_Toc318581157"/>
    </w:p>
    <w:p w14:paraId="476A221F">
      <w:pPr>
        <w:spacing w:line="360" w:lineRule="auto"/>
        <w:ind w:firstLine="420" w:firstLineChars="200"/>
        <w:jc w:val="left"/>
        <w:rPr>
          <w:color w:val="auto"/>
          <w:highlight w:val="none"/>
        </w:rPr>
      </w:pPr>
      <w:r>
        <w:rPr>
          <w:color w:val="auto"/>
          <w:highlight w:val="none"/>
        </w:rPr>
        <w:t xml:space="preserve">1.10.4 </w:t>
      </w:r>
      <w:r>
        <w:rPr>
          <w:rFonts w:hint="eastAsia" w:hAnsi="宋体" w:cs="宋体"/>
          <w:color w:val="auto"/>
          <w:highlight w:val="none"/>
        </w:rPr>
        <w:t>超大件和超重件的运输</w:t>
      </w:r>
    </w:p>
    <w:p w14:paraId="222826DF">
      <w:pPr>
        <w:spacing w:line="360" w:lineRule="auto"/>
        <w:ind w:firstLine="420" w:firstLineChars="200"/>
        <w:jc w:val="left"/>
        <w:rPr>
          <w:color w:val="auto"/>
          <w:highlight w:val="none"/>
          <w:u w:val="single"/>
        </w:rPr>
      </w:pPr>
      <w:r>
        <w:rPr>
          <w:rFonts w:hint="eastAsia" w:hAnsi="宋体" w:cs="宋体"/>
          <w:color w:val="auto"/>
          <w:highlight w:val="none"/>
        </w:rPr>
        <w:t>运输超大件或超重件所需的道路和桥梁临时加固改造费用和其他有关费用由</w:t>
      </w:r>
      <w:r>
        <w:rPr>
          <w:rFonts w:hint="eastAsia" w:ascii="宋体" w:hAnsi="宋体" w:eastAsia="宋体" w:cs="宋体"/>
          <w:color w:val="auto"/>
          <w:szCs w:val="21"/>
          <w:highlight w:val="none"/>
          <w:u w:val="single"/>
        </w:rPr>
        <w:t xml:space="preserve"> 承包人</w:t>
      </w:r>
      <w:r>
        <w:rPr>
          <w:rFonts w:hint="eastAsia" w:hAnsi="宋体" w:cs="宋体"/>
          <w:color w:val="auto"/>
          <w:highlight w:val="none"/>
        </w:rPr>
        <w:t>承担。</w:t>
      </w:r>
    </w:p>
    <w:bookmarkEnd w:id="237"/>
    <w:p w14:paraId="0ED75B74">
      <w:pPr>
        <w:spacing w:line="360" w:lineRule="auto"/>
        <w:outlineLvl w:val="9"/>
        <w:rPr>
          <w:color w:val="auto"/>
          <w:highlight w:val="none"/>
        </w:rPr>
      </w:pPr>
      <w:bookmarkStart w:id="238" w:name="_Toc29152"/>
      <w:bookmarkStart w:id="239" w:name="_Toc10139"/>
      <w:bookmarkStart w:id="240" w:name="_Toc373227700"/>
      <w:bookmarkStart w:id="241" w:name="_Toc389065266"/>
      <w:bookmarkStart w:id="242" w:name="_Toc78449788"/>
      <w:bookmarkStart w:id="243" w:name="_Toc1495098807"/>
      <w:bookmarkStart w:id="244" w:name="_Toc407135202"/>
      <w:bookmarkStart w:id="245" w:name="_Toc373478347"/>
      <w:r>
        <w:rPr>
          <w:color w:val="auto"/>
          <w:highlight w:val="none"/>
        </w:rPr>
        <w:t xml:space="preserve">1.11 </w:t>
      </w:r>
      <w:r>
        <w:rPr>
          <w:rFonts w:hint="eastAsia" w:hAnsi="宋体" w:cs="黑体"/>
          <w:color w:val="auto"/>
          <w:highlight w:val="none"/>
        </w:rPr>
        <w:t>知识产权</w:t>
      </w:r>
      <w:bookmarkEnd w:id="238"/>
      <w:bookmarkEnd w:id="239"/>
      <w:bookmarkEnd w:id="240"/>
      <w:bookmarkEnd w:id="241"/>
      <w:bookmarkEnd w:id="242"/>
      <w:bookmarkEnd w:id="243"/>
      <w:bookmarkEnd w:id="244"/>
      <w:bookmarkEnd w:id="245"/>
    </w:p>
    <w:p w14:paraId="4B18E6B8">
      <w:pPr>
        <w:spacing w:line="360" w:lineRule="auto"/>
        <w:ind w:firstLine="420" w:firstLineChars="200"/>
        <w:jc w:val="left"/>
        <w:rPr>
          <w:color w:val="auto"/>
          <w:highlight w:val="none"/>
        </w:rPr>
      </w:pPr>
      <w:r>
        <w:rPr>
          <w:color w:val="auto"/>
          <w:highlight w:val="none"/>
        </w:rPr>
        <w:t xml:space="preserve">1.11.1 </w:t>
      </w:r>
      <w:r>
        <w:rPr>
          <w:rFonts w:hint="eastAsia" w:hAnsi="宋体" w:cs="宋体"/>
          <w:color w:val="auto"/>
          <w:highlight w:val="none"/>
        </w:rPr>
        <w:t>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szCs w:val="21"/>
          <w:highlight w:val="none"/>
          <w:u w:val="single"/>
        </w:rPr>
        <w:t>发包人</w:t>
      </w:r>
      <w:r>
        <w:rPr>
          <w:rFonts w:hint="eastAsia"/>
          <w:color w:val="auto"/>
          <w:highlight w:val="none"/>
          <w:u w:val="single"/>
          <w:lang w:val="en-US" w:eastAsia="zh-CN"/>
        </w:rPr>
        <w:t xml:space="preserve"> </w:t>
      </w:r>
      <w:r>
        <w:rPr>
          <w:rFonts w:hint="eastAsia" w:hAnsi="宋体" w:cs="宋体"/>
          <w:color w:val="auto"/>
          <w:highlight w:val="none"/>
        </w:rPr>
        <w:t>。</w:t>
      </w:r>
    </w:p>
    <w:p w14:paraId="497B26F9">
      <w:pPr>
        <w:spacing w:line="360" w:lineRule="auto"/>
        <w:ind w:firstLine="420" w:firstLineChars="200"/>
        <w:rPr>
          <w:color w:val="auto"/>
          <w:highlight w:val="none"/>
        </w:rPr>
      </w:pPr>
      <w:r>
        <w:rPr>
          <w:rFonts w:hint="eastAsia" w:hAnsi="宋体" w:cs="宋体"/>
          <w:color w:val="auto"/>
          <w:highlight w:val="none"/>
        </w:rPr>
        <w:t>关于发包人提供的上述文件的使用限制的要求：</w:t>
      </w:r>
      <w:r>
        <w:rPr>
          <w:rFonts w:hint="eastAsia" w:ascii="宋体" w:hAnsi="宋体" w:eastAsia="宋体" w:cs="宋体"/>
          <w:color w:val="auto"/>
          <w:szCs w:val="21"/>
          <w:highlight w:val="none"/>
          <w:u w:val="single"/>
        </w:rPr>
        <w:t>只能用于本项目，未经发包人同意不得向第三方提供图纸</w:t>
      </w:r>
      <w:r>
        <w:rPr>
          <w:rFonts w:hint="eastAsia" w:hAnsi="宋体" w:cs="宋体"/>
          <w:color w:val="auto"/>
          <w:highlight w:val="none"/>
        </w:rPr>
        <w:t>。</w:t>
      </w:r>
    </w:p>
    <w:p w14:paraId="2C1B0DB7">
      <w:pPr>
        <w:spacing w:line="360" w:lineRule="auto"/>
        <w:ind w:firstLine="420" w:firstLineChars="200"/>
        <w:rPr>
          <w:color w:val="auto"/>
          <w:highlight w:val="none"/>
        </w:rPr>
      </w:pPr>
      <w:r>
        <w:rPr>
          <w:color w:val="auto"/>
          <w:highlight w:val="none"/>
        </w:rPr>
        <w:t xml:space="preserve">1.11.2 </w:t>
      </w:r>
      <w:r>
        <w:rPr>
          <w:rFonts w:hint="eastAsia" w:hAnsi="宋体" w:cs="宋体"/>
          <w:color w:val="auto"/>
          <w:highlight w:val="none"/>
        </w:rPr>
        <w:t>关于承包人为实施工程所编制文件的著作权的归属：</w:t>
      </w:r>
      <w:r>
        <w:rPr>
          <w:color w:val="auto"/>
          <w:highlight w:val="none"/>
          <w:u w:val="single"/>
        </w:rPr>
        <w:t xml:space="preserve"> </w:t>
      </w:r>
      <w:r>
        <w:rPr>
          <w:rFonts w:hint="eastAsia" w:ascii="宋体" w:hAnsi="宋体" w:eastAsia="宋体" w:cs="宋体"/>
          <w:color w:val="auto"/>
          <w:szCs w:val="21"/>
          <w:highlight w:val="none"/>
          <w:u w:val="single"/>
        </w:rPr>
        <w:t xml:space="preserve"> 承包人、发包人</w:t>
      </w:r>
      <w:r>
        <w:rPr>
          <w:color w:val="auto"/>
          <w:highlight w:val="none"/>
          <w:u w:val="single"/>
        </w:rPr>
        <w:t xml:space="preserve">   </w:t>
      </w:r>
      <w:r>
        <w:rPr>
          <w:rFonts w:hint="eastAsia" w:hAnsi="宋体" w:cs="宋体"/>
          <w:color w:val="auto"/>
          <w:highlight w:val="none"/>
        </w:rPr>
        <w:t>。</w:t>
      </w:r>
    </w:p>
    <w:p w14:paraId="38265362">
      <w:pPr>
        <w:spacing w:line="360" w:lineRule="auto"/>
        <w:ind w:firstLine="420" w:firstLineChars="200"/>
        <w:rPr>
          <w:color w:val="auto"/>
          <w:highlight w:val="none"/>
          <w:u w:val="single"/>
        </w:rPr>
      </w:pPr>
      <w:r>
        <w:rPr>
          <w:rFonts w:hint="eastAsia" w:hAnsi="宋体" w:cs="宋体"/>
          <w:color w:val="auto"/>
          <w:highlight w:val="none"/>
        </w:rPr>
        <w:t>关于承包人提供的上述文件的使用限制的要求：</w:t>
      </w:r>
      <w:r>
        <w:rPr>
          <w:color w:val="auto"/>
          <w:highlight w:val="none"/>
          <w:u w:val="single"/>
        </w:rPr>
        <w:t xml:space="preserve"> </w:t>
      </w:r>
      <w:r>
        <w:rPr>
          <w:rFonts w:hint="eastAsia" w:ascii="宋体" w:hAnsi="宋体" w:eastAsia="宋体" w:cs="宋体"/>
          <w:color w:val="auto"/>
          <w:szCs w:val="21"/>
          <w:highlight w:val="none"/>
          <w:u w:val="single"/>
        </w:rPr>
        <w:t>只能用于本工地施工、保修，未经承包人同意不得向第三方提供</w:t>
      </w:r>
      <w:r>
        <w:rPr>
          <w:color w:val="auto"/>
          <w:highlight w:val="none"/>
          <w:u w:val="single"/>
        </w:rPr>
        <w:t xml:space="preserve"> </w:t>
      </w:r>
      <w:r>
        <w:rPr>
          <w:rFonts w:hint="eastAsia" w:hAnsi="宋体" w:cs="宋体"/>
          <w:color w:val="auto"/>
          <w:highlight w:val="none"/>
        </w:rPr>
        <w:t>。</w:t>
      </w:r>
    </w:p>
    <w:p w14:paraId="449E37B3">
      <w:pPr>
        <w:spacing w:line="360" w:lineRule="auto"/>
        <w:ind w:firstLine="420" w:firstLineChars="200"/>
        <w:rPr>
          <w:rFonts w:hAnsi="宋体"/>
          <w:color w:val="auto"/>
          <w:highlight w:val="none"/>
          <w:u w:val="single"/>
        </w:rPr>
      </w:pPr>
      <w:r>
        <w:rPr>
          <w:color w:val="auto"/>
          <w:highlight w:val="none"/>
        </w:rPr>
        <w:t xml:space="preserve">1.11.4 </w:t>
      </w:r>
      <w:r>
        <w:rPr>
          <w:rFonts w:hint="eastAsia" w:hAnsi="宋体" w:cs="宋体"/>
          <w:color w:val="auto"/>
          <w:highlight w:val="none"/>
        </w:rPr>
        <w:t>承包人在施工过程中所采用的专利、专有技术、技术秘密的使用费的承担方式：</w:t>
      </w:r>
    </w:p>
    <w:p w14:paraId="23A0C534">
      <w:pPr>
        <w:spacing w:line="360" w:lineRule="auto"/>
        <w:rPr>
          <w:color w:val="auto"/>
          <w:kern w:val="0"/>
          <w:highlight w:val="none"/>
        </w:rPr>
      </w:pPr>
      <w:r>
        <w:rPr>
          <w:rFonts w:hint="eastAsia" w:ascii="宋体" w:hAnsi="宋体" w:eastAsia="宋体" w:cs="宋体"/>
          <w:color w:val="auto"/>
          <w:szCs w:val="21"/>
          <w:highlight w:val="none"/>
          <w:u w:val="single"/>
        </w:rPr>
        <w:t xml:space="preserve"> 由承包人承担（发包人要求的特殊工艺、技术或质量标准等产生的知识产权费用除外） </w:t>
      </w:r>
      <w:r>
        <w:rPr>
          <w:rFonts w:hint="eastAsia" w:hAnsi="宋体" w:cs="宋体"/>
          <w:color w:val="auto"/>
          <w:kern w:val="0"/>
          <w:highlight w:val="none"/>
        </w:rPr>
        <w:t>。</w:t>
      </w:r>
    </w:p>
    <w:p w14:paraId="6BD54805">
      <w:pPr>
        <w:spacing w:line="360" w:lineRule="auto"/>
        <w:outlineLvl w:val="9"/>
        <w:rPr>
          <w:color w:val="auto"/>
          <w:highlight w:val="none"/>
        </w:rPr>
      </w:pPr>
      <w:bookmarkStart w:id="246" w:name="_Toc78449789"/>
      <w:bookmarkStart w:id="247" w:name="_Toc373227701"/>
      <w:bookmarkStart w:id="248" w:name="_Toc407135203"/>
      <w:bookmarkStart w:id="249" w:name="_Toc25183"/>
      <w:bookmarkStart w:id="250" w:name="_Toc14497"/>
      <w:bookmarkStart w:id="251" w:name="_Toc267680563"/>
      <w:bookmarkStart w:id="252" w:name="_Toc389065267"/>
      <w:bookmarkStart w:id="253" w:name="_Toc373478348"/>
      <w:r>
        <w:rPr>
          <w:color w:val="auto"/>
          <w:highlight w:val="none"/>
        </w:rPr>
        <w:t>1.13</w:t>
      </w:r>
      <w:r>
        <w:rPr>
          <w:rFonts w:hint="eastAsia" w:cs="黑体"/>
          <w:color w:val="auto"/>
          <w:highlight w:val="none"/>
        </w:rPr>
        <w:t>工程量清单错误的修正</w:t>
      </w:r>
      <w:bookmarkEnd w:id="246"/>
      <w:bookmarkEnd w:id="247"/>
      <w:bookmarkEnd w:id="248"/>
      <w:bookmarkEnd w:id="249"/>
      <w:bookmarkEnd w:id="250"/>
      <w:bookmarkEnd w:id="251"/>
      <w:bookmarkEnd w:id="252"/>
      <w:bookmarkEnd w:id="253"/>
    </w:p>
    <w:p w14:paraId="107E88B0">
      <w:pPr>
        <w:spacing w:line="360" w:lineRule="auto"/>
        <w:ind w:firstLine="420" w:firstLineChars="200"/>
        <w:rPr>
          <w:color w:val="auto"/>
          <w:highlight w:val="none"/>
        </w:rPr>
      </w:pPr>
      <w:r>
        <w:rPr>
          <w:rFonts w:hint="eastAsia" w:hAnsi="宋体" w:cs="宋体"/>
          <w:color w:val="auto"/>
          <w:highlight w:val="none"/>
        </w:rPr>
        <w:t>出现工程量清单工程量偏差时，是否调整合同</w:t>
      </w:r>
      <w:r>
        <w:rPr>
          <w:rFonts w:hint="eastAsia" w:hAnsi="宋体" w:cs="宋体"/>
          <w:color w:val="auto"/>
          <w:highlight w:val="none"/>
          <w:lang w:eastAsia="zh-CN"/>
        </w:rPr>
        <w:t>单价</w:t>
      </w:r>
      <w:r>
        <w:rPr>
          <w:rFonts w:hint="eastAsia" w:hAnsi="宋体" w:cs="宋体"/>
          <w:color w:val="auto"/>
          <w:highlight w:val="none"/>
        </w:rPr>
        <w:t>：</w:t>
      </w:r>
      <w:r>
        <w:rPr>
          <w:rFonts w:hint="eastAsia" w:hAnsi="宋体" w:cs="宋体"/>
          <w:color w:val="auto"/>
          <w:highlight w:val="none"/>
          <w:lang w:eastAsia="zh-CN"/>
        </w:rPr>
        <w:t>按</w:t>
      </w:r>
      <w:r>
        <w:rPr>
          <w:rFonts w:hint="eastAsia" w:hAnsi="宋体" w:cs="宋体"/>
          <w:color w:val="auto"/>
          <w:highlight w:val="none"/>
          <w:lang w:val="en-US" w:eastAsia="zh-CN"/>
        </w:rPr>
        <w:t>10.4.1（9）约定执行</w:t>
      </w:r>
      <w:r>
        <w:rPr>
          <w:rFonts w:hint="eastAsia" w:hAnsi="宋体" w:cs="宋体"/>
          <w:color w:val="auto"/>
          <w:kern w:val="0"/>
          <w:highlight w:val="none"/>
        </w:rPr>
        <w:t>。</w:t>
      </w:r>
    </w:p>
    <w:p w14:paraId="050A6E8C">
      <w:pPr>
        <w:spacing w:line="360" w:lineRule="auto"/>
        <w:outlineLvl w:val="9"/>
        <w:rPr>
          <w:color w:val="auto"/>
          <w:highlight w:val="none"/>
        </w:rPr>
      </w:pPr>
      <w:bookmarkStart w:id="254" w:name="_Toc373478349"/>
      <w:bookmarkStart w:id="255" w:name="_Toc373227702"/>
      <w:bookmarkStart w:id="256" w:name="_Toc78449790"/>
      <w:bookmarkStart w:id="257" w:name="_Toc10918"/>
      <w:bookmarkStart w:id="258" w:name="_Toc407135204"/>
      <w:bookmarkStart w:id="259" w:name="_Toc389065268"/>
      <w:bookmarkStart w:id="260" w:name="_Toc143780453"/>
      <w:bookmarkStart w:id="261" w:name="_Toc351203634"/>
      <w:r>
        <w:rPr>
          <w:color w:val="auto"/>
          <w:highlight w:val="none"/>
        </w:rPr>
        <w:t>2</w:t>
      </w:r>
      <w:bookmarkStart w:id="262" w:name="_Toc292559867"/>
      <w:bookmarkStart w:id="263" w:name="_Toc296346658"/>
      <w:bookmarkStart w:id="264" w:name="_Toc296890985"/>
      <w:bookmarkStart w:id="265" w:name="_Toc292559362"/>
      <w:bookmarkStart w:id="266" w:name="_Toc297120457"/>
      <w:bookmarkStart w:id="267" w:name="_Toc296891197"/>
      <w:bookmarkStart w:id="268" w:name="_Toc296944496"/>
      <w:bookmarkStart w:id="269" w:name="_Toc297048343"/>
      <w:bookmarkStart w:id="270" w:name="_Toc296503157"/>
      <w:bookmarkStart w:id="271" w:name="_Toc296347156"/>
      <w:r>
        <w:rPr>
          <w:color w:val="auto"/>
          <w:highlight w:val="none"/>
        </w:rPr>
        <w:t xml:space="preserve">. </w:t>
      </w:r>
      <w:r>
        <w:rPr>
          <w:rFonts w:hint="eastAsia" w:hAnsi="宋体" w:cs="黑体"/>
          <w:color w:val="auto"/>
          <w:highlight w:val="none"/>
        </w:rPr>
        <w:t>发包人</w:t>
      </w:r>
      <w:bookmarkEnd w:id="254"/>
      <w:bookmarkEnd w:id="255"/>
      <w:bookmarkEnd w:id="256"/>
      <w:bookmarkEnd w:id="257"/>
      <w:bookmarkEnd w:id="258"/>
      <w:bookmarkEnd w:id="259"/>
      <w:bookmarkEnd w:id="260"/>
      <w:bookmarkEnd w:id="261"/>
    </w:p>
    <w:bookmarkEnd w:id="262"/>
    <w:bookmarkEnd w:id="263"/>
    <w:bookmarkEnd w:id="264"/>
    <w:bookmarkEnd w:id="265"/>
    <w:bookmarkEnd w:id="266"/>
    <w:bookmarkEnd w:id="267"/>
    <w:bookmarkEnd w:id="268"/>
    <w:bookmarkEnd w:id="269"/>
    <w:bookmarkEnd w:id="270"/>
    <w:bookmarkEnd w:id="271"/>
    <w:p w14:paraId="473C57D6">
      <w:pPr>
        <w:spacing w:line="360" w:lineRule="auto"/>
        <w:outlineLvl w:val="9"/>
        <w:rPr>
          <w:color w:val="auto"/>
          <w:highlight w:val="none"/>
        </w:rPr>
      </w:pPr>
      <w:bookmarkStart w:id="272" w:name="_Toc373227703"/>
      <w:bookmarkStart w:id="273" w:name="_Toc78449791"/>
      <w:bookmarkStart w:id="274" w:name="_Toc407135205"/>
      <w:bookmarkStart w:id="275" w:name="_Toc389065269"/>
      <w:bookmarkStart w:id="276" w:name="_Toc27372"/>
      <w:bookmarkStart w:id="277" w:name="_Toc373478350"/>
      <w:bookmarkStart w:id="278" w:name="_Toc26971"/>
      <w:bookmarkStart w:id="279" w:name="_Toc971240048"/>
      <w:r>
        <w:rPr>
          <w:color w:val="auto"/>
          <w:highlight w:val="none"/>
        </w:rPr>
        <w:t xml:space="preserve">2.2 </w:t>
      </w:r>
      <w:r>
        <w:rPr>
          <w:rFonts w:hint="eastAsia" w:hAnsi="宋体" w:cs="黑体"/>
          <w:color w:val="auto"/>
          <w:highlight w:val="none"/>
        </w:rPr>
        <w:t>发包人代表</w:t>
      </w:r>
      <w:bookmarkEnd w:id="272"/>
      <w:bookmarkEnd w:id="273"/>
      <w:bookmarkEnd w:id="274"/>
      <w:bookmarkEnd w:id="275"/>
      <w:bookmarkEnd w:id="276"/>
      <w:bookmarkEnd w:id="277"/>
      <w:bookmarkEnd w:id="278"/>
      <w:bookmarkEnd w:id="279"/>
    </w:p>
    <w:p w14:paraId="18916D84">
      <w:pPr>
        <w:spacing w:line="360" w:lineRule="auto"/>
        <w:ind w:firstLine="420" w:firstLineChars="200"/>
        <w:rPr>
          <w:color w:val="auto"/>
          <w:highlight w:val="none"/>
        </w:rPr>
      </w:pPr>
      <w:r>
        <w:rPr>
          <w:rFonts w:hint="eastAsia" w:hAnsi="宋体" w:cs="宋体"/>
          <w:color w:val="auto"/>
          <w:highlight w:val="none"/>
        </w:rPr>
        <w:t>发包人代表：</w:t>
      </w:r>
    </w:p>
    <w:p w14:paraId="1AE47600">
      <w:pPr>
        <w:spacing w:line="360" w:lineRule="auto"/>
        <w:ind w:firstLine="420" w:firstLineChars="200"/>
        <w:rPr>
          <w:color w:val="auto"/>
          <w:highlight w:val="none"/>
        </w:rPr>
      </w:pPr>
      <w:r>
        <w:rPr>
          <w:rFonts w:hAnsi="宋体"/>
          <w:color w:val="auto"/>
          <w:highlight w:val="none"/>
        </w:rPr>
        <w:t>姓</w:t>
      </w:r>
      <w:r>
        <w:rPr>
          <w:color w:val="auto"/>
          <w:highlight w:val="none"/>
        </w:rPr>
        <w:t xml:space="preserve">    </w:t>
      </w:r>
      <w:r>
        <w:rPr>
          <w:rFonts w:hAnsi="宋体"/>
          <w:color w:val="auto"/>
          <w:highlight w:val="none"/>
        </w:rPr>
        <w:t>名：</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1207D99C">
      <w:pPr>
        <w:spacing w:line="360" w:lineRule="auto"/>
        <w:ind w:firstLine="420" w:firstLineChars="200"/>
        <w:rPr>
          <w:color w:val="auto"/>
          <w:highlight w:val="none"/>
        </w:rPr>
      </w:pPr>
      <w:r>
        <w:rPr>
          <w:rFonts w:hAnsi="宋体"/>
          <w:color w:val="auto"/>
          <w:highlight w:val="none"/>
        </w:rPr>
        <w:t>身份证号：</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0233D75A">
      <w:pPr>
        <w:spacing w:line="360" w:lineRule="auto"/>
        <w:ind w:firstLine="420" w:firstLineChars="200"/>
        <w:rPr>
          <w:color w:val="auto"/>
          <w:highlight w:val="none"/>
        </w:rPr>
      </w:pPr>
      <w:r>
        <w:rPr>
          <w:rFonts w:hAnsi="宋体"/>
          <w:color w:val="auto"/>
          <w:highlight w:val="none"/>
        </w:rPr>
        <w:t>职</w:t>
      </w:r>
      <w:r>
        <w:rPr>
          <w:color w:val="auto"/>
          <w:highlight w:val="none"/>
        </w:rPr>
        <w:t xml:space="preserve">    </w:t>
      </w:r>
      <w:r>
        <w:rPr>
          <w:rFonts w:hAnsi="宋体"/>
          <w:color w:val="auto"/>
          <w:highlight w:val="none"/>
        </w:rPr>
        <w:t>务：</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4CD23FC3">
      <w:pPr>
        <w:spacing w:line="360" w:lineRule="auto"/>
        <w:ind w:firstLine="420" w:firstLineChars="200"/>
        <w:rPr>
          <w:color w:val="auto"/>
          <w:highlight w:val="none"/>
        </w:rPr>
      </w:pPr>
      <w:r>
        <w:rPr>
          <w:rFonts w:hAnsi="宋体"/>
          <w:color w:val="auto"/>
          <w:highlight w:val="none"/>
        </w:rPr>
        <w:t>联系电话：</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468B00EE">
      <w:pPr>
        <w:spacing w:line="360" w:lineRule="auto"/>
        <w:ind w:firstLine="420" w:firstLineChars="200"/>
        <w:rPr>
          <w:color w:val="auto"/>
          <w:highlight w:val="none"/>
        </w:rPr>
      </w:pPr>
      <w:r>
        <w:rPr>
          <w:rFonts w:hAnsi="宋体"/>
          <w:color w:val="auto"/>
          <w:highlight w:val="none"/>
        </w:rPr>
        <w:t>电子信箱：</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46FDC45C">
      <w:pPr>
        <w:spacing w:line="360" w:lineRule="auto"/>
        <w:ind w:firstLine="420" w:firstLineChars="200"/>
        <w:rPr>
          <w:color w:val="auto"/>
          <w:highlight w:val="none"/>
        </w:rPr>
      </w:pPr>
      <w:r>
        <w:rPr>
          <w:rFonts w:hAnsi="宋体"/>
          <w:color w:val="auto"/>
          <w:highlight w:val="none"/>
        </w:rPr>
        <w:t>通信地址：</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3FC9C99B">
      <w:pPr>
        <w:spacing w:line="360" w:lineRule="auto"/>
        <w:ind w:firstLine="420" w:firstLineChars="200"/>
        <w:rPr>
          <w:color w:val="auto"/>
          <w:highlight w:val="none"/>
          <w:u w:val="single"/>
        </w:rPr>
      </w:pPr>
      <w:r>
        <w:rPr>
          <w:rFonts w:hint="eastAsia" w:hAnsi="宋体" w:cs="宋体"/>
          <w:color w:val="auto"/>
          <w:highlight w:val="none"/>
        </w:rPr>
        <w:t>发包人对发包人代表的授权范围如下：</w:t>
      </w:r>
      <w:r>
        <w:rPr>
          <w:color w:val="auto"/>
          <w:highlight w:val="none"/>
          <w:u w:val="single"/>
        </w:rPr>
        <w:t xml:space="preserve">                        </w:t>
      </w:r>
      <w:r>
        <w:rPr>
          <w:rFonts w:hint="eastAsia" w:hAnsi="宋体" w:cs="宋体"/>
          <w:color w:val="auto"/>
          <w:highlight w:val="none"/>
        </w:rPr>
        <w:t>。</w:t>
      </w:r>
    </w:p>
    <w:p w14:paraId="4476CB58">
      <w:pPr>
        <w:spacing w:line="360" w:lineRule="auto"/>
        <w:outlineLvl w:val="9"/>
        <w:rPr>
          <w:color w:val="auto"/>
          <w:highlight w:val="none"/>
        </w:rPr>
      </w:pPr>
      <w:bookmarkStart w:id="280" w:name="_Toc17202"/>
      <w:bookmarkStart w:id="281" w:name="_Toc373478351"/>
      <w:bookmarkStart w:id="282" w:name="_Toc407135206"/>
      <w:bookmarkStart w:id="283" w:name="_Toc27528"/>
      <w:bookmarkStart w:id="284" w:name="_Toc373227704"/>
      <w:bookmarkStart w:id="285" w:name="_Toc389065270"/>
      <w:bookmarkStart w:id="286" w:name="_Toc78449792"/>
      <w:bookmarkStart w:id="287" w:name="_Toc2077499244"/>
      <w:r>
        <w:rPr>
          <w:color w:val="auto"/>
          <w:highlight w:val="none"/>
        </w:rPr>
        <w:t xml:space="preserve">2.4 </w:t>
      </w:r>
      <w:r>
        <w:rPr>
          <w:rFonts w:hint="eastAsia" w:cs="黑体"/>
          <w:color w:val="auto"/>
          <w:highlight w:val="none"/>
        </w:rPr>
        <w:t>施工现场、施工条件和基础资料的提供</w:t>
      </w:r>
      <w:bookmarkEnd w:id="280"/>
      <w:bookmarkEnd w:id="281"/>
      <w:bookmarkEnd w:id="282"/>
      <w:bookmarkEnd w:id="283"/>
      <w:bookmarkEnd w:id="284"/>
      <w:bookmarkEnd w:id="285"/>
      <w:bookmarkEnd w:id="286"/>
      <w:bookmarkEnd w:id="287"/>
    </w:p>
    <w:p w14:paraId="3A3AFF33">
      <w:pPr>
        <w:spacing w:line="360" w:lineRule="auto"/>
        <w:ind w:firstLine="420" w:firstLineChars="200"/>
        <w:rPr>
          <w:color w:val="auto"/>
          <w:highlight w:val="none"/>
        </w:rPr>
      </w:pPr>
      <w:r>
        <w:rPr>
          <w:color w:val="auto"/>
          <w:highlight w:val="none"/>
        </w:rPr>
        <w:t xml:space="preserve">2.4.1 </w:t>
      </w:r>
      <w:r>
        <w:rPr>
          <w:rFonts w:hint="eastAsia" w:hAnsi="宋体" w:cs="宋体"/>
          <w:color w:val="auto"/>
          <w:highlight w:val="none"/>
        </w:rPr>
        <w:t>提供施工现场</w:t>
      </w:r>
    </w:p>
    <w:p w14:paraId="20DA27CB">
      <w:pPr>
        <w:spacing w:line="360" w:lineRule="auto"/>
        <w:ind w:firstLine="420" w:firstLineChars="200"/>
        <w:jc w:val="left"/>
        <w:rPr>
          <w:color w:val="auto"/>
          <w:highlight w:val="none"/>
        </w:rPr>
      </w:pPr>
      <w:r>
        <w:rPr>
          <w:rFonts w:hint="eastAsia" w:hAnsi="宋体" w:cs="宋体"/>
          <w:color w:val="auto"/>
          <w:highlight w:val="none"/>
        </w:rPr>
        <w:t>关于发包人移交施工现场的期限要求：</w:t>
      </w:r>
      <w:r>
        <w:rPr>
          <w:color w:val="auto"/>
          <w:highlight w:val="none"/>
          <w:u w:val="single"/>
        </w:rPr>
        <w:t xml:space="preserve"> </w:t>
      </w:r>
      <w:r>
        <w:rPr>
          <w:rFonts w:hint="eastAsia" w:ascii="宋体" w:hAnsi="宋体" w:eastAsia="宋体" w:cs="宋体"/>
          <w:color w:val="auto"/>
          <w:szCs w:val="21"/>
          <w:highlight w:val="none"/>
          <w:u w:val="single"/>
        </w:rPr>
        <w:t>施工场地应当在监理人发出的开工通知中载明的开工日期前 7 天具备施工条件并移交给承包人</w:t>
      </w:r>
      <w:r>
        <w:rPr>
          <w:rFonts w:hint="eastAsia" w:hAnsi="宋体" w:cs="宋体"/>
          <w:color w:val="auto"/>
          <w:highlight w:val="none"/>
        </w:rPr>
        <w:t>。</w:t>
      </w:r>
    </w:p>
    <w:p w14:paraId="5BA6EE87">
      <w:pPr>
        <w:spacing w:line="360" w:lineRule="auto"/>
        <w:ind w:firstLine="420" w:firstLineChars="200"/>
        <w:rPr>
          <w:color w:val="auto"/>
          <w:highlight w:val="none"/>
        </w:rPr>
      </w:pPr>
      <w:r>
        <w:rPr>
          <w:color w:val="auto"/>
          <w:highlight w:val="none"/>
        </w:rPr>
        <w:t xml:space="preserve">2.4.2 </w:t>
      </w:r>
      <w:r>
        <w:rPr>
          <w:rFonts w:hint="eastAsia" w:hAnsi="宋体" w:cs="宋体"/>
          <w:color w:val="auto"/>
          <w:highlight w:val="none"/>
        </w:rPr>
        <w:t>提供施工条件</w:t>
      </w:r>
    </w:p>
    <w:p w14:paraId="23D84EF2">
      <w:pPr>
        <w:spacing w:line="360" w:lineRule="auto"/>
        <w:ind w:firstLine="420" w:firstLineChars="200"/>
        <w:rPr>
          <w:color w:val="auto"/>
          <w:highlight w:val="none"/>
          <w:u w:val="single"/>
        </w:rPr>
      </w:pPr>
      <w:r>
        <w:rPr>
          <w:rFonts w:hint="eastAsia" w:hAnsi="宋体" w:cs="宋体"/>
          <w:color w:val="auto"/>
          <w:highlight w:val="none"/>
        </w:rPr>
        <w:t>关于发包人应负责提供施工所需要的条件，包括：</w:t>
      </w:r>
      <w:r>
        <w:rPr>
          <w:color w:val="auto"/>
          <w:highlight w:val="none"/>
          <w:u w:val="single"/>
        </w:rPr>
        <w:t xml:space="preserve"> </w:t>
      </w:r>
      <w:r>
        <w:rPr>
          <w:rFonts w:hint="eastAsia" w:ascii="宋体" w:hAnsi="宋体" w:eastAsia="宋体" w:cs="宋体"/>
          <w:color w:val="auto"/>
          <w:szCs w:val="21"/>
          <w:highlight w:val="none"/>
          <w:u w:val="single"/>
        </w:rPr>
        <w:t>①发包人最迟应当在移交施工场地的同时向承包人提供施工场地内地下管线和地下设施等有关资料，并保证资料的真实、准确和完整，组织设计交底等。②将施工所需的水、电线路接至施工场地的时间、地点和供应要求：发包人于开工前7日负责把水、电接口接至到施工场地，接口后的水、电线路由承包方自行负责。③水准点与</w:t>
      </w:r>
      <w:r>
        <w:rPr>
          <w:rFonts w:hint="eastAsia" w:ascii="宋体" w:hAnsi="宋体" w:eastAsia="宋体" w:cs="宋体"/>
          <w:color w:val="auto"/>
          <w:szCs w:val="21"/>
          <w:highlight w:val="none"/>
          <w:u w:val="single"/>
          <w:lang w:eastAsia="zh-CN"/>
        </w:rPr>
        <w:t>坐标</w:t>
      </w:r>
      <w:r>
        <w:rPr>
          <w:rFonts w:hint="eastAsia" w:ascii="宋体" w:hAnsi="宋体" w:eastAsia="宋体" w:cs="宋体"/>
          <w:color w:val="auto"/>
          <w:szCs w:val="21"/>
          <w:highlight w:val="none"/>
          <w:u w:val="single"/>
        </w:rPr>
        <w:t>控制点交验要求： 于开工前7日内现场交验，双方做好签认工作。④由发包人办理的施工所需证件、批件的名称和完成时间：由发包人负责办理</w:t>
      </w:r>
      <w:r>
        <w:rPr>
          <w:rFonts w:hint="eastAsia" w:hAnsi="宋体" w:cs="宋体"/>
          <w:color w:val="auto"/>
          <w:highlight w:val="none"/>
        </w:rPr>
        <w:t>。</w:t>
      </w:r>
    </w:p>
    <w:p w14:paraId="2E766246">
      <w:pPr>
        <w:spacing w:line="360" w:lineRule="auto"/>
        <w:outlineLvl w:val="9"/>
        <w:rPr>
          <w:color w:val="auto"/>
          <w:highlight w:val="none"/>
        </w:rPr>
      </w:pPr>
      <w:bookmarkStart w:id="288" w:name="_Toc1238195908"/>
      <w:bookmarkStart w:id="289" w:name="_Toc373227705"/>
      <w:bookmarkStart w:id="290" w:name="_Toc78449793"/>
      <w:bookmarkStart w:id="291" w:name="_Toc373478352"/>
      <w:bookmarkStart w:id="292" w:name="_Toc389065271"/>
      <w:bookmarkStart w:id="293" w:name="_Toc407135207"/>
      <w:bookmarkStart w:id="294" w:name="_Toc22558"/>
      <w:bookmarkStart w:id="295" w:name="_Toc7688"/>
      <w:r>
        <w:rPr>
          <w:color w:val="auto"/>
          <w:highlight w:val="none"/>
        </w:rPr>
        <w:t xml:space="preserve">2.5 </w:t>
      </w:r>
      <w:r>
        <w:rPr>
          <w:rFonts w:hint="eastAsia" w:cs="黑体"/>
          <w:color w:val="auto"/>
          <w:highlight w:val="none"/>
        </w:rPr>
        <w:t>资金来源证明及支付担保</w:t>
      </w:r>
      <w:bookmarkEnd w:id="288"/>
      <w:bookmarkEnd w:id="289"/>
      <w:bookmarkEnd w:id="290"/>
      <w:bookmarkEnd w:id="291"/>
      <w:bookmarkEnd w:id="292"/>
      <w:bookmarkEnd w:id="293"/>
      <w:bookmarkEnd w:id="294"/>
      <w:bookmarkEnd w:id="295"/>
    </w:p>
    <w:p w14:paraId="01E7E837">
      <w:pPr>
        <w:spacing w:line="360" w:lineRule="auto"/>
        <w:ind w:firstLine="420" w:firstLineChars="200"/>
        <w:rPr>
          <w:color w:val="auto"/>
          <w:highlight w:val="none"/>
        </w:rPr>
      </w:pPr>
      <w:r>
        <w:rPr>
          <w:rFonts w:hint="eastAsia" w:hAnsi="宋体" w:cs="宋体"/>
          <w:color w:val="auto"/>
          <w:highlight w:val="none"/>
        </w:rPr>
        <w:t>发包人提供资金来源证明的期限要求：</w:t>
      </w:r>
      <w:r>
        <w:rPr>
          <w:color w:val="auto"/>
          <w:highlight w:val="none"/>
          <w:u w:val="single"/>
        </w:rPr>
        <w:t xml:space="preserve">  </w:t>
      </w:r>
      <w:r>
        <w:rPr>
          <w:rFonts w:hint="eastAsia" w:ascii="宋体" w:hAnsi="宋体" w:eastAsia="宋体" w:cs="宋体"/>
          <w:color w:val="auto"/>
          <w:szCs w:val="21"/>
          <w:highlight w:val="none"/>
          <w:u w:val="single"/>
        </w:rPr>
        <w:t xml:space="preserve">/   </w:t>
      </w:r>
      <w:r>
        <w:rPr>
          <w:color w:val="auto"/>
          <w:highlight w:val="none"/>
          <w:u w:val="single"/>
        </w:rPr>
        <w:t xml:space="preserve">      </w:t>
      </w:r>
      <w:r>
        <w:rPr>
          <w:rFonts w:hint="eastAsia" w:hAnsi="宋体" w:cs="宋体"/>
          <w:color w:val="auto"/>
          <w:highlight w:val="none"/>
        </w:rPr>
        <w:t>。</w:t>
      </w:r>
    </w:p>
    <w:p w14:paraId="501C0270">
      <w:pPr>
        <w:spacing w:line="360" w:lineRule="auto"/>
        <w:ind w:firstLine="420" w:firstLineChars="200"/>
        <w:rPr>
          <w:color w:val="auto"/>
          <w:highlight w:val="none"/>
        </w:rPr>
      </w:pPr>
      <w:r>
        <w:rPr>
          <w:rFonts w:hint="eastAsia" w:hAnsi="宋体" w:cs="宋体"/>
          <w:color w:val="auto"/>
          <w:highlight w:val="none"/>
        </w:rPr>
        <w:t>发包人是否提供支付担保：</w:t>
      </w:r>
      <w:r>
        <w:rPr>
          <w:color w:val="auto"/>
          <w:highlight w:val="none"/>
          <w:u w:val="single"/>
        </w:rPr>
        <w:t xml:space="preserve"> </w:t>
      </w:r>
      <w:r>
        <w:rPr>
          <w:rFonts w:hint="eastAsia"/>
          <w:color w:val="auto"/>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color w:val="auto"/>
          <w:highlight w:val="none"/>
          <w:u w:val="single"/>
        </w:rPr>
        <w:t xml:space="preserve">          </w:t>
      </w:r>
      <w:r>
        <w:rPr>
          <w:rFonts w:hint="eastAsia" w:ascii="Times New Roman" w:hAnsi="宋体" w:eastAsia="宋体" w:cs="宋体"/>
          <w:color w:val="auto"/>
          <w:highlight w:val="none"/>
          <w:u w:val="none"/>
        </w:rPr>
        <w:t xml:space="preserve"> </w:t>
      </w:r>
      <w:r>
        <w:rPr>
          <w:rFonts w:hint="eastAsia" w:ascii="Times New Roman" w:hAnsi="宋体" w:eastAsia="宋体" w:cs="宋体"/>
          <w:color w:val="auto"/>
          <w:highlight w:val="none"/>
        </w:rPr>
        <w:t>。【</w:t>
      </w:r>
      <w:r>
        <w:rPr>
          <w:rFonts w:hint="eastAsia" w:ascii="Times New Roman" w:hAnsi="宋体" w:eastAsia="宋体" w:cs="宋体"/>
          <w:i w:val="0"/>
          <w:caps w:val="0"/>
          <w:color w:val="auto"/>
          <w:spacing w:val="0"/>
          <w:sz w:val="21"/>
          <w:szCs w:val="21"/>
          <w:highlight w:val="none"/>
          <w:lang w:eastAsia="zh-CN"/>
        </w:rPr>
        <w:t>发包</w:t>
      </w:r>
      <w:r>
        <w:rPr>
          <w:rFonts w:hint="eastAsia" w:ascii="Times New Roman" w:hAnsi="宋体" w:eastAsia="宋体" w:cs="宋体"/>
          <w:i w:val="0"/>
          <w:caps w:val="0"/>
          <w:color w:val="auto"/>
          <w:spacing w:val="0"/>
          <w:sz w:val="21"/>
          <w:szCs w:val="21"/>
          <w:highlight w:val="none"/>
        </w:rPr>
        <w:t>人要求</w:t>
      </w:r>
      <w:r>
        <w:rPr>
          <w:rFonts w:hint="eastAsia" w:ascii="Times New Roman" w:hAnsi="宋体" w:eastAsia="宋体" w:cs="宋体"/>
          <w:i w:val="0"/>
          <w:caps w:val="0"/>
          <w:color w:val="auto"/>
          <w:spacing w:val="0"/>
          <w:sz w:val="21"/>
          <w:szCs w:val="21"/>
          <w:highlight w:val="none"/>
          <w:lang w:eastAsia="zh-CN"/>
        </w:rPr>
        <w:t>承包</w:t>
      </w:r>
      <w:r>
        <w:rPr>
          <w:rFonts w:hint="eastAsia" w:ascii="Times New Roman" w:hAnsi="宋体" w:eastAsia="宋体" w:cs="宋体"/>
          <w:i w:val="0"/>
          <w:caps w:val="0"/>
          <w:color w:val="auto"/>
          <w:spacing w:val="0"/>
          <w:sz w:val="21"/>
          <w:szCs w:val="21"/>
          <w:highlight w:val="none"/>
        </w:rPr>
        <w:t>人提供履约担保的，应当同时向</w:t>
      </w:r>
      <w:r>
        <w:rPr>
          <w:rFonts w:hint="eastAsia" w:ascii="Times New Roman" w:hAnsi="宋体" w:eastAsia="宋体" w:cs="宋体"/>
          <w:i w:val="0"/>
          <w:caps w:val="0"/>
          <w:color w:val="auto"/>
          <w:spacing w:val="0"/>
          <w:sz w:val="21"/>
          <w:szCs w:val="21"/>
          <w:highlight w:val="none"/>
          <w:lang w:eastAsia="zh-CN"/>
        </w:rPr>
        <w:t>承包</w:t>
      </w:r>
      <w:r>
        <w:rPr>
          <w:rFonts w:hint="eastAsia" w:ascii="Times New Roman" w:hAnsi="宋体" w:eastAsia="宋体" w:cs="宋体"/>
          <w:i w:val="0"/>
          <w:caps w:val="0"/>
          <w:color w:val="auto"/>
          <w:spacing w:val="0"/>
          <w:sz w:val="21"/>
          <w:szCs w:val="21"/>
          <w:highlight w:val="none"/>
        </w:rPr>
        <w:t>人提供工程款支付担保。工程款支付担保可以全额担保，也可以分阶段担保。分阶段担保的，除保修金以外的全部款项，完成一个阶段清算后再进入下一阶段，有效期截至工程竣工结算款支付完毕。</w:t>
      </w:r>
      <w:r>
        <w:rPr>
          <w:rFonts w:hint="eastAsia" w:ascii="Times New Roman" w:hAnsi="宋体" w:eastAsia="宋体" w:cs="宋体"/>
          <w:i w:val="0"/>
          <w:caps w:val="0"/>
          <w:color w:val="auto"/>
          <w:spacing w:val="0"/>
          <w:sz w:val="21"/>
          <w:szCs w:val="21"/>
          <w:highlight w:val="none"/>
          <w:lang w:eastAsia="zh-CN"/>
        </w:rPr>
        <w:t>发包</w:t>
      </w:r>
      <w:r>
        <w:rPr>
          <w:rFonts w:hint="eastAsia" w:ascii="Times New Roman" w:hAnsi="宋体" w:eastAsia="宋体" w:cs="宋体"/>
          <w:i w:val="0"/>
          <w:caps w:val="0"/>
          <w:color w:val="auto"/>
          <w:spacing w:val="0"/>
          <w:sz w:val="21"/>
          <w:szCs w:val="21"/>
          <w:highlight w:val="none"/>
        </w:rPr>
        <w:t>人未按合同约定及时支付工程款的，工程担保保证人需承担担保责任。对政府投资项目，由建设单位提供落实财政资金来源的证明文件</w:t>
      </w:r>
      <w:r>
        <w:rPr>
          <w:rFonts w:hint="eastAsia" w:hAnsi="宋体" w:cs="宋体"/>
          <w:i w:val="0"/>
          <w:caps w:val="0"/>
          <w:color w:val="auto"/>
          <w:spacing w:val="0"/>
          <w:sz w:val="21"/>
          <w:szCs w:val="21"/>
          <w:highlight w:val="none"/>
          <w:lang w:eastAsia="zh-CN"/>
        </w:rPr>
        <w:t>】</w:t>
      </w:r>
    </w:p>
    <w:p w14:paraId="44AF52A1">
      <w:pPr>
        <w:spacing w:line="360" w:lineRule="auto"/>
        <w:ind w:firstLine="420" w:firstLineChars="200"/>
        <w:rPr>
          <w:rFonts w:hint="eastAsia" w:hAnsi="宋体" w:cs="宋体"/>
          <w:color w:val="auto"/>
          <w:highlight w:val="none"/>
          <w:lang w:val="en" w:eastAsia="zh-CN"/>
        </w:rPr>
      </w:pPr>
      <w:r>
        <w:rPr>
          <w:rFonts w:hint="eastAsia" w:hAnsi="宋体" w:cs="宋体"/>
          <w:color w:val="auto"/>
          <w:highlight w:val="none"/>
        </w:rPr>
        <w:t>发包人提供支付担保的形式：</w:t>
      </w:r>
      <w:r>
        <w:rPr>
          <w:rFonts w:hint="eastAsia"/>
          <w:color w:val="auto"/>
          <w:highlight w:val="none"/>
          <w:u w:val="none"/>
          <w:lang w:eastAsia="zh-CN"/>
        </w:rPr>
        <w:t>可以是</w:t>
      </w:r>
      <w:r>
        <w:rPr>
          <w:rFonts w:hint="eastAsia" w:hAnsi="宋体" w:cs="宋体"/>
          <w:color w:val="auto"/>
          <w:highlight w:val="none"/>
        </w:rPr>
        <w:t>银行转账、电汇或网上支付、保函（银行保函、电子</w:t>
      </w:r>
      <w:r>
        <w:rPr>
          <w:rFonts w:hAnsi="宋体" w:cs="宋体"/>
          <w:color w:val="auto"/>
          <w:highlight w:val="none"/>
        </w:rPr>
        <w:t>保函</w:t>
      </w:r>
      <w:r>
        <w:rPr>
          <w:rFonts w:hint="eastAsia" w:hAnsi="宋体" w:cs="宋体"/>
          <w:color w:val="auto"/>
          <w:highlight w:val="none"/>
        </w:rPr>
        <w:t>、保证保险保函、工程担保保函）</w:t>
      </w:r>
      <w:r>
        <w:rPr>
          <w:rFonts w:hint="eastAsia" w:hAnsi="宋体"/>
          <w:color w:val="auto"/>
          <w:highlight w:val="none"/>
        </w:rPr>
        <w:t>等</w:t>
      </w:r>
      <w:r>
        <w:rPr>
          <w:rFonts w:hint="eastAsia" w:hAnsi="宋体" w:cs="宋体"/>
          <w:color w:val="auto"/>
          <w:highlight w:val="none"/>
        </w:rPr>
        <w:t>形</w:t>
      </w:r>
      <w:r>
        <w:rPr>
          <w:rFonts w:hint="eastAsia" w:hAnsi="宋体"/>
          <w:color w:val="auto"/>
          <w:highlight w:val="none"/>
        </w:rPr>
        <w:t>式</w:t>
      </w:r>
      <w:r>
        <w:rPr>
          <w:rFonts w:hint="eastAsia" w:hAnsi="宋体" w:cs="宋体"/>
          <w:color w:val="auto"/>
          <w:highlight w:val="none"/>
        </w:rPr>
        <w:t>。</w:t>
      </w:r>
      <w:r>
        <w:rPr>
          <w:rFonts w:hint="eastAsia" w:hAnsi="宋体" w:cs="宋体"/>
          <w:color w:val="auto"/>
          <w:highlight w:val="none"/>
          <w:lang w:eastAsia="zh-CN"/>
        </w:rPr>
        <w:t>工程担保保证人应将出具的保函相关信息录入“广西建筑市场监管云”平台（https://gxjzsc.gxcic.</w:t>
      </w:r>
      <w:r>
        <w:rPr>
          <w:rFonts w:hint="eastAsia" w:cs="宋体"/>
          <w:color w:val="auto"/>
          <w:highlight w:val="none"/>
          <w:lang w:val="en-US" w:eastAsia="zh-CN"/>
        </w:rPr>
        <w:t>cn</w:t>
      </w:r>
      <w:r>
        <w:rPr>
          <w:rFonts w:hint="eastAsia" w:hAnsi="宋体" w:cs="宋体"/>
          <w:color w:val="auto"/>
          <w:highlight w:val="none"/>
          <w:lang w:eastAsia="zh-CN"/>
        </w:rPr>
        <w:t>），以实现保函查询及验真功能</w:t>
      </w:r>
      <w:r>
        <w:rPr>
          <w:rFonts w:hint="eastAsia" w:hAnsi="宋体" w:cs="宋体"/>
          <w:color w:val="auto"/>
          <w:highlight w:val="none"/>
          <w:lang w:val="en" w:eastAsia="zh-CN"/>
        </w:rPr>
        <w:t>。</w:t>
      </w:r>
    </w:p>
    <w:p w14:paraId="48E710CC">
      <w:pPr>
        <w:spacing w:line="360" w:lineRule="auto"/>
        <w:ind w:firstLine="420" w:firstLineChars="200"/>
        <w:rPr>
          <w:color w:val="auto"/>
          <w:highlight w:val="none"/>
          <w:u w:val="single"/>
        </w:rPr>
      </w:pPr>
      <w:r>
        <w:rPr>
          <w:rFonts w:hint="eastAsia" w:hAnsi="宋体" w:cs="宋体"/>
          <w:color w:val="auto"/>
          <w:highlight w:val="none"/>
        </w:rPr>
        <w:t>发包人提供的支付担保格式见合同附件</w:t>
      </w:r>
      <w:r>
        <w:rPr>
          <w:rFonts w:hint="eastAsia" w:hAnsi="宋体"/>
          <w:color w:val="auto"/>
          <w:highlight w:val="none"/>
        </w:rPr>
        <w:t>9</w:t>
      </w:r>
      <w:r>
        <w:rPr>
          <w:rFonts w:hint="eastAsia" w:hAnsi="宋体" w:cs="宋体"/>
          <w:color w:val="auto"/>
          <w:highlight w:val="none"/>
        </w:rPr>
        <w:t>。</w:t>
      </w:r>
    </w:p>
    <w:p w14:paraId="647850B4">
      <w:pPr>
        <w:spacing w:line="360" w:lineRule="auto"/>
        <w:outlineLvl w:val="9"/>
        <w:rPr>
          <w:color w:val="auto"/>
          <w:highlight w:val="none"/>
        </w:rPr>
      </w:pPr>
      <w:bookmarkStart w:id="296" w:name="_Toc28432"/>
      <w:bookmarkStart w:id="297" w:name="_Toc407135208"/>
      <w:bookmarkStart w:id="298" w:name="_Toc373227706"/>
      <w:bookmarkStart w:id="299" w:name="_Toc78449794"/>
      <w:bookmarkStart w:id="300" w:name="_Toc1181400362"/>
      <w:bookmarkStart w:id="301" w:name="_Toc373478353"/>
      <w:bookmarkStart w:id="302" w:name="_Toc389065272"/>
      <w:bookmarkStart w:id="303" w:name="_Toc351203635"/>
      <w:r>
        <w:rPr>
          <w:color w:val="auto"/>
          <w:highlight w:val="none"/>
        </w:rPr>
        <w:t>3</w:t>
      </w:r>
      <w:bookmarkStart w:id="304" w:name="_Toc296503158"/>
      <w:bookmarkStart w:id="305" w:name="_Toc296891198"/>
      <w:bookmarkStart w:id="306" w:name="_Toc296346659"/>
      <w:bookmarkStart w:id="307" w:name="_Toc297120458"/>
      <w:bookmarkStart w:id="308" w:name="_Toc292559868"/>
      <w:bookmarkStart w:id="309" w:name="_Toc296347157"/>
      <w:bookmarkStart w:id="310" w:name="_Toc297048344"/>
      <w:bookmarkStart w:id="311" w:name="_Toc292559363"/>
      <w:bookmarkStart w:id="312" w:name="_Toc296944497"/>
      <w:bookmarkStart w:id="313" w:name="_Toc296890986"/>
      <w:r>
        <w:rPr>
          <w:color w:val="auto"/>
          <w:highlight w:val="none"/>
        </w:rPr>
        <w:t xml:space="preserve">. </w:t>
      </w:r>
      <w:r>
        <w:rPr>
          <w:rFonts w:hint="eastAsia" w:hAnsi="宋体" w:cs="黑体"/>
          <w:color w:val="auto"/>
          <w:highlight w:val="none"/>
        </w:rPr>
        <w:t>承包人</w:t>
      </w:r>
      <w:bookmarkEnd w:id="296"/>
      <w:bookmarkEnd w:id="297"/>
      <w:bookmarkEnd w:id="298"/>
      <w:bookmarkEnd w:id="299"/>
      <w:bookmarkEnd w:id="300"/>
      <w:bookmarkEnd w:id="301"/>
      <w:bookmarkEnd w:id="302"/>
      <w:bookmarkEnd w:id="303"/>
    </w:p>
    <w:bookmarkEnd w:id="304"/>
    <w:bookmarkEnd w:id="305"/>
    <w:bookmarkEnd w:id="306"/>
    <w:bookmarkEnd w:id="307"/>
    <w:bookmarkEnd w:id="308"/>
    <w:bookmarkEnd w:id="309"/>
    <w:bookmarkEnd w:id="310"/>
    <w:bookmarkEnd w:id="311"/>
    <w:bookmarkEnd w:id="312"/>
    <w:bookmarkEnd w:id="313"/>
    <w:p w14:paraId="137EEB4E">
      <w:pPr>
        <w:spacing w:line="360" w:lineRule="auto"/>
        <w:outlineLvl w:val="9"/>
        <w:rPr>
          <w:color w:val="auto"/>
          <w:highlight w:val="none"/>
        </w:rPr>
      </w:pPr>
      <w:bookmarkStart w:id="314" w:name="_Toc389065273"/>
      <w:bookmarkStart w:id="315" w:name="_Toc5874"/>
      <w:bookmarkStart w:id="316" w:name="_Toc407135209"/>
      <w:bookmarkStart w:id="317" w:name="_Toc373227707"/>
      <w:bookmarkStart w:id="318" w:name="_Toc78449795"/>
      <w:bookmarkStart w:id="319" w:name="_Toc373478354"/>
      <w:bookmarkStart w:id="320" w:name="_Toc962678435"/>
      <w:bookmarkStart w:id="321" w:name="_Toc23629"/>
      <w:r>
        <w:rPr>
          <w:color w:val="auto"/>
          <w:highlight w:val="none"/>
        </w:rPr>
        <w:t xml:space="preserve">3.1 </w:t>
      </w:r>
      <w:r>
        <w:rPr>
          <w:rFonts w:hint="eastAsia" w:cs="黑体"/>
          <w:color w:val="auto"/>
          <w:highlight w:val="none"/>
        </w:rPr>
        <w:t>承包人的一般义务</w:t>
      </w:r>
      <w:bookmarkEnd w:id="314"/>
      <w:bookmarkEnd w:id="315"/>
      <w:bookmarkEnd w:id="316"/>
      <w:bookmarkEnd w:id="317"/>
      <w:bookmarkEnd w:id="318"/>
      <w:bookmarkEnd w:id="319"/>
      <w:bookmarkEnd w:id="320"/>
      <w:bookmarkEnd w:id="321"/>
    </w:p>
    <w:p w14:paraId="1D5D4180">
      <w:pPr>
        <w:spacing w:line="360" w:lineRule="auto"/>
        <w:ind w:firstLine="420" w:firstLineChars="200"/>
        <w:jc w:val="left"/>
        <w:rPr>
          <w:rFonts w:hAnsi="宋体"/>
          <w:color w:val="auto"/>
          <w:highlight w:val="none"/>
        </w:rPr>
      </w:pPr>
      <w:r>
        <w:rPr>
          <w:rFonts w:hint="eastAsia" w:hAnsi="宋体" w:cs="宋体"/>
          <w:color w:val="auto"/>
          <w:kern w:val="0"/>
          <w:highlight w:val="none"/>
        </w:rPr>
        <w:t>（</w:t>
      </w:r>
      <w:r>
        <w:rPr>
          <w:color w:val="auto"/>
          <w:kern w:val="0"/>
          <w:highlight w:val="none"/>
        </w:rPr>
        <w:t>9</w:t>
      </w:r>
      <w:r>
        <w:rPr>
          <w:rFonts w:hint="eastAsia" w:hAnsi="宋体" w:cs="宋体"/>
          <w:color w:val="auto"/>
          <w:kern w:val="0"/>
          <w:highlight w:val="none"/>
        </w:rPr>
        <w:t>）</w:t>
      </w:r>
      <w:r>
        <w:rPr>
          <w:rFonts w:hint="eastAsia" w:hAnsi="宋体" w:cs="宋体"/>
          <w:color w:val="auto"/>
          <w:highlight w:val="none"/>
        </w:rPr>
        <w:t>承包人提交的竣工资料的内容：</w:t>
      </w:r>
    </w:p>
    <w:p w14:paraId="423366D2">
      <w:pPr>
        <w:spacing w:line="360" w:lineRule="auto"/>
        <w:ind w:firstLine="420" w:firstLineChars="200"/>
        <w:jc w:val="left"/>
        <w:rPr>
          <w:color w:val="auto"/>
          <w:highlight w:val="none"/>
          <w:u w:val="single"/>
        </w:rPr>
      </w:pPr>
      <w:r>
        <w:rPr>
          <w:rFonts w:hint="eastAsia" w:ascii="宋体" w:hAnsi="宋体" w:eastAsia="宋体" w:cs="宋体"/>
          <w:color w:val="auto"/>
          <w:szCs w:val="21"/>
          <w:highlight w:val="none"/>
          <w:u w:val="single"/>
        </w:rPr>
        <w:t>按照法律规定和合同约定编制竣工资料，完成竣工资料立卷及归档，并按如下约定的竣工资料的套数、内容、时间等要求移交发包人</w:t>
      </w:r>
      <w:r>
        <w:rPr>
          <w:color w:val="auto"/>
          <w:highlight w:val="none"/>
          <w:u w:val="single"/>
        </w:rPr>
        <w:t xml:space="preserve"> </w:t>
      </w:r>
      <w:r>
        <w:rPr>
          <w:rFonts w:hint="eastAsia" w:hAnsi="宋体" w:cs="宋体"/>
          <w:color w:val="auto"/>
          <w:highlight w:val="none"/>
        </w:rPr>
        <w:t>。</w:t>
      </w:r>
    </w:p>
    <w:p w14:paraId="75D07118">
      <w:pPr>
        <w:spacing w:line="360" w:lineRule="auto"/>
        <w:ind w:firstLine="420" w:firstLineChars="200"/>
        <w:jc w:val="left"/>
        <w:rPr>
          <w:color w:val="auto"/>
          <w:highlight w:val="none"/>
        </w:rPr>
      </w:pPr>
      <w:r>
        <w:rPr>
          <w:rFonts w:hint="eastAsia" w:hAnsi="宋体" w:cs="宋体"/>
          <w:color w:val="auto"/>
          <w:highlight w:val="none"/>
        </w:rPr>
        <w:t>承包人需要提交的竣工资料套数：</w:t>
      </w:r>
      <w:r>
        <w:rPr>
          <w:color w:val="auto"/>
          <w:highlight w:val="none"/>
          <w:u w:val="single"/>
        </w:rPr>
        <w:t xml:space="preserve"> </w:t>
      </w:r>
      <w:r>
        <w:rPr>
          <w:rFonts w:hint="eastAsia" w:ascii="宋体" w:hAnsi="宋体" w:eastAsia="宋体" w:cs="宋体"/>
          <w:color w:val="auto"/>
          <w:szCs w:val="21"/>
          <w:highlight w:val="none"/>
          <w:u w:val="single"/>
        </w:rPr>
        <w:t xml:space="preserve">陆份 </w:t>
      </w:r>
      <w:r>
        <w:rPr>
          <w:rFonts w:hint="eastAsia" w:hAnsi="宋体" w:cs="宋体"/>
          <w:color w:val="auto"/>
          <w:highlight w:val="none"/>
        </w:rPr>
        <w:t>。</w:t>
      </w:r>
    </w:p>
    <w:p w14:paraId="10580D2C">
      <w:pPr>
        <w:spacing w:line="360" w:lineRule="auto"/>
        <w:ind w:left="424" w:leftChars="202"/>
        <w:jc w:val="left"/>
        <w:rPr>
          <w:color w:val="auto"/>
          <w:highlight w:val="none"/>
        </w:rPr>
      </w:pPr>
      <w:r>
        <w:rPr>
          <w:rFonts w:hint="eastAsia" w:hAnsi="宋体" w:cs="宋体"/>
          <w:color w:val="auto"/>
          <w:highlight w:val="none"/>
        </w:rPr>
        <w:t>承包人提交的竣工资料的费用承担：</w:t>
      </w:r>
      <w:r>
        <w:rPr>
          <w:rFonts w:hint="eastAsia" w:ascii="宋体" w:hAnsi="宋体" w:eastAsia="宋体" w:cs="宋体"/>
          <w:color w:val="auto"/>
          <w:kern w:val="2"/>
          <w:sz w:val="21"/>
          <w:szCs w:val="21"/>
          <w:highlight w:val="none"/>
          <w:u w:val="single"/>
        </w:rPr>
        <w:t>由承包人承担</w:t>
      </w:r>
      <w:r>
        <w:rPr>
          <w:color w:val="auto"/>
          <w:highlight w:val="none"/>
          <w:u w:val="single"/>
        </w:rPr>
        <w:t xml:space="preserve"> </w:t>
      </w:r>
      <w:r>
        <w:rPr>
          <w:rFonts w:hint="eastAsia" w:hAnsi="宋体" w:cs="宋体"/>
          <w:color w:val="auto"/>
          <w:highlight w:val="none"/>
        </w:rPr>
        <w:t>。</w:t>
      </w:r>
    </w:p>
    <w:p w14:paraId="6FEF0774">
      <w:pPr>
        <w:spacing w:line="360" w:lineRule="auto"/>
        <w:ind w:left="424" w:leftChars="202"/>
        <w:jc w:val="left"/>
        <w:rPr>
          <w:color w:val="auto"/>
          <w:highlight w:val="none"/>
        </w:rPr>
      </w:pPr>
      <w:r>
        <w:rPr>
          <w:rFonts w:hint="eastAsia" w:hAnsi="宋体" w:cs="宋体"/>
          <w:color w:val="auto"/>
          <w:highlight w:val="none"/>
        </w:rPr>
        <w:t>承包人提交的竣工资料移交时间：</w:t>
      </w:r>
      <w:r>
        <w:rPr>
          <w:rFonts w:hint="eastAsia" w:ascii="宋体" w:hAnsi="宋体" w:eastAsia="宋体" w:cs="宋体"/>
          <w:color w:val="auto"/>
          <w:kern w:val="2"/>
          <w:sz w:val="21"/>
          <w:szCs w:val="21"/>
          <w:highlight w:val="none"/>
          <w:u w:val="single"/>
        </w:rPr>
        <w:t>竣工验收正式通过后15天内</w:t>
      </w:r>
      <w:r>
        <w:rPr>
          <w:color w:val="auto"/>
          <w:highlight w:val="none"/>
          <w:u w:val="single"/>
        </w:rPr>
        <w:t xml:space="preserve"> </w:t>
      </w:r>
      <w:r>
        <w:rPr>
          <w:rFonts w:hint="eastAsia" w:hAnsi="宋体" w:cs="宋体"/>
          <w:color w:val="auto"/>
          <w:highlight w:val="none"/>
        </w:rPr>
        <w:t>。</w:t>
      </w:r>
    </w:p>
    <w:p w14:paraId="6D6E2B83">
      <w:pPr>
        <w:spacing w:line="360" w:lineRule="auto"/>
        <w:ind w:firstLine="420" w:firstLineChars="200"/>
        <w:jc w:val="left"/>
        <w:rPr>
          <w:color w:val="auto"/>
          <w:highlight w:val="none"/>
        </w:rPr>
      </w:pPr>
      <w:r>
        <w:rPr>
          <w:rFonts w:hint="eastAsia" w:hAnsi="宋体" w:cs="宋体"/>
          <w:color w:val="auto"/>
          <w:highlight w:val="none"/>
        </w:rPr>
        <w:t>承包人提交的竣工资料形式要求：</w:t>
      </w:r>
      <w:r>
        <w:rPr>
          <w:rFonts w:hint="eastAsia" w:ascii="宋体" w:hAnsi="宋体" w:eastAsia="宋体" w:cs="宋体"/>
          <w:color w:val="auto"/>
          <w:szCs w:val="21"/>
          <w:highlight w:val="none"/>
          <w:u w:val="single"/>
        </w:rPr>
        <w:t>按竣工资料移交的有关规定办理</w:t>
      </w:r>
      <w:r>
        <w:rPr>
          <w:color w:val="auto"/>
          <w:highlight w:val="none"/>
          <w:u w:val="single"/>
        </w:rPr>
        <w:t xml:space="preserve"> </w:t>
      </w:r>
      <w:r>
        <w:rPr>
          <w:rFonts w:hint="eastAsia" w:hAnsi="宋体" w:cs="宋体"/>
          <w:color w:val="auto"/>
          <w:highlight w:val="none"/>
        </w:rPr>
        <w:t>。</w:t>
      </w:r>
    </w:p>
    <w:p w14:paraId="4E891497">
      <w:pPr>
        <w:spacing w:line="360" w:lineRule="auto"/>
        <w:ind w:firstLine="420" w:firstLineChars="200"/>
        <w:rPr>
          <w:rFonts w:hint="eastAsia" w:hAnsi="宋体" w:cs="宋体"/>
          <w:color w:val="auto"/>
          <w:kern w:val="0"/>
          <w:highlight w:val="none"/>
          <w:u w:val="single"/>
        </w:rPr>
      </w:pPr>
      <w:r>
        <w:rPr>
          <w:rFonts w:hint="eastAsia" w:hAnsi="宋体" w:cs="宋体"/>
          <w:color w:val="auto"/>
          <w:kern w:val="0"/>
          <w:highlight w:val="none"/>
        </w:rPr>
        <w:t>（</w:t>
      </w:r>
      <w:r>
        <w:rPr>
          <w:color w:val="auto"/>
          <w:kern w:val="0"/>
          <w:highlight w:val="none"/>
        </w:rPr>
        <w:t>10</w:t>
      </w:r>
      <w:r>
        <w:rPr>
          <w:rFonts w:hint="eastAsia" w:hAnsi="宋体" w:cs="宋体"/>
          <w:color w:val="auto"/>
          <w:kern w:val="0"/>
          <w:highlight w:val="none"/>
        </w:rPr>
        <w:t>）承包人应履行的其他义务：</w:t>
      </w:r>
      <w:r>
        <w:rPr>
          <w:rFonts w:hint="eastAsia" w:hAnsi="宋体" w:cs="宋体"/>
          <w:color w:val="auto"/>
          <w:kern w:val="0"/>
          <w:highlight w:val="none"/>
          <w:u w:val="single"/>
        </w:rPr>
        <w:t>施工现场建筑工人持证率应达到</w:t>
      </w:r>
      <w:r>
        <w:rPr>
          <w:rFonts w:hint="eastAsia" w:hAnsi="宋体" w:cs="宋体"/>
          <w:color w:val="auto"/>
          <w:kern w:val="0"/>
          <w:highlight w:val="none"/>
          <w:u w:val="single"/>
          <w:lang w:val="en-US" w:eastAsia="zh-CN"/>
        </w:rPr>
        <w:t>15</w:t>
      </w:r>
      <w:r>
        <w:rPr>
          <w:rFonts w:hint="eastAsia" w:hAnsi="宋体" w:cs="宋体"/>
          <w:color w:val="auto"/>
          <w:kern w:val="0"/>
          <w:highlight w:val="none"/>
          <w:u w:val="single"/>
        </w:rPr>
        <w:t>%。（建议≥15%）</w:t>
      </w:r>
    </w:p>
    <w:p w14:paraId="01B36856">
      <w:pPr>
        <w:spacing w:line="360" w:lineRule="auto"/>
        <w:ind w:firstLine="420" w:firstLineChars="200"/>
        <w:rPr>
          <w:color w:val="auto"/>
          <w:kern w:val="0"/>
          <w:highlight w:val="none"/>
        </w:rPr>
      </w:pPr>
      <w:r>
        <w:rPr>
          <w:rFonts w:hint="eastAsia" w:hAnsi="宋体" w:cs="宋体"/>
          <w:color w:val="auto"/>
          <w:kern w:val="0"/>
          <w:highlight w:val="none"/>
          <w:u w:val="single"/>
          <w:lang w:val="en-US" w:eastAsia="zh-CN"/>
        </w:rPr>
        <w:t>持证人员是指持有</w:t>
      </w:r>
      <w:r>
        <w:rPr>
          <w:rFonts w:hint="eastAsia" w:hAnsi="宋体" w:cs="宋体"/>
          <w:color w:val="auto"/>
          <w:kern w:val="0"/>
          <w:highlight w:val="none"/>
          <w:u w:val="single"/>
        </w:rPr>
        <w:t>国家、行业或地方主管部门颁发或认可的职业资格证书或技能等级证书的作业人员。建筑工人持证率=有考勤记录的工人中持有技能证书的人数÷有考勤记录的工人总人数×100%</w:t>
      </w:r>
      <w:r>
        <w:rPr>
          <w:rFonts w:hint="eastAsia" w:hAnsi="宋体" w:cs="宋体"/>
          <w:color w:val="auto"/>
          <w:kern w:val="0"/>
          <w:highlight w:val="none"/>
        </w:rPr>
        <w:t>。</w:t>
      </w:r>
    </w:p>
    <w:p w14:paraId="590EB8A7">
      <w:pPr>
        <w:spacing w:line="360" w:lineRule="auto"/>
        <w:outlineLvl w:val="9"/>
        <w:rPr>
          <w:color w:val="auto"/>
          <w:highlight w:val="none"/>
        </w:rPr>
      </w:pPr>
      <w:bookmarkStart w:id="322" w:name="_Toc596"/>
      <w:bookmarkStart w:id="323" w:name="_Toc373478355"/>
      <w:bookmarkStart w:id="324" w:name="_Toc501741485"/>
      <w:bookmarkStart w:id="325" w:name="_Toc26059"/>
      <w:bookmarkStart w:id="326" w:name="_Toc78449796"/>
      <w:bookmarkStart w:id="327" w:name="_Toc373227708"/>
      <w:bookmarkStart w:id="328" w:name="_Toc407135210"/>
      <w:bookmarkStart w:id="329" w:name="_Toc389065274"/>
      <w:r>
        <w:rPr>
          <w:color w:val="auto"/>
          <w:highlight w:val="none"/>
        </w:rPr>
        <w:t xml:space="preserve">3.2 </w:t>
      </w:r>
      <w:r>
        <w:rPr>
          <w:rFonts w:hint="eastAsia" w:hAnsi="宋体" w:cs="黑体"/>
          <w:color w:val="auto"/>
          <w:highlight w:val="none"/>
        </w:rPr>
        <w:t>项目经理</w:t>
      </w:r>
      <w:bookmarkEnd w:id="322"/>
      <w:bookmarkEnd w:id="323"/>
      <w:bookmarkEnd w:id="324"/>
      <w:bookmarkEnd w:id="325"/>
      <w:bookmarkEnd w:id="326"/>
      <w:bookmarkEnd w:id="327"/>
      <w:bookmarkEnd w:id="328"/>
      <w:bookmarkEnd w:id="329"/>
    </w:p>
    <w:p w14:paraId="15C78EB5">
      <w:pPr>
        <w:spacing w:line="360" w:lineRule="auto"/>
        <w:ind w:firstLine="420" w:firstLineChars="200"/>
        <w:rPr>
          <w:color w:val="auto"/>
          <w:highlight w:val="none"/>
        </w:rPr>
      </w:pPr>
      <w:r>
        <w:rPr>
          <w:color w:val="auto"/>
          <w:kern w:val="0"/>
          <w:highlight w:val="none"/>
        </w:rPr>
        <w:t xml:space="preserve">3.2.1 </w:t>
      </w:r>
      <w:r>
        <w:rPr>
          <w:rFonts w:hint="eastAsia" w:hAnsi="宋体" w:cs="宋体"/>
          <w:color w:val="auto"/>
          <w:highlight w:val="none"/>
        </w:rPr>
        <w:t>项目经理：</w:t>
      </w:r>
    </w:p>
    <w:p w14:paraId="071A94E9">
      <w:pPr>
        <w:spacing w:line="360" w:lineRule="auto"/>
        <w:ind w:firstLine="420" w:firstLineChars="200"/>
        <w:rPr>
          <w:color w:val="auto"/>
          <w:highlight w:val="none"/>
        </w:rPr>
      </w:pPr>
      <w:r>
        <w:rPr>
          <w:rFonts w:hAnsi="宋体"/>
          <w:color w:val="auto"/>
          <w:highlight w:val="none"/>
        </w:rPr>
        <w:t>姓</w:t>
      </w:r>
      <w:r>
        <w:rPr>
          <w:color w:val="auto"/>
          <w:highlight w:val="none"/>
        </w:rPr>
        <w:t xml:space="preserve">    </w:t>
      </w:r>
      <w:r>
        <w:rPr>
          <w:rFonts w:hAnsi="宋体"/>
          <w:color w:val="auto"/>
          <w:highlight w:val="none"/>
        </w:rPr>
        <w:t>名：</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28181273">
      <w:pPr>
        <w:spacing w:line="360" w:lineRule="auto"/>
        <w:ind w:firstLine="420" w:firstLineChars="200"/>
        <w:rPr>
          <w:color w:val="auto"/>
          <w:highlight w:val="none"/>
        </w:rPr>
      </w:pPr>
      <w:r>
        <w:rPr>
          <w:rFonts w:hAnsi="宋体"/>
          <w:color w:val="auto"/>
          <w:highlight w:val="none"/>
        </w:rPr>
        <w:t>身份证号：</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6F2AC27C">
      <w:pPr>
        <w:spacing w:line="360" w:lineRule="auto"/>
        <w:ind w:firstLine="420" w:firstLineChars="200"/>
        <w:rPr>
          <w:color w:val="auto"/>
          <w:highlight w:val="none"/>
        </w:rPr>
      </w:pPr>
      <w:r>
        <w:rPr>
          <w:rFonts w:hAnsi="宋体"/>
          <w:color w:val="auto"/>
          <w:highlight w:val="none"/>
        </w:rPr>
        <w:t>建造师执业资格等级：</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3086C72B">
      <w:pPr>
        <w:spacing w:line="360" w:lineRule="auto"/>
        <w:ind w:firstLine="420" w:firstLineChars="200"/>
        <w:rPr>
          <w:color w:val="auto"/>
          <w:highlight w:val="none"/>
        </w:rPr>
      </w:pPr>
      <w:r>
        <w:rPr>
          <w:rFonts w:hAnsi="宋体"/>
          <w:color w:val="auto"/>
          <w:highlight w:val="none"/>
        </w:rPr>
        <w:t>建造师注册证书号：</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4D7824F8">
      <w:pPr>
        <w:spacing w:line="360" w:lineRule="auto"/>
        <w:ind w:firstLine="420" w:firstLineChars="200"/>
        <w:rPr>
          <w:rFonts w:hAnsi="宋体"/>
          <w:color w:val="auto"/>
          <w:highlight w:val="none"/>
        </w:rPr>
      </w:pPr>
      <w:r>
        <w:rPr>
          <w:rFonts w:hAnsi="宋体"/>
          <w:color w:val="auto"/>
          <w:highlight w:val="none"/>
        </w:rPr>
        <w:t>安全生产考核合格证书号：</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185F72BE">
      <w:pPr>
        <w:spacing w:line="360" w:lineRule="auto"/>
        <w:ind w:firstLine="420" w:firstLineChars="200"/>
        <w:rPr>
          <w:color w:val="auto"/>
          <w:highlight w:val="none"/>
        </w:rPr>
      </w:pPr>
      <w:r>
        <w:rPr>
          <w:rFonts w:hAnsi="宋体"/>
          <w:color w:val="auto"/>
          <w:highlight w:val="none"/>
        </w:rPr>
        <w:t>联系电话：</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7BCA845B">
      <w:pPr>
        <w:spacing w:line="360" w:lineRule="auto"/>
        <w:ind w:firstLine="420" w:firstLineChars="200"/>
        <w:rPr>
          <w:color w:val="auto"/>
          <w:highlight w:val="none"/>
        </w:rPr>
      </w:pPr>
      <w:r>
        <w:rPr>
          <w:rFonts w:hAnsi="宋体"/>
          <w:color w:val="auto"/>
          <w:highlight w:val="none"/>
        </w:rPr>
        <w:t>电子信箱：</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424BC0F3">
      <w:pPr>
        <w:spacing w:line="360" w:lineRule="auto"/>
        <w:ind w:firstLine="420" w:firstLineChars="200"/>
        <w:rPr>
          <w:rFonts w:hint="eastAsia" w:hAnsi="宋体"/>
          <w:color w:val="auto"/>
          <w:highlight w:val="none"/>
        </w:rPr>
      </w:pPr>
      <w:r>
        <w:rPr>
          <w:rFonts w:hAnsi="宋体"/>
          <w:color w:val="auto"/>
          <w:highlight w:val="none"/>
        </w:rPr>
        <w:t>通信地址：</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39F4E271">
      <w:pPr>
        <w:spacing w:line="360" w:lineRule="auto"/>
        <w:ind w:firstLine="420" w:firstLineChars="200"/>
        <w:rPr>
          <w:color w:val="auto"/>
          <w:highlight w:val="none"/>
        </w:rPr>
      </w:pPr>
      <w:r>
        <w:rPr>
          <w:rFonts w:hint="eastAsia" w:hAnsi="宋体" w:cs="宋体"/>
          <w:color w:val="auto"/>
          <w:highlight w:val="none"/>
        </w:rPr>
        <w:t>承包人对项目经理的授权范围如下：</w:t>
      </w:r>
      <w:r>
        <w:rPr>
          <w:rFonts w:hint="eastAsia" w:ascii="宋体" w:hAnsi="宋体" w:eastAsia="宋体" w:cs="宋体"/>
          <w:color w:val="auto"/>
          <w:kern w:val="2"/>
          <w:sz w:val="21"/>
          <w:szCs w:val="21"/>
          <w:highlight w:val="none"/>
          <w:u w:val="single"/>
        </w:rPr>
        <w:t>对施工现场的日常施工管理，如需具体授权以授权委托书为准；2.因本工程施工必须签订其他合同或产生债权债务文书的，合同应加盖承包人在公安及工商部门登记备案的法人公章，不可由项目经理或他人私自签订</w:t>
      </w:r>
      <w:r>
        <w:rPr>
          <w:color w:val="auto"/>
          <w:highlight w:val="none"/>
          <w:u w:val="single"/>
        </w:rPr>
        <w:t xml:space="preserve"> </w:t>
      </w:r>
      <w:r>
        <w:rPr>
          <w:rFonts w:hint="eastAsia" w:hAnsi="宋体" w:cs="宋体"/>
          <w:color w:val="auto"/>
          <w:highlight w:val="none"/>
        </w:rPr>
        <w:t>。</w:t>
      </w:r>
    </w:p>
    <w:p w14:paraId="4D2462CA">
      <w:pPr>
        <w:spacing w:line="360" w:lineRule="auto"/>
        <w:ind w:firstLine="420" w:firstLineChars="200"/>
        <w:jc w:val="left"/>
        <w:rPr>
          <w:rFonts w:hint="eastAsia"/>
          <w:color w:val="auto"/>
          <w:highlight w:val="none"/>
          <w:u w:val="single"/>
        </w:rPr>
      </w:pPr>
      <w:r>
        <w:rPr>
          <w:rFonts w:hint="eastAsia" w:hAnsi="宋体" w:cs="宋体"/>
          <w:color w:val="auto"/>
          <w:kern w:val="0"/>
          <w:highlight w:val="none"/>
        </w:rPr>
        <w:t>关于项目经理每月在施工现场的时间要求：</w:t>
      </w:r>
      <w:r>
        <w:rPr>
          <w:rFonts w:hint="eastAsia"/>
          <w:color w:val="auto"/>
          <w:highlight w:val="none"/>
          <w:u w:val="single"/>
        </w:rPr>
        <w:t>项目经理应常驻施工现场，且每月在岗带班时间不得少于当月施工时间的</w:t>
      </w:r>
      <w:r>
        <w:rPr>
          <w:rFonts w:hint="eastAsia"/>
          <w:color w:val="auto"/>
          <w:highlight w:val="none"/>
          <w:u w:val="single"/>
          <w:lang w:val="en-US" w:eastAsia="zh-CN"/>
        </w:rPr>
        <w:t>80</w:t>
      </w:r>
      <w:r>
        <w:rPr>
          <w:rFonts w:hint="eastAsia"/>
          <w:color w:val="auto"/>
          <w:highlight w:val="none"/>
          <w:u w:val="single"/>
        </w:rPr>
        <w:t>%。（</w:t>
      </w:r>
      <w:r>
        <w:rPr>
          <w:rFonts w:hint="eastAsia"/>
          <w:color w:val="auto"/>
          <w:highlight w:val="none"/>
          <w:u w:val="single"/>
          <w:lang w:eastAsia="zh-CN"/>
        </w:rPr>
        <w:t>住房和城乡建设部</w:t>
      </w:r>
      <w:r>
        <w:rPr>
          <w:rFonts w:hint="eastAsia"/>
          <w:color w:val="auto"/>
          <w:highlight w:val="none"/>
          <w:u w:val="single"/>
        </w:rPr>
        <w:t>《建筑施工企业负责人及项目负责人施工现场带班暂行办法》（建质〔2011〕111号）规定：项目负责人每月带班生产时间不得少于本月施工时间的80%）</w:t>
      </w:r>
    </w:p>
    <w:p w14:paraId="733F1147">
      <w:pPr>
        <w:spacing w:line="360" w:lineRule="auto"/>
        <w:ind w:firstLine="420" w:firstLineChars="200"/>
        <w:jc w:val="left"/>
        <w:rPr>
          <w:rFonts w:hint="eastAsia"/>
          <w:color w:val="auto"/>
          <w:highlight w:val="none"/>
          <w:u w:val="single"/>
        </w:rPr>
      </w:pPr>
      <w:r>
        <w:rPr>
          <w:rFonts w:hint="eastAsia"/>
          <w:color w:val="auto"/>
          <w:highlight w:val="none"/>
          <w:u w:val="single"/>
        </w:rPr>
        <w:t>项目经理未达到到岗时间要求违约责任：项目经理每月到岗时间达不到合同约定时，每少1天，承包人须承担违约金</w:t>
      </w:r>
      <w:r>
        <w:rPr>
          <w:rFonts w:hint="eastAsia"/>
          <w:color w:val="auto"/>
          <w:highlight w:val="none"/>
          <w:u w:val="single"/>
          <w:lang w:val="en-US" w:eastAsia="zh-CN"/>
        </w:rPr>
        <w:t>2000</w:t>
      </w:r>
      <w:r>
        <w:rPr>
          <w:rFonts w:hint="eastAsia"/>
          <w:color w:val="auto"/>
          <w:highlight w:val="none"/>
          <w:u w:val="single"/>
        </w:rPr>
        <w:t>元/天（人民币）。（项目经理到岗时间以考勤记录为准）</w:t>
      </w:r>
    </w:p>
    <w:p w14:paraId="0A0F7141">
      <w:pPr>
        <w:spacing w:line="360" w:lineRule="auto"/>
        <w:ind w:firstLine="420" w:firstLineChars="200"/>
        <w:jc w:val="left"/>
        <w:rPr>
          <w:color w:val="auto"/>
          <w:kern w:val="0"/>
          <w:highlight w:val="none"/>
        </w:rPr>
      </w:pPr>
      <w:r>
        <w:rPr>
          <w:rFonts w:hint="eastAsia"/>
          <w:color w:val="auto"/>
          <w:highlight w:val="none"/>
          <w:u w:val="single"/>
        </w:rPr>
        <w:t>项目经理未经批准，擅自离开施工现场的违约责任：承包人须承担违约金</w:t>
      </w:r>
      <w:r>
        <w:rPr>
          <w:rFonts w:hint="eastAsia"/>
          <w:color w:val="auto"/>
          <w:highlight w:val="none"/>
          <w:u w:val="single"/>
          <w:lang w:val="en-US" w:eastAsia="zh-CN"/>
        </w:rPr>
        <w:t>2000</w:t>
      </w:r>
      <w:r>
        <w:rPr>
          <w:rFonts w:hint="eastAsia"/>
          <w:color w:val="auto"/>
          <w:highlight w:val="none"/>
          <w:u w:val="single"/>
        </w:rPr>
        <w:t>元/天（人民币），并由承包人承担因上述违约行为给发包人造成的一切损失</w:t>
      </w:r>
      <w:r>
        <w:rPr>
          <w:rFonts w:hint="eastAsia"/>
          <w:color w:val="auto"/>
          <w:highlight w:val="none"/>
          <w:u w:val="single"/>
          <w:lang w:eastAsia="zh-CN"/>
        </w:rPr>
        <w:t>。</w:t>
      </w:r>
    </w:p>
    <w:p w14:paraId="076E05DF">
      <w:pPr>
        <w:spacing w:line="360" w:lineRule="auto"/>
        <w:ind w:firstLine="420" w:firstLineChars="200"/>
        <w:rPr>
          <w:color w:val="auto"/>
          <w:kern w:val="0"/>
          <w:highlight w:val="none"/>
        </w:rPr>
      </w:pPr>
      <w:r>
        <w:rPr>
          <w:rFonts w:hint="eastAsia" w:hAnsi="宋体" w:cs="宋体"/>
          <w:color w:val="auto"/>
          <w:kern w:val="0"/>
          <w:highlight w:val="none"/>
        </w:rPr>
        <w:t>承包人未提交劳动合同，以及没有为项目经理缴纳社会保险证明的违约责任：</w:t>
      </w:r>
      <w:r>
        <w:rPr>
          <w:rFonts w:hint="eastAsia" w:ascii="宋体" w:hAnsi="宋体" w:eastAsia="宋体" w:cs="宋体"/>
          <w:color w:val="auto"/>
          <w:szCs w:val="21"/>
          <w:highlight w:val="none"/>
          <w:u w:val="single"/>
        </w:rPr>
        <w:t>项目经理无权履行职责，由此影响工程进度或发生其它问题的，由承包人承担责任</w:t>
      </w:r>
      <w:r>
        <w:rPr>
          <w:rFonts w:hint="eastAsia" w:hAnsi="宋体" w:cs="宋体"/>
          <w:color w:val="auto"/>
          <w:highlight w:val="none"/>
        </w:rPr>
        <w:t>。</w:t>
      </w:r>
    </w:p>
    <w:p w14:paraId="57F3FB64">
      <w:pPr>
        <w:adjustRightInd w:val="0"/>
        <w:snapToGrid w:val="0"/>
        <w:spacing w:line="360" w:lineRule="auto"/>
        <w:ind w:firstLine="420" w:firstLineChars="200"/>
        <w:jc w:val="left"/>
        <w:rPr>
          <w:rFonts w:ascii="Times New Roman" w:hAnsi="Times New Roman" w:eastAsia="宋体" w:cs="Times New Roman"/>
          <w:color w:val="auto"/>
          <w:highlight w:val="none"/>
        </w:rPr>
      </w:pPr>
      <w:r>
        <w:rPr>
          <w:color w:val="auto"/>
          <w:highlight w:val="none"/>
        </w:rPr>
        <w:t xml:space="preserve">3.2.3 </w:t>
      </w:r>
      <w:r>
        <w:rPr>
          <w:rFonts w:hint="eastAsia" w:hAnsi="宋体" w:cs="宋体"/>
          <w:color w:val="auto"/>
          <w:highlight w:val="none"/>
        </w:rPr>
        <w:t>承包人擅自更换项目经理的违约责任：</w:t>
      </w:r>
      <w:r>
        <w:rPr>
          <w:rFonts w:hint="eastAsia" w:hAnsi="宋体" w:cs="宋体"/>
          <w:color w:val="auto"/>
          <w:highlight w:val="none"/>
          <w:u w:val="none"/>
        </w:rPr>
        <w:t>承包人项目经理必须与承包人投标时所承诺的人员一致，并在</w:t>
      </w:r>
      <w:r>
        <w:rPr>
          <w:color w:val="auto"/>
          <w:highlight w:val="none"/>
          <w:u w:val="single"/>
        </w:rPr>
        <w:t xml:space="preserve">  </w:t>
      </w:r>
      <w:r>
        <w:rPr>
          <w:rFonts w:hint="eastAsia" w:hAnsi="宋体" w:cs="宋体"/>
          <w:color w:val="auto"/>
          <w:highlight w:val="none"/>
          <w:u w:val="single"/>
        </w:rPr>
        <w:t>（开工日期）</w:t>
      </w:r>
      <w:r>
        <w:rPr>
          <w:color w:val="auto"/>
          <w:highlight w:val="none"/>
          <w:u w:val="single"/>
        </w:rPr>
        <w:t xml:space="preserve">  </w:t>
      </w:r>
      <w:r>
        <w:rPr>
          <w:rFonts w:hint="eastAsia" w:hAnsi="宋体" w:cs="宋体"/>
          <w:color w:val="auto"/>
          <w:highlight w:val="none"/>
          <w:u w:val="none"/>
        </w:rPr>
        <w:t>前到</w:t>
      </w:r>
      <w:r>
        <w:rPr>
          <w:rFonts w:hint="default" w:ascii="Times New Roman" w:hAnsi="Times New Roman" w:eastAsia="宋体" w:cs="Times New Roman"/>
          <w:color w:val="auto"/>
          <w:highlight w:val="none"/>
          <w:u w:val="none"/>
        </w:rPr>
        <w:t>任。在监理人向承包人颁发</w:t>
      </w:r>
      <w:r>
        <w:rPr>
          <w:rFonts w:ascii="Times New Roman" w:hAnsi="Times New Roman" w:eastAsia="宋体" w:cs="Times New Roman"/>
          <w:color w:val="auto"/>
          <w:highlight w:val="none"/>
          <w:u w:val="none"/>
        </w:rPr>
        <w:t xml:space="preserve"> </w:t>
      </w:r>
      <w:r>
        <w:rPr>
          <w:rFonts w:ascii="Times New Roman" w:hAnsi="Times New Roman" w:eastAsia="宋体" w:cs="Times New Roman"/>
          <w:color w:val="auto"/>
          <w:highlight w:val="none"/>
          <w:u w:val="single"/>
        </w:rPr>
        <w:t xml:space="preserve">   </w:t>
      </w:r>
      <w:r>
        <w:rPr>
          <w:rFonts w:hint="default" w:ascii="Times New Roman" w:hAnsi="Times New Roman" w:eastAsia="宋体" w:cs="Times New Roman"/>
          <w:color w:val="auto"/>
          <w:highlight w:val="none"/>
          <w:u w:val="single"/>
        </w:rPr>
        <w:t>（竣工证明材料名称）</w:t>
      </w:r>
      <w:r>
        <w:rPr>
          <w:rFonts w:ascii="Times New Roman" w:hAnsi="Times New Roman" w:eastAsia="宋体" w:cs="Times New Roman"/>
          <w:color w:val="auto"/>
          <w:highlight w:val="none"/>
          <w:u w:val="single"/>
        </w:rPr>
        <w:t xml:space="preserve">   </w:t>
      </w:r>
      <w:r>
        <w:rPr>
          <w:rFonts w:ascii="Times New Roman" w:hAnsi="Times New Roman" w:eastAsia="宋体" w:cs="Times New Roman"/>
          <w:color w:val="auto"/>
          <w:highlight w:val="none"/>
          <w:u w:val="none"/>
        </w:rPr>
        <w:t xml:space="preserve"> </w:t>
      </w:r>
      <w:r>
        <w:rPr>
          <w:rFonts w:hint="default" w:ascii="Times New Roman" w:hAnsi="Times New Roman" w:eastAsia="宋体" w:cs="Times New Roman"/>
          <w:color w:val="auto"/>
          <w:highlight w:val="none"/>
          <w:u w:val="none"/>
        </w:rPr>
        <w:t>前，项目经理不得同时兼任其他任何项目的项目经理</w:t>
      </w:r>
      <w:r>
        <w:rPr>
          <w:rFonts w:hint="default" w:ascii="Times New Roman" w:hAnsi="Times New Roman" w:eastAsia="宋体" w:cs="Times New Roman"/>
          <w:color w:val="auto"/>
          <w:kern w:val="2"/>
          <w:highlight w:val="none"/>
          <w:u w:val="none"/>
        </w:rPr>
        <w:t>（</w:t>
      </w:r>
      <w:r>
        <w:rPr>
          <w:rFonts w:hint="default" w:ascii="Times New Roman" w:hAnsi="Times New Roman" w:eastAsia="宋体" w:cs="Times New Roman"/>
          <w:color w:val="auto"/>
          <w:kern w:val="2"/>
          <w:highlight w:val="none"/>
          <w:u w:val="none"/>
          <w:lang w:eastAsia="zh-CN"/>
        </w:rPr>
        <w:t>符合</w:t>
      </w:r>
      <w:r>
        <w:rPr>
          <w:rFonts w:hint="default" w:ascii="Times New Roman" w:hAnsi="Times New Roman" w:eastAsia="宋体" w:cs="Times New Roman"/>
          <w:color w:val="auto"/>
          <w:highlight w:val="none"/>
        </w:rPr>
        <w:t>《广西壮族自治区建筑市场诚信卡管理暂行办法》第十六条第一款及桂建管</w:t>
      </w:r>
      <w:r>
        <w:rPr>
          <w:rFonts w:ascii="Times New Roman" w:hAnsi="Times New Roman" w:eastAsia="宋体" w:cs="Times New Roman"/>
          <w:color w:val="auto"/>
          <w:highlight w:val="none"/>
        </w:rPr>
        <w:t>﹝</w:t>
      </w:r>
      <w:r>
        <w:rPr>
          <w:rFonts w:hint="default" w:ascii="Times New Roman" w:hAnsi="Times New Roman" w:eastAsia="宋体" w:cs="Times New Roman"/>
          <w:color w:val="auto"/>
          <w:kern w:val="2"/>
          <w:highlight w:val="none"/>
        </w:rPr>
        <w:t>2016</w:t>
      </w:r>
      <w:r>
        <w:rPr>
          <w:rFonts w:ascii="Times New Roman" w:hAnsi="Times New Roman" w:eastAsia="宋体" w:cs="Times New Roman"/>
          <w:color w:val="auto"/>
          <w:highlight w:val="none"/>
        </w:rPr>
        <w:t>﹞</w:t>
      </w:r>
      <w:r>
        <w:rPr>
          <w:rFonts w:hint="default" w:ascii="Times New Roman" w:hAnsi="Times New Roman" w:eastAsia="宋体" w:cs="Times New Roman"/>
          <w:color w:val="auto"/>
          <w:highlight w:val="none"/>
        </w:rPr>
        <w:t>70号</w:t>
      </w:r>
      <w:r>
        <w:rPr>
          <w:rFonts w:hint="default" w:ascii="Times New Roman" w:hAnsi="Times New Roman" w:eastAsia="宋体" w:cs="Times New Roman"/>
          <w:color w:val="auto"/>
          <w:highlight w:val="none"/>
          <w:u w:val="none"/>
          <w:lang w:eastAsia="zh-CN"/>
        </w:rPr>
        <w:t>、</w:t>
      </w:r>
      <w:r>
        <w:rPr>
          <w:rFonts w:hint="default" w:ascii="Times New Roman" w:hAnsi="Times New Roman" w:eastAsia="宋体" w:cs="Times New Roman"/>
          <w:color w:val="auto"/>
          <w:sz w:val="21"/>
          <w:szCs w:val="21"/>
          <w:highlight w:val="none"/>
          <w:u w:val="none"/>
        </w:rPr>
        <w:t>桂建管〔2020〕11号</w:t>
      </w:r>
      <w:r>
        <w:rPr>
          <w:rFonts w:hint="default" w:ascii="Times New Roman" w:hAnsi="Times New Roman" w:eastAsia="宋体" w:cs="Times New Roman"/>
          <w:color w:val="auto"/>
          <w:kern w:val="2"/>
          <w:highlight w:val="none"/>
          <w:u w:val="none"/>
        </w:rPr>
        <w:t>文除外）</w:t>
      </w:r>
      <w:r>
        <w:rPr>
          <w:rFonts w:hint="default" w:ascii="Times New Roman" w:hAnsi="Times New Roman" w:eastAsia="宋体" w:cs="Times New Roman"/>
          <w:color w:val="auto"/>
          <w:highlight w:val="none"/>
          <w:u w:val="none"/>
        </w:rPr>
        <w:t>。未经发包人书面同意，承包人擅自更换项目经理的视为违约，违约金处</w:t>
      </w:r>
      <w:r>
        <w:rPr>
          <w:rFonts w:hint="eastAsia" w:ascii="Times New Roman" w:hAnsi="Times New Roman" w:eastAsia="宋体" w:cs="Times New Roman"/>
          <w:color w:val="auto"/>
          <w:highlight w:val="none"/>
          <w:u w:val="single"/>
          <w:lang w:val="en-US" w:eastAsia="zh-CN"/>
        </w:rPr>
        <w:t>10000</w:t>
      </w:r>
      <w:r>
        <w:rPr>
          <w:rFonts w:hint="default" w:ascii="Times New Roman" w:hAnsi="Times New Roman" w:eastAsia="宋体" w:cs="Times New Roman"/>
          <w:color w:val="auto"/>
          <w:highlight w:val="none"/>
          <w:u w:val="none"/>
        </w:rPr>
        <w:t>元</w:t>
      </w:r>
      <w:r>
        <w:rPr>
          <w:rFonts w:ascii="Times New Roman" w:hAnsi="Times New Roman" w:eastAsia="宋体" w:cs="Times New Roman"/>
          <w:color w:val="auto"/>
          <w:highlight w:val="none"/>
          <w:u w:val="none"/>
        </w:rPr>
        <w:t>/</w:t>
      </w:r>
      <w:r>
        <w:rPr>
          <w:rFonts w:hint="default" w:ascii="Times New Roman" w:hAnsi="Times New Roman" w:eastAsia="宋体" w:cs="Times New Roman"/>
          <w:color w:val="auto"/>
          <w:highlight w:val="none"/>
          <w:u w:val="none"/>
        </w:rPr>
        <w:t>人</w:t>
      </w:r>
      <w:r>
        <w:rPr>
          <w:rFonts w:ascii="Times New Roman" w:hAnsi="Times New Roman" w:eastAsia="宋体" w:cs="Times New Roman"/>
          <w:color w:val="auto"/>
          <w:highlight w:val="none"/>
          <w:u w:val="none"/>
        </w:rPr>
        <w:t>•</w:t>
      </w:r>
      <w:r>
        <w:rPr>
          <w:rFonts w:hint="default" w:ascii="Times New Roman" w:hAnsi="Times New Roman" w:eastAsia="宋体" w:cs="Times New Roman"/>
          <w:color w:val="auto"/>
          <w:highlight w:val="none"/>
          <w:u w:val="none"/>
        </w:rPr>
        <w:t>次（人民币）</w:t>
      </w:r>
      <w:r>
        <w:rPr>
          <w:rFonts w:hint="default" w:ascii="Times New Roman" w:hAnsi="Times New Roman" w:eastAsia="宋体" w:cs="Times New Roman"/>
          <w:color w:val="auto"/>
          <w:highlight w:val="none"/>
        </w:rPr>
        <w:t>。</w:t>
      </w:r>
    </w:p>
    <w:p w14:paraId="173AC9F7">
      <w:pPr>
        <w:spacing w:line="360" w:lineRule="auto"/>
        <w:ind w:firstLine="420" w:firstLineChars="200"/>
        <w:rPr>
          <w:color w:val="auto"/>
          <w:highlight w:val="none"/>
        </w:rPr>
      </w:pPr>
      <w:r>
        <w:rPr>
          <w:color w:val="auto"/>
          <w:highlight w:val="none"/>
        </w:rPr>
        <w:t xml:space="preserve">3.2.4 </w:t>
      </w:r>
      <w:r>
        <w:rPr>
          <w:rFonts w:hint="eastAsia" w:hAnsi="宋体" w:cs="宋体"/>
          <w:color w:val="auto"/>
          <w:highlight w:val="none"/>
        </w:rPr>
        <w:t>承包人无正当理由拒绝更换项目经理的违约责任：</w:t>
      </w:r>
      <w:r>
        <w:rPr>
          <w:rFonts w:hint="eastAsia" w:hAnsi="宋体" w:cs="宋体"/>
          <w:color w:val="auto"/>
          <w:highlight w:val="none"/>
          <w:u w:val="single"/>
        </w:rPr>
        <w:t>因承包人项目经理不称职，发包人要求调换而未及时调换的，视为承包人违约，必须向发包人交纳</w:t>
      </w:r>
      <w:r>
        <w:rPr>
          <w:rFonts w:hint="eastAsia" w:hAnsi="宋体" w:cs="宋体"/>
          <w:color w:val="auto"/>
          <w:highlight w:val="none"/>
          <w:u w:val="single"/>
          <w:lang w:val="en-US" w:eastAsia="zh-CN"/>
        </w:rPr>
        <w:t>违约</w:t>
      </w:r>
      <w:r>
        <w:rPr>
          <w:rFonts w:hint="eastAsia" w:hAnsi="宋体" w:cs="宋体"/>
          <w:color w:val="auto"/>
          <w:highlight w:val="none"/>
          <w:u w:val="single"/>
        </w:rPr>
        <w:t>金</w:t>
      </w:r>
      <w:r>
        <w:rPr>
          <w:rFonts w:hint="eastAsia"/>
          <w:color w:val="auto"/>
          <w:highlight w:val="none"/>
          <w:u w:val="single"/>
          <w:lang w:val="en-US" w:eastAsia="zh-CN"/>
        </w:rPr>
        <w:t>30000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rPr>
        <w:t>。</w:t>
      </w:r>
    </w:p>
    <w:p w14:paraId="598DA613">
      <w:pPr>
        <w:spacing w:line="360" w:lineRule="auto"/>
        <w:outlineLvl w:val="9"/>
        <w:rPr>
          <w:color w:val="auto"/>
          <w:highlight w:val="none"/>
        </w:rPr>
      </w:pPr>
      <w:bookmarkStart w:id="330" w:name="_Toc373227709"/>
      <w:bookmarkStart w:id="331" w:name="_Toc15147"/>
      <w:bookmarkStart w:id="332" w:name="_Toc1443830486"/>
      <w:bookmarkStart w:id="333" w:name="_Toc78449797"/>
      <w:bookmarkStart w:id="334" w:name="_Toc407135211"/>
      <w:bookmarkStart w:id="335" w:name="_Toc24414"/>
      <w:bookmarkStart w:id="336" w:name="_Toc373478356"/>
      <w:bookmarkStart w:id="337" w:name="_Toc389065275"/>
      <w:r>
        <w:rPr>
          <w:color w:val="auto"/>
          <w:highlight w:val="none"/>
        </w:rPr>
        <w:t xml:space="preserve">3.3 </w:t>
      </w:r>
      <w:r>
        <w:rPr>
          <w:rFonts w:hint="eastAsia" w:hAnsi="宋体" w:cs="黑体"/>
          <w:color w:val="auto"/>
          <w:highlight w:val="none"/>
        </w:rPr>
        <w:t>承包人人员</w:t>
      </w:r>
      <w:bookmarkEnd w:id="330"/>
      <w:bookmarkEnd w:id="331"/>
      <w:bookmarkEnd w:id="332"/>
      <w:bookmarkEnd w:id="333"/>
      <w:bookmarkEnd w:id="334"/>
      <w:bookmarkEnd w:id="335"/>
      <w:bookmarkEnd w:id="336"/>
      <w:bookmarkEnd w:id="337"/>
    </w:p>
    <w:p w14:paraId="5410CDA6">
      <w:pPr>
        <w:spacing w:line="360" w:lineRule="auto"/>
        <w:ind w:firstLine="420" w:firstLineChars="200"/>
        <w:rPr>
          <w:rFonts w:hAnsi="宋体"/>
          <w:color w:val="auto"/>
          <w:highlight w:val="none"/>
        </w:rPr>
      </w:pPr>
      <w:r>
        <w:rPr>
          <w:color w:val="auto"/>
          <w:highlight w:val="none"/>
        </w:rPr>
        <w:t xml:space="preserve">3.3.1 </w:t>
      </w:r>
      <w:r>
        <w:rPr>
          <w:rFonts w:hint="eastAsia" w:hAnsi="宋体" w:cs="宋体"/>
          <w:color w:val="auto"/>
          <w:highlight w:val="none"/>
        </w:rPr>
        <w:t>承包人提交项目管理机构及施工现场管理人员安排报告（格式见合同附件</w:t>
      </w:r>
      <w:r>
        <w:rPr>
          <w:rFonts w:hint="eastAsia" w:hAnsi="宋体"/>
          <w:color w:val="auto"/>
          <w:highlight w:val="none"/>
        </w:rPr>
        <w:t>5</w:t>
      </w:r>
      <w:r>
        <w:rPr>
          <w:rFonts w:hint="eastAsia" w:hAnsi="宋体" w:cs="宋体"/>
          <w:color w:val="auto"/>
          <w:highlight w:val="none"/>
        </w:rPr>
        <w:t>）的期限：</w:t>
      </w:r>
    </w:p>
    <w:p w14:paraId="666EABFB">
      <w:pPr>
        <w:spacing w:line="360" w:lineRule="auto"/>
        <w:rPr>
          <w:color w:val="auto"/>
          <w:highlight w:val="none"/>
        </w:rPr>
      </w:pPr>
      <w:r>
        <w:rPr>
          <w:rFonts w:hint="eastAsia" w:ascii="宋体" w:hAnsi="宋体" w:eastAsia="宋体" w:cs="宋体"/>
          <w:color w:val="auto"/>
          <w:szCs w:val="21"/>
          <w:highlight w:val="none"/>
          <w:u w:val="single"/>
        </w:rPr>
        <w:t>合同签订后14天内</w:t>
      </w:r>
      <w:r>
        <w:rPr>
          <w:rFonts w:hint="eastAsia" w:hAnsi="宋体" w:cs="宋体"/>
          <w:color w:val="auto"/>
          <w:highlight w:val="none"/>
        </w:rPr>
        <w:t>。</w:t>
      </w:r>
    </w:p>
    <w:p w14:paraId="14317604">
      <w:pPr>
        <w:spacing w:line="360" w:lineRule="auto"/>
        <w:ind w:firstLine="420" w:firstLineChars="200"/>
        <w:rPr>
          <w:color w:val="auto"/>
          <w:highlight w:val="none"/>
        </w:rPr>
      </w:pPr>
      <w:r>
        <w:rPr>
          <w:color w:val="auto"/>
          <w:highlight w:val="none"/>
        </w:rPr>
        <w:t xml:space="preserve">3.3.3 </w:t>
      </w:r>
      <w:r>
        <w:rPr>
          <w:rFonts w:hint="eastAsia" w:hAnsi="宋体" w:cs="宋体"/>
          <w:color w:val="auto"/>
          <w:highlight w:val="none"/>
        </w:rPr>
        <w:t>承包人无正当理由拒绝撤换主要施工管理人员的违约责任：</w:t>
      </w:r>
      <w:r>
        <w:rPr>
          <w:rFonts w:hint="eastAsia" w:hAnsi="宋体" w:cs="宋体"/>
          <w:color w:val="auto"/>
          <w:highlight w:val="none"/>
          <w:u w:val="single"/>
        </w:rPr>
        <w:t>因承包人主要施工管理人员不称职，发包人要求调换而无正当理由拒绝撤换或未及时调换的，视为承包人违约，必须向发包人交纳</w:t>
      </w:r>
      <w:r>
        <w:rPr>
          <w:rFonts w:hint="eastAsia" w:hAnsi="宋体" w:cs="宋体"/>
          <w:color w:val="auto"/>
          <w:highlight w:val="none"/>
          <w:u w:val="single"/>
          <w:lang w:val="en-US" w:eastAsia="zh-CN"/>
        </w:rPr>
        <w:t>违约金</w:t>
      </w:r>
      <w:r>
        <w:rPr>
          <w:rFonts w:hint="eastAsia" w:hAnsi="宋体" w:cs="宋体"/>
          <w:color w:val="auto"/>
          <w:highlight w:val="none"/>
          <w:u w:val="single"/>
        </w:rPr>
        <w:t>，</w:t>
      </w:r>
      <w:r>
        <w:rPr>
          <w:rFonts w:hint="eastAsia" w:hAnsi="宋体" w:cs="宋体"/>
          <w:color w:val="auto"/>
          <w:highlight w:val="none"/>
          <w:u w:val="single"/>
          <w:lang w:val="en-US" w:eastAsia="zh-CN"/>
        </w:rPr>
        <w:t>交纳</w:t>
      </w:r>
      <w:r>
        <w:rPr>
          <w:rFonts w:hint="eastAsia" w:hAnsi="宋体" w:cs="宋体"/>
          <w:color w:val="auto"/>
          <w:highlight w:val="none"/>
          <w:u w:val="single"/>
        </w:rPr>
        <w:t>标准：技术负责人</w:t>
      </w:r>
      <w:r>
        <w:rPr>
          <w:rFonts w:hint="eastAsia"/>
          <w:color w:val="auto"/>
          <w:highlight w:val="none"/>
          <w:u w:val="single"/>
          <w:lang w:val="en-US" w:eastAsia="zh-CN"/>
        </w:rPr>
        <w:t>5000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；专业工程师</w:t>
      </w:r>
      <w:r>
        <w:rPr>
          <w:rFonts w:hint="eastAsia"/>
          <w:color w:val="auto"/>
          <w:highlight w:val="none"/>
          <w:u w:val="single"/>
          <w:lang w:val="en-US" w:eastAsia="zh-CN"/>
        </w:rPr>
        <w:t>3000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rPr>
        <w:t>。</w:t>
      </w:r>
    </w:p>
    <w:p w14:paraId="6BACBE95">
      <w:pPr>
        <w:spacing w:line="360" w:lineRule="auto"/>
        <w:ind w:firstLine="420" w:firstLineChars="200"/>
        <w:rPr>
          <w:color w:val="auto"/>
          <w:highlight w:val="none"/>
          <w:u w:val="single"/>
        </w:rPr>
      </w:pPr>
      <w:r>
        <w:rPr>
          <w:color w:val="auto"/>
          <w:highlight w:val="none"/>
        </w:rPr>
        <w:t xml:space="preserve">3.3.4 </w:t>
      </w:r>
      <w:r>
        <w:rPr>
          <w:rFonts w:hint="eastAsia" w:hAnsi="宋体" w:cs="宋体"/>
          <w:color w:val="auto"/>
          <w:highlight w:val="none"/>
        </w:rPr>
        <w:t>承包人主要施工管理人员离开施工现场的批准要求：</w:t>
      </w:r>
      <w:r>
        <w:rPr>
          <w:rFonts w:hint="eastAsia" w:ascii="宋体" w:hAnsi="宋体" w:eastAsia="宋体" w:cs="宋体"/>
          <w:color w:val="auto"/>
          <w:szCs w:val="21"/>
          <w:highlight w:val="none"/>
          <w:u w:val="single"/>
        </w:rPr>
        <w:t>应经发包人和总监理工程师批准</w:t>
      </w:r>
      <w:r>
        <w:rPr>
          <w:color w:val="auto"/>
          <w:highlight w:val="none"/>
          <w:u w:val="single"/>
        </w:rPr>
        <w:t xml:space="preserve"> </w:t>
      </w:r>
      <w:r>
        <w:rPr>
          <w:rFonts w:hint="eastAsia" w:hAnsi="宋体" w:cs="宋体"/>
          <w:color w:val="auto"/>
          <w:highlight w:val="none"/>
        </w:rPr>
        <w:t>。</w:t>
      </w:r>
    </w:p>
    <w:p w14:paraId="04BEC752">
      <w:pPr>
        <w:spacing w:line="360" w:lineRule="auto"/>
        <w:ind w:firstLine="420" w:firstLineChars="200"/>
        <w:rPr>
          <w:color w:val="auto"/>
          <w:highlight w:val="none"/>
        </w:rPr>
      </w:pPr>
      <w:r>
        <w:rPr>
          <w:color w:val="auto"/>
          <w:highlight w:val="none"/>
        </w:rPr>
        <w:t xml:space="preserve">3.3.5 </w:t>
      </w:r>
      <w:r>
        <w:rPr>
          <w:rFonts w:hint="eastAsia" w:hAnsi="宋体" w:cs="宋体"/>
          <w:color w:val="auto"/>
          <w:highlight w:val="none"/>
        </w:rPr>
        <w:t>承包人擅自更换主要施工管理人员的违约责任：</w:t>
      </w:r>
      <w:r>
        <w:rPr>
          <w:rFonts w:hint="eastAsia" w:hAnsi="宋体" w:cs="宋体"/>
          <w:color w:val="auto"/>
          <w:highlight w:val="none"/>
          <w:u w:val="single"/>
        </w:rPr>
        <w:t>项目技术负责人、专职安全生产管理人员及其承诺的其它在场管理人员未经发包人书面同意不准擅自更换，擅自更换项目技术负责人处</w:t>
      </w:r>
      <w:r>
        <w:rPr>
          <w:color w:val="auto"/>
          <w:highlight w:val="none"/>
          <w:u w:val="single"/>
        </w:rPr>
        <w:t xml:space="preserve">    </w:t>
      </w:r>
      <w:r>
        <w:rPr>
          <w:rFonts w:hint="eastAsia"/>
          <w:color w:val="auto"/>
          <w:highlight w:val="none"/>
          <w:u w:val="single"/>
          <w:lang w:val="en-US" w:eastAsia="zh-CN"/>
        </w:rPr>
        <w:t>5000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违约金；擅自更换专职安全生产管理人员处</w:t>
      </w:r>
      <w:r>
        <w:rPr>
          <w:rFonts w:hint="eastAsia"/>
          <w:color w:val="auto"/>
          <w:highlight w:val="none"/>
          <w:u w:val="single"/>
          <w:lang w:val="en-US" w:eastAsia="zh-CN"/>
        </w:rPr>
        <w:t>5000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违约金；擅自更换其它在场管理人员处</w:t>
      </w:r>
      <w:r>
        <w:rPr>
          <w:rFonts w:hint="eastAsia"/>
          <w:color w:val="auto"/>
          <w:highlight w:val="none"/>
          <w:u w:val="single"/>
          <w:lang w:val="en-US" w:eastAsia="zh-CN"/>
        </w:rPr>
        <w:t>3000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违约金</w:t>
      </w:r>
      <w:r>
        <w:rPr>
          <w:rFonts w:hint="eastAsia" w:hAnsi="宋体" w:cs="宋体"/>
          <w:color w:val="auto"/>
          <w:highlight w:val="none"/>
        </w:rPr>
        <w:t>。</w:t>
      </w:r>
    </w:p>
    <w:p w14:paraId="72B89A22">
      <w:pPr>
        <w:spacing w:line="360" w:lineRule="auto"/>
        <w:ind w:firstLine="420" w:firstLineChars="200"/>
        <w:rPr>
          <w:color w:val="auto"/>
          <w:highlight w:val="none"/>
        </w:rPr>
      </w:pPr>
      <w:r>
        <w:rPr>
          <w:rFonts w:hint="eastAsia" w:hAnsi="宋体" w:cs="宋体"/>
          <w:color w:val="auto"/>
          <w:highlight w:val="none"/>
        </w:rPr>
        <w:t>承包人主要施工管理人员擅自离开施工现场的违约责任：</w:t>
      </w:r>
      <w:r>
        <w:rPr>
          <w:rFonts w:hint="eastAsia" w:hAnsi="宋体" w:cs="宋体"/>
          <w:color w:val="auto"/>
          <w:highlight w:val="none"/>
          <w:u w:val="single"/>
        </w:rPr>
        <w:t>未经发包人同意，项目技术负责人擅自离岗的，视为承包人违约，发包人有权处违约金</w:t>
      </w:r>
      <w:r>
        <w:rPr>
          <w:rFonts w:hint="eastAsia"/>
          <w:color w:val="auto"/>
          <w:highlight w:val="none"/>
          <w:u w:val="single"/>
          <w:lang w:val="en-US" w:eastAsia="zh-CN"/>
        </w:rPr>
        <w:t>2000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；未经发包人同意，专职安全生产管理人员擅自离岗的，视为承包人违约，发包人有权处违约金</w:t>
      </w:r>
      <w:r>
        <w:rPr>
          <w:rFonts w:hint="eastAsia"/>
          <w:color w:val="auto"/>
          <w:highlight w:val="none"/>
          <w:u w:val="single"/>
          <w:lang w:val="en-US" w:eastAsia="zh-CN"/>
        </w:rPr>
        <w:t>2000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；其它在场管理人员擅自离岗的，视为承包人违约，发包人有权处违约金</w:t>
      </w:r>
      <w:r>
        <w:rPr>
          <w:rFonts w:hint="eastAsia"/>
          <w:color w:val="auto"/>
          <w:highlight w:val="none"/>
          <w:u w:val="single"/>
          <w:lang w:val="en-US" w:eastAsia="zh-CN"/>
        </w:rPr>
        <w:t>1000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rPr>
        <w:t>。</w:t>
      </w:r>
    </w:p>
    <w:p w14:paraId="6E070A84">
      <w:pPr>
        <w:spacing w:line="360" w:lineRule="auto"/>
        <w:outlineLvl w:val="9"/>
        <w:rPr>
          <w:color w:val="auto"/>
          <w:highlight w:val="none"/>
        </w:rPr>
      </w:pPr>
      <w:bookmarkStart w:id="338" w:name="_Toc21361"/>
      <w:bookmarkStart w:id="339" w:name="_Toc373478357"/>
      <w:bookmarkStart w:id="340" w:name="_Toc78449798"/>
      <w:bookmarkStart w:id="341" w:name="_Toc10076"/>
      <w:bookmarkStart w:id="342" w:name="_Toc389065276"/>
      <w:bookmarkStart w:id="343" w:name="_Toc2025600126"/>
      <w:bookmarkStart w:id="344" w:name="_Toc407135212"/>
      <w:bookmarkStart w:id="345" w:name="_Toc373227710"/>
      <w:r>
        <w:rPr>
          <w:color w:val="auto"/>
          <w:highlight w:val="none"/>
        </w:rPr>
        <w:t>3</w:t>
      </w:r>
      <w:bookmarkStart w:id="346" w:name="_Toc296503159"/>
      <w:bookmarkStart w:id="347" w:name="_Toc312677988"/>
      <w:bookmarkStart w:id="348" w:name="_Toc300934945"/>
      <w:bookmarkStart w:id="349" w:name="_Toc296347158"/>
      <w:bookmarkStart w:id="350" w:name="_Toc297048345"/>
      <w:bookmarkStart w:id="351" w:name="_Toc297123492"/>
      <w:bookmarkStart w:id="352" w:name="_Toc292559869"/>
      <w:bookmarkStart w:id="353" w:name="_Toc297120459"/>
      <w:bookmarkStart w:id="354" w:name="_Toc292559364"/>
      <w:bookmarkStart w:id="355" w:name="_Toc304295523"/>
      <w:bookmarkStart w:id="356" w:name="_Toc297216151"/>
      <w:bookmarkStart w:id="357" w:name="_Toc296944498"/>
      <w:bookmarkStart w:id="358" w:name="_Toc296891199"/>
      <w:bookmarkStart w:id="359" w:name="_Toc296890987"/>
      <w:bookmarkStart w:id="360" w:name="_Toc296346660"/>
      <w:bookmarkStart w:id="361" w:name="_Toc303539102"/>
      <w:r>
        <w:rPr>
          <w:color w:val="auto"/>
          <w:highlight w:val="none"/>
        </w:rPr>
        <w:t xml:space="preserve">.5 </w:t>
      </w:r>
      <w:r>
        <w:rPr>
          <w:rFonts w:hint="eastAsia" w:hAnsi="宋体" w:cs="黑体"/>
          <w:color w:val="auto"/>
          <w:highlight w:val="none"/>
        </w:rPr>
        <w:t>分包</w:t>
      </w:r>
      <w:bookmarkEnd w:id="338"/>
      <w:bookmarkEnd w:id="339"/>
      <w:bookmarkEnd w:id="340"/>
      <w:bookmarkEnd w:id="341"/>
      <w:bookmarkEnd w:id="342"/>
      <w:bookmarkEnd w:id="343"/>
      <w:bookmarkEnd w:id="344"/>
      <w:bookmarkEnd w:id="345"/>
    </w:p>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14:paraId="644F7CA8">
      <w:pPr>
        <w:spacing w:line="360" w:lineRule="auto"/>
        <w:ind w:firstLine="420" w:firstLineChars="200"/>
        <w:rPr>
          <w:color w:val="auto"/>
          <w:highlight w:val="none"/>
        </w:rPr>
      </w:pPr>
      <w:r>
        <w:rPr>
          <w:color w:val="auto"/>
          <w:highlight w:val="none"/>
        </w:rPr>
        <w:t>3</w:t>
      </w:r>
      <w:bookmarkStart w:id="362" w:name="_Toc296347159"/>
      <w:bookmarkStart w:id="363" w:name="_Toc318581158"/>
      <w:bookmarkStart w:id="364" w:name="_Toc296944499"/>
      <w:bookmarkStart w:id="365" w:name="_Toc300934946"/>
      <w:bookmarkStart w:id="366" w:name="_Toc296503160"/>
      <w:bookmarkStart w:id="367" w:name="_Toc312677989"/>
      <w:bookmarkStart w:id="368" w:name="_Toc304295524"/>
      <w:bookmarkStart w:id="369" w:name="_Toc303539103"/>
      <w:bookmarkStart w:id="370" w:name="_Toc297120460"/>
      <w:bookmarkStart w:id="371" w:name="_Toc297216152"/>
      <w:bookmarkStart w:id="372" w:name="_Toc296891200"/>
      <w:bookmarkStart w:id="373" w:name="_Toc292559365"/>
      <w:bookmarkStart w:id="374" w:name="_Toc292559870"/>
      <w:bookmarkStart w:id="375" w:name="_Toc297048346"/>
      <w:bookmarkStart w:id="376" w:name="_Toc296346661"/>
      <w:bookmarkStart w:id="377" w:name="_Toc297123493"/>
      <w:bookmarkStart w:id="378" w:name="_Toc296890988"/>
      <w:r>
        <w:rPr>
          <w:color w:val="auto"/>
          <w:highlight w:val="none"/>
        </w:rPr>
        <w:t xml:space="preserve">.5.1 </w:t>
      </w:r>
      <w:r>
        <w:rPr>
          <w:rFonts w:hint="eastAsia" w:hAnsi="宋体" w:cs="宋体"/>
          <w:color w:val="auto"/>
          <w:highlight w:val="none"/>
        </w:rPr>
        <w:t>分包的一般约定</w:t>
      </w:r>
    </w:p>
    <w:p w14:paraId="3D53F538">
      <w:pPr>
        <w:spacing w:line="360" w:lineRule="auto"/>
        <w:ind w:firstLine="420" w:firstLineChars="200"/>
        <w:jc w:val="left"/>
        <w:rPr>
          <w:color w:val="auto"/>
          <w:highlight w:val="none"/>
        </w:rPr>
      </w:pPr>
      <w:r>
        <w:rPr>
          <w:rFonts w:hint="eastAsia" w:hAnsi="宋体" w:cs="宋体"/>
          <w:color w:val="auto"/>
          <w:highlight w:val="none"/>
        </w:rPr>
        <w:t>禁止分包的工程包括：</w:t>
      </w:r>
      <w:r>
        <w:rPr>
          <w:rFonts w:hint="eastAsia" w:ascii="宋体" w:hAnsi="宋体" w:eastAsia="宋体" w:cs="宋体"/>
          <w:color w:val="auto"/>
          <w:szCs w:val="21"/>
          <w:highlight w:val="none"/>
          <w:u w:val="single"/>
        </w:rPr>
        <w:t>基础、主体结构、关键性工作不允许分包</w:t>
      </w:r>
      <w:r>
        <w:rPr>
          <w:color w:val="auto"/>
          <w:highlight w:val="none"/>
          <w:u w:val="single"/>
        </w:rPr>
        <w:t xml:space="preserve"> </w:t>
      </w:r>
      <w:r>
        <w:rPr>
          <w:rFonts w:hint="eastAsia" w:hAnsi="宋体" w:cs="宋体"/>
          <w:color w:val="auto"/>
          <w:highlight w:val="none"/>
        </w:rPr>
        <w:t>。</w:t>
      </w:r>
    </w:p>
    <w:p w14:paraId="588A4417">
      <w:pPr>
        <w:spacing w:line="360" w:lineRule="auto"/>
        <w:ind w:firstLine="420" w:firstLineChars="200"/>
        <w:jc w:val="left"/>
        <w:rPr>
          <w:rFonts w:hAnsi="宋体"/>
          <w:color w:val="auto"/>
          <w:highlight w:val="none"/>
        </w:rPr>
      </w:pPr>
      <w:r>
        <w:rPr>
          <w:rFonts w:hint="eastAsia" w:hAnsi="宋体" w:cs="宋体"/>
          <w:color w:val="auto"/>
          <w:highlight w:val="none"/>
        </w:rPr>
        <w:t>主体结构、关键性工作的范围：</w:t>
      </w:r>
      <w:r>
        <w:rPr>
          <w:color w:val="auto"/>
          <w:highlight w:val="none"/>
          <w:u w:val="single"/>
        </w:rPr>
        <w:t xml:space="preserve"> </w:t>
      </w:r>
      <w:r>
        <w:rPr>
          <w:rFonts w:hint="eastAsia" w:ascii="宋体" w:hAnsi="宋体" w:eastAsia="宋体" w:cs="宋体"/>
          <w:color w:val="auto"/>
          <w:szCs w:val="21"/>
          <w:highlight w:val="none"/>
          <w:u w:val="single"/>
        </w:rPr>
        <w:t>以结施图和建施图为主，涉及力学支撑、影响主要使用功能的分部分项工程</w:t>
      </w:r>
      <w:r>
        <w:rPr>
          <w:color w:val="auto"/>
          <w:highlight w:val="none"/>
          <w:u w:val="single"/>
        </w:rPr>
        <w:t xml:space="preserve">  </w:t>
      </w:r>
      <w:r>
        <w:rPr>
          <w:rFonts w:hint="eastAsia" w:hAnsi="宋体" w:cs="宋体"/>
          <w:color w:val="auto"/>
          <w:highlight w:val="none"/>
        </w:rPr>
        <w:t>。</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14:paraId="5D8E5D3B">
      <w:pPr>
        <w:spacing w:line="360" w:lineRule="auto"/>
        <w:ind w:firstLine="420" w:firstLineChars="200"/>
        <w:jc w:val="left"/>
        <w:rPr>
          <w:color w:val="auto"/>
          <w:highlight w:val="none"/>
        </w:rPr>
      </w:pPr>
      <w:r>
        <w:rPr>
          <w:color w:val="auto"/>
          <w:highlight w:val="none"/>
        </w:rPr>
        <w:t>3</w:t>
      </w:r>
      <w:bookmarkStart w:id="379" w:name="_Toc312677990"/>
      <w:bookmarkStart w:id="380" w:name="_Toc318581159"/>
      <w:r>
        <w:rPr>
          <w:color w:val="auto"/>
          <w:highlight w:val="none"/>
        </w:rPr>
        <w:t xml:space="preserve">.5.2 </w:t>
      </w:r>
      <w:r>
        <w:rPr>
          <w:rFonts w:hint="eastAsia" w:hAnsi="宋体" w:cs="宋体"/>
          <w:color w:val="auto"/>
          <w:highlight w:val="none"/>
        </w:rPr>
        <w:t>分包的确定</w:t>
      </w:r>
    </w:p>
    <w:p w14:paraId="01BD7241">
      <w:pPr>
        <w:spacing w:line="360" w:lineRule="auto"/>
        <w:ind w:firstLine="420" w:firstLineChars="200"/>
        <w:rPr>
          <w:color w:val="auto"/>
          <w:highlight w:val="none"/>
          <w:u w:val="single"/>
        </w:rPr>
      </w:pPr>
      <w:r>
        <w:rPr>
          <w:rFonts w:hint="eastAsia" w:hAnsi="宋体" w:cs="宋体"/>
          <w:color w:val="auto"/>
          <w:highlight w:val="none"/>
        </w:rPr>
        <w:t>允许分包的专业工程包括：</w:t>
      </w:r>
      <w:r>
        <w:rPr>
          <w:color w:val="auto"/>
          <w:highlight w:val="none"/>
          <w:u w:val="single"/>
        </w:rPr>
        <w:t xml:space="preserve"> </w:t>
      </w:r>
      <w:r>
        <w:rPr>
          <w:rFonts w:hint="eastAsia" w:ascii="宋体" w:hAnsi="宋体" w:eastAsia="宋体" w:cs="宋体"/>
          <w:color w:val="auto"/>
          <w:szCs w:val="21"/>
          <w:highlight w:val="none"/>
          <w:u w:val="single"/>
        </w:rPr>
        <w:t xml:space="preserve"> /     </w:t>
      </w:r>
      <w:r>
        <w:rPr>
          <w:color w:val="auto"/>
          <w:highlight w:val="none"/>
          <w:u w:val="single"/>
        </w:rPr>
        <w:t xml:space="preserve">    </w:t>
      </w:r>
      <w:r>
        <w:rPr>
          <w:rFonts w:hint="eastAsia" w:hAnsi="宋体" w:cs="宋体"/>
          <w:color w:val="auto"/>
          <w:highlight w:val="none"/>
        </w:rPr>
        <w:t>。</w:t>
      </w:r>
    </w:p>
    <w:p w14:paraId="1EF5BA5A">
      <w:pPr>
        <w:spacing w:line="360" w:lineRule="auto"/>
        <w:ind w:firstLine="420" w:firstLineChars="200"/>
        <w:rPr>
          <w:color w:val="auto"/>
          <w:highlight w:val="none"/>
        </w:rPr>
      </w:pPr>
      <w:r>
        <w:rPr>
          <w:rFonts w:hint="eastAsia" w:hAnsi="宋体" w:cs="宋体"/>
          <w:color w:val="auto"/>
          <w:highlight w:val="none"/>
        </w:rPr>
        <w:t>其他关于分包的约定：</w:t>
      </w:r>
    </w:p>
    <w:p w14:paraId="7E8E3B94">
      <w:pPr>
        <w:spacing w:line="360" w:lineRule="auto"/>
        <w:ind w:firstLine="420" w:firstLineChars="200"/>
        <w:rPr>
          <w:color w:val="auto"/>
          <w:highlight w:val="none"/>
        </w:rPr>
      </w:pPr>
      <w:r>
        <w:rPr>
          <w:rFonts w:hint="eastAsia" w:cs="宋体"/>
          <w:color w:val="auto"/>
          <w:highlight w:val="none"/>
        </w:rPr>
        <w:t>（</w:t>
      </w:r>
      <w:r>
        <w:rPr>
          <w:color w:val="auto"/>
          <w:highlight w:val="none"/>
        </w:rPr>
        <w:t>1</w:t>
      </w:r>
      <w:r>
        <w:rPr>
          <w:rFonts w:hint="eastAsia" w:cs="宋体"/>
          <w:color w:val="auto"/>
          <w:highlight w:val="none"/>
        </w:rPr>
        <w:t>）</w:t>
      </w:r>
      <w:r>
        <w:rPr>
          <w:rFonts w:hint="eastAsia" w:hAnsi="宋体" w:cs="宋体"/>
          <w:color w:val="auto"/>
          <w:highlight w:val="none"/>
        </w:rPr>
        <w:t>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w:t>
      </w:r>
      <w:r>
        <w:rPr>
          <w:rFonts w:hint="eastAsia" w:hAnsi="宋体"/>
          <w:color w:val="auto"/>
          <w:highlight w:val="none"/>
        </w:rPr>
        <w:t>6</w:t>
      </w:r>
      <w:r>
        <w:rPr>
          <w:rFonts w:hint="eastAsia" w:hAnsi="宋体" w:cs="宋体"/>
          <w:color w:val="auto"/>
          <w:highlight w:val="none"/>
        </w:rPr>
        <w:t>。</w:t>
      </w:r>
    </w:p>
    <w:p w14:paraId="09DE98D7">
      <w:pPr>
        <w:spacing w:line="360" w:lineRule="auto"/>
        <w:ind w:firstLine="420" w:firstLineChars="200"/>
        <w:rPr>
          <w:color w:val="auto"/>
          <w:highlight w:val="none"/>
          <w:u w:val="single"/>
        </w:rPr>
      </w:pPr>
      <w:r>
        <w:rPr>
          <w:rFonts w:hint="eastAsia" w:cs="宋体"/>
          <w:color w:val="auto"/>
          <w:highlight w:val="none"/>
        </w:rPr>
        <w:t>（</w:t>
      </w:r>
      <w:r>
        <w:rPr>
          <w:color w:val="auto"/>
          <w:highlight w:val="none"/>
        </w:rPr>
        <w:t>2</w:t>
      </w:r>
      <w:r>
        <w:rPr>
          <w:rFonts w:hint="eastAsia" w:cs="宋体"/>
          <w:color w:val="auto"/>
          <w:highlight w:val="none"/>
        </w:rPr>
        <w:t>）</w:t>
      </w:r>
      <w:r>
        <w:rPr>
          <w:rFonts w:hint="eastAsia" w:hAnsi="宋体" w:cs="宋体"/>
          <w:color w:val="auto"/>
          <w:highlight w:val="none"/>
        </w:rPr>
        <w:t>在相关分包合同签订并报送有关建设行政主管部门备案后</w:t>
      </w:r>
      <w:r>
        <w:rPr>
          <w:color w:val="auto"/>
          <w:highlight w:val="none"/>
        </w:rPr>
        <w:t>7</w:t>
      </w:r>
      <w:r>
        <w:rPr>
          <w:rFonts w:hint="eastAsia" w:hAnsi="宋体" w:cs="宋体"/>
          <w:color w:val="auto"/>
          <w:highlight w:val="none"/>
        </w:rPr>
        <w:t>天内，承包人应当将一份副本提交给监理人，承包人应保障分包工作不得再次分包。</w:t>
      </w:r>
    </w:p>
    <w:p w14:paraId="3829416A">
      <w:pPr>
        <w:spacing w:line="360" w:lineRule="auto"/>
        <w:ind w:firstLine="420" w:firstLineChars="200"/>
        <w:rPr>
          <w:color w:val="auto"/>
          <w:highlight w:val="none"/>
        </w:rPr>
      </w:pPr>
      <w:r>
        <w:rPr>
          <w:rFonts w:hint="eastAsia" w:cs="宋体"/>
          <w:color w:val="auto"/>
          <w:highlight w:val="none"/>
        </w:rPr>
        <w:t>（</w:t>
      </w:r>
      <w:r>
        <w:rPr>
          <w:color w:val="auto"/>
          <w:highlight w:val="none"/>
        </w:rPr>
        <w:t>3</w:t>
      </w:r>
      <w:r>
        <w:rPr>
          <w:rFonts w:hint="eastAsia" w:cs="宋体"/>
          <w:color w:val="auto"/>
          <w:highlight w:val="none"/>
        </w:rPr>
        <w:t>）</w:t>
      </w:r>
      <w:r>
        <w:rPr>
          <w:rFonts w:hint="eastAsia" w:hAnsi="宋体" w:cs="宋体"/>
          <w:color w:val="auto"/>
          <w:highlight w:val="none"/>
        </w:rPr>
        <w:t>未经承包人和监理人审批同意的分包工程和分包人，承包人有权拒绝验收分包工程和支付相应款项，由此引起的发包人费用增加和</w:t>
      </w:r>
      <w:r>
        <w:rPr>
          <w:rFonts w:hint="eastAsia" w:hAnsi="宋体" w:cs="宋体"/>
          <w:color w:val="auto"/>
          <w:highlight w:val="none"/>
          <w:lang w:eastAsia="zh-CN"/>
        </w:rPr>
        <w:t>（</w:t>
      </w:r>
      <w:r>
        <w:rPr>
          <w:rFonts w:hint="eastAsia" w:hAnsi="宋体" w:cs="宋体"/>
          <w:color w:val="auto"/>
          <w:highlight w:val="none"/>
        </w:rPr>
        <w:t>或</w:t>
      </w:r>
      <w:r>
        <w:rPr>
          <w:rFonts w:hint="eastAsia" w:hAnsi="宋体" w:cs="宋体"/>
          <w:color w:val="auto"/>
          <w:highlight w:val="none"/>
          <w:lang w:eastAsia="zh-CN"/>
        </w:rPr>
        <w:t>）</w:t>
      </w:r>
      <w:r>
        <w:rPr>
          <w:rFonts w:hint="eastAsia" w:hAnsi="宋体" w:cs="宋体"/>
          <w:color w:val="auto"/>
          <w:highlight w:val="none"/>
        </w:rPr>
        <w:t>延误的工期由发包人承担。</w:t>
      </w:r>
    </w:p>
    <w:p w14:paraId="0D2A6716">
      <w:pPr>
        <w:pStyle w:val="15"/>
        <w:spacing w:line="360" w:lineRule="auto"/>
        <w:ind w:firstLine="420" w:firstLineChars="200"/>
        <w:rPr>
          <w:rFonts w:ascii="Times New Roman" w:hAnsi="Times New Roman"/>
          <w:color w:val="auto"/>
          <w:sz w:val="21"/>
          <w:szCs w:val="21"/>
          <w:highlight w:val="none"/>
        </w:rPr>
      </w:pPr>
      <w:r>
        <w:rPr>
          <w:rFonts w:hint="eastAsia" w:ascii="Times New Roman" w:hAnsi="Times New Roman"/>
          <w:color w:val="auto"/>
          <w:sz w:val="21"/>
          <w:szCs w:val="21"/>
          <w:highlight w:val="none"/>
        </w:rPr>
        <w:t>（</w:t>
      </w:r>
      <w:r>
        <w:rPr>
          <w:rFonts w:ascii="Times New Roman" w:hAnsi="Times New Roman"/>
          <w:color w:val="auto"/>
          <w:sz w:val="21"/>
          <w:szCs w:val="21"/>
          <w:highlight w:val="none"/>
        </w:rPr>
        <w:t>4</w:t>
      </w:r>
      <w:r>
        <w:rPr>
          <w:rFonts w:hint="eastAsia" w:ascii="Times New Roman" w:hAnsi="Times New Roman"/>
          <w:color w:val="auto"/>
          <w:sz w:val="21"/>
          <w:szCs w:val="21"/>
          <w:highlight w:val="none"/>
        </w:rPr>
        <w:t>）</w:t>
      </w:r>
      <w:r>
        <w:rPr>
          <w:rFonts w:hint="eastAsia" w:ascii="Times New Roman" w:hAnsi="宋体"/>
          <w:color w:val="auto"/>
          <w:sz w:val="21"/>
          <w:szCs w:val="21"/>
          <w:highlight w:val="none"/>
        </w:rPr>
        <w:t>承包人有以下情况之一者，发包人有权解除合同，并视情况扣除其履约保证金：</w:t>
      </w:r>
    </w:p>
    <w:p w14:paraId="26728F44">
      <w:pPr>
        <w:pStyle w:val="15"/>
        <w:spacing w:line="360" w:lineRule="auto"/>
        <w:ind w:firstLine="441" w:firstLineChars="210"/>
        <w:rPr>
          <w:rFonts w:ascii="Times New Roman" w:hAnsi="Times New Roman"/>
          <w:color w:val="auto"/>
          <w:sz w:val="21"/>
          <w:szCs w:val="21"/>
          <w:highlight w:val="none"/>
        </w:rPr>
      </w:pPr>
      <w:r>
        <w:rPr>
          <w:rFonts w:hint="eastAsia" w:ascii="Times New Roman" w:hAnsi="宋体"/>
          <w:color w:val="auto"/>
          <w:sz w:val="21"/>
          <w:szCs w:val="21"/>
          <w:highlight w:val="none"/>
        </w:rPr>
        <w:t>①个人承包工程，包括本人单位及外单位人员承包，发包人不承认其个人拥有任何资质等级及营业许可资格。没收全部履约保证金。</w:t>
      </w:r>
    </w:p>
    <w:p w14:paraId="65ADE86B">
      <w:pPr>
        <w:pStyle w:val="15"/>
        <w:spacing w:line="360" w:lineRule="auto"/>
        <w:ind w:firstLine="441" w:firstLineChars="210"/>
        <w:rPr>
          <w:rFonts w:ascii="Times New Roman" w:hAnsi="Times New Roman"/>
          <w:color w:val="auto"/>
          <w:sz w:val="21"/>
          <w:szCs w:val="21"/>
          <w:highlight w:val="none"/>
        </w:rPr>
      </w:pPr>
      <w:r>
        <w:rPr>
          <w:rFonts w:hint="eastAsia" w:ascii="Times New Roman" w:hAnsi="宋体"/>
          <w:color w:val="auto"/>
          <w:sz w:val="21"/>
          <w:szCs w:val="21"/>
          <w:highlight w:val="none"/>
        </w:rPr>
        <w:t>②几个人联合承包工程，就地组织暗分包队伍，不具备完成本工程的技术、机械能力，被发包人判定为没有能力履行的承包人。没收全部履约保证金。</w:t>
      </w:r>
    </w:p>
    <w:p w14:paraId="322253D3">
      <w:pPr>
        <w:pStyle w:val="15"/>
        <w:spacing w:line="360" w:lineRule="auto"/>
        <w:ind w:firstLine="441" w:firstLineChars="210"/>
        <w:rPr>
          <w:rFonts w:ascii="Times New Roman" w:hAnsi="Times New Roman"/>
          <w:color w:val="auto"/>
          <w:sz w:val="21"/>
          <w:szCs w:val="21"/>
          <w:highlight w:val="none"/>
        </w:rPr>
      </w:pPr>
      <w:r>
        <w:rPr>
          <w:rFonts w:hint="eastAsia" w:ascii="Times New Roman" w:hAnsi="宋体"/>
          <w:color w:val="auto"/>
          <w:sz w:val="21"/>
          <w:szCs w:val="21"/>
          <w:highlight w:val="none"/>
        </w:rPr>
        <w:t>③就地转包全部的工程，以谋取高额转让费、管理费的承包人。没收全部履约保证金。</w:t>
      </w:r>
    </w:p>
    <w:p w14:paraId="40CB611B">
      <w:pPr>
        <w:spacing w:line="360" w:lineRule="auto"/>
        <w:ind w:firstLine="420" w:firstLineChars="200"/>
        <w:rPr>
          <w:color w:val="auto"/>
          <w:highlight w:val="none"/>
          <w:u w:val="single"/>
        </w:rPr>
      </w:pPr>
      <w:r>
        <w:rPr>
          <w:rFonts w:hint="eastAsia" w:hAnsi="宋体" w:cs="宋体"/>
          <w:color w:val="auto"/>
          <w:highlight w:val="none"/>
        </w:rPr>
        <w:t>④承包人有部分分包现象（其中包括冒充承包人下属单位的</w:t>
      </w:r>
      <w:r>
        <w:rPr>
          <w:rFonts w:hint="eastAsia" w:hAnsi="宋体" w:cs="宋体"/>
          <w:color w:val="auto"/>
          <w:highlight w:val="none"/>
          <w:lang w:eastAsia="zh-CN"/>
        </w:rPr>
        <w:t>挂钩</w:t>
      </w:r>
      <w:r>
        <w:rPr>
          <w:rFonts w:hint="eastAsia" w:hAnsi="宋体" w:cs="宋体"/>
          <w:color w:val="auto"/>
          <w:highlight w:val="none"/>
        </w:rPr>
        <w:t>单位，凭口头协议参与施工的分包人及其他暗分包个体户），一经发现核实，发包人将采取驱逐该暗分包人措施。没收全部履约保证金。</w:t>
      </w:r>
    </w:p>
    <w:p w14:paraId="627A04BD">
      <w:pPr>
        <w:spacing w:line="360" w:lineRule="auto"/>
        <w:ind w:firstLine="420" w:firstLineChars="200"/>
        <w:rPr>
          <w:color w:val="auto"/>
          <w:highlight w:val="none"/>
        </w:rPr>
      </w:pPr>
      <w:r>
        <w:rPr>
          <w:color w:val="auto"/>
          <w:highlight w:val="none"/>
        </w:rPr>
        <w:t xml:space="preserve">3.5.4 </w:t>
      </w:r>
      <w:r>
        <w:rPr>
          <w:rFonts w:hint="eastAsia" w:hAnsi="宋体" w:cs="宋体"/>
          <w:color w:val="auto"/>
          <w:highlight w:val="none"/>
        </w:rPr>
        <w:t>分包合同价款</w:t>
      </w:r>
    </w:p>
    <w:bookmarkEnd w:id="379"/>
    <w:bookmarkEnd w:id="380"/>
    <w:p w14:paraId="1B90B9B0">
      <w:pPr>
        <w:spacing w:line="360" w:lineRule="auto"/>
        <w:ind w:firstLine="420" w:firstLineChars="200"/>
        <w:rPr>
          <w:color w:val="auto"/>
          <w:highlight w:val="none"/>
        </w:rPr>
      </w:pPr>
      <w:bookmarkStart w:id="381" w:name="_Toc373478358"/>
      <w:bookmarkStart w:id="382" w:name="_Toc389065277"/>
      <w:bookmarkStart w:id="383" w:name="_Toc373227711"/>
      <w:r>
        <w:rPr>
          <w:rFonts w:hint="eastAsia" w:hAnsi="宋体" w:cs="宋体"/>
          <w:color w:val="auto"/>
          <w:highlight w:val="none"/>
        </w:rPr>
        <w:t>关于分包合同价款支付的约定：</w:t>
      </w:r>
      <w:r>
        <w:rPr>
          <w:rFonts w:hint="eastAsia" w:hAnsi="宋体" w:cs="宋体"/>
          <w:color w:val="auto"/>
          <w:highlight w:val="none"/>
          <w:u w:val="single"/>
        </w:rPr>
        <w:t>分包工程价款由承包人与分包人</w:t>
      </w:r>
      <w:r>
        <w:rPr>
          <w:rFonts w:hint="eastAsia" w:cs="宋体"/>
          <w:color w:val="auto"/>
          <w:highlight w:val="none"/>
          <w:u w:val="single"/>
        </w:rPr>
        <w:t>（</w:t>
      </w:r>
      <w:r>
        <w:rPr>
          <w:rFonts w:hint="eastAsia" w:hAnsi="宋体" w:cs="宋体"/>
          <w:color w:val="auto"/>
          <w:highlight w:val="none"/>
          <w:u w:val="single"/>
        </w:rPr>
        <w:t>包括专业分包人</w:t>
      </w:r>
      <w:r>
        <w:rPr>
          <w:rFonts w:hint="eastAsia" w:cs="宋体"/>
          <w:color w:val="auto"/>
          <w:highlight w:val="none"/>
          <w:u w:val="single"/>
        </w:rPr>
        <w:t>）</w:t>
      </w:r>
      <w:r>
        <w:rPr>
          <w:rFonts w:hint="eastAsia" w:hAnsi="宋体" w:cs="宋体"/>
          <w:color w:val="auto"/>
          <w:highlight w:val="none"/>
          <w:u w:val="single"/>
        </w:rPr>
        <w:t>结算。发包人未经承包人同意不得以任何形式向分包人</w:t>
      </w:r>
      <w:r>
        <w:rPr>
          <w:rFonts w:hint="eastAsia" w:cs="宋体"/>
          <w:color w:val="auto"/>
          <w:highlight w:val="none"/>
          <w:u w:val="single"/>
        </w:rPr>
        <w:t>（</w:t>
      </w:r>
      <w:r>
        <w:rPr>
          <w:rFonts w:hint="eastAsia" w:hAnsi="宋体" w:cs="宋体"/>
          <w:color w:val="auto"/>
          <w:highlight w:val="none"/>
          <w:u w:val="single"/>
        </w:rPr>
        <w:t>包括专业分包人</w:t>
      </w:r>
      <w:r>
        <w:rPr>
          <w:rFonts w:hint="eastAsia" w:cs="宋体"/>
          <w:color w:val="auto"/>
          <w:highlight w:val="none"/>
          <w:u w:val="single"/>
        </w:rPr>
        <w:t>）</w:t>
      </w:r>
      <w:r>
        <w:rPr>
          <w:rFonts w:hint="eastAsia" w:hAnsi="宋体" w:cs="宋体"/>
          <w:color w:val="auto"/>
          <w:highlight w:val="none"/>
          <w:u w:val="single"/>
        </w:rPr>
        <w:t>支付相关分包合同项下的任何工程款项。因发包人未经承包人同意直接向分包人</w:t>
      </w:r>
      <w:r>
        <w:rPr>
          <w:rFonts w:hint="eastAsia" w:cs="宋体"/>
          <w:color w:val="auto"/>
          <w:highlight w:val="none"/>
          <w:u w:val="single"/>
        </w:rPr>
        <w:t>（</w:t>
      </w:r>
      <w:r>
        <w:rPr>
          <w:rFonts w:hint="eastAsia" w:hAnsi="宋体" w:cs="宋体"/>
          <w:color w:val="auto"/>
          <w:highlight w:val="none"/>
          <w:u w:val="single"/>
        </w:rPr>
        <w:t>包括专业分包人</w:t>
      </w:r>
      <w:r>
        <w:rPr>
          <w:rFonts w:hint="eastAsia" w:cs="宋体"/>
          <w:color w:val="auto"/>
          <w:highlight w:val="none"/>
          <w:u w:val="single"/>
        </w:rPr>
        <w:t>）</w:t>
      </w:r>
      <w:r>
        <w:rPr>
          <w:rFonts w:hint="eastAsia" w:hAnsi="宋体" w:cs="宋体"/>
          <w:color w:val="auto"/>
          <w:highlight w:val="none"/>
          <w:u w:val="single"/>
        </w:rPr>
        <w:t>支付相关分包合同项下的任何工程款项而影响承包人工作的，所造成的承包人费用增加和</w:t>
      </w:r>
      <w:r>
        <w:rPr>
          <w:rFonts w:hint="eastAsia" w:cs="宋体"/>
          <w:color w:val="auto"/>
          <w:highlight w:val="none"/>
          <w:u w:val="single"/>
        </w:rPr>
        <w:t>（</w:t>
      </w:r>
      <w:r>
        <w:rPr>
          <w:rFonts w:hint="eastAsia" w:hAnsi="宋体" w:cs="宋体"/>
          <w:color w:val="auto"/>
          <w:highlight w:val="none"/>
          <w:u w:val="single"/>
        </w:rPr>
        <w:t>或</w:t>
      </w:r>
      <w:r>
        <w:rPr>
          <w:rFonts w:hint="eastAsia" w:cs="宋体"/>
          <w:color w:val="auto"/>
          <w:highlight w:val="none"/>
          <w:u w:val="single"/>
        </w:rPr>
        <w:t>）</w:t>
      </w:r>
      <w:r>
        <w:rPr>
          <w:rFonts w:hint="eastAsia" w:hAnsi="宋体" w:cs="宋体"/>
          <w:color w:val="auto"/>
          <w:highlight w:val="none"/>
          <w:u w:val="single"/>
        </w:rPr>
        <w:t>延误的工期由发包人承担。</w:t>
      </w:r>
    </w:p>
    <w:p w14:paraId="253D49FD">
      <w:pPr>
        <w:spacing w:line="360" w:lineRule="auto"/>
        <w:outlineLvl w:val="9"/>
        <w:rPr>
          <w:color w:val="auto"/>
          <w:highlight w:val="none"/>
        </w:rPr>
      </w:pPr>
      <w:bookmarkStart w:id="384" w:name="_Toc18329"/>
      <w:bookmarkStart w:id="385" w:name="_Toc407135213"/>
      <w:bookmarkStart w:id="386" w:name="_Toc57329529"/>
      <w:bookmarkStart w:id="387" w:name="_Toc78449799"/>
      <w:bookmarkStart w:id="388" w:name="_Toc11266"/>
      <w:r>
        <w:rPr>
          <w:color w:val="auto"/>
          <w:highlight w:val="none"/>
        </w:rPr>
        <w:t xml:space="preserve">3.6 </w:t>
      </w:r>
      <w:r>
        <w:rPr>
          <w:rFonts w:hint="eastAsia" w:cs="黑体"/>
          <w:color w:val="auto"/>
          <w:highlight w:val="none"/>
        </w:rPr>
        <w:t>工程照管与成品、半成品保护</w:t>
      </w:r>
      <w:bookmarkEnd w:id="381"/>
      <w:bookmarkEnd w:id="382"/>
      <w:bookmarkEnd w:id="383"/>
      <w:bookmarkEnd w:id="384"/>
      <w:bookmarkEnd w:id="385"/>
      <w:bookmarkEnd w:id="386"/>
      <w:bookmarkEnd w:id="387"/>
      <w:bookmarkEnd w:id="388"/>
    </w:p>
    <w:p w14:paraId="4994FFFE">
      <w:pPr>
        <w:spacing w:line="360" w:lineRule="auto"/>
        <w:ind w:firstLine="420" w:firstLineChars="200"/>
        <w:rPr>
          <w:color w:val="auto"/>
          <w:kern w:val="0"/>
          <w:highlight w:val="none"/>
          <w:u w:val="single"/>
        </w:rPr>
      </w:pPr>
      <w:r>
        <w:rPr>
          <w:rFonts w:hint="eastAsia" w:hAnsi="宋体" w:cs="宋体"/>
          <w:color w:val="auto"/>
          <w:kern w:val="0"/>
          <w:highlight w:val="none"/>
        </w:rPr>
        <w:t>承包人负责照管工程及工程相关的材料、工程设备的起始时间：</w:t>
      </w:r>
      <w:r>
        <w:rPr>
          <w:color w:val="auto"/>
          <w:kern w:val="0"/>
          <w:highlight w:val="none"/>
          <w:u w:val="single"/>
        </w:rPr>
        <w:t xml:space="preserve"> </w:t>
      </w:r>
      <w:r>
        <w:rPr>
          <w:rFonts w:hint="eastAsia" w:ascii="宋体" w:hAnsi="宋体" w:eastAsia="宋体" w:cs="宋体"/>
          <w:color w:val="auto"/>
          <w:szCs w:val="21"/>
          <w:highlight w:val="none"/>
          <w:u w:val="single"/>
        </w:rPr>
        <w:t>从承包人进场到工程竣工验收合格并交付承包人后</w:t>
      </w:r>
      <w:r>
        <w:rPr>
          <w:color w:val="auto"/>
          <w:kern w:val="0"/>
          <w:highlight w:val="none"/>
          <w:u w:val="single"/>
        </w:rPr>
        <w:t xml:space="preserve">     </w:t>
      </w:r>
      <w:r>
        <w:rPr>
          <w:rFonts w:hint="eastAsia" w:hAnsi="宋体" w:cs="宋体"/>
          <w:color w:val="auto"/>
          <w:kern w:val="0"/>
          <w:highlight w:val="none"/>
        </w:rPr>
        <w:t>。</w:t>
      </w:r>
    </w:p>
    <w:p w14:paraId="13B61722">
      <w:pPr>
        <w:spacing w:line="360" w:lineRule="auto"/>
        <w:outlineLvl w:val="9"/>
        <w:rPr>
          <w:color w:val="auto"/>
          <w:highlight w:val="none"/>
        </w:rPr>
      </w:pPr>
      <w:bookmarkStart w:id="389" w:name="_Toc373227712"/>
      <w:bookmarkStart w:id="390" w:name="_Toc373478359"/>
      <w:bookmarkStart w:id="391" w:name="_Toc389065278"/>
      <w:bookmarkStart w:id="392" w:name="_Toc407135214"/>
      <w:bookmarkStart w:id="393" w:name="_Toc1042049436"/>
      <w:bookmarkStart w:id="394" w:name="_Toc32164"/>
      <w:bookmarkStart w:id="395" w:name="_Toc78449800"/>
      <w:bookmarkStart w:id="396" w:name="_Toc15964"/>
      <w:r>
        <w:rPr>
          <w:color w:val="auto"/>
          <w:highlight w:val="none"/>
        </w:rPr>
        <w:t xml:space="preserve">3.7 </w:t>
      </w:r>
      <w:r>
        <w:rPr>
          <w:rFonts w:hint="eastAsia" w:hAnsi="宋体" w:cs="黑体"/>
          <w:color w:val="auto"/>
          <w:highlight w:val="none"/>
        </w:rPr>
        <w:t>履约</w:t>
      </w:r>
      <w:bookmarkEnd w:id="389"/>
      <w:bookmarkEnd w:id="390"/>
      <w:bookmarkEnd w:id="391"/>
      <w:r>
        <w:rPr>
          <w:rFonts w:hint="eastAsia" w:hAnsi="宋体" w:cs="黑体"/>
          <w:color w:val="auto"/>
          <w:highlight w:val="none"/>
        </w:rPr>
        <w:t>保证金</w:t>
      </w:r>
      <w:bookmarkEnd w:id="392"/>
      <w:bookmarkEnd w:id="393"/>
      <w:bookmarkEnd w:id="394"/>
      <w:bookmarkEnd w:id="395"/>
      <w:bookmarkEnd w:id="396"/>
    </w:p>
    <w:p w14:paraId="4F531B58">
      <w:pPr>
        <w:spacing w:line="360" w:lineRule="auto"/>
        <w:ind w:firstLine="420" w:firstLineChars="200"/>
        <w:jc w:val="left"/>
        <w:rPr>
          <w:rFonts w:hint="eastAsia" w:hAnsi="宋体" w:cs="宋体"/>
          <w:color w:val="auto"/>
          <w:highlight w:val="none"/>
          <w:u w:val="single"/>
        </w:rPr>
      </w:pPr>
      <w:bookmarkStart w:id="397" w:name="_Toc373478360"/>
      <w:bookmarkStart w:id="398" w:name="_Toc373227713"/>
      <w:bookmarkStart w:id="399" w:name="_Toc389065279"/>
      <w:bookmarkStart w:id="400" w:name="_Toc351203636"/>
      <w:r>
        <w:rPr>
          <w:rFonts w:hint="eastAsia" w:hAnsi="宋体" w:cs="宋体"/>
          <w:color w:val="auto"/>
          <w:highlight w:val="none"/>
        </w:rPr>
        <w:t>承包人提供履约担保的形式、金额及期限的：</w:t>
      </w:r>
      <w:r>
        <w:rPr>
          <w:rFonts w:hint="eastAsia" w:hAnsi="宋体" w:cs="宋体"/>
          <w:color w:val="auto"/>
          <w:highlight w:val="none"/>
          <w:u w:val="single"/>
        </w:rPr>
        <w:t>承包人在收到中标通知书后，须在</w:t>
      </w:r>
      <w:r>
        <w:rPr>
          <w:rFonts w:hint="eastAsia" w:hAnsi="宋体" w:cs="宋体"/>
          <w:color w:val="auto"/>
          <w:highlight w:val="none"/>
          <w:u w:val="single"/>
          <w:lang w:val="en-US" w:eastAsia="zh-CN"/>
        </w:rPr>
        <w:t xml:space="preserve"> </w:t>
      </w:r>
      <w:r>
        <w:rPr>
          <w:rFonts w:hint="eastAsia"/>
          <w:color w:val="auto"/>
          <w:highlight w:val="none"/>
          <w:u w:val="single"/>
          <w:lang w:val="en-US" w:eastAsia="zh-CN"/>
        </w:rPr>
        <w:t xml:space="preserve">/ </w:t>
      </w:r>
      <w:r>
        <w:rPr>
          <w:rFonts w:hint="eastAsia" w:hAnsi="宋体" w:cs="宋体"/>
          <w:color w:val="auto"/>
          <w:highlight w:val="none"/>
          <w:u w:val="single"/>
        </w:rPr>
        <w:t>日内向发包人提交合同价款扣除暂列金额、专业工程暂估价</w:t>
      </w:r>
      <w:r>
        <w:rPr>
          <w:rFonts w:hint="eastAsia" w:hAnsi="宋体" w:cs="宋体"/>
          <w:color w:val="auto"/>
          <w:highlight w:val="none"/>
          <w:u w:val="single"/>
          <w:lang w:val="en-US" w:eastAsia="zh-CN"/>
        </w:rPr>
        <w:t>后</w:t>
      </w:r>
      <w:r>
        <w:rPr>
          <w:rFonts w:hint="eastAsia" w:hAnsi="宋体" w:cs="宋体"/>
          <w:color w:val="auto"/>
          <w:highlight w:val="none"/>
          <w:u w:val="single"/>
        </w:rPr>
        <w:t>的</w:t>
      </w:r>
      <w:r>
        <w:rPr>
          <w:rFonts w:hint="eastAsia" w:hAnsi="宋体" w:cs="宋体"/>
          <w:color w:val="auto"/>
          <w:highlight w:val="none"/>
          <w:u w:val="single"/>
          <w:lang w:val="en-US" w:eastAsia="zh-CN"/>
        </w:rPr>
        <w:t xml:space="preserve"> </w:t>
      </w:r>
      <w:r>
        <w:rPr>
          <w:rFonts w:hint="eastAsia"/>
          <w:color w:val="auto"/>
          <w:highlight w:val="none"/>
          <w:u w:val="single"/>
          <w:lang w:val="en-US" w:eastAsia="zh-CN"/>
        </w:rPr>
        <w:t xml:space="preserve">/ </w:t>
      </w:r>
      <w:r>
        <w:rPr>
          <w:color w:val="auto"/>
          <w:highlight w:val="none"/>
          <w:u w:val="single"/>
        </w:rPr>
        <w:t>%</w:t>
      </w:r>
      <w:r>
        <w:rPr>
          <w:rFonts w:hint="eastAsia" w:hAnsi="宋体" w:cs="宋体"/>
          <w:color w:val="auto"/>
          <w:highlight w:val="none"/>
          <w:u w:val="single"/>
        </w:rPr>
        <w:t>的履约担保（格式见合同附件</w:t>
      </w:r>
      <w:r>
        <w:rPr>
          <w:rFonts w:hint="eastAsia" w:hAnsi="宋体"/>
          <w:color w:val="auto"/>
          <w:highlight w:val="none"/>
          <w:u w:val="single"/>
        </w:rPr>
        <w:t>7</w:t>
      </w:r>
      <w:r>
        <w:rPr>
          <w:rFonts w:hint="eastAsia" w:hAnsi="宋体" w:cs="宋体"/>
          <w:color w:val="auto"/>
          <w:highlight w:val="none"/>
          <w:u w:val="single"/>
        </w:rPr>
        <w:t>）。履约担保的有效期应当自本合同生效之日起至发包人签认并由监理人向承包人出具（竣工证明材料名称）之日止。如果承包人无法获得一份不带具体截止日期的担保，履约担保中应当有</w:t>
      </w:r>
      <w:r>
        <w:rPr>
          <w:rFonts w:hint="eastAsia"/>
          <w:color w:val="auto"/>
          <w:highlight w:val="none"/>
          <w:u w:val="single"/>
          <w:lang w:eastAsia="zh-CN"/>
        </w:rPr>
        <w:t>“</w:t>
      </w:r>
      <w:r>
        <w:rPr>
          <w:rFonts w:hint="eastAsia" w:hAnsi="宋体" w:cs="宋体"/>
          <w:color w:val="auto"/>
          <w:highlight w:val="none"/>
          <w:u w:val="single"/>
        </w:rPr>
        <w:t>变更工程竣工日期的，保证期间按照变更后的竣工日期做相应调整</w:t>
      </w:r>
      <w:r>
        <w:rPr>
          <w:rFonts w:hint="eastAsia"/>
          <w:color w:val="auto"/>
          <w:highlight w:val="none"/>
          <w:u w:val="single"/>
          <w:lang w:eastAsia="zh-CN"/>
        </w:rPr>
        <w:t>”</w:t>
      </w:r>
      <w:r>
        <w:rPr>
          <w:rFonts w:hint="eastAsia" w:hAnsi="宋体" w:cs="宋体"/>
          <w:color w:val="auto"/>
          <w:highlight w:val="none"/>
          <w:u w:val="single"/>
        </w:rPr>
        <w:t>或类似约定的条款。</w:t>
      </w:r>
    </w:p>
    <w:p w14:paraId="184A4162">
      <w:pPr>
        <w:spacing w:line="360" w:lineRule="auto"/>
        <w:ind w:left="399" w:leftChars="190" w:firstLine="0" w:firstLineChars="0"/>
        <w:jc w:val="left"/>
        <w:rPr>
          <w:rFonts w:hint="eastAsia" w:hAnsi="宋体" w:eastAsia="宋体" w:cs="宋体"/>
          <w:color w:val="auto"/>
          <w:highlight w:val="none"/>
          <w:u w:val="single"/>
          <w:lang w:eastAsia="zh-CN"/>
        </w:rPr>
      </w:pPr>
      <w:r>
        <w:rPr>
          <w:rFonts w:hint="eastAsia" w:hAnsi="宋体" w:cs="宋体"/>
          <w:color w:val="auto"/>
          <w:highlight w:val="none"/>
          <w:lang w:eastAsia="zh-CN"/>
        </w:rPr>
        <w:t>承包人</w:t>
      </w:r>
      <w:r>
        <w:rPr>
          <w:rFonts w:hint="eastAsia" w:hAnsi="宋体" w:cs="宋体"/>
          <w:color w:val="auto"/>
          <w:highlight w:val="none"/>
        </w:rPr>
        <w:t>提供</w:t>
      </w:r>
      <w:r>
        <w:rPr>
          <w:rFonts w:hint="eastAsia" w:hAnsi="宋体" w:cs="宋体"/>
          <w:color w:val="auto"/>
          <w:highlight w:val="none"/>
          <w:lang w:eastAsia="zh-CN"/>
        </w:rPr>
        <w:t>履约</w:t>
      </w:r>
      <w:r>
        <w:rPr>
          <w:rFonts w:hint="eastAsia" w:hAnsi="宋体" w:cs="宋体"/>
          <w:color w:val="auto"/>
          <w:highlight w:val="none"/>
        </w:rPr>
        <w:t>担保的形式：</w:t>
      </w:r>
      <w:r>
        <w:rPr>
          <w:rFonts w:hint="eastAsia"/>
          <w:color w:val="auto"/>
          <w:highlight w:val="none"/>
          <w:u w:val="single"/>
          <w:lang w:eastAsia="zh-CN"/>
        </w:rPr>
        <w:t>可以是</w:t>
      </w:r>
      <w:r>
        <w:rPr>
          <w:rFonts w:hint="eastAsia" w:ascii="Calibri" w:hAnsi="Calibri" w:eastAsia="宋体" w:cs="宋体"/>
          <w:color w:val="auto"/>
          <w:highlight w:val="none"/>
        </w:rPr>
        <w:t>现金、银行保函、工程担保、</w:t>
      </w:r>
      <w:r>
        <w:rPr>
          <w:rFonts w:hint="default" w:ascii="Calibri" w:hAnsi="Calibri" w:eastAsia="宋体" w:cs="宋体"/>
          <w:color w:val="auto"/>
          <w:highlight w:val="none"/>
        </w:rPr>
        <w:t>电子保函</w:t>
      </w:r>
      <w:r>
        <w:rPr>
          <w:rFonts w:hint="eastAsia" w:ascii="Calibri" w:hAnsi="Calibri" w:eastAsia="宋体" w:cs="宋体"/>
          <w:color w:val="auto"/>
          <w:highlight w:val="none"/>
        </w:rPr>
        <w:t>或保证保险</w:t>
      </w:r>
      <w:r>
        <w:rPr>
          <w:rFonts w:hint="eastAsia" w:hAnsi="宋体"/>
          <w:color w:val="auto"/>
          <w:highlight w:val="none"/>
        </w:rPr>
        <w:t>等</w:t>
      </w:r>
      <w:r>
        <w:rPr>
          <w:rFonts w:hint="eastAsia" w:hAnsi="宋体" w:cs="宋体"/>
          <w:color w:val="auto"/>
          <w:highlight w:val="none"/>
        </w:rPr>
        <w:t>形</w:t>
      </w:r>
      <w:r>
        <w:rPr>
          <w:rFonts w:hint="eastAsia" w:hAnsi="宋体"/>
          <w:color w:val="auto"/>
          <w:highlight w:val="none"/>
        </w:rPr>
        <w:t>式</w:t>
      </w:r>
      <w:r>
        <w:rPr>
          <w:rFonts w:hint="eastAsia" w:hAnsi="宋体" w:cs="宋体"/>
          <w:color w:val="auto"/>
          <w:highlight w:val="none"/>
        </w:rPr>
        <w:t>。</w:t>
      </w:r>
    </w:p>
    <w:p w14:paraId="4BF39B5C">
      <w:pPr>
        <w:spacing w:line="360" w:lineRule="auto"/>
        <w:ind w:firstLine="420" w:firstLineChars="200"/>
        <w:rPr>
          <w:color w:val="auto"/>
          <w:highlight w:val="none"/>
          <w:u w:val="single"/>
        </w:rPr>
      </w:pPr>
      <w:r>
        <w:rPr>
          <w:rFonts w:hint="eastAsia" w:hAnsi="宋体" w:cs="宋体"/>
          <w:color w:val="auto"/>
          <w:highlight w:val="none"/>
          <w:u w:val="single"/>
        </w:rPr>
        <w:t>工程竣工验收合格并对验收发现的问题完成整改后的</w:t>
      </w:r>
      <w:r>
        <w:rPr>
          <w:color w:val="auto"/>
          <w:highlight w:val="none"/>
          <w:u w:val="single"/>
        </w:rPr>
        <w:t>7</w:t>
      </w:r>
      <w:r>
        <w:rPr>
          <w:rFonts w:hint="eastAsia" w:hAnsi="宋体" w:cs="宋体"/>
          <w:color w:val="auto"/>
          <w:highlight w:val="none"/>
          <w:u w:val="single"/>
        </w:rPr>
        <w:t>个日历天内，发包人支付履约保证金的</w:t>
      </w:r>
      <w:r>
        <w:rPr>
          <w:color w:val="auto"/>
          <w:highlight w:val="none"/>
          <w:u w:val="single"/>
        </w:rPr>
        <w:t>50%</w:t>
      </w:r>
      <w:r>
        <w:rPr>
          <w:rFonts w:hint="eastAsia" w:hAnsi="宋体" w:cs="宋体"/>
          <w:color w:val="auto"/>
          <w:highlight w:val="none"/>
          <w:u w:val="single"/>
        </w:rPr>
        <w:t>；承包人向发包人完成（施工）竣工资料移交手续后，可向发包人申请退还剩余履约保证金，发包人应在收到申请之日起</w:t>
      </w:r>
      <w:r>
        <w:rPr>
          <w:color w:val="auto"/>
          <w:highlight w:val="none"/>
          <w:u w:val="single"/>
        </w:rPr>
        <w:t>28</w:t>
      </w:r>
      <w:r>
        <w:rPr>
          <w:rFonts w:hint="eastAsia" w:hAnsi="宋体" w:cs="宋体"/>
          <w:color w:val="auto"/>
          <w:highlight w:val="none"/>
          <w:u w:val="single"/>
        </w:rPr>
        <w:t>个日历天内扣减承包人赔偿金和其他应从承包人扣回的款项后，将履约保证金的余额退还给承包人。</w:t>
      </w:r>
    </w:p>
    <w:p w14:paraId="4336F9DE">
      <w:pPr>
        <w:spacing w:line="360" w:lineRule="auto"/>
        <w:outlineLvl w:val="9"/>
        <w:rPr>
          <w:color w:val="auto"/>
          <w:highlight w:val="none"/>
        </w:rPr>
      </w:pPr>
      <w:bookmarkStart w:id="401" w:name="_Toc907912356"/>
      <w:bookmarkStart w:id="402" w:name="_Toc407135215"/>
      <w:bookmarkStart w:id="403" w:name="_Toc17369"/>
      <w:bookmarkStart w:id="404" w:name="_Toc78449801"/>
      <w:r>
        <w:rPr>
          <w:color w:val="auto"/>
          <w:highlight w:val="none"/>
        </w:rPr>
        <w:t>4</w:t>
      </w:r>
      <w:bookmarkStart w:id="405" w:name="_Toc297120462"/>
      <w:bookmarkStart w:id="406" w:name="_Toc267251413"/>
      <w:bookmarkStart w:id="407" w:name="_Toc296944501"/>
      <w:bookmarkStart w:id="408" w:name="_Toc296503162"/>
      <w:bookmarkStart w:id="409" w:name="_Toc296890990"/>
      <w:bookmarkStart w:id="410" w:name="_Toc296346663"/>
      <w:bookmarkStart w:id="411" w:name="_Toc296347161"/>
      <w:bookmarkStart w:id="412" w:name="_Toc292559871"/>
      <w:bookmarkStart w:id="413" w:name="_Toc292559366"/>
      <w:bookmarkStart w:id="414" w:name="_Toc297048348"/>
      <w:bookmarkStart w:id="415" w:name="_Toc296891202"/>
      <w:r>
        <w:rPr>
          <w:color w:val="auto"/>
          <w:highlight w:val="none"/>
        </w:rPr>
        <w:t xml:space="preserve">. </w:t>
      </w:r>
      <w:r>
        <w:rPr>
          <w:rFonts w:hint="eastAsia" w:hAnsi="宋体" w:cs="黑体"/>
          <w:color w:val="auto"/>
          <w:highlight w:val="none"/>
        </w:rPr>
        <w:t>监</w:t>
      </w:r>
      <w:bookmarkEnd w:id="405"/>
      <w:bookmarkEnd w:id="406"/>
      <w:bookmarkEnd w:id="407"/>
      <w:bookmarkEnd w:id="408"/>
      <w:bookmarkEnd w:id="409"/>
      <w:bookmarkEnd w:id="410"/>
      <w:bookmarkEnd w:id="411"/>
      <w:bookmarkEnd w:id="412"/>
      <w:bookmarkEnd w:id="413"/>
      <w:bookmarkEnd w:id="414"/>
      <w:bookmarkEnd w:id="415"/>
      <w:r>
        <w:rPr>
          <w:rFonts w:hint="eastAsia" w:hAnsi="宋体" w:cs="黑体"/>
          <w:color w:val="auto"/>
          <w:highlight w:val="none"/>
        </w:rPr>
        <w:t>理人</w:t>
      </w:r>
      <w:bookmarkEnd w:id="397"/>
      <w:bookmarkEnd w:id="398"/>
      <w:bookmarkEnd w:id="399"/>
      <w:bookmarkEnd w:id="400"/>
      <w:bookmarkEnd w:id="401"/>
      <w:bookmarkEnd w:id="402"/>
      <w:bookmarkEnd w:id="403"/>
      <w:bookmarkEnd w:id="404"/>
    </w:p>
    <w:p w14:paraId="7A842B50">
      <w:pPr>
        <w:spacing w:line="360" w:lineRule="auto"/>
        <w:outlineLvl w:val="9"/>
        <w:rPr>
          <w:color w:val="auto"/>
          <w:highlight w:val="none"/>
        </w:rPr>
      </w:pPr>
      <w:bookmarkStart w:id="416" w:name="_Toc373478361"/>
      <w:bookmarkStart w:id="417" w:name="_Toc389065280"/>
      <w:bookmarkStart w:id="418" w:name="_Toc373227714"/>
      <w:bookmarkStart w:id="419" w:name="_Toc21437"/>
      <w:bookmarkStart w:id="420" w:name="_Toc2993"/>
      <w:bookmarkStart w:id="421" w:name="_Toc1595043148"/>
      <w:bookmarkStart w:id="422" w:name="_Toc78449802"/>
      <w:bookmarkStart w:id="423" w:name="_Toc407135216"/>
      <w:r>
        <w:rPr>
          <w:color w:val="auto"/>
          <w:highlight w:val="none"/>
        </w:rPr>
        <w:t xml:space="preserve">4.1 </w:t>
      </w:r>
      <w:r>
        <w:rPr>
          <w:rFonts w:hint="eastAsia" w:cs="黑体"/>
          <w:color w:val="auto"/>
          <w:highlight w:val="none"/>
        </w:rPr>
        <w:t>监理人的一般规定</w:t>
      </w:r>
      <w:bookmarkEnd w:id="416"/>
      <w:bookmarkEnd w:id="417"/>
      <w:bookmarkEnd w:id="418"/>
      <w:bookmarkEnd w:id="419"/>
      <w:bookmarkEnd w:id="420"/>
      <w:bookmarkEnd w:id="421"/>
      <w:bookmarkEnd w:id="422"/>
      <w:bookmarkEnd w:id="423"/>
    </w:p>
    <w:p w14:paraId="0BB07141">
      <w:pPr>
        <w:spacing w:line="360" w:lineRule="auto"/>
        <w:ind w:firstLine="420" w:firstLineChars="200"/>
        <w:jc w:val="left"/>
        <w:rPr>
          <w:color w:val="auto"/>
          <w:highlight w:val="none"/>
        </w:rPr>
      </w:pPr>
      <w:r>
        <w:rPr>
          <w:rFonts w:hint="eastAsia" w:hAnsi="宋体" w:cs="宋体"/>
          <w:color w:val="auto"/>
          <w:highlight w:val="none"/>
        </w:rPr>
        <w:t>关于监理人的监理内容：</w:t>
      </w:r>
      <w:r>
        <w:rPr>
          <w:color w:val="auto"/>
          <w:highlight w:val="none"/>
          <w:u w:val="single"/>
        </w:rPr>
        <w:t xml:space="preserve">                               </w:t>
      </w:r>
      <w:r>
        <w:rPr>
          <w:rFonts w:hint="eastAsia" w:hAnsi="宋体" w:cs="宋体"/>
          <w:color w:val="auto"/>
          <w:highlight w:val="none"/>
        </w:rPr>
        <w:t>。</w:t>
      </w:r>
    </w:p>
    <w:p w14:paraId="4447236D">
      <w:pPr>
        <w:spacing w:line="360" w:lineRule="auto"/>
        <w:ind w:firstLine="420" w:firstLineChars="200"/>
        <w:jc w:val="left"/>
        <w:rPr>
          <w:color w:val="auto"/>
          <w:highlight w:val="none"/>
        </w:rPr>
      </w:pPr>
      <w:r>
        <w:rPr>
          <w:rFonts w:hint="eastAsia" w:hAnsi="宋体" w:cs="宋体"/>
          <w:color w:val="auto"/>
          <w:highlight w:val="none"/>
        </w:rPr>
        <w:t>关于监理人的监理权限：</w:t>
      </w:r>
      <w:r>
        <w:rPr>
          <w:color w:val="auto"/>
          <w:highlight w:val="none"/>
          <w:u w:val="single"/>
        </w:rPr>
        <w:t xml:space="preserve">                               </w:t>
      </w:r>
      <w:r>
        <w:rPr>
          <w:rFonts w:hint="eastAsia" w:hAnsi="宋体" w:cs="宋体"/>
          <w:color w:val="auto"/>
          <w:highlight w:val="none"/>
        </w:rPr>
        <w:t>。</w:t>
      </w:r>
      <w:r>
        <w:rPr>
          <w:color w:val="auto"/>
          <w:highlight w:val="none"/>
        </w:rPr>
        <w:t xml:space="preserve"> </w:t>
      </w:r>
    </w:p>
    <w:p w14:paraId="2B320052">
      <w:pPr>
        <w:spacing w:line="360" w:lineRule="auto"/>
        <w:ind w:firstLine="420" w:firstLineChars="200"/>
        <w:rPr>
          <w:color w:val="auto"/>
          <w:highlight w:val="none"/>
          <w:u w:val="single"/>
        </w:rPr>
      </w:pPr>
      <w:r>
        <w:rPr>
          <w:rFonts w:hint="eastAsia" w:hAnsi="宋体" w:cs="宋体"/>
          <w:color w:val="auto"/>
          <w:highlight w:val="none"/>
        </w:rPr>
        <w:t>关于监理人在施工现场的办公场所、生活场所的提供和费用承担的约定：</w:t>
      </w:r>
      <w:r>
        <w:rPr>
          <w:color w:val="auto"/>
          <w:highlight w:val="none"/>
          <w:u w:val="single"/>
        </w:rPr>
        <w:t xml:space="preserve">              </w:t>
      </w:r>
    </w:p>
    <w:p w14:paraId="32404865">
      <w:pPr>
        <w:spacing w:line="360" w:lineRule="auto"/>
        <w:rPr>
          <w:color w:val="auto"/>
          <w:highlight w:val="none"/>
        </w:rPr>
      </w:pPr>
      <w:r>
        <w:rPr>
          <w:color w:val="auto"/>
          <w:highlight w:val="none"/>
          <w:u w:val="single"/>
        </w:rPr>
        <w:t xml:space="preserve">                                                                                </w:t>
      </w:r>
      <w:r>
        <w:rPr>
          <w:rFonts w:hint="eastAsia" w:hAnsi="宋体" w:cs="宋体"/>
          <w:color w:val="auto"/>
          <w:highlight w:val="none"/>
        </w:rPr>
        <w:t>。</w:t>
      </w:r>
    </w:p>
    <w:p w14:paraId="12BD1471">
      <w:pPr>
        <w:spacing w:line="360" w:lineRule="auto"/>
        <w:outlineLvl w:val="9"/>
        <w:rPr>
          <w:color w:val="auto"/>
          <w:highlight w:val="none"/>
        </w:rPr>
      </w:pPr>
      <w:bookmarkStart w:id="424" w:name="_Toc407135217"/>
      <w:bookmarkStart w:id="425" w:name="_Toc16747"/>
      <w:bookmarkStart w:id="426" w:name="_Toc389065281"/>
      <w:bookmarkStart w:id="427" w:name="_Toc78449803"/>
      <w:bookmarkStart w:id="428" w:name="_Toc373478362"/>
      <w:bookmarkStart w:id="429" w:name="_Toc386397261"/>
      <w:bookmarkStart w:id="430" w:name="_Toc373227715"/>
      <w:bookmarkStart w:id="431" w:name="_Toc9467"/>
      <w:r>
        <w:rPr>
          <w:color w:val="auto"/>
          <w:highlight w:val="none"/>
        </w:rPr>
        <w:t xml:space="preserve">4.2 </w:t>
      </w:r>
      <w:r>
        <w:rPr>
          <w:rFonts w:hint="eastAsia" w:hAnsi="宋体" w:cs="黑体"/>
          <w:color w:val="auto"/>
          <w:highlight w:val="none"/>
        </w:rPr>
        <w:t>监理人员</w:t>
      </w:r>
      <w:bookmarkEnd w:id="424"/>
      <w:bookmarkEnd w:id="425"/>
      <w:bookmarkEnd w:id="426"/>
      <w:bookmarkEnd w:id="427"/>
      <w:bookmarkEnd w:id="428"/>
      <w:bookmarkEnd w:id="429"/>
      <w:bookmarkEnd w:id="430"/>
      <w:bookmarkEnd w:id="431"/>
    </w:p>
    <w:p w14:paraId="37C359CF">
      <w:pPr>
        <w:spacing w:line="360" w:lineRule="auto"/>
        <w:ind w:firstLine="420" w:firstLineChars="200"/>
        <w:rPr>
          <w:color w:val="auto"/>
          <w:highlight w:val="none"/>
        </w:rPr>
      </w:pPr>
      <w:r>
        <w:rPr>
          <w:rFonts w:hint="eastAsia" w:hAnsi="宋体" w:cs="宋体"/>
          <w:color w:val="auto"/>
          <w:highlight w:val="none"/>
        </w:rPr>
        <w:t>总监理工程师：</w:t>
      </w:r>
    </w:p>
    <w:p w14:paraId="691F7881">
      <w:pPr>
        <w:spacing w:line="360" w:lineRule="auto"/>
        <w:ind w:firstLine="420" w:firstLineChars="200"/>
        <w:rPr>
          <w:color w:val="auto"/>
          <w:highlight w:val="none"/>
        </w:rPr>
      </w:pPr>
      <w:r>
        <w:rPr>
          <w:rFonts w:hAnsi="宋体"/>
          <w:color w:val="auto"/>
          <w:highlight w:val="none"/>
        </w:rPr>
        <w:t>姓</w:t>
      </w:r>
      <w:r>
        <w:rPr>
          <w:color w:val="auto"/>
          <w:highlight w:val="none"/>
        </w:rPr>
        <w:t xml:space="preserve">    </w:t>
      </w:r>
      <w:r>
        <w:rPr>
          <w:rFonts w:hAnsi="宋体"/>
          <w:color w:val="auto"/>
          <w:highlight w:val="none"/>
        </w:rPr>
        <w:t>名：</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1AAF8516">
      <w:pPr>
        <w:spacing w:line="360" w:lineRule="auto"/>
        <w:ind w:firstLine="420" w:firstLineChars="200"/>
        <w:rPr>
          <w:color w:val="auto"/>
          <w:highlight w:val="none"/>
        </w:rPr>
      </w:pPr>
      <w:r>
        <w:rPr>
          <w:rFonts w:hAnsi="宋体"/>
          <w:color w:val="auto"/>
          <w:highlight w:val="none"/>
        </w:rPr>
        <w:t>职</w:t>
      </w:r>
      <w:r>
        <w:rPr>
          <w:color w:val="auto"/>
          <w:highlight w:val="none"/>
        </w:rPr>
        <w:t xml:space="preserve">    </w:t>
      </w:r>
      <w:r>
        <w:rPr>
          <w:rFonts w:hAnsi="宋体"/>
          <w:color w:val="auto"/>
          <w:highlight w:val="none"/>
        </w:rPr>
        <w:t>务：</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238C095B">
      <w:pPr>
        <w:spacing w:line="360" w:lineRule="auto"/>
        <w:ind w:firstLine="420" w:firstLineChars="200"/>
        <w:rPr>
          <w:rFonts w:hAnsi="宋体"/>
          <w:color w:val="auto"/>
          <w:highlight w:val="none"/>
        </w:rPr>
      </w:pPr>
      <w:r>
        <w:rPr>
          <w:rFonts w:hAnsi="宋体"/>
          <w:color w:val="auto"/>
          <w:highlight w:val="none"/>
        </w:rPr>
        <w:t>监理工程师注册证书号：</w:t>
      </w:r>
      <w:r>
        <w:rPr>
          <w:rFonts w:hint="eastAsia" w:hAnsi="宋体"/>
          <w:color w:val="auto"/>
          <w:highlight w:val="none"/>
          <w:u w:val="single"/>
          <w:lang w:eastAsia="zh-CN"/>
        </w:rPr>
        <w:t xml:space="preserve">    </w:t>
      </w:r>
      <w:r>
        <w:rPr>
          <w:rFonts w:hint="eastAsia" w:hAnsi="宋体"/>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500F4FB5">
      <w:pPr>
        <w:spacing w:line="360" w:lineRule="auto"/>
        <w:ind w:firstLine="420" w:firstLineChars="200"/>
        <w:rPr>
          <w:color w:val="auto"/>
          <w:highlight w:val="none"/>
        </w:rPr>
      </w:pPr>
      <w:r>
        <w:rPr>
          <w:rFonts w:hAnsi="宋体"/>
          <w:color w:val="auto"/>
          <w:highlight w:val="none"/>
        </w:rPr>
        <w:t>联系电话：</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247CA27B">
      <w:pPr>
        <w:spacing w:line="360" w:lineRule="auto"/>
        <w:ind w:firstLine="420" w:firstLineChars="200"/>
        <w:rPr>
          <w:color w:val="auto"/>
          <w:highlight w:val="none"/>
        </w:rPr>
      </w:pPr>
      <w:r>
        <w:rPr>
          <w:rFonts w:hAnsi="宋体"/>
          <w:color w:val="auto"/>
          <w:highlight w:val="none"/>
        </w:rPr>
        <w:t>电子信箱：</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51F87369">
      <w:pPr>
        <w:spacing w:line="360" w:lineRule="auto"/>
        <w:ind w:firstLine="420" w:firstLineChars="200"/>
        <w:rPr>
          <w:color w:val="auto"/>
          <w:highlight w:val="none"/>
        </w:rPr>
      </w:pPr>
      <w:r>
        <w:rPr>
          <w:rFonts w:hAnsi="宋体"/>
          <w:color w:val="auto"/>
          <w:highlight w:val="none"/>
        </w:rPr>
        <w:t>通信地址：</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4939D7C9">
      <w:pPr>
        <w:spacing w:line="360" w:lineRule="auto"/>
        <w:ind w:firstLine="420" w:firstLineChars="200"/>
        <w:rPr>
          <w:color w:val="auto"/>
          <w:highlight w:val="none"/>
        </w:rPr>
      </w:pPr>
      <w:r>
        <w:rPr>
          <w:rFonts w:hAnsi="宋体"/>
          <w:color w:val="auto"/>
          <w:highlight w:val="none"/>
        </w:rPr>
        <w:t>关于监理人的其他约定：</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51160DF3">
      <w:pPr>
        <w:spacing w:line="360" w:lineRule="auto"/>
        <w:outlineLvl w:val="9"/>
        <w:rPr>
          <w:color w:val="auto"/>
          <w:highlight w:val="none"/>
        </w:rPr>
      </w:pPr>
      <w:bookmarkStart w:id="432" w:name="_Toc78449804"/>
      <w:bookmarkStart w:id="433" w:name="_Toc29998"/>
      <w:bookmarkStart w:id="434" w:name="_Toc373478363"/>
      <w:bookmarkStart w:id="435" w:name="_Toc389065282"/>
      <w:bookmarkStart w:id="436" w:name="_Toc30189"/>
      <w:bookmarkStart w:id="437" w:name="_Toc539923186"/>
      <w:bookmarkStart w:id="438" w:name="_Toc373227716"/>
      <w:bookmarkStart w:id="439" w:name="_Toc407135218"/>
      <w:r>
        <w:rPr>
          <w:color w:val="auto"/>
          <w:highlight w:val="none"/>
        </w:rPr>
        <w:t xml:space="preserve">4.4 </w:t>
      </w:r>
      <w:r>
        <w:rPr>
          <w:rFonts w:hint="eastAsia" w:hAnsi="宋体" w:cs="黑体"/>
          <w:color w:val="auto"/>
          <w:highlight w:val="none"/>
        </w:rPr>
        <w:t>商定或确定</w:t>
      </w:r>
      <w:bookmarkEnd w:id="432"/>
      <w:bookmarkEnd w:id="433"/>
      <w:bookmarkEnd w:id="434"/>
      <w:bookmarkEnd w:id="435"/>
      <w:bookmarkEnd w:id="436"/>
      <w:bookmarkEnd w:id="437"/>
      <w:bookmarkEnd w:id="438"/>
      <w:bookmarkEnd w:id="439"/>
    </w:p>
    <w:p w14:paraId="095CA231">
      <w:pPr>
        <w:spacing w:line="360" w:lineRule="auto"/>
        <w:ind w:firstLine="420" w:firstLineChars="200"/>
        <w:rPr>
          <w:color w:val="auto"/>
          <w:highlight w:val="none"/>
        </w:rPr>
      </w:pPr>
      <w:bookmarkStart w:id="440" w:name="_Toc267251418"/>
      <w:r>
        <w:rPr>
          <w:rFonts w:hint="eastAsia" w:hAnsi="宋体" w:cs="宋体"/>
          <w:color w:val="auto"/>
          <w:highlight w:val="none"/>
        </w:rPr>
        <w:t>在发包人和承包人不能通过协商达成一致意见时，发包人授权监理人对以下事项进行确定：</w:t>
      </w:r>
    </w:p>
    <w:p w14:paraId="566284AB">
      <w:pPr>
        <w:autoSpaceDE w:val="0"/>
        <w:autoSpaceDN w:val="0"/>
        <w:adjustRightInd w:val="0"/>
        <w:spacing w:line="360" w:lineRule="auto"/>
        <w:ind w:firstLine="420" w:firstLineChars="200"/>
        <w:jc w:val="left"/>
        <w:rPr>
          <w:rFonts w:hint="eastAsia"/>
          <w:color w:val="auto"/>
          <w:highlight w:val="none"/>
          <w:u w:val="single"/>
          <w:lang w:eastAsia="zh-CN"/>
        </w:rPr>
      </w:pPr>
      <w:r>
        <w:rPr>
          <w:rFonts w:hint="eastAsia" w:hAnsi="宋体" w:cs="宋体"/>
          <w:color w:val="auto"/>
          <w:kern w:val="0"/>
          <w:highlight w:val="none"/>
          <w:lang w:eastAsia="zh-CN"/>
        </w:rPr>
        <w:t>(</w:t>
      </w:r>
      <w:r>
        <w:rPr>
          <w:color w:val="auto"/>
          <w:kern w:val="0"/>
          <w:highlight w:val="none"/>
        </w:rPr>
        <w:t>1</w:t>
      </w:r>
      <w:r>
        <w:rPr>
          <w:rFonts w:hint="eastAsia"/>
          <w:color w:val="auto"/>
          <w:kern w:val="0"/>
          <w:highlight w:val="none"/>
          <w:lang w:eastAsia="zh-CN"/>
        </w:rPr>
        <w:t>)</w:t>
      </w:r>
      <w:r>
        <w:rPr>
          <w:color w:val="auto"/>
          <w:highlight w:val="none"/>
          <w:u w:val="single"/>
        </w:rPr>
        <w:t xml:space="preserve"> </w:t>
      </w:r>
      <w:r>
        <w:rPr>
          <w:rFonts w:hint="eastAsia" w:ascii="宋体" w:hAnsi="宋体" w:eastAsia="宋体" w:cs="宋体"/>
          <w:color w:val="auto"/>
          <w:kern w:val="2"/>
          <w:sz w:val="21"/>
          <w:szCs w:val="21"/>
          <w:highlight w:val="none"/>
          <w:u w:val="single"/>
        </w:rPr>
        <w:t>工程质量的鉴定、验收</w:t>
      </w:r>
      <w:r>
        <w:rPr>
          <w:color w:val="auto"/>
          <w:highlight w:val="none"/>
          <w:u w:val="single"/>
        </w:rPr>
        <w:t xml:space="preserve"> </w:t>
      </w:r>
      <w:r>
        <w:rPr>
          <w:rFonts w:hint="eastAsia"/>
          <w:color w:val="auto"/>
          <w:highlight w:val="none"/>
          <w:u w:val="single"/>
          <w:lang w:eastAsia="zh-CN"/>
        </w:rPr>
        <w:t>；</w:t>
      </w:r>
    </w:p>
    <w:p w14:paraId="17EE89C2">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lang w:eastAsia="zh-CN"/>
        </w:rPr>
        <w:t>(</w:t>
      </w:r>
      <w:r>
        <w:rPr>
          <w:color w:val="auto"/>
          <w:kern w:val="0"/>
          <w:highlight w:val="none"/>
        </w:rPr>
        <w:t>2</w:t>
      </w:r>
      <w:r>
        <w:rPr>
          <w:rFonts w:hint="eastAsia"/>
          <w:color w:val="auto"/>
          <w:kern w:val="0"/>
          <w:highlight w:val="none"/>
          <w:lang w:eastAsia="zh-CN"/>
        </w:rPr>
        <w:t>)</w:t>
      </w:r>
      <w:r>
        <w:rPr>
          <w:color w:val="auto"/>
          <w:highlight w:val="none"/>
          <w:u w:val="single"/>
        </w:rPr>
        <w:t xml:space="preserve"> </w:t>
      </w:r>
      <w:r>
        <w:rPr>
          <w:rFonts w:hint="eastAsia" w:ascii="宋体" w:hAnsi="宋体" w:eastAsia="宋体" w:cs="宋体"/>
          <w:color w:val="auto"/>
          <w:szCs w:val="21"/>
          <w:highlight w:val="none"/>
          <w:u w:val="single"/>
        </w:rPr>
        <w:t>中间验收</w:t>
      </w:r>
      <w:r>
        <w:rPr>
          <w:rFonts w:hint="eastAsia"/>
          <w:color w:val="auto"/>
          <w:highlight w:val="none"/>
          <w:u w:val="single"/>
          <w:lang w:eastAsia="zh-CN"/>
        </w:rPr>
        <w:t>。</w:t>
      </w:r>
    </w:p>
    <w:p w14:paraId="30F08949">
      <w:pPr>
        <w:spacing w:line="360" w:lineRule="auto"/>
        <w:outlineLvl w:val="9"/>
        <w:rPr>
          <w:color w:val="auto"/>
          <w:highlight w:val="none"/>
        </w:rPr>
      </w:pPr>
      <w:bookmarkStart w:id="441" w:name="_Toc407135219"/>
      <w:bookmarkStart w:id="442" w:name="_Toc1603077308"/>
      <w:bookmarkStart w:id="443" w:name="_Toc389065283"/>
      <w:bookmarkStart w:id="444" w:name="_Toc78449805"/>
      <w:bookmarkStart w:id="445" w:name="_Toc7948"/>
      <w:bookmarkStart w:id="446" w:name="_Toc373227717"/>
      <w:bookmarkStart w:id="447" w:name="_Toc373478364"/>
      <w:bookmarkStart w:id="448" w:name="_Toc351203637"/>
      <w:r>
        <w:rPr>
          <w:color w:val="auto"/>
          <w:highlight w:val="none"/>
        </w:rPr>
        <w:t>5</w:t>
      </w:r>
      <w:bookmarkEnd w:id="440"/>
      <w:bookmarkStart w:id="449" w:name="_Toc296890991"/>
      <w:bookmarkStart w:id="450" w:name="_Toc296503163"/>
      <w:bookmarkStart w:id="451" w:name="_Toc296891203"/>
      <w:bookmarkStart w:id="452" w:name="_Toc296944502"/>
      <w:bookmarkStart w:id="453" w:name="_Toc297120463"/>
      <w:bookmarkStart w:id="454" w:name="_Toc296347162"/>
      <w:bookmarkStart w:id="455" w:name="_Toc297048349"/>
      <w:bookmarkStart w:id="456" w:name="_Toc292559367"/>
      <w:bookmarkStart w:id="457" w:name="_Toc292559872"/>
      <w:bookmarkStart w:id="458" w:name="_Toc296346664"/>
      <w:r>
        <w:rPr>
          <w:color w:val="auto"/>
          <w:highlight w:val="none"/>
        </w:rPr>
        <w:t xml:space="preserve">. </w:t>
      </w:r>
      <w:r>
        <w:rPr>
          <w:rFonts w:hint="eastAsia" w:hAnsi="宋体" w:cs="黑体"/>
          <w:color w:val="auto"/>
          <w:highlight w:val="none"/>
        </w:rPr>
        <w:t>工程质量</w:t>
      </w:r>
      <w:bookmarkEnd w:id="441"/>
      <w:bookmarkEnd w:id="442"/>
      <w:bookmarkEnd w:id="443"/>
      <w:bookmarkEnd w:id="444"/>
      <w:bookmarkEnd w:id="445"/>
      <w:bookmarkEnd w:id="446"/>
      <w:bookmarkEnd w:id="447"/>
      <w:bookmarkEnd w:id="448"/>
    </w:p>
    <w:p w14:paraId="5D2FA62D">
      <w:pPr>
        <w:spacing w:line="360" w:lineRule="auto"/>
        <w:outlineLvl w:val="9"/>
        <w:rPr>
          <w:color w:val="auto"/>
          <w:highlight w:val="none"/>
        </w:rPr>
      </w:pPr>
      <w:bookmarkStart w:id="459" w:name="_Toc389065284"/>
      <w:bookmarkStart w:id="460" w:name="_Toc407135220"/>
      <w:bookmarkStart w:id="461" w:name="_Toc14510"/>
      <w:bookmarkStart w:id="462" w:name="_Toc30160"/>
      <w:bookmarkStart w:id="463" w:name="_Toc78449806"/>
      <w:bookmarkStart w:id="464" w:name="_Toc1835421345"/>
      <w:bookmarkStart w:id="465" w:name="_Toc373227718"/>
      <w:bookmarkStart w:id="466" w:name="_Toc373478365"/>
      <w:r>
        <w:rPr>
          <w:color w:val="auto"/>
          <w:highlight w:val="none"/>
        </w:rPr>
        <w:t xml:space="preserve">5.1 </w:t>
      </w:r>
      <w:r>
        <w:rPr>
          <w:rFonts w:hint="eastAsia" w:hAnsi="宋体" w:cs="黑体"/>
          <w:color w:val="auto"/>
          <w:highlight w:val="none"/>
        </w:rPr>
        <w:t>质量要求</w:t>
      </w:r>
      <w:bookmarkEnd w:id="459"/>
      <w:bookmarkEnd w:id="460"/>
      <w:bookmarkEnd w:id="461"/>
      <w:bookmarkEnd w:id="462"/>
      <w:bookmarkEnd w:id="463"/>
      <w:bookmarkEnd w:id="464"/>
      <w:bookmarkEnd w:id="465"/>
      <w:bookmarkEnd w:id="466"/>
    </w:p>
    <w:p w14:paraId="3BF9FE38">
      <w:pPr>
        <w:spacing w:line="360" w:lineRule="auto"/>
        <w:ind w:firstLine="420" w:firstLineChars="200"/>
        <w:jc w:val="left"/>
        <w:rPr>
          <w:color w:val="auto"/>
          <w:highlight w:val="none"/>
          <w:u w:val="single"/>
        </w:rPr>
      </w:pPr>
      <w:r>
        <w:rPr>
          <w:color w:val="auto"/>
          <w:highlight w:val="none"/>
        </w:rPr>
        <w:t>5</w:t>
      </w:r>
      <w:bookmarkStart w:id="467" w:name="_Toc318581164"/>
      <w:bookmarkStart w:id="468" w:name="_Toc297216155"/>
      <w:bookmarkStart w:id="469" w:name="_Toc297123496"/>
      <w:bookmarkStart w:id="470" w:name="_Toc312677997"/>
      <w:bookmarkStart w:id="471" w:name="_Toc300934949"/>
      <w:bookmarkStart w:id="472" w:name="_Toc304295527"/>
      <w:bookmarkStart w:id="473" w:name="_Toc303539106"/>
      <w:r>
        <w:rPr>
          <w:color w:val="auto"/>
          <w:highlight w:val="none"/>
        </w:rPr>
        <w:t xml:space="preserve">.1.1 </w:t>
      </w:r>
      <w:r>
        <w:rPr>
          <w:rFonts w:hint="eastAsia" w:hAnsi="宋体" w:cs="宋体"/>
          <w:color w:val="auto"/>
          <w:highlight w:val="none"/>
        </w:rPr>
        <w:t>特殊质量标准和要求：</w:t>
      </w:r>
      <w:r>
        <w:rPr>
          <w:color w:val="auto"/>
          <w:highlight w:val="none"/>
          <w:u w:val="single"/>
        </w:rPr>
        <w:t xml:space="preserve">    </w:t>
      </w:r>
      <w:r>
        <w:rPr>
          <w:rFonts w:hint="eastAsia" w:ascii="宋体" w:hAnsi="宋体" w:eastAsia="宋体" w:cs="宋体"/>
          <w:color w:val="auto"/>
          <w:szCs w:val="21"/>
          <w:highlight w:val="none"/>
          <w:u w:val="single"/>
        </w:rPr>
        <w:t xml:space="preserve"> /  </w:t>
      </w:r>
      <w:r>
        <w:rPr>
          <w:color w:val="auto"/>
          <w:highlight w:val="none"/>
          <w:u w:val="single"/>
        </w:rPr>
        <w:t xml:space="preserve">             </w:t>
      </w:r>
      <w:r>
        <w:rPr>
          <w:rFonts w:hint="eastAsia" w:hAnsi="宋体" w:cs="宋体"/>
          <w:color w:val="auto"/>
          <w:highlight w:val="none"/>
        </w:rPr>
        <w:t>。</w:t>
      </w:r>
    </w:p>
    <w:p w14:paraId="5D7BA360">
      <w:pPr>
        <w:spacing w:line="360" w:lineRule="auto"/>
        <w:ind w:firstLine="420" w:firstLineChars="200"/>
        <w:jc w:val="left"/>
        <w:rPr>
          <w:color w:val="auto"/>
          <w:highlight w:val="none"/>
        </w:rPr>
      </w:pPr>
      <w:r>
        <w:rPr>
          <w:rFonts w:hint="eastAsia" w:hAnsi="宋体" w:cs="宋体"/>
          <w:color w:val="auto"/>
          <w:highlight w:val="none"/>
        </w:rPr>
        <w:t>关于工程奖项的约定：</w:t>
      </w:r>
      <w:r>
        <w:rPr>
          <w:color w:val="auto"/>
          <w:highlight w:val="none"/>
        </w:rPr>
        <w:t xml:space="preserve"> </w:t>
      </w:r>
      <w:r>
        <w:rPr>
          <w:rFonts w:hint="eastAsia"/>
          <w:color w:val="auto"/>
          <w:highlight w:val="none"/>
        </w:rPr>
        <w:t>如果</w:t>
      </w:r>
      <w:r>
        <w:rPr>
          <w:color w:val="auto"/>
          <w:highlight w:val="none"/>
        </w:rPr>
        <w:t>工程获得</w:t>
      </w:r>
      <w:r>
        <w:rPr>
          <w:rFonts w:hint="eastAsia"/>
          <w:color w:val="auto"/>
          <w:highlight w:val="none"/>
          <w:u w:val="single"/>
        </w:rPr>
        <w:t xml:space="preserve">    </w:t>
      </w:r>
      <w:r>
        <w:rPr>
          <w:rFonts w:hint="eastAsia" w:ascii="宋体" w:hAnsi="宋体" w:eastAsia="宋体" w:cs="宋体"/>
          <w:color w:val="auto"/>
          <w:szCs w:val="21"/>
          <w:highlight w:val="none"/>
          <w:u w:val="single"/>
        </w:rPr>
        <w:t xml:space="preserve"> /  </w:t>
      </w:r>
      <w:r>
        <w:rPr>
          <w:rFonts w:hint="eastAsia"/>
          <w:color w:val="auto"/>
          <w:highlight w:val="none"/>
          <w:u w:val="single"/>
        </w:rPr>
        <w:t xml:space="preserve">  （奖项名称）</w:t>
      </w:r>
      <w:r>
        <w:rPr>
          <w:rFonts w:hint="eastAsia"/>
          <w:color w:val="auto"/>
          <w:highlight w:val="none"/>
        </w:rPr>
        <w:t>，</w:t>
      </w:r>
      <w:r>
        <w:rPr>
          <w:rFonts w:hint="eastAsia"/>
          <w:color w:val="auto"/>
          <w:highlight w:val="none"/>
          <w:lang w:eastAsia="zh-CN"/>
        </w:rPr>
        <w:t>结算时按工程量清单</w:t>
      </w:r>
      <w:r>
        <w:rPr>
          <w:rFonts w:hint="eastAsia" w:hAnsi="宋体" w:cs="宋体"/>
          <w:color w:val="auto"/>
          <w:highlight w:val="none"/>
          <w:lang w:eastAsia="zh-CN"/>
        </w:rPr>
        <w:t>暂列金额表中的优良工程增加费计取</w:t>
      </w:r>
      <w:r>
        <w:rPr>
          <w:rFonts w:hint="eastAsia" w:hAnsi="宋体" w:cs="宋体"/>
          <w:color w:val="auto"/>
          <w:highlight w:val="none"/>
        </w:rPr>
        <w:t>。</w:t>
      </w:r>
    </w:p>
    <w:p w14:paraId="7795DB70">
      <w:pPr>
        <w:spacing w:line="360" w:lineRule="auto"/>
        <w:ind w:firstLine="420" w:firstLineChars="200"/>
        <w:jc w:val="left"/>
        <w:rPr>
          <w:color w:val="auto"/>
          <w:highlight w:val="none"/>
        </w:rPr>
      </w:pPr>
      <w:r>
        <w:rPr>
          <w:color w:val="auto"/>
          <w:highlight w:val="none"/>
        </w:rPr>
        <w:t xml:space="preserve">5.3 </w:t>
      </w:r>
      <w:r>
        <w:rPr>
          <w:rFonts w:hint="eastAsia" w:hAnsi="宋体" w:cs="宋体"/>
          <w:color w:val="auto"/>
          <w:highlight w:val="none"/>
        </w:rPr>
        <w:t>隐蔽工程检查</w:t>
      </w:r>
    </w:p>
    <w:p w14:paraId="4E2A15FB">
      <w:pPr>
        <w:spacing w:line="360" w:lineRule="auto"/>
        <w:ind w:firstLine="420" w:firstLineChars="200"/>
        <w:jc w:val="left"/>
        <w:rPr>
          <w:color w:val="auto"/>
          <w:highlight w:val="none"/>
          <w:u w:val="single"/>
        </w:rPr>
      </w:pPr>
      <w:r>
        <w:rPr>
          <w:color w:val="auto"/>
          <w:highlight w:val="none"/>
        </w:rPr>
        <w:t>5.3.2</w:t>
      </w:r>
      <w:r>
        <w:rPr>
          <w:rFonts w:hint="eastAsia" w:hAnsi="宋体" w:cs="宋体"/>
          <w:color w:val="auto"/>
          <w:highlight w:val="none"/>
        </w:rPr>
        <w:t>承包人提前通知监理人隐蔽工程检查的期限的约定：工程隐蔽或中间验收前</w:t>
      </w:r>
      <w:r>
        <w:rPr>
          <w:color w:val="auto"/>
          <w:highlight w:val="none"/>
        </w:rPr>
        <w:t>12</w:t>
      </w:r>
      <w:r>
        <w:rPr>
          <w:rFonts w:hint="eastAsia" w:hAnsi="宋体" w:cs="宋体"/>
          <w:color w:val="auto"/>
          <w:highlight w:val="none"/>
        </w:rPr>
        <w:t>小时以书面形式通知发包人和监理工程师验收的内容、时间、地点，承包人准备验收记录单（最好是印制的表格）由双方签证。验收合格，承包人可进行隐蔽和继续施工；验收不合格，双方</w:t>
      </w:r>
      <w:r>
        <w:rPr>
          <w:rFonts w:hint="eastAsia" w:hAnsi="宋体" w:cs="宋体"/>
          <w:color w:val="auto"/>
          <w:highlight w:val="none"/>
          <w:lang w:eastAsia="zh-CN"/>
        </w:rPr>
        <w:t>商定</w:t>
      </w:r>
      <w:r>
        <w:rPr>
          <w:rFonts w:hint="eastAsia" w:hAnsi="宋体" w:cs="宋体"/>
          <w:color w:val="auto"/>
          <w:highlight w:val="none"/>
        </w:rPr>
        <w:t>时限内修改后按上述</w:t>
      </w:r>
      <w:r>
        <w:rPr>
          <w:rFonts w:hint="eastAsia" w:hAnsi="宋体" w:cs="宋体"/>
          <w:color w:val="auto"/>
          <w:highlight w:val="none"/>
          <w:lang w:eastAsia="zh-CN"/>
        </w:rPr>
        <w:t>顺序</w:t>
      </w:r>
      <w:r>
        <w:rPr>
          <w:rFonts w:hint="eastAsia" w:hAnsi="宋体" w:cs="宋体"/>
          <w:color w:val="auto"/>
          <w:highlight w:val="none"/>
        </w:rPr>
        <w:t>重新验收。</w:t>
      </w:r>
    </w:p>
    <w:p w14:paraId="07B6E517">
      <w:pPr>
        <w:spacing w:line="360" w:lineRule="auto"/>
        <w:ind w:firstLine="420" w:firstLineChars="200"/>
        <w:jc w:val="left"/>
        <w:rPr>
          <w:color w:val="auto"/>
          <w:highlight w:val="none"/>
        </w:rPr>
      </w:pPr>
      <w:r>
        <w:rPr>
          <w:rFonts w:hint="eastAsia" w:hAnsi="宋体" w:cs="宋体"/>
          <w:color w:val="auto"/>
          <w:highlight w:val="none"/>
        </w:rPr>
        <w:t>监理人不能按时进行检查时，应提前</w:t>
      </w:r>
      <w:r>
        <w:rPr>
          <w:color w:val="auto"/>
          <w:highlight w:val="none"/>
          <w:u w:val="single"/>
        </w:rPr>
        <w:t xml:space="preserve">  </w:t>
      </w:r>
      <w:r>
        <w:rPr>
          <w:rFonts w:hint="eastAsia"/>
          <w:color w:val="auto"/>
          <w:highlight w:val="none"/>
          <w:u w:val="single"/>
          <w:lang w:val="en-US" w:eastAsia="zh-CN"/>
        </w:rPr>
        <w:t>24</w:t>
      </w:r>
      <w:r>
        <w:rPr>
          <w:color w:val="auto"/>
          <w:highlight w:val="none"/>
          <w:u w:val="single"/>
        </w:rPr>
        <w:t xml:space="preserve">  </w:t>
      </w:r>
      <w:r>
        <w:rPr>
          <w:rFonts w:hint="eastAsia" w:hAnsi="宋体" w:cs="宋体"/>
          <w:color w:val="auto"/>
          <w:highlight w:val="none"/>
        </w:rPr>
        <w:t>小时提交书面延期要求。</w:t>
      </w:r>
    </w:p>
    <w:p w14:paraId="638F4730">
      <w:pPr>
        <w:spacing w:line="360" w:lineRule="auto"/>
        <w:ind w:firstLine="420" w:firstLineChars="200"/>
        <w:jc w:val="left"/>
        <w:rPr>
          <w:color w:val="auto"/>
          <w:highlight w:val="none"/>
        </w:rPr>
      </w:pPr>
      <w:r>
        <w:rPr>
          <w:rFonts w:hint="eastAsia" w:hAnsi="宋体" w:cs="宋体"/>
          <w:color w:val="auto"/>
          <w:highlight w:val="none"/>
        </w:rPr>
        <w:t>关于延期最长不得超过：</w:t>
      </w:r>
      <w:r>
        <w:rPr>
          <w:color w:val="auto"/>
          <w:highlight w:val="none"/>
          <w:u w:val="single"/>
        </w:rPr>
        <w:t xml:space="preserve">  </w:t>
      </w:r>
      <w:r>
        <w:rPr>
          <w:rFonts w:hint="eastAsia"/>
          <w:color w:val="auto"/>
          <w:highlight w:val="none"/>
          <w:u w:val="single"/>
          <w:lang w:val="en-US" w:eastAsia="zh-CN"/>
        </w:rPr>
        <w:t>48</w:t>
      </w:r>
      <w:r>
        <w:rPr>
          <w:color w:val="auto"/>
          <w:highlight w:val="none"/>
          <w:u w:val="single"/>
        </w:rPr>
        <w:t xml:space="preserve">  </w:t>
      </w:r>
      <w:r>
        <w:rPr>
          <w:rFonts w:hint="eastAsia" w:hAnsi="宋体" w:cs="宋体"/>
          <w:color w:val="auto"/>
          <w:highlight w:val="none"/>
        </w:rPr>
        <w:t>小时。</w:t>
      </w:r>
    </w:p>
    <w:p w14:paraId="67341617">
      <w:pPr>
        <w:spacing w:line="360" w:lineRule="auto"/>
        <w:outlineLvl w:val="9"/>
        <w:rPr>
          <w:color w:val="auto"/>
          <w:highlight w:val="none"/>
        </w:rPr>
      </w:pPr>
      <w:bookmarkStart w:id="474" w:name="_Toc12794"/>
      <w:bookmarkStart w:id="475" w:name="_Toc351203638"/>
      <w:bookmarkStart w:id="476" w:name="_Toc703841976"/>
      <w:bookmarkStart w:id="477" w:name="_Toc407135221"/>
      <w:bookmarkStart w:id="478" w:name="_Toc78449807"/>
      <w:bookmarkStart w:id="479" w:name="_Toc373227719"/>
      <w:bookmarkStart w:id="480" w:name="_Toc373478366"/>
      <w:bookmarkStart w:id="481" w:name="_Toc389065285"/>
      <w:r>
        <w:rPr>
          <w:color w:val="auto"/>
          <w:highlight w:val="none"/>
        </w:rPr>
        <w:t xml:space="preserve">6. </w:t>
      </w:r>
      <w:r>
        <w:rPr>
          <w:rFonts w:hint="eastAsia" w:cs="黑体"/>
          <w:color w:val="auto"/>
          <w:highlight w:val="none"/>
        </w:rPr>
        <w:t>安全文明施工与环境保护</w:t>
      </w:r>
      <w:bookmarkEnd w:id="474"/>
      <w:bookmarkEnd w:id="475"/>
      <w:bookmarkEnd w:id="476"/>
      <w:bookmarkEnd w:id="477"/>
      <w:bookmarkEnd w:id="478"/>
      <w:bookmarkEnd w:id="479"/>
      <w:bookmarkEnd w:id="480"/>
      <w:bookmarkEnd w:id="481"/>
    </w:p>
    <w:p w14:paraId="59D35077">
      <w:pPr>
        <w:spacing w:line="360" w:lineRule="auto"/>
        <w:outlineLvl w:val="9"/>
        <w:rPr>
          <w:color w:val="auto"/>
          <w:highlight w:val="none"/>
        </w:rPr>
      </w:pPr>
      <w:bookmarkStart w:id="482" w:name="_Toc29946"/>
      <w:bookmarkStart w:id="483" w:name="_Toc78449808"/>
      <w:bookmarkStart w:id="484" w:name="_Toc389065286"/>
      <w:bookmarkStart w:id="485" w:name="_Toc373227720"/>
      <w:bookmarkStart w:id="486" w:name="_Toc180514231"/>
      <w:bookmarkStart w:id="487" w:name="_Toc407135222"/>
      <w:bookmarkStart w:id="488" w:name="_Toc9202"/>
      <w:bookmarkStart w:id="489" w:name="_Toc373478367"/>
      <w:r>
        <w:rPr>
          <w:color w:val="auto"/>
          <w:highlight w:val="none"/>
        </w:rPr>
        <w:t xml:space="preserve">6.1 </w:t>
      </w:r>
      <w:r>
        <w:rPr>
          <w:rFonts w:hint="eastAsia" w:cs="黑体"/>
          <w:color w:val="auto"/>
          <w:highlight w:val="none"/>
        </w:rPr>
        <w:t>安全文明施工</w:t>
      </w:r>
      <w:bookmarkEnd w:id="482"/>
      <w:bookmarkEnd w:id="483"/>
      <w:bookmarkEnd w:id="484"/>
      <w:bookmarkEnd w:id="485"/>
      <w:bookmarkEnd w:id="486"/>
      <w:bookmarkEnd w:id="487"/>
      <w:bookmarkEnd w:id="488"/>
      <w:bookmarkEnd w:id="489"/>
    </w:p>
    <w:p w14:paraId="7D2D0F67">
      <w:pPr>
        <w:spacing w:line="360" w:lineRule="auto"/>
        <w:ind w:firstLine="420" w:firstLineChars="200"/>
        <w:jc w:val="left"/>
        <w:rPr>
          <w:rFonts w:hAnsi="宋体"/>
          <w:color w:val="auto"/>
          <w:highlight w:val="none"/>
        </w:rPr>
      </w:pPr>
      <w:r>
        <w:rPr>
          <w:color w:val="auto"/>
          <w:highlight w:val="none"/>
        </w:rPr>
        <w:t xml:space="preserve">6.1.1 </w:t>
      </w:r>
      <w:r>
        <w:rPr>
          <w:rFonts w:hint="eastAsia" w:hAnsi="宋体" w:cs="宋体"/>
          <w:color w:val="auto"/>
          <w:highlight w:val="none"/>
        </w:rPr>
        <w:t>项目安全生产的达标目标及相应事项的约定：</w:t>
      </w:r>
      <w:r>
        <w:rPr>
          <w:color w:val="auto"/>
          <w:highlight w:val="none"/>
          <w:u w:val="single"/>
        </w:rPr>
        <w:t xml:space="preserve"> </w:t>
      </w:r>
      <w:r>
        <w:rPr>
          <w:rFonts w:hint="eastAsia" w:ascii="宋体" w:hAnsi="宋体" w:eastAsia="宋体" w:cs="宋体"/>
          <w:color w:val="auto"/>
          <w:kern w:val="2"/>
          <w:sz w:val="21"/>
          <w:szCs w:val="21"/>
          <w:highlight w:val="none"/>
          <w:u w:val="single"/>
        </w:rPr>
        <w:t>承包人应制定《房屋建筑和市政基础设施工程施工扬尘控制工作方案》、《房屋建筑和市政基础设施工程现场文明施工标准》等相关规定并履行好施工扬尘控制、文明施工等责任，承包人必须按照国家环保部门及相关环境管理部门的扬尘治理相关规定和现行规范执行，如未达到国家环保部门及相关环境管理部门的规定及规范要求，则按照现行相关规定进行处罚，且发包人有权追究相应责任并要求整改。承包人需自行办理的有关施工场地交通、环卫和施工噪音管理等手续，并应符合国家相关规定，并自行承担其费用</w:t>
      </w:r>
      <w:r>
        <w:rPr>
          <w:rFonts w:hint="eastAsia" w:hAnsi="宋体" w:cs="宋体"/>
          <w:color w:val="auto"/>
          <w:highlight w:val="none"/>
        </w:rPr>
        <w:t>。</w:t>
      </w:r>
    </w:p>
    <w:p w14:paraId="712F0C84">
      <w:pPr>
        <w:spacing w:line="360" w:lineRule="auto"/>
        <w:ind w:firstLine="420" w:firstLineChars="200"/>
        <w:jc w:val="left"/>
        <w:rPr>
          <w:color w:val="auto"/>
          <w:highlight w:val="none"/>
        </w:rPr>
      </w:pPr>
      <w:r>
        <w:rPr>
          <w:rFonts w:hint="eastAsia" w:hAnsi="宋体" w:cs="宋体"/>
          <w:color w:val="auto"/>
          <w:highlight w:val="none"/>
        </w:rPr>
        <w:t>关于安全文明施工奖项的约定：</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highlight w:val="none"/>
        </w:rPr>
        <w:t>。</w:t>
      </w:r>
    </w:p>
    <w:p w14:paraId="2F1A3C1F">
      <w:pPr>
        <w:spacing w:line="360" w:lineRule="auto"/>
        <w:ind w:firstLine="420" w:firstLineChars="200"/>
        <w:jc w:val="left"/>
        <w:rPr>
          <w:color w:val="auto"/>
          <w:highlight w:val="none"/>
          <w:u w:val="single"/>
        </w:rPr>
      </w:pPr>
      <w:r>
        <w:rPr>
          <w:color w:val="auto"/>
          <w:highlight w:val="none"/>
        </w:rPr>
        <w:t xml:space="preserve">6.1.4 </w:t>
      </w:r>
      <w:r>
        <w:rPr>
          <w:rFonts w:hint="eastAsia" w:hAnsi="宋体" w:cs="宋体"/>
          <w:color w:val="auto"/>
          <w:highlight w:val="none"/>
        </w:rPr>
        <w:t>关于治安保卫的特别约定：</w:t>
      </w:r>
      <w:r>
        <w:rPr>
          <w:rFonts w:hint="eastAsia" w:hAnsi="宋体" w:cs="宋体"/>
          <w:color w:val="auto"/>
          <w:highlight w:val="none"/>
          <w:u w:val="single"/>
        </w:rPr>
        <w:t>承包人应承担施工安全保卫工作及非夜间施工照明的责任，承包人应采取一切合理的预防措施，防止人员伤亡、财产损失事故，费用由承包人承担。承包人生活设施及施</w:t>
      </w:r>
      <w:r>
        <w:rPr>
          <w:rFonts w:hint="eastAsia" w:hAnsi="宋体" w:cs="宋体"/>
          <w:color w:val="auto"/>
          <w:highlight w:val="none"/>
          <w:u w:val="single"/>
          <w:lang w:eastAsia="zh-CN"/>
        </w:rPr>
        <w:t>工现</w:t>
      </w:r>
      <w:r>
        <w:rPr>
          <w:rFonts w:hint="eastAsia" w:hAnsi="宋体" w:cs="宋体"/>
          <w:color w:val="auto"/>
          <w:highlight w:val="none"/>
          <w:u w:val="single"/>
        </w:rPr>
        <w:t>场应自费配备消防设备，防止火灾发生。</w:t>
      </w:r>
    </w:p>
    <w:p w14:paraId="6EF412CA">
      <w:pPr>
        <w:spacing w:line="360" w:lineRule="auto"/>
        <w:ind w:firstLine="420" w:firstLineChars="200"/>
        <w:jc w:val="left"/>
        <w:rPr>
          <w:color w:val="auto"/>
          <w:highlight w:val="none"/>
        </w:rPr>
      </w:pPr>
      <w:r>
        <w:rPr>
          <w:rFonts w:hint="eastAsia" w:hAnsi="宋体" w:cs="宋体"/>
          <w:color w:val="auto"/>
          <w:highlight w:val="none"/>
        </w:rPr>
        <w:t>关于编制施工场地治安管理计划的约定：</w:t>
      </w:r>
      <w:r>
        <w:rPr>
          <w:color w:val="auto"/>
          <w:highlight w:val="none"/>
          <w:u w:val="single"/>
        </w:rPr>
        <w:t xml:space="preserve">  </w:t>
      </w:r>
      <w:r>
        <w:rPr>
          <w:rFonts w:hint="eastAsia" w:ascii="宋体" w:hAnsi="宋体" w:eastAsia="宋体" w:cs="宋体"/>
          <w:color w:val="auto"/>
          <w:szCs w:val="21"/>
          <w:highlight w:val="none"/>
          <w:u w:val="single"/>
        </w:rPr>
        <w:t>承包人在图纸会审和设计交底之日起7天内报送</w:t>
      </w:r>
      <w:r>
        <w:rPr>
          <w:color w:val="auto"/>
          <w:highlight w:val="none"/>
          <w:u w:val="single"/>
        </w:rPr>
        <w:t xml:space="preserve"> </w:t>
      </w:r>
      <w:r>
        <w:rPr>
          <w:rFonts w:hint="eastAsia" w:hAnsi="宋体" w:cs="宋体"/>
          <w:color w:val="auto"/>
          <w:highlight w:val="none"/>
        </w:rPr>
        <w:t>。</w:t>
      </w:r>
    </w:p>
    <w:p w14:paraId="1C76F160">
      <w:pPr>
        <w:spacing w:line="360" w:lineRule="auto"/>
        <w:ind w:firstLine="420" w:firstLineChars="200"/>
        <w:jc w:val="left"/>
        <w:rPr>
          <w:color w:val="auto"/>
          <w:highlight w:val="none"/>
        </w:rPr>
      </w:pPr>
      <w:r>
        <w:rPr>
          <w:color w:val="auto"/>
          <w:highlight w:val="none"/>
        </w:rPr>
        <w:t xml:space="preserve">6.1.5 </w:t>
      </w:r>
      <w:r>
        <w:rPr>
          <w:rFonts w:hint="eastAsia" w:hAnsi="宋体" w:cs="宋体"/>
          <w:color w:val="auto"/>
          <w:highlight w:val="none"/>
        </w:rPr>
        <w:t>文明施工</w:t>
      </w:r>
    </w:p>
    <w:p w14:paraId="0F37E0FA">
      <w:pPr>
        <w:spacing w:line="360" w:lineRule="auto"/>
        <w:ind w:firstLine="420" w:firstLineChars="200"/>
        <w:jc w:val="left"/>
        <w:rPr>
          <w:color w:val="auto"/>
          <w:highlight w:val="none"/>
        </w:rPr>
      </w:pPr>
      <w:r>
        <w:rPr>
          <w:rFonts w:hint="eastAsia" w:hAnsi="宋体" w:cs="宋体"/>
          <w:color w:val="auto"/>
          <w:highlight w:val="none"/>
        </w:rPr>
        <w:t>合同当事人对文明施工的要求：</w:t>
      </w:r>
      <w:r>
        <w:rPr>
          <w:color w:val="auto"/>
          <w:highlight w:val="none"/>
          <w:u w:val="single"/>
        </w:rPr>
        <w:t xml:space="preserve"> </w:t>
      </w:r>
      <w:r>
        <w:rPr>
          <w:rFonts w:hint="eastAsia"/>
          <w:color w:val="auto"/>
          <w:highlight w:val="none"/>
          <w:u w:val="single"/>
        </w:rPr>
        <w:t>建筑垃圾排放量达到行政区域内要求</w:t>
      </w:r>
      <w:r>
        <w:rPr>
          <w:rFonts w:hint="eastAsia"/>
          <w:color w:val="auto"/>
          <w:highlight w:val="none"/>
          <w:u w:val="single"/>
          <w:lang w:eastAsia="zh-CN"/>
        </w:rPr>
        <w:t>，</w:t>
      </w:r>
      <w:r>
        <w:rPr>
          <w:color w:val="auto"/>
          <w:highlight w:val="none"/>
          <w:u w:val="single"/>
        </w:rPr>
        <w:t xml:space="preserve"> </w:t>
      </w:r>
      <w:r>
        <w:rPr>
          <w:rFonts w:hint="eastAsia"/>
          <w:color w:val="auto"/>
          <w:highlight w:val="none"/>
          <w:u w:val="single"/>
          <w:lang w:val="en-US" w:eastAsia="zh-CN"/>
        </w:rPr>
        <w:t>施工</w:t>
      </w:r>
      <w:r>
        <w:rPr>
          <w:rFonts w:hint="eastAsia" w:ascii="宋体" w:hAnsi="宋体" w:eastAsia="宋体" w:cs="宋体"/>
          <w:color w:val="auto"/>
          <w:szCs w:val="21"/>
          <w:highlight w:val="none"/>
          <w:u w:val="single"/>
        </w:rPr>
        <w:t>要求达到《建筑施工安全检查标准》（JGJ59-2011）的标准和符合《广西壮族自治区建设工程安全文明施工费使用管理细则》（桂建质〔2015〕16号）的要求</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承包人需自行办理的有关施工场地交通、环卫和施工噪音管理等手续，并应符合国家相关规定，并自行承担其费用；对施工中的地上地下建筑物（构筑物）管线、电力设施等应按有关规定加强监控测量和保护，相应的费用由发包人承担，因保护不当造成的损失及法律责任由责任人承担；环境保护工作由承包人全权负责，执行国家和地方相关规定。施工现场内不得随地抛洒剩饭及生活垃圾等，更不能将其随意倒至施工区外，施工区内不得随处大小便。做到工完场地清；施工机械设备进场前，应做好清洁、保养和维护工作。出场车辆应有专人打扫、清洗。有密封要求的按规定必须达到；施工期间必须保证周边单位的正常工作及居民的正常生活，尽量减少粉尘、噪声、振动等污染的扰民。必须按市委、市人大、市政府及有关部门的临时要求，调整作业方式，停止高粉尘、高噪音作业或爆破作业等；保证周围建(构)筑物、地下及地上管线、地下人防等设施安全；做到进入现场的施工和作业人员，配证上岗，文明施工；按规定做好施工区域封闭及场地硬化工作，施工围墙(围挡)等维护设施应安全、美观、耐久，非施工相关人员不许入内</w:t>
      </w:r>
      <w:r>
        <w:rPr>
          <w:rFonts w:hint="eastAsia" w:cs="宋体"/>
          <w:color w:val="auto"/>
          <w:highlight w:val="none"/>
        </w:rPr>
        <w:t>。</w:t>
      </w:r>
    </w:p>
    <w:p w14:paraId="0D793E52">
      <w:pPr>
        <w:spacing w:line="360" w:lineRule="auto"/>
        <w:ind w:firstLine="420" w:firstLineChars="200"/>
        <w:jc w:val="left"/>
        <w:rPr>
          <w:rFonts w:hAnsi="宋体"/>
          <w:color w:val="auto"/>
          <w:highlight w:val="none"/>
        </w:rPr>
      </w:pPr>
      <w:r>
        <w:rPr>
          <w:color w:val="auto"/>
          <w:highlight w:val="none"/>
        </w:rPr>
        <w:t>6.1.6</w:t>
      </w:r>
      <w:r>
        <w:rPr>
          <w:rFonts w:hAnsi="宋体" w:cs="宋体"/>
          <w:color w:val="auto"/>
          <w:kern w:val="0"/>
          <w:highlight w:val="none"/>
        </w:rPr>
        <w:t>关于安全</w:t>
      </w:r>
      <w:r>
        <w:rPr>
          <w:rFonts w:hint="eastAsia" w:hAnsi="宋体" w:cs="宋体"/>
          <w:color w:val="auto"/>
          <w:kern w:val="0"/>
          <w:highlight w:val="none"/>
        </w:rPr>
        <w:t>生产</w:t>
      </w:r>
      <w:r>
        <w:rPr>
          <w:rFonts w:hAnsi="宋体" w:cs="宋体"/>
          <w:color w:val="auto"/>
          <w:kern w:val="0"/>
          <w:highlight w:val="none"/>
        </w:rPr>
        <w:t>费</w:t>
      </w:r>
      <w:r>
        <w:rPr>
          <w:rFonts w:hint="eastAsia" w:hAnsi="宋体" w:cs="宋体"/>
          <w:color w:val="auto"/>
          <w:kern w:val="0"/>
          <w:highlight w:val="none"/>
        </w:rPr>
        <w:t>总额、</w:t>
      </w:r>
      <w:r>
        <w:rPr>
          <w:rFonts w:hAnsi="宋体" w:cs="宋体"/>
          <w:color w:val="auto"/>
          <w:kern w:val="0"/>
          <w:highlight w:val="none"/>
        </w:rPr>
        <w:t>支付比例</w:t>
      </w:r>
      <w:r>
        <w:rPr>
          <w:rFonts w:hint="eastAsia" w:hAnsi="宋体" w:cs="宋体"/>
          <w:color w:val="auto"/>
          <w:kern w:val="0"/>
          <w:highlight w:val="none"/>
        </w:rPr>
        <w:t>、</w:t>
      </w:r>
      <w:r>
        <w:rPr>
          <w:rFonts w:hAnsi="宋体" w:cs="宋体"/>
          <w:color w:val="auto"/>
          <w:kern w:val="0"/>
          <w:highlight w:val="none"/>
        </w:rPr>
        <w:t>支付期限</w:t>
      </w:r>
      <w:r>
        <w:rPr>
          <w:rFonts w:hint="eastAsia" w:hAnsi="宋体" w:cs="宋体"/>
          <w:color w:val="auto"/>
          <w:kern w:val="0"/>
          <w:highlight w:val="none"/>
        </w:rPr>
        <w:t>、转入和结余收回</w:t>
      </w:r>
      <w:r>
        <w:rPr>
          <w:rFonts w:hAnsi="宋体" w:cs="宋体"/>
          <w:color w:val="auto"/>
          <w:kern w:val="0"/>
          <w:highlight w:val="none"/>
        </w:rPr>
        <w:t>的约定：</w:t>
      </w:r>
    </w:p>
    <w:p w14:paraId="4E225E6E">
      <w:pPr>
        <w:autoSpaceDE w:val="0"/>
        <w:autoSpaceDN w:val="0"/>
        <w:adjustRightInd w:val="0"/>
        <w:spacing w:line="360" w:lineRule="auto"/>
        <w:ind w:firstLine="420" w:firstLineChars="200"/>
        <w:jc w:val="left"/>
        <w:rPr>
          <w:rFonts w:hAnsi="宋体"/>
          <w:color w:val="auto"/>
          <w:kern w:val="0"/>
          <w:highlight w:val="none"/>
        </w:rPr>
      </w:pPr>
      <w:r>
        <w:rPr>
          <w:rFonts w:hint="eastAsia" w:hAnsi="宋体" w:cs="宋体"/>
          <w:color w:val="auto"/>
          <w:kern w:val="0"/>
          <w:highlight w:val="none"/>
        </w:rPr>
        <w:t>（</w:t>
      </w:r>
      <w:r>
        <w:rPr>
          <w:rFonts w:hAnsi="宋体"/>
          <w:color w:val="auto"/>
          <w:kern w:val="0"/>
          <w:highlight w:val="none"/>
        </w:rPr>
        <w:t>1</w:t>
      </w:r>
      <w:r>
        <w:rPr>
          <w:rFonts w:hint="eastAsia" w:hAnsi="宋体" w:cs="宋体"/>
          <w:color w:val="auto"/>
          <w:kern w:val="0"/>
          <w:highlight w:val="none"/>
        </w:rPr>
        <w:t>）本合同价款已包含</w:t>
      </w:r>
      <w:r>
        <w:rPr>
          <w:rFonts w:hint="eastAsia" w:hAnsi="宋体" w:cs="宋体"/>
          <w:color w:val="auto"/>
          <w:kern w:val="0"/>
          <w:highlight w:val="none"/>
          <w:lang w:eastAsia="zh-CN"/>
        </w:rPr>
        <w:t>安全生产费</w:t>
      </w:r>
      <w:r>
        <w:rPr>
          <w:rFonts w:hAnsi="宋体"/>
          <w:color w:val="auto"/>
          <w:kern w:val="0"/>
          <w:highlight w:val="none"/>
          <w:u w:val="single"/>
        </w:rPr>
        <w:t xml:space="preserve">           </w:t>
      </w:r>
      <w:r>
        <w:rPr>
          <w:rFonts w:hint="eastAsia" w:hAnsi="宋体" w:cs="宋体"/>
          <w:color w:val="auto"/>
          <w:kern w:val="0"/>
          <w:highlight w:val="none"/>
        </w:rPr>
        <w:t>元。</w:t>
      </w:r>
    </w:p>
    <w:p w14:paraId="374F2C2A">
      <w:pPr>
        <w:autoSpaceDE w:val="0"/>
        <w:autoSpaceDN w:val="0"/>
        <w:adjustRightInd w:val="0"/>
        <w:spacing w:line="360" w:lineRule="auto"/>
        <w:ind w:firstLine="420" w:firstLineChars="200"/>
        <w:jc w:val="left"/>
        <w:rPr>
          <w:rFonts w:hAnsi="宋体"/>
          <w:color w:val="auto"/>
          <w:kern w:val="0"/>
          <w:highlight w:val="none"/>
        </w:rPr>
      </w:pPr>
      <w:r>
        <w:rPr>
          <w:rFonts w:hint="eastAsia" w:hAnsi="宋体" w:cs="宋体"/>
          <w:color w:val="auto"/>
          <w:kern w:val="0"/>
          <w:highlight w:val="none"/>
        </w:rPr>
        <w:t>（</w:t>
      </w:r>
      <w:r>
        <w:rPr>
          <w:rFonts w:hAnsi="宋体"/>
          <w:color w:val="auto"/>
          <w:kern w:val="0"/>
          <w:highlight w:val="none"/>
        </w:rPr>
        <w:t>2</w:t>
      </w:r>
      <w:r>
        <w:rPr>
          <w:rFonts w:hint="eastAsia" w:hAnsi="宋体" w:cs="宋体"/>
          <w:color w:val="auto"/>
          <w:kern w:val="0"/>
          <w:highlight w:val="none"/>
        </w:rPr>
        <w:t>）使用要求：专款专用。具体按</w:t>
      </w:r>
      <w:r>
        <w:rPr>
          <w:rFonts w:hint="eastAsia" w:hAnsi="宋体" w:cs="宋体"/>
          <w:color w:val="auto"/>
          <w:kern w:val="0"/>
          <w:highlight w:val="none"/>
          <w:u w:val="single"/>
        </w:rPr>
        <w:t>《广西壮族自治区建设工程安全文明施工费使用管理细则》（桂建质〔</w:t>
      </w:r>
      <w:r>
        <w:rPr>
          <w:rFonts w:hAnsi="宋体"/>
          <w:color w:val="auto"/>
          <w:kern w:val="0"/>
          <w:highlight w:val="none"/>
          <w:u w:val="single"/>
        </w:rPr>
        <w:t>2015</w:t>
      </w:r>
      <w:r>
        <w:rPr>
          <w:rFonts w:hint="eastAsia" w:hAnsi="宋体" w:cs="宋体"/>
          <w:color w:val="auto"/>
          <w:kern w:val="0"/>
          <w:highlight w:val="none"/>
          <w:u w:val="single"/>
        </w:rPr>
        <w:t>〕</w:t>
      </w:r>
      <w:r>
        <w:rPr>
          <w:rFonts w:hAnsi="宋体"/>
          <w:color w:val="auto"/>
          <w:kern w:val="0"/>
          <w:highlight w:val="none"/>
          <w:u w:val="single"/>
        </w:rPr>
        <w:t>16</w:t>
      </w:r>
      <w:r>
        <w:rPr>
          <w:rFonts w:hint="eastAsia" w:hAnsi="宋体" w:cs="宋体"/>
          <w:color w:val="auto"/>
          <w:kern w:val="0"/>
          <w:highlight w:val="none"/>
          <w:u w:val="single"/>
        </w:rPr>
        <w:t>号）</w:t>
      </w:r>
      <w:r>
        <w:rPr>
          <w:rFonts w:hint="eastAsia" w:hAnsi="宋体" w:cs="宋体"/>
          <w:color w:val="auto"/>
          <w:kern w:val="0"/>
          <w:highlight w:val="none"/>
        </w:rPr>
        <w:t>和</w:t>
      </w:r>
      <w:r>
        <w:rPr>
          <w:rFonts w:hAnsi="宋体"/>
          <w:color w:val="auto"/>
          <w:kern w:val="0"/>
          <w:highlight w:val="none"/>
          <w:u w:val="single"/>
        </w:rPr>
        <w:t xml:space="preserve">  </w:t>
      </w:r>
      <w:r>
        <w:rPr>
          <w:rFonts w:hint="eastAsia" w:hAnsi="宋体"/>
          <w:color w:val="auto"/>
          <w:kern w:val="0"/>
          <w:highlight w:val="none"/>
          <w:u w:val="single"/>
          <w:lang w:val="en-US" w:eastAsia="zh-CN"/>
        </w:rPr>
        <w:t xml:space="preserve">贺州 </w:t>
      </w:r>
      <w:r>
        <w:rPr>
          <w:rFonts w:hint="eastAsia" w:hAnsi="宋体" w:cs="宋体"/>
          <w:color w:val="auto"/>
          <w:kern w:val="0"/>
          <w:highlight w:val="none"/>
        </w:rPr>
        <w:t>市相关规定执行。</w:t>
      </w:r>
    </w:p>
    <w:p w14:paraId="1E89426E">
      <w:pPr>
        <w:autoSpaceDE/>
        <w:autoSpaceDN/>
        <w:adjustRightInd/>
        <w:spacing w:line="360" w:lineRule="auto"/>
        <w:ind w:firstLine="420" w:firstLineChars="200"/>
        <w:jc w:val="left"/>
        <w:outlineLvl w:val="9"/>
        <w:rPr>
          <w:rFonts w:hAnsi="宋体" w:cs="宋体"/>
          <w:color w:val="auto"/>
          <w:kern w:val="0"/>
          <w:highlight w:val="none"/>
        </w:rPr>
      </w:pPr>
      <w:r>
        <w:rPr>
          <w:rFonts w:hint="eastAsia" w:hAnsi="宋体" w:cs="宋体"/>
          <w:color w:val="auto"/>
          <w:kern w:val="0"/>
          <w:highlight w:val="none"/>
        </w:rPr>
        <w:t>（</w:t>
      </w:r>
      <w:r>
        <w:rPr>
          <w:rFonts w:hAnsi="宋体"/>
          <w:color w:val="auto"/>
          <w:kern w:val="0"/>
          <w:highlight w:val="none"/>
        </w:rPr>
        <w:t>3</w:t>
      </w:r>
      <w:r>
        <w:rPr>
          <w:rFonts w:hint="eastAsia" w:hAnsi="宋体" w:cs="宋体"/>
          <w:color w:val="auto"/>
          <w:kern w:val="0"/>
          <w:highlight w:val="none"/>
        </w:rPr>
        <w:t>）支付约定：</w:t>
      </w:r>
      <w:r>
        <w:rPr>
          <w:rFonts w:hint="eastAsia" w:cs="宋体"/>
          <w:color w:val="auto"/>
          <w:kern w:val="0"/>
          <w:highlight w:val="none"/>
        </w:rPr>
        <w:t>在本合同签订后</w:t>
      </w:r>
      <w:r>
        <w:rPr>
          <w:color w:val="auto"/>
          <w:kern w:val="0"/>
          <w:highlight w:val="none"/>
          <w:u w:val="single"/>
        </w:rPr>
        <w:t xml:space="preserve"> </w:t>
      </w:r>
      <w:r>
        <w:rPr>
          <w:rFonts w:hint="eastAsia"/>
          <w:color w:val="auto"/>
          <w:kern w:val="0"/>
          <w:highlight w:val="none"/>
          <w:u w:val="single"/>
          <w:lang w:val="en-US" w:eastAsia="zh-CN"/>
        </w:rPr>
        <w:t>15</w:t>
      </w:r>
      <w:r>
        <w:rPr>
          <w:color w:val="auto"/>
          <w:kern w:val="0"/>
          <w:highlight w:val="none"/>
          <w:u w:val="single"/>
        </w:rPr>
        <w:t xml:space="preserve"> </w:t>
      </w:r>
      <w:r>
        <w:rPr>
          <w:rFonts w:hint="eastAsia" w:cs="宋体"/>
          <w:color w:val="auto"/>
          <w:kern w:val="0"/>
          <w:highlight w:val="none"/>
        </w:rPr>
        <w:t>个工作日内，预付安全</w:t>
      </w:r>
      <w:r>
        <w:rPr>
          <w:rFonts w:hint="default" w:cs="宋体"/>
          <w:color w:val="auto"/>
          <w:kern w:val="0"/>
          <w:highlight w:val="none"/>
          <w:lang w:val="en"/>
        </w:rPr>
        <w:t>生产费</w:t>
      </w:r>
      <w:r>
        <w:rPr>
          <w:rFonts w:hint="eastAsia" w:cs="宋体"/>
          <w:color w:val="auto"/>
          <w:kern w:val="0"/>
          <w:highlight w:val="none"/>
        </w:rPr>
        <w:t>总额的</w:t>
      </w:r>
      <w:r>
        <w:rPr>
          <w:rFonts w:hint="eastAsia" w:cs="宋体"/>
          <w:color w:val="auto"/>
          <w:kern w:val="0"/>
          <w:highlight w:val="none"/>
          <w:u w:val="single"/>
        </w:rPr>
        <w:t xml:space="preserve"> </w:t>
      </w:r>
      <w:r>
        <w:rPr>
          <w:rFonts w:hint="eastAsia" w:cs="宋体"/>
          <w:color w:val="auto"/>
          <w:kern w:val="0"/>
          <w:highlight w:val="none"/>
          <w:u w:val="single"/>
          <w:lang w:val="en-US" w:eastAsia="zh-CN"/>
        </w:rPr>
        <w:t>50</w:t>
      </w:r>
      <w:r>
        <w:rPr>
          <w:rFonts w:hint="eastAsia" w:cs="宋体"/>
          <w:color w:val="auto"/>
          <w:kern w:val="0"/>
          <w:highlight w:val="none"/>
        </w:rPr>
        <w:t>%</w:t>
      </w:r>
      <w:r>
        <w:rPr>
          <w:rFonts w:hint="eastAsia" w:cs="宋体"/>
          <w:color w:val="auto"/>
          <w:kern w:val="0"/>
          <w:highlight w:val="none"/>
          <w:lang w:eastAsia="zh-CN"/>
        </w:rPr>
        <w:t>。实际投入安全生产费超过安全生产</w:t>
      </w:r>
      <w:r>
        <w:rPr>
          <w:rFonts w:hint="eastAsia" w:cs="宋体"/>
          <w:color w:val="auto"/>
          <w:kern w:val="0"/>
          <w:highlight w:val="none"/>
        </w:rPr>
        <w:t>费预付款</w:t>
      </w:r>
      <w:r>
        <w:rPr>
          <w:rFonts w:hint="eastAsia" w:cs="宋体"/>
          <w:color w:val="auto"/>
          <w:kern w:val="0"/>
          <w:highlight w:val="none"/>
          <w:lang w:eastAsia="zh-CN"/>
        </w:rPr>
        <w:t>后</w:t>
      </w:r>
      <w:r>
        <w:rPr>
          <w:rFonts w:hint="default" w:cs="宋体"/>
          <w:color w:val="auto"/>
          <w:kern w:val="0"/>
          <w:highlight w:val="none"/>
          <w:lang w:val="en" w:eastAsia="zh-CN"/>
        </w:rPr>
        <w:t>，</w:t>
      </w:r>
      <w:r>
        <w:rPr>
          <w:rFonts w:hint="eastAsia" w:cs="宋体"/>
          <w:color w:val="auto"/>
          <w:kern w:val="0"/>
          <w:highlight w:val="none"/>
          <w:lang w:eastAsia="zh-CN"/>
        </w:rPr>
        <w:t>承包人把实际发生的安全生产费（附相关凭证）报发包人和监理人审核，安全生产费与工程进度款同期支付。</w:t>
      </w:r>
      <w:r>
        <w:rPr>
          <w:rFonts w:hint="default" w:ascii="Times New Roman" w:hAnsi="Times New Roman" w:cs="Times New Roman"/>
          <w:color w:val="auto"/>
          <w:kern w:val="0"/>
          <w:szCs w:val="21"/>
          <w:highlight w:val="none"/>
          <w:shd w:val="clear" w:color="auto" w:fill="FFFFFF"/>
        </w:rPr>
        <w:t>工程施工完成后安全生产费尚有结余的，结余部分由建设单位收回。施工单位将安全生产费用使用情况定期报告建设单位和监理单位，并提供相应的材料接受建设行政主管部门对此事项监管。</w:t>
      </w:r>
      <w:r>
        <w:rPr>
          <w:rFonts w:hint="eastAsia" w:cs="宋体"/>
          <w:color w:val="auto"/>
          <w:kern w:val="0"/>
          <w:highlight w:val="none"/>
          <w:lang w:eastAsia="zh-CN"/>
        </w:rPr>
        <w:t>《安全生产费支付申请（核准）表》详见附件</w:t>
      </w:r>
      <w:r>
        <w:rPr>
          <w:rFonts w:hint="eastAsia" w:cs="宋体"/>
          <w:color w:val="auto"/>
          <w:kern w:val="0"/>
          <w:highlight w:val="none"/>
          <w:lang w:val="en-US" w:eastAsia="zh-CN"/>
        </w:rPr>
        <w:t>18</w:t>
      </w:r>
      <w:r>
        <w:rPr>
          <w:rFonts w:hint="eastAsia" w:hAnsi="宋体" w:cs="宋体"/>
          <w:color w:val="auto"/>
          <w:kern w:val="0"/>
          <w:highlight w:val="none"/>
        </w:rPr>
        <w:t>。</w:t>
      </w:r>
    </w:p>
    <w:p w14:paraId="6AC29D9D">
      <w:pPr>
        <w:autoSpaceDE w:val="0"/>
        <w:autoSpaceDN w:val="0"/>
        <w:adjustRightInd w:val="0"/>
        <w:spacing w:line="360" w:lineRule="auto"/>
        <w:ind w:firstLine="420" w:firstLineChars="200"/>
        <w:jc w:val="left"/>
        <w:rPr>
          <w:rFonts w:hAnsi="宋体" w:cs="宋体"/>
          <w:color w:val="auto"/>
          <w:kern w:val="0"/>
          <w:highlight w:val="none"/>
        </w:rPr>
      </w:pPr>
    </w:p>
    <w:p w14:paraId="27F924D2">
      <w:pPr>
        <w:autoSpaceDE w:val="0"/>
        <w:autoSpaceDN w:val="0"/>
        <w:adjustRightInd w:val="0"/>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（4）建设单位按规定将安全生产费转入施工单位设立的安全生产费用专户。</w:t>
      </w:r>
    </w:p>
    <w:p w14:paraId="791F0CCC">
      <w:pPr>
        <w:autoSpaceDE w:val="0"/>
        <w:autoSpaceDN w:val="0"/>
        <w:adjustRightInd w:val="0"/>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（5）工程施工完成后安全生产费尚有结余的，结余部分由建设单位收回。</w:t>
      </w:r>
    </w:p>
    <w:p w14:paraId="4C812A0B">
      <w:pPr>
        <w:autoSpaceDE w:val="0"/>
        <w:autoSpaceDN w:val="0"/>
        <w:adjustRightInd w:val="0"/>
        <w:spacing w:line="360" w:lineRule="auto"/>
        <w:ind w:firstLine="420" w:firstLineChars="200"/>
        <w:jc w:val="left"/>
        <w:rPr>
          <w:rFonts w:hint="eastAsia" w:hAnsi="宋体"/>
          <w:color w:val="auto"/>
          <w:kern w:val="0"/>
          <w:highlight w:val="none"/>
        </w:rPr>
      </w:pPr>
      <w:r>
        <w:rPr>
          <w:rFonts w:hint="eastAsia" w:hAnsi="宋体" w:cs="宋体"/>
          <w:color w:val="auto"/>
          <w:kern w:val="0"/>
          <w:highlight w:val="none"/>
        </w:rPr>
        <w:t>（6）安全生产费用专户：</w:t>
      </w:r>
      <w:r>
        <w:rPr>
          <w:rFonts w:hint="eastAsia" w:hAnsi="宋体" w:cs="宋体"/>
          <w:color w:val="auto"/>
          <w:kern w:val="0"/>
          <w:highlight w:val="none"/>
          <w:u w:val="single"/>
          <w:lang w:eastAsia="zh-CN"/>
        </w:rPr>
        <w:t xml:space="preserve"> </w:t>
      </w:r>
      <w:r>
        <w:rPr>
          <w:rFonts w:hint="eastAsia" w:hAnsi="宋体" w:cs="宋体"/>
          <w:color w:val="auto"/>
          <w:kern w:val="0"/>
          <w:highlight w:val="none"/>
          <w:u w:val="single"/>
          <w:lang w:val="en-US" w:eastAsia="zh-CN"/>
        </w:rPr>
        <w:t xml:space="preserve">             </w:t>
      </w:r>
      <w:r>
        <w:rPr>
          <w:rFonts w:hint="eastAsia" w:hAnsi="宋体" w:cs="宋体"/>
          <w:color w:val="auto"/>
          <w:kern w:val="0"/>
          <w:highlight w:val="none"/>
        </w:rPr>
        <w:t>公司安全生产费用专户。账号：</w:t>
      </w:r>
      <w:r>
        <w:rPr>
          <w:rFonts w:hint="eastAsia" w:hAnsi="宋体" w:cs="宋体"/>
          <w:color w:val="auto"/>
          <w:kern w:val="0"/>
          <w:highlight w:val="none"/>
          <w:u w:val="single"/>
          <w:lang w:eastAsia="zh-CN"/>
        </w:rPr>
        <w:t xml:space="preserve"> </w:t>
      </w:r>
      <w:r>
        <w:rPr>
          <w:rFonts w:hint="eastAsia" w:hAnsi="宋体" w:cs="宋体"/>
          <w:color w:val="auto"/>
          <w:kern w:val="0"/>
          <w:highlight w:val="none"/>
          <w:u w:val="single"/>
          <w:lang w:val="en-US" w:eastAsia="zh-CN"/>
        </w:rPr>
        <w:t xml:space="preserve">             </w:t>
      </w:r>
      <w:r>
        <w:rPr>
          <w:rFonts w:hint="eastAsia" w:hAnsi="宋体" w:cs="宋体"/>
          <w:color w:val="auto"/>
          <w:kern w:val="0"/>
          <w:highlight w:val="none"/>
        </w:rPr>
        <w:t>。</w:t>
      </w:r>
    </w:p>
    <w:p w14:paraId="2FA704EB">
      <w:pPr>
        <w:spacing w:line="360" w:lineRule="auto"/>
        <w:outlineLvl w:val="9"/>
        <w:rPr>
          <w:color w:val="auto"/>
          <w:highlight w:val="none"/>
        </w:rPr>
      </w:pPr>
      <w:bookmarkStart w:id="490" w:name="_Toc373227721"/>
      <w:bookmarkStart w:id="491" w:name="_Toc11917"/>
      <w:bookmarkStart w:id="492" w:name="_Toc373478368"/>
      <w:bookmarkStart w:id="493" w:name="_Toc25382"/>
      <w:bookmarkStart w:id="494" w:name="_Toc78449809"/>
      <w:bookmarkStart w:id="495" w:name="_Toc407135223"/>
      <w:bookmarkStart w:id="496" w:name="_Toc1922268668"/>
      <w:bookmarkStart w:id="497" w:name="_Toc389065287"/>
      <w:r>
        <w:rPr>
          <w:color w:val="auto"/>
          <w:highlight w:val="none"/>
        </w:rPr>
        <w:t xml:space="preserve">6.3 </w:t>
      </w:r>
      <w:r>
        <w:rPr>
          <w:rFonts w:hint="eastAsia" w:hAnsi="宋体" w:cs="黑体"/>
          <w:color w:val="auto"/>
          <w:highlight w:val="none"/>
        </w:rPr>
        <w:t>环境保护</w:t>
      </w:r>
      <w:bookmarkEnd w:id="490"/>
      <w:bookmarkEnd w:id="491"/>
      <w:bookmarkEnd w:id="492"/>
      <w:bookmarkEnd w:id="493"/>
      <w:bookmarkEnd w:id="494"/>
      <w:bookmarkEnd w:id="495"/>
      <w:bookmarkEnd w:id="496"/>
      <w:bookmarkEnd w:id="497"/>
    </w:p>
    <w:p w14:paraId="7FDF5591">
      <w:pPr>
        <w:spacing w:line="360" w:lineRule="auto"/>
        <w:ind w:firstLine="420" w:firstLineChars="200"/>
        <w:jc w:val="left"/>
        <w:rPr>
          <w:color w:val="auto"/>
          <w:highlight w:val="none"/>
          <w:u w:val="single"/>
        </w:rPr>
      </w:pPr>
      <w:r>
        <w:rPr>
          <w:rFonts w:hint="eastAsia" w:hAnsi="宋体" w:cs="宋体"/>
          <w:color w:val="auto"/>
          <w:highlight w:val="none"/>
          <w:u w:val="single"/>
        </w:rPr>
        <w:t>因施工需要，经发包人批准，由承包人办理有关施工场地交通、环卫和施工噪音管理等手续，费用由承包人负责。</w:t>
      </w:r>
    </w:p>
    <w:p w14:paraId="67E67E1D">
      <w:pPr>
        <w:spacing w:line="360" w:lineRule="auto"/>
        <w:ind w:firstLine="420" w:firstLineChars="200"/>
        <w:jc w:val="left"/>
        <w:rPr>
          <w:color w:val="auto"/>
          <w:highlight w:val="none"/>
          <w:u w:val="single"/>
        </w:rPr>
      </w:pPr>
      <w:r>
        <w:rPr>
          <w:rFonts w:hint="eastAsia" w:hAnsi="宋体" w:cs="宋体"/>
          <w:color w:val="auto"/>
          <w:highlight w:val="none"/>
          <w:u w:val="single"/>
        </w:rPr>
        <w:t>经过城市道路的施工车辆，必须按交警、城管、运输等部门相关规定执行。由于施工车辆造成的道路、环境等污染，其责任和费用均由承包人承担。</w:t>
      </w:r>
    </w:p>
    <w:bookmarkEnd w:id="467"/>
    <w:bookmarkEnd w:id="468"/>
    <w:bookmarkEnd w:id="469"/>
    <w:bookmarkEnd w:id="470"/>
    <w:bookmarkEnd w:id="471"/>
    <w:bookmarkEnd w:id="472"/>
    <w:bookmarkEnd w:id="473"/>
    <w:p w14:paraId="7380E352">
      <w:pPr>
        <w:spacing w:line="360" w:lineRule="auto"/>
        <w:outlineLvl w:val="9"/>
        <w:rPr>
          <w:color w:val="auto"/>
          <w:highlight w:val="none"/>
        </w:rPr>
      </w:pPr>
      <w:bookmarkStart w:id="498" w:name="_Toc1408286886"/>
      <w:bookmarkStart w:id="499" w:name="_Toc373478369"/>
      <w:bookmarkStart w:id="500" w:name="_Toc373227722"/>
      <w:bookmarkStart w:id="501" w:name="_Toc351203639"/>
      <w:bookmarkStart w:id="502" w:name="_Toc6691"/>
      <w:bookmarkStart w:id="503" w:name="_Toc407135224"/>
      <w:bookmarkStart w:id="504" w:name="_Toc78449810"/>
      <w:bookmarkStart w:id="505" w:name="_Toc389065288"/>
      <w:r>
        <w:rPr>
          <w:color w:val="auto"/>
          <w:highlight w:val="none"/>
        </w:rPr>
        <w:t xml:space="preserve">7. </w:t>
      </w:r>
      <w:r>
        <w:rPr>
          <w:rFonts w:hint="eastAsia" w:cs="黑体"/>
          <w:color w:val="auto"/>
          <w:highlight w:val="none"/>
        </w:rPr>
        <w:t>工期和进度</w:t>
      </w:r>
      <w:bookmarkEnd w:id="498"/>
      <w:bookmarkEnd w:id="499"/>
      <w:bookmarkEnd w:id="500"/>
      <w:bookmarkEnd w:id="501"/>
      <w:bookmarkEnd w:id="502"/>
      <w:bookmarkEnd w:id="503"/>
      <w:bookmarkEnd w:id="504"/>
      <w:bookmarkEnd w:id="505"/>
    </w:p>
    <w:p w14:paraId="55F11E77">
      <w:pPr>
        <w:spacing w:line="360" w:lineRule="auto"/>
        <w:outlineLvl w:val="9"/>
        <w:rPr>
          <w:color w:val="auto"/>
          <w:highlight w:val="none"/>
        </w:rPr>
      </w:pPr>
      <w:bookmarkStart w:id="506" w:name="_Toc78449811"/>
      <w:bookmarkStart w:id="507" w:name="_Toc407135225"/>
      <w:bookmarkStart w:id="508" w:name="_Toc373478370"/>
      <w:bookmarkStart w:id="509" w:name="_Toc15244"/>
      <w:bookmarkStart w:id="510" w:name="_Toc389065289"/>
      <w:bookmarkStart w:id="511" w:name="_Toc28686"/>
      <w:bookmarkStart w:id="512" w:name="_Toc373227723"/>
      <w:bookmarkStart w:id="513" w:name="_Toc1194482517"/>
      <w:r>
        <w:rPr>
          <w:color w:val="auto"/>
          <w:highlight w:val="none"/>
        </w:rPr>
        <w:t xml:space="preserve">7.1 </w:t>
      </w:r>
      <w:r>
        <w:rPr>
          <w:rFonts w:hint="eastAsia" w:cs="黑体"/>
          <w:color w:val="auto"/>
          <w:highlight w:val="none"/>
        </w:rPr>
        <w:t>施工组织设计</w:t>
      </w:r>
      <w:bookmarkEnd w:id="506"/>
      <w:bookmarkEnd w:id="507"/>
      <w:bookmarkEnd w:id="508"/>
      <w:bookmarkEnd w:id="509"/>
      <w:bookmarkEnd w:id="510"/>
      <w:bookmarkEnd w:id="511"/>
      <w:bookmarkEnd w:id="512"/>
      <w:bookmarkEnd w:id="513"/>
    </w:p>
    <w:p w14:paraId="5088C8E8">
      <w:pPr>
        <w:autoSpaceDE w:val="0"/>
        <w:autoSpaceDN w:val="0"/>
        <w:adjustRightInd w:val="0"/>
        <w:spacing w:line="360" w:lineRule="auto"/>
        <w:ind w:firstLine="420" w:firstLineChars="200"/>
        <w:jc w:val="left"/>
        <w:rPr>
          <w:color w:val="auto"/>
          <w:highlight w:val="none"/>
          <w:u w:val="single"/>
        </w:rPr>
      </w:pPr>
      <w:r>
        <w:rPr>
          <w:color w:val="auto"/>
          <w:highlight w:val="none"/>
        </w:rPr>
        <w:t xml:space="preserve">7.1.1 </w:t>
      </w:r>
      <w:r>
        <w:rPr>
          <w:rFonts w:hint="eastAsia" w:hAnsi="宋体" w:cs="宋体"/>
          <w:color w:val="auto"/>
          <w:highlight w:val="none"/>
        </w:rPr>
        <w:t>合</w:t>
      </w:r>
      <w:r>
        <w:rPr>
          <w:rFonts w:hint="eastAsia" w:hAnsi="宋体" w:cs="宋体"/>
          <w:color w:val="auto"/>
          <w:kern w:val="0"/>
          <w:highlight w:val="none"/>
        </w:rPr>
        <w:t>同当事人约定的施工组织设计应包括的其他内容：</w:t>
      </w:r>
      <w:r>
        <w:rPr>
          <w:rFonts w:hint="eastAsia" w:ascii="宋体" w:hAnsi="宋体" w:eastAsia="宋体" w:cs="宋体"/>
          <w:color w:val="auto"/>
          <w:szCs w:val="21"/>
          <w:highlight w:val="none"/>
          <w:u w:val="single"/>
        </w:rPr>
        <w:t>按行业管理有关要求</w:t>
      </w:r>
      <w:r>
        <w:rPr>
          <w:color w:val="auto"/>
          <w:highlight w:val="none"/>
          <w:u w:val="single"/>
        </w:rPr>
        <w:t xml:space="preserve"> </w:t>
      </w:r>
      <w:r>
        <w:rPr>
          <w:rFonts w:hint="eastAsia" w:hAnsi="宋体" w:cs="宋体"/>
          <w:color w:val="auto"/>
          <w:highlight w:val="none"/>
        </w:rPr>
        <w:t>。</w:t>
      </w:r>
    </w:p>
    <w:p w14:paraId="4BC166CC">
      <w:pPr>
        <w:autoSpaceDE w:val="0"/>
        <w:autoSpaceDN w:val="0"/>
        <w:adjustRightInd w:val="0"/>
        <w:spacing w:line="360" w:lineRule="auto"/>
        <w:ind w:firstLine="420" w:firstLineChars="200"/>
        <w:jc w:val="left"/>
        <w:rPr>
          <w:color w:val="auto"/>
          <w:kern w:val="0"/>
          <w:highlight w:val="none"/>
        </w:rPr>
      </w:pPr>
      <w:r>
        <w:rPr>
          <w:color w:val="auto"/>
          <w:highlight w:val="none"/>
        </w:rPr>
        <w:t xml:space="preserve">7.1.2 </w:t>
      </w:r>
      <w:r>
        <w:rPr>
          <w:rFonts w:hint="eastAsia" w:hAnsi="宋体" w:cs="宋体"/>
          <w:color w:val="auto"/>
          <w:kern w:val="0"/>
          <w:highlight w:val="none"/>
        </w:rPr>
        <w:t>施工组织设计的提交和修改</w:t>
      </w:r>
    </w:p>
    <w:p w14:paraId="0EBFB42F">
      <w:pPr>
        <w:autoSpaceDE w:val="0"/>
        <w:autoSpaceDN w:val="0"/>
        <w:adjustRightInd w:val="0"/>
        <w:spacing w:line="360" w:lineRule="auto"/>
        <w:ind w:firstLine="420" w:firstLineChars="200"/>
        <w:jc w:val="left"/>
        <w:rPr>
          <w:color w:val="auto"/>
          <w:highlight w:val="none"/>
          <w:u w:val="single"/>
        </w:rPr>
      </w:pPr>
      <w:r>
        <w:rPr>
          <w:rFonts w:hint="eastAsia" w:hAnsi="宋体" w:cs="宋体"/>
          <w:color w:val="auto"/>
          <w:kern w:val="0"/>
          <w:highlight w:val="none"/>
        </w:rPr>
        <w:t>承包人提交详细施工组织设计的期限的约定：</w:t>
      </w:r>
      <w:r>
        <w:rPr>
          <w:rFonts w:hint="eastAsia" w:ascii="宋体" w:hAnsi="宋体" w:eastAsia="宋体" w:cs="宋体"/>
          <w:color w:val="auto"/>
          <w:szCs w:val="21"/>
          <w:highlight w:val="none"/>
          <w:u w:val="single"/>
        </w:rPr>
        <w:t>承包人在开工前7天报送</w:t>
      </w:r>
      <w:r>
        <w:rPr>
          <w:rFonts w:hint="eastAsia" w:hAnsi="宋体" w:cs="宋体"/>
          <w:color w:val="auto"/>
          <w:highlight w:val="none"/>
        </w:rPr>
        <w:t>。</w:t>
      </w:r>
    </w:p>
    <w:p w14:paraId="7F0496ED">
      <w:pPr>
        <w:spacing w:line="360" w:lineRule="auto"/>
        <w:ind w:firstLine="420" w:firstLineChars="200"/>
        <w:jc w:val="left"/>
        <w:rPr>
          <w:color w:val="auto"/>
          <w:highlight w:val="none"/>
        </w:rPr>
      </w:pPr>
      <w:r>
        <w:rPr>
          <w:rFonts w:hint="eastAsia" w:hAnsi="宋体" w:cs="宋体"/>
          <w:color w:val="auto"/>
          <w:highlight w:val="none"/>
        </w:rPr>
        <w:t>发包人和监理人在收到详细的施工组织设计后确认或提出修改意见的期限：</w:t>
      </w:r>
      <w:r>
        <w:rPr>
          <w:rFonts w:hint="eastAsia" w:ascii="宋体" w:hAnsi="宋体" w:eastAsia="宋体" w:cs="宋体"/>
          <w:color w:val="auto"/>
          <w:szCs w:val="21"/>
          <w:highlight w:val="none"/>
          <w:u w:val="single"/>
        </w:rPr>
        <w:t>收到之日起14天内予以确认，如有重大异议必须在收到上述资料之日起五天内以书面形式送达承包人，逾期不确认也不提出书面意见的，视为同意</w:t>
      </w:r>
      <w:r>
        <w:rPr>
          <w:rFonts w:hint="eastAsia" w:hAnsi="宋体" w:cs="宋体"/>
          <w:color w:val="auto"/>
          <w:highlight w:val="none"/>
        </w:rPr>
        <w:t>。</w:t>
      </w:r>
    </w:p>
    <w:p w14:paraId="73187F55">
      <w:pPr>
        <w:spacing w:line="360" w:lineRule="auto"/>
        <w:outlineLvl w:val="9"/>
        <w:rPr>
          <w:color w:val="auto"/>
          <w:highlight w:val="none"/>
        </w:rPr>
      </w:pPr>
      <w:bookmarkStart w:id="514" w:name="_Toc373227724"/>
      <w:bookmarkStart w:id="515" w:name="_Toc407135226"/>
      <w:bookmarkStart w:id="516" w:name="_Toc373478371"/>
      <w:bookmarkStart w:id="517" w:name="_Toc389065290"/>
      <w:bookmarkStart w:id="518" w:name="_Toc10208"/>
      <w:bookmarkStart w:id="519" w:name="_Toc1393005721"/>
      <w:bookmarkStart w:id="520" w:name="_Toc22439"/>
      <w:bookmarkStart w:id="521" w:name="_Toc78449812"/>
      <w:r>
        <w:rPr>
          <w:color w:val="auto"/>
          <w:highlight w:val="none"/>
        </w:rPr>
        <w:t>7</w:t>
      </w:r>
      <w:bookmarkStart w:id="522" w:name="_Toc304295541"/>
      <w:bookmarkStart w:id="523" w:name="_Toc312678005"/>
      <w:bookmarkStart w:id="524" w:name="_Toc300934966"/>
      <w:bookmarkStart w:id="525" w:name="_Toc303539123"/>
      <w:bookmarkStart w:id="526" w:name="_Toc297123514"/>
      <w:bookmarkStart w:id="527" w:name="_Toc312677479"/>
      <w:bookmarkStart w:id="528" w:name="_Toc297216173"/>
      <w:r>
        <w:rPr>
          <w:color w:val="auto"/>
          <w:highlight w:val="none"/>
        </w:rPr>
        <w:t xml:space="preserve">.2 </w:t>
      </w:r>
      <w:r>
        <w:rPr>
          <w:rFonts w:hint="eastAsia" w:cs="黑体"/>
          <w:color w:val="auto"/>
          <w:highlight w:val="none"/>
        </w:rPr>
        <w:t>施工进度计划</w:t>
      </w:r>
      <w:bookmarkEnd w:id="514"/>
      <w:bookmarkEnd w:id="515"/>
      <w:bookmarkEnd w:id="516"/>
      <w:bookmarkEnd w:id="517"/>
      <w:bookmarkEnd w:id="518"/>
      <w:bookmarkEnd w:id="519"/>
      <w:bookmarkEnd w:id="520"/>
      <w:bookmarkEnd w:id="521"/>
    </w:p>
    <w:p w14:paraId="656EC991">
      <w:pPr>
        <w:spacing w:line="360" w:lineRule="auto"/>
        <w:ind w:firstLine="420" w:firstLineChars="200"/>
        <w:jc w:val="left"/>
        <w:rPr>
          <w:color w:val="auto"/>
          <w:highlight w:val="none"/>
        </w:rPr>
      </w:pPr>
      <w:r>
        <w:rPr>
          <w:color w:val="auto"/>
          <w:highlight w:val="none"/>
        </w:rPr>
        <w:t xml:space="preserve">7.2.2 </w:t>
      </w:r>
      <w:r>
        <w:rPr>
          <w:rFonts w:hint="eastAsia" w:hAnsi="宋体" w:cs="宋体"/>
          <w:color w:val="auto"/>
          <w:highlight w:val="none"/>
        </w:rPr>
        <w:t>施工进度计划的修订</w:t>
      </w:r>
    </w:p>
    <w:p w14:paraId="77674DF0">
      <w:pPr>
        <w:spacing w:line="360" w:lineRule="auto"/>
        <w:ind w:firstLine="420" w:firstLineChars="200"/>
        <w:jc w:val="left"/>
        <w:rPr>
          <w:color w:val="auto"/>
          <w:highlight w:val="none"/>
        </w:rPr>
      </w:pPr>
      <w:r>
        <w:rPr>
          <w:rFonts w:hint="eastAsia" w:hAnsi="宋体" w:cs="宋体"/>
          <w:color w:val="auto"/>
          <w:highlight w:val="none"/>
        </w:rPr>
        <w:t>发包人和监理人在收到修订的施工进度计划后确认或提出修改意见的期限：</w:t>
      </w:r>
      <w:r>
        <w:rPr>
          <w:rFonts w:hint="eastAsia" w:ascii="宋体" w:hAnsi="宋体" w:eastAsia="宋体" w:cs="宋体"/>
          <w:color w:val="auto"/>
          <w:szCs w:val="21"/>
          <w:highlight w:val="none"/>
          <w:u w:val="single"/>
        </w:rPr>
        <w:t>收到之日起14天内</w:t>
      </w:r>
      <w:r>
        <w:rPr>
          <w:rFonts w:hint="eastAsia" w:hAnsi="宋体" w:cs="宋体"/>
          <w:color w:val="auto"/>
          <w:highlight w:val="none"/>
        </w:rPr>
        <w:t>。</w:t>
      </w:r>
    </w:p>
    <w:p w14:paraId="130680B6">
      <w:pPr>
        <w:spacing w:line="360" w:lineRule="auto"/>
        <w:outlineLvl w:val="9"/>
        <w:rPr>
          <w:color w:val="auto"/>
          <w:highlight w:val="none"/>
        </w:rPr>
      </w:pPr>
      <w:bookmarkStart w:id="529" w:name="_Toc389065291"/>
      <w:bookmarkStart w:id="530" w:name="_Toc373478372"/>
      <w:bookmarkStart w:id="531" w:name="_Toc18437"/>
      <w:bookmarkStart w:id="532" w:name="_Toc373227725"/>
      <w:bookmarkStart w:id="533" w:name="_Toc423062567"/>
      <w:bookmarkStart w:id="534" w:name="_Toc78449813"/>
      <w:bookmarkStart w:id="535" w:name="_Toc2280"/>
      <w:bookmarkStart w:id="536" w:name="_Toc407135227"/>
      <w:r>
        <w:rPr>
          <w:color w:val="auto"/>
          <w:highlight w:val="none"/>
        </w:rPr>
        <w:t xml:space="preserve">7.3 </w:t>
      </w:r>
      <w:r>
        <w:rPr>
          <w:rFonts w:hint="eastAsia" w:cs="黑体"/>
          <w:color w:val="auto"/>
          <w:highlight w:val="none"/>
        </w:rPr>
        <w:t>开工</w:t>
      </w:r>
      <w:bookmarkEnd w:id="529"/>
      <w:bookmarkEnd w:id="530"/>
      <w:bookmarkEnd w:id="531"/>
      <w:bookmarkEnd w:id="532"/>
      <w:bookmarkEnd w:id="533"/>
      <w:bookmarkEnd w:id="534"/>
      <w:bookmarkEnd w:id="535"/>
      <w:bookmarkEnd w:id="536"/>
    </w:p>
    <w:p w14:paraId="31F68E15">
      <w:pPr>
        <w:spacing w:line="360" w:lineRule="auto"/>
        <w:ind w:firstLine="420" w:firstLineChars="200"/>
        <w:jc w:val="left"/>
        <w:rPr>
          <w:color w:val="auto"/>
          <w:highlight w:val="none"/>
        </w:rPr>
      </w:pPr>
      <w:r>
        <w:rPr>
          <w:color w:val="auto"/>
          <w:highlight w:val="none"/>
        </w:rPr>
        <w:t xml:space="preserve">7.3.1 </w:t>
      </w:r>
      <w:r>
        <w:rPr>
          <w:rFonts w:hint="eastAsia" w:hAnsi="宋体" w:cs="宋体"/>
          <w:color w:val="auto"/>
          <w:highlight w:val="none"/>
        </w:rPr>
        <w:t>开工准备</w:t>
      </w:r>
    </w:p>
    <w:p w14:paraId="5F207EA9">
      <w:pPr>
        <w:spacing w:line="360" w:lineRule="auto"/>
        <w:ind w:firstLine="426"/>
        <w:jc w:val="left"/>
        <w:rPr>
          <w:color w:val="auto"/>
          <w:highlight w:val="none"/>
          <w:u w:val="single"/>
        </w:rPr>
      </w:pPr>
      <w:r>
        <w:rPr>
          <w:rFonts w:hint="eastAsia" w:hAnsi="宋体" w:cs="宋体"/>
          <w:color w:val="auto"/>
          <w:highlight w:val="none"/>
        </w:rPr>
        <w:t>关于承包人提交</w:t>
      </w:r>
      <w:r>
        <w:rPr>
          <w:rFonts w:hint="eastAsia" w:hAnsi="宋体" w:cs="宋体"/>
          <w:color w:val="auto"/>
          <w:kern w:val="0"/>
          <w:highlight w:val="none"/>
        </w:rPr>
        <w:t>工程开工报审表的期限：</w:t>
      </w:r>
      <w:r>
        <w:rPr>
          <w:rFonts w:hint="eastAsia" w:ascii="宋体" w:hAnsi="宋体" w:eastAsia="宋体" w:cs="宋体"/>
          <w:color w:val="auto"/>
          <w:kern w:val="2"/>
          <w:sz w:val="21"/>
          <w:szCs w:val="21"/>
          <w:highlight w:val="none"/>
          <w:u w:val="single"/>
        </w:rPr>
        <w:t>承包人在图纸会审和设计交底之日起14天内报送</w:t>
      </w:r>
      <w:r>
        <w:rPr>
          <w:color w:val="auto"/>
          <w:highlight w:val="none"/>
          <w:u w:val="single"/>
        </w:rPr>
        <w:t xml:space="preserve"> </w:t>
      </w:r>
      <w:r>
        <w:rPr>
          <w:rFonts w:hint="eastAsia" w:hAnsi="宋体" w:cs="宋体"/>
          <w:color w:val="auto"/>
          <w:highlight w:val="none"/>
        </w:rPr>
        <w:t>。</w:t>
      </w:r>
    </w:p>
    <w:p w14:paraId="1486FFDC">
      <w:pPr>
        <w:spacing w:line="360" w:lineRule="auto"/>
        <w:ind w:firstLine="426"/>
        <w:jc w:val="left"/>
        <w:rPr>
          <w:color w:val="auto"/>
          <w:highlight w:val="none"/>
          <w:u w:val="single"/>
        </w:rPr>
      </w:pPr>
      <w:r>
        <w:rPr>
          <w:rFonts w:hint="eastAsia" w:hAnsi="宋体" w:cs="宋体"/>
          <w:color w:val="auto"/>
          <w:highlight w:val="none"/>
        </w:rPr>
        <w:t>关于发包人应完成的其他开工准备工作及期限：</w:t>
      </w:r>
      <w:r>
        <w:rPr>
          <w:rFonts w:hint="eastAsia" w:ascii="宋体" w:hAnsi="宋体" w:eastAsia="宋体" w:cs="宋体"/>
          <w:color w:val="auto"/>
          <w:kern w:val="2"/>
          <w:sz w:val="21"/>
          <w:szCs w:val="21"/>
          <w:highlight w:val="none"/>
          <w:u w:val="single"/>
        </w:rPr>
        <w:t>开工许可证发出前</w:t>
      </w:r>
      <w:r>
        <w:rPr>
          <w:rFonts w:hint="eastAsia" w:hAnsi="宋体" w:cs="宋体"/>
          <w:color w:val="auto"/>
          <w:highlight w:val="none"/>
        </w:rPr>
        <w:t>。</w:t>
      </w:r>
    </w:p>
    <w:p w14:paraId="5114BC28">
      <w:pPr>
        <w:spacing w:line="360" w:lineRule="auto"/>
        <w:ind w:firstLine="420" w:firstLineChars="200"/>
        <w:jc w:val="left"/>
        <w:rPr>
          <w:color w:val="auto"/>
          <w:highlight w:val="none"/>
          <w:u w:val="single"/>
        </w:rPr>
      </w:pPr>
      <w:r>
        <w:rPr>
          <w:rFonts w:hint="eastAsia" w:hAnsi="宋体" w:cs="宋体"/>
          <w:color w:val="auto"/>
          <w:highlight w:val="none"/>
        </w:rPr>
        <w:t>关于承包人应完成的其他开工准备工作及期限：</w:t>
      </w:r>
      <w:r>
        <w:rPr>
          <w:rFonts w:hint="eastAsia" w:ascii="宋体" w:hAnsi="宋体" w:eastAsia="宋体" w:cs="宋体"/>
          <w:color w:val="auto"/>
          <w:szCs w:val="21"/>
          <w:highlight w:val="none"/>
          <w:u w:val="single"/>
        </w:rPr>
        <w:t>开工许可证发出14天内</w:t>
      </w:r>
      <w:r>
        <w:rPr>
          <w:rFonts w:hint="eastAsia" w:hAnsi="宋体" w:cs="宋体"/>
          <w:color w:val="auto"/>
          <w:highlight w:val="none"/>
        </w:rPr>
        <w:t>。</w:t>
      </w:r>
    </w:p>
    <w:p w14:paraId="53491DB5">
      <w:pPr>
        <w:spacing w:line="360" w:lineRule="auto"/>
        <w:ind w:firstLine="420" w:firstLineChars="200"/>
        <w:jc w:val="left"/>
        <w:rPr>
          <w:color w:val="auto"/>
          <w:highlight w:val="none"/>
        </w:rPr>
      </w:pPr>
      <w:r>
        <w:rPr>
          <w:color w:val="auto"/>
          <w:highlight w:val="none"/>
        </w:rPr>
        <w:t xml:space="preserve">7.3.2 </w:t>
      </w:r>
      <w:r>
        <w:rPr>
          <w:rFonts w:hint="eastAsia" w:hAnsi="宋体" w:cs="宋体"/>
          <w:color w:val="auto"/>
          <w:highlight w:val="none"/>
        </w:rPr>
        <w:t>开工通知</w:t>
      </w:r>
    </w:p>
    <w:p w14:paraId="5E2DACC7">
      <w:pPr>
        <w:spacing w:line="360" w:lineRule="auto"/>
        <w:ind w:firstLine="420" w:firstLineChars="200"/>
        <w:jc w:val="left"/>
        <w:rPr>
          <w:color w:val="auto"/>
          <w:highlight w:val="none"/>
        </w:rPr>
      </w:pPr>
      <w:r>
        <w:rPr>
          <w:rFonts w:hint="eastAsia" w:hAnsi="宋体" w:cs="宋体"/>
          <w:color w:val="auto"/>
          <w:highlight w:val="none"/>
        </w:rPr>
        <w:t>因发包人原因造成监理人未能在计划开工日期之日起</w:t>
      </w:r>
      <w:r>
        <w:rPr>
          <w:color w:val="auto"/>
          <w:highlight w:val="none"/>
          <w:u w:val="single"/>
        </w:rPr>
        <w:t xml:space="preserve"> </w:t>
      </w:r>
      <w:r>
        <w:rPr>
          <w:rFonts w:hint="eastAsia" w:ascii="宋体" w:hAnsi="宋体" w:eastAsia="宋体" w:cs="宋体"/>
          <w:color w:val="auto"/>
          <w:szCs w:val="21"/>
          <w:highlight w:val="none"/>
          <w:u w:val="single"/>
        </w:rPr>
        <w:t>90</w:t>
      </w:r>
      <w:r>
        <w:rPr>
          <w:color w:val="auto"/>
          <w:highlight w:val="none"/>
          <w:u w:val="single"/>
        </w:rPr>
        <w:t xml:space="preserve"> </w:t>
      </w:r>
      <w:r>
        <w:rPr>
          <w:rFonts w:hint="eastAsia" w:hAnsi="宋体" w:cs="宋体"/>
          <w:color w:val="auto"/>
          <w:highlight w:val="none"/>
        </w:rPr>
        <w:t>天内发出开工通知的，承包人有权提出价格调整要求，或者解除合同。</w:t>
      </w:r>
    </w:p>
    <w:bookmarkEnd w:id="522"/>
    <w:bookmarkEnd w:id="523"/>
    <w:bookmarkEnd w:id="524"/>
    <w:bookmarkEnd w:id="525"/>
    <w:bookmarkEnd w:id="526"/>
    <w:bookmarkEnd w:id="527"/>
    <w:bookmarkEnd w:id="528"/>
    <w:p w14:paraId="6E4392FD">
      <w:pPr>
        <w:spacing w:line="360" w:lineRule="auto"/>
        <w:outlineLvl w:val="9"/>
        <w:rPr>
          <w:color w:val="auto"/>
          <w:highlight w:val="none"/>
        </w:rPr>
      </w:pPr>
      <w:bookmarkStart w:id="537" w:name="_Toc389065292"/>
      <w:bookmarkStart w:id="538" w:name="_Toc373227726"/>
      <w:bookmarkStart w:id="539" w:name="_Toc4105"/>
      <w:bookmarkStart w:id="540" w:name="_Toc741356765"/>
      <w:bookmarkStart w:id="541" w:name="_Toc373478373"/>
      <w:bookmarkStart w:id="542" w:name="_Toc6094"/>
      <w:bookmarkStart w:id="543" w:name="_Toc407135228"/>
      <w:bookmarkStart w:id="544" w:name="_Toc78449814"/>
      <w:r>
        <w:rPr>
          <w:color w:val="auto"/>
          <w:highlight w:val="none"/>
        </w:rPr>
        <w:t xml:space="preserve">7.4 </w:t>
      </w:r>
      <w:r>
        <w:rPr>
          <w:rFonts w:hint="eastAsia" w:hAnsi="宋体" w:cs="黑体"/>
          <w:color w:val="auto"/>
          <w:highlight w:val="none"/>
        </w:rPr>
        <w:t>测量放线</w:t>
      </w:r>
      <w:bookmarkEnd w:id="537"/>
      <w:bookmarkEnd w:id="538"/>
      <w:bookmarkEnd w:id="539"/>
      <w:bookmarkEnd w:id="540"/>
      <w:bookmarkEnd w:id="541"/>
      <w:bookmarkEnd w:id="542"/>
      <w:bookmarkEnd w:id="543"/>
      <w:bookmarkEnd w:id="544"/>
    </w:p>
    <w:p w14:paraId="244785CD">
      <w:pPr>
        <w:spacing w:line="360" w:lineRule="auto"/>
        <w:ind w:firstLine="420" w:firstLineChars="200"/>
        <w:jc w:val="left"/>
        <w:rPr>
          <w:rFonts w:hAnsi="宋体"/>
          <w:color w:val="auto"/>
          <w:highlight w:val="none"/>
        </w:rPr>
      </w:pPr>
      <w:r>
        <w:rPr>
          <w:color w:val="auto"/>
          <w:highlight w:val="none"/>
        </w:rPr>
        <w:t>7.4.1</w:t>
      </w:r>
      <w:r>
        <w:rPr>
          <w:rFonts w:hint="eastAsia" w:hAnsi="宋体" w:cs="宋体"/>
          <w:color w:val="auto"/>
          <w:highlight w:val="none"/>
        </w:rPr>
        <w:t>发包人通过监理人向承包人提供测量基准点、基准线和水准点及其书面资料的期限：</w:t>
      </w:r>
    </w:p>
    <w:p w14:paraId="05C946F9">
      <w:pPr>
        <w:spacing w:line="360" w:lineRule="auto"/>
        <w:jc w:val="left"/>
        <w:rPr>
          <w:color w:val="auto"/>
          <w:highlight w:val="none"/>
          <w:u w:val="single"/>
        </w:rPr>
      </w:pPr>
      <w:r>
        <w:rPr>
          <w:rFonts w:hint="eastAsia" w:ascii="宋体" w:hAnsi="宋体" w:eastAsia="宋体" w:cs="宋体"/>
          <w:color w:val="auto"/>
          <w:szCs w:val="21"/>
          <w:highlight w:val="none"/>
          <w:u w:val="single"/>
        </w:rPr>
        <w:t>开工前3天内</w:t>
      </w:r>
      <w:r>
        <w:rPr>
          <w:rFonts w:hint="eastAsia" w:hAnsi="宋体" w:cs="宋体"/>
          <w:color w:val="auto"/>
          <w:highlight w:val="none"/>
        </w:rPr>
        <w:t>。</w:t>
      </w:r>
    </w:p>
    <w:p w14:paraId="6DD53135">
      <w:pPr>
        <w:spacing w:line="360" w:lineRule="auto"/>
        <w:outlineLvl w:val="9"/>
        <w:rPr>
          <w:color w:val="auto"/>
          <w:highlight w:val="none"/>
        </w:rPr>
      </w:pPr>
      <w:bookmarkStart w:id="545" w:name="_Toc373227727"/>
      <w:bookmarkStart w:id="546" w:name="_Toc1417437583"/>
      <w:bookmarkStart w:id="547" w:name="_Toc78449815"/>
      <w:bookmarkStart w:id="548" w:name="_Toc389065293"/>
      <w:bookmarkStart w:id="549" w:name="_Toc28909"/>
      <w:bookmarkStart w:id="550" w:name="_Toc407135229"/>
      <w:bookmarkStart w:id="551" w:name="_Toc373478374"/>
      <w:bookmarkStart w:id="552" w:name="_Toc14585"/>
      <w:r>
        <w:rPr>
          <w:color w:val="auto"/>
          <w:highlight w:val="none"/>
        </w:rPr>
        <w:t>7</w:t>
      </w:r>
      <w:bookmarkStart w:id="553" w:name="_Toc312678010"/>
      <w:bookmarkStart w:id="554" w:name="_Toc300934968"/>
      <w:bookmarkStart w:id="555" w:name="_Toc303539125"/>
      <w:bookmarkStart w:id="556" w:name="_Toc297216175"/>
      <w:bookmarkStart w:id="557" w:name="_Toc297123516"/>
      <w:bookmarkStart w:id="558" w:name="_Toc304295546"/>
      <w:bookmarkStart w:id="559" w:name="_Toc312677484"/>
      <w:r>
        <w:rPr>
          <w:color w:val="auto"/>
          <w:highlight w:val="none"/>
        </w:rPr>
        <w:t xml:space="preserve">.5 </w:t>
      </w:r>
      <w:r>
        <w:rPr>
          <w:rFonts w:hint="eastAsia" w:hAnsi="宋体" w:cs="黑体"/>
          <w:color w:val="auto"/>
          <w:highlight w:val="none"/>
        </w:rPr>
        <w:t>工期延误</w:t>
      </w:r>
      <w:bookmarkEnd w:id="545"/>
      <w:bookmarkEnd w:id="546"/>
      <w:bookmarkEnd w:id="547"/>
      <w:bookmarkEnd w:id="548"/>
      <w:bookmarkEnd w:id="549"/>
      <w:bookmarkEnd w:id="550"/>
      <w:bookmarkEnd w:id="551"/>
      <w:bookmarkEnd w:id="552"/>
    </w:p>
    <w:bookmarkEnd w:id="553"/>
    <w:bookmarkEnd w:id="554"/>
    <w:bookmarkEnd w:id="555"/>
    <w:bookmarkEnd w:id="556"/>
    <w:bookmarkEnd w:id="557"/>
    <w:bookmarkEnd w:id="558"/>
    <w:bookmarkEnd w:id="559"/>
    <w:p w14:paraId="64A359E2">
      <w:pPr>
        <w:spacing w:line="360" w:lineRule="auto"/>
        <w:ind w:firstLine="420" w:firstLineChars="200"/>
        <w:jc w:val="left"/>
        <w:rPr>
          <w:color w:val="auto"/>
          <w:highlight w:val="none"/>
        </w:rPr>
      </w:pPr>
      <w:r>
        <w:rPr>
          <w:color w:val="auto"/>
          <w:highlight w:val="none"/>
        </w:rPr>
        <w:t xml:space="preserve">7.5.1 </w:t>
      </w:r>
      <w:r>
        <w:rPr>
          <w:rFonts w:hint="eastAsia" w:hAnsi="宋体" w:cs="宋体"/>
          <w:color w:val="auto"/>
          <w:highlight w:val="none"/>
        </w:rPr>
        <w:t>因发包人原因导致工期延误</w:t>
      </w:r>
    </w:p>
    <w:p w14:paraId="31746707">
      <w:pPr>
        <w:spacing w:line="360" w:lineRule="auto"/>
        <w:ind w:firstLine="420" w:firstLineChars="200"/>
        <w:jc w:val="left"/>
        <w:rPr>
          <w:color w:val="auto"/>
          <w:highlight w:val="none"/>
          <w:u w:val="single"/>
        </w:rPr>
      </w:pPr>
      <w:r>
        <w:rPr>
          <w:rFonts w:hint="eastAsia" w:hAnsi="宋体" w:cs="宋体"/>
          <w:color w:val="auto"/>
          <w:highlight w:val="none"/>
        </w:rPr>
        <w:t>（</w:t>
      </w:r>
      <w:r>
        <w:rPr>
          <w:color w:val="auto"/>
          <w:highlight w:val="none"/>
        </w:rPr>
        <w:t>7</w:t>
      </w:r>
      <w:r>
        <w:rPr>
          <w:rFonts w:hint="eastAsia" w:hAnsi="宋体" w:cs="宋体"/>
          <w:color w:val="auto"/>
          <w:highlight w:val="none"/>
        </w:rPr>
        <w:t>）因发包人原因导致工期延误的其他情形：</w:t>
      </w:r>
      <w:r>
        <w:rPr>
          <w:rFonts w:hint="eastAsia" w:ascii="宋体" w:hAnsi="宋体" w:cs="宋体"/>
          <w:color w:val="auto"/>
          <w:highlight w:val="none"/>
          <w:u w:val="single"/>
          <w:lang w:eastAsia="zh-CN"/>
        </w:rPr>
        <w:t>见专用条款</w:t>
      </w:r>
      <w:r>
        <w:rPr>
          <w:rFonts w:hint="eastAsia" w:ascii="宋体" w:hAnsi="宋体" w:cs="宋体"/>
          <w:color w:val="auto"/>
          <w:highlight w:val="none"/>
          <w:u w:val="single"/>
          <w:lang w:val="en-US" w:eastAsia="zh-CN"/>
        </w:rPr>
        <w:t>19.6条</w:t>
      </w:r>
      <w:r>
        <w:rPr>
          <w:rFonts w:hAnsi="宋体"/>
          <w:color w:val="auto"/>
          <w:highlight w:val="none"/>
        </w:rPr>
        <w:t xml:space="preserve"> </w:t>
      </w:r>
      <w:r>
        <w:rPr>
          <w:rFonts w:hint="eastAsia" w:hAnsi="宋体" w:cs="宋体"/>
          <w:color w:val="auto"/>
          <w:highlight w:val="none"/>
        </w:rPr>
        <w:t>。</w:t>
      </w:r>
    </w:p>
    <w:p w14:paraId="08857B08">
      <w:pPr>
        <w:spacing w:line="360" w:lineRule="auto"/>
        <w:ind w:firstLine="420" w:firstLineChars="200"/>
        <w:jc w:val="left"/>
        <w:rPr>
          <w:color w:val="auto"/>
          <w:highlight w:val="none"/>
        </w:rPr>
      </w:pPr>
      <w:r>
        <w:rPr>
          <w:color w:val="auto"/>
          <w:highlight w:val="none"/>
        </w:rPr>
        <w:t>7</w:t>
      </w:r>
      <w:bookmarkStart w:id="560" w:name="_Toc318581169"/>
      <w:bookmarkStart w:id="561" w:name="_Toc312678012"/>
      <w:bookmarkStart w:id="562" w:name="_Toc312677486"/>
      <w:bookmarkStart w:id="563" w:name="_Toc300934970"/>
      <w:bookmarkStart w:id="564" w:name="_Toc303539127"/>
      <w:bookmarkStart w:id="565" w:name="_Toc304295548"/>
      <w:bookmarkStart w:id="566" w:name="_Toc297216177"/>
      <w:bookmarkStart w:id="567" w:name="_Toc297123518"/>
      <w:r>
        <w:rPr>
          <w:color w:val="auto"/>
          <w:highlight w:val="none"/>
        </w:rPr>
        <w:t xml:space="preserve">.5.2 </w:t>
      </w:r>
      <w:r>
        <w:rPr>
          <w:rFonts w:hint="eastAsia" w:hAnsi="宋体" w:cs="宋体"/>
          <w:color w:val="auto"/>
          <w:highlight w:val="none"/>
        </w:rPr>
        <w:t>因承包人原因导致工期延误</w:t>
      </w:r>
    </w:p>
    <w:bookmarkEnd w:id="560"/>
    <w:bookmarkEnd w:id="561"/>
    <w:bookmarkEnd w:id="562"/>
    <w:p w14:paraId="228635E9">
      <w:pPr>
        <w:spacing w:line="360" w:lineRule="auto"/>
        <w:ind w:firstLine="420" w:firstLineChars="200"/>
        <w:jc w:val="left"/>
        <w:rPr>
          <w:color w:val="auto"/>
          <w:highlight w:val="none"/>
        </w:rPr>
      </w:pPr>
      <w:r>
        <w:rPr>
          <w:rFonts w:hint="eastAsia" w:hAnsi="宋体" w:cs="宋体"/>
          <w:color w:val="auto"/>
          <w:highlight w:val="none"/>
        </w:rPr>
        <w:t>因</w:t>
      </w:r>
      <w:bookmarkStart w:id="568" w:name="_Toc312678013"/>
      <w:bookmarkStart w:id="569" w:name="_Toc312677487"/>
      <w:bookmarkStart w:id="570" w:name="_Toc318581170"/>
      <w:r>
        <w:rPr>
          <w:rFonts w:hint="eastAsia" w:hAnsi="宋体" w:cs="宋体"/>
          <w:color w:val="auto"/>
          <w:highlight w:val="none"/>
        </w:rPr>
        <w:t>承包人原因造成工期延误，逾期竣工违约金的计算方法为：</w:t>
      </w:r>
      <w:r>
        <w:rPr>
          <w:rFonts w:hint="eastAsia" w:ascii="宋体" w:hAnsi="宋体" w:cs="宋体"/>
          <w:color w:val="auto"/>
          <w:highlight w:val="none"/>
          <w:u w:val="single"/>
        </w:rPr>
        <w:t>按逾期竣工的单项工程</w:t>
      </w:r>
      <w:r>
        <w:rPr>
          <w:rFonts w:hint="eastAsia" w:ascii="宋体" w:hAnsi="宋体" w:cs="宋体"/>
          <w:color w:val="auto"/>
          <w:highlight w:val="none"/>
          <w:u w:val="single"/>
          <w:lang w:val="en-US" w:eastAsia="zh-CN"/>
        </w:rPr>
        <w:t>处违约金</w:t>
      </w:r>
      <w:r>
        <w:rPr>
          <w:rFonts w:hint="eastAsia" w:ascii="宋体" w:hAnsi="宋体" w:cs="宋体"/>
          <w:color w:val="auto"/>
          <w:highlight w:val="none"/>
          <w:u w:val="single"/>
        </w:rPr>
        <w:t>，每延误一天</w:t>
      </w:r>
      <w:r>
        <w:rPr>
          <w:rFonts w:hint="eastAsia" w:ascii="宋体" w:hAnsi="宋体" w:cs="宋体"/>
          <w:color w:val="auto"/>
          <w:highlight w:val="none"/>
          <w:u w:val="single"/>
          <w:lang w:eastAsia="zh-CN"/>
        </w:rPr>
        <w:t>，</w:t>
      </w:r>
      <w:r>
        <w:rPr>
          <w:rFonts w:hint="eastAsia" w:ascii="宋体" w:hAnsi="宋体" w:cs="宋体"/>
          <w:color w:val="auto"/>
          <w:highlight w:val="none"/>
          <w:u w:val="single"/>
        </w:rPr>
        <w:t>按单项工程应支付给承包人的结算造价的万分之</w:t>
      </w:r>
      <w:r>
        <w:rPr>
          <w:rFonts w:hint="eastAsia" w:ascii="宋体" w:hAnsi="宋体" w:cs="宋体"/>
          <w:color w:val="auto"/>
          <w:highlight w:val="none"/>
          <w:u w:val="single"/>
          <w:lang w:val="en-US" w:eastAsia="zh-CN"/>
        </w:rPr>
        <w:t>五</w:t>
      </w:r>
      <w:r>
        <w:rPr>
          <w:rFonts w:hint="eastAsia" w:ascii="宋体" w:hAnsi="宋体" w:cs="宋体"/>
          <w:color w:val="auto"/>
          <w:highlight w:val="none"/>
          <w:u w:val="single"/>
        </w:rPr>
        <w:t>处</w:t>
      </w:r>
      <w:r>
        <w:rPr>
          <w:rFonts w:hint="eastAsia" w:ascii="宋体" w:hAnsi="宋体" w:cs="宋体"/>
          <w:color w:val="auto"/>
          <w:highlight w:val="none"/>
          <w:u w:val="single"/>
          <w:lang w:val="en-US" w:eastAsia="zh-CN"/>
        </w:rPr>
        <w:t>以违约金</w:t>
      </w:r>
      <w:r>
        <w:rPr>
          <w:rFonts w:hint="eastAsia" w:ascii="宋体" w:hAnsi="宋体" w:cs="宋体"/>
          <w:color w:val="auto"/>
          <w:highlight w:val="none"/>
          <w:u w:val="single"/>
          <w:lang w:eastAsia="zh-CN"/>
        </w:rPr>
        <w:t>，</w:t>
      </w:r>
      <w:r>
        <w:rPr>
          <w:rFonts w:hint="eastAsia" w:ascii="宋体" w:hAnsi="宋体" w:cs="宋体"/>
          <w:color w:val="auto"/>
          <w:highlight w:val="none"/>
          <w:u w:val="single"/>
          <w:lang w:val="en-US" w:eastAsia="zh-CN"/>
        </w:rPr>
        <w:t>违约金</w:t>
      </w:r>
      <w:r>
        <w:rPr>
          <w:rFonts w:hint="eastAsia" w:ascii="宋体" w:hAnsi="宋体" w:cs="宋体"/>
          <w:color w:val="auto"/>
          <w:highlight w:val="none"/>
          <w:u w:val="single"/>
        </w:rPr>
        <w:t>直接从结算款中扣除。</w:t>
      </w:r>
      <w:r>
        <w:rPr>
          <w:rFonts w:hint="eastAsia" w:hAnsi="宋体" w:cs="宋体"/>
          <w:color w:val="auto"/>
          <w:highlight w:val="none"/>
          <w:u w:val="single"/>
        </w:rPr>
        <w:t>误期时间</w:t>
      </w:r>
      <w:r>
        <w:rPr>
          <w:rFonts w:hint="eastAsia" w:hAnsi="宋体" w:cs="宋体"/>
          <w:color w:val="auto"/>
          <w:highlight w:val="none"/>
          <w:u w:val="single"/>
          <w:lang w:val="en-US" w:eastAsia="zh-CN"/>
        </w:rPr>
        <w:t>指</w:t>
      </w:r>
      <w:r>
        <w:rPr>
          <w:rFonts w:hint="eastAsia" w:hAnsi="宋体" w:cs="宋体"/>
          <w:color w:val="auto"/>
          <w:highlight w:val="none"/>
          <w:u w:val="single"/>
        </w:rPr>
        <w:t>从规定竣工日期起直到实际竣工日期</w:t>
      </w:r>
      <w:r>
        <w:rPr>
          <w:rFonts w:hint="eastAsia" w:hAnsi="宋体" w:cs="宋体"/>
          <w:color w:val="auto"/>
          <w:highlight w:val="none"/>
          <w:u w:val="single"/>
          <w:lang w:val="en-US" w:eastAsia="zh-CN"/>
        </w:rPr>
        <w:t>止</w:t>
      </w:r>
      <w:r>
        <w:rPr>
          <w:rFonts w:hint="eastAsia" w:hAnsi="宋体" w:cs="宋体"/>
          <w:color w:val="auto"/>
          <w:highlight w:val="none"/>
          <w:u w:val="single"/>
        </w:rPr>
        <w:t>的天数（扣除发包人批准顺延的工期）。</w:t>
      </w:r>
      <w:bookmarkEnd w:id="563"/>
      <w:bookmarkEnd w:id="564"/>
      <w:bookmarkEnd w:id="565"/>
      <w:bookmarkEnd w:id="566"/>
      <w:bookmarkEnd w:id="567"/>
      <w:bookmarkEnd w:id="568"/>
      <w:bookmarkEnd w:id="569"/>
      <w:bookmarkEnd w:id="570"/>
      <w:r>
        <w:rPr>
          <w:rFonts w:hint="eastAsia" w:hAnsi="宋体" w:cs="宋体"/>
          <w:color w:val="auto"/>
          <w:highlight w:val="none"/>
        </w:rPr>
        <w:t>因承包人原因造成工期延误，逾</w:t>
      </w:r>
      <w:bookmarkStart w:id="571" w:name="_Toc318581171"/>
      <w:bookmarkStart w:id="572" w:name="_Toc312678014"/>
      <w:r>
        <w:rPr>
          <w:rFonts w:hint="eastAsia" w:hAnsi="宋体" w:cs="宋体"/>
          <w:color w:val="auto"/>
          <w:highlight w:val="none"/>
        </w:rPr>
        <w:t>期竣工违约金的上限：</w:t>
      </w:r>
      <w:r>
        <w:rPr>
          <w:rFonts w:hint="eastAsia" w:ascii="宋体" w:hAnsi="宋体" w:cs="宋体"/>
          <w:color w:val="auto"/>
          <w:highlight w:val="none"/>
          <w:u w:val="single"/>
        </w:rPr>
        <w:t>逾期竣工的单项工程结算造价扣除发包人材料价款、暂估专业工程、暂列金额后</w:t>
      </w:r>
      <w:r>
        <w:rPr>
          <w:rFonts w:hint="eastAsia" w:hAnsi="宋体" w:cs="宋体"/>
          <w:color w:val="auto"/>
          <w:highlight w:val="none"/>
          <w:u w:val="single"/>
        </w:rPr>
        <w:t>的</w:t>
      </w:r>
      <w:r>
        <w:rPr>
          <w:rFonts w:hint="eastAsia"/>
          <w:color w:val="auto"/>
          <w:highlight w:val="none"/>
          <w:u w:val="single"/>
          <w:lang w:val="en-US" w:eastAsia="zh-CN"/>
        </w:rPr>
        <w:t>5</w:t>
      </w:r>
      <w:r>
        <w:rPr>
          <w:color w:val="auto"/>
          <w:highlight w:val="none"/>
          <w:u w:val="single"/>
        </w:rPr>
        <w:t>%</w:t>
      </w:r>
      <w:r>
        <w:rPr>
          <w:rFonts w:hint="eastAsia" w:hAnsi="宋体" w:cs="宋体"/>
          <w:color w:val="auto"/>
          <w:highlight w:val="none"/>
        </w:rPr>
        <w:t>。</w:t>
      </w:r>
    </w:p>
    <w:bookmarkEnd w:id="571"/>
    <w:bookmarkEnd w:id="572"/>
    <w:p w14:paraId="6E6A1EF3">
      <w:pPr>
        <w:spacing w:line="360" w:lineRule="auto"/>
        <w:outlineLvl w:val="9"/>
        <w:rPr>
          <w:color w:val="auto"/>
          <w:highlight w:val="none"/>
        </w:rPr>
      </w:pPr>
      <w:bookmarkStart w:id="573" w:name="_Toc407135230"/>
      <w:bookmarkStart w:id="574" w:name="_Toc1954543271"/>
      <w:bookmarkStart w:id="575" w:name="_Toc373227728"/>
      <w:bookmarkStart w:id="576" w:name="_Toc2644"/>
      <w:bookmarkStart w:id="577" w:name="_Toc19613"/>
      <w:bookmarkStart w:id="578" w:name="_Toc373478375"/>
      <w:bookmarkStart w:id="579" w:name="_Toc389065294"/>
      <w:bookmarkStart w:id="580" w:name="_Toc78449816"/>
      <w:r>
        <w:rPr>
          <w:color w:val="auto"/>
          <w:highlight w:val="none"/>
        </w:rPr>
        <w:t>7</w:t>
      </w:r>
      <w:bookmarkStart w:id="581" w:name="_Toc312678015"/>
      <w:bookmarkStart w:id="582" w:name="_Toc297123519"/>
      <w:bookmarkStart w:id="583" w:name="_Toc303539128"/>
      <w:bookmarkStart w:id="584" w:name="_Toc300934971"/>
      <w:bookmarkStart w:id="585" w:name="_Toc304295549"/>
      <w:bookmarkStart w:id="586" w:name="_Toc297216178"/>
      <w:r>
        <w:rPr>
          <w:color w:val="auto"/>
          <w:highlight w:val="none"/>
        </w:rPr>
        <w:t xml:space="preserve">.6 </w:t>
      </w:r>
      <w:r>
        <w:rPr>
          <w:rFonts w:hint="eastAsia" w:cs="黑体"/>
          <w:color w:val="auto"/>
          <w:highlight w:val="none"/>
        </w:rPr>
        <w:t>不</w:t>
      </w:r>
      <w:bookmarkEnd w:id="581"/>
      <w:bookmarkEnd w:id="582"/>
      <w:bookmarkEnd w:id="583"/>
      <w:bookmarkEnd w:id="584"/>
      <w:bookmarkEnd w:id="585"/>
      <w:bookmarkEnd w:id="586"/>
      <w:r>
        <w:rPr>
          <w:rFonts w:hint="eastAsia" w:cs="黑体"/>
          <w:color w:val="auto"/>
          <w:highlight w:val="none"/>
        </w:rPr>
        <w:t>利物质条件</w:t>
      </w:r>
      <w:bookmarkEnd w:id="573"/>
      <w:bookmarkEnd w:id="574"/>
      <w:bookmarkEnd w:id="575"/>
      <w:bookmarkEnd w:id="576"/>
      <w:bookmarkEnd w:id="577"/>
      <w:bookmarkEnd w:id="578"/>
      <w:bookmarkEnd w:id="579"/>
      <w:bookmarkEnd w:id="580"/>
    </w:p>
    <w:p w14:paraId="27C297CA">
      <w:pPr>
        <w:spacing w:line="360" w:lineRule="auto"/>
        <w:ind w:firstLine="420" w:firstLineChars="200"/>
        <w:jc w:val="left"/>
        <w:rPr>
          <w:color w:val="auto"/>
          <w:highlight w:val="none"/>
          <w:u w:val="single"/>
        </w:rPr>
      </w:pPr>
      <w:bookmarkStart w:id="587" w:name="_Toc300934972"/>
      <w:bookmarkStart w:id="588" w:name="_Toc303539129"/>
      <w:bookmarkStart w:id="589" w:name="_Toc312678016"/>
      <w:bookmarkStart w:id="590" w:name="_Toc304295550"/>
      <w:bookmarkStart w:id="591" w:name="_Toc318581172"/>
      <w:bookmarkStart w:id="592" w:name="_Toc297123520"/>
      <w:bookmarkStart w:id="593" w:name="_Toc297216179"/>
      <w:r>
        <w:rPr>
          <w:rFonts w:hint="eastAsia" w:hAnsi="宋体" w:cs="宋体"/>
          <w:color w:val="auto"/>
          <w:highlight w:val="none"/>
        </w:rPr>
        <w:t>不利物质条件的其他情形和有关约定：</w:t>
      </w:r>
      <w:r>
        <w:rPr>
          <w:rFonts w:hint="eastAsia" w:ascii="宋体" w:hAnsi="宋体" w:eastAsia="宋体" w:cs="宋体"/>
          <w:color w:val="auto"/>
          <w:szCs w:val="21"/>
          <w:highlight w:val="none"/>
          <w:u w:val="single"/>
        </w:rPr>
        <w:t>气象台发布的黄色预警及以上天气、恶劣的霜冻与冰冻天气</w:t>
      </w:r>
      <w:r>
        <w:rPr>
          <w:rFonts w:hint="eastAsia" w:hAnsi="宋体" w:cs="宋体"/>
          <w:color w:val="auto"/>
          <w:highlight w:val="none"/>
        </w:rPr>
        <w:t>。</w:t>
      </w:r>
    </w:p>
    <w:bookmarkEnd w:id="587"/>
    <w:bookmarkEnd w:id="588"/>
    <w:bookmarkEnd w:id="589"/>
    <w:bookmarkEnd w:id="590"/>
    <w:bookmarkEnd w:id="591"/>
    <w:bookmarkEnd w:id="592"/>
    <w:bookmarkEnd w:id="593"/>
    <w:p w14:paraId="5C530FDF">
      <w:pPr>
        <w:spacing w:line="360" w:lineRule="auto"/>
        <w:outlineLvl w:val="9"/>
        <w:rPr>
          <w:color w:val="auto"/>
          <w:highlight w:val="none"/>
        </w:rPr>
      </w:pPr>
      <w:bookmarkStart w:id="594" w:name="_Toc407135231"/>
      <w:bookmarkStart w:id="595" w:name="_Toc851880484"/>
      <w:bookmarkStart w:id="596" w:name="_Toc78449817"/>
      <w:bookmarkStart w:id="597" w:name="_Toc23270"/>
      <w:bookmarkStart w:id="598" w:name="_Toc373227729"/>
      <w:bookmarkStart w:id="599" w:name="_Toc373478376"/>
      <w:bookmarkStart w:id="600" w:name="_Toc389065295"/>
      <w:bookmarkStart w:id="601" w:name="_Toc1120"/>
      <w:r>
        <w:rPr>
          <w:color w:val="auto"/>
          <w:highlight w:val="none"/>
        </w:rPr>
        <w:t>7</w:t>
      </w:r>
      <w:bookmarkStart w:id="602" w:name="_Toc303539130"/>
      <w:bookmarkStart w:id="603" w:name="_Toc297216180"/>
      <w:bookmarkStart w:id="604" w:name="_Toc297123521"/>
      <w:bookmarkStart w:id="605" w:name="_Toc312678017"/>
      <w:bookmarkStart w:id="606" w:name="_Toc304295551"/>
      <w:bookmarkStart w:id="607" w:name="_Toc300934973"/>
      <w:r>
        <w:rPr>
          <w:color w:val="auto"/>
          <w:highlight w:val="none"/>
        </w:rPr>
        <w:t xml:space="preserve">.7 </w:t>
      </w:r>
      <w:r>
        <w:rPr>
          <w:rFonts w:hint="eastAsia" w:cs="黑体"/>
          <w:color w:val="auto"/>
          <w:highlight w:val="none"/>
        </w:rPr>
        <w:t>异常恶劣的气候条件</w:t>
      </w:r>
      <w:bookmarkEnd w:id="594"/>
      <w:bookmarkEnd w:id="595"/>
      <w:bookmarkEnd w:id="596"/>
      <w:bookmarkEnd w:id="597"/>
      <w:bookmarkEnd w:id="598"/>
      <w:bookmarkEnd w:id="599"/>
      <w:bookmarkEnd w:id="600"/>
      <w:bookmarkEnd w:id="601"/>
    </w:p>
    <w:bookmarkEnd w:id="602"/>
    <w:bookmarkEnd w:id="603"/>
    <w:bookmarkEnd w:id="604"/>
    <w:bookmarkEnd w:id="605"/>
    <w:bookmarkEnd w:id="606"/>
    <w:bookmarkEnd w:id="607"/>
    <w:p w14:paraId="1935C668">
      <w:pPr>
        <w:spacing w:line="360" w:lineRule="auto"/>
        <w:ind w:firstLine="420" w:firstLineChars="200"/>
        <w:jc w:val="left"/>
        <w:rPr>
          <w:color w:val="auto"/>
          <w:highlight w:val="none"/>
        </w:rPr>
      </w:pPr>
      <w:r>
        <w:rPr>
          <w:rFonts w:hint="eastAsia" w:hAnsi="宋体" w:cs="宋体"/>
          <w:color w:val="auto"/>
          <w:highlight w:val="none"/>
        </w:rPr>
        <w:t>发包人和承包人同意以下情形视为异常恶劣的气候条件：</w:t>
      </w:r>
    </w:p>
    <w:p w14:paraId="1DB8ABE7">
      <w:pPr>
        <w:spacing w:line="360" w:lineRule="auto"/>
        <w:ind w:firstLine="420" w:firstLineChars="200"/>
        <w:jc w:val="left"/>
        <w:rPr>
          <w:rFonts w:hint="eastAsia" w:eastAsia="宋体"/>
          <w:color w:val="auto"/>
          <w:highlight w:val="none"/>
          <w:lang w:eastAsia="zh-CN"/>
        </w:rPr>
      </w:pPr>
      <w:r>
        <w:rPr>
          <w:rFonts w:hint="eastAsia" w:hAnsi="宋体" w:cs="宋体"/>
          <w:color w:val="auto"/>
          <w:highlight w:val="none"/>
          <w:lang w:eastAsia="zh-CN"/>
        </w:rPr>
        <w:t>(</w:t>
      </w:r>
      <w:r>
        <w:rPr>
          <w:color w:val="auto"/>
          <w:highlight w:val="none"/>
        </w:rPr>
        <w:t>1</w:t>
      </w:r>
      <w:r>
        <w:rPr>
          <w:rFonts w:hint="eastAsia"/>
          <w:color w:val="auto"/>
          <w:highlight w:val="none"/>
          <w:lang w:eastAsia="zh-CN"/>
        </w:rPr>
        <w:t>)</w:t>
      </w:r>
      <w:r>
        <w:rPr>
          <w:color w:val="auto"/>
          <w:highlight w:val="none"/>
          <w:u w:val="single"/>
        </w:rPr>
        <w:t xml:space="preserve"> </w:t>
      </w:r>
      <w:r>
        <w:rPr>
          <w:rFonts w:hint="eastAsia" w:ascii="宋体" w:hAnsi="宋体" w:eastAsia="宋体" w:cs="宋体"/>
          <w:color w:val="auto"/>
          <w:szCs w:val="21"/>
          <w:highlight w:val="none"/>
          <w:u w:val="single"/>
        </w:rPr>
        <w:t>中雨级及以上的雨天；持续2天38度的高温天气；持续2天零度以下的低温天气；25年以上未发生过的洪水； 6级及以上的地震；6级及以上的大风</w:t>
      </w:r>
      <w:r>
        <w:rPr>
          <w:rFonts w:hint="eastAsia"/>
          <w:color w:val="auto"/>
          <w:highlight w:val="none"/>
          <w:u w:val="single"/>
          <w:lang w:eastAsia="zh-CN"/>
        </w:rPr>
        <w:t>。</w:t>
      </w:r>
    </w:p>
    <w:p w14:paraId="0D2A7586">
      <w:pPr>
        <w:spacing w:line="360" w:lineRule="auto"/>
        <w:outlineLvl w:val="9"/>
        <w:rPr>
          <w:color w:val="auto"/>
          <w:highlight w:val="none"/>
          <w:lang w:val="en-US"/>
        </w:rPr>
      </w:pPr>
      <w:bookmarkStart w:id="608" w:name="_Toc13996"/>
      <w:bookmarkStart w:id="609" w:name="_Toc389065296"/>
      <w:bookmarkStart w:id="610" w:name="_Toc407135232"/>
      <w:bookmarkStart w:id="611" w:name="_Toc373227730"/>
      <w:bookmarkStart w:id="612" w:name="_Toc373478377"/>
      <w:bookmarkStart w:id="613" w:name="_Toc657185480"/>
      <w:bookmarkStart w:id="614" w:name="_Toc26066"/>
      <w:bookmarkStart w:id="615" w:name="_Toc78449818"/>
      <w:r>
        <w:rPr>
          <w:color w:val="auto"/>
          <w:highlight w:val="none"/>
          <w:lang w:val="en-US"/>
        </w:rPr>
        <w:t xml:space="preserve">7.9 </w:t>
      </w:r>
      <w:r>
        <w:rPr>
          <w:rFonts w:hint="eastAsia" w:hAnsi="宋体" w:cs="黑体"/>
          <w:color w:val="auto"/>
          <w:highlight w:val="none"/>
        </w:rPr>
        <w:t>提前竣工</w:t>
      </w:r>
      <w:bookmarkEnd w:id="608"/>
      <w:bookmarkEnd w:id="609"/>
      <w:bookmarkEnd w:id="610"/>
      <w:bookmarkEnd w:id="611"/>
      <w:bookmarkEnd w:id="612"/>
      <w:bookmarkEnd w:id="613"/>
      <w:bookmarkEnd w:id="614"/>
      <w:bookmarkEnd w:id="615"/>
    </w:p>
    <w:p w14:paraId="7B2B858C">
      <w:pPr>
        <w:spacing w:line="360" w:lineRule="auto"/>
        <w:ind w:firstLine="420" w:firstLineChars="200"/>
        <w:jc w:val="left"/>
        <w:rPr>
          <w:rFonts w:hAnsi="宋体"/>
          <w:color w:val="auto"/>
          <w:highlight w:val="none"/>
        </w:rPr>
      </w:pPr>
      <w:r>
        <w:rPr>
          <w:color w:val="auto"/>
          <w:highlight w:val="none"/>
        </w:rPr>
        <w:t>7.9.2</w:t>
      </w:r>
      <w:r>
        <w:rPr>
          <w:rFonts w:hint="eastAsia" w:hAnsi="宋体" w:cs="宋体"/>
          <w:color w:val="auto"/>
          <w:highlight w:val="none"/>
        </w:rPr>
        <w:t>提前竣工（赶工）增加费的计算方法：</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highlight w:val="none"/>
        </w:rPr>
        <w:t>。</w:t>
      </w:r>
    </w:p>
    <w:p w14:paraId="15DD115A">
      <w:pPr>
        <w:spacing w:line="360" w:lineRule="auto"/>
        <w:outlineLvl w:val="9"/>
        <w:rPr>
          <w:color w:val="auto"/>
          <w:highlight w:val="none"/>
        </w:rPr>
      </w:pPr>
      <w:bookmarkStart w:id="616" w:name="_Toc1302158431"/>
      <w:bookmarkStart w:id="617" w:name="_Toc17641"/>
      <w:bookmarkStart w:id="618" w:name="_Toc389065297"/>
      <w:bookmarkStart w:id="619" w:name="_Toc78449819"/>
      <w:bookmarkStart w:id="620" w:name="_Toc373478378"/>
      <w:bookmarkStart w:id="621" w:name="_Toc351203640"/>
      <w:bookmarkStart w:id="622" w:name="_Toc407135233"/>
      <w:bookmarkStart w:id="623" w:name="_Toc373227731"/>
      <w:r>
        <w:rPr>
          <w:color w:val="auto"/>
          <w:highlight w:val="none"/>
        </w:rPr>
        <w:t xml:space="preserve">8. </w:t>
      </w:r>
      <w:r>
        <w:rPr>
          <w:rFonts w:hint="eastAsia" w:cs="黑体"/>
          <w:color w:val="auto"/>
          <w:highlight w:val="none"/>
        </w:rPr>
        <w:t>材料与设备</w:t>
      </w:r>
      <w:bookmarkEnd w:id="616"/>
      <w:bookmarkEnd w:id="617"/>
      <w:bookmarkEnd w:id="618"/>
      <w:bookmarkEnd w:id="619"/>
      <w:bookmarkEnd w:id="620"/>
      <w:bookmarkEnd w:id="621"/>
      <w:bookmarkEnd w:id="622"/>
      <w:bookmarkEnd w:id="623"/>
    </w:p>
    <w:bookmarkEnd w:id="449"/>
    <w:bookmarkEnd w:id="450"/>
    <w:bookmarkEnd w:id="451"/>
    <w:bookmarkEnd w:id="452"/>
    <w:bookmarkEnd w:id="453"/>
    <w:bookmarkEnd w:id="454"/>
    <w:bookmarkEnd w:id="455"/>
    <w:bookmarkEnd w:id="456"/>
    <w:bookmarkEnd w:id="457"/>
    <w:bookmarkEnd w:id="458"/>
    <w:p w14:paraId="400D0A18">
      <w:pPr>
        <w:spacing w:line="360" w:lineRule="auto"/>
        <w:outlineLvl w:val="9"/>
        <w:rPr>
          <w:color w:val="auto"/>
          <w:highlight w:val="none"/>
        </w:rPr>
      </w:pPr>
      <w:bookmarkStart w:id="624" w:name="_Toc78449820"/>
      <w:bookmarkStart w:id="625" w:name="_Toc1743"/>
      <w:bookmarkStart w:id="626" w:name="_Toc407135234"/>
      <w:bookmarkStart w:id="627" w:name="_Toc1119561048"/>
      <w:bookmarkStart w:id="628" w:name="_Toc373478379"/>
      <w:bookmarkStart w:id="629" w:name="_Toc373227732"/>
      <w:bookmarkStart w:id="630" w:name="_Toc389065298"/>
      <w:bookmarkStart w:id="631" w:name="_Toc295"/>
      <w:r>
        <w:rPr>
          <w:color w:val="auto"/>
          <w:highlight w:val="none"/>
        </w:rPr>
        <w:t xml:space="preserve">8.2 </w:t>
      </w:r>
      <w:r>
        <w:rPr>
          <w:rFonts w:hint="eastAsia" w:cs="黑体"/>
          <w:color w:val="auto"/>
          <w:highlight w:val="none"/>
        </w:rPr>
        <w:t>承包人采购材料与工程设备</w:t>
      </w:r>
      <w:bookmarkEnd w:id="624"/>
      <w:bookmarkEnd w:id="625"/>
      <w:bookmarkEnd w:id="626"/>
      <w:bookmarkEnd w:id="627"/>
      <w:bookmarkEnd w:id="628"/>
      <w:bookmarkEnd w:id="629"/>
      <w:bookmarkEnd w:id="630"/>
      <w:bookmarkEnd w:id="631"/>
    </w:p>
    <w:p w14:paraId="7D925FB9">
      <w:pPr>
        <w:autoSpaceDE w:val="0"/>
        <w:autoSpaceDN w:val="0"/>
        <w:adjustRightInd w:val="0"/>
        <w:spacing w:line="360" w:lineRule="auto"/>
        <w:ind w:firstLine="420" w:firstLineChars="200"/>
        <w:jc w:val="left"/>
        <w:rPr>
          <w:rFonts w:hint="eastAsia" w:cs="宋体"/>
          <w:color w:val="auto"/>
          <w:highlight w:val="none"/>
        </w:rPr>
      </w:pPr>
      <w:r>
        <w:rPr>
          <w:rFonts w:hint="eastAsia" w:cs="宋体"/>
          <w:color w:val="auto"/>
          <w:kern w:val="0"/>
          <w:highlight w:val="none"/>
        </w:rPr>
        <w:t>除已标价工程量清单《发包人提供主要材料和工程设备一览表》（表</w:t>
      </w:r>
      <w:r>
        <w:rPr>
          <w:color w:val="auto"/>
          <w:kern w:val="0"/>
          <w:highlight w:val="none"/>
        </w:rPr>
        <w:t>-</w:t>
      </w:r>
      <w:r>
        <w:rPr>
          <w:rFonts w:hint="eastAsia"/>
          <w:color w:val="auto"/>
          <w:kern w:val="0"/>
          <w:highlight w:val="none"/>
          <w:lang w:val="en-US" w:eastAsia="zh-CN"/>
        </w:rPr>
        <w:t>15</w:t>
      </w:r>
      <w:r>
        <w:rPr>
          <w:rFonts w:hint="eastAsia" w:cs="宋体"/>
          <w:color w:val="auto"/>
          <w:kern w:val="0"/>
          <w:highlight w:val="none"/>
        </w:rPr>
        <w:t>）中明确的材料、工程设备外，由承包人负责材料和工程设备的采购、运输和保管。</w:t>
      </w:r>
      <w:bookmarkStart w:id="632" w:name="_Toc389065299"/>
      <w:bookmarkStart w:id="633" w:name="_Toc373478380"/>
      <w:bookmarkStart w:id="634" w:name="_Toc373227733"/>
    </w:p>
    <w:p w14:paraId="70EF31B9">
      <w:pPr>
        <w:autoSpaceDE w:val="0"/>
        <w:autoSpaceDN w:val="0"/>
        <w:adjustRightInd w:val="0"/>
        <w:spacing w:line="360" w:lineRule="auto"/>
        <w:ind w:firstLine="420" w:firstLineChars="200"/>
        <w:jc w:val="left"/>
        <w:rPr>
          <w:rFonts w:cs="宋体"/>
          <w:color w:val="auto"/>
          <w:highlight w:val="none"/>
        </w:rPr>
      </w:pPr>
      <w:r>
        <w:rPr>
          <w:rFonts w:hint="eastAsia" w:cs="宋体"/>
          <w:color w:val="auto"/>
          <w:highlight w:val="none"/>
        </w:rPr>
        <w:t>对发包人在招标时有</w:t>
      </w:r>
      <w:r>
        <w:rPr>
          <w:rFonts w:hint="eastAsia" w:cs="宋体"/>
          <w:color w:val="auto"/>
          <w:highlight w:val="none"/>
          <w:lang w:eastAsia="zh-CN"/>
        </w:rPr>
        <w:t>“</w:t>
      </w:r>
      <w:r>
        <w:rPr>
          <w:rFonts w:hint="eastAsia" w:cs="宋体"/>
          <w:color w:val="auto"/>
          <w:highlight w:val="none"/>
        </w:rPr>
        <w:t>参照或相当于</w:t>
      </w:r>
      <w:r>
        <w:rPr>
          <w:color w:val="auto"/>
          <w:highlight w:val="none"/>
        </w:rPr>
        <w:t>**</w:t>
      </w:r>
      <w:r>
        <w:rPr>
          <w:rFonts w:hint="eastAsia" w:cs="宋体"/>
          <w:color w:val="auto"/>
          <w:highlight w:val="none"/>
        </w:rPr>
        <w:t>品牌、级别</w:t>
      </w:r>
      <w:r>
        <w:rPr>
          <w:rFonts w:hint="eastAsia" w:cs="宋体"/>
          <w:color w:val="auto"/>
          <w:highlight w:val="none"/>
          <w:lang w:eastAsia="zh-CN"/>
        </w:rPr>
        <w:t>”</w:t>
      </w:r>
      <w:r>
        <w:rPr>
          <w:rFonts w:hint="eastAsia" w:cs="宋体"/>
          <w:color w:val="auto"/>
          <w:highlight w:val="none"/>
        </w:rPr>
        <w:t>约定的材料或设备，承包人采购时必须按类似于或优于所约定品牌、等级进行采购，施工期间该部分材料或设备如未超过招标约定的风险幅度的，结算时按投标单价支付，不得调整。</w:t>
      </w:r>
    </w:p>
    <w:p w14:paraId="2F1601ED">
      <w:pPr>
        <w:autoSpaceDE w:val="0"/>
        <w:autoSpaceDN w:val="0"/>
        <w:adjustRightInd w:val="0"/>
        <w:spacing w:line="360" w:lineRule="auto"/>
        <w:ind w:firstLine="420" w:firstLineChars="200"/>
        <w:jc w:val="left"/>
        <w:rPr>
          <w:rFonts w:hint="eastAsia"/>
          <w:color w:val="auto"/>
          <w:highlight w:val="none"/>
        </w:rPr>
      </w:pPr>
      <w:r>
        <w:rPr>
          <w:rFonts w:hint="eastAsia"/>
          <w:color w:val="auto"/>
          <w:highlight w:val="none"/>
        </w:rPr>
        <w:t>禁止使用松木、松木包装材料设备、种子、苗木、花卉及繁殖材料。</w:t>
      </w:r>
    </w:p>
    <w:p w14:paraId="650BF53C">
      <w:pPr>
        <w:spacing w:line="360" w:lineRule="auto"/>
        <w:outlineLvl w:val="9"/>
        <w:rPr>
          <w:color w:val="auto"/>
          <w:highlight w:val="none"/>
        </w:rPr>
      </w:pPr>
      <w:bookmarkStart w:id="635" w:name="_Toc407135235"/>
      <w:bookmarkStart w:id="636" w:name="_Toc14200"/>
      <w:bookmarkStart w:id="637" w:name="_Toc78449821"/>
      <w:bookmarkStart w:id="638" w:name="_Toc800965933"/>
      <w:bookmarkStart w:id="639" w:name="_Toc10054"/>
      <w:r>
        <w:rPr>
          <w:color w:val="auto"/>
          <w:highlight w:val="none"/>
        </w:rPr>
        <w:t>8</w:t>
      </w:r>
      <w:bookmarkStart w:id="640" w:name="_Toc297048353"/>
      <w:bookmarkStart w:id="641" w:name="_Toc280868654"/>
      <w:bookmarkStart w:id="642" w:name="_Toc303539136"/>
      <w:bookmarkStart w:id="643" w:name="_Toc296347166"/>
      <w:bookmarkStart w:id="644" w:name="_Toc312677493"/>
      <w:bookmarkStart w:id="645" w:name="_Toc296944506"/>
      <w:bookmarkStart w:id="646" w:name="_Toc300934979"/>
      <w:bookmarkStart w:id="647" w:name="_Toc296346668"/>
      <w:bookmarkStart w:id="648" w:name="_Toc312678019"/>
      <w:bookmarkStart w:id="649" w:name="_Toc297120467"/>
      <w:bookmarkStart w:id="650" w:name="_Toc296503167"/>
      <w:bookmarkStart w:id="651" w:name="_Toc304295556"/>
      <w:bookmarkStart w:id="652" w:name="_Toc296890995"/>
      <w:bookmarkStart w:id="653" w:name="_Toc297123527"/>
      <w:bookmarkStart w:id="654" w:name="_Toc292559372"/>
      <w:bookmarkStart w:id="655" w:name="_Toc297216186"/>
      <w:bookmarkStart w:id="656" w:name="_Toc296891207"/>
      <w:bookmarkStart w:id="657" w:name="_Toc292559877"/>
      <w:bookmarkStart w:id="658" w:name="_Toc280868655"/>
      <w:bookmarkStart w:id="659" w:name="_Toc267251424"/>
      <w:bookmarkStart w:id="660" w:name="_Toc280868656"/>
      <w:r>
        <w:rPr>
          <w:color w:val="auto"/>
          <w:highlight w:val="none"/>
        </w:rPr>
        <w:t xml:space="preserve">.4 </w:t>
      </w:r>
      <w:r>
        <w:rPr>
          <w:rFonts w:hint="eastAsia" w:cs="黑体"/>
          <w:color w:val="auto"/>
          <w:highlight w:val="none"/>
        </w:rPr>
        <w:t>材料与工程设备的保管与使用</w:t>
      </w:r>
      <w:bookmarkEnd w:id="632"/>
      <w:bookmarkEnd w:id="633"/>
      <w:bookmarkEnd w:id="634"/>
      <w:bookmarkEnd w:id="635"/>
      <w:bookmarkEnd w:id="636"/>
      <w:bookmarkEnd w:id="637"/>
      <w:bookmarkEnd w:id="638"/>
      <w:bookmarkEnd w:id="639"/>
    </w:p>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14:paraId="5EF777FD">
      <w:pPr>
        <w:spacing w:line="360" w:lineRule="auto"/>
        <w:ind w:firstLine="420" w:firstLineChars="200"/>
        <w:jc w:val="left"/>
        <w:rPr>
          <w:color w:val="auto"/>
          <w:highlight w:val="none"/>
          <w:u w:val="single"/>
        </w:rPr>
      </w:pPr>
      <w:r>
        <w:rPr>
          <w:color w:val="auto"/>
          <w:highlight w:val="none"/>
        </w:rPr>
        <w:t>8</w:t>
      </w:r>
      <w:bookmarkStart w:id="661" w:name="_Toc292559878"/>
      <w:bookmarkStart w:id="662" w:name="_Toc292559373"/>
      <w:bookmarkStart w:id="663" w:name="_Toc300934980"/>
      <w:bookmarkStart w:id="664" w:name="_Toc297216187"/>
      <w:bookmarkStart w:id="665" w:name="_Toc304295557"/>
      <w:bookmarkStart w:id="666" w:name="_Toc318581173"/>
      <w:bookmarkStart w:id="667" w:name="_Toc296346669"/>
      <w:bookmarkStart w:id="668" w:name="_Toc312678020"/>
      <w:bookmarkStart w:id="669" w:name="_Toc297120468"/>
      <w:bookmarkStart w:id="670" w:name="_Toc296347167"/>
      <w:bookmarkStart w:id="671" w:name="_Toc296503168"/>
      <w:bookmarkStart w:id="672" w:name="_Toc303539137"/>
      <w:bookmarkStart w:id="673" w:name="_Toc297048354"/>
      <w:bookmarkStart w:id="674" w:name="_Toc297123528"/>
      <w:bookmarkStart w:id="675" w:name="_Toc296944507"/>
      <w:bookmarkStart w:id="676" w:name="_Toc312677494"/>
      <w:bookmarkStart w:id="677" w:name="_Toc296891208"/>
      <w:bookmarkStart w:id="678" w:name="_Toc296890996"/>
      <w:r>
        <w:rPr>
          <w:color w:val="auto"/>
          <w:highlight w:val="none"/>
        </w:rPr>
        <w:t>.4.1</w:t>
      </w:r>
      <w:r>
        <w:rPr>
          <w:rFonts w:hint="eastAsia" w:hAnsi="宋体" w:cs="宋体"/>
          <w:color w:val="auto"/>
          <w:highlight w:val="none"/>
        </w:rPr>
        <w:t>发包人供应的材料设备的保管费用的承担：</w:t>
      </w:r>
      <w:r>
        <w:rPr>
          <w:color w:val="auto"/>
          <w:highlight w:val="none"/>
          <w:u w:val="single"/>
        </w:rPr>
        <w:t xml:space="preserve">  </w:t>
      </w:r>
      <w:r>
        <w:rPr>
          <w:rFonts w:hint="eastAsia" w:ascii="宋体" w:hAnsi="宋体" w:eastAsia="宋体" w:cs="宋体"/>
          <w:color w:val="auto"/>
          <w:szCs w:val="21"/>
          <w:highlight w:val="none"/>
          <w:u w:val="single"/>
        </w:rPr>
        <w:t xml:space="preserve">  承包人（施工现场内）  </w:t>
      </w:r>
      <w:r>
        <w:rPr>
          <w:color w:val="auto"/>
          <w:highlight w:val="none"/>
          <w:u w:val="single"/>
        </w:rPr>
        <w:t xml:space="preserve">     </w:t>
      </w:r>
      <w:r>
        <w:rPr>
          <w:rFonts w:hint="eastAsia" w:hAnsi="宋体" w:cs="宋体"/>
          <w:color w:val="auto"/>
          <w:highlight w:val="none"/>
        </w:rPr>
        <w:t>。</w:t>
      </w:r>
    </w:p>
    <w:bookmarkEnd w:id="661"/>
    <w:bookmarkEnd w:id="662"/>
    <w:p w14:paraId="7EE88A7D">
      <w:pPr>
        <w:spacing w:line="360" w:lineRule="auto"/>
        <w:outlineLvl w:val="9"/>
        <w:rPr>
          <w:color w:val="auto"/>
          <w:highlight w:val="none"/>
        </w:rPr>
      </w:pPr>
      <w:bookmarkStart w:id="679" w:name="_Toc373478381"/>
      <w:bookmarkStart w:id="680" w:name="_Toc373227734"/>
      <w:bookmarkStart w:id="681" w:name="_Toc78449822"/>
      <w:bookmarkStart w:id="682" w:name="_Toc13223"/>
      <w:bookmarkStart w:id="683" w:name="_Toc407135236"/>
      <w:bookmarkStart w:id="684" w:name="_Toc125914831"/>
      <w:bookmarkStart w:id="685" w:name="_Toc389065300"/>
      <w:bookmarkStart w:id="686" w:name="_Toc18522"/>
      <w:r>
        <w:rPr>
          <w:color w:val="auto"/>
          <w:highlight w:val="none"/>
        </w:rPr>
        <w:t xml:space="preserve">8.6 </w:t>
      </w:r>
      <w:r>
        <w:rPr>
          <w:rFonts w:hint="eastAsia" w:hAnsi="宋体" w:cs="黑体"/>
          <w:color w:val="auto"/>
          <w:highlight w:val="none"/>
        </w:rPr>
        <w:t>样品</w:t>
      </w:r>
      <w:bookmarkEnd w:id="679"/>
      <w:bookmarkEnd w:id="680"/>
      <w:bookmarkEnd w:id="681"/>
      <w:bookmarkEnd w:id="682"/>
      <w:bookmarkEnd w:id="683"/>
      <w:bookmarkEnd w:id="684"/>
      <w:bookmarkEnd w:id="685"/>
      <w:bookmarkEnd w:id="686"/>
    </w:p>
    <w:p w14:paraId="233AC0E5">
      <w:pPr>
        <w:autoSpaceDE w:val="0"/>
        <w:autoSpaceDN w:val="0"/>
        <w:adjustRightInd w:val="0"/>
        <w:spacing w:line="360" w:lineRule="auto"/>
        <w:ind w:firstLine="420" w:firstLineChars="200"/>
        <w:jc w:val="left"/>
        <w:rPr>
          <w:color w:val="auto"/>
          <w:kern w:val="0"/>
          <w:highlight w:val="none"/>
        </w:rPr>
      </w:pPr>
      <w:r>
        <w:rPr>
          <w:color w:val="auto"/>
          <w:kern w:val="0"/>
          <w:highlight w:val="none"/>
        </w:rPr>
        <w:t xml:space="preserve">8.6.1 </w:t>
      </w:r>
      <w:r>
        <w:rPr>
          <w:rFonts w:hint="eastAsia" w:hAnsi="宋体" w:cs="宋体"/>
          <w:color w:val="auto"/>
          <w:kern w:val="0"/>
          <w:highlight w:val="none"/>
        </w:rPr>
        <w:t>样品的报送与封存</w:t>
      </w:r>
    </w:p>
    <w:p w14:paraId="5C4920C8">
      <w:pPr>
        <w:autoSpaceDE w:val="0"/>
        <w:autoSpaceDN w:val="0"/>
        <w:adjustRightInd w:val="0"/>
        <w:spacing w:line="360" w:lineRule="auto"/>
        <w:ind w:firstLine="420" w:firstLineChars="200"/>
        <w:jc w:val="left"/>
        <w:rPr>
          <w:color w:val="auto"/>
          <w:highlight w:val="none"/>
          <w:u w:val="single"/>
        </w:rPr>
      </w:pPr>
      <w:r>
        <w:rPr>
          <w:rFonts w:hint="eastAsia" w:hAnsi="宋体" w:cs="宋体"/>
          <w:color w:val="auto"/>
          <w:kern w:val="0"/>
          <w:highlight w:val="none"/>
        </w:rPr>
        <w:t>需要承包人报送样品的材料或工程设备，样品的种类、名称、规格、数量要求：</w:t>
      </w:r>
      <w:r>
        <w:rPr>
          <w:rFonts w:hint="eastAsia" w:hAnsi="宋体" w:cs="宋体"/>
          <w:color w:val="auto"/>
          <w:highlight w:val="none"/>
          <w:u w:val="single"/>
        </w:rPr>
        <w:t>主要材料涉及品种、款式、颜色等方面内容的，承包人应提交准备合格的材料样品送发包人选定。</w:t>
      </w:r>
    </w:p>
    <w:p w14:paraId="5E79F1A7">
      <w:pPr>
        <w:spacing w:line="360" w:lineRule="auto"/>
        <w:outlineLvl w:val="9"/>
        <w:rPr>
          <w:color w:val="auto"/>
          <w:highlight w:val="none"/>
        </w:rPr>
      </w:pPr>
      <w:bookmarkStart w:id="687" w:name="_Toc389065301"/>
      <w:bookmarkStart w:id="688" w:name="_Toc407135237"/>
      <w:bookmarkStart w:id="689" w:name="_Toc373227735"/>
      <w:bookmarkStart w:id="690" w:name="_Toc373478382"/>
      <w:bookmarkStart w:id="691" w:name="_Toc1049576644"/>
      <w:bookmarkStart w:id="692" w:name="_Toc23716"/>
      <w:bookmarkStart w:id="693" w:name="_Toc78449823"/>
      <w:bookmarkStart w:id="694" w:name="_Toc32490"/>
      <w:r>
        <w:rPr>
          <w:color w:val="auto"/>
          <w:highlight w:val="none"/>
        </w:rPr>
        <w:t xml:space="preserve">8.8 </w:t>
      </w:r>
      <w:r>
        <w:rPr>
          <w:rFonts w:hint="eastAsia" w:cs="黑体"/>
          <w:color w:val="auto"/>
          <w:highlight w:val="none"/>
        </w:rPr>
        <w:t>施工设备和临时设施</w:t>
      </w:r>
      <w:bookmarkEnd w:id="687"/>
      <w:bookmarkEnd w:id="688"/>
      <w:bookmarkEnd w:id="689"/>
      <w:bookmarkEnd w:id="690"/>
      <w:bookmarkEnd w:id="691"/>
      <w:bookmarkEnd w:id="692"/>
      <w:bookmarkEnd w:id="693"/>
      <w:bookmarkEnd w:id="694"/>
    </w:p>
    <w:p w14:paraId="34AC22A1">
      <w:pPr>
        <w:autoSpaceDE w:val="0"/>
        <w:autoSpaceDN w:val="0"/>
        <w:adjustRightInd w:val="0"/>
        <w:spacing w:line="360" w:lineRule="auto"/>
        <w:ind w:firstLine="420" w:firstLineChars="200"/>
        <w:jc w:val="left"/>
        <w:rPr>
          <w:color w:val="auto"/>
          <w:highlight w:val="none"/>
        </w:rPr>
      </w:pPr>
      <w:r>
        <w:rPr>
          <w:color w:val="auto"/>
          <w:highlight w:val="none"/>
        </w:rPr>
        <w:t xml:space="preserve">8.8.1 </w:t>
      </w:r>
      <w:r>
        <w:rPr>
          <w:rFonts w:hint="eastAsia" w:hAnsi="宋体" w:cs="宋体"/>
          <w:color w:val="auto"/>
          <w:highlight w:val="none"/>
        </w:rPr>
        <w:t>承包人提供的施工设备和临时设施</w:t>
      </w:r>
    </w:p>
    <w:p w14:paraId="093C7EB8">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除专用合同条款另有约定的其他独立承包人和监理人指示的他人提供条件外，承包人运入施工场地的所有施工设备以及在施工场地建设的临时设施仅限于用于合同工程。</w:t>
      </w:r>
      <w:r>
        <w:rPr>
          <w:rFonts w:hint="eastAsia" w:ascii="宋体" w:hAnsi="宋体" w:cs="宋体"/>
          <w:color w:val="auto"/>
          <w:highlight w:val="none"/>
        </w:rPr>
        <w:t>承包人用于本工程的主要机械设备清单见合同附件4。</w:t>
      </w:r>
    </w:p>
    <w:p w14:paraId="1C584C3D">
      <w:pPr>
        <w:autoSpaceDE w:val="0"/>
        <w:autoSpaceDN w:val="0"/>
        <w:adjustRightInd w:val="0"/>
        <w:spacing w:line="360" w:lineRule="auto"/>
        <w:ind w:firstLine="420" w:firstLineChars="200"/>
        <w:jc w:val="left"/>
        <w:rPr>
          <w:rFonts w:hint="eastAsia" w:hAnsi="宋体" w:cs="宋体"/>
          <w:color w:val="auto"/>
          <w:highlight w:val="none"/>
        </w:rPr>
      </w:pPr>
      <w:r>
        <w:rPr>
          <w:rFonts w:hint="eastAsia" w:hAnsi="宋体" w:cs="宋体"/>
          <w:color w:val="auto"/>
          <w:highlight w:val="none"/>
        </w:rPr>
        <w:t>关于修建临时设施费用承担的约定：</w:t>
      </w:r>
    </w:p>
    <w:p w14:paraId="627A91D8">
      <w:pPr>
        <w:autoSpaceDE w:val="0"/>
        <w:autoSpaceDN w:val="0"/>
        <w:adjustRightInd w:val="0"/>
        <w:spacing w:line="360" w:lineRule="auto"/>
        <w:ind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u w:val="single"/>
        </w:rPr>
        <w:t>①承包人的临时用地（含项目部驻地等）租用费（含拆迁补偿）、临时用地的环保、恢复、临时用地的青苗补偿及地面附着物拆除等费用均由承包人负责，以上费用在投标报价中综合考虑。</w:t>
      </w:r>
    </w:p>
    <w:p w14:paraId="437754A6">
      <w:pPr>
        <w:pStyle w:val="46"/>
        <w:autoSpaceDE w:val="0"/>
        <w:autoSpaceDN w:val="0"/>
        <w:adjustRightInd w:val="0"/>
        <w:spacing w:line="360" w:lineRule="auto"/>
        <w:ind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u w:val="single"/>
        </w:rPr>
        <w:t>②承包人负责合同实施期间其合同段内临时交通道路（含场内外连接公共交通道路）和交通设施的修建、维修、养护和交通管理工作，并承担一切费用。</w:t>
      </w:r>
    </w:p>
    <w:p w14:paraId="51DC9E63">
      <w:pPr>
        <w:autoSpaceDE w:val="0"/>
        <w:autoSpaceDN w:val="0"/>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589853BD">
      <w:pPr>
        <w:autoSpaceDE w:val="0"/>
        <w:autoSpaceDN w:val="0"/>
        <w:adjustRightInd w:val="0"/>
        <w:spacing w:line="360" w:lineRule="auto"/>
        <w:ind w:firstLine="420" w:firstLineChars="200"/>
        <w:jc w:val="left"/>
        <w:rPr>
          <w:color w:val="auto"/>
          <w:highlight w:val="none"/>
        </w:rPr>
      </w:pPr>
      <w:r>
        <w:rPr>
          <w:color w:val="auto"/>
          <w:highlight w:val="none"/>
        </w:rPr>
        <w:t xml:space="preserve">8.8.2 </w:t>
      </w:r>
      <w:r>
        <w:rPr>
          <w:rFonts w:hint="eastAsia" w:hAnsi="宋体" w:cs="宋体"/>
          <w:color w:val="auto"/>
          <w:highlight w:val="none"/>
        </w:rPr>
        <w:t>发包人提供的施工设备和临时设施</w:t>
      </w:r>
    </w:p>
    <w:p w14:paraId="257CF004">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发包人提供的施工设备和临时设施：</w:t>
      </w:r>
      <w:r>
        <w:rPr>
          <w:color w:val="auto"/>
          <w:highlight w:val="none"/>
          <w:u w:val="single"/>
        </w:rPr>
        <w:t xml:space="preserve">           </w:t>
      </w:r>
      <w:r>
        <w:rPr>
          <w:rFonts w:hint="eastAsia" w:ascii="宋体" w:hAnsi="宋体" w:eastAsia="宋体" w:cs="宋体"/>
          <w:color w:val="auto"/>
          <w:szCs w:val="21"/>
          <w:highlight w:val="none"/>
          <w:u w:val="single"/>
        </w:rPr>
        <w:t xml:space="preserve">  /  </w:t>
      </w:r>
      <w:r>
        <w:rPr>
          <w:color w:val="auto"/>
          <w:highlight w:val="none"/>
          <w:u w:val="single"/>
        </w:rPr>
        <w:t xml:space="preserve">                   </w:t>
      </w:r>
      <w:r>
        <w:rPr>
          <w:rFonts w:hint="eastAsia" w:hAnsi="宋体" w:cs="宋体"/>
          <w:color w:val="auto"/>
          <w:highlight w:val="none"/>
        </w:rPr>
        <w:t>。</w:t>
      </w:r>
    </w:p>
    <w:p w14:paraId="70F88448">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发包人提供的施工设备和临时设施的运行、维护、拆除、清运费用的承担人：</w:t>
      </w:r>
      <w:r>
        <w:rPr>
          <w:color w:val="auto"/>
          <w:highlight w:val="none"/>
          <w:u w:val="single"/>
        </w:rPr>
        <w:t xml:space="preserve">   </w:t>
      </w:r>
      <w:r>
        <w:rPr>
          <w:rFonts w:hint="eastAsia" w:ascii="宋体" w:hAnsi="宋体" w:eastAsia="宋体" w:cs="宋体"/>
          <w:color w:val="auto"/>
          <w:szCs w:val="21"/>
          <w:highlight w:val="none"/>
          <w:u w:val="single"/>
        </w:rPr>
        <w:t xml:space="preserve">  /  </w:t>
      </w:r>
      <w:r>
        <w:rPr>
          <w:color w:val="auto"/>
          <w:highlight w:val="none"/>
          <w:u w:val="single"/>
        </w:rPr>
        <w:t xml:space="preserve">  </w:t>
      </w:r>
      <w:r>
        <w:rPr>
          <w:rFonts w:hint="eastAsia" w:hAnsi="宋体" w:cs="宋体"/>
          <w:color w:val="auto"/>
          <w:highlight w:val="none"/>
        </w:rPr>
        <w:t>。</w:t>
      </w:r>
    </w:p>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p w14:paraId="135F5E69">
      <w:pPr>
        <w:spacing w:line="360" w:lineRule="auto"/>
        <w:outlineLvl w:val="9"/>
        <w:rPr>
          <w:color w:val="auto"/>
          <w:highlight w:val="none"/>
        </w:rPr>
      </w:pPr>
      <w:bookmarkStart w:id="695" w:name="_Toc407135238"/>
      <w:bookmarkStart w:id="696" w:name="_Toc351203641"/>
      <w:bookmarkStart w:id="697" w:name="_Toc389065302"/>
      <w:bookmarkStart w:id="698" w:name="_Toc373478383"/>
      <w:bookmarkStart w:id="699" w:name="_Toc78449824"/>
      <w:bookmarkStart w:id="700" w:name="_Toc27203"/>
      <w:bookmarkStart w:id="701" w:name="_Toc373227736"/>
      <w:bookmarkStart w:id="702" w:name="_Toc2039161841"/>
      <w:r>
        <w:rPr>
          <w:color w:val="auto"/>
          <w:highlight w:val="none"/>
        </w:rPr>
        <w:t>9</w:t>
      </w:r>
      <w:bookmarkEnd w:id="658"/>
      <w:bookmarkEnd w:id="659"/>
      <w:bookmarkEnd w:id="660"/>
      <w:bookmarkStart w:id="703" w:name="_Toc304295559"/>
      <w:bookmarkStart w:id="704" w:name="_Toc312677495"/>
      <w:bookmarkStart w:id="705" w:name="_Toc297123533"/>
      <w:bookmarkStart w:id="706" w:name="_Toc303539139"/>
      <w:bookmarkStart w:id="707" w:name="_Toc312678021"/>
      <w:bookmarkStart w:id="708" w:name="_Toc300934982"/>
      <w:bookmarkStart w:id="709" w:name="_Toc297216192"/>
      <w:bookmarkStart w:id="710" w:name="_Toc296347172"/>
      <w:bookmarkStart w:id="711" w:name="_Toc296891213"/>
      <w:bookmarkStart w:id="712" w:name="_Toc292559883"/>
      <w:bookmarkStart w:id="713" w:name="_Toc292559378"/>
      <w:bookmarkStart w:id="714" w:name="_Toc297120473"/>
      <w:bookmarkStart w:id="715" w:name="_Toc267251428"/>
      <w:bookmarkStart w:id="716" w:name="_Toc267251427"/>
      <w:bookmarkStart w:id="717" w:name="_Toc296346674"/>
      <w:bookmarkStart w:id="718" w:name="_Toc296503173"/>
      <w:bookmarkStart w:id="719" w:name="_Toc297048359"/>
      <w:bookmarkStart w:id="720" w:name="_Toc296944512"/>
      <w:bookmarkStart w:id="721" w:name="_Toc296891001"/>
      <w:r>
        <w:rPr>
          <w:color w:val="auto"/>
          <w:highlight w:val="none"/>
        </w:rPr>
        <w:t xml:space="preserve">. </w:t>
      </w:r>
      <w:r>
        <w:rPr>
          <w:rFonts w:hint="eastAsia" w:cs="黑体"/>
          <w:color w:val="auto"/>
          <w:highlight w:val="none"/>
        </w:rPr>
        <w:t>试验与检验</w:t>
      </w:r>
      <w:bookmarkEnd w:id="695"/>
      <w:bookmarkEnd w:id="696"/>
      <w:bookmarkEnd w:id="697"/>
      <w:bookmarkEnd w:id="698"/>
      <w:bookmarkEnd w:id="699"/>
      <w:bookmarkEnd w:id="700"/>
      <w:bookmarkEnd w:id="701"/>
      <w:bookmarkEnd w:id="702"/>
    </w:p>
    <w:bookmarkEnd w:id="703"/>
    <w:bookmarkEnd w:id="704"/>
    <w:bookmarkEnd w:id="705"/>
    <w:bookmarkEnd w:id="706"/>
    <w:bookmarkEnd w:id="707"/>
    <w:bookmarkEnd w:id="708"/>
    <w:bookmarkEnd w:id="709"/>
    <w:p w14:paraId="5B463FD2">
      <w:pPr>
        <w:spacing w:line="360" w:lineRule="auto"/>
        <w:outlineLvl w:val="9"/>
        <w:rPr>
          <w:color w:val="auto"/>
          <w:highlight w:val="none"/>
        </w:rPr>
      </w:pPr>
      <w:bookmarkStart w:id="722" w:name="_Toc389065303"/>
      <w:bookmarkStart w:id="723" w:name="_Toc407135239"/>
      <w:bookmarkStart w:id="724" w:name="_Toc373478384"/>
      <w:bookmarkStart w:id="725" w:name="_Toc78449825"/>
      <w:bookmarkStart w:id="726" w:name="_Toc21547"/>
      <w:bookmarkStart w:id="727" w:name="_Toc373227737"/>
      <w:bookmarkStart w:id="728" w:name="_Toc9671"/>
      <w:bookmarkStart w:id="729" w:name="_Toc1307315193"/>
      <w:r>
        <w:rPr>
          <w:color w:val="auto"/>
          <w:highlight w:val="none"/>
        </w:rPr>
        <w:t>9</w:t>
      </w:r>
      <w:bookmarkStart w:id="730" w:name="_Toc300934983"/>
      <w:bookmarkStart w:id="731" w:name="_Toc312677496"/>
      <w:bookmarkStart w:id="732" w:name="_Toc297216193"/>
      <w:bookmarkStart w:id="733" w:name="_Toc297123534"/>
      <w:bookmarkStart w:id="734" w:name="_Toc304295560"/>
      <w:bookmarkStart w:id="735" w:name="_Toc303539140"/>
      <w:bookmarkStart w:id="736" w:name="_Toc312678022"/>
      <w:r>
        <w:rPr>
          <w:color w:val="auto"/>
          <w:highlight w:val="none"/>
        </w:rPr>
        <w:t xml:space="preserve">.1 </w:t>
      </w:r>
      <w:r>
        <w:rPr>
          <w:rFonts w:hint="eastAsia" w:cs="黑体"/>
          <w:color w:val="auto"/>
          <w:highlight w:val="none"/>
        </w:rPr>
        <w:t>试验设备与试验人员</w:t>
      </w:r>
      <w:bookmarkEnd w:id="722"/>
      <w:bookmarkEnd w:id="723"/>
      <w:bookmarkEnd w:id="724"/>
      <w:bookmarkEnd w:id="725"/>
      <w:bookmarkEnd w:id="726"/>
      <w:bookmarkEnd w:id="727"/>
      <w:bookmarkEnd w:id="728"/>
      <w:bookmarkEnd w:id="729"/>
    </w:p>
    <w:bookmarkEnd w:id="730"/>
    <w:bookmarkEnd w:id="731"/>
    <w:bookmarkEnd w:id="732"/>
    <w:bookmarkEnd w:id="733"/>
    <w:bookmarkEnd w:id="734"/>
    <w:bookmarkEnd w:id="735"/>
    <w:bookmarkEnd w:id="736"/>
    <w:p w14:paraId="1FADBBA9">
      <w:pPr>
        <w:spacing w:line="360" w:lineRule="auto"/>
        <w:ind w:firstLine="420" w:firstLineChars="200"/>
        <w:jc w:val="left"/>
        <w:rPr>
          <w:color w:val="auto"/>
          <w:highlight w:val="none"/>
        </w:rPr>
      </w:pPr>
      <w:r>
        <w:rPr>
          <w:color w:val="auto"/>
          <w:highlight w:val="none"/>
        </w:rPr>
        <w:t>9</w:t>
      </w:r>
      <w:bookmarkStart w:id="737" w:name="_Toc304295561"/>
      <w:bookmarkStart w:id="738" w:name="_Toc312677497"/>
      <w:bookmarkStart w:id="739" w:name="_Toc300934984"/>
      <w:bookmarkStart w:id="740" w:name="_Toc312678023"/>
      <w:bookmarkStart w:id="741" w:name="_Toc303539141"/>
      <w:bookmarkStart w:id="742" w:name="_Toc297216194"/>
      <w:bookmarkStart w:id="743" w:name="_Toc297123535"/>
      <w:bookmarkStart w:id="744" w:name="_Toc318581174"/>
      <w:r>
        <w:rPr>
          <w:color w:val="auto"/>
          <w:highlight w:val="none"/>
        </w:rPr>
        <w:t xml:space="preserve">.1.2 </w:t>
      </w:r>
      <w:r>
        <w:rPr>
          <w:rFonts w:hint="eastAsia" w:hAnsi="宋体" w:cs="宋体"/>
          <w:color w:val="auto"/>
          <w:highlight w:val="none"/>
        </w:rPr>
        <w:t>试验设备</w:t>
      </w:r>
    </w:p>
    <w:p w14:paraId="25688E23">
      <w:pPr>
        <w:spacing w:line="360" w:lineRule="auto"/>
        <w:ind w:firstLine="420" w:firstLineChars="200"/>
        <w:jc w:val="left"/>
        <w:rPr>
          <w:color w:val="auto"/>
          <w:highlight w:val="none"/>
          <w:u w:val="single"/>
        </w:rPr>
      </w:pPr>
      <w:r>
        <w:rPr>
          <w:rFonts w:hint="eastAsia" w:hAnsi="宋体" w:cs="宋体"/>
          <w:color w:val="auto"/>
          <w:highlight w:val="none"/>
        </w:rPr>
        <w:t>施工现场需要配置的试验场所：</w:t>
      </w:r>
      <w:bookmarkEnd w:id="737"/>
      <w:bookmarkEnd w:id="738"/>
      <w:bookmarkEnd w:id="739"/>
      <w:bookmarkEnd w:id="740"/>
      <w:bookmarkEnd w:id="741"/>
      <w:bookmarkEnd w:id="742"/>
      <w:bookmarkEnd w:id="743"/>
      <w:bookmarkStart w:id="745" w:name="_Toc297216195"/>
      <w:bookmarkStart w:id="746" w:name="_Toc312678024"/>
      <w:bookmarkStart w:id="747" w:name="_Toc300934985"/>
      <w:bookmarkStart w:id="748" w:name="_Toc312677498"/>
      <w:bookmarkStart w:id="749" w:name="_Toc297123536"/>
      <w:bookmarkStart w:id="750" w:name="_Toc304295562"/>
      <w:bookmarkStart w:id="751" w:name="_Toc303539142"/>
      <w:r>
        <w:rPr>
          <w:color w:val="auto"/>
          <w:highlight w:val="none"/>
          <w:u w:val="single"/>
        </w:rPr>
        <w:t xml:space="preserve">         </w:t>
      </w:r>
      <w:r>
        <w:rPr>
          <w:rFonts w:hint="eastAsia" w:ascii="宋体" w:hAnsi="宋体" w:eastAsia="宋体" w:cs="宋体"/>
          <w:color w:val="auto"/>
          <w:szCs w:val="21"/>
          <w:highlight w:val="none"/>
          <w:u w:val="single"/>
        </w:rPr>
        <w:t xml:space="preserve">  /  </w:t>
      </w:r>
      <w:r>
        <w:rPr>
          <w:color w:val="auto"/>
          <w:highlight w:val="none"/>
          <w:u w:val="single"/>
        </w:rPr>
        <w:t xml:space="preserve">                  </w:t>
      </w:r>
      <w:r>
        <w:rPr>
          <w:rFonts w:hint="eastAsia" w:hAnsi="宋体" w:cs="宋体"/>
          <w:color w:val="auto"/>
          <w:highlight w:val="none"/>
        </w:rPr>
        <w:t>。</w:t>
      </w:r>
    </w:p>
    <w:p w14:paraId="077ED671">
      <w:pPr>
        <w:spacing w:line="360" w:lineRule="auto"/>
        <w:ind w:firstLine="420" w:firstLineChars="200"/>
        <w:jc w:val="left"/>
        <w:rPr>
          <w:color w:val="auto"/>
          <w:highlight w:val="none"/>
          <w:u w:val="single"/>
        </w:rPr>
      </w:pPr>
      <w:r>
        <w:rPr>
          <w:rFonts w:hint="eastAsia" w:hAnsi="宋体" w:cs="宋体"/>
          <w:color w:val="auto"/>
          <w:highlight w:val="none"/>
        </w:rPr>
        <w:t>施工现场需要配备的试验设备：</w:t>
      </w:r>
      <w:r>
        <w:rPr>
          <w:color w:val="auto"/>
          <w:highlight w:val="none"/>
          <w:u w:val="single"/>
        </w:rPr>
        <w:t xml:space="preserve">        </w:t>
      </w:r>
      <w:r>
        <w:rPr>
          <w:rFonts w:hint="eastAsia" w:ascii="宋体" w:hAnsi="宋体" w:eastAsia="宋体" w:cs="宋体"/>
          <w:color w:val="auto"/>
          <w:szCs w:val="21"/>
          <w:highlight w:val="none"/>
          <w:u w:val="single"/>
        </w:rPr>
        <w:t xml:space="preserve">  /  </w:t>
      </w:r>
      <w:r>
        <w:rPr>
          <w:color w:val="auto"/>
          <w:highlight w:val="none"/>
          <w:u w:val="single"/>
        </w:rPr>
        <w:t xml:space="preserve">                   </w:t>
      </w:r>
      <w:r>
        <w:rPr>
          <w:rFonts w:hint="eastAsia" w:hAnsi="宋体" w:cs="宋体"/>
          <w:color w:val="auto"/>
          <w:highlight w:val="none"/>
        </w:rPr>
        <w:t>。</w:t>
      </w:r>
    </w:p>
    <w:p w14:paraId="7F161B6F">
      <w:pPr>
        <w:spacing w:line="360" w:lineRule="auto"/>
        <w:ind w:firstLine="420" w:firstLineChars="200"/>
        <w:jc w:val="left"/>
        <w:rPr>
          <w:color w:val="auto"/>
          <w:highlight w:val="none"/>
          <w:u w:val="single"/>
        </w:rPr>
      </w:pPr>
      <w:r>
        <w:rPr>
          <w:rFonts w:hint="eastAsia" w:hAnsi="宋体" w:cs="宋体"/>
          <w:color w:val="auto"/>
          <w:highlight w:val="none"/>
        </w:rPr>
        <w:t>施工现场需要具备的其他试验条件：</w:t>
      </w:r>
      <w:r>
        <w:rPr>
          <w:color w:val="auto"/>
          <w:highlight w:val="none"/>
          <w:u w:val="single"/>
        </w:rPr>
        <w:t xml:space="preserve">       </w:t>
      </w:r>
      <w:r>
        <w:rPr>
          <w:rFonts w:hint="eastAsia" w:ascii="宋体" w:hAnsi="宋体" w:eastAsia="宋体" w:cs="宋体"/>
          <w:color w:val="auto"/>
          <w:szCs w:val="21"/>
          <w:highlight w:val="none"/>
          <w:u w:val="single"/>
        </w:rPr>
        <w:t xml:space="preserve">  /  </w:t>
      </w:r>
      <w:r>
        <w:rPr>
          <w:color w:val="auto"/>
          <w:highlight w:val="none"/>
          <w:u w:val="single"/>
        </w:rPr>
        <w:t xml:space="preserve">                </w:t>
      </w:r>
      <w:r>
        <w:rPr>
          <w:rFonts w:hint="eastAsia" w:hAnsi="宋体" w:cs="宋体"/>
          <w:color w:val="auto"/>
          <w:highlight w:val="none"/>
        </w:rPr>
        <w:t>。</w:t>
      </w:r>
    </w:p>
    <w:p w14:paraId="24B4CB8C">
      <w:pPr>
        <w:spacing w:line="360" w:lineRule="auto"/>
        <w:outlineLvl w:val="9"/>
        <w:rPr>
          <w:color w:val="auto"/>
          <w:highlight w:val="none"/>
        </w:rPr>
      </w:pPr>
      <w:bookmarkStart w:id="752" w:name="_Toc14975"/>
      <w:bookmarkStart w:id="753" w:name="_Toc373227738"/>
      <w:bookmarkStart w:id="754" w:name="_Toc389065304"/>
      <w:bookmarkStart w:id="755" w:name="_Toc373478385"/>
      <w:bookmarkStart w:id="756" w:name="_Toc23780"/>
      <w:bookmarkStart w:id="757" w:name="_Toc78449826"/>
      <w:bookmarkStart w:id="758" w:name="_Toc407135240"/>
      <w:bookmarkStart w:id="759" w:name="_Toc2012255079"/>
      <w:r>
        <w:rPr>
          <w:color w:val="auto"/>
          <w:highlight w:val="none"/>
        </w:rPr>
        <w:t xml:space="preserve">9.4 </w:t>
      </w:r>
      <w:r>
        <w:rPr>
          <w:rFonts w:hint="eastAsia" w:hAnsi="宋体" w:cs="黑体"/>
          <w:color w:val="auto"/>
          <w:highlight w:val="none"/>
        </w:rPr>
        <w:t>现场工艺试验</w:t>
      </w:r>
      <w:bookmarkEnd w:id="752"/>
      <w:bookmarkEnd w:id="753"/>
      <w:bookmarkEnd w:id="754"/>
      <w:bookmarkEnd w:id="755"/>
      <w:bookmarkEnd w:id="756"/>
      <w:bookmarkEnd w:id="757"/>
      <w:bookmarkEnd w:id="758"/>
      <w:bookmarkEnd w:id="759"/>
      <w:r>
        <w:rPr>
          <w:color w:val="auto"/>
          <w:highlight w:val="none"/>
        </w:rPr>
        <w:t xml:space="preserve"> </w:t>
      </w:r>
    </w:p>
    <w:p w14:paraId="3EF57C92">
      <w:pPr>
        <w:spacing w:line="360" w:lineRule="auto"/>
        <w:ind w:firstLine="420" w:firstLineChars="200"/>
        <w:jc w:val="left"/>
        <w:rPr>
          <w:color w:val="auto"/>
          <w:highlight w:val="none"/>
        </w:rPr>
      </w:pPr>
      <w:r>
        <w:rPr>
          <w:rFonts w:hint="eastAsia" w:hAnsi="宋体" w:cs="宋体"/>
          <w:color w:val="auto"/>
          <w:highlight w:val="none"/>
        </w:rPr>
        <w:t>现场工艺试验的有关约定：</w:t>
      </w:r>
      <w:r>
        <w:rPr>
          <w:color w:val="auto"/>
          <w:highlight w:val="none"/>
          <w:u w:val="single"/>
        </w:rPr>
        <w:t xml:space="preserve">         </w:t>
      </w:r>
      <w:r>
        <w:rPr>
          <w:rFonts w:hint="eastAsia" w:ascii="宋体" w:hAnsi="宋体" w:eastAsia="宋体" w:cs="宋体"/>
          <w:color w:val="auto"/>
          <w:szCs w:val="21"/>
          <w:highlight w:val="none"/>
          <w:u w:val="single"/>
        </w:rPr>
        <w:t xml:space="preserve">  /  </w:t>
      </w:r>
      <w:r>
        <w:rPr>
          <w:color w:val="auto"/>
          <w:highlight w:val="none"/>
          <w:u w:val="single"/>
        </w:rPr>
        <w:t xml:space="preserve">                     </w:t>
      </w:r>
      <w:r>
        <w:rPr>
          <w:rFonts w:hint="eastAsia" w:hAnsi="宋体" w:cs="宋体"/>
          <w:color w:val="auto"/>
          <w:highlight w:val="none"/>
        </w:rPr>
        <w:t>。</w:t>
      </w:r>
    </w:p>
    <w:p w14:paraId="571B962F">
      <w:pPr>
        <w:spacing w:line="360" w:lineRule="auto"/>
        <w:outlineLvl w:val="9"/>
        <w:rPr>
          <w:color w:val="auto"/>
          <w:highlight w:val="none"/>
        </w:rPr>
      </w:pPr>
      <w:bookmarkStart w:id="760" w:name="_Toc9920"/>
      <w:bookmarkStart w:id="761" w:name="_Toc407135241"/>
      <w:bookmarkStart w:id="762" w:name="_Toc393419678"/>
      <w:bookmarkStart w:id="763" w:name="_Toc78449827"/>
      <w:bookmarkStart w:id="764" w:name="_Toc13096"/>
      <w:bookmarkStart w:id="765" w:name="OLE_LINK1"/>
      <w:r>
        <w:rPr>
          <w:color w:val="auto"/>
          <w:highlight w:val="none"/>
        </w:rPr>
        <w:t xml:space="preserve">9.5 </w:t>
      </w:r>
      <w:r>
        <w:rPr>
          <w:rFonts w:hint="eastAsia" w:hAnsi="宋体" w:cs="黑体"/>
          <w:color w:val="auto"/>
          <w:highlight w:val="none"/>
        </w:rPr>
        <w:t>检验费用</w:t>
      </w:r>
      <w:bookmarkEnd w:id="760"/>
      <w:bookmarkEnd w:id="761"/>
      <w:bookmarkEnd w:id="762"/>
      <w:bookmarkEnd w:id="763"/>
      <w:bookmarkEnd w:id="764"/>
    </w:p>
    <w:p w14:paraId="7FC6DCC6">
      <w:pPr>
        <w:spacing w:line="360" w:lineRule="auto"/>
        <w:ind w:firstLine="411" w:firstLineChars="196"/>
        <w:rPr>
          <w:color w:val="auto"/>
          <w:highlight w:val="none"/>
        </w:rPr>
      </w:pPr>
      <w:r>
        <w:rPr>
          <w:rFonts w:hint="eastAsia" w:hAnsi="宋体" w:cs="宋体"/>
          <w:color w:val="auto"/>
          <w:highlight w:val="none"/>
        </w:rPr>
        <w:t>根据《建设工程质量检测管理办法》（住房和城乡建设部令第57号）以及《广西壮族自治区建设工程质量检测管理实施细则》</w:t>
      </w:r>
      <w:r>
        <w:rPr>
          <w:rFonts w:hint="eastAsia" w:hAnsi="宋体" w:cs="宋体"/>
          <w:color w:val="auto"/>
          <w:highlight w:val="none"/>
          <w:lang w:eastAsia="zh-CN"/>
        </w:rPr>
        <w:t>（</w:t>
      </w:r>
      <w:r>
        <w:rPr>
          <w:rFonts w:hint="eastAsia" w:hAnsi="宋体" w:cs="宋体"/>
          <w:color w:val="auto"/>
          <w:highlight w:val="none"/>
        </w:rPr>
        <w:t>桂建发〔2025〕5号</w:t>
      </w:r>
      <w:r>
        <w:rPr>
          <w:rFonts w:hint="eastAsia" w:hAnsi="宋体" w:cs="宋体"/>
          <w:color w:val="auto"/>
          <w:highlight w:val="none"/>
          <w:lang w:eastAsia="zh-CN"/>
        </w:rPr>
        <w:t>）</w:t>
      </w:r>
      <w:r>
        <w:rPr>
          <w:rFonts w:hint="eastAsia" w:hAnsi="宋体" w:cs="宋体"/>
          <w:color w:val="auto"/>
          <w:highlight w:val="none"/>
        </w:rPr>
        <w:t>规定，工程质量检测业务由发包人委托有相应资质的检测机构检测。费用从发包人的项目建设经费中支出并直接支付给检测机构，不计入合同价款内。</w:t>
      </w:r>
    </w:p>
    <w:bookmarkEnd w:id="744"/>
    <w:bookmarkEnd w:id="745"/>
    <w:bookmarkEnd w:id="746"/>
    <w:bookmarkEnd w:id="747"/>
    <w:bookmarkEnd w:id="748"/>
    <w:bookmarkEnd w:id="749"/>
    <w:bookmarkEnd w:id="750"/>
    <w:bookmarkEnd w:id="751"/>
    <w:bookmarkEnd w:id="765"/>
    <w:p w14:paraId="4D91A9A1">
      <w:pPr>
        <w:spacing w:line="360" w:lineRule="auto"/>
        <w:outlineLvl w:val="9"/>
        <w:rPr>
          <w:color w:val="auto"/>
          <w:highlight w:val="none"/>
        </w:rPr>
      </w:pPr>
      <w:bookmarkStart w:id="766" w:name="_Toc351203642"/>
      <w:bookmarkStart w:id="767" w:name="_Toc603662032"/>
      <w:bookmarkStart w:id="768" w:name="_Toc407135242"/>
      <w:bookmarkStart w:id="769" w:name="_Toc78449828"/>
      <w:bookmarkStart w:id="770" w:name="_Toc373227739"/>
      <w:bookmarkStart w:id="771" w:name="_Toc8753"/>
      <w:bookmarkStart w:id="772" w:name="_Toc373478386"/>
      <w:bookmarkStart w:id="773" w:name="_Toc389065305"/>
      <w:r>
        <w:rPr>
          <w:color w:val="auto"/>
          <w:highlight w:val="none"/>
        </w:rPr>
        <w:t>1</w:t>
      </w:r>
      <w:bookmarkEnd w:id="710"/>
      <w:bookmarkEnd w:id="711"/>
      <w:bookmarkEnd w:id="712"/>
      <w:bookmarkEnd w:id="713"/>
      <w:bookmarkEnd w:id="714"/>
      <w:bookmarkEnd w:id="715"/>
      <w:bookmarkEnd w:id="716"/>
      <w:bookmarkEnd w:id="717"/>
      <w:bookmarkEnd w:id="718"/>
      <w:bookmarkEnd w:id="719"/>
      <w:bookmarkEnd w:id="720"/>
      <w:bookmarkEnd w:id="721"/>
      <w:bookmarkStart w:id="774" w:name="_Toc296891233"/>
      <w:bookmarkStart w:id="775" w:name="_Toc297123540"/>
      <w:bookmarkStart w:id="776" w:name="_Toc297120493"/>
      <w:bookmarkStart w:id="777" w:name="_Toc296503193"/>
      <w:bookmarkStart w:id="778" w:name="_Toc296346694"/>
      <w:bookmarkStart w:id="779" w:name="_Toc303539146"/>
      <w:bookmarkStart w:id="780" w:name="_Toc304295566"/>
      <w:bookmarkStart w:id="781" w:name="_Toc297048379"/>
      <w:bookmarkStart w:id="782" w:name="_Toc296347192"/>
      <w:bookmarkStart w:id="783" w:name="_Toc292559903"/>
      <w:bookmarkStart w:id="784" w:name="_Toc300934989"/>
      <w:bookmarkStart w:id="785" w:name="_Toc297216199"/>
      <w:bookmarkStart w:id="786" w:name="_Toc296944532"/>
      <w:bookmarkStart w:id="787" w:name="_Toc296891021"/>
      <w:bookmarkStart w:id="788" w:name="_Toc292559398"/>
      <w:bookmarkStart w:id="789" w:name="_Toc312677499"/>
      <w:bookmarkStart w:id="790" w:name="_Toc312678025"/>
      <w:bookmarkStart w:id="791" w:name="_Toc267251440"/>
      <w:bookmarkStart w:id="792" w:name="_Toc267251433"/>
      <w:bookmarkStart w:id="793" w:name="_Toc267251435"/>
      <w:bookmarkStart w:id="794" w:name="_Toc267251437"/>
      <w:bookmarkStart w:id="795" w:name="_Toc267251441"/>
      <w:bookmarkStart w:id="796" w:name="_Toc267251439"/>
      <w:bookmarkStart w:id="797" w:name="_Toc267251442"/>
      <w:r>
        <w:rPr>
          <w:color w:val="auto"/>
          <w:highlight w:val="none"/>
        </w:rPr>
        <w:t xml:space="preserve">0. </w:t>
      </w:r>
      <w:r>
        <w:rPr>
          <w:rFonts w:hint="eastAsia" w:hAnsi="宋体" w:cs="黑体"/>
          <w:color w:val="auto"/>
          <w:highlight w:val="none"/>
        </w:rPr>
        <w:t>变更</w:t>
      </w:r>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p>
    <w:bookmarkEnd w:id="789"/>
    <w:bookmarkEnd w:id="790"/>
    <w:p w14:paraId="39BEBBF3">
      <w:pPr>
        <w:spacing w:line="360" w:lineRule="auto"/>
        <w:outlineLvl w:val="9"/>
        <w:rPr>
          <w:color w:val="auto"/>
          <w:highlight w:val="none"/>
        </w:rPr>
      </w:pPr>
      <w:bookmarkStart w:id="798" w:name="_Toc7595"/>
      <w:bookmarkStart w:id="799" w:name="_Toc373227740"/>
      <w:bookmarkStart w:id="800" w:name="_Toc407135243"/>
      <w:bookmarkStart w:id="801" w:name="_Toc1890371558"/>
      <w:bookmarkStart w:id="802" w:name="_Toc78449829"/>
      <w:bookmarkStart w:id="803" w:name="_Toc373478387"/>
      <w:bookmarkStart w:id="804" w:name="_Toc389065306"/>
      <w:bookmarkStart w:id="805" w:name="_Toc28913"/>
      <w:r>
        <w:rPr>
          <w:color w:val="auto"/>
          <w:highlight w:val="none"/>
        </w:rPr>
        <w:t>1</w:t>
      </w:r>
      <w:bookmarkStart w:id="806" w:name="_Toc296503194"/>
      <w:bookmarkStart w:id="807" w:name="_Toc296346695"/>
      <w:bookmarkStart w:id="808" w:name="_Toc296944533"/>
      <w:bookmarkStart w:id="809" w:name="_Toc292559904"/>
      <w:bookmarkStart w:id="810" w:name="_Toc303539147"/>
      <w:bookmarkStart w:id="811" w:name="_Toc304295567"/>
      <w:bookmarkStart w:id="812" w:name="_Toc312678026"/>
      <w:bookmarkStart w:id="813" w:name="_Toc296347193"/>
      <w:bookmarkStart w:id="814" w:name="_Toc296891022"/>
      <w:bookmarkStart w:id="815" w:name="_Toc297120494"/>
      <w:bookmarkStart w:id="816" w:name="_Toc292559399"/>
      <w:bookmarkStart w:id="817" w:name="_Toc297048380"/>
      <w:bookmarkStart w:id="818" w:name="_Toc297123541"/>
      <w:bookmarkStart w:id="819" w:name="_Toc312677500"/>
      <w:bookmarkStart w:id="820" w:name="_Toc296891234"/>
      <w:bookmarkStart w:id="821" w:name="_Toc297216200"/>
      <w:bookmarkStart w:id="822" w:name="_Toc300934990"/>
      <w:r>
        <w:rPr>
          <w:color w:val="auto"/>
          <w:highlight w:val="none"/>
        </w:rPr>
        <w:t xml:space="preserve">0.1 </w:t>
      </w:r>
      <w:r>
        <w:rPr>
          <w:rFonts w:hint="eastAsia" w:hAnsi="宋体" w:cs="黑体"/>
          <w:color w:val="auto"/>
          <w:highlight w:val="none"/>
        </w:rPr>
        <w:t>变更的范围</w:t>
      </w:r>
      <w:bookmarkEnd w:id="798"/>
      <w:bookmarkEnd w:id="799"/>
      <w:bookmarkEnd w:id="800"/>
      <w:bookmarkEnd w:id="801"/>
      <w:bookmarkEnd w:id="802"/>
      <w:bookmarkEnd w:id="803"/>
      <w:bookmarkEnd w:id="804"/>
      <w:bookmarkEnd w:id="805"/>
    </w:p>
    <w:p w14:paraId="585DDAEC">
      <w:pPr>
        <w:spacing w:line="360" w:lineRule="auto"/>
        <w:ind w:firstLine="426"/>
        <w:jc w:val="left"/>
        <w:rPr>
          <w:color w:val="auto"/>
          <w:highlight w:val="none"/>
        </w:rPr>
      </w:pPr>
      <w:r>
        <w:rPr>
          <w:rFonts w:hint="eastAsia" w:hAnsi="宋体" w:cs="宋体"/>
          <w:color w:val="auto"/>
          <w:highlight w:val="none"/>
        </w:rPr>
        <w:t>关于变更的范围的约定：</w:t>
      </w:r>
      <w:r>
        <w:rPr>
          <w:rFonts w:hint="eastAsia" w:ascii="宋体" w:hAnsi="宋体" w:eastAsia="宋体" w:cs="宋体"/>
          <w:color w:val="auto"/>
          <w:highlight w:val="none"/>
          <w:lang w:val="zh-TW" w:eastAsia="zh-TW"/>
        </w:rPr>
        <w:t>经发包人批准的对合同工程工作内容、合同图纸、合同规范、位置与尺寸、施工顺序与时间、施工条件、合同条款或其他特征等的改变。包括对合同工程的增加、减少、取消、替代和使用材料等的改变。</w:t>
      </w:r>
    </w:p>
    <w:p w14:paraId="791B5A92">
      <w:pPr>
        <w:spacing w:line="360" w:lineRule="auto"/>
        <w:outlineLvl w:val="9"/>
        <w:rPr>
          <w:color w:val="auto"/>
          <w:highlight w:val="none"/>
        </w:rPr>
      </w:pPr>
      <w:bookmarkStart w:id="823" w:name="_Toc389065307"/>
      <w:bookmarkStart w:id="824" w:name="_Toc373478388"/>
      <w:bookmarkStart w:id="825" w:name="_Toc407135244"/>
      <w:bookmarkStart w:id="826" w:name="_Toc450749207"/>
      <w:bookmarkStart w:id="827" w:name="_Toc28657"/>
      <w:bookmarkStart w:id="828" w:name="_Toc373227741"/>
      <w:bookmarkStart w:id="829" w:name="_Toc31852"/>
      <w:bookmarkStart w:id="830" w:name="_Toc78449830"/>
      <w:r>
        <w:rPr>
          <w:color w:val="auto"/>
          <w:highlight w:val="none"/>
        </w:rPr>
        <w:t xml:space="preserve">10.3 </w:t>
      </w:r>
      <w:r>
        <w:rPr>
          <w:rFonts w:hint="eastAsia" w:hAnsi="宋体" w:cs="黑体"/>
          <w:color w:val="auto"/>
          <w:highlight w:val="none"/>
        </w:rPr>
        <w:t>变更程序</w:t>
      </w:r>
      <w:bookmarkEnd w:id="823"/>
      <w:bookmarkEnd w:id="824"/>
      <w:bookmarkEnd w:id="825"/>
      <w:bookmarkEnd w:id="826"/>
      <w:bookmarkEnd w:id="827"/>
      <w:bookmarkEnd w:id="828"/>
      <w:bookmarkEnd w:id="829"/>
      <w:bookmarkEnd w:id="830"/>
    </w:p>
    <w:p w14:paraId="53646D60">
      <w:pPr>
        <w:pStyle w:val="15"/>
        <w:spacing w:line="360" w:lineRule="auto"/>
        <w:ind w:firstLine="441" w:firstLineChars="210"/>
        <w:rPr>
          <w:rFonts w:ascii="Times New Roman" w:hAnsi="Times New Roman"/>
          <w:color w:val="auto"/>
          <w:sz w:val="21"/>
          <w:szCs w:val="21"/>
          <w:highlight w:val="none"/>
        </w:rPr>
      </w:pPr>
      <w:r>
        <w:rPr>
          <w:rFonts w:ascii="Times New Roman" w:hAnsi="Times New Roman"/>
          <w:color w:val="auto"/>
          <w:sz w:val="21"/>
          <w:szCs w:val="21"/>
          <w:highlight w:val="none"/>
        </w:rPr>
        <w:t>10.3.1</w:t>
      </w:r>
      <w:r>
        <w:rPr>
          <w:rFonts w:hint="eastAsia" w:ascii="Times New Roman" w:hAnsi="Times New Roman"/>
          <w:color w:val="auto"/>
          <w:sz w:val="21"/>
          <w:szCs w:val="21"/>
          <w:highlight w:val="none"/>
        </w:rPr>
        <w:t>国有</w:t>
      </w:r>
      <w:r>
        <w:rPr>
          <w:rFonts w:hint="eastAsia" w:ascii="Times New Roman" w:hAnsi="Times New Roman"/>
          <w:color w:val="auto"/>
          <w:sz w:val="21"/>
          <w:szCs w:val="21"/>
          <w:highlight w:val="none"/>
          <w:lang w:val="en-US" w:eastAsia="zh-CN"/>
        </w:rPr>
        <w:t>资金</w:t>
      </w:r>
      <w:r>
        <w:rPr>
          <w:rFonts w:hint="eastAsia" w:ascii="Times New Roman" w:hAnsi="Times New Roman"/>
          <w:color w:val="auto"/>
          <w:sz w:val="21"/>
          <w:szCs w:val="21"/>
          <w:highlight w:val="none"/>
        </w:rPr>
        <w:t>投资项目：</w:t>
      </w:r>
    </w:p>
    <w:p w14:paraId="15254FDD">
      <w:pPr>
        <w:pStyle w:val="15"/>
        <w:spacing w:line="360" w:lineRule="auto"/>
        <w:ind w:firstLine="441" w:firstLineChars="210"/>
        <w:rPr>
          <w:rFonts w:ascii="Times New Roman" w:hAnsi="宋体"/>
          <w:bCs/>
          <w:color w:val="auto"/>
          <w:sz w:val="21"/>
          <w:szCs w:val="21"/>
          <w:highlight w:val="none"/>
        </w:rPr>
      </w:pPr>
      <w:r>
        <w:rPr>
          <w:rFonts w:hint="eastAsia" w:ascii="Times New Roman" w:hAnsi="宋体"/>
          <w:bCs/>
          <w:color w:val="auto"/>
          <w:sz w:val="21"/>
          <w:szCs w:val="21"/>
          <w:highlight w:val="none"/>
        </w:rPr>
        <w:t>⑴</w:t>
      </w:r>
      <w:r>
        <w:rPr>
          <w:rFonts w:hint="eastAsia" w:ascii="Times New Roman" w:hAnsi="宋体"/>
          <w:bCs/>
          <w:color w:val="auto"/>
          <w:sz w:val="21"/>
          <w:szCs w:val="21"/>
          <w:highlight w:val="none"/>
          <w:lang w:eastAsia="zh-CN"/>
        </w:rPr>
        <w:t>工程变更</w:t>
      </w:r>
      <w:r>
        <w:rPr>
          <w:rFonts w:hint="eastAsia" w:ascii="Times New Roman" w:hAnsi="宋体"/>
          <w:bCs/>
          <w:color w:val="auto"/>
          <w:sz w:val="21"/>
          <w:szCs w:val="21"/>
          <w:highlight w:val="none"/>
        </w:rPr>
        <w:t>按各市政府或相关部门的规定办理。属不可抗力（自然灾害、突发事件等）造成变更的，按特事特办原则予以办理。</w:t>
      </w:r>
    </w:p>
    <w:p w14:paraId="764F7EFD">
      <w:pPr>
        <w:pStyle w:val="15"/>
        <w:spacing w:line="360" w:lineRule="auto"/>
        <w:ind w:firstLine="441" w:firstLineChars="210"/>
        <w:rPr>
          <w:rFonts w:ascii="Times New Roman" w:hAnsi="宋体"/>
          <w:bCs/>
          <w:color w:val="auto"/>
          <w:sz w:val="21"/>
          <w:szCs w:val="21"/>
          <w:highlight w:val="none"/>
        </w:rPr>
      </w:pPr>
      <w:r>
        <w:rPr>
          <w:rFonts w:hint="eastAsia" w:ascii="Times New Roman" w:hAnsi="宋体"/>
          <w:bCs/>
          <w:color w:val="auto"/>
          <w:sz w:val="21"/>
          <w:szCs w:val="21"/>
          <w:highlight w:val="none"/>
        </w:rPr>
        <w:t>⑵建设单位在实施项目过程中，若发生单价变动，由发包人、承包人、监理或（和）造价咨询等单位共同商定并签字确认。</w:t>
      </w:r>
    </w:p>
    <w:p w14:paraId="5BBA3C9A">
      <w:pPr>
        <w:pStyle w:val="15"/>
        <w:spacing w:line="360" w:lineRule="auto"/>
        <w:ind w:firstLine="441" w:firstLineChars="210"/>
        <w:rPr>
          <w:rFonts w:ascii="Times New Roman" w:hAnsi="宋体"/>
          <w:bCs/>
          <w:color w:val="auto"/>
          <w:sz w:val="21"/>
          <w:szCs w:val="21"/>
          <w:highlight w:val="none"/>
        </w:rPr>
      </w:pPr>
      <w:r>
        <w:rPr>
          <w:rFonts w:hint="eastAsia" w:ascii="Times New Roman" w:hAnsi="宋体"/>
          <w:bCs/>
          <w:color w:val="auto"/>
          <w:sz w:val="21"/>
          <w:szCs w:val="21"/>
          <w:highlight w:val="none"/>
        </w:rPr>
        <w:t>⑶</w:t>
      </w:r>
      <w:r>
        <w:rPr>
          <w:rFonts w:ascii="Times New Roman" w:hAnsi="宋体"/>
          <w:bCs/>
          <w:color w:val="auto"/>
          <w:sz w:val="21"/>
          <w:szCs w:val="21"/>
          <w:highlight w:val="none"/>
        </w:rPr>
        <w:t xml:space="preserve"> </w:t>
      </w:r>
      <w:r>
        <w:rPr>
          <w:rFonts w:hint="eastAsia" w:ascii="Times New Roman" w:hAnsi="宋体"/>
          <w:bCs/>
          <w:color w:val="auto"/>
          <w:sz w:val="21"/>
          <w:szCs w:val="21"/>
          <w:highlight w:val="none"/>
        </w:rPr>
        <w:t>当合同规定的合同价款调整情况发生后，承包人未在规定时间内通知发包人，或者未在规定时间内提出调整报告，发包人可以根据有关资料，决定是否调整和调整的金额，并书面通知承包人。</w:t>
      </w:r>
    </w:p>
    <w:p w14:paraId="6505CC8D">
      <w:pPr>
        <w:spacing w:line="360" w:lineRule="auto"/>
        <w:ind w:firstLine="420" w:firstLineChars="200"/>
        <w:jc w:val="left"/>
        <w:rPr>
          <w:color w:val="auto"/>
          <w:highlight w:val="none"/>
        </w:rPr>
      </w:pPr>
      <w:r>
        <w:rPr>
          <w:color w:val="auto"/>
          <w:highlight w:val="none"/>
        </w:rPr>
        <w:t xml:space="preserve">10.3.2 </w:t>
      </w:r>
      <w:r>
        <w:rPr>
          <w:rFonts w:hint="eastAsia" w:cs="宋体"/>
          <w:color w:val="auto"/>
          <w:highlight w:val="none"/>
        </w:rPr>
        <w:t>非国有</w:t>
      </w:r>
      <w:r>
        <w:rPr>
          <w:rFonts w:hint="eastAsia" w:cs="宋体"/>
          <w:color w:val="auto"/>
          <w:highlight w:val="none"/>
          <w:lang w:val="en-US" w:eastAsia="zh-CN"/>
        </w:rPr>
        <w:t>资金</w:t>
      </w:r>
      <w:r>
        <w:rPr>
          <w:rFonts w:hint="eastAsia" w:cs="宋体"/>
          <w:color w:val="auto"/>
          <w:highlight w:val="none"/>
        </w:rPr>
        <w:t>投资项目：</w:t>
      </w:r>
      <w:r>
        <w:rPr>
          <w:color w:val="auto"/>
          <w:highlight w:val="none"/>
        </w:rPr>
        <w:t xml:space="preserve"> </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highlight w:val="none"/>
        </w:rPr>
        <w:t>。</w:t>
      </w:r>
    </w:p>
    <w:p w14:paraId="78727B13">
      <w:pPr>
        <w:spacing w:line="360" w:lineRule="auto"/>
        <w:outlineLvl w:val="9"/>
        <w:rPr>
          <w:color w:val="auto"/>
          <w:highlight w:val="none"/>
        </w:rPr>
      </w:pPr>
      <w:bookmarkStart w:id="831" w:name="_Toc389065308"/>
      <w:bookmarkStart w:id="832" w:name="_Toc3998"/>
      <w:bookmarkStart w:id="833" w:name="_Toc373227742"/>
      <w:bookmarkStart w:id="834" w:name="_Toc407135245"/>
      <w:bookmarkStart w:id="835" w:name="_Toc508"/>
      <w:bookmarkStart w:id="836" w:name="_Toc1645711468"/>
      <w:bookmarkStart w:id="837" w:name="_Toc78449831"/>
      <w:bookmarkStart w:id="838" w:name="_Toc373478389"/>
      <w:r>
        <w:rPr>
          <w:color w:val="auto"/>
          <w:highlight w:val="none"/>
        </w:rPr>
        <w:t xml:space="preserve">10.4 </w:t>
      </w:r>
      <w:r>
        <w:rPr>
          <w:rFonts w:hint="eastAsia" w:hAnsi="宋体" w:cs="黑体"/>
          <w:color w:val="auto"/>
          <w:highlight w:val="none"/>
        </w:rPr>
        <w:t>变更估价</w:t>
      </w:r>
      <w:bookmarkEnd w:id="831"/>
      <w:bookmarkEnd w:id="832"/>
      <w:bookmarkEnd w:id="833"/>
      <w:bookmarkEnd w:id="834"/>
      <w:bookmarkEnd w:id="835"/>
      <w:bookmarkEnd w:id="836"/>
      <w:bookmarkEnd w:id="837"/>
      <w:bookmarkEnd w:id="838"/>
    </w:p>
    <w:p w14:paraId="4EE61652">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 xml:space="preserve"> 1</w:t>
      </w:r>
      <w:r>
        <w:rPr>
          <w:rFonts w:hint="eastAsia" w:hAnsi="宋体" w:cs="宋体"/>
          <w:color w:val="auto"/>
          <w:kern w:val="0"/>
          <w:highlight w:val="none"/>
          <w:lang w:val="en-US" w:eastAsia="zh-CN"/>
        </w:rPr>
        <w:t>0</w:t>
      </w:r>
      <w:r>
        <w:rPr>
          <w:rFonts w:hint="eastAsia" w:hAnsi="宋体" w:cs="宋体"/>
          <w:color w:val="auto"/>
          <w:kern w:val="0"/>
          <w:highlight w:val="none"/>
        </w:rPr>
        <w:t>.</w:t>
      </w:r>
      <w:r>
        <w:rPr>
          <w:rFonts w:hint="eastAsia" w:hAnsi="宋体" w:cs="宋体"/>
          <w:color w:val="auto"/>
          <w:kern w:val="0"/>
          <w:highlight w:val="none"/>
          <w:lang w:val="en-US" w:eastAsia="zh-CN"/>
        </w:rPr>
        <w:t>4</w:t>
      </w:r>
      <w:r>
        <w:rPr>
          <w:rFonts w:hint="eastAsia" w:hAnsi="宋体" w:cs="宋体"/>
          <w:color w:val="auto"/>
          <w:kern w:val="0"/>
          <w:highlight w:val="none"/>
        </w:rPr>
        <w:t>.1 因工程变更引起分部分项工程项目清单的清单项目增加或减少的，</w:t>
      </w:r>
      <w:r>
        <w:rPr>
          <w:rFonts w:hint="eastAsia" w:hAnsi="宋体" w:cs="宋体"/>
          <w:color w:val="auto"/>
          <w:kern w:val="0"/>
          <w:highlight w:val="none"/>
          <w:lang w:val="en-US" w:eastAsia="zh-CN"/>
        </w:rPr>
        <w:t>应</w:t>
      </w:r>
      <w:r>
        <w:rPr>
          <w:rFonts w:hint="eastAsia" w:hAnsi="宋体" w:cs="宋体"/>
          <w:color w:val="auto"/>
          <w:kern w:val="0"/>
          <w:highlight w:val="none"/>
        </w:rPr>
        <w:t>按以下确定综合单价，调整合同价格：</w:t>
      </w:r>
    </w:p>
    <w:p w14:paraId="43116E71">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（1）相同施工条件下实施相同项目特征的清单项目</w:t>
      </w:r>
      <w:r>
        <w:rPr>
          <w:rFonts w:hint="eastAsia" w:hAnsi="宋体" w:cs="宋体"/>
          <w:color w:val="auto"/>
          <w:kern w:val="0"/>
          <w:highlight w:val="none"/>
          <w:lang w:eastAsia="zh-CN"/>
        </w:rPr>
        <w:t>，应采用相应的合同单价</w:t>
      </w:r>
      <w:r>
        <w:rPr>
          <w:rFonts w:hint="eastAsia" w:hAnsi="宋体" w:cs="宋体"/>
          <w:color w:val="auto"/>
          <w:kern w:val="0"/>
          <w:highlight w:val="none"/>
          <w:lang w:val="en-US" w:eastAsia="zh-CN"/>
        </w:rPr>
        <w:t>。</w:t>
      </w:r>
    </w:p>
    <w:p w14:paraId="3430A95C">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（2）相同施工条件下实施类似项目特征的清单项目或类似施工条件下实施相同项目特征的清单项目，采用类似清单项目的合同单价换算调整后的综合单价；</w:t>
      </w:r>
    </w:p>
    <w:p w14:paraId="4D20D86A">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（3）相同施工条件下实施不同项目特征的清单项目或不同施工条件下实施相同项目特征的清单项目，依据工程实施情况，结合</w:t>
      </w:r>
      <w:r>
        <w:rPr>
          <w:rFonts w:hint="eastAsia" w:hAnsi="宋体" w:cs="宋体"/>
          <w:color w:val="auto"/>
          <w:kern w:val="0"/>
          <w:highlight w:val="none"/>
          <w:lang w:eastAsia="zh-CN"/>
        </w:rPr>
        <w:t>自治区建设行政主管部门颁布的综合单价组价表、</w:t>
      </w:r>
      <w:r>
        <w:rPr>
          <w:rFonts w:hint="eastAsia" w:hAnsi="宋体" w:cs="宋体"/>
          <w:color w:val="auto"/>
          <w:kern w:val="0"/>
          <w:highlight w:val="none"/>
        </w:rPr>
        <w:t>类似</w:t>
      </w:r>
      <w:r>
        <w:rPr>
          <w:rFonts w:hint="eastAsia" w:hAnsi="宋体" w:cs="宋体"/>
          <w:color w:val="auto"/>
          <w:kern w:val="0"/>
          <w:highlight w:val="none"/>
          <w:lang w:val="en-US" w:eastAsia="zh-CN"/>
        </w:rPr>
        <w:t>清单</w:t>
      </w:r>
      <w:r>
        <w:rPr>
          <w:rFonts w:hint="eastAsia" w:hAnsi="宋体" w:cs="宋体"/>
          <w:color w:val="auto"/>
          <w:kern w:val="0"/>
          <w:highlight w:val="none"/>
        </w:rPr>
        <w:t>项目的合同单价计价规则及报价水平，由发承包双方协商确定合理的综合单价；</w:t>
      </w:r>
    </w:p>
    <w:p w14:paraId="64AD963F">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（4）不同施工条件下实施不同项目特征的清单项目，依据工程实施情况，结合</w:t>
      </w:r>
      <w:r>
        <w:rPr>
          <w:rFonts w:hint="eastAsia" w:hAnsi="宋体" w:cs="宋体"/>
          <w:color w:val="auto"/>
          <w:kern w:val="0"/>
          <w:highlight w:val="none"/>
          <w:lang w:eastAsia="zh-CN"/>
        </w:rPr>
        <w:t>自治区建设行政主管部门颁布的综合单价组价表、</w:t>
      </w:r>
      <w:r>
        <w:rPr>
          <w:rFonts w:hint="eastAsia" w:hAnsi="宋体" w:cs="宋体"/>
          <w:color w:val="auto"/>
          <w:kern w:val="0"/>
          <w:highlight w:val="none"/>
        </w:rPr>
        <w:t>同类工程类似清单项目的综合单价，由发承包双方协商确定合理的综合单价；</w:t>
      </w:r>
    </w:p>
    <w:p w14:paraId="743A35C7">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（5）因减少或取消清单项目的工程变更显著改变了实施中的工程施工条件，发承包双方根据实施工程的具体情况、市场价格、合同单价计价规则及报价水平协商确定工程变更的综合单价。</w:t>
      </w:r>
    </w:p>
    <w:p w14:paraId="5CD86AE9">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（6）发包人提供的材料变更为承包人负责采购的，相应分部分项工程项目清单变更后的综合单价按下式计算：综合单价=合同单价+已确认材料价格×</w:t>
      </w:r>
      <w:r>
        <w:rPr>
          <w:rFonts w:hint="eastAsia" w:hAnsi="宋体" w:cs="宋体"/>
          <w:color w:val="auto"/>
          <w:kern w:val="0"/>
          <w:highlight w:val="none"/>
          <w:lang w:eastAsia="zh-CN"/>
        </w:rPr>
        <w:t>（</w:t>
      </w:r>
      <w:r>
        <w:rPr>
          <w:rFonts w:hint="eastAsia" w:hAnsi="宋体" w:cs="宋体"/>
          <w:color w:val="auto"/>
          <w:kern w:val="0"/>
          <w:highlight w:val="none"/>
        </w:rPr>
        <w:t>1+损耗率</w:t>
      </w:r>
      <w:r>
        <w:rPr>
          <w:rFonts w:hint="eastAsia" w:hAnsi="宋体" w:cs="宋体"/>
          <w:color w:val="auto"/>
          <w:kern w:val="0"/>
          <w:highlight w:val="none"/>
          <w:lang w:eastAsia="zh-CN"/>
        </w:rPr>
        <w:t>）</w:t>
      </w:r>
      <w:r>
        <w:rPr>
          <w:rFonts w:hint="eastAsia" w:hAnsi="宋体" w:cs="宋体"/>
          <w:color w:val="auto"/>
          <w:kern w:val="0"/>
          <w:highlight w:val="none"/>
        </w:rPr>
        <w:t>×（1+增值税税率）</w:t>
      </w:r>
    </w:p>
    <w:p w14:paraId="5E480678">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（7）承包人提供的材料变更为发包人提供的，相关合同清单项目综合单价中包含的材料费、增值税等应予扣除，综合单价中所含的其他费用不作调整，扣除后的清单项目单价为该清单项目的安装综合单价。</w:t>
      </w:r>
    </w:p>
    <w:p w14:paraId="087FBB8D">
      <w:pPr>
        <w:keepNext w:val="0"/>
        <w:keepLines w:val="0"/>
        <w:pageBreakBefore w:val="0"/>
        <w:widowControl/>
        <w:tabs>
          <w:tab w:val="left" w:pos="8647"/>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val="0"/>
          <w:color w:val="auto"/>
          <w:sz w:val="21"/>
          <w:szCs w:val="21"/>
          <w:highlight w:val="none"/>
          <w:lang w:val="en-US" w:eastAsia="zh-CN"/>
        </w:rPr>
      </w:pPr>
      <w:r>
        <w:rPr>
          <w:rFonts w:hint="eastAsia" w:hAnsi="宋体" w:cs="宋体"/>
          <w:color w:val="auto"/>
          <w:kern w:val="0"/>
          <w:highlight w:val="none"/>
          <w:lang w:eastAsia="zh-CN"/>
        </w:rPr>
        <w:t>（</w:t>
      </w:r>
      <w:r>
        <w:rPr>
          <w:rFonts w:hint="eastAsia" w:hAnsi="宋体" w:cs="宋体"/>
          <w:color w:val="auto"/>
          <w:kern w:val="0"/>
          <w:highlight w:val="none"/>
          <w:lang w:val="en-US" w:eastAsia="zh-CN"/>
        </w:rPr>
        <w:t>8</w:t>
      </w:r>
      <w:r>
        <w:rPr>
          <w:rFonts w:hint="eastAsia" w:hAnsi="宋体" w:cs="宋体"/>
          <w:color w:val="auto"/>
          <w:kern w:val="0"/>
          <w:highlight w:val="none"/>
          <w:lang w:eastAsia="zh-CN"/>
        </w:rPr>
        <w:t>）</w:t>
      </w:r>
      <w:r>
        <w:rPr>
          <w:rFonts w:hint="eastAsia"/>
          <w:color w:val="auto"/>
          <w:highlight w:val="none"/>
          <w:lang w:eastAsia="zh-CN"/>
        </w:rPr>
        <w:t>如在招标过程中出现投标人的投标文件存在算术误差及细微偏差，以招标文件“澄清、说明或补正”规定</w:t>
      </w:r>
      <w:r>
        <w:rPr>
          <w:rFonts w:hint="eastAsia" w:ascii="宋体" w:hAnsi="宋体" w:cs="宋体"/>
          <w:b w:val="0"/>
          <w:bCs w:val="0"/>
          <w:color w:val="auto"/>
          <w:sz w:val="21"/>
          <w:szCs w:val="21"/>
          <w:highlight w:val="none"/>
          <w:lang w:val="en-US" w:eastAsia="zh-CN"/>
        </w:rPr>
        <w:t>修正后的综合单价作为工程进度款（总价合同除外）、工程变更以及单价合同竣工结算的计价依据。</w:t>
      </w:r>
    </w:p>
    <w:p w14:paraId="15DBB1A2">
      <w:pPr>
        <w:spacing w:line="360" w:lineRule="auto"/>
        <w:ind w:firstLine="420" w:firstLineChars="200"/>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（9）如在招标过程中出现综合单价</w:t>
      </w:r>
      <w:r>
        <w:rPr>
          <w:rFonts w:hint="eastAsia" w:ascii="宋体" w:hAnsi="宋体" w:eastAsia="宋体" w:cs="宋体"/>
          <w:color w:val="auto"/>
          <w:spacing w:val="0"/>
          <w:sz w:val="21"/>
          <w:szCs w:val="21"/>
          <w:highlight w:val="none"/>
        </w:rPr>
        <w:t>非合理性偏低或偏高</w:t>
      </w:r>
      <w:r>
        <w:rPr>
          <w:rFonts w:hint="eastAsia" w:ascii="宋体" w:hAnsi="宋体" w:cs="宋体"/>
          <w:color w:val="auto"/>
          <w:spacing w:val="0"/>
          <w:sz w:val="21"/>
          <w:szCs w:val="21"/>
          <w:highlight w:val="none"/>
          <w:lang w:eastAsia="zh-CN"/>
        </w:rPr>
        <w:t>，</w:t>
      </w:r>
      <w:r>
        <w:rPr>
          <w:rFonts w:hint="eastAsia"/>
          <w:color w:val="auto"/>
          <w:highlight w:val="none"/>
          <w:lang w:eastAsia="zh-CN"/>
        </w:rPr>
        <w:t>以招标文件“澄清、说明或补正”规定投标人</w:t>
      </w:r>
      <w:r>
        <w:rPr>
          <w:rFonts w:hint="eastAsia" w:ascii="宋体" w:hAnsi="宋体" w:eastAsia="宋体" w:cs="宋体"/>
          <w:color w:val="auto"/>
          <w:spacing w:val="0"/>
          <w:sz w:val="21"/>
          <w:szCs w:val="21"/>
          <w:highlight w:val="none"/>
        </w:rPr>
        <w:t>提供的合理修正综合单价</w:t>
      </w:r>
      <w:r>
        <w:rPr>
          <w:rFonts w:hint="eastAsia" w:ascii="宋体" w:hAnsi="宋体" w:eastAsia="宋体" w:cs="宋体"/>
          <w:color w:val="auto"/>
          <w:spacing w:val="0"/>
          <w:sz w:val="21"/>
          <w:szCs w:val="21"/>
          <w:highlight w:val="none"/>
          <w:lang w:eastAsia="zh-CN"/>
        </w:rPr>
        <w:t>作为</w:t>
      </w:r>
      <w:r>
        <w:rPr>
          <w:rFonts w:hint="eastAsia" w:ascii="宋体" w:hAnsi="宋体" w:eastAsia="宋体" w:cs="宋体"/>
          <w:color w:val="auto"/>
          <w:spacing w:val="0"/>
          <w:sz w:val="21"/>
          <w:szCs w:val="21"/>
          <w:highlight w:val="none"/>
        </w:rPr>
        <w:t>已标价工程量清单所列清单项目数量</w:t>
      </w:r>
      <w:r>
        <w:rPr>
          <w:rFonts w:hint="eastAsia" w:ascii="宋体" w:hAnsi="宋体" w:eastAsia="宋体" w:cs="宋体"/>
          <w:color w:val="auto"/>
          <w:spacing w:val="0"/>
          <w:sz w:val="21"/>
          <w:szCs w:val="21"/>
          <w:highlight w:val="none"/>
          <w:lang w:eastAsia="zh-CN"/>
        </w:rPr>
        <w:t>增加（总价合同除外）</w:t>
      </w:r>
      <w:r>
        <w:rPr>
          <w:rFonts w:hint="eastAsia" w:ascii="宋体" w:hAnsi="宋体" w:eastAsia="宋体" w:cs="宋体"/>
          <w:color w:val="auto"/>
          <w:spacing w:val="0"/>
          <w:sz w:val="21"/>
          <w:szCs w:val="21"/>
          <w:highlight w:val="none"/>
        </w:rPr>
        <w:t>和工程变更计价</w:t>
      </w:r>
      <w:r>
        <w:rPr>
          <w:rFonts w:hint="eastAsia" w:ascii="宋体" w:hAnsi="宋体" w:eastAsia="宋体" w:cs="宋体"/>
          <w:color w:val="auto"/>
          <w:spacing w:val="0"/>
          <w:sz w:val="21"/>
          <w:szCs w:val="21"/>
          <w:highlight w:val="none"/>
          <w:lang w:eastAsia="zh-CN"/>
        </w:rPr>
        <w:t>依据</w:t>
      </w:r>
      <w:r>
        <w:rPr>
          <w:rFonts w:hint="eastAsia" w:ascii="宋体" w:hAnsi="宋体" w:eastAsia="宋体" w:cs="宋体"/>
          <w:color w:val="auto"/>
          <w:spacing w:val="0"/>
          <w:sz w:val="21"/>
          <w:szCs w:val="21"/>
          <w:highlight w:val="none"/>
        </w:rPr>
        <w:t>。</w:t>
      </w:r>
    </w:p>
    <w:p w14:paraId="6916DBA8">
      <w:pPr>
        <w:spacing w:line="360" w:lineRule="auto"/>
        <w:ind w:firstLine="420" w:firstLineChars="200"/>
        <w:rPr>
          <w:color w:val="auto"/>
          <w:highlight w:val="none"/>
        </w:rPr>
      </w:pPr>
      <w:r>
        <w:rPr>
          <w:rFonts w:hint="eastAsia" w:ascii="宋体" w:hAnsi="宋体" w:cs="宋体"/>
          <w:b w:val="0"/>
          <w:bCs w:val="0"/>
          <w:color w:val="auto"/>
          <w:sz w:val="21"/>
          <w:szCs w:val="21"/>
          <w:highlight w:val="none"/>
          <w:lang w:val="en-US" w:eastAsia="zh-CN"/>
        </w:rPr>
        <w:t>（10）采用单价合同时，工程变更和工程量清单缺陷导致</w:t>
      </w:r>
      <w:r>
        <w:rPr>
          <w:rFonts w:hint="eastAsia" w:hAnsi="宋体" w:cs="宋体"/>
          <w:color w:val="auto"/>
          <w:highlight w:val="none"/>
        </w:rPr>
        <w:t>工程量清单工程量偏差时，是否调整合同</w:t>
      </w:r>
      <w:r>
        <w:rPr>
          <w:rFonts w:hint="eastAsia" w:hAnsi="宋体" w:cs="宋体"/>
          <w:color w:val="auto"/>
          <w:highlight w:val="none"/>
          <w:lang w:eastAsia="zh-CN"/>
        </w:rPr>
        <w:t>单价</w:t>
      </w:r>
      <w:r>
        <w:rPr>
          <w:rFonts w:hint="eastAsia" w:hAnsi="宋体" w:cs="宋体"/>
          <w:color w:val="auto"/>
          <w:highlight w:val="none"/>
        </w:rPr>
        <w:t>：</w:t>
      </w:r>
      <w:r>
        <w:rPr>
          <w:rFonts w:hint="eastAsia" w:ascii="宋体" w:hAnsi="宋体" w:cs="宋体"/>
          <w:color w:val="auto"/>
          <w:highlight w:val="none"/>
          <w:u w:val="single"/>
          <w:lang w:eastAsia="zh-CN"/>
        </w:rPr>
        <w:t>□</w:t>
      </w:r>
      <w:r>
        <w:rPr>
          <w:rFonts w:hint="eastAsia" w:hAnsi="宋体" w:cs="宋体"/>
          <w:color w:val="auto"/>
          <w:highlight w:val="none"/>
          <w:u w:val="single"/>
        </w:rPr>
        <w:t xml:space="preserve">是  </w:t>
      </w:r>
      <w:r>
        <w:rPr>
          <w:rFonts w:hint="eastAsia" w:ascii="宋体" w:hAnsi="宋体" w:cs="宋体"/>
          <w:color w:val="auto"/>
          <w:highlight w:val="none"/>
          <w:u w:val="single"/>
          <w:lang w:eastAsia="zh-CN"/>
        </w:rPr>
        <w:t>☑</w:t>
      </w:r>
      <w:r>
        <w:rPr>
          <w:rFonts w:hint="eastAsia" w:hAnsi="宋体" w:cs="宋体"/>
          <w:color w:val="auto"/>
          <w:highlight w:val="none"/>
          <w:u w:val="single"/>
        </w:rPr>
        <w:t>否</w:t>
      </w:r>
      <w:r>
        <w:rPr>
          <w:rFonts w:hint="eastAsia" w:hAnsi="宋体" w:cs="宋体"/>
          <w:color w:val="auto"/>
          <w:kern w:val="0"/>
          <w:highlight w:val="none"/>
        </w:rPr>
        <w:t>。</w:t>
      </w:r>
    </w:p>
    <w:p w14:paraId="03902133">
      <w:pPr>
        <w:spacing w:line="360" w:lineRule="auto"/>
        <w:ind w:firstLine="420" w:firstLineChars="200"/>
        <w:rPr>
          <w:rFonts w:hint="eastAsia" w:hAnsi="宋体" w:cs="宋体"/>
          <w:color w:val="auto"/>
          <w:highlight w:val="none"/>
        </w:rPr>
      </w:pPr>
      <w:r>
        <w:rPr>
          <w:rFonts w:hint="eastAsia" w:ascii="宋体" w:hAnsi="宋体" w:cs="宋体"/>
          <w:b w:val="0"/>
          <w:bCs w:val="0"/>
          <w:color w:val="auto"/>
          <w:sz w:val="21"/>
          <w:szCs w:val="21"/>
          <w:highlight w:val="none"/>
          <w:lang w:val="en-US" w:eastAsia="zh-CN"/>
        </w:rPr>
        <w:t>除综合单价存在</w:t>
      </w:r>
      <w:r>
        <w:rPr>
          <w:rFonts w:hint="eastAsia" w:ascii="宋体" w:hAnsi="宋体" w:eastAsia="宋体" w:cs="宋体"/>
          <w:color w:val="auto"/>
          <w:spacing w:val="0"/>
          <w:sz w:val="21"/>
          <w:szCs w:val="21"/>
          <w:highlight w:val="none"/>
        </w:rPr>
        <w:t>非合理性偏低或偏高</w:t>
      </w:r>
      <w:r>
        <w:rPr>
          <w:rFonts w:hint="eastAsia" w:ascii="宋体" w:hAnsi="宋体" w:cs="宋体"/>
          <w:color w:val="auto"/>
          <w:spacing w:val="0"/>
          <w:sz w:val="21"/>
          <w:szCs w:val="21"/>
          <w:highlight w:val="none"/>
          <w:lang w:eastAsia="zh-CN"/>
        </w:rPr>
        <w:t>按合理修正综合单价计价外，</w:t>
      </w:r>
      <w:r>
        <w:rPr>
          <w:rFonts w:hint="eastAsia" w:hAnsi="宋体" w:cs="宋体"/>
          <w:color w:val="auto"/>
          <w:highlight w:val="none"/>
        </w:rPr>
        <w:t>允许调整合同价格的工程量偏差范围及其调整办法：</w:t>
      </w:r>
    </w:p>
    <w:p w14:paraId="262D48AB">
      <w:pPr>
        <w:spacing w:line="360" w:lineRule="auto"/>
        <w:ind w:firstLine="420" w:firstLineChars="200"/>
        <w:rPr>
          <w:color w:val="auto"/>
          <w:kern w:val="0"/>
          <w:highlight w:val="none"/>
        </w:rPr>
      </w:pPr>
      <w:r>
        <w:rPr>
          <w:rFonts w:hint="eastAsia" w:ascii="宋体" w:hAnsi="宋体" w:cs="宋体"/>
          <w:color w:val="auto"/>
          <w:highlight w:val="none"/>
          <w:lang w:eastAsia="zh-CN"/>
        </w:rPr>
        <w:t>☑</w:t>
      </w:r>
      <w:r>
        <w:rPr>
          <w:color w:val="auto"/>
          <w:highlight w:val="none"/>
          <w:u w:val="single"/>
        </w:rPr>
        <w:t xml:space="preserve"> </w:t>
      </w:r>
      <w:r>
        <w:rPr>
          <w:rFonts w:hint="eastAsia"/>
          <w:color w:val="auto"/>
          <w:highlight w:val="none"/>
          <w:u w:val="single"/>
        </w:rPr>
        <w:t>无论分部分项工程量清单项目中的工程量变化多少均不调整</w:t>
      </w:r>
      <w:r>
        <w:rPr>
          <w:rFonts w:hint="eastAsia" w:hAnsi="宋体" w:cs="宋体"/>
          <w:color w:val="auto"/>
          <w:kern w:val="0"/>
          <w:highlight w:val="none"/>
        </w:rPr>
        <w:t>。</w:t>
      </w:r>
    </w:p>
    <w:p w14:paraId="580B6CC8">
      <w:pPr>
        <w:spacing w:line="360" w:lineRule="auto"/>
        <w:ind w:firstLine="420" w:firstLineChars="200"/>
        <w:rPr>
          <w:rFonts w:hint="eastAsia"/>
          <w:color w:val="auto"/>
          <w:highlight w:val="none"/>
          <w:lang w:val="en-US" w:eastAsia="zh-CN"/>
        </w:rPr>
      </w:pPr>
      <w:r>
        <w:rPr>
          <w:rFonts w:hint="eastAsia" w:ascii="宋体" w:hAnsi="宋体" w:cs="宋体"/>
          <w:color w:val="auto"/>
          <w:highlight w:val="none"/>
        </w:rPr>
        <w:t>□</w:t>
      </w:r>
      <w:r>
        <w:rPr>
          <w:rFonts w:hint="eastAsia" w:ascii="宋体" w:hAnsi="宋体" w:cs="宋体"/>
          <w:color w:val="auto"/>
          <w:highlight w:val="none"/>
          <w:lang w:val="en-US" w:eastAsia="zh-CN"/>
        </w:rPr>
        <w:t xml:space="preserve"> </w:t>
      </w:r>
      <w:r>
        <w:rPr>
          <w:rFonts w:hint="eastAsia" w:ascii="Calibri" w:hAnsi="宋体" w:cs="宋体"/>
          <w:color w:val="auto"/>
          <w:highlight w:val="none"/>
          <w:u w:val="single"/>
        </w:rPr>
        <w:t>承包人实际完成的某单项清单项目工程量与招标工程量清单工程量偏差超过    %</w:t>
      </w:r>
      <w:r>
        <w:rPr>
          <w:rFonts w:hint="eastAsia" w:ascii="Calibri" w:hAnsi="宋体" w:cs="宋体"/>
          <w:color w:val="auto"/>
          <w:highlight w:val="none"/>
          <w:u w:val="single"/>
          <w:lang w:eastAsia="zh-CN"/>
        </w:rPr>
        <w:t>（取值不低于</w:t>
      </w:r>
      <w:r>
        <w:rPr>
          <w:rFonts w:hint="eastAsia" w:ascii="Calibri" w:hAnsi="宋体" w:cs="宋体"/>
          <w:color w:val="auto"/>
          <w:highlight w:val="none"/>
          <w:u w:val="single"/>
          <w:lang w:val="en-US" w:eastAsia="zh-CN"/>
        </w:rPr>
        <w:t>15%</w:t>
      </w:r>
      <w:r>
        <w:rPr>
          <w:rFonts w:hint="eastAsia" w:ascii="Calibri" w:hAnsi="宋体" w:cs="宋体"/>
          <w:color w:val="auto"/>
          <w:highlight w:val="none"/>
          <w:u w:val="single"/>
          <w:lang w:eastAsia="zh-CN"/>
        </w:rPr>
        <w:t>）</w:t>
      </w:r>
      <w:r>
        <w:rPr>
          <w:rFonts w:hint="eastAsia" w:ascii="Calibri" w:hAnsi="宋体" w:cs="宋体"/>
          <w:color w:val="auto"/>
          <w:highlight w:val="none"/>
          <w:u w:val="single"/>
        </w:rPr>
        <w:t>且该单项清单</w:t>
      </w:r>
      <w:r>
        <w:rPr>
          <w:rFonts w:hint="eastAsia" w:ascii="Calibri" w:hAnsi="宋体" w:cs="宋体"/>
          <w:color w:val="auto"/>
          <w:highlight w:val="none"/>
          <w:u w:val="single"/>
          <w:lang w:eastAsia="zh-CN"/>
        </w:rPr>
        <w:t>总价</w:t>
      </w:r>
      <w:r>
        <w:rPr>
          <w:rFonts w:hint="eastAsia" w:ascii="Calibri" w:hAnsi="宋体" w:cs="宋体"/>
          <w:color w:val="auto"/>
          <w:highlight w:val="none"/>
          <w:u w:val="single"/>
        </w:rPr>
        <w:t>超过清单项目所对应单位工程合同总价  %</w:t>
      </w:r>
      <w:r>
        <w:rPr>
          <w:rFonts w:hint="eastAsia" w:ascii="Calibri" w:hAnsi="宋体" w:cs="宋体"/>
          <w:color w:val="auto"/>
          <w:highlight w:val="none"/>
          <w:u w:val="single"/>
          <w:lang w:eastAsia="zh-CN"/>
        </w:rPr>
        <w:t>（取值不低于</w:t>
      </w:r>
      <w:r>
        <w:rPr>
          <w:rFonts w:hint="eastAsia" w:ascii="Calibri" w:hAnsi="宋体" w:cs="宋体"/>
          <w:color w:val="auto"/>
          <w:highlight w:val="none"/>
          <w:u w:val="single"/>
          <w:lang w:val="en-US" w:eastAsia="zh-CN"/>
        </w:rPr>
        <w:t>1%</w:t>
      </w:r>
      <w:r>
        <w:rPr>
          <w:rFonts w:hint="eastAsia" w:ascii="Calibri" w:hAnsi="宋体" w:cs="宋体"/>
          <w:color w:val="auto"/>
          <w:highlight w:val="none"/>
          <w:u w:val="single"/>
          <w:lang w:eastAsia="zh-CN"/>
        </w:rPr>
        <w:t>）</w:t>
      </w:r>
      <w:r>
        <w:rPr>
          <w:rFonts w:hint="eastAsia" w:ascii="Calibri" w:hAnsi="宋体" w:cs="宋体"/>
          <w:color w:val="auto"/>
          <w:highlight w:val="none"/>
          <w:u w:val="single"/>
        </w:rPr>
        <w:t xml:space="preserve">以上的，超过后增加部分工程量或减少后剩余部分工程量的综合单价按以下方法调整：   </w:t>
      </w:r>
      <w:r>
        <w:rPr>
          <w:rFonts w:hint="eastAsia" w:ascii="Calibri" w:hAnsi="宋体" w:cs="宋体"/>
          <w:color w:val="auto"/>
          <w:highlight w:val="none"/>
          <w:u w:val="single"/>
          <w:lang w:val="en-US" w:eastAsia="zh-CN"/>
        </w:rPr>
        <w:t>/</w:t>
      </w:r>
      <w:r>
        <w:rPr>
          <w:rFonts w:hint="eastAsia" w:ascii="Calibri" w:hAnsi="宋体" w:cs="宋体"/>
          <w:color w:val="auto"/>
          <w:highlight w:val="none"/>
          <w:u w:val="single"/>
        </w:rPr>
        <w:t xml:space="preserve">       。</w:t>
      </w:r>
    </w:p>
    <w:p w14:paraId="6BD8A069">
      <w:pPr>
        <w:spacing w:line="360" w:lineRule="auto"/>
        <w:ind w:firstLine="0" w:firstLineChars="0"/>
        <w:jc w:val="left"/>
        <w:rPr>
          <w:rFonts w:hint="eastAsia" w:hAnsi="宋体" w:cs="宋体"/>
          <w:color w:val="auto"/>
          <w:kern w:val="0"/>
          <w:highlight w:val="none"/>
        </w:rPr>
      </w:pPr>
      <w:r>
        <w:rPr>
          <w:rFonts w:hint="eastAsia" w:hAnsi="宋体" w:cs="宋体"/>
          <w:color w:val="auto"/>
          <w:kern w:val="0"/>
          <w:highlight w:val="none"/>
        </w:rPr>
        <w:t xml:space="preserve">    1</w:t>
      </w:r>
      <w:r>
        <w:rPr>
          <w:rFonts w:hint="eastAsia" w:hAnsi="宋体" w:cs="宋体"/>
          <w:color w:val="auto"/>
          <w:kern w:val="0"/>
          <w:highlight w:val="none"/>
          <w:lang w:val="en-US" w:eastAsia="zh-CN"/>
        </w:rPr>
        <w:t>0</w:t>
      </w:r>
      <w:r>
        <w:rPr>
          <w:rFonts w:hint="eastAsia" w:hAnsi="宋体" w:cs="宋体"/>
          <w:color w:val="auto"/>
          <w:kern w:val="0"/>
          <w:highlight w:val="none"/>
        </w:rPr>
        <w:t>.</w:t>
      </w:r>
      <w:r>
        <w:rPr>
          <w:rFonts w:hint="eastAsia" w:hAnsi="宋体" w:cs="宋体"/>
          <w:color w:val="auto"/>
          <w:kern w:val="0"/>
          <w:highlight w:val="none"/>
          <w:lang w:val="en-US" w:eastAsia="zh-CN"/>
        </w:rPr>
        <w:t>4</w:t>
      </w:r>
      <w:r>
        <w:rPr>
          <w:rFonts w:hint="eastAsia" w:hAnsi="宋体" w:cs="宋体"/>
          <w:color w:val="auto"/>
          <w:kern w:val="0"/>
          <w:highlight w:val="none"/>
        </w:rPr>
        <w:t>.</w:t>
      </w:r>
      <w:r>
        <w:rPr>
          <w:rFonts w:hint="eastAsia" w:hAnsi="宋体" w:cs="宋体"/>
          <w:color w:val="auto"/>
          <w:kern w:val="0"/>
          <w:highlight w:val="none"/>
          <w:lang w:val="en-US" w:eastAsia="zh-CN"/>
        </w:rPr>
        <w:t>2</w:t>
      </w:r>
      <w:r>
        <w:rPr>
          <w:rFonts w:hint="eastAsia" w:hAnsi="宋体" w:cs="宋体"/>
          <w:color w:val="auto"/>
          <w:kern w:val="0"/>
          <w:highlight w:val="none"/>
        </w:rPr>
        <w:t xml:space="preserve"> </w:t>
      </w:r>
      <w:r>
        <w:rPr>
          <w:rFonts w:hint="eastAsia" w:hAnsi="宋体" w:cs="宋体"/>
          <w:color w:val="auto"/>
          <w:kern w:val="0"/>
          <w:highlight w:val="none"/>
          <w:lang w:eastAsia="zh-CN"/>
        </w:rPr>
        <w:t>因</w:t>
      </w:r>
      <w:r>
        <w:rPr>
          <w:rFonts w:hint="eastAsia" w:hAnsi="宋体" w:cs="宋体"/>
          <w:color w:val="auto"/>
          <w:kern w:val="0"/>
          <w:highlight w:val="none"/>
        </w:rPr>
        <w:t>工程变更或发包人责任事件引起合同工期实质性延长或缩短的，按以下公式计算合同工期影响的措施项目调增（减）价格：</w:t>
      </w:r>
    </w:p>
    <w:p w14:paraId="54B5889E">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措施项目调增（减）价格＝延长（缩短）工期×措施项目中期运行费用</w:t>
      </w:r>
      <w:r>
        <w:rPr>
          <w:rFonts w:hint="eastAsia" w:hAnsi="宋体" w:cs="宋体"/>
          <w:color w:val="auto"/>
          <w:kern w:val="0"/>
          <w:highlight w:val="none"/>
          <w:lang w:val="en-US" w:eastAsia="zh-CN"/>
        </w:rPr>
        <w:t>÷</w:t>
      </w:r>
      <w:r>
        <w:rPr>
          <w:rFonts w:hint="eastAsia" w:hAnsi="宋体" w:cs="宋体"/>
          <w:color w:val="auto"/>
          <w:kern w:val="0"/>
          <w:highlight w:val="none"/>
        </w:rPr>
        <w:t>合同工期</w:t>
      </w:r>
    </w:p>
    <w:p w14:paraId="52BA5A21">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措施项目中期运行费用——按本合同</w:t>
      </w:r>
      <w:r>
        <w:rPr>
          <w:rFonts w:hint="eastAsia" w:hAnsi="宋体" w:cs="宋体"/>
          <w:color w:val="auto"/>
          <w:kern w:val="0"/>
          <w:highlight w:val="none"/>
          <w:lang w:eastAsia="zh-CN"/>
        </w:rPr>
        <w:t>附件</w:t>
      </w:r>
      <w:r>
        <w:rPr>
          <w:rFonts w:hint="eastAsia" w:hAnsi="宋体" w:cs="宋体"/>
          <w:color w:val="auto"/>
          <w:kern w:val="0"/>
          <w:highlight w:val="none"/>
          <w:lang w:val="en-US" w:eastAsia="zh-CN"/>
        </w:rPr>
        <w:t>15</w:t>
      </w:r>
      <w:r>
        <w:rPr>
          <w:rFonts w:hint="eastAsia" w:hAnsi="宋体" w:cs="宋体"/>
          <w:color w:val="auto"/>
          <w:kern w:val="0"/>
          <w:highlight w:val="none"/>
        </w:rPr>
        <w:t>《措施项目费用分拆表》计算合同清单中所有受影响措施项目的中期运行费用。</w:t>
      </w:r>
    </w:p>
    <w:p w14:paraId="3564897E">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w:t>
      </w:r>
      <w:r>
        <w:rPr>
          <w:rFonts w:hint="eastAsia" w:hAnsi="宋体" w:cs="宋体"/>
          <w:color w:val="auto"/>
          <w:kern w:val="0"/>
          <w:highlight w:val="none"/>
          <w:lang w:val="en-US" w:eastAsia="zh-CN"/>
        </w:rPr>
        <w:t>0</w:t>
      </w:r>
      <w:r>
        <w:rPr>
          <w:rFonts w:hint="eastAsia" w:hAnsi="宋体" w:cs="宋体"/>
          <w:color w:val="auto"/>
          <w:kern w:val="0"/>
          <w:highlight w:val="none"/>
        </w:rPr>
        <w:t>.</w:t>
      </w:r>
      <w:r>
        <w:rPr>
          <w:rFonts w:hint="eastAsia" w:hAnsi="宋体" w:cs="宋体"/>
          <w:color w:val="auto"/>
          <w:kern w:val="0"/>
          <w:highlight w:val="none"/>
          <w:lang w:val="en-US" w:eastAsia="zh-CN"/>
        </w:rPr>
        <w:t>4</w:t>
      </w:r>
      <w:r>
        <w:rPr>
          <w:rFonts w:hint="eastAsia" w:hAnsi="宋体" w:cs="宋体"/>
          <w:color w:val="auto"/>
          <w:kern w:val="0"/>
          <w:highlight w:val="none"/>
        </w:rPr>
        <w:t>.</w:t>
      </w:r>
      <w:r>
        <w:rPr>
          <w:rFonts w:hint="eastAsia" w:hAnsi="宋体" w:cs="宋体"/>
          <w:color w:val="auto"/>
          <w:kern w:val="0"/>
          <w:highlight w:val="none"/>
          <w:lang w:val="en-US" w:eastAsia="zh-CN"/>
        </w:rPr>
        <w:t>3</w:t>
      </w:r>
      <w:r>
        <w:rPr>
          <w:rFonts w:hint="eastAsia" w:hAnsi="宋体" w:cs="宋体"/>
          <w:color w:val="auto"/>
          <w:kern w:val="0"/>
          <w:highlight w:val="none"/>
        </w:rPr>
        <w:t xml:space="preserve"> 为完成工程变更而需增加的额外措施项目费用应按以下约定计算：</w:t>
      </w:r>
    </w:p>
    <w:p w14:paraId="54799256">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完成工程变更所需增加设置的临时设施，按实际发生临时设施的类型、数量及使用时间进行计量，由发承包双方协商确定的合理价格进行计价。</w:t>
      </w:r>
    </w:p>
    <w:p w14:paraId="5DAE1D87">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w:t>
      </w:r>
      <w:r>
        <w:rPr>
          <w:rFonts w:hint="eastAsia" w:hAnsi="宋体" w:cs="宋体"/>
          <w:color w:val="auto"/>
          <w:kern w:val="0"/>
          <w:highlight w:val="none"/>
          <w:lang w:val="en-US" w:eastAsia="zh-CN"/>
        </w:rPr>
        <w:t>0</w:t>
      </w:r>
      <w:r>
        <w:rPr>
          <w:rFonts w:hint="eastAsia" w:hAnsi="宋体" w:cs="宋体"/>
          <w:color w:val="auto"/>
          <w:kern w:val="0"/>
          <w:highlight w:val="none"/>
        </w:rPr>
        <w:t>.</w:t>
      </w:r>
      <w:r>
        <w:rPr>
          <w:rFonts w:hint="eastAsia" w:hAnsi="宋体" w:cs="宋体"/>
          <w:color w:val="auto"/>
          <w:kern w:val="0"/>
          <w:highlight w:val="none"/>
          <w:lang w:val="en-US" w:eastAsia="zh-CN"/>
        </w:rPr>
        <w:t>4</w:t>
      </w:r>
      <w:r>
        <w:rPr>
          <w:rFonts w:hint="eastAsia" w:hAnsi="宋体" w:cs="宋体"/>
          <w:color w:val="auto"/>
          <w:kern w:val="0"/>
          <w:highlight w:val="none"/>
        </w:rPr>
        <w:t>.</w:t>
      </w:r>
      <w:r>
        <w:rPr>
          <w:rFonts w:hint="eastAsia" w:hAnsi="宋体" w:cs="宋体"/>
          <w:color w:val="auto"/>
          <w:kern w:val="0"/>
          <w:highlight w:val="none"/>
          <w:lang w:val="en-US" w:eastAsia="zh-CN"/>
        </w:rPr>
        <w:t>4</w:t>
      </w:r>
      <w:r>
        <w:rPr>
          <w:rFonts w:hint="eastAsia" w:hAnsi="宋体" w:cs="宋体"/>
          <w:color w:val="auto"/>
          <w:kern w:val="0"/>
          <w:highlight w:val="none"/>
        </w:rPr>
        <w:t>工程变更涉及合同工程范围、工期、质量、合同规范等实质性内容变化并引起措施项目发生改变时，发承包双方的不利一方提出调整措施项目费的，应事先将拟实施的方案提交另一方审核，</w:t>
      </w:r>
      <w:r>
        <w:rPr>
          <w:rFonts w:hint="eastAsia" w:hAnsi="宋体" w:cs="宋体"/>
          <w:color w:val="auto"/>
          <w:kern w:val="0"/>
          <w:highlight w:val="none"/>
          <w:lang w:eastAsia="zh-CN"/>
        </w:rPr>
        <w:t>并</w:t>
      </w:r>
      <w:r>
        <w:rPr>
          <w:rFonts w:hint="eastAsia" w:hAnsi="宋体" w:cs="宋体"/>
          <w:color w:val="auto"/>
          <w:kern w:val="0"/>
          <w:highlight w:val="none"/>
        </w:rPr>
        <w:t>详细说明与原方案措施项目对比的变化情况</w:t>
      </w:r>
      <w:r>
        <w:rPr>
          <w:rFonts w:hint="eastAsia" w:hAnsi="宋体" w:cs="宋体"/>
          <w:color w:val="auto"/>
          <w:kern w:val="0"/>
          <w:highlight w:val="none"/>
          <w:lang w:eastAsia="zh-CN"/>
        </w:rPr>
        <w:t>，</w:t>
      </w:r>
      <w:r>
        <w:rPr>
          <w:rFonts w:hint="eastAsia" w:hAnsi="宋体" w:cs="宋体"/>
          <w:color w:val="auto"/>
          <w:kern w:val="0"/>
          <w:highlight w:val="none"/>
        </w:rPr>
        <w:t xml:space="preserve">拟实施的方案经发承包双方确认后执行的，应按本合同第 </w:t>
      </w:r>
      <w:r>
        <w:rPr>
          <w:rFonts w:hint="eastAsia" w:hAnsi="宋体" w:cs="宋体"/>
          <w:color w:val="auto"/>
          <w:kern w:val="0"/>
          <w:highlight w:val="none"/>
          <w:lang w:val="en-US" w:eastAsia="zh-CN"/>
        </w:rPr>
        <w:t>10.4.2</w:t>
      </w:r>
      <w:r>
        <w:rPr>
          <w:rFonts w:hint="eastAsia" w:hAnsi="宋体" w:cs="宋体"/>
          <w:color w:val="auto"/>
          <w:kern w:val="0"/>
          <w:highlight w:val="none"/>
        </w:rPr>
        <w:t>条、第</w:t>
      </w:r>
      <w:r>
        <w:rPr>
          <w:rFonts w:hint="eastAsia" w:hAnsi="宋体" w:cs="宋体"/>
          <w:color w:val="auto"/>
          <w:kern w:val="0"/>
          <w:highlight w:val="none"/>
          <w:lang w:val="en-US" w:eastAsia="zh-CN"/>
        </w:rPr>
        <w:t>10.4.3</w:t>
      </w:r>
      <w:r>
        <w:rPr>
          <w:rFonts w:hint="eastAsia" w:hAnsi="宋体" w:cs="宋体"/>
          <w:color w:val="auto"/>
          <w:kern w:val="0"/>
          <w:highlight w:val="none"/>
        </w:rPr>
        <w:t>条的约定调整措施项目费。</w:t>
      </w:r>
    </w:p>
    <w:p w14:paraId="18DB5839">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w:t>
      </w:r>
      <w:r>
        <w:rPr>
          <w:rFonts w:hint="eastAsia" w:hAnsi="宋体" w:cs="宋体"/>
          <w:color w:val="auto"/>
          <w:kern w:val="0"/>
          <w:highlight w:val="none"/>
          <w:lang w:val="en-US" w:eastAsia="zh-CN"/>
        </w:rPr>
        <w:t>0</w:t>
      </w:r>
      <w:r>
        <w:rPr>
          <w:rFonts w:hint="eastAsia" w:hAnsi="宋体" w:cs="宋体"/>
          <w:color w:val="auto"/>
          <w:kern w:val="0"/>
          <w:highlight w:val="none"/>
        </w:rPr>
        <w:t>.</w:t>
      </w:r>
      <w:r>
        <w:rPr>
          <w:rFonts w:hint="eastAsia" w:hAnsi="宋体" w:cs="宋体"/>
          <w:color w:val="auto"/>
          <w:kern w:val="0"/>
          <w:highlight w:val="none"/>
          <w:lang w:val="en-US" w:eastAsia="zh-CN"/>
        </w:rPr>
        <w:t>4</w:t>
      </w:r>
      <w:r>
        <w:rPr>
          <w:rFonts w:hint="eastAsia" w:hAnsi="宋体" w:cs="宋体"/>
          <w:color w:val="auto"/>
          <w:kern w:val="0"/>
          <w:highlight w:val="none"/>
        </w:rPr>
        <w:t>.</w:t>
      </w:r>
      <w:r>
        <w:rPr>
          <w:rFonts w:hint="eastAsia" w:hAnsi="宋体" w:cs="宋体"/>
          <w:color w:val="auto"/>
          <w:kern w:val="0"/>
          <w:highlight w:val="none"/>
          <w:lang w:val="en-US" w:eastAsia="zh-CN"/>
        </w:rPr>
        <w:t>5</w:t>
      </w:r>
      <w:r>
        <w:rPr>
          <w:rFonts w:hint="eastAsia" w:hAnsi="宋体" w:cs="宋体"/>
          <w:color w:val="auto"/>
          <w:kern w:val="0"/>
          <w:highlight w:val="none"/>
        </w:rPr>
        <w:t xml:space="preserve"> 发包人提出的工程变更取消了合同中的某项原定工作或工程，且承包人发生的费用或（和）应得的收益没有包括在其他已支付或应支付的项目中或在任何替代的工作或工程中，发包人应补偿承包人的损失费用及合理的预期收益。 </w:t>
      </w:r>
    </w:p>
    <w:p w14:paraId="33B36245">
      <w:pPr>
        <w:spacing w:line="360" w:lineRule="auto"/>
        <w:outlineLvl w:val="9"/>
        <w:rPr>
          <w:color w:val="auto"/>
          <w:highlight w:val="none"/>
        </w:rPr>
      </w:pPr>
      <w:bookmarkStart w:id="839" w:name="_Toc2996"/>
      <w:bookmarkStart w:id="840" w:name="_Toc78449832"/>
      <w:bookmarkStart w:id="841" w:name="_Toc373227743"/>
      <w:bookmarkStart w:id="842" w:name="_Toc407135246"/>
      <w:bookmarkStart w:id="843" w:name="_Toc373478390"/>
      <w:bookmarkStart w:id="844" w:name="_Toc27214"/>
      <w:bookmarkStart w:id="845" w:name="_Toc650800266"/>
      <w:bookmarkStart w:id="846" w:name="_Toc389065309"/>
      <w:r>
        <w:rPr>
          <w:color w:val="auto"/>
          <w:highlight w:val="none"/>
        </w:rPr>
        <w:t>1</w:t>
      </w:r>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Start w:id="847" w:name="_Toc296944536"/>
      <w:bookmarkStart w:id="848" w:name="_Toc292559907"/>
      <w:bookmarkStart w:id="849" w:name="_Toc297216203"/>
      <w:bookmarkStart w:id="850" w:name="_Toc296891237"/>
      <w:bookmarkStart w:id="851" w:name="_Toc297048383"/>
      <w:bookmarkStart w:id="852" w:name="_Toc296346698"/>
      <w:bookmarkStart w:id="853" w:name="_Toc300934993"/>
      <w:bookmarkStart w:id="854" w:name="_Toc296347196"/>
      <w:bookmarkStart w:id="855" w:name="_Toc303539150"/>
      <w:bookmarkStart w:id="856" w:name="_Toc296891025"/>
      <w:bookmarkStart w:id="857" w:name="_Toc292559402"/>
      <w:bookmarkStart w:id="858" w:name="_Toc296503197"/>
      <w:bookmarkStart w:id="859" w:name="_Toc297120497"/>
      <w:bookmarkStart w:id="860" w:name="_Toc297123544"/>
      <w:bookmarkStart w:id="861" w:name="_Toc312677503"/>
      <w:bookmarkStart w:id="862" w:name="_Toc304295570"/>
      <w:bookmarkStart w:id="863" w:name="_Toc312678029"/>
      <w:r>
        <w:rPr>
          <w:color w:val="auto"/>
          <w:highlight w:val="none"/>
        </w:rPr>
        <w:t xml:space="preserve">0.5 </w:t>
      </w:r>
      <w:r>
        <w:rPr>
          <w:rFonts w:hint="eastAsia" w:cs="黑体"/>
          <w:color w:val="auto"/>
          <w:highlight w:val="none"/>
        </w:rPr>
        <w:t>承</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Start w:id="864" w:name="_Toc296346704"/>
      <w:bookmarkStart w:id="865" w:name="_Toc296891243"/>
      <w:bookmarkStart w:id="866" w:name="_Toc297120503"/>
      <w:bookmarkStart w:id="867" w:name="_Toc297216204"/>
      <w:bookmarkStart w:id="868" w:name="_Toc303539151"/>
      <w:bookmarkStart w:id="869" w:name="_Toc296891031"/>
      <w:bookmarkStart w:id="870" w:name="_Toc292559408"/>
      <w:bookmarkStart w:id="871" w:name="_Toc296503203"/>
      <w:bookmarkStart w:id="872" w:name="_Toc296347202"/>
      <w:bookmarkStart w:id="873" w:name="_Toc297123545"/>
      <w:bookmarkStart w:id="874" w:name="_Toc292559913"/>
      <w:bookmarkStart w:id="875" w:name="_Toc296944542"/>
      <w:bookmarkStart w:id="876" w:name="_Toc300934994"/>
      <w:bookmarkStart w:id="877" w:name="_Toc297048389"/>
      <w:r>
        <w:rPr>
          <w:rFonts w:hint="eastAsia" w:cs="黑体"/>
          <w:color w:val="auto"/>
          <w:highlight w:val="none"/>
        </w:rPr>
        <w:t>包人的合理化建议</w:t>
      </w:r>
      <w:bookmarkEnd w:id="839"/>
      <w:bookmarkEnd w:id="840"/>
      <w:bookmarkEnd w:id="841"/>
      <w:bookmarkEnd w:id="842"/>
      <w:bookmarkEnd w:id="843"/>
      <w:bookmarkEnd w:id="844"/>
      <w:bookmarkEnd w:id="845"/>
      <w:bookmarkEnd w:id="846"/>
    </w:p>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p w14:paraId="7167A1F9">
      <w:pPr>
        <w:spacing w:line="360" w:lineRule="auto"/>
        <w:ind w:firstLine="420" w:firstLineChars="200"/>
        <w:jc w:val="left"/>
        <w:rPr>
          <w:color w:val="auto"/>
          <w:highlight w:val="none"/>
        </w:rPr>
      </w:pPr>
      <w:r>
        <w:rPr>
          <w:rFonts w:hint="eastAsia" w:hAnsi="宋体" w:cs="宋体"/>
          <w:color w:val="auto"/>
          <w:highlight w:val="none"/>
        </w:rPr>
        <w:t>监理人审查承包人合理化建议的期限：</w:t>
      </w:r>
      <w:r>
        <w:rPr>
          <w:color w:val="auto"/>
          <w:highlight w:val="none"/>
          <w:u w:val="single"/>
        </w:rPr>
        <w:t xml:space="preserve"> </w:t>
      </w:r>
      <w:r>
        <w:rPr>
          <w:rFonts w:hint="eastAsia" w:ascii="宋体" w:hAnsi="宋体" w:eastAsia="宋体" w:cs="宋体"/>
          <w:color w:val="auto"/>
          <w:kern w:val="2"/>
          <w:sz w:val="21"/>
          <w:szCs w:val="21"/>
          <w:highlight w:val="none"/>
          <w:u w:val="single"/>
        </w:rPr>
        <w:t>提交合理化建议后14天内</w:t>
      </w:r>
      <w:r>
        <w:rPr>
          <w:color w:val="auto"/>
          <w:highlight w:val="none"/>
          <w:u w:val="single"/>
        </w:rPr>
        <w:t xml:space="preserve"> </w:t>
      </w:r>
      <w:r>
        <w:rPr>
          <w:rFonts w:hint="eastAsia" w:hAnsi="宋体" w:cs="宋体"/>
          <w:color w:val="auto"/>
          <w:highlight w:val="none"/>
        </w:rPr>
        <w:t>。</w:t>
      </w:r>
    </w:p>
    <w:p w14:paraId="3706A533">
      <w:pPr>
        <w:spacing w:line="360" w:lineRule="auto"/>
        <w:ind w:firstLine="420" w:firstLineChars="200"/>
        <w:jc w:val="left"/>
        <w:rPr>
          <w:color w:val="auto"/>
          <w:highlight w:val="none"/>
        </w:rPr>
      </w:pPr>
      <w:r>
        <w:rPr>
          <w:rFonts w:hint="eastAsia" w:hAnsi="宋体" w:cs="宋体"/>
          <w:color w:val="auto"/>
          <w:highlight w:val="none"/>
        </w:rPr>
        <w:t>发包人审批承包人合理化建议的期限：</w:t>
      </w:r>
      <w:r>
        <w:rPr>
          <w:color w:val="auto"/>
          <w:highlight w:val="none"/>
          <w:u w:val="single"/>
        </w:rPr>
        <w:t xml:space="preserve"> </w:t>
      </w:r>
      <w:r>
        <w:rPr>
          <w:rFonts w:hint="eastAsia" w:ascii="宋体" w:hAnsi="宋体" w:eastAsia="宋体" w:cs="宋体"/>
          <w:color w:val="auto"/>
          <w:kern w:val="2"/>
          <w:sz w:val="21"/>
          <w:szCs w:val="21"/>
          <w:highlight w:val="none"/>
          <w:u w:val="single"/>
        </w:rPr>
        <w:t>提交合理化建议后14天内</w:t>
      </w:r>
      <w:r>
        <w:rPr>
          <w:color w:val="auto"/>
          <w:highlight w:val="none"/>
          <w:u w:val="single"/>
        </w:rPr>
        <w:t xml:space="preserve">   </w:t>
      </w:r>
      <w:r>
        <w:rPr>
          <w:rFonts w:hint="eastAsia" w:hAnsi="宋体" w:cs="宋体"/>
          <w:color w:val="auto"/>
          <w:highlight w:val="none"/>
        </w:rPr>
        <w:t>。</w:t>
      </w:r>
    </w:p>
    <w:p w14:paraId="7A2D2CAA">
      <w:pPr>
        <w:spacing w:line="360" w:lineRule="auto"/>
        <w:ind w:firstLine="420" w:firstLineChars="200"/>
        <w:jc w:val="left"/>
        <w:rPr>
          <w:color w:val="auto"/>
          <w:highlight w:val="none"/>
          <w:u w:val="single"/>
        </w:rPr>
      </w:pPr>
      <w:r>
        <w:rPr>
          <w:rFonts w:hint="eastAsia" w:hAnsi="宋体" w:cs="宋体"/>
          <w:color w:val="auto"/>
          <w:highlight w:val="none"/>
        </w:rPr>
        <w:t>承</w:t>
      </w:r>
      <w:bookmarkStart w:id="878" w:name="_Toc300934995"/>
      <w:bookmarkStart w:id="879" w:name="_Toc292559409"/>
      <w:bookmarkStart w:id="880" w:name="_Toc296346705"/>
      <w:bookmarkStart w:id="881" w:name="_Toc296944543"/>
      <w:bookmarkStart w:id="882" w:name="_Toc318581175"/>
      <w:bookmarkStart w:id="883" w:name="_Toc296891032"/>
      <w:bookmarkStart w:id="884" w:name="_Toc312677504"/>
      <w:bookmarkStart w:id="885" w:name="_Toc303539152"/>
      <w:bookmarkStart w:id="886" w:name="_Toc297216205"/>
      <w:bookmarkStart w:id="887" w:name="_Toc296503204"/>
      <w:bookmarkStart w:id="888" w:name="_Toc297123546"/>
      <w:bookmarkStart w:id="889" w:name="_Toc297048390"/>
      <w:bookmarkStart w:id="890" w:name="_Toc312678030"/>
      <w:bookmarkStart w:id="891" w:name="_Toc297120504"/>
      <w:bookmarkStart w:id="892" w:name="_Toc304295571"/>
      <w:bookmarkStart w:id="893" w:name="_Toc296891244"/>
      <w:bookmarkStart w:id="894" w:name="_Toc296347203"/>
      <w:bookmarkStart w:id="895" w:name="_Toc292559914"/>
      <w:r>
        <w:rPr>
          <w:rFonts w:hint="eastAsia" w:hAnsi="宋体" w:cs="宋体"/>
          <w:color w:val="auto"/>
          <w:highlight w:val="none"/>
        </w:rPr>
        <w:t>包人提出的合理化建议降低了合同价格或者提高了工程经济效益的奖励的方法和金额为：</w:t>
      </w:r>
      <w:r>
        <w:rPr>
          <w:rFonts w:hint="eastAsia"/>
          <w:color w:val="auto"/>
          <w:highlight w:val="none"/>
          <w:u w:val="single"/>
          <w:lang w:val="en-US" w:eastAsia="zh-CN"/>
        </w:rPr>
        <w:t>/</w:t>
      </w:r>
      <w:r>
        <w:rPr>
          <w:rFonts w:hint="eastAsia" w:hAnsi="宋体" w:cs="宋体"/>
          <w:color w:val="auto"/>
          <w:highlight w:val="none"/>
        </w:rPr>
        <w:t>。</w:t>
      </w:r>
    </w:p>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14:paraId="58E9C7DD">
      <w:pPr>
        <w:spacing w:line="360" w:lineRule="auto"/>
        <w:outlineLvl w:val="9"/>
        <w:rPr>
          <w:color w:val="auto"/>
          <w:highlight w:val="none"/>
        </w:rPr>
      </w:pPr>
      <w:bookmarkStart w:id="896" w:name="_Toc407135247"/>
      <w:bookmarkStart w:id="897" w:name="_Toc10238"/>
      <w:bookmarkStart w:id="898" w:name="_Toc2045792355"/>
      <w:bookmarkStart w:id="899" w:name="_Toc30086"/>
      <w:bookmarkStart w:id="900" w:name="_Toc373227744"/>
      <w:bookmarkStart w:id="901" w:name="_Toc389065310"/>
      <w:bookmarkStart w:id="902" w:name="_Toc373478391"/>
      <w:bookmarkStart w:id="903" w:name="_Toc78449833"/>
      <w:r>
        <w:rPr>
          <w:color w:val="auto"/>
          <w:highlight w:val="none"/>
        </w:rPr>
        <w:t>1</w:t>
      </w:r>
      <w:bookmarkStart w:id="904" w:name="_Toc296891027"/>
      <w:bookmarkStart w:id="905" w:name="_Toc296503199"/>
      <w:bookmarkStart w:id="906" w:name="_Toc303539154"/>
      <w:bookmarkStart w:id="907" w:name="_Toc296346700"/>
      <w:bookmarkStart w:id="908" w:name="_Toc304295574"/>
      <w:bookmarkStart w:id="909" w:name="_Toc297120499"/>
      <w:bookmarkStart w:id="910" w:name="_Toc292559404"/>
      <w:bookmarkStart w:id="911" w:name="_Toc297048385"/>
      <w:bookmarkStart w:id="912" w:name="_Toc297216207"/>
      <w:bookmarkStart w:id="913" w:name="_Toc297123548"/>
      <w:bookmarkStart w:id="914" w:name="_Toc296891239"/>
      <w:bookmarkStart w:id="915" w:name="_Toc296944538"/>
      <w:bookmarkStart w:id="916" w:name="_Toc300934997"/>
      <w:bookmarkStart w:id="917" w:name="_Toc292559909"/>
      <w:bookmarkStart w:id="918" w:name="_Toc296347198"/>
      <w:bookmarkStart w:id="919" w:name="_Toc312677507"/>
      <w:bookmarkStart w:id="920" w:name="_Toc312678033"/>
      <w:r>
        <w:rPr>
          <w:color w:val="auto"/>
          <w:highlight w:val="none"/>
        </w:rPr>
        <w:t xml:space="preserve">0.7 </w:t>
      </w:r>
      <w:r>
        <w:rPr>
          <w:rFonts w:hint="eastAsia" w:hAnsi="宋体" w:cs="黑体"/>
          <w:color w:val="auto"/>
          <w:highlight w:val="none"/>
        </w:rPr>
        <w:t>暂估价</w:t>
      </w:r>
      <w:bookmarkEnd w:id="896"/>
      <w:bookmarkEnd w:id="897"/>
      <w:bookmarkEnd w:id="898"/>
      <w:bookmarkEnd w:id="899"/>
      <w:bookmarkEnd w:id="900"/>
      <w:bookmarkEnd w:id="901"/>
      <w:bookmarkEnd w:id="902"/>
      <w:bookmarkEnd w:id="903"/>
    </w:p>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p w14:paraId="5E3A0438">
      <w:pPr>
        <w:spacing w:line="360" w:lineRule="auto"/>
        <w:ind w:firstLine="420" w:firstLineChars="200"/>
        <w:jc w:val="left"/>
        <w:rPr>
          <w:color w:val="auto"/>
          <w:highlight w:val="none"/>
        </w:rPr>
      </w:pPr>
      <w:r>
        <w:rPr>
          <w:rFonts w:hint="eastAsia" w:hAnsi="宋体" w:cs="宋体"/>
          <w:color w:val="auto"/>
          <w:kern w:val="0"/>
          <w:highlight w:val="none"/>
        </w:rPr>
        <w:t>暂估价材料和工程设备的明细详见已标价工程量清单《</w:t>
      </w:r>
      <w:r>
        <w:rPr>
          <w:rFonts w:hint="eastAsia" w:cs="宋体"/>
          <w:color w:val="auto"/>
          <w:highlight w:val="none"/>
        </w:rPr>
        <w:t>材料暂估</w:t>
      </w:r>
      <w:r>
        <w:rPr>
          <w:rFonts w:hint="eastAsia" w:cs="宋体"/>
          <w:color w:val="auto"/>
          <w:highlight w:val="none"/>
          <w:lang w:eastAsia="zh-CN"/>
        </w:rPr>
        <w:t>价</w:t>
      </w:r>
      <w:r>
        <w:rPr>
          <w:rFonts w:hint="eastAsia" w:cs="宋体"/>
          <w:color w:val="auto"/>
          <w:highlight w:val="none"/>
          <w:lang w:val="en-US" w:eastAsia="zh-CN"/>
        </w:rPr>
        <w:t>明细</w:t>
      </w:r>
      <w:r>
        <w:rPr>
          <w:rFonts w:hint="eastAsia" w:cs="宋体"/>
          <w:color w:val="auto"/>
          <w:highlight w:val="none"/>
        </w:rPr>
        <w:t>表》</w:t>
      </w:r>
      <w:r>
        <w:rPr>
          <w:rFonts w:hint="eastAsia" w:hAnsi="宋体" w:cs="宋体"/>
          <w:color w:val="auto"/>
          <w:kern w:val="0"/>
          <w:highlight w:val="none"/>
        </w:rPr>
        <w:t>和《</w:t>
      </w:r>
      <w:r>
        <w:rPr>
          <w:rFonts w:hint="eastAsia" w:cs="宋体"/>
          <w:color w:val="auto"/>
          <w:highlight w:val="none"/>
        </w:rPr>
        <w:t>专业工程暂估价</w:t>
      </w:r>
      <w:r>
        <w:rPr>
          <w:rFonts w:hint="eastAsia" w:cs="宋体"/>
          <w:color w:val="auto"/>
          <w:highlight w:val="none"/>
          <w:lang w:val="en-US" w:eastAsia="zh-CN"/>
        </w:rPr>
        <w:t>明细</w:t>
      </w:r>
      <w:r>
        <w:rPr>
          <w:rFonts w:hint="eastAsia" w:cs="宋体"/>
          <w:color w:val="auto"/>
          <w:highlight w:val="none"/>
        </w:rPr>
        <w:t>表》</w:t>
      </w:r>
      <w:r>
        <w:rPr>
          <w:rFonts w:hint="eastAsia" w:hAnsi="宋体" w:cs="宋体"/>
          <w:color w:val="auto"/>
          <w:kern w:val="0"/>
          <w:highlight w:val="none"/>
        </w:rPr>
        <w:t>。</w:t>
      </w:r>
    </w:p>
    <w:p w14:paraId="1868978E">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w:t>
      </w:r>
      <w:r>
        <w:rPr>
          <w:rFonts w:hint="eastAsia" w:hAnsi="宋体" w:cs="宋体"/>
          <w:color w:val="auto"/>
          <w:kern w:val="0"/>
          <w:highlight w:val="none"/>
          <w:lang w:val="en-US" w:eastAsia="zh-CN"/>
        </w:rPr>
        <w:t>0</w:t>
      </w:r>
      <w:r>
        <w:rPr>
          <w:rFonts w:hint="eastAsia" w:hAnsi="宋体" w:cs="宋体"/>
          <w:color w:val="auto"/>
          <w:kern w:val="0"/>
          <w:highlight w:val="none"/>
        </w:rPr>
        <w:t>.</w:t>
      </w:r>
      <w:r>
        <w:rPr>
          <w:rFonts w:hint="eastAsia" w:hAnsi="宋体" w:cs="宋体"/>
          <w:color w:val="auto"/>
          <w:kern w:val="0"/>
          <w:highlight w:val="none"/>
          <w:lang w:val="en-US" w:eastAsia="zh-CN"/>
        </w:rPr>
        <w:t>7</w:t>
      </w:r>
      <w:r>
        <w:rPr>
          <w:rFonts w:hint="eastAsia" w:hAnsi="宋体" w:cs="宋体"/>
          <w:color w:val="auto"/>
          <w:kern w:val="0"/>
          <w:highlight w:val="none"/>
        </w:rPr>
        <w:t>.1工程量清单中给定暂估价的材料和（或）暂估价的专业工程属于依法必须招标的，应以招标确定材料及</w:t>
      </w:r>
      <w:r>
        <w:rPr>
          <w:rFonts w:hint="eastAsia" w:hAnsi="宋体" w:cs="宋体"/>
          <w:color w:val="auto"/>
          <w:kern w:val="0"/>
          <w:highlight w:val="none"/>
          <w:lang w:eastAsia="zh-CN"/>
        </w:rPr>
        <w:t>专业工程</w:t>
      </w:r>
      <w:r>
        <w:rPr>
          <w:rFonts w:hint="eastAsia" w:hAnsi="宋体" w:cs="宋体"/>
          <w:color w:val="auto"/>
          <w:kern w:val="0"/>
          <w:highlight w:val="none"/>
        </w:rPr>
        <w:t>价格，发承包双方采用以下第</w:t>
      </w:r>
      <w:r>
        <w:rPr>
          <w:rFonts w:hint="eastAsia" w:hAnsi="宋体" w:cs="宋体"/>
          <w:color w:val="auto"/>
          <w:kern w:val="0"/>
          <w:highlight w:val="none"/>
          <w:u w:val="single"/>
        </w:rPr>
        <w:t xml:space="preserve"> </w:t>
      </w:r>
      <w:r>
        <w:rPr>
          <w:rFonts w:hint="eastAsia" w:hAnsi="宋体" w:cs="宋体"/>
          <w:color w:val="auto"/>
          <w:kern w:val="0"/>
          <w:highlight w:val="none"/>
        </w:rPr>
        <w:t>三</w:t>
      </w:r>
      <w:r>
        <w:rPr>
          <w:rFonts w:hint="eastAsia" w:hAnsi="宋体" w:cs="宋体"/>
          <w:color w:val="auto"/>
          <w:kern w:val="0"/>
          <w:highlight w:val="none"/>
          <w:u w:val="single"/>
        </w:rPr>
        <w:t xml:space="preserve"> </w:t>
      </w:r>
      <w:r>
        <w:rPr>
          <w:rFonts w:hint="eastAsia" w:hAnsi="宋体" w:cs="宋体"/>
          <w:color w:val="auto"/>
          <w:kern w:val="0"/>
          <w:highlight w:val="none"/>
        </w:rPr>
        <w:t>种方式进行招标：</w:t>
      </w:r>
    </w:p>
    <w:p w14:paraId="380FAD6F">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第一种方式：由发包人作为招标人进行暂估价材料、暂估价专业工程招标，组织招标工作有关的费用由发包人承担。需要承包人配合的，其配合费用由承包人自行承担。</w:t>
      </w:r>
    </w:p>
    <w:p w14:paraId="6A6E9E4B">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第二种方式：由承包人作为招标人进行暂估价材料、暂估价专业工程招标，其组织招标工作有关的费用已经包括在承包人的投标总价（</w:t>
      </w:r>
      <w:r>
        <w:rPr>
          <w:rFonts w:hint="eastAsia" w:hAnsi="宋体" w:cs="宋体"/>
          <w:color w:val="auto"/>
          <w:kern w:val="0"/>
          <w:highlight w:val="none"/>
          <w:lang w:eastAsia="zh-CN"/>
        </w:rPr>
        <w:t>合同签订价格</w:t>
      </w:r>
      <w:r>
        <w:rPr>
          <w:rFonts w:hint="eastAsia" w:hAnsi="宋体" w:cs="宋体"/>
          <w:color w:val="auto"/>
          <w:kern w:val="0"/>
          <w:highlight w:val="none"/>
        </w:rPr>
        <w:t>）中。需要发包人配合的，其配合费用由发包人自行承担。</w:t>
      </w:r>
    </w:p>
    <w:p w14:paraId="1107F52F">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第三种方式：由发包人和承包人共同作为招标人进行暂估价材料、暂估价专业工程招标，发承包双方各自承担相应的费用。</w:t>
      </w:r>
    </w:p>
    <w:p w14:paraId="34B4A9BB">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w:t>
      </w:r>
      <w:r>
        <w:rPr>
          <w:rFonts w:hint="eastAsia" w:hAnsi="宋体" w:cs="宋体"/>
          <w:color w:val="auto"/>
          <w:kern w:val="0"/>
          <w:highlight w:val="none"/>
          <w:lang w:val="en-US" w:eastAsia="zh-CN"/>
        </w:rPr>
        <w:t>0</w:t>
      </w:r>
      <w:r>
        <w:rPr>
          <w:rFonts w:hint="eastAsia" w:hAnsi="宋体" w:cs="宋体"/>
          <w:color w:val="auto"/>
          <w:kern w:val="0"/>
          <w:highlight w:val="none"/>
        </w:rPr>
        <w:t>.</w:t>
      </w:r>
      <w:r>
        <w:rPr>
          <w:rFonts w:hint="eastAsia" w:hAnsi="宋体" w:cs="宋体"/>
          <w:color w:val="auto"/>
          <w:kern w:val="0"/>
          <w:highlight w:val="none"/>
          <w:lang w:val="en-US" w:eastAsia="zh-CN"/>
        </w:rPr>
        <w:t>7</w:t>
      </w:r>
      <w:r>
        <w:rPr>
          <w:rFonts w:hint="eastAsia" w:hAnsi="宋体" w:cs="宋体"/>
          <w:color w:val="auto"/>
          <w:kern w:val="0"/>
          <w:highlight w:val="none"/>
        </w:rPr>
        <w:t>.2工程量清单中给定暂估价的材料不属于依法必须招标的，采用以下第二</w:t>
      </w:r>
      <w:r>
        <w:rPr>
          <w:rFonts w:hint="eastAsia" w:hAnsi="宋体" w:cs="宋体"/>
          <w:color w:val="auto"/>
          <w:kern w:val="0"/>
          <w:highlight w:val="none"/>
          <w:u w:val="single"/>
        </w:rPr>
        <w:t xml:space="preserve"> </w:t>
      </w:r>
      <w:r>
        <w:rPr>
          <w:rFonts w:hint="eastAsia" w:hAnsi="宋体" w:cs="宋体"/>
          <w:color w:val="auto"/>
          <w:kern w:val="0"/>
          <w:highlight w:val="none"/>
        </w:rPr>
        <w:t>种方式确认材料价格：</w:t>
      </w:r>
    </w:p>
    <w:p w14:paraId="2028EFB4">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第一种方式：承包人进行自主报价，经发包人确认的材料价格取代暂估价。</w:t>
      </w:r>
    </w:p>
    <w:p w14:paraId="5D9C92A0">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第二种方式：由</w:t>
      </w:r>
      <w:r>
        <w:rPr>
          <w:rFonts w:hint="eastAsia" w:ascii="Times New Roman" w:hAnsi="宋体"/>
          <w:bCs/>
          <w:color w:val="auto"/>
          <w:sz w:val="21"/>
          <w:szCs w:val="21"/>
          <w:highlight w:val="none"/>
        </w:rPr>
        <w:t>发承包</w:t>
      </w:r>
      <w:r>
        <w:rPr>
          <w:rFonts w:hint="eastAsia" w:hAnsi="宋体"/>
          <w:bCs/>
          <w:color w:val="auto"/>
          <w:sz w:val="21"/>
          <w:szCs w:val="21"/>
          <w:highlight w:val="none"/>
          <w:lang w:val="en-US" w:eastAsia="zh-CN"/>
        </w:rPr>
        <w:t>双方</w:t>
      </w:r>
      <w:r>
        <w:rPr>
          <w:rFonts w:hint="eastAsia" w:hAnsi="宋体" w:cs="宋体"/>
          <w:color w:val="auto"/>
          <w:kern w:val="0"/>
          <w:highlight w:val="none"/>
        </w:rPr>
        <w:t>共同询价确认的材料价格取代暂估价。</w:t>
      </w:r>
    </w:p>
    <w:p w14:paraId="6E3F24B6">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w:t>
      </w:r>
      <w:r>
        <w:rPr>
          <w:rFonts w:hint="eastAsia" w:hAnsi="宋体" w:cs="宋体"/>
          <w:color w:val="auto"/>
          <w:kern w:val="0"/>
          <w:highlight w:val="none"/>
          <w:lang w:val="en-US" w:eastAsia="zh-CN"/>
        </w:rPr>
        <w:t>0</w:t>
      </w:r>
      <w:r>
        <w:rPr>
          <w:rFonts w:hint="eastAsia" w:hAnsi="宋体" w:cs="宋体"/>
          <w:color w:val="auto"/>
          <w:kern w:val="0"/>
          <w:highlight w:val="none"/>
        </w:rPr>
        <w:t>.</w:t>
      </w:r>
      <w:r>
        <w:rPr>
          <w:rFonts w:hint="eastAsia" w:hAnsi="宋体" w:cs="宋体"/>
          <w:color w:val="auto"/>
          <w:kern w:val="0"/>
          <w:highlight w:val="none"/>
          <w:lang w:val="en-US" w:eastAsia="zh-CN"/>
        </w:rPr>
        <w:t>7</w:t>
      </w:r>
      <w:r>
        <w:rPr>
          <w:rFonts w:hint="eastAsia" w:hAnsi="宋体" w:cs="宋体"/>
          <w:color w:val="auto"/>
          <w:kern w:val="0"/>
          <w:highlight w:val="none"/>
        </w:rPr>
        <w:t>.3 工程量清单中给定暂估价的专业工程不属于依法必须招标的，采用以下第一 种方式确认暂估价：</w:t>
      </w:r>
    </w:p>
    <w:p w14:paraId="1CE8FEAA">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第一种方式：发承包双方按合同约定的自治区建设行政主管部门颁布的计算规范所规定的工程量计算规则以及合同</w:t>
      </w:r>
      <w:r>
        <w:rPr>
          <w:rFonts w:hint="eastAsia" w:hAnsi="宋体" w:cs="宋体"/>
          <w:color w:val="auto"/>
          <w:kern w:val="0"/>
          <w:highlight w:val="none"/>
          <w:lang w:val="en-US" w:eastAsia="zh-CN"/>
        </w:rPr>
        <w:t>单价</w:t>
      </w:r>
      <w:r>
        <w:rPr>
          <w:rFonts w:hint="eastAsia" w:hAnsi="宋体" w:cs="宋体"/>
          <w:color w:val="auto"/>
          <w:kern w:val="0"/>
          <w:highlight w:val="none"/>
        </w:rPr>
        <w:t>、投标报价水平计算暂估专业工程价格，并以此取代专业工程暂估价。</w:t>
      </w:r>
    </w:p>
    <w:p w14:paraId="0A344AE2">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第二种方式：通过招标确定暂估专业工程价格。</w:t>
      </w:r>
    </w:p>
    <w:p w14:paraId="2FF06435">
      <w:pPr>
        <w:spacing w:line="360" w:lineRule="auto"/>
        <w:ind w:firstLine="420" w:firstLineChars="200"/>
        <w:jc w:val="left"/>
        <w:rPr>
          <w:color w:val="auto"/>
          <w:highlight w:val="none"/>
        </w:rPr>
      </w:pPr>
      <w:r>
        <w:rPr>
          <w:rFonts w:hint="eastAsia" w:hAnsi="宋体" w:cs="宋体"/>
          <w:color w:val="auto"/>
          <w:kern w:val="0"/>
          <w:highlight w:val="none"/>
        </w:rPr>
        <w:t>1</w:t>
      </w:r>
      <w:r>
        <w:rPr>
          <w:rFonts w:hint="eastAsia" w:hAnsi="宋体" w:cs="宋体"/>
          <w:color w:val="auto"/>
          <w:kern w:val="0"/>
          <w:highlight w:val="none"/>
          <w:lang w:val="en-US" w:eastAsia="zh-CN"/>
        </w:rPr>
        <w:t>0</w:t>
      </w:r>
      <w:r>
        <w:rPr>
          <w:rFonts w:hint="eastAsia" w:hAnsi="宋体" w:cs="宋体"/>
          <w:color w:val="auto"/>
          <w:kern w:val="0"/>
          <w:highlight w:val="none"/>
        </w:rPr>
        <w:t>.</w:t>
      </w:r>
      <w:r>
        <w:rPr>
          <w:rFonts w:hint="eastAsia" w:hAnsi="宋体" w:cs="宋体"/>
          <w:color w:val="auto"/>
          <w:kern w:val="0"/>
          <w:highlight w:val="none"/>
          <w:lang w:val="en-US" w:eastAsia="zh-CN"/>
        </w:rPr>
        <w:t>7</w:t>
      </w:r>
      <w:r>
        <w:rPr>
          <w:rFonts w:hint="eastAsia" w:hAnsi="宋体" w:cs="宋体"/>
          <w:color w:val="auto"/>
          <w:kern w:val="0"/>
          <w:highlight w:val="none"/>
        </w:rPr>
        <w:t>.4承包人参加由发包人作为招标人的暂估价专业工程投标并中标的，扣减已计算的该专业工程的总承包服务费。</w:t>
      </w:r>
    </w:p>
    <w:p w14:paraId="188C19D9">
      <w:pPr>
        <w:spacing w:line="360" w:lineRule="auto"/>
        <w:outlineLvl w:val="9"/>
        <w:rPr>
          <w:color w:val="auto"/>
          <w:highlight w:val="none"/>
        </w:rPr>
      </w:pPr>
      <w:bookmarkStart w:id="921" w:name="_Toc373227745"/>
      <w:bookmarkStart w:id="922" w:name="_Toc407135248"/>
      <w:bookmarkStart w:id="923" w:name="_Toc2032108729"/>
      <w:bookmarkStart w:id="924" w:name="_Toc373478392"/>
      <w:bookmarkStart w:id="925" w:name="_Toc78449834"/>
      <w:bookmarkStart w:id="926" w:name="_Toc26800"/>
      <w:bookmarkStart w:id="927" w:name="_Toc389065311"/>
      <w:bookmarkStart w:id="928" w:name="_Toc19647"/>
      <w:r>
        <w:rPr>
          <w:color w:val="auto"/>
          <w:highlight w:val="none"/>
        </w:rPr>
        <w:t xml:space="preserve">10.8 </w:t>
      </w:r>
      <w:r>
        <w:rPr>
          <w:rFonts w:hint="eastAsia" w:hAnsi="宋体" w:cs="黑体"/>
          <w:color w:val="auto"/>
          <w:highlight w:val="none"/>
        </w:rPr>
        <w:t>暂列金额</w:t>
      </w:r>
      <w:bookmarkEnd w:id="921"/>
      <w:bookmarkEnd w:id="922"/>
      <w:bookmarkEnd w:id="923"/>
      <w:bookmarkEnd w:id="924"/>
      <w:bookmarkEnd w:id="925"/>
      <w:bookmarkEnd w:id="926"/>
      <w:bookmarkEnd w:id="927"/>
      <w:bookmarkEnd w:id="928"/>
    </w:p>
    <w:p w14:paraId="61FE8C6B">
      <w:pPr>
        <w:autoSpaceDE w:val="0"/>
        <w:autoSpaceDN w:val="0"/>
        <w:adjustRightInd w:val="0"/>
        <w:spacing w:line="360" w:lineRule="auto"/>
        <w:ind w:firstLine="420" w:firstLineChars="200"/>
        <w:jc w:val="left"/>
        <w:rPr>
          <w:color w:val="auto"/>
          <w:highlight w:val="none"/>
          <w:u w:val="single"/>
        </w:rPr>
      </w:pPr>
      <w:r>
        <w:rPr>
          <w:rFonts w:hint="eastAsia" w:hAnsi="宋体" w:cs="宋体"/>
          <w:color w:val="auto"/>
          <w:kern w:val="0"/>
          <w:highlight w:val="none"/>
        </w:rPr>
        <w:t>合同当事人关于暂列金额使用的约定：</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kern w:val="0"/>
          <w:highlight w:val="none"/>
        </w:rPr>
        <w:t>。</w:t>
      </w:r>
    </w:p>
    <w:p w14:paraId="47F50BAD">
      <w:pPr>
        <w:spacing w:line="360" w:lineRule="auto"/>
        <w:outlineLvl w:val="9"/>
        <w:rPr>
          <w:color w:val="auto"/>
          <w:highlight w:val="none"/>
        </w:rPr>
      </w:pPr>
      <w:bookmarkStart w:id="929" w:name="_Toc389065312"/>
      <w:bookmarkStart w:id="930" w:name="_Toc16337"/>
      <w:bookmarkStart w:id="931" w:name="_Toc373478393"/>
      <w:bookmarkStart w:id="932" w:name="_Toc373227746"/>
      <w:bookmarkStart w:id="933" w:name="_Toc351203643"/>
      <w:bookmarkStart w:id="934" w:name="_Toc78449835"/>
      <w:bookmarkStart w:id="935" w:name="_Toc407135249"/>
      <w:bookmarkStart w:id="936" w:name="_Toc1190723452"/>
      <w:r>
        <w:rPr>
          <w:rFonts w:hint="eastAsia" w:hAnsi="宋体" w:cs="黑体"/>
          <w:color w:val="auto"/>
          <w:highlight w:val="none"/>
        </w:rPr>
        <w:t>价格调整</w:t>
      </w:r>
      <w:bookmarkEnd w:id="929"/>
      <w:bookmarkEnd w:id="930"/>
      <w:bookmarkEnd w:id="931"/>
      <w:bookmarkEnd w:id="932"/>
      <w:bookmarkEnd w:id="933"/>
      <w:bookmarkEnd w:id="934"/>
      <w:bookmarkEnd w:id="935"/>
      <w:bookmarkEnd w:id="936"/>
    </w:p>
    <w:p w14:paraId="5101BE37">
      <w:pPr>
        <w:spacing w:line="360" w:lineRule="auto"/>
        <w:outlineLvl w:val="9"/>
        <w:rPr>
          <w:rFonts w:hint="eastAsia" w:eastAsia="黑体"/>
          <w:color w:val="auto"/>
          <w:highlight w:val="none"/>
          <w:lang w:val="en" w:eastAsia="zh-CN"/>
        </w:rPr>
      </w:pPr>
      <w:bookmarkStart w:id="937" w:name="_Toc6153"/>
      <w:bookmarkStart w:id="938" w:name="_Toc13435"/>
      <w:bookmarkStart w:id="939" w:name="_Toc296944540"/>
      <w:bookmarkStart w:id="940" w:name="_Toc389065313"/>
      <w:bookmarkStart w:id="941" w:name="_Toc78449836"/>
      <w:bookmarkStart w:id="942" w:name="_Toc292559406"/>
      <w:bookmarkStart w:id="943" w:name="_Toc296347200"/>
      <w:bookmarkStart w:id="944" w:name="_Toc296346702"/>
      <w:bookmarkStart w:id="945" w:name="_Toc297123550"/>
      <w:bookmarkStart w:id="946" w:name="_Toc312678039"/>
      <w:bookmarkStart w:id="947" w:name="_Toc407135250"/>
      <w:bookmarkStart w:id="948" w:name="_Toc297120501"/>
      <w:bookmarkStart w:id="949" w:name="_Toc373227747"/>
      <w:bookmarkStart w:id="950" w:name="_Toc292559911"/>
      <w:bookmarkStart w:id="951" w:name="_Toc1501386015"/>
      <w:bookmarkStart w:id="952" w:name="_Toc300935000"/>
      <w:bookmarkStart w:id="953" w:name="_Toc297216209"/>
      <w:bookmarkStart w:id="954" w:name="_Toc296891241"/>
      <w:bookmarkStart w:id="955" w:name="_Toc296891029"/>
      <w:bookmarkStart w:id="956" w:name="_Toc304295577"/>
      <w:bookmarkStart w:id="957" w:name="_Toc303539157"/>
      <w:bookmarkStart w:id="958" w:name="_Toc297048387"/>
      <w:bookmarkStart w:id="959" w:name="_Toc373478394"/>
      <w:bookmarkStart w:id="960" w:name="_Toc296503201"/>
      <w:r>
        <w:rPr>
          <w:color w:val="auto"/>
          <w:highlight w:val="none"/>
        </w:rPr>
        <w:t xml:space="preserve">11.1 </w:t>
      </w:r>
      <w:r>
        <w:rPr>
          <w:rFonts w:hint="eastAsia" w:cs="黑体"/>
          <w:color w:val="auto"/>
          <w:highlight w:val="none"/>
          <w:lang w:val="en-US" w:eastAsia="zh-CN"/>
        </w:rPr>
        <w:t>合同价格调整程序</w:t>
      </w:r>
      <w:bookmarkEnd w:id="937"/>
      <w:bookmarkEnd w:id="938"/>
    </w:p>
    <w:p w14:paraId="101F54D1">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11.1.1 合同履行过程中发生合同价格调整事项的，承包人按本合同12.3的约定计算价格调整事项的工程量，依据本合</w:t>
      </w:r>
      <w:r>
        <w:rPr>
          <w:rFonts w:hint="eastAsia" w:hAnsi="宋体" w:cs="宋体"/>
          <w:color w:val="auto"/>
          <w:kern w:val="0"/>
          <w:highlight w:val="none"/>
          <w:lang w:eastAsia="zh-CN"/>
        </w:rPr>
        <w:t>同第</w:t>
      </w:r>
      <w:r>
        <w:rPr>
          <w:rFonts w:hint="eastAsia" w:hAnsi="宋体" w:cs="宋体"/>
          <w:color w:val="auto"/>
          <w:kern w:val="0"/>
          <w:highlight w:val="none"/>
        </w:rPr>
        <w:t>11条的约定计算调整价格，并在发生合同价格调整事项</w:t>
      </w:r>
      <w:r>
        <w:rPr>
          <w:rFonts w:hint="eastAsia" w:hAnsi="宋体" w:cs="宋体"/>
          <w:color w:val="auto"/>
          <w:kern w:val="0"/>
          <w:highlight w:val="none"/>
          <w:u w:val="single"/>
        </w:rPr>
        <w:t xml:space="preserve"> </w:t>
      </w:r>
      <w:r>
        <w:rPr>
          <w:rFonts w:hint="eastAsia" w:hAnsi="宋体" w:cs="宋体"/>
          <w:color w:val="auto"/>
          <w:kern w:val="0"/>
          <w:highlight w:val="none"/>
          <w:u w:val="single"/>
          <w:lang w:val="en-US" w:eastAsia="zh-CN"/>
        </w:rPr>
        <w:t>14</w:t>
      </w:r>
      <w:r>
        <w:rPr>
          <w:rFonts w:hint="eastAsia" w:hAnsi="宋体" w:cs="宋体"/>
          <w:color w:val="auto"/>
          <w:kern w:val="0"/>
          <w:highlight w:val="none"/>
        </w:rPr>
        <w:t>天内连同相关资料提交给发包人核对。</w:t>
      </w:r>
    </w:p>
    <w:p w14:paraId="6A1CC054">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 xml:space="preserve"> 11.1.2 发包人在收到承包人合同价格调整报告及相关资料后应 </w:t>
      </w:r>
      <w:r>
        <w:rPr>
          <w:rFonts w:hint="eastAsia" w:hAnsi="宋体" w:cs="宋体"/>
          <w:color w:val="auto"/>
          <w:kern w:val="0"/>
          <w:highlight w:val="none"/>
          <w:u w:val="single"/>
        </w:rPr>
        <w:t xml:space="preserve">  </w:t>
      </w:r>
      <w:r>
        <w:rPr>
          <w:rFonts w:hint="eastAsia" w:hAnsi="宋体" w:cs="宋体"/>
          <w:color w:val="auto"/>
          <w:kern w:val="0"/>
          <w:highlight w:val="none"/>
          <w:u w:val="single"/>
          <w:lang w:val="en-US" w:eastAsia="zh-CN"/>
        </w:rPr>
        <w:t>14</w:t>
      </w:r>
      <w:r>
        <w:rPr>
          <w:rFonts w:hint="eastAsia" w:hAnsi="宋体" w:cs="宋体"/>
          <w:color w:val="auto"/>
          <w:kern w:val="0"/>
          <w:highlight w:val="none"/>
          <w:u w:val="single"/>
        </w:rPr>
        <w:t xml:space="preserve">  </w:t>
      </w:r>
      <w:r>
        <w:rPr>
          <w:rFonts w:hint="eastAsia" w:hAnsi="宋体" w:cs="宋体"/>
          <w:color w:val="auto"/>
          <w:kern w:val="0"/>
          <w:highlight w:val="none"/>
        </w:rPr>
        <w:t>天内对其进行核实，予以确认的应书面通知承包人，不予确认的应将价格调整核对意见书面回复承包人，未确认也未提出核对意见的，应视为承包人提交的合同价格调整报告已被发包人认可。</w:t>
      </w:r>
    </w:p>
    <w:p w14:paraId="6B62FBC9">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11.1.3 发包人提出价格调整核对意见的，承包人在收到核对意见后应在</w:t>
      </w:r>
      <w:r>
        <w:rPr>
          <w:rFonts w:hint="eastAsia" w:hAnsi="宋体" w:cs="宋体"/>
          <w:color w:val="auto"/>
          <w:kern w:val="0"/>
          <w:highlight w:val="none"/>
          <w:u w:val="single"/>
        </w:rPr>
        <w:t xml:space="preserve"> </w:t>
      </w:r>
      <w:r>
        <w:rPr>
          <w:rFonts w:hint="eastAsia" w:hAnsi="宋体" w:cs="宋体"/>
          <w:color w:val="auto"/>
          <w:kern w:val="0"/>
          <w:highlight w:val="none"/>
          <w:u w:val="single"/>
          <w:lang w:val="en-US" w:eastAsia="zh-CN"/>
        </w:rPr>
        <w:t>14</w:t>
      </w:r>
      <w:r>
        <w:rPr>
          <w:rFonts w:hint="eastAsia" w:hAnsi="宋体" w:cs="宋体"/>
          <w:color w:val="auto"/>
          <w:kern w:val="0"/>
          <w:highlight w:val="none"/>
          <w:u w:val="single"/>
        </w:rPr>
        <w:t xml:space="preserve">  </w:t>
      </w:r>
      <w:r>
        <w:rPr>
          <w:rFonts w:hint="eastAsia" w:hAnsi="宋体" w:cs="宋体"/>
          <w:color w:val="auto"/>
          <w:kern w:val="0"/>
          <w:highlight w:val="none"/>
        </w:rPr>
        <w:t>天内对其复核，予以认可的应书面通知发包人，不予认可的应将相关复核意见书面回复发包人，未确认也未提出复核意见的，应视为发包人提出的意见已被承包人认可。</w:t>
      </w:r>
    </w:p>
    <w:p w14:paraId="73E5D1A4">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11.1.4发承包双方对合同价格调整通过核对、复核仍不能达成一致意见的，可按本合同争议解决相关约定处理。除法律法规规定外，发承包双方在争议解决期间应继续履行合同义务，直到争议得到解决。</w:t>
      </w:r>
    </w:p>
    <w:p w14:paraId="453A6F52">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11.1.5发承包双方应在确定的合同价格调整相关计量与计价成果文件上签署，作为合同价款支付的依据。经发承包双方确认调整的追加（减）合同价款，应与工程进度款和施工过程结算款同期支付。</w:t>
      </w:r>
    </w:p>
    <w:p w14:paraId="32F0FD73">
      <w:pPr>
        <w:spacing w:line="360" w:lineRule="auto"/>
        <w:ind w:firstLine="321" w:firstLineChars="100"/>
        <w:jc w:val="left"/>
        <w:outlineLvl w:val="9"/>
        <w:rPr>
          <w:rFonts w:hint="default" w:ascii="Times New Roman" w:hAnsi="Times New Roman" w:eastAsia="黑体" w:cs="Times New Roman"/>
          <w:b/>
          <w:bCs/>
          <w:color w:val="auto"/>
          <w:kern w:val="2"/>
          <w:sz w:val="32"/>
          <w:szCs w:val="32"/>
          <w:highlight w:val="none"/>
          <w:lang w:val="zh-CN"/>
        </w:rPr>
      </w:pPr>
      <w:r>
        <w:rPr>
          <w:rFonts w:hint="default" w:ascii="Times New Roman" w:hAnsi="Times New Roman" w:eastAsia="黑体" w:cs="Times New Roman"/>
          <w:b/>
          <w:bCs/>
          <w:color w:val="auto"/>
          <w:kern w:val="2"/>
          <w:sz w:val="32"/>
          <w:szCs w:val="32"/>
          <w:highlight w:val="none"/>
          <w:lang w:val="zh-CN"/>
        </w:rPr>
        <w:t>11.2 物价变化引起的价格调整</w:t>
      </w:r>
    </w:p>
    <w:p w14:paraId="6EBF8ACE">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11.2.1 关于人工费及主要材料费价差调整的约定：</w:t>
      </w:r>
    </w:p>
    <w:p w14:paraId="6BE8D95B">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lang w:eastAsia="zh-CN"/>
        </w:rPr>
        <w:t>（</w:t>
      </w:r>
      <w:r>
        <w:rPr>
          <w:rFonts w:hint="eastAsia" w:hAnsi="宋体" w:cs="宋体"/>
          <w:color w:val="auto"/>
          <w:kern w:val="0"/>
          <w:highlight w:val="none"/>
          <w:lang w:val="en-US" w:eastAsia="zh-CN"/>
        </w:rPr>
        <w:t>1</w:t>
      </w:r>
      <w:r>
        <w:rPr>
          <w:rFonts w:hint="eastAsia" w:hAnsi="宋体" w:cs="宋体"/>
          <w:color w:val="auto"/>
          <w:kern w:val="0"/>
          <w:highlight w:val="none"/>
          <w:lang w:eastAsia="zh-CN"/>
        </w:rPr>
        <w:t>）</w:t>
      </w:r>
      <w:r>
        <w:rPr>
          <w:rFonts w:hint="eastAsia" w:hAnsi="宋体" w:cs="宋体"/>
          <w:color w:val="auto"/>
          <w:kern w:val="0"/>
          <w:highlight w:val="none"/>
        </w:rPr>
        <w:t>总价合同采用价格指数调差法进行价差调整，非承包人原因《人工及主要材料费可调因子价格指数及权重表》中载明的允许调整价格的主要材料及人工费在其风险范围以内的价差由承包人承担，超过其风险范围以外的价差，由发包人承担</w:t>
      </w:r>
      <w:r>
        <w:rPr>
          <w:rFonts w:hint="eastAsia" w:hAnsi="宋体" w:cs="宋体"/>
          <w:color w:val="auto"/>
          <w:kern w:val="0"/>
          <w:highlight w:val="none"/>
          <w:lang w:val="en-US" w:eastAsia="zh-CN"/>
        </w:rPr>
        <w:t>。</w:t>
      </w:r>
    </w:p>
    <w:p w14:paraId="2F78ED71">
      <w:pPr>
        <w:spacing w:line="360" w:lineRule="auto"/>
        <w:ind w:firstLine="420" w:firstLineChars="200"/>
        <w:jc w:val="left"/>
        <w:rPr>
          <w:rFonts w:hint="eastAsia" w:hAnsi="宋体" w:cs="宋体"/>
          <w:color w:val="auto"/>
          <w:kern w:val="0"/>
          <w:highlight w:val="none"/>
          <w:lang w:eastAsia="zh-CN"/>
        </w:rPr>
      </w:pPr>
      <w:r>
        <w:rPr>
          <w:rFonts w:hint="eastAsia" w:hAnsi="宋体" w:cs="宋体"/>
          <w:color w:val="auto"/>
          <w:kern w:val="0"/>
          <w:highlight w:val="none"/>
          <w:lang w:eastAsia="zh-CN"/>
        </w:rPr>
        <w:t>（</w:t>
      </w:r>
      <w:r>
        <w:rPr>
          <w:rFonts w:hint="eastAsia" w:hAnsi="宋体" w:cs="宋体"/>
          <w:color w:val="auto"/>
          <w:kern w:val="0"/>
          <w:highlight w:val="none"/>
          <w:lang w:val="en-US" w:eastAsia="zh-CN"/>
        </w:rPr>
        <w:t>2</w:t>
      </w:r>
      <w:r>
        <w:rPr>
          <w:rFonts w:hint="eastAsia" w:hAnsi="宋体" w:cs="宋体"/>
          <w:color w:val="auto"/>
          <w:kern w:val="0"/>
          <w:highlight w:val="none"/>
          <w:lang w:eastAsia="zh-CN"/>
        </w:rPr>
        <w:t>）</w:t>
      </w:r>
      <w:r>
        <w:rPr>
          <w:rFonts w:hint="eastAsia" w:hAnsi="宋体" w:cs="宋体"/>
          <w:color w:val="auto"/>
          <w:kern w:val="0"/>
          <w:highlight w:val="none"/>
        </w:rPr>
        <w:t>单价合同采用</w:t>
      </w:r>
      <w:r>
        <w:rPr>
          <w:rFonts w:hint="eastAsia" w:ascii="宋体" w:hAnsi="宋体"/>
          <w:color w:val="auto"/>
          <w:szCs w:val="21"/>
          <w:highlight w:val="none"/>
          <w:lang w:eastAsia="zh-CN"/>
        </w:rPr>
        <w:t>价格差额调整法</w:t>
      </w:r>
      <w:r>
        <w:rPr>
          <w:rFonts w:hint="eastAsia" w:hAnsi="宋体" w:cs="宋体"/>
          <w:color w:val="auto"/>
          <w:kern w:val="0"/>
          <w:highlight w:val="none"/>
        </w:rPr>
        <w:t>进行价差调整，非承包人原因</w:t>
      </w:r>
      <w:r>
        <w:rPr>
          <w:rFonts w:hint="eastAsia" w:hAnsi="宋体" w:cs="宋体"/>
          <w:color w:val="auto"/>
          <w:kern w:val="0"/>
          <w:highlight w:val="none"/>
          <w:lang w:eastAsia="zh-CN"/>
        </w:rPr>
        <w:t>导致</w:t>
      </w:r>
      <w:r>
        <w:rPr>
          <w:rFonts w:hint="eastAsia" w:hAnsi="宋体" w:cs="宋体"/>
          <w:color w:val="auto"/>
          <w:kern w:val="0"/>
          <w:highlight w:val="none"/>
        </w:rPr>
        <w:t>人工费</w:t>
      </w:r>
      <w:r>
        <w:rPr>
          <w:rFonts w:hint="eastAsia" w:hAnsi="宋体" w:cs="宋体"/>
          <w:color w:val="auto"/>
          <w:kern w:val="0"/>
          <w:highlight w:val="none"/>
          <w:lang w:eastAsia="zh-CN"/>
        </w:rPr>
        <w:t>及</w:t>
      </w:r>
      <w:r>
        <w:rPr>
          <w:rFonts w:hint="eastAsia" w:hAnsi="宋体" w:cs="宋体"/>
          <w:color w:val="auto"/>
          <w:kern w:val="0"/>
          <w:highlight w:val="none"/>
        </w:rPr>
        <w:t>《允许调整价格的主要材料一览表》中载明的主要材料在其风险范围以内的价差由承包人承担，超过其风险范围以外的价差，由发包人承担</w:t>
      </w:r>
      <w:r>
        <w:rPr>
          <w:rFonts w:hint="eastAsia" w:hAnsi="宋体" w:cs="宋体"/>
          <w:color w:val="auto"/>
          <w:kern w:val="0"/>
          <w:highlight w:val="none"/>
          <w:lang w:eastAsia="zh-CN"/>
        </w:rPr>
        <w:t>。</w:t>
      </w:r>
    </w:p>
    <w:p w14:paraId="75E57E38">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lang w:eastAsia="zh-CN"/>
        </w:rPr>
        <w:t>本工程人工费基准日价格指数：</w:t>
      </w:r>
      <w:r>
        <w:rPr>
          <w:rFonts w:hint="eastAsia" w:hAnsi="宋体" w:cs="宋体"/>
          <w:color w:val="auto"/>
          <w:kern w:val="0"/>
          <w:highlight w:val="none"/>
          <w:u w:val="single"/>
          <w:lang w:val="en-US" w:eastAsia="zh-CN"/>
        </w:rPr>
        <w:t xml:space="preserve">        ，</w:t>
      </w:r>
      <w:r>
        <w:rPr>
          <w:rFonts w:hint="eastAsia" w:hAnsi="宋体" w:cs="宋体"/>
          <w:color w:val="auto"/>
          <w:kern w:val="0"/>
          <w:highlight w:val="none"/>
          <w:lang w:eastAsia="zh-CN"/>
        </w:rPr>
        <w:t>人工费风险幅度：</w:t>
      </w:r>
      <w:r>
        <w:rPr>
          <w:rFonts w:hint="eastAsia" w:hAnsi="宋体" w:cs="宋体"/>
          <w:color w:val="auto"/>
          <w:kern w:val="0"/>
          <w:highlight w:val="none"/>
          <w:u w:val="single"/>
          <w:lang w:val="en-US" w:eastAsia="zh-CN"/>
        </w:rPr>
        <w:t xml:space="preserve">     ，主要材料基准价及风险范围详见</w:t>
      </w:r>
      <w:r>
        <w:rPr>
          <w:rFonts w:hint="eastAsia" w:hAnsi="宋体" w:cs="宋体"/>
          <w:color w:val="auto"/>
          <w:kern w:val="0"/>
          <w:highlight w:val="none"/>
        </w:rPr>
        <w:t>《允许调整价格的主要材料一览表》</w:t>
      </w:r>
      <w:r>
        <w:rPr>
          <w:rFonts w:hint="eastAsia" w:hAnsi="宋体" w:cs="宋体"/>
          <w:color w:val="auto"/>
          <w:kern w:val="0"/>
          <w:highlight w:val="none"/>
          <w:lang w:eastAsia="zh-CN"/>
        </w:rPr>
        <w:t>。</w:t>
      </w:r>
    </w:p>
    <w:p w14:paraId="53956F69">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lang w:eastAsia="zh-CN"/>
        </w:rPr>
        <w:t>（</w:t>
      </w:r>
      <w:r>
        <w:rPr>
          <w:rFonts w:hint="eastAsia" w:hAnsi="宋体" w:cs="宋体"/>
          <w:color w:val="auto"/>
          <w:kern w:val="0"/>
          <w:highlight w:val="none"/>
          <w:lang w:val="en-US" w:eastAsia="zh-CN"/>
        </w:rPr>
        <w:t>3</w:t>
      </w:r>
      <w:r>
        <w:rPr>
          <w:rFonts w:hint="eastAsia" w:hAnsi="宋体" w:cs="宋体"/>
          <w:color w:val="auto"/>
          <w:kern w:val="0"/>
          <w:highlight w:val="none"/>
          <w:lang w:eastAsia="zh-CN"/>
        </w:rPr>
        <w:t>）</w:t>
      </w:r>
      <w:r>
        <w:rPr>
          <w:rFonts w:hint="eastAsia" w:hAnsi="宋体" w:cs="宋体"/>
          <w:color w:val="auto"/>
          <w:kern w:val="0"/>
          <w:highlight w:val="none"/>
        </w:rPr>
        <w:t>价差调整部分列入其他项目费，仅计算增值税，不计取管理费、利润。</w:t>
      </w:r>
    </w:p>
    <w:p w14:paraId="4C5F9C2D">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11.2.</w:t>
      </w:r>
      <w:r>
        <w:rPr>
          <w:rFonts w:hint="eastAsia" w:hAnsi="宋体" w:cs="宋体"/>
          <w:color w:val="auto"/>
          <w:kern w:val="0"/>
          <w:highlight w:val="none"/>
          <w:lang w:eastAsia="zh-CN"/>
        </w:rPr>
        <w:t>2采用价格指数调整法的</w:t>
      </w:r>
      <w:r>
        <w:rPr>
          <w:rFonts w:hint="eastAsia" w:hAnsi="宋体" w:cs="宋体"/>
          <w:color w:val="auto"/>
          <w:kern w:val="0"/>
          <w:highlight w:val="none"/>
        </w:rPr>
        <w:t>，以</w:t>
      </w:r>
      <w:r>
        <w:rPr>
          <w:rFonts w:hint="eastAsia" w:hAnsi="宋体" w:cs="宋体"/>
          <w:color w:val="auto"/>
          <w:kern w:val="0"/>
          <w:highlight w:val="none"/>
          <w:lang w:eastAsia="zh-CN"/>
        </w:rPr>
        <w:t>已标价工程量清单中</w:t>
      </w:r>
      <w:r>
        <w:rPr>
          <w:rFonts w:hint="eastAsia" w:hAnsi="宋体" w:cs="宋体"/>
          <w:color w:val="auto"/>
          <w:kern w:val="0"/>
          <w:highlight w:val="none"/>
        </w:rPr>
        <w:t>《人工及主要材料费可调因子价格指数及权重表》中</w:t>
      </w:r>
      <w:r>
        <w:rPr>
          <w:rFonts w:hint="eastAsia" w:hAnsi="宋体" w:cs="宋体"/>
          <w:strike w:val="0"/>
          <w:color w:val="auto"/>
          <w:kern w:val="0"/>
          <w:highlight w:val="none"/>
        </w:rPr>
        <w:t>载明的人工及主要材料可调因子价格指数及权重等</w:t>
      </w:r>
      <w:r>
        <w:rPr>
          <w:rFonts w:hint="eastAsia" w:hAnsi="宋体" w:cs="宋体"/>
          <w:color w:val="auto"/>
          <w:kern w:val="0"/>
          <w:highlight w:val="none"/>
        </w:rPr>
        <w:t>数据，按下式计算差额并调整合同价格：</w:t>
      </w:r>
    </w:p>
    <w:p w14:paraId="785C6301">
      <w:pPr>
        <w:spacing w:line="360" w:lineRule="auto"/>
        <w:ind w:firstLine="420" w:firstLineChars="200"/>
        <w:jc w:val="left"/>
        <w:rPr>
          <w:rFonts w:hint="eastAsia" w:hAnsi="宋体" w:cs="宋体"/>
          <w:color w:val="auto"/>
          <w:kern w:val="0"/>
          <w:highlight w:val="none"/>
        </w:rPr>
      </w:pPr>
      <w:r>
        <w:rPr>
          <w:color w:val="auto"/>
          <w:position w:val="-34"/>
          <w:highlight w:val="none"/>
        </w:rPr>
        <w:object>
          <v:shape id="_x0000_i1025" o:spt="75" type="#_x0000_t75" style="height:40pt;width:306pt;" o:ole="t" filled="f" o:preferrelative="t" stroked="f" coordsize="21600,21600">
            <v:path/>
            <v:fill on="f" alignshape="1" focussize="0,0"/>
            <v:stroke on="f"/>
            <v:imagedata r:id="rId15" o:title=""/>
            <o:lock v:ext="edit" aspectratio="t"/>
            <w10:wrap type="none"/>
            <w10:anchorlock/>
          </v:shape>
          <o:OLEObject Type="Embed" ProgID="Equation.3" ShapeID="_x0000_i1025" DrawAspect="Content" ObjectID="_1468075725" r:id="rId14">
            <o:LockedField>false</o:LockedField>
          </o:OLEObject>
        </w:object>
      </w:r>
      <w:r>
        <w:rPr>
          <w:rFonts w:hint="eastAsia" w:hAnsi="宋体" w:cs="宋体"/>
          <w:color w:val="auto"/>
          <w:kern w:val="0"/>
          <w:highlight w:val="none"/>
        </w:rPr>
        <w:t xml:space="preserve">    </w:t>
      </w:r>
    </w:p>
    <w:p w14:paraId="01BACC68">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式中： △P——需调整的价格差额；</w:t>
      </w:r>
    </w:p>
    <w:p w14:paraId="049244B7">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P</w:t>
      </w:r>
      <w:r>
        <w:rPr>
          <w:rFonts w:hint="eastAsia" w:hAnsi="宋体" w:cs="宋体"/>
          <w:color w:val="auto"/>
          <w:kern w:val="0"/>
          <w:highlight w:val="none"/>
          <w:vertAlign w:val="subscript"/>
        </w:rPr>
        <w:t>0</w:t>
      </w:r>
      <w:r>
        <w:rPr>
          <w:rFonts w:hint="eastAsia" w:hAnsi="宋体" w:cs="宋体"/>
          <w:color w:val="auto"/>
          <w:kern w:val="0"/>
          <w:highlight w:val="none"/>
        </w:rPr>
        <w:t xml:space="preserve"> ——本合同约定的计量周期（进度款、过程结算和竣工结算）中承包人应得到的，属于签约合同价中固定总价范围及按合同单价计算的变更金额。此项金额应不包括人工费及主要材料价格调整，已按施工期间价格计价的变更及新增、零星签证、索赔、暂估材料</w:t>
      </w:r>
      <w:r>
        <w:rPr>
          <w:rFonts w:hint="eastAsia" w:hAnsi="宋体" w:cs="宋体"/>
          <w:color w:val="auto"/>
          <w:kern w:val="0"/>
          <w:highlight w:val="none"/>
          <w:lang w:eastAsia="zh-CN"/>
        </w:rPr>
        <w:t>、</w:t>
      </w:r>
      <w:r>
        <w:rPr>
          <w:rFonts w:hint="eastAsia" w:hAnsi="宋体" w:cs="宋体"/>
          <w:color w:val="auto"/>
          <w:kern w:val="0"/>
          <w:highlight w:val="none"/>
          <w:lang w:val="en-US" w:eastAsia="zh-CN"/>
        </w:rPr>
        <w:t>暂估</w:t>
      </w:r>
      <w:r>
        <w:rPr>
          <w:rFonts w:hint="eastAsia" w:hAnsi="宋体" w:cs="宋体"/>
          <w:color w:val="auto"/>
          <w:kern w:val="0"/>
          <w:highlight w:val="none"/>
        </w:rPr>
        <w:t>专业工程、总承包服务费调整等金额，也不计</w:t>
      </w:r>
      <w:r>
        <w:rPr>
          <w:rFonts w:hint="eastAsia" w:hAnsi="宋体" w:cs="宋体"/>
          <w:color w:val="auto"/>
          <w:kern w:val="0"/>
          <w:highlight w:val="none"/>
          <w:lang w:val="en-US" w:eastAsia="zh-CN"/>
        </w:rPr>
        <w:t>算</w:t>
      </w:r>
      <w:r>
        <w:rPr>
          <w:rFonts w:hint="eastAsia" w:hAnsi="宋体" w:cs="宋体"/>
          <w:color w:val="auto"/>
          <w:kern w:val="0"/>
          <w:highlight w:val="none"/>
        </w:rPr>
        <w:t>在内；</w:t>
      </w:r>
    </w:p>
    <w:p w14:paraId="5D6C58F0">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A ——定值权重（即不调部分的权重，A=1-B</w:t>
      </w:r>
      <w:r>
        <w:rPr>
          <w:rFonts w:hint="eastAsia" w:hAnsi="宋体" w:cs="宋体"/>
          <w:color w:val="auto"/>
          <w:kern w:val="0"/>
          <w:highlight w:val="none"/>
          <w:vertAlign w:val="subscript"/>
        </w:rPr>
        <w:t>1</w:t>
      </w:r>
      <w:r>
        <w:rPr>
          <w:rFonts w:hint="eastAsia" w:hAnsi="宋体" w:cs="宋体"/>
          <w:color w:val="auto"/>
          <w:kern w:val="0"/>
          <w:highlight w:val="none"/>
        </w:rPr>
        <w:t>-B</w:t>
      </w:r>
      <w:r>
        <w:rPr>
          <w:rFonts w:hint="eastAsia" w:hAnsi="宋体" w:cs="宋体"/>
          <w:color w:val="auto"/>
          <w:kern w:val="0"/>
          <w:highlight w:val="none"/>
          <w:vertAlign w:val="subscript"/>
        </w:rPr>
        <w:t>2</w:t>
      </w:r>
      <w:r>
        <w:rPr>
          <w:rFonts w:hint="eastAsia" w:hAnsi="宋体" w:cs="宋体"/>
          <w:color w:val="auto"/>
          <w:kern w:val="0"/>
          <w:highlight w:val="none"/>
        </w:rPr>
        <w:t>-B</w:t>
      </w:r>
      <w:r>
        <w:rPr>
          <w:rFonts w:hint="eastAsia" w:hAnsi="宋体" w:cs="宋体"/>
          <w:color w:val="auto"/>
          <w:kern w:val="0"/>
          <w:highlight w:val="none"/>
          <w:vertAlign w:val="subscript"/>
        </w:rPr>
        <w:t>3</w:t>
      </w:r>
      <w:r>
        <w:rPr>
          <w:rFonts w:hint="eastAsia" w:hAnsi="宋体" w:cs="宋体"/>
          <w:color w:val="auto"/>
          <w:kern w:val="0"/>
          <w:highlight w:val="none"/>
        </w:rPr>
        <w:t>-…-B</w:t>
      </w:r>
      <w:r>
        <w:rPr>
          <w:rFonts w:hint="eastAsia" w:hAnsi="宋体" w:cs="宋体"/>
          <w:color w:val="auto"/>
          <w:kern w:val="0"/>
          <w:highlight w:val="none"/>
          <w:vertAlign w:val="subscript"/>
        </w:rPr>
        <w:t>n</w:t>
      </w:r>
      <w:r>
        <w:rPr>
          <w:rFonts w:hint="eastAsia" w:hAnsi="宋体" w:cs="宋体"/>
          <w:color w:val="auto"/>
          <w:kern w:val="0"/>
          <w:highlight w:val="none"/>
        </w:rPr>
        <w:t>）；</w:t>
      </w:r>
    </w:p>
    <w:p w14:paraId="286D3B85">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 xml:space="preserve">      B</w:t>
      </w:r>
      <w:r>
        <w:rPr>
          <w:rFonts w:hint="eastAsia" w:hAnsi="宋体" w:cs="宋体"/>
          <w:color w:val="auto"/>
          <w:kern w:val="0"/>
          <w:highlight w:val="none"/>
          <w:vertAlign w:val="subscript"/>
          <w:lang w:eastAsia="zh-CN"/>
        </w:rPr>
        <w:t>1</w:t>
      </w:r>
      <w:r>
        <w:rPr>
          <w:rFonts w:hint="eastAsia" w:hAnsi="宋体" w:cs="宋体"/>
          <w:color w:val="auto"/>
          <w:kern w:val="0"/>
          <w:highlight w:val="none"/>
          <w:lang w:eastAsia="zh-CN"/>
        </w:rPr>
        <w:t>、</w:t>
      </w:r>
      <w:r>
        <w:rPr>
          <w:rFonts w:hint="eastAsia" w:hAnsi="宋体" w:cs="宋体"/>
          <w:color w:val="auto"/>
          <w:kern w:val="0"/>
          <w:highlight w:val="none"/>
        </w:rPr>
        <w:t>B</w:t>
      </w:r>
      <w:r>
        <w:rPr>
          <w:rFonts w:hint="eastAsia" w:hAnsi="宋体" w:cs="宋体"/>
          <w:color w:val="auto"/>
          <w:kern w:val="0"/>
          <w:highlight w:val="none"/>
          <w:vertAlign w:val="subscript"/>
          <w:lang w:eastAsia="zh-CN"/>
        </w:rPr>
        <w:t>2</w:t>
      </w:r>
      <w:r>
        <w:rPr>
          <w:rFonts w:hint="eastAsia" w:hAnsi="宋体" w:cs="宋体"/>
          <w:color w:val="auto"/>
          <w:kern w:val="0"/>
          <w:highlight w:val="none"/>
          <w:lang w:eastAsia="zh-CN"/>
        </w:rPr>
        <w:t>、</w:t>
      </w:r>
      <w:r>
        <w:rPr>
          <w:rFonts w:hint="eastAsia" w:hAnsi="宋体" w:cs="宋体"/>
          <w:color w:val="auto"/>
          <w:kern w:val="0"/>
          <w:highlight w:val="none"/>
        </w:rPr>
        <w:t>B</w:t>
      </w:r>
      <w:r>
        <w:rPr>
          <w:rFonts w:hint="eastAsia" w:hAnsi="宋体" w:cs="宋体"/>
          <w:color w:val="auto"/>
          <w:kern w:val="0"/>
          <w:highlight w:val="none"/>
          <w:vertAlign w:val="subscript"/>
          <w:lang w:eastAsia="zh-CN"/>
        </w:rPr>
        <w:t>3</w:t>
      </w:r>
      <w:r>
        <w:rPr>
          <w:rFonts w:hint="eastAsia" w:hAnsi="宋体" w:cs="宋体"/>
          <w:color w:val="auto"/>
          <w:kern w:val="0"/>
          <w:highlight w:val="none"/>
        </w:rPr>
        <w:t>…B</w:t>
      </w:r>
      <w:r>
        <w:rPr>
          <w:rFonts w:hint="eastAsia" w:hAnsi="宋体" w:cs="宋体"/>
          <w:color w:val="auto"/>
          <w:kern w:val="0"/>
          <w:highlight w:val="none"/>
          <w:vertAlign w:val="subscript"/>
        </w:rPr>
        <w:t>n</w:t>
      </w:r>
      <w:r>
        <w:rPr>
          <w:rFonts w:hint="eastAsia" w:hAnsi="宋体" w:cs="宋体"/>
          <w:color w:val="auto"/>
          <w:kern w:val="0"/>
          <w:highlight w:val="none"/>
        </w:rPr>
        <w:t>——各可调因子的金额占最高投标限价固定价格部分扣除增值税的权重（即可调部分的权重）；</w:t>
      </w:r>
    </w:p>
    <w:p w14:paraId="08127611">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 xml:space="preserve">     F</w:t>
      </w:r>
      <w:r>
        <w:rPr>
          <w:rFonts w:hint="eastAsia" w:hAnsi="宋体" w:cs="宋体"/>
          <w:color w:val="auto"/>
          <w:kern w:val="0"/>
          <w:highlight w:val="none"/>
          <w:vertAlign w:val="subscript"/>
        </w:rPr>
        <w:t>tl</w:t>
      </w:r>
      <w:r>
        <w:rPr>
          <w:rFonts w:hint="eastAsia" w:hAnsi="宋体" w:cs="宋体"/>
          <w:color w:val="auto"/>
          <w:kern w:val="0"/>
          <w:highlight w:val="none"/>
        </w:rPr>
        <w:t>、F</w:t>
      </w:r>
      <w:r>
        <w:rPr>
          <w:rFonts w:hint="eastAsia" w:hAnsi="宋体" w:cs="宋体"/>
          <w:color w:val="auto"/>
          <w:kern w:val="0"/>
          <w:highlight w:val="none"/>
          <w:vertAlign w:val="subscript"/>
        </w:rPr>
        <w:t>t</w:t>
      </w:r>
      <w:r>
        <w:rPr>
          <w:rFonts w:hint="eastAsia" w:hAnsi="宋体" w:cs="宋体"/>
          <w:color w:val="auto"/>
          <w:kern w:val="0"/>
          <w:highlight w:val="none"/>
          <w:vertAlign w:val="subscript"/>
          <w:lang w:eastAsia="zh-CN"/>
        </w:rPr>
        <w:t>2</w:t>
      </w:r>
      <w:r>
        <w:rPr>
          <w:rFonts w:hint="eastAsia" w:hAnsi="宋体" w:cs="宋体"/>
          <w:color w:val="auto"/>
          <w:kern w:val="0"/>
          <w:highlight w:val="none"/>
          <w:lang w:eastAsia="zh-CN"/>
        </w:rPr>
        <w:t>、</w:t>
      </w:r>
      <w:r>
        <w:rPr>
          <w:rFonts w:hint="eastAsia" w:hAnsi="宋体" w:cs="宋体"/>
          <w:color w:val="auto"/>
          <w:kern w:val="0"/>
          <w:highlight w:val="none"/>
        </w:rPr>
        <w:t>F</w:t>
      </w:r>
      <w:r>
        <w:rPr>
          <w:rFonts w:hint="eastAsia" w:hAnsi="宋体" w:cs="宋体"/>
          <w:color w:val="auto"/>
          <w:kern w:val="0"/>
          <w:highlight w:val="none"/>
          <w:vertAlign w:val="subscript"/>
        </w:rPr>
        <w:t>t</w:t>
      </w:r>
      <w:r>
        <w:rPr>
          <w:rFonts w:hint="eastAsia" w:hAnsi="宋体" w:cs="宋体"/>
          <w:color w:val="auto"/>
          <w:kern w:val="0"/>
          <w:highlight w:val="none"/>
          <w:vertAlign w:val="subscript"/>
          <w:lang w:eastAsia="zh-CN"/>
        </w:rPr>
        <w:t>3</w:t>
      </w:r>
      <w:r>
        <w:rPr>
          <w:rFonts w:hint="eastAsia" w:hAnsi="宋体" w:cs="宋体"/>
          <w:color w:val="auto"/>
          <w:kern w:val="0"/>
          <w:highlight w:val="none"/>
        </w:rPr>
        <w:t>…F</w:t>
      </w:r>
      <w:r>
        <w:rPr>
          <w:rFonts w:hint="eastAsia" w:hAnsi="宋体" w:cs="宋体"/>
          <w:color w:val="auto"/>
          <w:kern w:val="0"/>
          <w:highlight w:val="none"/>
          <w:vertAlign w:val="subscript"/>
        </w:rPr>
        <w:t>tn</w:t>
      </w:r>
      <w:r>
        <w:rPr>
          <w:rFonts w:hint="eastAsia" w:hAnsi="宋体" w:cs="宋体"/>
          <w:color w:val="auto"/>
          <w:kern w:val="0"/>
          <w:highlight w:val="none"/>
        </w:rPr>
        <w:t>——各可调因子的施工期间价格指数；</w:t>
      </w:r>
    </w:p>
    <w:p w14:paraId="018DB740">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 xml:space="preserve">     F</w:t>
      </w:r>
      <w:r>
        <w:rPr>
          <w:rFonts w:hint="eastAsia" w:hAnsi="宋体" w:cs="宋体"/>
          <w:color w:val="auto"/>
          <w:kern w:val="0"/>
          <w:highlight w:val="none"/>
          <w:vertAlign w:val="subscript"/>
        </w:rPr>
        <w:t>0</w:t>
      </w:r>
      <w:r>
        <w:rPr>
          <w:rFonts w:hint="eastAsia" w:hAnsi="宋体" w:cs="宋体"/>
          <w:color w:val="auto"/>
          <w:kern w:val="0"/>
          <w:highlight w:val="none"/>
          <w:vertAlign w:val="subscript"/>
          <w:lang w:eastAsia="zh-CN"/>
        </w:rPr>
        <w:t>1</w:t>
      </w:r>
      <w:r>
        <w:rPr>
          <w:rFonts w:hint="eastAsia" w:hAnsi="宋体" w:cs="宋体"/>
          <w:color w:val="auto"/>
          <w:kern w:val="0"/>
          <w:highlight w:val="none"/>
          <w:lang w:eastAsia="zh-CN"/>
        </w:rPr>
        <w:t>、</w:t>
      </w:r>
      <w:r>
        <w:rPr>
          <w:rFonts w:hint="eastAsia" w:hAnsi="宋体" w:cs="宋体"/>
          <w:color w:val="auto"/>
          <w:kern w:val="0"/>
          <w:highlight w:val="none"/>
        </w:rPr>
        <w:t>F</w:t>
      </w:r>
      <w:r>
        <w:rPr>
          <w:rFonts w:hint="eastAsia" w:hAnsi="宋体" w:cs="宋体"/>
          <w:color w:val="auto"/>
          <w:kern w:val="0"/>
          <w:highlight w:val="none"/>
          <w:vertAlign w:val="subscript"/>
        </w:rPr>
        <w:t>0</w:t>
      </w:r>
      <w:r>
        <w:rPr>
          <w:rFonts w:hint="eastAsia" w:hAnsi="宋体" w:cs="宋体"/>
          <w:color w:val="auto"/>
          <w:kern w:val="0"/>
          <w:highlight w:val="none"/>
          <w:vertAlign w:val="subscript"/>
          <w:lang w:eastAsia="zh-CN"/>
        </w:rPr>
        <w:t>2</w:t>
      </w:r>
      <w:r>
        <w:rPr>
          <w:rFonts w:hint="eastAsia" w:hAnsi="宋体" w:cs="宋体"/>
          <w:color w:val="auto"/>
          <w:kern w:val="0"/>
          <w:highlight w:val="none"/>
          <w:lang w:eastAsia="zh-CN"/>
        </w:rPr>
        <w:t>、</w:t>
      </w:r>
      <w:r>
        <w:rPr>
          <w:rFonts w:hint="eastAsia" w:hAnsi="宋体" w:cs="宋体"/>
          <w:color w:val="auto"/>
          <w:kern w:val="0"/>
          <w:highlight w:val="none"/>
        </w:rPr>
        <w:t>F</w:t>
      </w:r>
      <w:r>
        <w:rPr>
          <w:rFonts w:hint="eastAsia" w:hAnsi="宋体" w:cs="宋体"/>
          <w:color w:val="auto"/>
          <w:kern w:val="0"/>
          <w:highlight w:val="none"/>
          <w:vertAlign w:val="subscript"/>
        </w:rPr>
        <w:t>0</w:t>
      </w:r>
      <w:r>
        <w:rPr>
          <w:rFonts w:hint="eastAsia" w:hAnsi="宋体" w:cs="宋体"/>
          <w:color w:val="auto"/>
          <w:kern w:val="0"/>
          <w:highlight w:val="none"/>
          <w:vertAlign w:val="subscript"/>
          <w:lang w:eastAsia="zh-CN"/>
        </w:rPr>
        <w:t>3</w:t>
      </w:r>
      <w:r>
        <w:rPr>
          <w:rFonts w:hint="eastAsia" w:hAnsi="宋体" w:cs="宋体"/>
          <w:color w:val="auto"/>
          <w:kern w:val="0"/>
          <w:highlight w:val="none"/>
        </w:rPr>
        <w:t>…F</w:t>
      </w:r>
      <w:r>
        <w:rPr>
          <w:rFonts w:hint="eastAsia" w:hAnsi="宋体" w:cs="宋体"/>
          <w:color w:val="auto"/>
          <w:kern w:val="0"/>
          <w:highlight w:val="none"/>
          <w:vertAlign w:val="subscript"/>
        </w:rPr>
        <w:t>0n</w:t>
      </w:r>
      <w:r>
        <w:rPr>
          <w:rFonts w:hint="eastAsia" w:hAnsi="宋体" w:cs="宋体"/>
          <w:color w:val="auto"/>
          <w:kern w:val="0"/>
          <w:highlight w:val="none"/>
        </w:rPr>
        <w:t>——各可调因子的基本价格指数，指合同基准日的各可调因子的价格指数。本合同允许价格</w:t>
      </w:r>
      <w:r>
        <w:rPr>
          <w:rFonts w:hint="eastAsia" w:hAnsi="宋体" w:cs="宋体"/>
          <w:color w:val="auto"/>
          <w:kern w:val="0"/>
          <w:highlight w:val="none"/>
          <w:lang w:val="en-US" w:eastAsia="zh-CN"/>
        </w:rPr>
        <w:t>风险</w:t>
      </w:r>
      <w:r>
        <w:rPr>
          <w:rFonts w:hint="eastAsia" w:hAnsi="宋体" w:cs="宋体"/>
          <w:color w:val="auto"/>
          <w:kern w:val="0"/>
          <w:highlight w:val="none"/>
        </w:rPr>
        <w:t>幅度以《人工及主要材料费可调因子价格指数及权重表》载明的为准，基本价格指数应予以考虑此</w:t>
      </w:r>
      <w:r>
        <w:rPr>
          <w:rFonts w:hint="eastAsia" w:hAnsi="宋体" w:cs="宋体"/>
          <w:color w:val="auto"/>
          <w:kern w:val="0"/>
          <w:highlight w:val="none"/>
          <w:lang w:val="en-US" w:eastAsia="zh-CN"/>
        </w:rPr>
        <w:t>风险</w:t>
      </w:r>
      <w:r>
        <w:rPr>
          <w:rFonts w:hint="eastAsia" w:hAnsi="宋体" w:cs="宋体"/>
          <w:color w:val="auto"/>
          <w:kern w:val="0"/>
          <w:highlight w:val="none"/>
        </w:rPr>
        <w:t>幅度系数</w:t>
      </w:r>
      <w:r>
        <w:rPr>
          <w:rFonts w:hint="eastAsia" w:hAnsi="宋体" w:cs="宋体"/>
          <w:color w:val="auto"/>
          <w:kern w:val="0"/>
          <w:highlight w:val="none"/>
          <w:lang w:eastAsia="zh-CN"/>
        </w:rPr>
        <w:t>，</w:t>
      </w:r>
      <w:r>
        <w:rPr>
          <w:rFonts w:hint="eastAsia" w:hAnsi="宋体" w:cs="宋体"/>
          <w:color w:val="auto"/>
          <w:kern w:val="0"/>
          <w:highlight w:val="none"/>
        </w:rPr>
        <w:t>即：基本价格指数F</w:t>
      </w:r>
      <w:r>
        <w:rPr>
          <w:rFonts w:hint="eastAsia" w:hAnsi="宋体" w:cs="宋体"/>
          <w:color w:val="auto"/>
          <w:kern w:val="0"/>
          <w:highlight w:val="none"/>
          <w:vertAlign w:val="subscript"/>
        </w:rPr>
        <w:t>0n</w:t>
      </w:r>
      <w:r>
        <w:rPr>
          <w:rFonts w:hint="eastAsia" w:hAnsi="宋体" w:cs="宋体"/>
          <w:color w:val="auto"/>
          <w:kern w:val="0"/>
          <w:highlight w:val="none"/>
        </w:rPr>
        <w:t>=合同基准日价格指数</w:t>
      </w:r>
      <w:r>
        <w:rPr>
          <w:rFonts w:hint="eastAsia" w:hAnsi="宋体" w:cs="宋体"/>
          <w:color w:val="auto"/>
          <w:kern w:val="0"/>
          <w:highlight w:val="none"/>
          <w:lang w:val="en-US" w:eastAsia="zh-CN"/>
        </w:rPr>
        <w:t>×（1+</w:t>
      </w:r>
      <w:r>
        <w:rPr>
          <w:rFonts w:hint="eastAsia" w:hAnsi="宋体" w:cs="宋体"/>
          <w:color w:val="auto"/>
          <w:kern w:val="0"/>
          <w:highlight w:val="none"/>
        </w:rPr>
        <w:t>合同约定</w:t>
      </w:r>
      <w:r>
        <w:rPr>
          <w:rFonts w:hint="eastAsia" w:hAnsi="宋体" w:cs="宋体"/>
          <w:color w:val="auto"/>
          <w:kern w:val="0"/>
          <w:highlight w:val="none"/>
          <w:lang w:val="en-US" w:eastAsia="zh-CN"/>
        </w:rPr>
        <w:t>风险</w:t>
      </w:r>
      <w:r>
        <w:rPr>
          <w:rFonts w:hint="eastAsia" w:hAnsi="宋体" w:cs="宋体"/>
          <w:color w:val="auto"/>
          <w:kern w:val="0"/>
          <w:highlight w:val="none"/>
        </w:rPr>
        <w:t>幅度</w:t>
      </w:r>
      <w:r>
        <w:rPr>
          <w:rFonts w:hint="eastAsia" w:hAnsi="宋体" w:cs="宋体"/>
          <w:color w:val="auto"/>
          <w:kern w:val="0"/>
          <w:highlight w:val="none"/>
          <w:lang w:eastAsia="zh-CN"/>
        </w:rPr>
        <w:t>）</w:t>
      </w:r>
      <w:r>
        <w:rPr>
          <w:rFonts w:hint="eastAsia" w:hAnsi="宋体" w:cs="宋体"/>
          <w:color w:val="auto"/>
          <w:kern w:val="0"/>
          <w:highlight w:val="none"/>
        </w:rPr>
        <w:t>。</w:t>
      </w:r>
    </w:p>
    <w:p w14:paraId="0F463CD8">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上述价格指数调差公式中的各可调因子、变值权重详见《人工及主要材料费可调因子价格指数及权重表》。施工期间价格指数按照本合同约定的各项价格指数确定，该周期内因物价变化形成多个价格指数的，采用计算周期内人工及材料算术平均价格指数作为调整公式使用的价格指数。在计算调整差额时得不到施工期间价格指数的，可暂用上一计量周期的价格指数计算，并在以后的付款中再按实际价格指数进行调整。发包人确认的进度款人工费价差及材料费价差不作为过程结算和竣工结算的依据，但发包人确认的过程结算人工费价差及材料费价差作为竣工结算的依据。</w:t>
      </w:r>
    </w:p>
    <w:p w14:paraId="472A76F1">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11.2.</w:t>
      </w:r>
      <w:r>
        <w:rPr>
          <w:rFonts w:hint="eastAsia" w:hAnsi="宋体" w:cs="宋体"/>
          <w:color w:val="auto"/>
          <w:kern w:val="0"/>
          <w:highlight w:val="none"/>
          <w:lang w:eastAsia="zh-CN"/>
        </w:rPr>
        <w:t>3</w:t>
      </w:r>
      <w:r>
        <w:rPr>
          <w:rFonts w:hint="eastAsia" w:hAnsi="宋体" w:cs="宋体"/>
          <w:color w:val="auto"/>
          <w:kern w:val="0"/>
          <w:highlight w:val="none"/>
        </w:rPr>
        <w:t>采用价格信息调差法进行价差调整</w:t>
      </w:r>
      <w:r>
        <w:rPr>
          <w:rFonts w:hint="default" w:hAnsi="宋体" w:cs="宋体"/>
          <w:color w:val="auto"/>
          <w:kern w:val="0"/>
          <w:highlight w:val="none"/>
          <w:lang w:val="en"/>
        </w:rPr>
        <w:t>的</w:t>
      </w:r>
      <w:r>
        <w:rPr>
          <w:rFonts w:hint="eastAsia" w:hAnsi="宋体" w:cs="宋体"/>
          <w:color w:val="auto"/>
          <w:kern w:val="0"/>
          <w:highlight w:val="none"/>
        </w:rPr>
        <w:t>，因物价变化引起合同清单的分部分项工程项目清单的人工费、主要材料费分别按照下列进行价格调整：</w:t>
      </w:r>
    </w:p>
    <w:p w14:paraId="19B81F15">
      <w:pPr>
        <w:numPr>
          <w:ilvl w:val="0"/>
          <w:numId w:val="4"/>
        </w:num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计量周期内人工费价差按</w:t>
      </w:r>
      <w:r>
        <w:rPr>
          <w:rFonts w:hint="eastAsia" w:hAnsi="宋体" w:cs="宋体"/>
          <w:strike w:val="0"/>
          <w:color w:val="auto"/>
          <w:kern w:val="0"/>
          <w:highlight w:val="none"/>
          <w:lang w:eastAsia="zh-CN"/>
        </w:rPr>
        <w:t>全过程计价规范中</w:t>
      </w:r>
      <w:r>
        <w:rPr>
          <w:rFonts w:hint="eastAsia" w:hAnsi="宋体" w:cs="宋体"/>
          <w:color w:val="auto"/>
          <w:kern w:val="0"/>
          <w:highlight w:val="none"/>
        </w:rPr>
        <w:t>《人工费价差计算表》及如下公式计算：人工费价差调整=人工费</w:t>
      </w:r>
      <w:r>
        <w:rPr>
          <w:rFonts w:hint="eastAsia" w:hAnsi="宋体" w:cs="宋体"/>
          <w:color w:val="auto"/>
          <w:kern w:val="0"/>
          <w:highlight w:val="none"/>
          <w:lang w:val="en-US" w:eastAsia="zh-CN"/>
        </w:rPr>
        <w:t>×</w:t>
      </w:r>
      <w:r>
        <w:rPr>
          <w:rFonts w:hint="default" w:hAnsi="宋体" w:cs="宋体"/>
          <w:color w:val="auto"/>
          <w:kern w:val="0"/>
          <w:highlight w:val="none"/>
          <w:lang w:val="en" w:eastAsia="zh-CN"/>
        </w:rPr>
        <w:t>[</w:t>
      </w:r>
      <w:r>
        <w:rPr>
          <w:rFonts w:hint="eastAsia" w:hAnsi="宋体" w:cs="宋体"/>
          <w:color w:val="auto"/>
          <w:kern w:val="0"/>
          <w:highlight w:val="none"/>
        </w:rPr>
        <w:t>施工期间人工费价格指数</w:t>
      </w:r>
      <w:r>
        <w:rPr>
          <w:rFonts w:hint="eastAsia" w:hAnsi="宋体" w:cs="宋体"/>
          <w:color w:val="auto"/>
          <w:kern w:val="0"/>
          <w:highlight w:val="none"/>
          <w:lang w:eastAsia="zh-CN"/>
        </w:rPr>
        <w:t>÷</w:t>
      </w:r>
      <w:r>
        <w:rPr>
          <w:rFonts w:hint="eastAsia" w:hAnsi="宋体" w:cs="宋体"/>
          <w:color w:val="auto"/>
          <w:kern w:val="0"/>
          <w:highlight w:val="none"/>
        </w:rPr>
        <w:t>（基准日人工费价格指数</w:t>
      </w:r>
      <w:r>
        <w:rPr>
          <w:rFonts w:hint="eastAsia" w:hAnsi="宋体" w:cs="宋体"/>
          <w:color w:val="auto"/>
          <w:kern w:val="0"/>
          <w:highlight w:val="none"/>
          <w:lang w:val="en-US" w:eastAsia="zh-CN"/>
        </w:rPr>
        <w:t>×（1</w:t>
      </w:r>
      <w:r>
        <w:rPr>
          <w:rFonts w:hint="eastAsia" w:hAnsi="宋体" w:cs="宋体"/>
          <w:color w:val="auto"/>
          <w:kern w:val="0"/>
          <w:highlight w:val="none"/>
        </w:rPr>
        <w:t>+</w:t>
      </w:r>
      <w:r>
        <w:rPr>
          <w:rFonts w:hint="eastAsia" w:hAnsi="宋体" w:cs="宋体"/>
          <w:color w:val="auto"/>
          <w:kern w:val="0"/>
          <w:highlight w:val="none"/>
          <w:lang w:eastAsia="zh-CN"/>
        </w:rPr>
        <w:t>风险</w:t>
      </w:r>
      <w:r>
        <w:rPr>
          <w:rFonts w:hint="eastAsia" w:hAnsi="宋体" w:cs="宋体"/>
          <w:color w:val="auto"/>
          <w:kern w:val="0"/>
          <w:highlight w:val="none"/>
        </w:rPr>
        <w:t>幅度）</w:t>
      </w:r>
      <w:r>
        <w:rPr>
          <w:rFonts w:hint="eastAsia" w:hAnsi="宋体" w:cs="宋体"/>
          <w:color w:val="auto"/>
          <w:kern w:val="0"/>
          <w:highlight w:val="none"/>
          <w:lang w:val="en-US" w:eastAsia="zh-CN"/>
        </w:rPr>
        <w:t>-</w:t>
      </w:r>
      <w:r>
        <w:rPr>
          <w:rFonts w:hint="default" w:hAnsi="宋体" w:cs="宋体"/>
          <w:color w:val="auto"/>
          <w:kern w:val="0"/>
          <w:highlight w:val="none"/>
          <w:lang w:val="en" w:eastAsia="zh-CN"/>
        </w:rPr>
        <w:t>1</w:t>
      </w:r>
      <w:r>
        <w:rPr>
          <w:rFonts w:hint="eastAsia" w:hAnsi="宋体" w:cs="宋体"/>
          <w:color w:val="auto"/>
          <w:kern w:val="0"/>
          <w:highlight w:val="none"/>
          <w:lang w:eastAsia="zh-CN"/>
        </w:rPr>
        <w:t>）</w:t>
      </w:r>
      <w:r>
        <w:rPr>
          <w:rFonts w:hint="default" w:hAnsi="宋体" w:cs="宋体"/>
          <w:color w:val="auto"/>
          <w:kern w:val="0"/>
          <w:highlight w:val="none"/>
          <w:lang w:val="en" w:eastAsia="zh-CN"/>
        </w:rPr>
        <w:t>]</w:t>
      </w:r>
      <w:r>
        <w:rPr>
          <w:rFonts w:hint="eastAsia" w:hAnsi="宋体" w:cs="宋体"/>
          <w:color w:val="auto"/>
          <w:kern w:val="0"/>
          <w:highlight w:val="none"/>
        </w:rPr>
        <w:t>。因市场价格波动形成多个价格指数的，进度款按算术平均价格指数，过程结算及竣工结算采用</w:t>
      </w:r>
      <w:r>
        <w:rPr>
          <w:rFonts w:hint="eastAsia" w:hAnsi="宋体" w:cs="宋体"/>
          <w:color w:val="auto"/>
          <w:kern w:val="0"/>
          <w:highlight w:val="none"/>
        </w:rPr>
        <w:sym w:font="Wingdings 2" w:char="00A3"/>
      </w:r>
      <w:r>
        <w:rPr>
          <w:rFonts w:hint="eastAsia" w:hAnsi="宋体" w:cs="宋体"/>
          <w:color w:val="auto"/>
          <w:kern w:val="0"/>
          <w:highlight w:val="none"/>
        </w:rPr>
        <w:t>加权平均</w:t>
      </w:r>
      <w:r>
        <w:rPr>
          <w:rFonts w:hint="eastAsia" w:hAnsi="宋体" w:cs="宋体"/>
          <w:color w:val="auto"/>
          <w:kern w:val="0"/>
          <w:highlight w:val="none"/>
        </w:rPr>
        <w:sym w:font="Wingdings 2" w:char="00A3"/>
      </w:r>
      <w:r>
        <w:rPr>
          <w:rFonts w:hint="eastAsia" w:hAnsi="宋体" w:cs="宋体"/>
          <w:color w:val="auto"/>
          <w:kern w:val="0"/>
          <w:highlight w:val="none"/>
        </w:rPr>
        <w:t>算术平均价格指数。过程结算及竣工结算若采用加权平均价格指数，应按照历次进度款人工费占总进度款人工费总额比例和相应月份人工费价格指数计算人工费价格指数加权平均值。</w:t>
      </w:r>
    </w:p>
    <w:p w14:paraId="121FBE11">
      <w:pPr>
        <w:numPr>
          <w:ilvl w:val="0"/>
          <w:numId w:val="5"/>
        </w:numPr>
        <w:spacing w:line="360" w:lineRule="auto"/>
        <w:ind w:firstLine="420" w:firstLineChars="200"/>
        <w:jc w:val="left"/>
        <w:rPr>
          <w:rFonts w:hint="eastAsia" w:hAnsi="宋体" w:cs="宋体"/>
          <w:color w:val="auto"/>
          <w:kern w:val="0"/>
          <w:highlight w:val="none"/>
          <w:lang w:eastAsia="zh-CN"/>
        </w:rPr>
      </w:pPr>
      <w:r>
        <w:rPr>
          <w:rFonts w:hint="eastAsia" w:hAnsi="宋体" w:cs="宋体"/>
          <w:color w:val="auto"/>
          <w:kern w:val="0"/>
          <w:highlight w:val="none"/>
        </w:rPr>
        <w:t>计量周期内允许调整的主要材料工程量及其施工期间单价</w:t>
      </w:r>
      <w:r>
        <w:rPr>
          <w:rFonts w:hint="eastAsia" w:hAnsi="宋体" w:cs="宋体"/>
          <w:color w:val="auto"/>
          <w:kern w:val="0"/>
          <w:highlight w:val="none"/>
          <w:lang w:eastAsia="zh-CN"/>
        </w:rPr>
        <w:t>的确定方法选择：</w:t>
      </w:r>
    </w:p>
    <w:p w14:paraId="20181DFE">
      <w:pPr>
        <w:numPr>
          <w:ilvl w:val="0"/>
          <w:numId w:val="0"/>
        </w:numPr>
        <w:spacing w:line="360" w:lineRule="auto"/>
        <w:ind w:firstLine="630" w:firstLineChars="300"/>
        <w:jc w:val="left"/>
        <w:rPr>
          <w:rFonts w:hint="eastAsia" w:hAnsi="宋体" w:cs="宋体"/>
          <w:color w:val="auto"/>
          <w:kern w:val="0"/>
          <w:highlight w:val="none"/>
          <w:lang w:eastAsia="zh-CN"/>
        </w:rPr>
      </w:pPr>
      <w:r>
        <w:rPr>
          <w:rFonts w:hint="eastAsia" w:hAnsi="宋体" w:cs="宋体"/>
          <w:color w:val="auto"/>
          <w:kern w:val="0"/>
          <w:highlight w:val="none"/>
        </w:rPr>
        <w:sym w:font="Wingdings 2" w:char="0052"/>
      </w:r>
      <w:r>
        <w:rPr>
          <w:rFonts w:hint="eastAsia" w:hAnsi="宋体" w:cs="宋体"/>
          <w:color w:val="auto"/>
          <w:kern w:val="0"/>
          <w:highlight w:val="none"/>
          <w:lang w:eastAsia="zh-CN"/>
        </w:rPr>
        <w:t>采用发包人认定的材料采购价格作为允许调整价格的主要材料施工期间市场价格的，承包人应在采购材料前将采购数量和新的材料单价报送发包人核对，确认用于本合同工程时，发包人应确认采购材料的数量和单价，分批采购时按权重取平均值计算。发包人在收到承包人报送的价格差额调整资料后3个工作日内不予答复的视为已经认可，作为进度款、过程结算、竣工结算的依据。如果承包人未报发包人核对即自行采购材料，再报发包人确认调整合同价格的，如发包人不同意，则不作调整。</w:t>
      </w:r>
    </w:p>
    <w:p w14:paraId="21295A05">
      <w:pPr>
        <w:numPr>
          <w:ilvl w:val="0"/>
          <w:numId w:val="0"/>
        </w:num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sym w:font="Wingdings 2" w:char="00A3"/>
      </w:r>
      <w:r>
        <w:rPr>
          <w:rFonts w:hint="eastAsia" w:hAnsi="宋体" w:cs="宋体"/>
          <w:color w:val="auto"/>
          <w:kern w:val="0"/>
          <w:highlight w:val="none"/>
          <w:lang w:eastAsia="zh-CN"/>
        </w:rPr>
        <w:t>采用建设工程造价管理机构发布的</w:t>
      </w:r>
      <w:r>
        <w:rPr>
          <w:rFonts w:hint="eastAsia" w:hAnsi="宋体" w:cs="宋体"/>
          <w:color w:val="auto"/>
          <w:kern w:val="0"/>
          <w:highlight w:val="none"/>
          <w:lang w:val="en-US" w:eastAsia="zh-CN"/>
        </w:rPr>
        <w:t>信息价</w:t>
      </w:r>
      <w:r>
        <w:rPr>
          <w:rFonts w:hint="eastAsia" w:hAnsi="宋体" w:cs="宋体"/>
          <w:color w:val="auto"/>
          <w:kern w:val="0"/>
          <w:highlight w:val="none"/>
          <w:lang w:eastAsia="zh-CN"/>
        </w:rPr>
        <w:t>作为允许调整价格的主要材料施工期间市场价格的，允许调整价格的主要材料数量按招标人提供的相应预算清单单位工程的主要材料消耗量乘以实际完成并予以计量的相应</w:t>
      </w:r>
      <w:r>
        <w:rPr>
          <w:rFonts w:hint="eastAsia" w:hAnsi="宋体" w:cs="宋体"/>
          <w:color w:val="auto"/>
          <w:kern w:val="0"/>
          <w:highlight w:val="none"/>
          <w:lang w:val="en-US" w:eastAsia="zh-CN"/>
        </w:rPr>
        <w:t>清单</w:t>
      </w:r>
      <w:r>
        <w:rPr>
          <w:rFonts w:hint="eastAsia" w:hAnsi="宋体" w:cs="宋体"/>
          <w:color w:val="auto"/>
          <w:kern w:val="0"/>
          <w:highlight w:val="none"/>
          <w:lang w:eastAsia="zh-CN"/>
        </w:rPr>
        <w:t>工程量计算；单价为该材料施工期间建设工程造价管理机构发布的信息价，</w:t>
      </w:r>
      <w:r>
        <w:rPr>
          <w:rFonts w:hint="eastAsia" w:hAnsi="宋体" w:cs="宋体"/>
          <w:color w:val="auto"/>
          <w:kern w:val="0"/>
          <w:highlight w:val="none"/>
        </w:rPr>
        <w:t>采用</w:t>
      </w:r>
      <w:r>
        <w:rPr>
          <w:rFonts w:hint="eastAsia" w:hAnsi="宋体" w:cs="宋体"/>
          <w:color w:val="auto"/>
          <w:kern w:val="0"/>
          <w:highlight w:val="none"/>
        </w:rPr>
        <w:sym w:font="Wingdings 2" w:char="00A3"/>
      </w:r>
      <w:r>
        <w:rPr>
          <w:rFonts w:hint="eastAsia" w:hAnsi="宋体" w:cs="宋体"/>
          <w:color w:val="auto"/>
          <w:kern w:val="0"/>
          <w:highlight w:val="none"/>
        </w:rPr>
        <w:t>加权平均</w:t>
      </w:r>
      <w:r>
        <w:rPr>
          <w:rFonts w:hint="eastAsia" w:hAnsi="宋体" w:cs="宋体"/>
          <w:color w:val="auto"/>
          <w:kern w:val="0"/>
          <w:highlight w:val="none"/>
          <w:lang w:eastAsia="zh-CN"/>
        </w:rPr>
        <w:t>价格</w:t>
      </w:r>
      <w:r>
        <w:rPr>
          <w:rFonts w:hint="eastAsia" w:hAnsi="宋体" w:cs="宋体"/>
          <w:color w:val="auto"/>
          <w:kern w:val="0"/>
          <w:highlight w:val="none"/>
        </w:rPr>
        <w:sym w:font="Wingdings 2" w:char="00A3"/>
      </w:r>
      <w:r>
        <w:rPr>
          <w:rFonts w:hint="eastAsia" w:hAnsi="宋体" w:cs="宋体"/>
          <w:color w:val="auto"/>
          <w:kern w:val="0"/>
          <w:highlight w:val="none"/>
        </w:rPr>
        <w:t>算术平均价格</w:t>
      </w:r>
      <w:r>
        <w:rPr>
          <w:rFonts w:hint="eastAsia" w:hAnsi="宋体" w:cs="宋体"/>
          <w:color w:val="auto"/>
          <w:kern w:val="0"/>
          <w:highlight w:val="none"/>
          <w:lang w:val="en-US" w:eastAsia="zh-CN"/>
        </w:rPr>
        <w:t>计算</w:t>
      </w:r>
      <w:r>
        <w:rPr>
          <w:rFonts w:hint="eastAsia" w:hAnsi="宋体" w:cs="宋体"/>
          <w:color w:val="auto"/>
          <w:kern w:val="0"/>
          <w:highlight w:val="none"/>
          <w:lang w:eastAsia="zh-CN"/>
        </w:rPr>
        <w:t>。建设工程造价管理机构发布的信息价没有的</w:t>
      </w:r>
      <w:r>
        <w:rPr>
          <w:rFonts w:hint="eastAsia" w:hAnsi="宋体" w:cs="宋体"/>
          <w:color w:val="auto"/>
          <w:kern w:val="0"/>
          <w:highlight w:val="none"/>
          <w:lang w:val="en-US" w:eastAsia="zh-CN"/>
        </w:rPr>
        <w:t>材料</w:t>
      </w:r>
      <w:r>
        <w:rPr>
          <w:rFonts w:hint="eastAsia" w:hAnsi="宋体" w:cs="宋体"/>
          <w:color w:val="auto"/>
          <w:kern w:val="0"/>
          <w:highlight w:val="none"/>
          <w:lang w:eastAsia="zh-CN"/>
        </w:rPr>
        <w:t>由发承包双方根据市场行情及时确认</w:t>
      </w:r>
      <w:r>
        <w:rPr>
          <w:rFonts w:hint="eastAsia" w:hAnsi="宋体" w:cs="宋体"/>
          <w:color w:val="auto"/>
          <w:kern w:val="0"/>
          <w:highlight w:val="none"/>
          <w:lang w:val="en-US" w:eastAsia="zh-CN"/>
        </w:rPr>
        <w:t>价格</w:t>
      </w:r>
      <w:r>
        <w:rPr>
          <w:rFonts w:hint="eastAsia" w:hAnsi="宋体" w:cs="宋体"/>
          <w:color w:val="auto"/>
          <w:kern w:val="0"/>
          <w:highlight w:val="none"/>
          <w:lang w:eastAsia="zh-CN"/>
        </w:rPr>
        <w:t>。</w:t>
      </w:r>
    </w:p>
    <w:p w14:paraId="2D07E157">
      <w:pPr>
        <w:numPr>
          <w:ilvl w:val="0"/>
          <w:numId w:val="0"/>
        </w:num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lang w:eastAsia="zh-CN"/>
        </w:rPr>
        <w:t>（</w:t>
      </w:r>
      <w:r>
        <w:rPr>
          <w:rFonts w:hint="eastAsia" w:hAnsi="宋体" w:cs="宋体"/>
          <w:color w:val="auto"/>
          <w:kern w:val="0"/>
          <w:highlight w:val="none"/>
          <w:lang w:val="en-US" w:eastAsia="zh-CN"/>
        </w:rPr>
        <w:t>3</w:t>
      </w:r>
      <w:r>
        <w:rPr>
          <w:rFonts w:hint="eastAsia" w:hAnsi="宋体" w:cs="宋体"/>
          <w:color w:val="auto"/>
          <w:kern w:val="0"/>
          <w:highlight w:val="none"/>
          <w:lang w:eastAsia="zh-CN"/>
        </w:rPr>
        <w:t>）计量周期内</w:t>
      </w:r>
      <w:r>
        <w:rPr>
          <w:rFonts w:hint="eastAsia" w:hAnsi="宋体" w:cs="宋体"/>
          <w:color w:val="auto"/>
          <w:kern w:val="0"/>
          <w:highlight w:val="none"/>
        </w:rPr>
        <w:t>材料价差</w:t>
      </w:r>
      <w:r>
        <w:rPr>
          <w:rFonts w:hint="eastAsia" w:hAnsi="宋体" w:cs="宋体"/>
          <w:color w:val="auto"/>
          <w:kern w:val="0"/>
          <w:highlight w:val="none"/>
          <w:lang w:eastAsia="zh-CN"/>
        </w:rPr>
        <w:t>根据</w:t>
      </w:r>
      <w:r>
        <w:rPr>
          <w:rFonts w:hint="eastAsia" w:hAnsi="宋体" w:cs="宋体"/>
          <w:color w:val="auto"/>
          <w:kern w:val="0"/>
          <w:highlight w:val="none"/>
        </w:rPr>
        <w:t>本合同约定</w:t>
      </w:r>
      <w:r>
        <w:rPr>
          <w:rFonts w:hint="eastAsia" w:hAnsi="宋体" w:cs="宋体"/>
          <w:color w:val="auto"/>
          <w:kern w:val="0"/>
          <w:highlight w:val="none"/>
          <w:lang w:eastAsia="zh-CN"/>
        </w:rPr>
        <w:t>及全过程计价规范</w:t>
      </w:r>
      <w:r>
        <w:rPr>
          <w:rFonts w:hint="eastAsia" w:hAnsi="宋体" w:cs="宋体"/>
          <w:color w:val="auto"/>
          <w:kern w:val="0"/>
          <w:highlight w:val="none"/>
        </w:rPr>
        <w:t>《主要材料费价差计算表》</w:t>
      </w:r>
      <w:r>
        <w:rPr>
          <w:rFonts w:hint="eastAsia" w:hAnsi="宋体" w:cs="宋体"/>
          <w:color w:val="auto"/>
          <w:kern w:val="0"/>
          <w:highlight w:val="none"/>
          <w:lang w:eastAsia="zh-CN"/>
        </w:rPr>
        <w:t>按</w:t>
      </w:r>
      <w:r>
        <w:rPr>
          <w:rFonts w:hint="eastAsia" w:hAnsi="宋体" w:cs="宋体"/>
          <w:color w:val="auto"/>
          <w:kern w:val="0"/>
          <w:highlight w:val="none"/>
        </w:rPr>
        <w:t>以下方法计算：</w:t>
      </w:r>
    </w:p>
    <w:p w14:paraId="563AEC2C">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①《允许调整价格的主要材料一览表》中载明的材料投标报价低于基准价格的：合同履行期间材料单价涨幅以基准价格为基础超过约定的风险范围时，或材料单价跌幅以投标报价为基础超过约定的风险范围时，对其超过部分进行价差调整，价差计算公式：价格上涨价差=施工期间价格-基准价</w:t>
      </w:r>
      <w:r>
        <w:rPr>
          <w:rFonts w:hint="eastAsia" w:hAnsi="宋体" w:cs="宋体"/>
          <w:color w:val="auto"/>
          <w:kern w:val="0"/>
          <w:highlight w:val="none"/>
          <w:lang w:val="en-US" w:eastAsia="zh-CN"/>
        </w:rPr>
        <w:t>×</w:t>
      </w:r>
      <w:r>
        <w:rPr>
          <w:rFonts w:hint="eastAsia" w:hAnsi="宋体" w:cs="宋体"/>
          <w:color w:val="auto"/>
          <w:kern w:val="0"/>
          <w:highlight w:val="none"/>
        </w:rPr>
        <w:t>（1+风险</w:t>
      </w:r>
      <w:r>
        <w:rPr>
          <w:rFonts w:hint="eastAsia" w:hAnsi="宋体" w:cs="宋体"/>
          <w:color w:val="auto"/>
          <w:kern w:val="0"/>
          <w:highlight w:val="none"/>
          <w:lang w:eastAsia="zh-CN"/>
        </w:rPr>
        <w:t>幅度</w:t>
      </w:r>
      <w:r>
        <w:rPr>
          <w:rFonts w:hint="eastAsia" w:hAnsi="宋体" w:cs="宋体"/>
          <w:color w:val="auto"/>
          <w:kern w:val="0"/>
          <w:highlight w:val="none"/>
        </w:rPr>
        <w:t>），价格下跌价差=投标报价</w:t>
      </w:r>
      <w:r>
        <w:rPr>
          <w:rFonts w:hint="eastAsia" w:hAnsi="宋体" w:cs="宋体"/>
          <w:color w:val="auto"/>
          <w:kern w:val="0"/>
          <w:highlight w:val="none"/>
          <w:lang w:val="en-US" w:eastAsia="zh-CN"/>
        </w:rPr>
        <w:t>×</w:t>
      </w:r>
      <w:r>
        <w:rPr>
          <w:rFonts w:hint="eastAsia" w:hAnsi="宋体" w:cs="宋体"/>
          <w:color w:val="auto"/>
          <w:kern w:val="0"/>
          <w:highlight w:val="none"/>
        </w:rPr>
        <w:t>（1+风险</w:t>
      </w:r>
      <w:r>
        <w:rPr>
          <w:rFonts w:hint="eastAsia" w:hAnsi="宋体" w:cs="宋体"/>
          <w:color w:val="auto"/>
          <w:kern w:val="0"/>
          <w:highlight w:val="none"/>
          <w:lang w:eastAsia="zh-CN"/>
        </w:rPr>
        <w:t>幅度</w:t>
      </w:r>
      <w:r>
        <w:rPr>
          <w:rFonts w:hint="eastAsia" w:hAnsi="宋体" w:cs="宋体"/>
          <w:color w:val="auto"/>
          <w:kern w:val="0"/>
          <w:highlight w:val="none"/>
        </w:rPr>
        <w:t>）-施工期间价格。</w:t>
      </w:r>
    </w:p>
    <w:p w14:paraId="1A86F886">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②承包人在《允许调整价格的主要材料一览表》中载明的材料投标报价高于基准价格的：合同履行期间材料单价跌幅以基准价格为基础超过约定的风险范围时，或材料单价涨幅以投标报价为基础超过约定的风险范围时，对其超过部分进行价差调整。价差计算公式：价格上涨价差=施工期间价格-投标报价</w:t>
      </w:r>
      <w:r>
        <w:rPr>
          <w:rFonts w:hint="eastAsia" w:hAnsi="宋体" w:cs="宋体"/>
          <w:color w:val="auto"/>
          <w:kern w:val="0"/>
          <w:highlight w:val="none"/>
          <w:lang w:val="en-US" w:eastAsia="zh-CN"/>
        </w:rPr>
        <w:t>×</w:t>
      </w:r>
      <w:r>
        <w:rPr>
          <w:rFonts w:hint="eastAsia" w:hAnsi="宋体" w:cs="宋体"/>
          <w:color w:val="auto"/>
          <w:kern w:val="0"/>
          <w:highlight w:val="none"/>
        </w:rPr>
        <w:t>（1+风险</w:t>
      </w:r>
      <w:r>
        <w:rPr>
          <w:rFonts w:hint="eastAsia" w:hAnsi="宋体" w:cs="宋体"/>
          <w:color w:val="auto"/>
          <w:kern w:val="0"/>
          <w:highlight w:val="none"/>
          <w:lang w:eastAsia="zh-CN"/>
        </w:rPr>
        <w:t>幅度</w:t>
      </w:r>
      <w:r>
        <w:rPr>
          <w:rFonts w:hint="eastAsia" w:hAnsi="宋体" w:cs="宋体"/>
          <w:color w:val="auto"/>
          <w:kern w:val="0"/>
          <w:highlight w:val="none"/>
        </w:rPr>
        <w:t>），价格下跌价差=基准价</w:t>
      </w:r>
      <w:r>
        <w:rPr>
          <w:rFonts w:hint="eastAsia" w:hAnsi="宋体" w:cs="宋体"/>
          <w:color w:val="auto"/>
          <w:kern w:val="0"/>
          <w:highlight w:val="none"/>
          <w:lang w:val="en-US" w:eastAsia="zh-CN"/>
        </w:rPr>
        <w:t>×</w:t>
      </w:r>
      <w:r>
        <w:rPr>
          <w:rFonts w:hint="eastAsia" w:hAnsi="宋体" w:cs="宋体"/>
          <w:color w:val="auto"/>
          <w:kern w:val="0"/>
          <w:highlight w:val="none"/>
        </w:rPr>
        <w:t>（1+风险</w:t>
      </w:r>
      <w:r>
        <w:rPr>
          <w:rFonts w:hint="eastAsia" w:hAnsi="宋体" w:cs="宋体"/>
          <w:color w:val="auto"/>
          <w:kern w:val="0"/>
          <w:highlight w:val="none"/>
          <w:lang w:eastAsia="zh-CN"/>
        </w:rPr>
        <w:t>幅度</w:t>
      </w:r>
      <w:r>
        <w:rPr>
          <w:rFonts w:hint="eastAsia" w:hAnsi="宋体" w:cs="宋体"/>
          <w:color w:val="auto"/>
          <w:kern w:val="0"/>
          <w:highlight w:val="none"/>
        </w:rPr>
        <w:t>）-施工期间价格。</w:t>
      </w:r>
    </w:p>
    <w:p w14:paraId="1817F257">
      <w:pPr>
        <w:snapToGrid w:val="0"/>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③承包人在《允许调整价格的主要材料一览表》中载明的材料单价等于基准单价的：合同履行期间材料单价涨跌幅以基准单价为基础超过约定的风险范围时，对其超过部分进行价差调整。价差计算公式：价格上涨价差=施工期间价格-基准价</w:t>
      </w:r>
      <w:r>
        <w:rPr>
          <w:rFonts w:hint="eastAsia" w:hAnsi="宋体" w:cs="宋体"/>
          <w:color w:val="auto"/>
          <w:kern w:val="0"/>
          <w:highlight w:val="none"/>
          <w:lang w:val="en-US" w:eastAsia="zh-CN"/>
        </w:rPr>
        <w:t>×</w:t>
      </w:r>
      <w:r>
        <w:rPr>
          <w:rFonts w:hint="eastAsia" w:hAnsi="宋体" w:cs="宋体"/>
          <w:color w:val="auto"/>
          <w:kern w:val="0"/>
          <w:highlight w:val="none"/>
        </w:rPr>
        <w:t>（1+风险</w:t>
      </w:r>
      <w:r>
        <w:rPr>
          <w:rFonts w:hint="eastAsia" w:hAnsi="宋体" w:cs="宋体"/>
          <w:color w:val="auto"/>
          <w:kern w:val="0"/>
          <w:highlight w:val="none"/>
          <w:lang w:eastAsia="zh-CN"/>
        </w:rPr>
        <w:t>幅度</w:t>
      </w:r>
      <w:r>
        <w:rPr>
          <w:rFonts w:hint="eastAsia" w:hAnsi="宋体" w:cs="宋体"/>
          <w:color w:val="auto"/>
          <w:kern w:val="0"/>
          <w:highlight w:val="none"/>
        </w:rPr>
        <w:t>），价格下跌价差=基准价</w:t>
      </w:r>
      <w:r>
        <w:rPr>
          <w:rFonts w:hint="eastAsia" w:hAnsi="宋体" w:cs="宋体"/>
          <w:color w:val="auto"/>
          <w:kern w:val="0"/>
          <w:highlight w:val="none"/>
          <w:lang w:val="en-US" w:eastAsia="zh-CN"/>
        </w:rPr>
        <w:t>×</w:t>
      </w:r>
      <w:r>
        <w:rPr>
          <w:rFonts w:hint="eastAsia" w:hAnsi="宋体" w:cs="宋体"/>
          <w:color w:val="auto"/>
          <w:kern w:val="0"/>
          <w:highlight w:val="none"/>
        </w:rPr>
        <w:t>（1+风险</w:t>
      </w:r>
      <w:r>
        <w:rPr>
          <w:rFonts w:hint="eastAsia" w:hAnsi="宋体" w:cs="宋体"/>
          <w:color w:val="auto"/>
          <w:kern w:val="0"/>
          <w:highlight w:val="none"/>
          <w:lang w:eastAsia="zh-CN"/>
        </w:rPr>
        <w:t>幅度</w:t>
      </w:r>
      <w:r>
        <w:rPr>
          <w:rFonts w:hint="eastAsia" w:hAnsi="宋体" w:cs="宋体"/>
          <w:color w:val="auto"/>
          <w:kern w:val="0"/>
          <w:highlight w:val="none"/>
        </w:rPr>
        <w:t>）-施工期间价格。</w:t>
      </w:r>
    </w:p>
    <w:p w14:paraId="7BACB7F8">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11.2.</w:t>
      </w:r>
      <w:r>
        <w:rPr>
          <w:rFonts w:hint="eastAsia" w:hAnsi="宋体" w:cs="宋体"/>
          <w:color w:val="auto"/>
          <w:kern w:val="0"/>
          <w:highlight w:val="none"/>
          <w:lang w:eastAsia="zh-CN"/>
        </w:rPr>
        <w:t>4</w:t>
      </w:r>
      <w:r>
        <w:rPr>
          <w:rFonts w:hint="eastAsia" w:hAnsi="宋体" w:cs="宋体"/>
          <w:color w:val="auto"/>
          <w:kern w:val="0"/>
          <w:highlight w:val="none"/>
        </w:rPr>
        <w:t xml:space="preserve">  合同工程出现工期延长的，应按下列规定确定及调整合同履行期由于物价变化影响的价格：</w:t>
      </w:r>
    </w:p>
    <w:p w14:paraId="39E2623E">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（1）因发包人原因导致工期延长的，计划进度日期后续工程的价格或价格指数，采用计划进度日期与实际进度日期两者的较高者。</w:t>
      </w:r>
    </w:p>
    <w:p w14:paraId="303111CF">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（2）因承包人原因导致工期延长的，计划进度日期后续工程的价格或价格指数，采用计划进度日期与实际进度日期两者的较低者。</w:t>
      </w:r>
    </w:p>
    <w:p w14:paraId="46CE82CD">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（3）因非发承包双方原因引起工期延长的，计划进度日期后续工程的价格应按本合同11.2.1的约定调整价格。</w:t>
      </w:r>
    </w:p>
    <w:p w14:paraId="158F8813">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11.2.</w:t>
      </w:r>
      <w:r>
        <w:rPr>
          <w:rFonts w:hint="eastAsia" w:hAnsi="宋体" w:cs="宋体"/>
          <w:color w:val="auto"/>
          <w:kern w:val="0"/>
          <w:highlight w:val="none"/>
          <w:lang w:val="en-US" w:eastAsia="zh-CN"/>
        </w:rPr>
        <w:t>5</w:t>
      </w:r>
      <w:r>
        <w:rPr>
          <w:rFonts w:hint="eastAsia" w:hAnsi="宋体" w:cs="宋体"/>
          <w:color w:val="auto"/>
          <w:kern w:val="0"/>
          <w:highlight w:val="none"/>
          <w:lang w:eastAsia="zh-CN"/>
        </w:rPr>
        <w:t>合同</w:t>
      </w:r>
      <w:r>
        <w:rPr>
          <w:rFonts w:hint="eastAsia" w:hAnsi="宋体" w:cs="宋体"/>
          <w:color w:val="auto"/>
          <w:kern w:val="0"/>
          <w:highlight w:val="none"/>
        </w:rPr>
        <w:t>约定之外的人工费、主要材料费市场价格出现异常变动，且是发承包双方在订立本合同时无法预见的重大变化，继续履行合同对于受不利影响的合同一方明显不公平的，发承包双方按风险合理分担原则，重新协商合同风险幅度，</w:t>
      </w:r>
      <w:r>
        <w:rPr>
          <w:rFonts w:hint="eastAsia" w:hAnsi="宋体" w:cs="宋体"/>
          <w:color w:val="auto"/>
          <w:kern w:val="0"/>
          <w:highlight w:val="none"/>
          <w:lang w:eastAsia="zh-CN"/>
        </w:rPr>
        <w:t>由发包人承担</w:t>
      </w:r>
      <w:r>
        <w:rPr>
          <w:rFonts w:hint="eastAsia" w:hAnsi="宋体" w:cs="宋体"/>
          <w:color w:val="auto"/>
          <w:kern w:val="0"/>
          <w:highlight w:val="none"/>
        </w:rPr>
        <w:t>超出协商后约定的合同</w:t>
      </w:r>
      <w:r>
        <w:rPr>
          <w:rFonts w:hint="eastAsia" w:hAnsi="宋体" w:cs="宋体"/>
          <w:color w:val="auto"/>
          <w:kern w:val="0"/>
          <w:highlight w:val="none"/>
          <w:lang w:eastAsia="zh-CN"/>
        </w:rPr>
        <w:t>风险</w:t>
      </w:r>
      <w:r>
        <w:rPr>
          <w:rFonts w:hint="eastAsia" w:hAnsi="宋体" w:cs="宋体"/>
          <w:color w:val="auto"/>
          <w:kern w:val="0"/>
          <w:highlight w:val="none"/>
        </w:rPr>
        <w:t>幅度的人工费、主要材料费价差。</w:t>
      </w:r>
    </w:p>
    <w:p w14:paraId="594A2C1F">
      <w:pPr>
        <w:spacing w:line="360" w:lineRule="auto"/>
        <w:ind w:firstLine="420" w:firstLineChars="200"/>
        <w:jc w:val="left"/>
        <w:rPr>
          <w:rFonts w:hint="eastAsia" w:hAnsi="宋体" w:cs="宋体"/>
          <w:color w:val="auto"/>
          <w:kern w:val="0"/>
          <w:highlight w:val="none"/>
        </w:rPr>
      </w:pPr>
    </w:p>
    <w:p w14:paraId="7999CC14">
      <w:pPr>
        <w:spacing w:line="360" w:lineRule="auto"/>
        <w:ind w:firstLine="420" w:firstLineChars="200"/>
        <w:jc w:val="left"/>
        <w:rPr>
          <w:rFonts w:hint="eastAsia" w:hAnsi="宋体" w:cs="宋体"/>
          <w:color w:val="auto"/>
          <w:kern w:val="0"/>
          <w:highlight w:val="none"/>
        </w:rPr>
      </w:pPr>
    </w:p>
    <w:p w14:paraId="1D3BCD2C">
      <w:pPr>
        <w:spacing w:line="360" w:lineRule="auto"/>
        <w:ind w:firstLine="321" w:firstLineChars="100"/>
        <w:jc w:val="left"/>
        <w:outlineLvl w:val="9"/>
        <w:rPr>
          <w:rFonts w:hint="default" w:ascii="Times New Roman" w:hAnsi="Times New Roman" w:eastAsia="黑体" w:cs="Times New Roman"/>
          <w:b/>
          <w:bCs/>
          <w:color w:val="auto"/>
          <w:kern w:val="2"/>
          <w:sz w:val="32"/>
          <w:szCs w:val="32"/>
          <w:highlight w:val="none"/>
          <w:lang w:val="zh-CN"/>
        </w:rPr>
      </w:pPr>
      <w:r>
        <w:rPr>
          <w:rFonts w:hint="default" w:ascii="Times New Roman" w:hAnsi="Times New Roman" w:eastAsia="黑体" w:cs="Times New Roman"/>
          <w:b/>
          <w:bCs/>
          <w:color w:val="auto"/>
          <w:kern w:val="2"/>
          <w:sz w:val="32"/>
          <w:szCs w:val="32"/>
          <w:highlight w:val="none"/>
          <w:lang w:val="zh-CN"/>
        </w:rPr>
        <w:t>11.3 法律法规及政策性变化引起的价格调整</w:t>
      </w:r>
    </w:p>
    <w:p w14:paraId="095311A1">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11.3.1 工程实施期间，在合同基准日后发生以下法律法规及政策性变化引起合同价款增减变化和（或）工期延误的，按照本合同约定和自治区建设行政主管部门及其授权的工程造价管理机构据此发布的规定调整合同价格及（或）工期：</w:t>
      </w:r>
    </w:p>
    <w:p w14:paraId="1419E8DE">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（1）新增的法律法规及政策性规定；</w:t>
      </w:r>
    </w:p>
    <w:p w14:paraId="717C54B7">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（2）修改原有的法律法规及政策性规定；</w:t>
      </w:r>
    </w:p>
    <w:p w14:paraId="1301F71F">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（3）废止原有的法律法规及政策性规定；</w:t>
      </w:r>
    </w:p>
    <w:p w14:paraId="7EA42D12">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（4）政府对相关法律法规的解释发生了变化。</w:t>
      </w:r>
    </w:p>
    <w:p w14:paraId="7C0E33DC">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11.3.2因承包人原因导致工期延长，在工期延长期间出现本合同约定的法律法规及政策性变化的，合同价格调增的不予调整，合同价格调减的予以调整。</w:t>
      </w:r>
    </w:p>
    <w:p w14:paraId="34319854">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11.3.3因发包人原因导致工期延长，在工期延长期间出现本合同约定的法律法规及政策性变化的，合同价格调减的不予调整，合同价格调增的应予调整。</w:t>
      </w:r>
    </w:p>
    <w:p w14:paraId="44053CC0">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11.3.4因非发承包双方原因导致工期延长，在工期延长期间出现本合同约定的法律法规及政策性变化的，合同价格应按实调整，法律法规及政策另有规定的除外。</w:t>
      </w:r>
    </w:p>
    <w:p w14:paraId="60FDE372">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11.3.5 法律法规及政策性变化引起合同价格调整的，其合同总价及合同单价内的管理费及利润不应做调整。</w:t>
      </w:r>
    </w:p>
    <w:p w14:paraId="4EDC7E6B">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11.3.6合同履行中如国家财税政策变化调整增值税税率的，调整税率实施前已完成未开具发票工程价款及实施后工程计价应按调整后的税率计算增值税，工程进度款及工程结算价分别按以下公式调整：</w:t>
      </w:r>
    </w:p>
    <w:p w14:paraId="693E46A5">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进度款=按基准日计算工程进度款÷（1＋基准日税率）×（1＋调整后税率）</w:t>
      </w:r>
    </w:p>
    <w:p w14:paraId="4982C1E6">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工程结算价款＝已按基准日税率开具发票的工程价款＋（按基准日税率计算的工程结算价－已按基准日税率开具发票的工程价款）÷（1＋基准日税率）×（1＋调整后税率）</w:t>
      </w:r>
    </w:p>
    <w:p w14:paraId="2A9A2668">
      <w:pPr>
        <w:spacing w:line="360" w:lineRule="auto"/>
        <w:ind w:firstLine="321" w:firstLineChars="100"/>
        <w:jc w:val="left"/>
        <w:outlineLvl w:val="9"/>
        <w:rPr>
          <w:rFonts w:hint="default" w:ascii="Times New Roman" w:hAnsi="Times New Roman" w:eastAsia="黑体" w:cs="Times New Roman"/>
          <w:b/>
          <w:bCs/>
          <w:color w:val="auto"/>
          <w:kern w:val="2"/>
          <w:sz w:val="32"/>
          <w:szCs w:val="32"/>
          <w:highlight w:val="none"/>
          <w:lang w:val="zh-CN"/>
        </w:rPr>
      </w:pPr>
      <w:r>
        <w:rPr>
          <w:rFonts w:hint="default" w:ascii="Times New Roman" w:hAnsi="Times New Roman" w:eastAsia="黑体" w:cs="Times New Roman"/>
          <w:b/>
          <w:bCs/>
          <w:color w:val="auto"/>
          <w:kern w:val="2"/>
          <w:sz w:val="32"/>
          <w:szCs w:val="32"/>
          <w:highlight w:val="none"/>
          <w:lang w:val="zh-CN"/>
        </w:rPr>
        <w:t>11.4 工程量清单缺陷引起的价格调整</w:t>
      </w:r>
    </w:p>
    <w:p w14:paraId="2B3E59BF">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11.4.1 对于单价合同，</w:t>
      </w:r>
      <w:r>
        <w:rPr>
          <w:rFonts w:hint="eastAsia" w:hAnsi="宋体" w:cs="宋体"/>
          <w:color w:val="auto"/>
          <w:kern w:val="0"/>
          <w:highlight w:val="none"/>
          <w:lang w:eastAsia="zh-CN"/>
        </w:rPr>
        <w:t>应根据</w:t>
      </w:r>
      <w:r>
        <w:rPr>
          <w:rFonts w:hint="eastAsia" w:hAnsi="宋体" w:cs="宋体"/>
          <w:color w:val="auto"/>
          <w:kern w:val="0"/>
          <w:highlight w:val="none"/>
        </w:rPr>
        <w:t>合同图纸</w:t>
      </w:r>
      <w:r>
        <w:rPr>
          <w:rFonts w:hint="eastAsia" w:hAnsi="宋体" w:cs="宋体"/>
          <w:color w:val="auto"/>
          <w:kern w:val="0"/>
          <w:highlight w:val="none"/>
          <w:lang w:eastAsia="zh-CN"/>
        </w:rPr>
        <w:t>和工程变更指令重新计算</w:t>
      </w:r>
      <w:r>
        <w:rPr>
          <w:rFonts w:hint="eastAsia" w:hAnsi="宋体" w:cs="宋体"/>
          <w:color w:val="auto"/>
          <w:kern w:val="0"/>
          <w:highlight w:val="none"/>
        </w:rPr>
        <w:t>分部分项工程清单项目及工程量，并按</w:t>
      </w:r>
      <w:r>
        <w:rPr>
          <w:rFonts w:hint="eastAsia" w:hAnsi="宋体" w:cs="宋体"/>
          <w:color w:val="auto"/>
          <w:kern w:val="0"/>
          <w:highlight w:val="none"/>
          <w:lang w:val="en-US" w:eastAsia="zh-CN"/>
        </w:rPr>
        <w:t>10.4.1规定</w:t>
      </w:r>
      <w:r>
        <w:rPr>
          <w:rFonts w:hint="eastAsia" w:hAnsi="宋体" w:cs="宋体"/>
          <w:color w:val="auto"/>
          <w:kern w:val="0"/>
          <w:highlight w:val="none"/>
        </w:rPr>
        <w:t>调整合同单价。</w:t>
      </w:r>
    </w:p>
    <w:p w14:paraId="25E36AB5">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11.4.2 对于总价合同，</w:t>
      </w:r>
      <w:r>
        <w:rPr>
          <w:rFonts w:hint="eastAsia" w:ascii="宋体" w:hAnsi="宋体" w:cs="宋体"/>
          <w:bCs/>
          <w:color w:val="auto"/>
          <w:szCs w:val="21"/>
          <w:highlight w:val="none"/>
        </w:rPr>
        <w:t>合同价格</w:t>
      </w:r>
      <w:r>
        <w:rPr>
          <w:rFonts w:hint="eastAsia" w:ascii="宋体" w:hAnsi="宋体" w:cs="宋体"/>
          <w:bCs/>
          <w:color w:val="auto"/>
          <w:szCs w:val="21"/>
          <w:highlight w:val="none"/>
          <w:lang w:eastAsia="zh-CN"/>
        </w:rPr>
        <w:t>固定总价部分</w:t>
      </w:r>
      <w:r>
        <w:rPr>
          <w:rFonts w:hint="eastAsia" w:hAnsi="宋体" w:cs="宋体"/>
          <w:color w:val="auto"/>
          <w:kern w:val="0"/>
          <w:highlight w:val="none"/>
        </w:rPr>
        <w:t>不因</w:t>
      </w:r>
      <w:r>
        <w:rPr>
          <w:rFonts w:hint="default" w:hAnsi="宋体" w:cs="宋体"/>
          <w:color w:val="auto"/>
          <w:kern w:val="0"/>
          <w:highlight w:val="none"/>
          <w:lang w:val="en-US"/>
        </w:rPr>
        <w:t>合同</w:t>
      </w:r>
      <w:r>
        <w:rPr>
          <w:rFonts w:hint="eastAsia" w:hAnsi="宋体" w:cs="宋体"/>
          <w:color w:val="auto"/>
          <w:kern w:val="0"/>
          <w:highlight w:val="none"/>
          <w:lang w:val="en-US" w:eastAsia="zh-CN"/>
        </w:rPr>
        <w:t>工程量</w:t>
      </w:r>
      <w:r>
        <w:rPr>
          <w:rFonts w:hint="eastAsia" w:hAnsi="宋体" w:cs="宋体"/>
          <w:color w:val="auto"/>
          <w:kern w:val="0"/>
          <w:highlight w:val="none"/>
        </w:rPr>
        <w:t>清单缺陷而调整。</w:t>
      </w:r>
    </w:p>
    <w:p w14:paraId="4E266E8A">
      <w:pPr>
        <w:spacing w:line="360" w:lineRule="auto"/>
        <w:ind w:firstLine="321" w:firstLineChars="100"/>
        <w:jc w:val="left"/>
        <w:outlineLvl w:val="9"/>
        <w:rPr>
          <w:rFonts w:hint="default" w:ascii="Times New Roman" w:hAnsi="Times New Roman" w:eastAsia="黑体" w:cs="Times New Roman"/>
          <w:b/>
          <w:bCs/>
          <w:color w:val="auto"/>
          <w:kern w:val="2"/>
          <w:sz w:val="32"/>
          <w:szCs w:val="32"/>
          <w:highlight w:val="none"/>
          <w:lang w:val="zh-CN"/>
        </w:rPr>
      </w:pPr>
      <w:r>
        <w:rPr>
          <w:rFonts w:hint="default" w:ascii="Times New Roman" w:hAnsi="Times New Roman" w:eastAsia="黑体" w:cs="Times New Roman"/>
          <w:b/>
          <w:bCs/>
          <w:color w:val="auto"/>
          <w:kern w:val="2"/>
          <w:sz w:val="32"/>
          <w:szCs w:val="32"/>
          <w:highlight w:val="none"/>
          <w:lang w:val="zh-CN"/>
        </w:rPr>
        <w:t>11.5 工程变更引起的价格调整</w:t>
      </w:r>
    </w:p>
    <w:p w14:paraId="438C4A43">
      <w:pPr>
        <w:spacing w:line="360" w:lineRule="auto"/>
        <w:ind w:firstLine="420" w:firstLineChars="200"/>
        <w:jc w:val="left"/>
        <w:rPr>
          <w:rFonts w:hint="eastAsia" w:ascii="Times New Roman" w:hAnsi="宋体" w:eastAsia="宋体" w:cs="宋体"/>
          <w:b w:val="0"/>
          <w:bCs w:val="0"/>
          <w:color w:val="auto"/>
          <w:kern w:val="0"/>
          <w:sz w:val="21"/>
          <w:szCs w:val="21"/>
          <w:highlight w:val="none"/>
          <w:lang w:val="en-US" w:eastAsia="zh-CN"/>
        </w:rPr>
      </w:pPr>
      <w:r>
        <w:rPr>
          <w:rFonts w:hint="eastAsia" w:ascii="Times New Roman" w:hAnsi="宋体" w:eastAsia="宋体" w:cs="宋体"/>
          <w:b w:val="0"/>
          <w:bCs w:val="0"/>
          <w:color w:val="auto"/>
          <w:kern w:val="0"/>
          <w:sz w:val="21"/>
          <w:szCs w:val="21"/>
          <w:highlight w:val="none"/>
          <w:lang w:val="zh-CN"/>
        </w:rPr>
        <w:t>按专用合同条款</w:t>
      </w:r>
      <w:r>
        <w:rPr>
          <w:rFonts w:hint="eastAsia" w:ascii="Times New Roman" w:hAnsi="宋体" w:eastAsia="宋体" w:cs="宋体"/>
          <w:b w:val="0"/>
          <w:bCs w:val="0"/>
          <w:color w:val="auto"/>
          <w:kern w:val="0"/>
          <w:sz w:val="21"/>
          <w:szCs w:val="21"/>
          <w:highlight w:val="none"/>
          <w:lang w:val="en-US" w:eastAsia="zh-CN"/>
        </w:rPr>
        <w:t>10.4约定执行。</w:t>
      </w:r>
    </w:p>
    <w:p w14:paraId="228A1492">
      <w:pPr>
        <w:spacing w:line="360" w:lineRule="auto"/>
        <w:ind w:firstLine="321" w:firstLineChars="100"/>
        <w:jc w:val="left"/>
        <w:outlineLvl w:val="9"/>
        <w:rPr>
          <w:rFonts w:hint="default" w:ascii="Times New Roman" w:hAnsi="Times New Roman" w:eastAsia="黑体" w:cs="Times New Roman"/>
          <w:b/>
          <w:bCs/>
          <w:color w:val="auto"/>
          <w:kern w:val="2"/>
          <w:sz w:val="32"/>
          <w:szCs w:val="32"/>
          <w:highlight w:val="none"/>
          <w:lang w:val="zh-CN"/>
        </w:rPr>
      </w:pPr>
      <w:r>
        <w:rPr>
          <w:rFonts w:hint="default" w:ascii="Times New Roman" w:hAnsi="Times New Roman" w:eastAsia="黑体" w:cs="Times New Roman"/>
          <w:b/>
          <w:bCs/>
          <w:color w:val="auto"/>
          <w:kern w:val="2"/>
          <w:sz w:val="32"/>
          <w:szCs w:val="32"/>
          <w:highlight w:val="none"/>
          <w:lang w:val="zh-CN"/>
        </w:rPr>
        <w:t>11.6暂估价引起的价格调整</w:t>
      </w:r>
    </w:p>
    <w:p w14:paraId="71E00B58">
      <w:pPr>
        <w:spacing w:line="360" w:lineRule="auto"/>
        <w:ind w:firstLine="210" w:firstLineChars="100"/>
        <w:jc w:val="left"/>
        <w:outlineLvl w:val="9"/>
        <w:rPr>
          <w:rFonts w:hint="eastAsia" w:ascii="Times New Roman" w:hAnsi="宋体" w:eastAsia="宋体" w:cs="宋体"/>
          <w:b w:val="0"/>
          <w:bCs w:val="0"/>
          <w:color w:val="auto"/>
          <w:kern w:val="0"/>
          <w:sz w:val="21"/>
          <w:szCs w:val="21"/>
          <w:highlight w:val="none"/>
          <w:lang w:val="zh-CN" w:eastAsia="zh-CN"/>
        </w:rPr>
      </w:pPr>
      <w:r>
        <w:rPr>
          <w:rFonts w:hint="eastAsia" w:ascii="Times New Roman" w:hAnsi="宋体" w:eastAsia="宋体" w:cs="宋体"/>
          <w:b w:val="0"/>
          <w:bCs w:val="0"/>
          <w:color w:val="auto"/>
          <w:kern w:val="0"/>
          <w:sz w:val="21"/>
          <w:szCs w:val="21"/>
          <w:highlight w:val="none"/>
          <w:lang w:val="zh-CN"/>
        </w:rPr>
        <w:t>按专用合同条款</w:t>
      </w:r>
      <w:r>
        <w:rPr>
          <w:rFonts w:hint="eastAsia" w:ascii="Times New Roman" w:hAnsi="宋体" w:eastAsia="宋体" w:cs="宋体"/>
          <w:b w:val="0"/>
          <w:bCs w:val="0"/>
          <w:color w:val="auto"/>
          <w:kern w:val="0"/>
          <w:sz w:val="21"/>
          <w:szCs w:val="21"/>
          <w:highlight w:val="none"/>
          <w:lang w:val="zh-CN" w:eastAsia="zh-CN"/>
        </w:rPr>
        <w:t>10.7约定执行。</w:t>
      </w:r>
    </w:p>
    <w:p w14:paraId="5CE6D493">
      <w:pPr>
        <w:spacing w:line="360" w:lineRule="auto"/>
        <w:ind w:firstLine="321" w:firstLineChars="100"/>
        <w:jc w:val="left"/>
        <w:outlineLvl w:val="9"/>
        <w:rPr>
          <w:rFonts w:hint="default" w:ascii="Times New Roman" w:hAnsi="Times New Roman" w:eastAsia="黑体" w:cs="Times New Roman"/>
          <w:b/>
          <w:bCs/>
          <w:color w:val="auto"/>
          <w:kern w:val="2"/>
          <w:sz w:val="32"/>
          <w:szCs w:val="32"/>
          <w:highlight w:val="none"/>
          <w:lang w:val="zh-CN"/>
        </w:rPr>
      </w:pPr>
      <w:r>
        <w:rPr>
          <w:rFonts w:hint="default" w:ascii="Times New Roman" w:hAnsi="Times New Roman" w:eastAsia="黑体" w:cs="Times New Roman"/>
          <w:b/>
          <w:bCs/>
          <w:color w:val="auto"/>
          <w:kern w:val="2"/>
          <w:sz w:val="32"/>
          <w:szCs w:val="32"/>
          <w:highlight w:val="none"/>
          <w:lang w:val="zh-CN"/>
        </w:rPr>
        <w:t>11.7总承包服务费调整</w:t>
      </w:r>
    </w:p>
    <w:p w14:paraId="4BBC4884">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11.7.1 发包人提供材料变更为承包人提供的，扣除合同总价中计取的相应发包人提供材料的总承包服务费。</w:t>
      </w:r>
    </w:p>
    <w:p w14:paraId="6960B0C1">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11.7.2 承包人提供的材料变更为发包人提供的，发包人应支付发包人提供材料需要承包人协助协调、材料保管等相应服务的总承包服务费。</w:t>
      </w:r>
    </w:p>
    <w:p w14:paraId="707B5DE4">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11.7.3 若合同履行过程中发生暂估专业工程取消，或确定由承包人负责完成，或在承包人的合同工程已竣工且撤场后进行的，应扣除合同总价中计取的相应暂估专业工程总承包服务费。</w:t>
      </w:r>
    </w:p>
    <w:p w14:paraId="46B5309A">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11.7.4总承包服务费除可按本合同约定及服务内容变化可调整外，作为风险包干，工程结算不作调整。</w:t>
      </w:r>
    </w:p>
    <w:p w14:paraId="0BD84365">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11.7.5 因发包人同意的暂估专业工程发生工程变更或发包人原因引起实质性工期改变，发承包双方按下式计算调整受影响的专业分包工程总承包服务费：</w:t>
      </w:r>
    </w:p>
    <w:p w14:paraId="7C5ACB24">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总承包服务费调整价款=受影响专业分包工程延误的工期×受影响专业分包工程总承包服务费</w:t>
      </w:r>
      <w:r>
        <w:rPr>
          <w:rFonts w:hint="eastAsia" w:hAnsi="宋体" w:cs="宋体"/>
          <w:color w:val="auto"/>
          <w:kern w:val="0"/>
          <w:highlight w:val="none"/>
          <w:lang w:val="en-US" w:eastAsia="zh-CN"/>
        </w:rPr>
        <w:t>÷</w:t>
      </w:r>
      <w:r>
        <w:rPr>
          <w:rFonts w:hint="eastAsia" w:hAnsi="宋体" w:cs="宋体"/>
          <w:color w:val="auto"/>
          <w:kern w:val="0"/>
          <w:highlight w:val="none"/>
        </w:rPr>
        <w:t>受影响专业分包工程工期。</w:t>
      </w:r>
    </w:p>
    <w:p w14:paraId="780CE251">
      <w:pPr>
        <w:spacing w:line="360" w:lineRule="auto"/>
        <w:ind w:firstLine="321" w:firstLineChars="100"/>
        <w:jc w:val="left"/>
        <w:outlineLvl w:val="9"/>
        <w:rPr>
          <w:rFonts w:hint="default" w:ascii="Times New Roman" w:hAnsi="Times New Roman" w:eastAsia="黑体" w:cs="Times New Roman"/>
          <w:b/>
          <w:bCs/>
          <w:color w:val="auto"/>
          <w:kern w:val="2"/>
          <w:sz w:val="32"/>
          <w:szCs w:val="32"/>
          <w:highlight w:val="none"/>
          <w:lang w:val="zh-CN"/>
        </w:rPr>
      </w:pPr>
      <w:r>
        <w:rPr>
          <w:rFonts w:hint="default" w:ascii="Times New Roman" w:hAnsi="Times New Roman" w:eastAsia="黑体" w:cs="Times New Roman"/>
          <w:b/>
          <w:bCs/>
          <w:color w:val="auto"/>
          <w:kern w:val="2"/>
          <w:sz w:val="32"/>
          <w:szCs w:val="32"/>
          <w:highlight w:val="none"/>
          <w:lang w:val="zh-CN"/>
        </w:rPr>
        <w:t>11.8 零星签证引起的价格调整</w:t>
      </w:r>
    </w:p>
    <w:p w14:paraId="50B98908">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11.8.1采用零星签证方式进行计价的工程或工作，应按本合同12.3.</w:t>
      </w:r>
      <w:r>
        <w:rPr>
          <w:rFonts w:hint="eastAsia" w:hAnsi="宋体" w:cs="宋体"/>
          <w:color w:val="auto"/>
          <w:kern w:val="0"/>
          <w:highlight w:val="none"/>
          <w:lang w:val="en-US" w:eastAsia="zh-CN"/>
        </w:rPr>
        <w:t>1</w:t>
      </w:r>
      <w:r>
        <w:rPr>
          <w:rFonts w:hint="eastAsia" w:hAnsi="宋体" w:cs="宋体"/>
          <w:color w:val="auto"/>
          <w:kern w:val="0"/>
          <w:highlight w:val="none"/>
        </w:rPr>
        <w:t xml:space="preserve"> 的约定计量，按本合同</w:t>
      </w:r>
      <w:r>
        <w:rPr>
          <w:rFonts w:hint="eastAsia" w:hAnsi="宋体" w:cs="宋体"/>
          <w:color w:val="auto"/>
          <w:kern w:val="0"/>
          <w:highlight w:val="none"/>
          <w:lang w:eastAsia="zh-CN"/>
        </w:rPr>
        <w:t>附件</w:t>
      </w:r>
      <w:r>
        <w:rPr>
          <w:rFonts w:hint="eastAsia" w:hAnsi="宋体" w:cs="宋体"/>
          <w:color w:val="auto"/>
          <w:kern w:val="0"/>
          <w:highlight w:val="none"/>
          <w:lang w:val="en-US" w:eastAsia="zh-CN"/>
        </w:rPr>
        <w:t>16</w:t>
      </w:r>
      <w:r>
        <w:rPr>
          <w:rFonts w:hint="eastAsia" w:hAnsi="宋体" w:cs="宋体"/>
          <w:color w:val="auto"/>
          <w:kern w:val="0"/>
          <w:highlight w:val="none"/>
          <w:lang w:eastAsia="zh-CN"/>
        </w:rPr>
        <w:t>《</w:t>
      </w:r>
      <w:r>
        <w:rPr>
          <w:rFonts w:hint="eastAsia" w:hAnsi="宋体" w:cs="宋体"/>
          <w:color w:val="auto"/>
          <w:kern w:val="0"/>
          <w:highlight w:val="none"/>
        </w:rPr>
        <w:t>零星签证确认单</w:t>
      </w:r>
      <w:r>
        <w:rPr>
          <w:rFonts w:hint="eastAsia" w:hAnsi="宋体" w:cs="宋体"/>
          <w:color w:val="auto"/>
          <w:kern w:val="0"/>
          <w:highlight w:val="none"/>
          <w:lang w:eastAsia="zh-CN"/>
        </w:rPr>
        <w:t>》</w:t>
      </w:r>
      <w:r>
        <w:rPr>
          <w:rFonts w:hint="eastAsia" w:hAnsi="宋体" w:cs="宋体"/>
          <w:color w:val="auto"/>
          <w:kern w:val="0"/>
          <w:highlight w:val="none"/>
        </w:rPr>
        <w:t>格式要求签证费用。</w:t>
      </w:r>
    </w:p>
    <w:p w14:paraId="1EDCE7FC">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11.8.2发承包双方按以下第</w:t>
      </w:r>
      <w:r>
        <w:rPr>
          <w:rFonts w:hint="eastAsia" w:hAnsi="宋体" w:cs="宋体"/>
          <w:color w:val="auto"/>
          <w:kern w:val="0"/>
          <w:highlight w:val="none"/>
          <w:u w:val="single"/>
        </w:rPr>
        <w:t xml:space="preserve">  </w:t>
      </w:r>
      <w:r>
        <w:rPr>
          <w:rFonts w:hint="eastAsia" w:hAnsi="宋体" w:cs="宋体"/>
          <w:color w:val="auto"/>
          <w:kern w:val="0"/>
          <w:highlight w:val="none"/>
        </w:rPr>
        <w:t>一</w:t>
      </w:r>
      <w:r>
        <w:rPr>
          <w:rFonts w:hint="eastAsia" w:hAnsi="宋体" w:cs="宋体"/>
          <w:color w:val="auto"/>
          <w:kern w:val="0"/>
          <w:highlight w:val="none"/>
          <w:u w:val="single"/>
        </w:rPr>
        <w:t xml:space="preserve">   </w:t>
      </w:r>
      <w:r>
        <w:rPr>
          <w:rFonts w:hint="eastAsia" w:hAnsi="宋体" w:cs="宋体"/>
          <w:color w:val="auto"/>
          <w:kern w:val="0"/>
          <w:highlight w:val="none"/>
        </w:rPr>
        <w:t>种方式确定零星签证综合单价：</w:t>
      </w:r>
    </w:p>
    <w:p w14:paraId="56E5E56D">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 xml:space="preserve">第一种方式：人工费、材料费、施工机具使用费按《 </w:t>
      </w:r>
      <w:r>
        <w:rPr>
          <w:rFonts w:hint="eastAsia" w:hAnsi="宋体" w:cs="宋体"/>
          <w:color w:val="auto"/>
          <w:kern w:val="0"/>
          <w:highlight w:val="none"/>
          <w:u w:val="single"/>
        </w:rPr>
        <w:t xml:space="preserve"> </w:t>
      </w:r>
      <w:r>
        <w:rPr>
          <w:rFonts w:hint="eastAsia" w:hAnsi="宋体" w:cs="宋体"/>
          <w:color w:val="auto"/>
          <w:kern w:val="0"/>
          <w:highlight w:val="none"/>
          <w:u w:val="single"/>
          <w:lang w:val="en-US" w:eastAsia="zh-CN"/>
        </w:rPr>
        <w:t>贺州</w:t>
      </w:r>
      <w:r>
        <w:rPr>
          <w:rFonts w:hint="eastAsia" w:hAnsi="宋体" w:cs="宋体"/>
          <w:color w:val="auto"/>
          <w:kern w:val="0"/>
          <w:highlight w:val="none"/>
          <w:u w:val="single"/>
        </w:rPr>
        <w:t xml:space="preserve"> </w:t>
      </w:r>
      <w:r>
        <w:rPr>
          <w:rFonts w:hint="eastAsia" w:hAnsi="宋体" w:cs="宋体"/>
          <w:color w:val="auto"/>
          <w:kern w:val="0"/>
          <w:highlight w:val="none"/>
        </w:rPr>
        <w:t>市建设工程造价信息》所发布工程价格信息确定</w:t>
      </w:r>
      <w:r>
        <w:rPr>
          <w:rFonts w:hint="eastAsia" w:hAnsi="宋体" w:cs="宋体"/>
          <w:color w:val="auto"/>
          <w:kern w:val="0"/>
          <w:highlight w:val="none"/>
          <w:lang w:eastAsia="zh-CN"/>
        </w:rPr>
        <w:t>，</w:t>
      </w:r>
      <w:r>
        <w:rPr>
          <w:rFonts w:hint="eastAsia" w:hAnsi="宋体" w:cs="宋体"/>
          <w:color w:val="auto"/>
          <w:kern w:val="0"/>
          <w:highlight w:val="none"/>
        </w:rPr>
        <w:t>工程造价信息中没有相应价格的，依据发承包双方确认</w:t>
      </w:r>
      <w:r>
        <w:rPr>
          <w:rFonts w:hint="eastAsia" w:hAnsi="宋体" w:cs="宋体"/>
          <w:color w:val="auto"/>
          <w:kern w:val="0"/>
          <w:highlight w:val="none"/>
          <w:lang w:eastAsia="zh-CN"/>
        </w:rPr>
        <w:t>。零星签证综合单价应包含</w:t>
      </w:r>
      <w:r>
        <w:rPr>
          <w:rFonts w:hint="eastAsia" w:hAnsi="宋体" w:cs="宋体"/>
          <w:color w:val="auto"/>
          <w:kern w:val="0"/>
          <w:highlight w:val="none"/>
        </w:rPr>
        <w:t>相应的管理费、利润、增值税。</w:t>
      </w:r>
    </w:p>
    <w:p w14:paraId="58CB1803">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第二种方式：</w:t>
      </w:r>
      <w:r>
        <w:rPr>
          <w:rFonts w:hint="eastAsia" w:hAnsi="宋体" w:cs="宋体"/>
          <w:color w:val="auto"/>
          <w:kern w:val="0"/>
          <w:highlight w:val="none"/>
          <w:u w:val="single"/>
        </w:rPr>
        <w:t xml:space="preserve">      </w:t>
      </w:r>
      <w:r>
        <w:rPr>
          <w:rFonts w:hint="eastAsia" w:hAnsi="宋体" w:cs="宋体"/>
          <w:color w:val="auto"/>
          <w:kern w:val="0"/>
          <w:highlight w:val="none"/>
          <w:u w:val="single"/>
          <w:lang w:val="en-US" w:eastAsia="zh-CN"/>
        </w:rPr>
        <w:t>/</w:t>
      </w:r>
      <w:r>
        <w:rPr>
          <w:rFonts w:hint="eastAsia" w:hAnsi="宋体" w:cs="宋体"/>
          <w:color w:val="auto"/>
          <w:kern w:val="0"/>
          <w:highlight w:val="none"/>
          <w:u w:val="single"/>
        </w:rPr>
        <w:t xml:space="preserve">             </w:t>
      </w:r>
      <w:r>
        <w:rPr>
          <w:rFonts w:hint="eastAsia" w:hAnsi="宋体" w:cs="宋体"/>
          <w:color w:val="auto"/>
          <w:kern w:val="0"/>
          <w:highlight w:val="none"/>
        </w:rPr>
        <w:t>，</w:t>
      </w:r>
      <w:r>
        <w:rPr>
          <w:rFonts w:hint="eastAsia" w:hAnsi="宋体" w:cs="宋体"/>
          <w:color w:val="auto"/>
          <w:kern w:val="0"/>
          <w:highlight w:val="none"/>
          <w:lang w:eastAsia="zh-CN"/>
        </w:rPr>
        <w:t>零星签证综合单价应包含</w:t>
      </w:r>
      <w:r>
        <w:rPr>
          <w:rFonts w:hint="eastAsia" w:hAnsi="宋体" w:cs="宋体"/>
          <w:color w:val="auto"/>
          <w:kern w:val="0"/>
          <w:highlight w:val="none"/>
        </w:rPr>
        <w:t>相应的管理费、利润、增值税。</w:t>
      </w:r>
    </w:p>
    <w:bookmarkEnd w:id="791"/>
    <w:bookmarkEnd w:id="792"/>
    <w:bookmarkEnd w:id="793"/>
    <w:bookmarkEnd w:id="794"/>
    <w:bookmarkEnd w:id="795"/>
    <w:bookmarkEnd w:id="796"/>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p w14:paraId="2A376084">
      <w:pPr>
        <w:spacing w:line="360" w:lineRule="auto"/>
        <w:ind w:firstLine="420" w:firstLineChars="200"/>
        <w:jc w:val="left"/>
        <w:rPr>
          <w:rFonts w:hint="default" w:ascii="Times New Roman" w:hAnsi="宋体" w:eastAsia="宋体" w:cs="宋体"/>
          <w:b w:val="0"/>
          <w:bCs w:val="0"/>
          <w:color w:val="auto"/>
          <w:kern w:val="0"/>
          <w:sz w:val="21"/>
          <w:szCs w:val="21"/>
          <w:highlight w:val="none"/>
          <w:lang w:val="en-US" w:eastAsia="zh-CN"/>
        </w:rPr>
      </w:pPr>
      <w:bookmarkStart w:id="961" w:name="_Toc292559915"/>
      <w:bookmarkStart w:id="962" w:name="_Toc296944544"/>
      <w:bookmarkStart w:id="963" w:name="_Toc296891245"/>
      <w:bookmarkStart w:id="964" w:name="_Toc297048391"/>
      <w:bookmarkStart w:id="965" w:name="_Toc296503205"/>
      <w:bookmarkStart w:id="966" w:name="_Toc296346706"/>
      <w:bookmarkStart w:id="967" w:name="_Toc297120505"/>
      <w:bookmarkStart w:id="968" w:name="_Toc296347204"/>
      <w:bookmarkStart w:id="969" w:name="_Toc292559410"/>
      <w:bookmarkStart w:id="970" w:name="_Toc296891033"/>
      <w:bookmarkStart w:id="971" w:name="_Toc407135251"/>
      <w:bookmarkStart w:id="972" w:name="_Toc373227748"/>
      <w:bookmarkStart w:id="973" w:name="_Toc373478395"/>
      <w:bookmarkStart w:id="974" w:name="_Toc351203644"/>
      <w:bookmarkStart w:id="975" w:name="_Toc78449837"/>
      <w:bookmarkStart w:id="976" w:name="_Toc1720046426"/>
      <w:bookmarkStart w:id="977" w:name="_Toc304295579"/>
      <w:bookmarkStart w:id="978" w:name="_Toc297123552"/>
      <w:bookmarkStart w:id="979" w:name="_Toc303539159"/>
      <w:bookmarkStart w:id="980" w:name="_Toc297216211"/>
      <w:bookmarkStart w:id="981" w:name="_Toc312678040"/>
      <w:bookmarkStart w:id="982" w:name="_Toc300935002"/>
      <w:r>
        <w:rPr>
          <w:rFonts w:hint="eastAsia" w:hAnsi="宋体" w:cs="宋体"/>
          <w:color w:val="auto"/>
          <w:kern w:val="0"/>
          <w:highlight w:val="none"/>
        </w:rPr>
        <w:t>11.8.3采用零星签证计价的，零星签证综合单价包括零星签证项目随机发生、少量发生等特点造成的额外增加费用和零星签证项目发生的措施项目费用，合同总价中的措施项目费用不因零星签证的发生而调整。</w:t>
      </w:r>
    </w:p>
    <w:p w14:paraId="59AC016D">
      <w:pPr>
        <w:spacing w:line="360" w:lineRule="auto"/>
        <w:ind w:firstLine="321" w:firstLineChars="100"/>
        <w:jc w:val="left"/>
        <w:outlineLvl w:val="9"/>
        <w:rPr>
          <w:rFonts w:hint="default" w:ascii="Times New Roman" w:hAnsi="Times New Roman" w:eastAsia="黑体" w:cs="Times New Roman"/>
          <w:b/>
          <w:bCs/>
          <w:color w:val="auto"/>
          <w:kern w:val="2"/>
          <w:sz w:val="32"/>
          <w:szCs w:val="32"/>
          <w:highlight w:val="none"/>
          <w:lang w:val="zh-CN"/>
        </w:rPr>
      </w:pPr>
      <w:r>
        <w:rPr>
          <w:rFonts w:hint="default" w:ascii="Times New Roman" w:hAnsi="Times New Roman" w:eastAsia="黑体" w:cs="Times New Roman"/>
          <w:b/>
          <w:bCs/>
          <w:color w:val="auto"/>
          <w:kern w:val="2"/>
          <w:sz w:val="32"/>
          <w:szCs w:val="32"/>
          <w:highlight w:val="none"/>
          <w:lang w:val="zh-CN"/>
        </w:rPr>
        <w:t>11.</w:t>
      </w:r>
      <w:r>
        <w:rPr>
          <w:rFonts w:hint="eastAsia" w:ascii="Times New Roman" w:hAnsi="Times New Roman" w:eastAsia="黑体" w:cs="Times New Roman"/>
          <w:b/>
          <w:bCs/>
          <w:color w:val="auto"/>
          <w:kern w:val="2"/>
          <w:sz w:val="32"/>
          <w:szCs w:val="32"/>
          <w:highlight w:val="none"/>
          <w:lang w:val="en-US" w:eastAsia="zh-CN"/>
        </w:rPr>
        <w:t>9</w:t>
      </w:r>
      <w:r>
        <w:rPr>
          <w:rFonts w:hint="eastAsia" w:ascii="Times New Roman" w:hAnsi="Times New Roman" w:eastAsia="黑体" w:cs="Times New Roman"/>
          <w:b/>
          <w:bCs/>
          <w:color w:val="auto"/>
          <w:kern w:val="2"/>
          <w:sz w:val="32"/>
          <w:szCs w:val="32"/>
          <w:highlight w:val="none"/>
          <w:lang w:val="zh-CN"/>
        </w:rPr>
        <w:t>发包人提供</w:t>
      </w:r>
      <w:r>
        <w:rPr>
          <w:rFonts w:hint="eastAsia" w:ascii="Times New Roman" w:hAnsi="Times New Roman" w:eastAsia="黑体" w:cs="Times New Roman"/>
          <w:b/>
          <w:bCs/>
          <w:color w:val="auto"/>
          <w:kern w:val="2"/>
          <w:sz w:val="32"/>
          <w:szCs w:val="32"/>
          <w:highlight w:val="none"/>
          <w:lang w:val="zh-CN" w:eastAsia="zh-CN"/>
        </w:rPr>
        <w:t>材料事项</w:t>
      </w:r>
      <w:r>
        <w:rPr>
          <w:rFonts w:hint="default" w:ascii="Times New Roman" w:hAnsi="Times New Roman" w:eastAsia="黑体" w:cs="Times New Roman"/>
          <w:b/>
          <w:bCs/>
          <w:color w:val="auto"/>
          <w:kern w:val="2"/>
          <w:sz w:val="32"/>
          <w:szCs w:val="32"/>
          <w:highlight w:val="none"/>
          <w:lang w:val="zh-CN"/>
        </w:rPr>
        <w:t>引起的价格调整</w:t>
      </w:r>
    </w:p>
    <w:p w14:paraId="7969422D">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11.9.1 合同履行过程中，因承包人原因引起实际领用发包人提供的材料数量超过单价合同的施工图纸计算的实际数量或总价合同的合同图纸计算的合理数量及合同约定的材料有效损耗时，超出部分的材料费用应由承包人承担，发包人可按相应供货合同的单价计算确定超领数量的材料费用，扣除的超领材料费用在其他项目清单的合同价格调整中列项。因发包人实际提供材料的规格型号与招标文件中规定的规格型号不同而引起材料实际损耗率超出有效损耗率的，超出部分应由发包人承担。</w:t>
      </w:r>
    </w:p>
    <w:p w14:paraId="4BDD0E91">
      <w:pPr>
        <w:spacing w:line="360" w:lineRule="auto"/>
        <w:ind w:left="420" w:leftChars="200" w:firstLine="0" w:firstLineChars="0"/>
        <w:jc w:val="left"/>
        <w:rPr>
          <w:color w:val="auto"/>
          <w:highlight w:val="none"/>
          <w:u w:val="single"/>
        </w:rPr>
      </w:pPr>
      <w:r>
        <w:rPr>
          <w:rFonts w:hint="eastAsia" w:hAnsi="宋体" w:cs="宋体"/>
          <w:color w:val="auto"/>
          <w:kern w:val="0"/>
          <w:highlight w:val="none"/>
        </w:rPr>
        <w:t xml:space="preserve">11.9.2 </w:t>
      </w:r>
      <w:r>
        <w:rPr>
          <w:rFonts w:hint="eastAsia" w:ascii="Times New Roman" w:hAnsi="宋体" w:eastAsia="宋体" w:cs="宋体"/>
          <w:b w:val="0"/>
          <w:bCs w:val="0"/>
          <w:color w:val="auto"/>
          <w:kern w:val="0"/>
          <w:sz w:val="21"/>
          <w:szCs w:val="21"/>
          <w:highlight w:val="none"/>
          <w:lang w:val="en-US"/>
        </w:rPr>
        <w:t>其他调整事项：</w:t>
      </w:r>
      <w:r>
        <w:rPr>
          <w:rFonts w:hint="eastAsia" w:ascii="Times New Roman" w:hAnsi="宋体" w:eastAsia="宋体" w:cs="宋体"/>
          <w:b w:val="0"/>
          <w:bCs w:val="0"/>
          <w:color w:val="auto"/>
          <w:kern w:val="0"/>
          <w:sz w:val="21"/>
          <w:szCs w:val="21"/>
          <w:highlight w:val="none"/>
          <w:u w:val="single"/>
          <w:lang w:val="en-US"/>
        </w:rPr>
        <w:t xml:space="preserve">  </w:t>
      </w:r>
      <w:r>
        <w:rPr>
          <w:rFonts w:hint="eastAsia" w:hAnsi="宋体" w:cs="宋体"/>
          <w:b w:val="0"/>
          <w:bCs w:val="0"/>
          <w:color w:val="auto"/>
          <w:kern w:val="0"/>
          <w:sz w:val="21"/>
          <w:szCs w:val="21"/>
          <w:highlight w:val="none"/>
          <w:u w:val="single"/>
          <w:lang w:val="en-US" w:eastAsia="zh-CN"/>
        </w:rPr>
        <w:t xml:space="preserve">                                            </w:t>
      </w:r>
      <w:r>
        <w:rPr>
          <w:rFonts w:hint="eastAsia" w:hAnsi="宋体" w:cs="宋体"/>
          <w:color w:val="auto"/>
          <w:kern w:val="0"/>
          <w:highlight w:val="none"/>
          <w:u w:val="single"/>
        </w:rPr>
        <w:t xml:space="preserve"> </w:t>
      </w:r>
    </w:p>
    <w:p w14:paraId="052CF8AB">
      <w:pPr>
        <w:spacing w:line="360" w:lineRule="auto"/>
        <w:outlineLvl w:val="9"/>
        <w:rPr>
          <w:color w:val="auto"/>
          <w:highlight w:val="none"/>
        </w:rPr>
      </w:pPr>
      <w:bookmarkStart w:id="983" w:name="_Toc15051"/>
      <w:r>
        <w:rPr>
          <w:color w:val="auto"/>
          <w:highlight w:val="none"/>
        </w:rPr>
        <w:t xml:space="preserve">12. </w:t>
      </w:r>
      <w:bookmarkEnd w:id="961"/>
      <w:bookmarkEnd w:id="962"/>
      <w:bookmarkEnd w:id="963"/>
      <w:bookmarkEnd w:id="964"/>
      <w:bookmarkEnd w:id="965"/>
      <w:bookmarkEnd w:id="966"/>
      <w:bookmarkEnd w:id="967"/>
      <w:bookmarkEnd w:id="968"/>
      <w:bookmarkEnd w:id="969"/>
      <w:bookmarkEnd w:id="970"/>
      <w:r>
        <w:rPr>
          <w:rFonts w:hint="eastAsia" w:cs="黑体"/>
          <w:color w:val="auto"/>
          <w:highlight w:val="none"/>
        </w:rPr>
        <w:t>合同价格、计量与支付</w:t>
      </w:r>
      <w:bookmarkEnd w:id="971"/>
      <w:bookmarkEnd w:id="972"/>
      <w:bookmarkEnd w:id="973"/>
      <w:bookmarkEnd w:id="974"/>
      <w:bookmarkEnd w:id="975"/>
      <w:bookmarkEnd w:id="976"/>
      <w:bookmarkEnd w:id="983"/>
    </w:p>
    <w:bookmarkEnd w:id="977"/>
    <w:bookmarkEnd w:id="978"/>
    <w:bookmarkEnd w:id="979"/>
    <w:bookmarkEnd w:id="980"/>
    <w:bookmarkEnd w:id="981"/>
    <w:bookmarkEnd w:id="982"/>
    <w:p w14:paraId="134F4B84">
      <w:pPr>
        <w:spacing w:line="360" w:lineRule="auto"/>
        <w:outlineLvl w:val="9"/>
        <w:rPr>
          <w:color w:val="auto"/>
          <w:highlight w:val="none"/>
        </w:rPr>
      </w:pPr>
      <w:bookmarkStart w:id="984" w:name="_Toc292559411"/>
      <w:bookmarkStart w:id="985" w:name="_Toc292559916"/>
      <w:bookmarkStart w:id="986" w:name="_Toc267251461"/>
      <w:bookmarkStart w:id="987" w:name="_Toc296891034"/>
      <w:bookmarkStart w:id="988" w:name="_Toc297048392"/>
      <w:bookmarkStart w:id="989" w:name="_Toc297120506"/>
      <w:bookmarkStart w:id="990" w:name="_Toc296347205"/>
      <w:bookmarkStart w:id="991" w:name="_Toc296503206"/>
      <w:bookmarkStart w:id="992" w:name="_Toc296346707"/>
      <w:bookmarkStart w:id="993" w:name="_Toc296891246"/>
      <w:bookmarkStart w:id="994" w:name="_Toc296944545"/>
      <w:bookmarkStart w:id="995" w:name="_Toc20787"/>
      <w:bookmarkStart w:id="996" w:name="_Toc407135252"/>
      <w:bookmarkStart w:id="997" w:name="_Toc389065314"/>
      <w:bookmarkStart w:id="998" w:name="_Toc373478396"/>
      <w:bookmarkStart w:id="999" w:name="_Toc78449838"/>
      <w:bookmarkStart w:id="1000" w:name="_Toc1894565429"/>
      <w:bookmarkStart w:id="1001" w:name="_Toc373227749"/>
      <w:bookmarkStart w:id="1002" w:name="_Toc12368"/>
      <w:bookmarkStart w:id="1003" w:name="_Toc297216212"/>
      <w:bookmarkStart w:id="1004" w:name="_Toc304295580"/>
      <w:bookmarkStart w:id="1005" w:name="_Toc312678041"/>
      <w:bookmarkStart w:id="1006" w:name="_Toc300935003"/>
      <w:bookmarkStart w:id="1007" w:name="_Toc297123553"/>
      <w:bookmarkStart w:id="1008" w:name="_Toc303539160"/>
      <w:r>
        <w:rPr>
          <w:color w:val="auto"/>
          <w:highlight w:val="none"/>
        </w:rPr>
        <w:t xml:space="preserve">12.1 </w:t>
      </w:r>
      <w:r>
        <w:rPr>
          <w:rFonts w:hint="eastAsia" w:hAnsi="宋体" w:cs="黑体"/>
          <w:color w:val="auto"/>
          <w:highlight w:val="none"/>
        </w:rPr>
        <w:t>合</w:t>
      </w:r>
      <w:bookmarkEnd w:id="984"/>
      <w:bookmarkEnd w:id="985"/>
      <w:bookmarkEnd w:id="986"/>
      <w:r>
        <w:rPr>
          <w:rFonts w:hint="eastAsia" w:hAnsi="宋体" w:cs="黑体"/>
          <w:color w:val="auto"/>
          <w:highlight w:val="none"/>
        </w:rPr>
        <w:t>同价</w:t>
      </w:r>
      <w:bookmarkEnd w:id="987"/>
      <w:bookmarkEnd w:id="988"/>
      <w:bookmarkEnd w:id="989"/>
      <w:bookmarkEnd w:id="990"/>
      <w:bookmarkEnd w:id="991"/>
      <w:bookmarkEnd w:id="992"/>
      <w:bookmarkEnd w:id="993"/>
      <w:bookmarkEnd w:id="994"/>
      <w:r>
        <w:rPr>
          <w:rFonts w:hint="eastAsia" w:hAnsi="宋体" w:cs="黑体"/>
          <w:color w:val="auto"/>
          <w:highlight w:val="none"/>
        </w:rPr>
        <w:t>格形式</w:t>
      </w:r>
      <w:bookmarkEnd w:id="995"/>
      <w:bookmarkEnd w:id="996"/>
      <w:bookmarkEnd w:id="997"/>
      <w:bookmarkEnd w:id="998"/>
      <w:bookmarkEnd w:id="999"/>
      <w:bookmarkEnd w:id="1000"/>
      <w:bookmarkEnd w:id="1001"/>
      <w:bookmarkEnd w:id="1002"/>
    </w:p>
    <w:bookmarkEnd w:id="1003"/>
    <w:bookmarkEnd w:id="1004"/>
    <w:bookmarkEnd w:id="1005"/>
    <w:bookmarkEnd w:id="1006"/>
    <w:bookmarkEnd w:id="1007"/>
    <w:bookmarkEnd w:id="1008"/>
    <w:p w14:paraId="4BA3BFDE">
      <w:pPr>
        <w:spacing w:line="360" w:lineRule="auto"/>
        <w:ind w:firstLine="420" w:firstLineChars="200"/>
        <w:jc w:val="left"/>
        <w:rPr>
          <w:rFonts w:hint="eastAsia" w:hAnsi="宋体" w:cs="宋体"/>
          <w:color w:val="auto"/>
          <w:highlight w:val="none"/>
        </w:rPr>
      </w:pPr>
      <w:bookmarkStart w:id="1009" w:name="_Toc373478397"/>
      <w:bookmarkStart w:id="1010" w:name="_Toc389065315"/>
      <w:bookmarkStart w:id="1011" w:name="_Toc373227750"/>
      <w:bookmarkStart w:id="1012" w:name="_Toc297216213"/>
      <w:bookmarkStart w:id="1013" w:name="_Toc300935004"/>
      <w:bookmarkStart w:id="1014" w:name="_Toc312678042"/>
      <w:bookmarkStart w:id="1015" w:name="_Toc304295581"/>
      <w:bookmarkStart w:id="1016" w:name="_Toc297123554"/>
      <w:bookmarkStart w:id="1017" w:name="_Toc303539161"/>
      <w:bookmarkStart w:id="1018" w:name="_Toc292559917"/>
      <w:bookmarkStart w:id="1019" w:name="_Toc296503207"/>
      <w:bookmarkStart w:id="1020" w:name="_Toc296891035"/>
      <w:bookmarkStart w:id="1021" w:name="_Toc297120507"/>
      <w:bookmarkStart w:id="1022" w:name="_Toc297048393"/>
      <w:bookmarkStart w:id="1023" w:name="_Toc296347206"/>
      <w:bookmarkStart w:id="1024" w:name="_Toc296944546"/>
      <w:bookmarkStart w:id="1025" w:name="_Toc296891247"/>
      <w:bookmarkStart w:id="1026" w:name="_Toc296346708"/>
      <w:bookmarkStart w:id="1027" w:name="_Toc292559412"/>
      <w:r>
        <w:rPr>
          <w:rFonts w:hint="eastAsia" w:hAnsi="宋体" w:cs="宋体"/>
          <w:color w:val="auto"/>
          <w:highlight w:val="none"/>
        </w:rPr>
        <w:t>12.1.1本工程采用第</w:t>
      </w:r>
      <w:r>
        <w:rPr>
          <w:rFonts w:hint="eastAsia" w:hAnsi="宋体" w:cs="宋体"/>
          <w:color w:val="auto"/>
          <w:highlight w:val="none"/>
          <w:u w:val="single"/>
        </w:rPr>
        <w:t xml:space="preserve"> </w:t>
      </w:r>
      <w:r>
        <w:rPr>
          <w:rFonts w:hint="eastAsia" w:hAnsi="宋体" w:cs="宋体"/>
          <w:color w:val="auto"/>
          <w:highlight w:val="none"/>
          <w:u w:val="single"/>
          <w:lang w:val="en-US" w:eastAsia="zh-CN"/>
        </w:rPr>
        <w:t>一</w:t>
      </w:r>
      <w:r>
        <w:rPr>
          <w:rFonts w:hint="eastAsia" w:hAnsi="宋体" w:cs="宋体"/>
          <w:color w:val="auto"/>
          <w:highlight w:val="none"/>
        </w:rPr>
        <w:t xml:space="preserve"> 种合同价格形式，合同价格包含增值税。</w:t>
      </w:r>
    </w:p>
    <w:p w14:paraId="52B1B3EF">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第一种方式：单价合同。</w:t>
      </w:r>
    </w:p>
    <w:p w14:paraId="780C1A11">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第二种方式：总价合同。</w:t>
      </w:r>
    </w:p>
    <w:p w14:paraId="254EB57F">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 xml:space="preserve">第三种方式：其他价格方式：  </w:t>
      </w:r>
      <w:r>
        <w:rPr>
          <w:rFonts w:hint="eastAsia" w:hAnsi="宋体" w:cs="宋体"/>
          <w:color w:val="auto"/>
          <w:highlight w:val="none"/>
          <w:u w:val="single"/>
        </w:rPr>
        <w:t xml:space="preserve"> </w:t>
      </w:r>
      <w:r>
        <w:rPr>
          <w:rFonts w:hint="eastAsia" w:hAnsi="宋体" w:cs="宋体"/>
          <w:color w:val="auto"/>
          <w:highlight w:val="none"/>
          <w:u w:val="single"/>
          <w:lang w:val="en-US" w:eastAsia="zh-CN"/>
        </w:rPr>
        <w:t>/</w:t>
      </w:r>
      <w:r>
        <w:rPr>
          <w:rFonts w:hint="eastAsia" w:hAnsi="宋体" w:cs="宋体"/>
          <w:color w:val="auto"/>
          <w:highlight w:val="none"/>
          <w:lang w:eastAsia="zh-CN"/>
        </w:rPr>
        <w:t>（如果约定采用单价合同及总价合同以外的合同价格形式，应详细约定合同价格确定方法及合同价格调整法</w:t>
      </w:r>
      <w:r>
        <w:rPr>
          <w:rFonts w:hint="eastAsia" w:hAnsi="宋体" w:cs="宋体"/>
          <w:color w:val="auto"/>
          <w:highlight w:val="none"/>
        </w:rPr>
        <w:t xml:space="preserve"> </w:t>
      </w:r>
      <w:r>
        <w:rPr>
          <w:rFonts w:hint="eastAsia" w:hAnsi="宋体" w:cs="宋体"/>
          <w:color w:val="auto"/>
          <w:highlight w:val="none"/>
          <w:lang w:eastAsia="zh-CN"/>
        </w:rPr>
        <w:t>）</w:t>
      </w:r>
      <w:r>
        <w:rPr>
          <w:rFonts w:hint="eastAsia" w:hAnsi="宋体" w:cs="宋体"/>
          <w:color w:val="auto"/>
          <w:highlight w:val="none"/>
        </w:rPr>
        <w:t>。</w:t>
      </w:r>
    </w:p>
    <w:p w14:paraId="337B86C7">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12.1.2 合同价格调整事项</w:t>
      </w:r>
    </w:p>
    <w:p w14:paraId="652CB88B">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合同履行过</w:t>
      </w:r>
      <w:r>
        <w:rPr>
          <w:rFonts w:hint="eastAsia" w:hAnsi="宋体" w:cs="宋体"/>
          <w:color w:val="auto"/>
          <w:highlight w:val="none"/>
          <w:lang w:eastAsia="zh-CN"/>
        </w:rPr>
        <w:t>程中</w:t>
      </w:r>
      <w:r>
        <w:rPr>
          <w:rFonts w:hint="eastAsia" w:hAnsi="宋体" w:cs="宋体"/>
          <w:color w:val="auto"/>
          <w:highlight w:val="none"/>
        </w:rPr>
        <w:t>发生下列事项，发承包双方应按本合同相关条款约定调整合同价格：</w:t>
      </w:r>
    </w:p>
    <w:p w14:paraId="56434411">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（1）工程量清单缺陷；（2）暂列金额；（3）暂估价；（4）总承包服务费；（5）零星签证；（6）物价变化；（7）法律法规及政策性变化；（8）工程变更；</w:t>
      </w:r>
      <w:r>
        <w:rPr>
          <w:rFonts w:hint="eastAsia" w:hAnsi="宋体" w:cs="宋体"/>
          <w:color w:val="auto"/>
          <w:highlight w:val="none"/>
          <w:lang w:eastAsia="zh-CN"/>
        </w:rPr>
        <w:t>（</w:t>
      </w:r>
      <w:r>
        <w:rPr>
          <w:rFonts w:hint="eastAsia" w:hAnsi="宋体" w:cs="宋体"/>
          <w:color w:val="auto"/>
          <w:highlight w:val="none"/>
          <w:lang w:val="en-US" w:eastAsia="zh-CN"/>
        </w:rPr>
        <w:t>9</w:t>
      </w:r>
      <w:r>
        <w:rPr>
          <w:rFonts w:hint="eastAsia" w:hAnsi="宋体" w:cs="宋体"/>
          <w:color w:val="auto"/>
          <w:highlight w:val="none"/>
          <w:lang w:eastAsia="zh-CN"/>
        </w:rPr>
        <w:t>）新增工程；</w:t>
      </w:r>
      <w:r>
        <w:rPr>
          <w:rFonts w:hint="eastAsia" w:hAnsi="宋体" w:cs="宋体"/>
          <w:color w:val="auto"/>
          <w:highlight w:val="none"/>
        </w:rPr>
        <w:t>（</w:t>
      </w:r>
      <w:r>
        <w:rPr>
          <w:rFonts w:hint="eastAsia" w:hAnsi="宋体" w:cs="宋体"/>
          <w:color w:val="auto"/>
          <w:highlight w:val="none"/>
          <w:lang w:val="en-US" w:eastAsia="zh-CN"/>
        </w:rPr>
        <w:t>10</w:t>
      </w:r>
      <w:r>
        <w:rPr>
          <w:rFonts w:hint="eastAsia" w:hAnsi="宋体" w:cs="宋体"/>
          <w:color w:val="auto"/>
          <w:highlight w:val="none"/>
        </w:rPr>
        <w:t>）工程索赔；（1</w:t>
      </w:r>
      <w:r>
        <w:rPr>
          <w:rFonts w:hint="eastAsia" w:hAnsi="宋体" w:cs="宋体"/>
          <w:color w:val="auto"/>
          <w:highlight w:val="none"/>
          <w:lang w:val="en-US" w:eastAsia="zh-CN"/>
        </w:rPr>
        <w:t>1</w:t>
      </w:r>
      <w:r>
        <w:rPr>
          <w:rFonts w:hint="eastAsia" w:hAnsi="宋体" w:cs="宋体"/>
          <w:color w:val="auto"/>
          <w:highlight w:val="none"/>
        </w:rPr>
        <w:t>） 发承包双方约定的其他调整事项：</w:t>
      </w:r>
      <w:r>
        <w:rPr>
          <w:rFonts w:hint="eastAsia" w:hAnsi="宋体" w:cs="宋体"/>
          <w:color w:val="auto"/>
          <w:highlight w:val="none"/>
          <w:u w:val="single"/>
        </w:rPr>
        <w:t xml:space="preserve">   </w:t>
      </w:r>
      <w:r>
        <w:rPr>
          <w:rFonts w:hint="eastAsia" w:hAnsi="宋体" w:cs="宋体"/>
          <w:color w:val="auto"/>
          <w:highlight w:val="none"/>
          <w:u w:val="single"/>
          <w:lang w:val="en-US" w:eastAsia="zh-CN"/>
        </w:rPr>
        <w:t xml:space="preserve"> </w:t>
      </w:r>
      <w:r>
        <w:rPr>
          <w:rFonts w:hint="eastAsia" w:hAnsi="宋体" w:cs="宋体"/>
          <w:color w:val="auto"/>
          <w:highlight w:val="none"/>
          <w:u w:val="single"/>
        </w:rPr>
        <w:t xml:space="preserve">     </w:t>
      </w:r>
      <w:r>
        <w:rPr>
          <w:rFonts w:hint="eastAsia" w:hAnsi="宋体" w:cs="宋体"/>
          <w:color w:val="auto"/>
          <w:highlight w:val="none"/>
        </w:rPr>
        <w:t>。</w:t>
      </w:r>
    </w:p>
    <w:p w14:paraId="33F64813">
      <w:pPr>
        <w:spacing w:line="360" w:lineRule="auto"/>
        <w:outlineLvl w:val="9"/>
        <w:rPr>
          <w:color w:val="auto"/>
          <w:highlight w:val="none"/>
        </w:rPr>
      </w:pPr>
      <w:bookmarkStart w:id="1028" w:name="_Toc1681900246"/>
      <w:bookmarkStart w:id="1029" w:name="_Toc78449839"/>
      <w:bookmarkStart w:id="1030" w:name="_Toc13852"/>
      <w:bookmarkStart w:id="1031" w:name="_Toc407135253"/>
      <w:bookmarkStart w:id="1032" w:name="_Toc20258"/>
      <w:r>
        <w:rPr>
          <w:color w:val="auto"/>
          <w:highlight w:val="none"/>
        </w:rPr>
        <w:t xml:space="preserve">12.2 </w:t>
      </w:r>
      <w:r>
        <w:rPr>
          <w:rFonts w:hint="eastAsia" w:hAnsi="宋体" w:cs="黑体"/>
          <w:color w:val="auto"/>
          <w:highlight w:val="none"/>
        </w:rPr>
        <w:t>预付款</w:t>
      </w:r>
      <w:bookmarkEnd w:id="1009"/>
      <w:bookmarkEnd w:id="1010"/>
      <w:bookmarkEnd w:id="1011"/>
      <w:bookmarkEnd w:id="1028"/>
      <w:bookmarkEnd w:id="1029"/>
      <w:bookmarkEnd w:id="1030"/>
      <w:bookmarkEnd w:id="1031"/>
      <w:bookmarkEnd w:id="1032"/>
    </w:p>
    <w:bookmarkEnd w:id="1012"/>
    <w:bookmarkEnd w:id="1013"/>
    <w:bookmarkEnd w:id="1014"/>
    <w:bookmarkEnd w:id="1015"/>
    <w:bookmarkEnd w:id="1016"/>
    <w:bookmarkEnd w:id="1017"/>
    <w:p w14:paraId="314C7503">
      <w:pPr>
        <w:spacing w:line="360" w:lineRule="auto"/>
        <w:ind w:firstLine="420" w:firstLineChars="200"/>
        <w:jc w:val="left"/>
        <w:rPr>
          <w:color w:val="auto"/>
          <w:highlight w:val="none"/>
        </w:rPr>
      </w:pPr>
      <w:r>
        <w:rPr>
          <w:color w:val="auto"/>
          <w:highlight w:val="none"/>
        </w:rPr>
        <w:t xml:space="preserve">12.2.1 </w:t>
      </w:r>
      <w:r>
        <w:rPr>
          <w:rFonts w:hint="eastAsia" w:hAnsi="宋体" w:cs="宋体"/>
          <w:color w:val="auto"/>
          <w:highlight w:val="none"/>
        </w:rPr>
        <w:t>预付款的支付</w:t>
      </w:r>
    </w:p>
    <w:p w14:paraId="0588EF7E">
      <w:pPr>
        <w:spacing w:line="360" w:lineRule="auto"/>
        <w:ind w:firstLine="420" w:firstLineChars="200"/>
        <w:jc w:val="left"/>
        <w:rPr>
          <w:color w:val="auto"/>
          <w:highlight w:val="none"/>
        </w:rPr>
      </w:pPr>
      <w:r>
        <w:rPr>
          <w:rFonts w:hint="eastAsia" w:hAnsi="宋体" w:cs="宋体"/>
          <w:color w:val="auto"/>
          <w:highlight w:val="none"/>
        </w:rPr>
        <w:t>预付款支付比例或金额：签订合同、具备开工条件(监理单位发出开工令；施工人员、机械及材料进场报审完毕)后支付合同价的30%作为项目预付款</w:t>
      </w:r>
      <w:r>
        <w:rPr>
          <w:rFonts w:hint="default" w:ascii="Times New Roman" w:hAnsi="Times New Roman" w:eastAsia="宋体" w:cs="Times New Roman"/>
          <w:color w:val="auto"/>
          <w:szCs w:val="21"/>
          <w:highlight w:val="none"/>
          <w:u w:val="none"/>
        </w:rPr>
        <w:t>。</w:t>
      </w:r>
    </w:p>
    <w:p w14:paraId="3B458370">
      <w:pPr>
        <w:spacing w:line="360" w:lineRule="auto"/>
        <w:ind w:firstLine="420" w:firstLineChars="200"/>
        <w:jc w:val="left"/>
        <w:rPr>
          <w:color w:val="auto"/>
          <w:highlight w:val="none"/>
        </w:rPr>
      </w:pPr>
      <w:r>
        <w:rPr>
          <w:rFonts w:hint="eastAsia" w:hAnsi="宋体" w:cs="宋体"/>
          <w:color w:val="auto"/>
          <w:highlight w:val="none"/>
        </w:rPr>
        <w:t>预付款支付期限：</w:t>
      </w:r>
      <w:r>
        <w:rPr>
          <w:rFonts w:hint="eastAsia"/>
          <w:color w:val="auto"/>
          <w:highlight w:val="none"/>
          <w:u w:val="single"/>
        </w:rPr>
        <w:t xml:space="preserve">合同签订后 </w:t>
      </w:r>
      <w:r>
        <w:rPr>
          <w:rFonts w:hint="eastAsia"/>
          <w:color w:val="auto"/>
          <w:highlight w:val="none"/>
          <w:u w:val="single"/>
          <w:lang w:val="en-US" w:eastAsia="zh-CN"/>
        </w:rPr>
        <w:t>15</w:t>
      </w:r>
      <w:r>
        <w:rPr>
          <w:rFonts w:hint="eastAsia"/>
          <w:color w:val="auto"/>
          <w:highlight w:val="none"/>
          <w:u w:val="single"/>
        </w:rPr>
        <w:t>天之内</w:t>
      </w:r>
      <w:r>
        <w:rPr>
          <w:rFonts w:hint="eastAsia"/>
          <w:color w:val="auto"/>
          <w:highlight w:val="none"/>
          <w:u w:val="single"/>
          <w:lang w:val="en-US" w:eastAsia="zh-CN"/>
        </w:rPr>
        <w:t>支付</w:t>
      </w:r>
      <w:r>
        <w:rPr>
          <w:color w:val="auto"/>
          <w:highlight w:val="none"/>
          <w:u w:val="single"/>
        </w:rPr>
        <w:t xml:space="preserve"> </w:t>
      </w:r>
      <w:r>
        <w:rPr>
          <w:rFonts w:hint="eastAsia" w:hAnsi="宋体" w:cs="宋体"/>
          <w:color w:val="auto"/>
          <w:highlight w:val="none"/>
        </w:rPr>
        <w:t>。</w:t>
      </w:r>
    </w:p>
    <w:p w14:paraId="0E44B16E">
      <w:pPr>
        <w:spacing w:line="360" w:lineRule="auto"/>
        <w:ind w:firstLine="420" w:firstLineChars="200"/>
        <w:jc w:val="left"/>
        <w:rPr>
          <w:rFonts w:hint="eastAsia"/>
          <w:color w:val="auto"/>
          <w:highlight w:val="none"/>
          <w:u w:val="none"/>
          <w:lang w:val="en-US" w:eastAsia="zh-CN"/>
        </w:rPr>
      </w:pPr>
      <w:r>
        <w:rPr>
          <w:rFonts w:hint="eastAsia" w:hAnsi="宋体" w:cs="宋体"/>
          <w:color w:val="auto"/>
          <w:highlight w:val="none"/>
        </w:rPr>
        <w:t>预付款扣回的方式：</w:t>
      </w:r>
      <w:r>
        <w:rPr>
          <w:rFonts w:hint="eastAsia" w:hAnsi="宋体" w:cs="宋体"/>
          <w:color w:val="auto"/>
          <w:highlight w:val="none"/>
          <w:lang w:val="en-US" w:eastAsia="zh-CN"/>
        </w:rPr>
        <w:t>支付第一次</w:t>
      </w:r>
      <w:r>
        <w:rPr>
          <w:rFonts w:hint="eastAsia"/>
          <w:color w:val="auto"/>
          <w:highlight w:val="none"/>
          <w:u w:val="single"/>
        </w:rPr>
        <w:t>进度款</w:t>
      </w:r>
      <w:r>
        <w:rPr>
          <w:rFonts w:hint="eastAsia"/>
          <w:color w:val="auto"/>
          <w:highlight w:val="none"/>
          <w:u w:val="single"/>
          <w:lang w:val="en-US" w:eastAsia="zh-CN"/>
        </w:rPr>
        <w:t>时一次性扣回</w:t>
      </w:r>
      <w:r>
        <w:rPr>
          <w:rFonts w:hint="eastAsia"/>
          <w:color w:val="auto"/>
          <w:highlight w:val="none"/>
          <w:u w:val="single"/>
          <w:lang w:eastAsia="zh-CN"/>
        </w:rPr>
        <w:t>，</w:t>
      </w:r>
      <w:r>
        <w:rPr>
          <w:rFonts w:hint="eastAsia"/>
          <w:color w:val="auto"/>
          <w:highlight w:val="none"/>
          <w:u w:val="single"/>
        </w:rPr>
        <w:t>扣回</w:t>
      </w:r>
      <w:r>
        <w:rPr>
          <w:rFonts w:hint="eastAsia"/>
          <w:color w:val="auto"/>
          <w:highlight w:val="none"/>
          <w:u w:val="none"/>
          <w:lang w:eastAsia="zh-CN"/>
        </w:rPr>
        <w:t>金额或计算办法：</w:t>
      </w:r>
      <w:r>
        <w:rPr>
          <w:rFonts w:hint="eastAsia"/>
          <w:color w:val="auto"/>
          <w:highlight w:val="none"/>
          <w:u w:val="none"/>
          <w:lang w:val="en-US" w:eastAsia="zh-CN"/>
        </w:rPr>
        <w:t xml:space="preserve"> </w:t>
      </w:r>
    </w:p>
    <w:p w14:paraId="3382AC54">
      <w:pPr>
        <w:spacing w:line="360" w:lineRule="auto"/>
        <w:ind w:firstLine="420" w:firstLineChars="200"/>
        <w:jc w:val="left"/>
        <w:rPr>
          <w:rFonts w:hint="eastAsia"/>
          <w:color w:val="auto"/>
          <w:highlight w:val="none"/>
          <w:u w:val="none"/>
          <w:lang w:val="en-US" w:eastAsia="zh-CN"/>
        </w:rPr>
      </w:pPr>
      <w:r>
        <w:rPr>
          <w:rFonts w:hint="eastAsia"/>
          <w:color w:val="auto"/>
          <w:highlight w:val="none"/>
          <w:u w:val="none"/>
          <w:lang w:val="en-US" w:eastAsia="zh-CN"/>
        </w:rPr>
        <w:sym w:font="Wingdings 2" w:char="00A3"/>
      </w:r>
      <w:r>
        <w:rPr>
          <w:rFonts w:hint="eastAsia"/>
          <w:color w:val="auto"/>
          <w:highlight w:val="none"/>
          <w:u w:val="none"/>
          <w:lang w:val="en-US" w:eastAsia="zh-CN"/>
        </w:rPr>
        <w:t>按（预付款/剩余计量周期）计算每个计量周期扣回额；</w:t>
      </w:r>
    </w:p>
    <w:p w14:paraId="30DC5FF4">
      <w:pPr>
        <w:spacing w:line="360" w:lineRule="auto"/>
        <w:ind w:firstLine="420" w:firstLineChars="200"/>
        <w:jc w:val="left"/>
        <w:rPr>
          <w:color w:val="auto"/>
          <w:highlight w:val="none"/>
        </w:rPr>
      </w:pPr>
      <w:r>
        <w:rPr>
          <w:rFonts w:hint="eastAsia"/>
          <w:color w:val="auto"/>
          <w:highlight w:val="none"/>
          <w:u w:val="none"/>
          <w:lang w:val="en-US" w:eastAsia="zh-CN"/>
        </w:rPr>
        <w:sym w:font="Wingdings 2" w:char="0052"/>
      </w:r>
      <w:r>
        <w:rPr>
          <w:rFonts w:hint="eastAsia"/>
          <w:color w:val="auto"/>
          <w:highlight w:val="none"/>
          <w:u w:val="none"/>
          <w:lang w:val="en-US" w:eastAsia="zh-CN"/>
        </w:rPr>
        <w:t>按预付款的100%分1次扣回，扣完为止</w:t>
      </w:r>
      <w:r>
        <w:rPr>
          <w:rFonts w:hint="eastAsia" w:hAnsi="宋体" w:cs="宋体"/>
          <w:color w:val="auto"/>
          <w:highlight w:val="none"/>
        </w:rPr>
        <w:t>。</w:t>
      </w:r>
    </w:p>
    <w:p w14:paraId="54E2B6A6">
      <w:pPr>
        <w:spacing w:line="360" w:lineRule="auto"/>
        <w:ind w:firstLine="420" w:firstLineChars="200"/>
        <w:jc w:val="left"/>
        <w:rPr>
          <w:color w:val="auto"/>
          <w:highlight w:val="none"/>
        </w:rPr>
      </w:pPr>
      <w:r>
        <w:rPr>
          <w:color w:val="auto"/>
          <w:highlight w:val="none"/>
        </w:rPr>
        <w:t xml:space="preserve">12.2.2 </w:t>
      </w:r>
      <w:r>
        <w:rPr>
          <w:rFonts w:hint="eastAsia" w:hAnsi="宋体" w:cs="宋体"/>
          <w:color w:val="auto"/>
          <w:highlight w:val="none"/>
        </w:rPr>
        <w:t>预付款担保</w:t>
      </w:r>
    </w:p>
    <w:p w14:paraId="43142404">
      <w:pPr>
        <w:spacing w:line="360" w:lineRule="auto"/>
        <w:ind w:firstLine="420" w:firstLineChars="200"/>
        <w:jc w:val="left"/>
        <w:rPr>
          <w:color w:val="auto"/>
          <w:highlight w:val="none"/>
        </w:rPr>
      </w:pPr>
      <w:r>
        <w:rPr>
          <w:rFonts w:hint="eastAsia" w:hAnsi="宋体" w:cs="宋体"/>
          <w:color w:val="auto"/>
          <w:highlight w:val="none"/>
        </w:rPr>
        <w:t>承包人提交预付款担保的期限：</w:t>
      </w:r>
      <w:r>
        <w:rPr>
          <w:rFonts w:hint="eastAsia" w:hAnsi="宋体" w:cs="宋体"/>
          <w:color w:val="auto"/>
          <w:highlight w:val="none"/>
          <w:lang w:val="en-US" w:eastAsia="zh-CN"/>
        </w:rPr>
        <w:t xml:space="preserve">  / </w:t>
      </w:r>
      <w:r>
        <w:rPr>
          <w:rFonts w:hint="eastAsia"/>
          <w:color w:val="auto"/>
          <w:highlight w:val="none"/>
          <w:u w:val="single"/>
        </w:rPr>
        <w:t>。</w:t>
      </w:r>
    </w:p>
    <w:p w14:paraId="5382B174">
      <w:pPr>
        <w:spacing w:line="360" w:lineRule="auto"/>
        <w:ind w:firstLine="420" w:firstLineChars="200"/>
        <w:jc w:val="left"/>
        <w:rPr>
          <w:rFonts w:hint="eastAsia" w:ascii="Times New Roman" w:hAnsi="宋体" w:eastAsia="宋体" w:cs="宋体"/>
          <w:color w:val="auto"/>
          <w:highlight w:val="none"/>
        </w:rPr>
      </w:pPr>
      <w:r>
        <w:rPr>
          <w:rFonts w:hint="eastAsia" w:hAnsi="宋体" w:cs="宋体"/>
          <w:color w:val="auto"/>
          <w:highlight w:val="none"/>
        </w:rPr>
        <w:t>预付款担保的形式为：</w:t>
      </w:r>
      <w:r>
        <w:rPr>
          <w:rFonts w:hint="eastAsia"/>
          <w:color w:val="auto"/>
          <w:highlight w:val="none"/>
          <w:u w:val="single"/>
          <w:lang w:val="en-US" w:eastAsia="zh-CN"/>
        </w:rPr>
        <w:t>不需要</w:t>
      </w:r>
      <w:r>
        <w:rPr>
          <w:rFonts w:hint="eastAsia"/>
          <w:color w:val="auto"/>
          <w:highlight w:val="none"/>
          <w:u w:val="single"/>
        </w:rPr>
        <w:t>提交预付款保函</w:t>
      </w:r>
      <w:r>
        <w:rPr>
          <w:rFonts w:hint="eastAsia" w:ascii="Times New Roman" w:hAnsi="宋体" w:eastAsia="宋体" w:cs="宋体"/>
          <w:color w:val="auto"/>
          <w:highlight w:val="none"/>
          <w:lang w:eastAsia="zh-CN"/>
        </w:rPr>
        <w:t>。</w:t>
      </w:r>
    </w:p>
    <w:p w14:paraId="76108551">
      <w:pPr>
        <w:spacing w:line="360" w:lineRule="auto"/>
        <w:ind w:firstLine="420" w:firstLineChars="200"/>
        <w:jc w:val="left"/>
        <w:rPr>
          <w:color w:val="auto"/>
          <w:highlight w:val="none"/>
        </w:rPr>
      </w:pPr>
      <w:r>
        <w:rPr>
          <w:rFonts w:hint="eastAsia" w:ascii="宋体" w:hAnsi="宋体" w:cs="宋体"/>
          <w:color w:val="auto"/>
          <w:highlight w:val="none"/>
        </w:rPr>
        <w:t>预付款担保格式见合同附件8。预付款支付申请（核准）表见合同附件10</w:t>
      </w:r>
    </w:p>
    <w:bookmarkEnd w:id="1018"/>
    <w:bookmarkEnd w:id="1019"/>
    <w:bookmarkEnd w:id="1020"/>
    <w:bookmarkEnd w:id="1021"/>
    <w:bookmarkEnd w:id="1022"/>
    <w:bookmarkEnd w:id="1023"/>
    <w:bookmarkEnd w:id="1024"/>
    <w:bookmarkEnd w:id="1025"/>
    <w:bookmarkEnd w:id="1026"/>
    <w:bookmarkEnd w:id="1027"/>
    <w:p w14:paraId="64F8913A">
      <w:pPr>
        <w:spacing w:line="360" w:lineRule="auto"/>
        <w:outlineLvl w:val="9"/>
        <w:rPr>
          <w:color w:val="auto"/>
          <w:highlight w:val="none"/>
        </w:rPr>
      </w:pPr>
      <w:bookmarkStart w:id="1033" w:name="_Toc373478398"/>
      <w:bookmarkStart w:id="1034" w:name="_Toc1494831447"/>
      <w:bookmarkStart w:id="1035" w:name="_Toc12933"/>
      <w:bookmarkStart w:id="1036" w:name="_Toc6734"/>
      <w:bookmarkStart w:id="1037" w:name="_Toc78449840"/>
      <w:bookmarkStart w:id="1038" w:name="_Toc407135254"/>
      <w:bookmarkStart w:id="1039" w:name="_Toc389065316"/>
      <w:bookmarkStart w:id="1040" w:name="_Toc373227751"/>
      <w:r>
        <w:rPr>
          <w:color w:val="auto"/>
          <w:highlight w:val="none"/>
        </w:rPr>
        <w:t xml:space="preserve">12.3 </w:t>
      </w:r>
      <w:r>
        <w:rPr>
          <w:rFonts w:hint="eastAsia" w:hAnsi="宋体" w:cs="黑体"/>
          <w:color w:val="auto"/>
          <w:highlight w:val="none"/>
        </w:rPr>
        <w:t>计量</w:t>
      </w:r>
      <w:bookmarkEnd w:id="1033"/>
      <w:bookmarkEnd w:id="1034"/>
      <w:bookmarkEnd w:id="1035"/>
      <w:bookmarkEnd w:id="1036"/>
      <w:bookmarkEnd w:id="1037"/>
      <w:bookmarkEnd w:id="1038"/>
      <w:bookmarkEnd w:id="1039"/>
      <w:bookmarkEnd w:id="1040"/>
    </w:p>
    <w:p w14:paraId="3191E9D3">
      <w:pPr>
        <w:spacing w:line="360" w:lineRule="auto"/>
        <w:ind w:firstLine="420" w:firstLineChars="200"/>
        <w:jc w:val="left"/>
        <w:rPr>
          <w:color w:val="auto"/>
          <w:highlight w:val="none"/>
        </w:rPr>
      </w:pPr>
      <w:r>
        <w:rPr>
          <w:color w:val="auto"/>
          <w:highlight w:val="none"/>
        </w:rPr>
        <w:t xml:space="preserve">12.3.1 </w:t>
      </w:r>
      <w:r>
        <w:rPr>
          <w:rFonts w:hint="eastAsia" w:hAnsi="宋体" w:cs="宋体"/>
          <w:color w:val="auto"/>
          <w:highlight w:val="none"/>
        </w:rPr>
        <w:t>计量原则</w:t>
      </w:r>
    </w:p>
    <w:p w14:paraId="0DA654C3">
      <w:pPr>
        <w:spacing w:line="360" w:lineRule="auto"/>
        <w:ind w:firstLine="420" w:firstLineChars="200"/>
        <w:jc w:val="left"/>
        <w:rPr>
          <w:color w:val="auto"/>
          <w:highlight w:val="none"/>
        </w:rPr>
      </w:pPr>
      <w:r>
        <w:rPr>
          <w:rFonts w:hint="eastAsia" w:hAnsi="宋体" w:cs="宋体"/>
          <w:color w:val="auto"/>
          <w:highlight w:val="none"/>
        </w:rPr>
        <w:t>合同工程应以承包人按合同要求已完成且应予计量的工程进行计量。工程量计算规则：工程的计量均以《广西壮族自治区建设工程全过程计价规范》《广西壮族自治区建设工程多层级工程量清单计算规范》及本工程补充项目清单计量规则为准。</w:t>
      </w:r>
    </w:p>
    <w:p w14:paraId="50507069">
      <w:pPr>
        <w:spacing w:line="360" w:lineRule="auto"/>
        <w:ind w:firstLine="420" w:firstLineChars="200"/>
        <w:jc w:val="left"/>
        <w:rPr>
          <w:rFonts w:hint="eastAsia" w:eastAsia="宋体"/>
          <w:color w:val="auto"/>
          <w:highlight w:val="none"/>
          <w:lang w:val="en-US" w:eastAsia="zh-CN"/>
        </w:rPr>
      </w:pPr>
      <w:r>
        <w:rPr>
          <w:color w:val="auto"/>
          <w:highlight w:val="none"/>
        </w:rPr>
        <w:t xml:space="preserve">12.3.2 </w:t>
      </w:r>
      <w:r>
        <w:rPr>
          <w:rFonts w:hint="eastAsia" w:hAnsi="宋体" w:cs="宋体"/>
          <w:color w:val="auto"/>
          <w:highlight w:val="none"/>
        </w:rPr>
        <w:t>计量周期</w:t>
      </w:r>
    </w:p>
    <w:p w14:paraId="0C809F1C">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发承包双方按以下第</w:t>
      </w:r>
      <w:r>
        <w:rPr>
          <w:rFonts w:hint="eastAsia" w:hAnsi="宋体" w:cs="宋体"/>
          <w:color w:val="auto"/>
          <w:highlight w:val="none"/>
          <w:u w:val="single"/>
        </w:rPr>
        <w:t xml:space="preserve"> </w:t>
      </w:r>
      <w:r>
        <w:rPr>
          <w:rFonts w:hint="eastAsia" w:hAnsi="宋体" w:cs="宋体"/>
          <w:color w:val="auto"/>
          <w:highlight w:val="none"/>
          <w:u w:val="single"/>
          <w:lang w:val="en-US" w:eastAsia="zh-CN"/>
        </w:rPr>
        <w:t xml:space="preserve">一 </w:t>
      </w:r>
      <w:r>
        <w:rPr>
          <w:rFonts w:hint="eastAsia" w:hAnsi="宋体" w:cs="宋体"/>
          <w:color w:val="auto"/>
          <w:highlight w:val="none"/>
          <w:u w:val="single"/>
        </w:rPr>
        <w:t xml:space="preserve"> </w:t>
      </w:r>
      <w:r>
        <w:rPr>
          <w:rFonts w:hint="eastAsia" w:hAnsi="宋体" w:cs="宋体"/>
          <w:color w:val="auto"/>
          <w:highlight w:val="none"/>
        </w:rPr>
        <w:t>种方式</w:t>
      </w:r>
      <w:r>
        <w:rPr>
          <w:rFonts w:hint="eastAsia" w:hAnsi="宋体" w:cs="宋体"/>
          <w:color w:val="auto"/>
          <w:highlight w:val="none"/>
          <w:lang w:eastAsia="zh-CN"/>
        </w:rPr>
        <w:t>（总价合同推荐使用第三种方式）</w:t>
      </w:r>
      <w:r>
        <w:rPr>
          <w:rFonts w:hint="eastAsia" w:hAnsi="宋体" w:cs="宋体"/>
          <w:color w:val="auto"/>
          <w:highlight w:val="none"/>
        </w:rPr>
        <w:t>确定计量周期：</w:t>
      </w:r>
    </w:p>
    <w:p w14:paraId="3FF52021">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第一种方式：按月计量。承包人应于每月</w:t>
      </w:r>
      <w:r>
        <w:rPr>
          <w:rFonts w:hint="eastAsia" w:hAnsi="宋体" w:cs="宋体"/>
          <w:color w:val="auto"/>
          <w:highlight w:val="none"/>
          <w:u w:val="single"/>
        </w:rPr>
        <w:t xml:space="preserve"> </w:t>
      </w:r>
      <w:r>
        <w:rPr>
          <w:rFonts w:hint="eastAsia" w:hAnsi="宋体" w:cs="宋体"/>
          <w:color w:val="auto"/>
          <w:highlight w:val="none"/>
          <w:u w:val="single"/>
          <w:lang w:val="en-US" w:eastAsia="zh-CN"/>
        </w:rPr>
        <w:t>25</w:t>
      </w:r>
      <w:r>
        <w:rPr>
          <w:rFonts w:hint="eastAsia" w:hAnsi="宋体" w:cs="宋体"/>
          <w:color w:val="auto"/>
          <w:highlight w:val="none"/>
        </w:rPr>
        <w:t>日前向发包人书面报送上月</w:t>
      </w:r>
      <w:r>
        <w:rPr>
          <w:rFonts w:hint="eastAsia" w:hAnsi="宋体" w:cs="宋体"/>
          <w:color w:val="auto"/>
          <w:highlight w:val="none"/>
          <w:u w:val="single"/>
        </w:rPr>
        <w:t xml:space="preserve"> </w:t>
      </w:r>
      <w:r>
        <w:rPr>
          <w:rFonts w:hint="eastAsia" w:hAnsi="宋体" w:cs="宋体"/>
          <w:color w:val="auto"/>
          <w:highlight w:val="none"/>
          <w:u w:val="single"/>
          <w:lang w:val="en-US" w:eastAsia="zh-CN"/>
        </w:rPr>
        <w:t>1</w:t>
      </w:r>
      <w:r>
        <w:rPr>
          <w:rFonts w:hint="eastAsia" w:hAnsi="宋体" w:cs="宋体"/>
          <w:color w:val="auto"/>
          <w:highlight w:val="none"/>
        </w:rPr>
        <w:t>日至当月</w:t>
      </w:r>
      <w:r>
        <w:rPr>
          <w:rFonts w:hint="eastAsia" w:hAnsi="宋体" w:cs="宋体"/>
          <w:color w:val="auto"/>
          <w:highlight w:val="none"/>
          <w:u w:val="single"/>
          <w:lang w:val="en-US" w:eastAsia="zh-CN"/>
        </w:rPr>
        <w:t>1</w:t>
      </w:r>
      <w:r>
        <w:rPr>
          <w:rFonts w:hint="eastAsia" w:hAnsi="宋体" w:cs="宋体"/>
          <w:color w:val="auto"/>
          <w:highlight w:val="none"/>
          <w:u w:val="single"/>
        </w:rPr>
        <w:t xml:space="preserve"> </w:t>
      </w:r>
      <w:r>
        <w:rPr>
          <w:rFonts w:hint="eastAsia" w:hAnsi="宋体" w:cs="宋体"/>
          <w:color w:val="auto"/>
          <w:highlight w:val="none"/>
        </w:rPr>
        <w:t>日已完成的工程量报告，并附进度付款申请单、已完成工程量报表和有关资料。</w:t>
      </w:r>
    </w:p>
    <w:p w14:paraId="40BD54DF">
      <w:pPr>
        <w:spacing w:line="360" w:lineRule="auto"/>
        <w:ind w:firstLine="420" w:firstLineChars="200"/>
        <w:jc w:val="left"/>
        <w:rPr>
          <w:rFonts w:hint="eastAsia" w:hAnsi="宋体" w:eastAsia="宋体" w:cs="宋体"/>
          <w:color w:val="auto"/>
          <w:highlight w:val="none"/>
          <w:lang w:eastAsia="zh-CN"/>
        </w:rPr>
      </w:pPr>
      <w:r>
        <w:rPr>
          <w:rFonts w:hint="eastAsia" w:hAnsi="宋体" w:cs="宋体"/>
          <w:color w:val="auto"/>
          <w:highlight w:val="none"/>
        </w:rPr>
        <w:t>第二种方式：</w:t>
      </w:r>
      <w:r>
        <w:rPr>
          <w:rFonts w:hint="eastAsia" w:hAnsi="宋体" w:cs="宋体"/>
          <w:color w:val="auto"/>
          <w:highlight w:val="none"/>
          <w:lang w:eastAsia="zh-CN"/>
        </w:rPr>
        <w:t>按工程形象目标进行工程计量。</w:t>
      </w:r>
      <w:r>
        <w:rPr>
          <w:rFonts w:hint="eastAsia" w:hAnsi="宋体" w:cs="宋体"/>
          <w:color w:val="auto"/>
          <w:highlight w:val="none"/>
        </w:rPr>
        <w:t>承包人应当</w:t>
      </w:r>
      <w:r>
        <w:rPr>
          <w:rFonts w:hint="eastAsia" w:hAnsi="宋体" w:cs="宋体"/>
          <w:color w:val="auto"/>
          <w:highlight w:val="none"/>
          <w:lang w:eastAsia="zh-CN"/>
        </w:rPr>
        <w:t>在工程形象目标任务完成后</w:t>
      </w:r>
      <w:r>
        <w:rPr>
          <w:rFonts w:hint="eastAsia" w:hAnsi="宋体" w:cs="宋体"/>
          <w:color w:val="auto"/>
          <w:highlight w:val="none"/>
        </w:rPr>
        <w:t>向发包人书面报送已完成的工程量报告，并附具进度付款申请单、已完成工程量报表和有关资料。</w:t>
      </w:r>
    </w:p>
    <w:p w14:paraId="359DEC8C">
      <w:pPr>
        <w:spacing w:line="360" w:lineRule="auto"/>
        <w:ind w:firstLine="420" w:firstLineChars="200"/>
        <w:jc w:val="left"/>
        <w:rPr>
          <w:rFonts w:hint="eastAsia" w:hAnsi="宋体" w:cs="宋体"/>
          <w:color w:val="auto"/>
          <w:highlight w:val="none"/>
        </w:rPr>
      </w:pPr>
      <w:r>
        <w:rPr>
          <w:rFonts w:hint="eastAsia" w:hAnsi="宋体" w:cs="宋体"/>
          <w:color w:val="auto"/>
          <w:highlight w:val="none"/>
          <w:lang w:eastAsia="zh-CN"/>
        </w:rPr>
        <w:t>第三种方式：</w:t>
      </w:r>
      <w:r>
        <w:rPr>
          <w:rFonts w:hint="eastAsia" w:hAnsi="宋体" w:cs="宋体"/>
          <w:color w:val="auto"/>
          <w:highlight w:val="none"/>
        </w:rPr>
        <w:t>按照</w:t>
      </w:r>
      <w:r>
        <w:rPr>
          <w:rFonts w:hint="eastAsia" w:hAnsi="宋体" w:cs="宋体"/>
          <w:color w:val="auto"/>
          <w:highlight w:val="none"/>
          <w:lang w:eastAsia="zh-CN"/>
        </w:rPr>
        <w:t>支付分解表支付</w:t>
      </w:r>
      <w:r>
        <w:rPr>
          <w:rFonts w:hint="eastAsia" w:hAnsi="宋体" w:cs="宋体"/>
          <w:color w:val="auto"/>
          <w:highlight w:val="none"/>
        </w:rPr>
        <w:t>。承包人应</w:t>
      </w:r>
      <w:r>
        <w:rPr>
          <w:rFonts w:hint="eastAsia" w:hAnsi="宋体" w:cs="宋体"/>
          <w:color w:val="auto"/>
          <w:highlight w:val="none"/>
          <w:lang w:eastAsia="zh-CN"/>
        </w:rPr>
        <w:t>在支付分解表上要求的工程形象进度目标任务完成后</w:t>
      </w:r>
      <w:r>
        <w:rPr>
          <w:rFonts w:hint="eastAsia" w:hAnsi="宋体" w:cs="宋体"/>
          <w:color w:val="auto"/>
          <w:highlight w:val="none"/>
        </w:rPr>
        <w:t>向发包人书面报送进度付款申请单和有关资料。</w:t>
      </w:r>
    </w:p>
    <w:p w14:paraId="5C90B39F">
      <w:pPr>
        <w:spacing w:line="360" w:lineRule="auto"/>
        <w:outlineLvl w:val="9"/>
        <w:rPr>
          <w:color w:val="auto"/>
          <w:highlight w:val="none"/>
        </w:rPr>
      </w:pPr>
      <w:bookmarkStart w:id="1041" w:name="_Toc407135255"/>
      <w:bookmarkStart w:id="1042" w:name="_Toc373478399"/>
      <w:bookmarkStart w:id="1043" w:name="_Toc389065317"/>
      <w:bookmarkStart w:id="1044" w:name="_Toc1155368667"/>
      <w:bookmarkStart w:id="1045" w:name="_Toc373227752"/>
      <w:bookmarkStart w:id="1046" w:name="_Toc4236"/>
      <w:bookmarkStart w:id="1047" w:name="_Toc78449841"/>
      <w:bookmarkStart w:id="1048" w:name="_Toc4691"/>
      <w:r>
        <w:rPr>
          <w:color w:val="auto"/>
          <w:highlight w:val="none"/>
        </w:rPr>
        <w:t xml:space="preserve">12.4 </w:t>
      </w:r>
      <w:r>
        <w:rPr>
          <w:rFonts w:hint="eastAsia" w:cs="黑体"/>
          <w:color w:val="auto"/>
          <w:highlight w:val="none"/>
        </w:rPr>
        <w:t>工程进度款支付</w:t>
      </w:r>
      <w:bookmarkEnd w:id="1041"/>
      <w:bookmarkEnd w:id="1042"/>
      <w:bookmarkEnd w:id="1043"/>
      <w:bookmarkEnd w:id="1044"/>
      <w:bookmarkEnd w:id="1045"/>
      <w:bookmarkEnd w:id="1046"/>
      <w:bookmarkEnd w:id="1047"/>
      <w:bookmarkEnd w:id="1048"/>
    </w:p>
    <w:p w14:paraId="3DB792C8">
      <w:pPr>
        <w:spacing w:line="360" w:lineRule="auto"/>
        <w:ind w:firstLine="420" w:firstLineChars="200"/>
        <w:jc w:val="left"/>
        <w:rPr>
          <w:color w:val="auto"/>
          <w:sz w:val="21"/>
          <w:szCs w:val="21"/>
          <w:highlight w:val="none"/>
        </w:rPr>
      </w:pPr>
      <w:bookmarkStart w:id="1049" w:name="_Toc300935006"/>
      <w:bookmarkStart w:id="1050" w:name="_Toc297048397"/>
      <w:bookmarkStart w:id="1051" w:name="_Toc296347210"/>
      <w:bookmarkStart w:id="1052" w:name="_Toc292559416"/>
      <w:bookmarkStart w:id="1053" w:name="_Toc296891039"/>
      <w:bookmarkStart w:id="1054" w:name="_Toc297216215"/>
      <w:bookmarkStart w:id="1055" w:name="_Toc296346712"/>
      <w:bookmarkStart w:id="1056" w:name="_Toc303539163"/>
      <w:bookmarkStart w:id="1057" w:name="_Toc296944550"/>
      <w:bookmarkStart w:id="1058" w:name="_Toc297123556"/>
      <w:bookmarkStart w:id="1059" w:name="_Toc296503211"/>
      <w:bookmarkStart w:id="1060" w:name="_Toc296891251"/>
      <w:bookmarkStart w:id="1061" w:name="_Toc297120511"/>
      <w:bookmarkStart w:id="1062" w:name="_Toc292559921"/>
      <w:r>
        <w:rPr>
          <w:rFonts w:ascii="宋体" w:hAnsi="宋体" w:eastAsia="宋体" w:cs="宋体"/>
          <w:color w:val="auto"/>
          <w:kern w:val="0"/>
          <w:sz w:val="21"/>
          <w:szCs w:val="21"/>
          <w:highlight w:val="none"/>
          <w:lang w:val="en-US" w:eastAsia="zh-CN" w:bidi="ar"/>
        </w:rPr>
        <w:t>政府机关、事业单位、国有企业建设工程进度款支付应不低于已完成工程价款的80%；同时，在确保不超出工程总概（预）算以及工程决（结）算工作顺利开展的前提下，除按合同约定保留不超过工程价款总额3%的质量保证金外，进度款支付比例可由发承包双方根据项目实际情况自行确定。在结算过程中，若发生进度款支付超出实际已完成工程价款的情况，承包单位应按规定在结算后30日内向发包单位返还多收到的工程进度款</w:t>
      </w:r>
      <w:r>
        <w:rPr>
          <w:rFonts w:hint="eastAsia" w:ascii="宋体" w:hAnsi="宋体" w:eastAsia="宋体" w:cs="宋体"/>
          <w:color w:val="auto"/>
          <w:kern w:val="0"/>
          <w:sz w:val="21"/>
          <w:szCs w:val="21"/>
          <w:highlight w:val="none"/>
          <w:lang w:val="en-US" w:eastAsia="zh-CN" w:bidi="ar"/>
        </w:rPr>
        <w:t>。</w:t>
      </w:r>
    </w:p>
    <w:p w14:paraId="7C67BCEF">
      <w:pPr>
        <w:spacing w:line="360" w:lineRule="auto"/>
        <w:ind w:firstLine="420" w:firstLineChars="200"/>
        <w:jc w:val="left"/>
        <w:rPr>
          <w:rFonts w:ascii="宋体" w:hAnsi="宋体" w:eastAsia="宋体" w:cs="宋体"/>
          <w:color w:val="auto"/>
          <w:kern w:val="0"/>
          <w:sz w:val="21"/>
          <w:szCs w:val="21"/>
          <w:highlight w:val="none"/>
          <w:lang w:val="en-US" w:eastAsia="zh-CN" w:bidi="ar"/>
        </w:rPr>
      </w:pPr>
      <w:r>
        <w:rPr>
          <w:rFonts w:ascii="宋体" w:hAnsi="宋体" w:eastAsia="宋体" w:cs="宋体"/>
          <w:color w:val="auto"/>
          <w:kern w:val="0"/>
          <w:sz w:val="21"/>
          <w:szCs w:val="21"/>
          <w:highlight w:val="none"/>
          <w:lang w:val="en-US" w:eastAsia="zh-CN" w:bidi="ar"/>
        </w:rPr>
        <w:t xml:space="preserve">12.4.1 </w:t>
      </w:r>
      <w:r>
        <w:rPr>
          <w:rFonts w:hint="eastAsia" w:ascii="宋体" w:hAnsi="宋体" w:eastAsia="宋体" w:cs="宋体"/>
          <w:color w:val="auto"/>
          <w:kern w:val="0"/>
          <w:sz w:val="21"/>
          <w:szCs w:val="21"/>
          <w:highlight w:val="none"/>
          <w:lang w:val="en-US" w:eastAsia="zh-CN" w:bidi="ar"/>
        </w:rPr>
        <w:t>付款周期</w:t>
      </w:r>
    </w:p>
    <w:p w14:paraId="601B19BA">
      <w:pPr>
        <w:spacing w:line="360" w:lineRule="auto"/>
        <w:ind w:firstLine="420" w:firstLineChars="200"/>
        <w:jc w:val="left"/>
        <w:rPr>
          <w:rFonts w:hint="default" w:ascii="宋体" w:hAnsi="宋体" w:eastAsia="宋体" w:cs="宋体"/>
          <w:color w:val="auto"/>
          <w:kern w:val="0"/>
          <w:sz w:val="21"/>
          <w:szCs w:val="21"/>
          <w:highlight w:val="none"/>
          <w:u w:val="none"/>
          <w:lang w:bidi="ar"/>
        </w:rPr>
      </w:pPr>
      <w:r>
        <w:rPr>
          <w:rFonts w:hint="eastAsia" w:ascii="宋体" w:hAnsi="宋体" w:eastAsia="宋体" w:cs="宋体"/>
          <w:color w:val="auto"/>
          <w:kern w:val="0"/>
          <w:sz w:val="21"/>
          <w:szCs w:val="21"/>
          <w:highlight w:val="none"/>
          <w:u w:val="none"/>
          <w:lang w:val="en-US" w:eastAsia="zh-CN" w:bidi="ar"/>
        </w:rPr>
        <w:t>(1)</w:t>
      </w:r>
      <w:r>
        <w:rPr>
          <w:rFonts w:hint="default" w:ascii="宋体" w:hAnsi="宋体" w:eastAsia="宋体" w:cs="宋体"/>
          <w:color w:val="auto"/>
          <w:kern w:val="0"/>
          <w:sz w:val="21"/>
          <w:szCs w:val="21"/>
          <w:highlight w:val="none"/>
          <w:u w:val="none"/>
          <w:lang w:bidi="ar"/>
        </w:rPr>
        <w:t>工程款</w:t>
      </w:r>
      <w:r>
        <w:rPr>
          <w:rFonts w:hint="default" w:ascii="宋体" w:hAnsi="宋体" w:eastAsia="宋体" w:cs="宋体"/>
          <w:color w:val="auto"/>
          <w:kern w:val="0"/>
          <w:sz w:val="21"/>
          <w:szCs w:val="21"/>
          <w:highlight w:val="none"/>
          <w:u w:val="none"/>
          <w:lang w:eastAsia="zh-CN" w:bidi="ar"/>
        </w:rPr>
        <w:t>付款周期同</w:t>
      </w:r>
      <w:r>
        <w:rPr>
          <w:rFonts w:hint="default" w:ascii="宋体" w:hAnsi="宋体" w:eastAsia="宋体" w:cs="宋体"/>
          <w:color w:val="auto"/>
          <w:kern w:val="0"/>
          <w:sz w:val="21"/>
          <w:szCs w:val="21"/>
          <w:highlight w:val="none"/>
          <w:u w:val="none"/>
          <w:lang w:val="en-US" w:eastAsia="zh-CN" w:bidi="ar"/>
        </w:rPr>
        <w:t>12.3.2计量周期</w:t>
      </w:r>
      <w:r>
        <w:rPr>
          <w:rFonts w:hint="default" w:ascii="宋体" w:hAnsi="宋体" w:eastAsia="宋体" w:cs="宋体"/>
          <w:color w:val="auto"/>
          <w:kern w:val="0"/>
          <w:sz w:val="21"/>
          <w:szCs w:val="21"/>
          <w:highlight w:val="none"/>
          <w:u w:val="none"/>
          <w:lang w:bidi="ar"/>
        </w:rPr>
        <w:t>，工程进度款支付</w:t>
      </w:r>
      <w:r>
        <w:rPr>
          <w:rFonts w:hint="default" w:ascii="宋体" w:hAnsi="宋体" w:eastAsia="宋体" w:cs="宋体"/>
          <w:color w:val="auto"/>
          <w:kern w:val="0"/>
          <w:sz w:val="21"/>
          <w:szCs w:val="21"/>
          <w:highlight w:val="none"/>
          <w:u w:val="none"/>
          <w:lang w:val="en-US" w:eastAsia="zh-CN" w:bidi="ar"/>
        </w:rPr>
        <w:t>金</w:t>
      </w:r>
      <w:r>
        <w:rPr>
          <w:rFonts w:hint="default" w:ascii="宋体" w:hAnsi="宋体" w:eastAsia="宋体" w:cs="宋体"/>
          <w:color w:val="auto"/>
          <w:kern w:val="0"/>
          <w:sz w:val="21"/>
          <w:szCs w:val="21"/>
          <w:highlight w:val="none"/>
          <w:u w:val="none"/>
          <w:lang w:bidi="ar"/>
        </w:rPr>
        <w:t xml:space="preserve">额为已完成工程量的 </w:t>
      </w:r>
      <w:r>
        <w:rPr>
          <w:rFonts w:hint="default" w:ascii="宋体" w:hAnsi="宋体" w:eastAsia="宋体" w:cs="宋体"/>
          <w:color w:val="auto"/>
          <w:kern w:val="0"/>
          <w:sz w:val="21"/>
          <w:szCs w:val="21"/>
          <w:highlight w:val="none"/>
          <w:u w:val="none"/>
          <w:lang w:val="en-US" w:eastAsia="zh-CN" w:bidi="ar"/>
        </w:rPr>
        <w:t>80</w:t>
      </w:r>
      <w:r>
        <w:rPr>
          <w:rFonts w:hint="default" w:ascii="宋体" w:hAnsi="宋体" w:eastAsia="宋体" w:cs="宋体"/>
          <w:color w:val="auto"/>
          <w:kern w:val="0"/>
          <w:sz w:val="21"/>
          <w:szCs w:val="21"/>
          <w:highlight w:val="none"/>
          <w:u w:val="none"/>
          <w:lang w:bidi="ar"/>
        </w:rPr>
        <w:t>%</w:t>
      </w:r>
      <w:r>
        <w:rPr>
          <w:rFonts w:hint="default" w:ascii="宋体" w:hAnsi="宋体" w:eastAsia="宋体" w:cs="宋体"/>
          <w:color w:val="auto"/>
          <w:kern w:val="0"/>
          <w:sz w:val="21"/>
          <w:szCs w:val="21"/>
          <w:highlight w:val="none"/>
          <w:u w:val="none"/>
          <w:lang w:eastAsia="zh-CN" w:bidi="ar"/>
        </w:rPr>
        <w:t>，工程变更部分进度款支付限额为已完成工程量的80%</w:t>
      </w:r>
      <w:r>
        <w:rPr>
          <w:rFonts w:hint="default" w:ascii="宋体" w:hAnsi="宋体" w:eastAsia="宋体" w:cs="宋体"/>
          <w:color w:val="auto"/>
          <w:kern w:val="0"/>
          <w:sz w:val="21"/>
          <w:szCs w:val="21"/>
          <w:highlight w:val="none"/>
          <w:u w:val="none"/>
          <w:lang w:bidi="ar"/>
        </w:rPr>
        <w:t>（发包人应按不低于工程价款的60％，不高于工程价款的90％向承包人支付工程进度款；</w:t>
      </w:r>
      <w:r>
        <w:rPr>
          <w:rFonts w:ascii="宋体" w:hAnsi="宋体" w:eastAsia="宋体" w:cs="宋体"/>
          <w:color w:val="auto"/>
          <w:kern w:val="0"/>
          <w:sz w:val="21"/>
          <w:szCs w:val="21"/>
          <w:highlight w:val="none"/>
          <w:u w:val="none"/>
          <w:lang w:val="en-US" w:eastAsia="zh-CN" w:bidi="ar"/>
        </w:rPr>
        <w:t>政府机关、事业单位、国有企业建设工程进度款支付应不低于已完成工程价款的</w:t>
      </w:r>
      <w:r>
        <w:rPr>
          <w:rFonts w:ascii="宋体" w:hAnsi="宋体" w:eastAsia="宋体" w:cs="宋体"/>
          <w:color w:val="auto"/>
          <w:kern w:val="0"/>
          <w:sz w:val="21"/>
          <w:szCs w:val="21"/>
          <w:highlight w:val="none"/>
          <w:u w:val="none"/>
          <w:lang w:bidi="ar"/>
        </w:rPr>
        <w:t>80%</w:t>
      </w:r>
      <w:r>
        <w:rPr>
          <w:rFonts w:hint="default" w:ascii="宋体" w:hAnsi="宋体" w:eastAsia="宋体" w:cs="宋体"/>
          <w:color w:val="auto"/>
          <w:kern w:val="0"/>
          <w:sz w:val="21"/>
          <w:szCs w:val="21"/>
          <w:highlight w:val="none"/>
          <w:u w:val="none"/>
          <w:lang w:bidi="ar"/>
        </w:rPr>
        <w:t>）。</w:t>
      </w:r>
    </w:p>
    <w:p w14:paraId="5C9DEF1C">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bCs w:val="0"/>
          <w:color w:val="auto"/>
          <w:kern w:val="0"/>
          <w:sz w:val="21"/>
          <w:szCs w:val="21"/>
          <w:highlight w:val="none"/>
          <w:u w:val="none"/>
          <w:lang w:val="en-US" w:eastAsia="zh-CN" w:bidi="ar"/>
        </w:rPr>
      </w:pPr>
      <w:r>
        <w:rPr>
          <w:rFonts w:hint="eastAsia" w:ascii="宋体" w:hAnsi="宋体" w:eastAsia="宋体" w:cs="宋体"/>
          <w:bCs w:val="0"/>
          <w:color w:val="auto"/>
          <w:kern w:val="0"/>
          <w:sz w:val="21"/>
          <w:szCs w:val="21"/>
          <w:highlight w:val="none"/>
          <w:u w:val="none"/>
          <w:lang w:val="en-US" w:eastAsia="zh-CN" w:bidi="ar"/>
        </w:rPr>
        <w:t>(2)</w:t>
      </w:r>
      <w:r>
        <w:rPr>
          <w:rFonts w:hint="default" w:ascii="宋体" w:hAnsi="宋体" w:eastAsia="宋体" w:cs="宋体"/>
          <w:bCs w:val="0"/>
          <w:color w:val="auto"/>
          <w:kern w:val="0"/>
          <w:sz w:val="21"/>
          <w:szCs w:val="21"/>
          <w:highlight w:val="none"/>
          <w:u w:val="none"/>
          <w:lang w:val="en-US" w:eastAsia="zh-CN" w:bidi="ar"/>
        </w:rPr>
        <w:t>工程竣工验收达到质量要求，工程款支付至已完成工程量且不超合同总价的90%；</w:t>
      </w:r>
    </w:p>
    <w:p w14:paraId="1C852E3C">
      <w:pPr>
        <w:spacing w:line="360" w:lineRule="auto"/>
        <w:ind w:firstLine="420" w:firstLineChars="200"/>
        <w:rPr>
          <w:rFonts w:hint="default" w:ascii="宋体" w:hAnsi="宋体" w:eastAsia="宋体" w:cs="宋体"/>
          <w:bCs w:val="0"/>
          <w:color w:val="auto"/>
          <w:kern w:val="0"/>
          <w:sz w:val="21"/>
          <w:szCs w:val="21"/>
          <w:highlight w:val="none"/>
          <w:u w:val="none"/>
          <w:lang w:val="en-US" w:eastAsia="zh-CN" w:bidi="ar"/>
        </w:rPr>
      </w:pPr>
      <w:r>
        <w:rPr>
          <w:rFonts w:hint="eastAsia" w:ascii="宋体" w:hAnsi="宋体" w:eastAsia="宋体" w:cs="宋体"/>
          <w:bCs w:val="0"/>
          <w:color w:val="auto"/>
          <w:kern w:val="0"/>
          <w:sz w:val="21"/>
          <w:szCs w:val="21"/>
          <w:highlight w:val="none"/>
          <w:u w:val="none"/>
          <w:lang w:val="en-US" w:eastAsia="zh-CN" w:bidi="ar"/>
        </w:rPr>
        <w:t>(3)</w:t>
      </w:r>
      <w:r>
        <w:rPr>
          <w:rFonts w:hint="default" w:ascii="宋体" w:hAnsi="宋体" w:eastAsia="宋体" w:cs="宋体"/>
          <w:bCs w:val="0"/>
          <w:color w:val="auto"/>
          <w:kern w:val="0"/>
          <w:sz w:val="21"/>
          <w:szCs w:val="21"/>
          <w:highlight w:val="none"/>
          <w:u w:val="none"/>
          <w:lang w:val="en-US" w:eastAsia="zh-CN" w:bidi="ar"/>
        </w:rPr>
        <w:t>经结算审计，工程款支付至结算总价的97%；</w:t>
      </w:r>
    </w:p>
    <w:p w14:paraId="1F12C908">
      <w:pPr>
        <w:spacing w:line="360" w:lineRule="auto"/>
        <w:ind w:firstLine="420" w:firstLineChars="200"/>
        <w:rPr>
          <w:rFonts w:hint="eastAsia"/>
          <w:color w:val="auto"/>
          <w:highlight w:val="none"/>
        </w:rPr>
      </w:pPr>
      <w:r>
        <w:rPr>
          <w:rFonts w:hint="eastAsia" w:ascii="宋体" w:hAnsi="宋体" w:cs="宋体"/>
          <w:bCs w:val="0"/>
          <w:color w:val="auto"/>
          <w:kern w:val="0"/>
          <w:sz w:val="21"/>
          <w:szCs w:val="21"/>
          <w:highlight w:val="none"/>
          <w:u w:val="none"/>
          <w:lang w:val="en-US" w:eastAsia="zh-CN" w:bidi="ar"/>
        </w:rPr>
        <w:t>(4)</w:t>
      </w:r>
      <w:r>
        <w:rPr>
          <w:rFonts w:hint="default" w:ascii="宋体" w:hAnsi="宋体" w:eastAsia="宋体" w:cs="宋体"/>
          <w:bCs w:val="0"/>
          <w:color w:val="auto"/>
          <w:kern w:val="0"/>
          <w:sz w:val="21"/>
          <w:szCs w:val="21"/>
          <w:highlight w:val="none"/>
          <w:u w:val="none"/>
          <w:lang w:val="en-US" w:eastAsia="zh-CN" w:bidi="ar"/>
        </w:rPr>
        <w:t>发包人按工程价款结算总额的3%预留工程质量保证金，</w:t>
      </w:r>
      <w:r>
        <w:rPr>
          <w:rFonts w:hAnsi="宋体" w:cs="宋体"/>
          <w:color w:val="auto"/>
          <w:kern w:val="0"/>
          <w:highlight w:val="none"/>
        </w:rPr>
        <w:t>承包人以银行保函</w:t>
      </w:r>
      <w:r>
        <w:rPr>
          <w:rFonts w:hint="eastAsia" w:hAnsi="宋体" w:cs="宋体"/>
          <w:color w:val="auto"/>
          <w:kern w:val="0"/>
          <w:highlight w:val="none"/>
        </w:rPr>
        <w:t>、保证保险</w:t>
      </w:r>
      <w:r>
        <w:rPr>
          <w:rFonts w:hAnsi="宋体" w:cs="宋体"/>
          <w:color w:val="auto"/>
          <w:kern w:val="0"/>
          <w:highlight w:val="none"/>
        </w:rPr>
        <w:t>替代预留</w:t>
      </w:r>
      <w:r>
        <w:rPr>
          <w:rFonts w:hint="eastAsia" w:hAnsi="宋体" w:cs="宋体"/>
          <w:color w:val="auto"/>
          <w:kern w:val="0"/>
          <w:highlight w:val="none"/>
        </w:rPr>
        <w:t>质量</w:t>
      </w:r>
      <w:r>
        <w:rPr>
          <w:rFonts w:hAnsi="宋体" w:cs="宋体"/>
          <w:color w:val="auto"/>
          <w:kern w:val="0"/>
          <w:highlight w:val="none"/>
        </w:rPr>
        <w:t>保证金</w:t>
      </w:r>
      <w:r>
        <w:rPr>
          <w:rFonts w:hint="eastAsia" w:hAnsi="宋体" w:cs="宋体"/>
          <w:color w:val="auto"/>
          <w:kern w:val="0"/>
          <w:highlight w:val="none"/>
        </w:rPr>
        <w:t>，</w:t>
      </w:r>
      <w:r>
        <w:rPr>
          <w:rFonts w:hAnsi="宋体" w:cs="宋体"/>
          <w:color w:val="auto"/>
          <w:kern w:val="0"/>
          <w:highlight w:val="none"/>
        </w:rPr>
        <w:t>保函金额</w:t>
      </w:r>
      <w:r>
        <w:rPr>
          <w:rFonts w:hint="eastAsia" w:hAnsi="宋体" w:cs="宋体"/>
          <w:color w:val="auto"/>
          <w:kern w:val="0"/>
          <w:highlight w:val="none"/>
          <w:lang w:val="en-US" w:eastAsia="zh-CN"/>
        </w:rPr>
        <w:t>为</w:t>
      </w:r>
      <w:r>
        <w:rPr>
          <w:rFonts w:hAnsi="宋体" w:cs="宋体"/>
          <w:color w:val="auto"/>
          <w:kern w:val="0"/>
          <w:highlight w:val="none"/>
        </w:rPr>
        <w:t>工程价款结算总额的</w:t>
      </w:r>
      <w:r>
        <w:rPr>
          <w:rFonts w:hint="eastAsia" w:hAnsi="宋体" w:cs="宋体"/>
          <w:color w:val="auto"/>
          <w:kern w:val="0"/>
          <w:highlight w:val="none"/>
        </w:rPr>
        <w:t>3</w:t>
      </w:r>
      <w:r>
        <w:rPr>
          <w:rFonts w:hAnsi="宋体" w:cs="宋体"/>
          <w:color w:val="auto"/>
          <w:kern w:val="0"/>
          <w:highlight w:val="none"/>
        </w:rPr>
        <w:t>%</w:t>
      </w:r>
      <w:r>
        <w:rPr>
          <w:rFonts w:hint="eastAsia"/>
          <w:color w:val="auto"/>
          <w:kern w:val="0"/>
          <w:highlight w:val="none"/>
          <w:u w:val="single"/>
          <w:lang w:eastAsia="zh-CN"/>
        </w:rPr>
        <w:t>，</w:t>
      </w:r>
      <w:r>
        <w:rPr>
          <w:rFonts w:hint="eastAsia"/>
          <w:color w:val="auto"/>
          <w:kern w:val="0"/>
          <w:highlight w:val="none"/>
          <w:u w:val="single"/>
          <w:lang w:val="en-US" w:eastAsia="zh-CN"/>
        </w:rPr>
        <w:t>发包人收到保函后</w:t>
      </w:r>
      <w:r>
        <w:rPr>
          <w:rFonts w:hint="default" w:ascii="宋体" w:hAnsi="宋体" w:eastAsia="宋体" w:cs="宋体"/>
          <w:bCs w:val="0"/>
          <w:color w:val="auto"/>
          <w:kern w:val="0"/>
          <w:sz w:val="21"/>
          <w:szCs w:val="21"/>
          <w:highlight w:val="none"/>
          <w:u w:val="none"/>
          <w:lang w:val="en-US" w:eastAsia="zh-CN" w:bidi="ar"/>
        </w:rPr>
        <w:t>工程款支付至结算总价的</w:t>
      </w:r>
      <w:r>
        <w:rPr>
          <w:rFonts w:hint="eastAsia" w:ascii="宋体" w:hAnsi="宋体" w:cs="宋体"/>
          <w:bCs w:val="0"/>
          <w:color w:val="auto"/>
          <w:kern w:val="0"/>
          <w:sz w:val="21"/>
          <w:szCs w:val="21"/>
          <w:highlight w:val="none"/>
          <w:u w:val="none"/>
          <w:lang w:val="en-US" w:eastAsia="zh-CN" w:bidi="ar"/>
        </w:rPr>
        <w:t>100</w:t>
      </w:r>
      <w:r>
        <w:rPr>
          <w:rFonts w:hint="default" w:ascii="宋体" w:hAnsi="宋体" w:eastAsia="宋体" w:cs="宋体"/>
          <w:bCs w:val="0"/>
          <w:color w:val="auto"/>
          <w:kern w:val="0"/>
          <w:sz w:val="21"/>
          <w:szCs w:val="21"/>
          <w:highlight w:val="none"/>
          <w:u w:val="none"/>
          <w:lang w:val="en-US" w:eastAsia="zh-CN" w:bidi="ar"/>
        </w:rPr>
        <w:t>%</w:t>
      </w:r>
      <w:r>
        <w:rPr>
          <w:color w:val="auto"/>
          <w:kern w:val="0"/>
          <w:highlight w:val="none"/>
          <w:u w:val="single"/>
        </w:rPr>
        <w:t xml:space="preserve"> </w:t>
      </w:r>
      <w:r>
        <w:rPr>
          <w:rFonts w:hint="default" w:ascii="宋体" w:hAnsi="宋体" w:eastAsia="宋体" w:cs="宋体"/>
          <w:bCs w:val="0"/>
          <w:color w:val="auto"/>
          <w:kern w:val="0"/>
          <w:sz w:val="21"/>
          <w:szCs w:val="21"/>
          <w:highlight w:val="none"/>
          <w:u w:val="none"/>
          <w:lang w:val="en-US" w:eastAsia="zh-CN" w:bidi="ar"/>
        </w:rPr>
        <w:t>。</w:t>
      </w:r>
    </w:p>
    <w:p w14:paraId="750202D7">
      <w:pPr>
        <w:spacing w:line="360" w:lineRule="auto"/>
        <w:ind w:firstLine="420" w:firstLineChars="200"/>
        <w:jc w:val="left"/>
        <w:rPr>
          <w:color w:val="auto"/>
          <w:sz w:val="21"/>
          <w:szCs w:val="21"/>
          <w:highlight w:val="none"/>
        </w:rPr>
      </w:pPr>
      <w:r>
        <w:rPr>
          <w:rFonts w:ascii="宋体" w:hAnsi="宋体" w:eastAsia="宋体" w:cs="宋体"/>
          <w:color w:val="auto"/>
          <w:kern w:val="0"/>
          <w:sz w:val="21"/>
          <w:szCs w:val="21"/>
          <w:highlight w:val="none"/>
          <w:lang w:val="en-US" w:eastAsia="zh-CN" w:bidi="ar"/>
        </w:rPr>
        <w:t xml:space="preserve">12.4.2 </w:t>
      </w:r>
      <w:r>
        <w:rPr>
          <w:rFonts w:hint="eastAsia" w:ascii="宋体" w:hAnsi="宋体" w:eastAsia="宋体" w:cs="宋体"/>
          <w:color w:val="auto"/>
          <w:kern w:val="0"/>
          <w:sz w:val="21"/>
          <w:szCs w:val="21"/>
          <w:highlight w:val="none"/>
          <w:lang w:val="en-US" w:eastAsia="zh-CN" w:bidi="ar"/>
        </w:rPr>
        <w:t>进度付款申请单的编制</w:t>
      </w:r>
    </w:p>
    <w:p w14:paraId="4FDC872D">
      <w:pPr>
        <w:spacing w:line="360" w:lineRule="auto"/>
        <w:ind w:firstLine="420" w:firstLineChars="200"/>
        <w:jc w:val="left"/>
        <w:rPr>
          <w:color w:val="auto"/>
          <w:highlight w:val="none"/>
          <w:u w:val="single"/>
        </w:rPr>
      </w:pPr>
      <w:r>
        <w:rPr>
          <w:rFonts w:hint="eastAsia" w:hAnsi="宋体" w:cs="宋体"/>
          <w:color w:val="auto"/>
          <w:highlight w:val="none"/>
        </w:rPr>
        <w:t>关于进度付款申请单编制的约定：</w:t>
      </w:r>
      <w:r>
        <w:rPr>
          <w:color w:val="auto"/>
          <w:highlight w:val="none"/>
          <w:u w:val="single"/>
        </w:rPr>
        <w:t xml:space="preserve"> </w:t>
      </w:r>
      <w:r>
        <w:rPr>
          <w:rFonts w:hint="eastAsia"/>
          <w:color w:val="auto"/>
          <w:highlight w:val="none"/>
          <w:u w:val="single"/>
          <w:lang w:val="en-US" w:eastAsia="zh-CN"/>
        </w:rPr>
        <w:t>按发包人要求</w:t>
      </w:r>
      <w:r>
        <w:rPr>
          <w:color w:val="auto"/>
          <w:highlight w:val="none"/>
          <w:u w:val="single"/>
        </w:rPr>
        <w:t xml:space="preserve"> </w:t>
      </w:r>
      <w:r>
        <w:rPr>
          <w:rFonts w:hint="eastAsia" w:hAnsi="宋体" w:cs="宋体"/>
          <w:color w:val="auto"/>
          <w:highlight w:val="none"/>
        </w:rPr>
        <w:t>。</w:t>
      </w:r>
    </w:p>
    <w:p w14:paraId="258CA5C1">
      <w:pPr>
        <w:spacing w:line="360" w:lineRule="auto"/>
        <w:ind w:firstLine="420" w:firstLineChars="200"/>
        <w:jc w:val="left"/>
        <w:rPr>
          <w:color w:val="auto"/>
          <w:highlight w:val="none"/>
        </w:rPr>
      </w:pPr>
      <w:r>
        <w:rPr>
          <w:color w:val="auto"/>
          <w:highlight w:val="none"/>
        </w:rPr>
        <w:t xml:space="preserve">12.4.3 </w:t>
      </w:r>
      <w:r>
        <w:rPr>
          <w:rFonts w:hint="eastAsia" w:hAnsi="宋体" w:cs="宋体"/>
          <w:color w:val="auto"/>
          <w:highlight w:val="none"/>
        </w:rPr>
        <w:t>进度付款申请单的提交</w:t>
      </w:r>
    </w:p>
    <w:p w14:paraId="74ED7A2B">
      <w:pPr>
        <w:spacing w:line="360" w:lineRule="auto"/>
        <w:ind w:firstLine="420" w:firstLineChars="200"/>
        <w:jc w:val="left"/>
        <w:rPr>
          <w:b/>
          <w:bCs/>
          <w:color w:val="auto"/>
          <w:highlight w:val="none"/>
          <w:u w:val="single"/>
        </w:rPr>
      </w:pPr>
      <w:r>
        <w:rPr>
          <w:rFonts w:hint="eastAsia" w:hAnsi="宋体" w:cs="宋体"/>
          <w:color w:val="auto"/>
          <w:highlight w:val="none"/>
        </w:rPr>
        <w:t>（</w:t>
      </w:r>
      <w:r>
        <w:rPr>
          <w:color w:val="auto"/>
          <w:highlight w:val="none"/>
        </w:rPr>
        <w:t>1</w:t>
      </w:r>
      <w:r>
        <w:rPr>
          <w:rFonts w:hint="eastAsia" w:hAnsi="宋体" w:cs="宋体"/>
          <w:color w:val="auto"/>
          <w:highlight w:val="none"/>
        </w:rPr>
        <w:t>）单价合同进度付款申请单提交的约定：</w:t>
      </w:r>
    </w:p>
    <w:p w14:paraId="2141903D">
      <w:pPr>
        <w:spacing w:line="360" w:lineRule="auto"/>
        <w:ind w:firstLine="420" w:firstLineChars="200"/>
        <w:jc w:val="left"/>
        <w:rPr>
          <w:rFonts w:hint="eastAsia" w:ascii="宋体" w:hAnsi="宋体" w:cs="宋体"/>
          <w:color w:val="auto"/>
          <w:szCs w:val="21"/>
          <w:highlight w:val="none"/>
          <w:lang w:val="zh-TW" w:eastAsia="zh-CN"/>
        </w:rPr>
      </w:pPr>
      <w:r>
        <w:rPr>
          <w:rFonts w:hint="eastAsia"/>
          <w:color w:val="auto"/>
          <w:highlight w:val="none"/>
          <w:u w:val="none"/>
          <w:lang w:val="en-US" w:eastAsia="zh-CN"/>
        </w:rPr>
        <w:t>1）</w:t>
      </w:r>
      <w:r>
        <w:rPr>
          <w:rFonts w:hint="eastAsia" w:ascii="宋体" w:hAnsi="宋体" w:cs="宋体"/>
          <w:color w:val="auto"/>
          <w:szCs w:val="21"/>
          <w:highlight w:val="none"/>
          <w:lang w:val="zh-TW"/>
        </w:rPr>
        <w:t>分部分项工程清单进度款</w:t>
      </w:r>
      <w:r>
        <w:rPr>
          <w:rFonts w:hint="eastAsia" w:ascii="宋体" w:hAnsi="宋体" w:cs="宋体"/>
          <w:color w:val="auto"/>
          <w:szCs w:val="21"/>
          <w:highlight w:val="none"/>
          <w:lang w:val="zh-TW" w:eastAsia="zh-CN"/>
        </w:rPr>
        <w:t>计算：</w:t>
      </w:r>
      <w:r>
        <w:rPr>
          <w:rFonts w:hint="eastAsia" w:ascii="宋体" w:hAnsi="宋体" w:cs="宋体"/>
          <w:color w:val="auto"/>
          <w:szCs w:val="21"/>
          <w:highlight w:val="none"/>
          <w:lang w:val="zh-TW"/>
        </w:rPr>
        <w:t>应按发包人提供的施工图纸、工程变更指令、合同约定</w:t>
      </w:r>
      <w:r>
        <w:rPr>
          <w:rFonts w:hint="eastAsia" w:ascii="宋体" w:hAnsi="宋体" w:cs="宋体"/>
          <w:color w:val="auto"/>
          <w:szCs w:val="21"/>
          <w:highlight w:val="none"/>
        </w:rPr>
        <w:t>的</w:t>
      </w:r>
      <w:r>
        <w:rPr>
          <w:rFonts w:hint="eastAsia" w:ascii="宋体" w:hAnsi="宋体" w:cs="宋体"/>
          <w:color w:val="auto"/>
          <w:szCs w:val="21"/>
          <w:highlight w:val="none"/>
          <w:lang w:eastAsia="zh-CN"/>
        </w:rPr>
        <w:t>计算规范</w:t>
      </w:r>
      <w:r>
        <w:rPr>
          <w:rFonts w:hint="eastAsia" w:ascii="宋体" w:hAnsi="宋体" w:cs="宋体"/>
          <w:color w:val="auto"/>
          <w:szCs w:val="21"/>
          <w:highlight w:val="none"/>
          <w:lang w:val="zh-TW"/>
        </w:rPr>
        <w:t>和</w:t>
      </w:r>
      <w:r>
        <w:rPr>
          <w:rFonts w:hint="eastAsia" w:ascii="宋体" w:hAnsi="宋体" w:cs="宋体"/>
          <w:color w:val="auto"/>
          <w:szCs w:val="21"/>
          <w:highlight w:val="none"/>
          <w:lang w:val="zh-TW" w:eastAsia="zh-CN"/>
        </w:rPr>
        <w:t>计价规范</w:t>
      </w:r>
      <w:r>
        <w:rPr>
          <w:rFonts w:hint="eastAsia" w:ascii="宋体" w:hAnsi="宋体" w:cs="宋体"/>
          <w:color w:val="auto"/>
          <w:szCs w:val="21"/>
          <w:highlight w:val="none"/>
          <w:lang w:val="zh-TW"/>
        </w:rPr>
        <w:t>规定，</w:t>
      </w:r>
      <w:r>
        <w:rPr>
          <w:rFonts w:hint="eastAsia" w:ascii="宋体" w:hAnsi="宋体" w:cs="宋体"/>
          <w:color w:val="auto"/>
          <w:szCs w:val="21"/>
          <w:highlight w:val="none"/>
          <w:lang w:val="zh-TW" w:eastAsia="zh-CN"/>
        </w:rPr>
        <w:t>计算</w:t>
      </w:r>
      <w:r>
        <w:rPr>
          <w:rFonts w:hint="default" w:ascii="宋体" w:hAnsi="宋体" w:cs="宋体"/>
          <w:color w:val="auto"/>
          <w:szCs w:val="21"/>
          <w:highlight w:val="none"/>
          <w:lang w:val="en" w:eastAsia="zh-CN"/>
        </w:rPr>
        <w:t>本</w:t>
      </w:r>
      <w:r>
        <w:rPr>
          <w:rFonts w:hint="eastAsia" w:ascii="宋体" w:hAnsi="宋体" w:cs="宋体"/>
          <w:color w:val="auto"/>
          <w:szCs w:val="21"/>
          <w:highlight w:val="none"/>
          <w:lang w:val="zh-TW" w:eastAsia="zh-CN"/>
        </w:rPr>
        <w:t>期实际</w:t>
      </w:r>
      <w:r>
        <w:rPr>
          <w:rFonts w:hint="eastAsia" w:ascii="宋体" w:hAnsi="宋体" w:cs="宋体"/>
          <w:color w:val="auto"/>
          <w:szCs w:val="21"/>
          <w:highlight w:val="none"/>
          <w:lang w:val="zh-TW"/>
        </w:rPr>
        <w:t>完成的相应清单项目工程量，乘以合同单价（合同单价发生调整的，</w:t>
      </w:r>
      <w:r>
        <w:rPr>
          <w:rFonts w:hint="eastAsia" w:ascii="宋体" w:hAnsi="宋体" w:cs="宋体"/>
          <w:color w:val="auto"/>
          <w:szCs w:val="21"/>
          <w:highlight w:val="none"/>
          <w:lang w:val="zh-TW" w:eastAsia="zh-CN"/>
        </w:rPr>
        <w:t>按调整后的</w:t>
      </w:r>
      <w:r>
        <w:rPr>
          <w:rFonts w:hint="eastAsia" w:ascii="宋体" w:hAnsi="宋体" w:cs="宋体"/>
          <w:color w:val="auto"/>
          <w:szCs w:val="21"/>
          <w:highlight w:val="none"/>
          <w:lang w:val="zh-TW"/>
        </w:rPr>
        <w:t>单价）</w:t>
      </w:r>
      <w:r>
        <w:rPr>
          <w:rFonts w:hint="eastAsia" w:ascii="宋体" w:hAnsi="宋体" w:cs="宋体"/>
          <w:color w:val="auto"/>
          <w:szCs w:val="21"/>
          <w:highlight w:val="none"/>
          <w:lang w:val="zh-TW" w:eastAsia="zh-CN"/>
        </w:rPr>
        <w:t>。</w:t>
      </w:r>
    </w:p>
    <w:p w14:paraId="14BBDD18">
      <w:pPr>
        <w:spacing w:line="360" w:lineRule="auto"/>
        <w:ind w:firstLine="420" w:firstLineChars="200"/>
        <w:jc w:val="left"/>
        <w:rPr>
          <w:rFonts w:hint="eastAsia" w:ascii="宋体" w:hAnsi="宋体" w:cs="宋体"/>
          <w:bCs/>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bCs/>
          <w:color w:val="auto"/>
          <w:szCs w:val="21"/>
          <w:highlight w:val="none"/>
        </w:rPr>
        <w:t>措施项目进度款</w:t>
      </w:r>
      <w:r>
        <w:rPr>
          <w:rFonts w:hint="eastAsia" w:ascii="宋体" w:hAnsi="宋体" w:cs="宋体"/>
          <w:bCs/>
          <w:color w:val="auto"/>
          <w:szCs w:val="21"/>
          <w:highlight w:val="none"/>
          <w:lang w:eastAsia="zh-CN"/>
        </w:rPr>
        <w:t>计算：技术措施按照当期完成的技术措施项目工程量乘以承包人《技术措施项目清单综合单价分析表》中各子项技术措施项目综合单价计算，当该项技术措施项目累计进度款达到该项技术措施项目费合计金额时，不再计算该项技术措施项目进度款。综合</w:t>
      </w:r>
      <w:r>
        <w:rPr>
          <w:rFonts w:hint="eastAsia" w:ascii="宋体" w:hAnsi="宋体" w:cs="宋体"/>
          <w:bCs/>
          <w:color w:val="auto"/>
          <w:szCs w:val="21"/>
          <w:highlight w:val="none"/>
        </w:rPr>
        <w:t>措施项目</w:t>
      </w:r>
      <w:r>
        <w:rPr>
          <w:rFonts w:hint="eastAsia" w:ascii="宋体" w:hAnsi="宋体" w:cs="宋体"/>
          <w:bCs/>
          <w:color w:val="auto"/>
          <w:szCs w:val="21"/>
          <w:highlight w:val="none"/>
          <w:lang w:eastAsia="zh-CN"/>
        </w:rPr>
        <w:t>中的</w:t>
      </w:r>
      <w:r>
        <w:rPr>
          <w:rFonts w:hint="eastAsia" w:ascii="宋体" w:hAnsi="宋体" w:cs="宋体"/>
          <w:bCs/>
          <w:color w:val="auto"/>
          <w:szCs w:val="21"/>
          <w:highlight w:val="none"/>
        </w:rPr>
        <w:t>文明临设环保费</w:t>
      </w:r>
      <w:r>
        <w:rPr>
          <w:rFonts w:hint="eastAsia" w:ascii="宋体" w:hAnsi="宋体" w:cs="宋体"/>
          <w:bCs/>
          <w:color w:val="auto"/>
          <w:szCs w:val="21"/>
          <w:highlight w:val="none"/>
          <w:lang w:eastAsia="zh-CN"/>
        </w:rPr>
        <w:t>按合同附件</w:t>
      </w:r>
      <w:r>
        <w:rPr>
          <w:rFonts w:hint="eastAsia" w:ascii="宋体" w:hAnsi="宋体" w:cs="宋体"/>
          <w:bCs/>
          <w:color w:val="auto"/>
          <w:szCs w:val="21"/>
          <w:highlight w:val="none"/>
          <w:lang w:val="en-US" w:eastAsia="zh-CN"/>
        </w:rPr>
        <w:t>15《</w:t>
      </w:r>
      <w:r>
        <w:rPr>
          <w:rFonts w:hint="eastAsia" w:ascii="宋体" w:hAnsi="宋体" w:cs="宋体"/>
          <w:bCs/>
          <w:color w:val="auto"/>
          <w:szCs w:val="21"/>
          <w:highlight w:val="none"/>
          <w:lang w:eastAsia="zh-CN"/>
        </w:rPr>
        <w:t>措施项目分拆表</w:t>
      </w:r>
      <w:r>
        <w:rPr>
          <w:rFonts w:hint="eastAsia" w:ascii="宋体" w:hAnsi="宋体" w:cs="宋体"/>
          <w:bCs/>
          <w:color w:val="auto"/>
          <w:szCs w:val="21"/>
          <w:highlight w:val="none"/>
          <w:lang w:val="en-US" w:eastAsia="zh-CN"/>
        </w:rPr>
        <w:t>》</w:t>
      </w:r>
      <w:r>
        <w:rPr>
          <w:rFonts w:hint="eastAsia" w:ascii="宋体" w:hAnsi="宋体" w:cs="宋体"/>
          <w:bCs/>
          <w:color w:val="auto"/>
          <w:szCs w:val="21"/>
          <w:highlight w:val="none"/>
          <w:lang w:eastAsia="zh-CN"/>
        </w:rPr>
        <w:t>支付该部分进度款，其他综合措施项目按该项措施项目占签约合同价中分部分项及技术措施项目费比例乘以当期完成的分部分项及技术措施项目费计算，该项措施费用支付完毕后不再计取</w:t>
      </w:r>
      <w:r>
        <w:rPr>
          <w:rFonts w:hint="eastAsia" w:ascii="宋体" w:hAnsi="宋体" w:cs="宋体"/>
          <w:bCs/>
          <w:color w:val="auto"/>
          <w:szCs w:val="21"/>
          <w:highlight w:val="none"/>
        </w:rPr>
        <w:t>。</w:t>
      </w:r>
    </w:p>
    <w:p w14:paraId="46C7162B">
      <w:pPr>
        <w:spacing w:after="0" w:line="360" w:lineRule="auto"/>
        <w:ind w:firstLine="420" w:firstLineChars="200"/>
        <w:jc w:val="left"/>
        <w:rPr>
          <w:rFonts w:hint="eastAsia" w:ascii="宋体" w:hAnsi="宋体" w:cs="宋体"/>
          <w:bCs w:val="0"/>
          <w:color w:val="auto"/>
          <w:szCs w:val="21"/>
          <w:highlight w:val="none"/>
        </w:rPr>
      </w:pPr>
      <w:r>
        <w:rPr>
          <w:rFonts w:hint="eastAsia" w:ascii="宋体" w:hAnsi="宋体" w:cs="宋体"/>
          <w:bCs w:val="0"/>
          <w:color w:val="auto"/>
          <w:szCs w:val="21"/>
          <w:highlight w:val="none"/>
          <w:lang w:val="en-US" w:eastAsia="zh-CN"/>
        </w:rPr>
        <w:t>3）</w:t>
      </w:r>
      <w:r>
        <w:rPr>
          <w:rFonts w:hint="eastAsia" w:ascii="宋体" w:hAnsi="宋体" w:cs="宋体"/>
          <w:bCs w:val="0"/>
          <w:color w:val="auto"/>
          <w:szCs w:val="21"/>
          <w:highlight w:val="none"/>
        </w:rPr>
        <w:t>其他项目</w:t>
      </w:r>
      <w:r>
        <w:rPr>
          <w:rFonts w:hint="eastAsia" w:ascii="宋体" w:hAnsi="宋体" w:cs="宋体"/>
          <w:bCs w:val="0"/>
          <w:color w:val="auto"/>
          <w:szCs w:val="21"/>
          <w:highlight w:val="none"/>
          <w:lang w:eastAsia="zh-CN"/>
        </w:rPr>
        <w:t>费</w:t>
      </w:r>
      <w:r>
        <w:rPr>
          <w:rFonts w:hint="eastAsia" w:ascii="宋体" w:hAnsi="宋体" w:cs="宋体"/>
          <w:bCs w:val="0"/>
          <w:color w:val="auto"/>
          <w:szCs w:val="21"/>
          <w:highlight w:val="none"/>
        </w:rPr>
        <w:t>进度款计算：总承包服务费</w:t>
      </w:r>
      <w:r>
        <w:rPr>
          <w:rFonts w:hint="eastAsia" w:ascii="宋体" w:hAnsi="宋体" w:cs="宋体"/>
          <w:bCs w:val="0"/>
          <w:color w:val="auto"/>
          <w:szCs w:val="21"/>
          <w:highlight w:val="none"/>
          <w:lang w:eastAsia="zh-CN"/>
        </w:rPr>
        <w:t>中的专业工程配合费</w:t>
      </w:r>
      <w:r>
        <w:rPr>
          <w:rFonts w:hint="eastAsia" w:ascii="宋体" w:hAnsi="宋体" w:cs="宋体"/>
          <w:bCs w:val="0"/>
          <w:color w:val="auto"/>
          <w:szCs w:val="21"/>
          <w:highlight w:val="none"/>
        </w:rPr>
        <w:t>应按当期发包人确认的专业分包工程进度款与专业分包合同价的比例乘以相应的服务费计算各分包工程</w:t>
      </w:r>
      <w:r>
        <w:rPr>
          <w:rFonts w:hint="eastAsia" w:ascii="宋体" w:hAnsi="宋体" w:cs="宋体"/>
          <w:bCs w:val="0"/>
          <w:color w:val="auto"/>
          <w:szCs w:val="21"/>
          <w:highlight w:val="none"/>
          <w:lang w:eastAsia="zh-CN"/>
        </w:rPr>
        <w:t>当期</w:t>
      </w:r>
      <w:r>
        <w:rPr>
          <w:rFonts w:hint="eastAsia" w:ascii="宋体" w:hAnsi="宋体" w:cs="宋体"/>
          <w:bCs w:val="0"/>
          <w:color w:val="auto"/>
          <w:szCs w:val="21"/>
          <w:highlight w:val="none"/>
        </w:rPr>
        <w:t>完成的总承包服务费</w:t>
      </w:r>
      <w:r>
        <w:rPr>
          <w:rFonts w:hint="eastAsia" w:ascii="宋体" w:hAnsi="宋体" w:cs="宋体"/>
          <w:bCs w:val="0"/>
          <w:color w:val="auto"/>
          <w:szCs w:val="21"/>
          <w:highlight w:val="none"/>
          <w:lang w:eastAsia="zh-CN"/>
        </w:rPr>
        <w:t>；</w:t>
      </w:r>
      <w:r>
        <w:rPr>
          <w:rFonts w:hint="eastAsia" w:ascii="宋体" w:hAnsi="宋体" w:cs="宋体"/>
          <w:bCs w:val="0"/>
          <w:color w:val="auto"/>
          <w:szCs w:val="21"/>
          <w:highlight w:val="none"/>
          <w:lang w:val="en-US" w:eastAsia="zh-CN"/>
        </w:rPr>
        <w:t>总承包服务费中的</w:t>
      </w:r>
      <w:r>
        <w:rPr>
          <w:rFonts w:hint="eastAsia" w:ascii="宋体" w:hAnsi="宋体" w:cs="宋体"/>
          <w:bCs w:val="0"/>
          <w:color w:val="auto"/>
          <w:szCs w:val="21"/>
          <w:highlight w:val="none"/>
        </w:rPr>
        <w:t>发包人提供材料</w:t>
      </w:r>
      <w:r>
        <w:rPr>
          <w:rFonts w:hint="eastAsia" w:ascii="宋体" w:hAnsi="宋体" w:cs="宋体"/>
          <w:bCs w:val="0"/>
          <w:color w:val="auto"/>
          <w:szCs w:val="21"/>
          <w:highlight w:val="none"/>
          <w:lang w:eastAsia="zh-CN"/>
        </w:rPr>
        <w:t>的保管费应在最后一期进度款一次性支付；</w:t>
      </w:r>
      <w:r>
        <w:rPr>
          <w:rFonts w:hint="eastAsia" w:ascii="宋体" w:hAnsi="宋体" w:cs="宋体"/>
          <w:bCs w:val="0"/>
          <w:color w:val="auto"/>
          <w:szCs w:val="21"/>
          <w:highlight w:val="none"/>
        </w:rPr>
        <w:t>专业工程暂估价项目应按当期发包人确认的专业工程项目完成的进度款计算</w:t>
      </w:r>
      <w:r>
        <w:rPr>
          <w:rFonts w:hint="eastAsia" w:ascii="宋体" w:hAnsi="宋体" w:cs="宋体"/>
          <w:bCs w:val="0"/>
          <w:color w:val="auto"/>
          <w:szCs w:val="21"/>
          <w:highlight w:val="none"/>
          <w:lang w:eastAsia="zh-CN"/>
        </w:rPr>
        <w:t>；</w:t>
      </w:r>
      <w:r>
        <w:rPr>
          <w:rFonts w:hint="eastAsia" w:ascii="宋体" w:hAnsi="宋体" w:cs="宋体"/>
          <w:bCs w:val="0"/>
          <w:color w:val="auto"/>
          <w:szCs w:val="21"/>
          <w:highlight w:val="none"/>
          <w:lang w:val="en-US"/>
        </w:rPr>
        <w:t>零星签证</w:t>
      </w:r>
      <w:r>
        <w:rPr>
          <w:rFonts w:hint="eastAsia" w:ascii="宋体" w:hAnsi="宋体" w:cs="宋体"/>
          <w:bCs w:val="0"/>
          <w:color w:val="auto"/>
          <w:szCs w:val="21"/>
          <w:highlight w:val="none"/>
        </w:rPr>
        <w:t>应按</w:t>
      </w:r>
      <w:r>
        <w:rPr>
          <w:rFonts w:hint="eastAsia" w:ascii="宋体" w:hAnsi="宋体" w:cs="宋体"/>
          <w:bCs w:val="0"/>
          <w:color w:val="auto"/>
          <w:szCs w:val="21"/>
          <w:highlight w:val="none"/>
          <w:lang w:eastAsia="zh-CN"/>
        </w:rPr>
        <w:t>当</w:t>
      </w:r>
      <w:r>
        <w:rPr>
          <w:rFonts w:hint="eastAsia" w:ascii="宋体" w:hAnsi="宋体" w:cs="宋体"/>
          <w:bCs w:val="0"/>
          <w:color w:val="auto"/>
          <w:szCs w:val="21"/>
          <w:highlight w:val="none"/>
        </w:rPr>
        <w:t>期完成的进度款进行计算</w:t>
      </w:r>
      <w:r>
        <w:rPr>
          <w:rFonts w:hint="eastAsia" w:ascii="宋体" w:hAnsi="宋体" w:cs="宋体"/>
          <w:bCs w:val="0"/>
          <w:color w:val="auto"/>
          <w:szCs w:val="21"/>
          <w:highlight w:val="none"/>
          <w:lang w:eastAsia="zh-CN"/>
        </w:rPr>
        <w:t>；</w:t>
      </w:r>
      <w:r>
        <w:rPr>
          <w:rFonts w:hint="eastAsia" w:ascii="宋体" w:hAnsi="宋体" w:cs="宋体"/>
          <w:color w:val="auto"/>
          <w:szCs w:val="21"/>
          <w:highlight w:val="none"/>
          <w:lang w:eastAsia="zh-CN"/>
        </w:rPr>
        <w:t>安全生产费按照</w:t>
      </w:r>
      <w:r>
        <w:rPr>
          <w:rFonts w:hint="default" w:ascii="宋体" w:hAnsi="宋体" w:cs="宋体"/>
          <w:color w:val="auto"/>
          <w:szCs w:val="21"/>
          <w:highlight w:val="none"/>
          <w:lang w:val="en" w:eastAsia="zh-CN"/>
        </w:rPr>
        <w:t>本合同6.1.6规定计算。</w:t>
      </w:r>
    </w:p>
    <w:p w14:paraId="5E7523C8">
      <w:pPr>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）总价合同进度付款申请单提交的约定</w:t>
      </w:r>
      <w:r>
        <w:rPr>
          <w:rFonts w:hint="eastAsia" w:hAnsi="宋体" w:cs="宋体"/>
          <w:color w:val="auto"/>
          <w:highlight w:val="none"/>
          <w:lang w:eastAsia="zh-CN"/>
        </w:rPr>
        <w:t>：</w:t>
      </w:r>
      <w:r>
        <w:rPr>
          <w:rFonts w:hint="eastAsia" w:ascii="宋体" w:hAnsi="宋体" w:cs="宋体"/>
          <w:strike w:val="0"/>
          <w:color w:val="auto"/>
          <w:kern w:val="2"/>
          <w:sz w:val="21"/>
          <w:szCs w:val="21"/>
          <w:highlight w:val="none"/>
          <w:lang w:val="en-US" w:eastAsia="zh-CN" w:bidi="ar"/>
        </w:rPr>
        <w:t>承包人</w:t>
      </w:r>
      <w:r>
        <w:rPr>
          <w:rFonts w:hint="eastAsia" w:hAnsi="宋体" w:cs="宋体"/>
          <w:color w:val="auto"/>
          <w:highlight w:val="none"/>
          <w:lang w:eastAsia="zh-CN"/>
        </w:rPr>
        <w:t>按照</w:t>
      </w:r>
      <w:r>
        <w:rPr>
          <w:rFonts w:hint="eastAsia" w:ascii="宋体" w:hAnsi="宋体" w:cs="宋体"/>
          <w:color w:val="auto"/>
          <w:szCs w:val="21"/>
          <w:highlight w:val="none"/>
          <w:lang w:eastAsia="zh-CN"/>
        </w:rPr>
        <w:t>本合同附件</w:t>
      </w:r>
      <w:r>
        <w:rPr>
          <w:rFonts w:hint="eastAsia" w:ascii="宋体" w:hAnsi="宋体" w:cs="宋体"/>
          <w:color w:val="auto"/>
          <w:szCs w:val="21"/>
          <w:highlight w:val="none"/>
          <w:lang w:val="en-US" w:eastAsia="zh-CN"/>
        </w:rPr>
        <w:t>14《进度款</w:t>
      </w:r>
      <w:r>
        <w:rPr>
          <w:rFonts w:hint="eastAsia" w:hAnsi="宋体" w:cs="宋体"/>
          <w:color w:val="auto"/>
          <w:highlight w:val="none"/>
          <w:lang w:eastAsia="zh-CN"/>
        </w:rPr>
        <w:t>支付分解表》要求的工程形象进度目标任务完成后，</w:t>
      </w:r>
      <w:r>
        <w:rPr>
          <w:rFonts w:hint="eastAsia" w:hAnsi="宋体" w:cs="宋体"/>
          <w:color w:val="auto"/>
          <w:highlight w:val="none"/>
        </w:rPr>
        <w:t>向发包人书面报送</w:t>
      </w:r>
      <w:r>
        <w:rPr>
          <w:rFonts w:hint="eastAsia" w:hAnsi="宋体" w:cs="宋体"/>
          <w:color w:val="auto"/>
          <w:highlight w:val="none"/>
          <w:lang w:eastAsia="zh-CN"/>
        </w:rPr>
        <w:t>《</w:t>
      </w:r>
      <w:r>
        <w:rPr>
          <w:rFonts w:hint="eastAsia" w:hAnsi="宋体" w:cs="宋体"/>
          <w:color w:val="auto"/>
          <w:highlight w:val="none"/>
        </w:rPr>
        <w:t>进度款支付申请（核准）表</w:t>
      </w:r>
      <w:r>
        <w:rPr>
          <w:rFonts w:hint="eastAsia" w:hAnsi="宋体" w:cs="宋体"/>
          <w:color w:val="auto"/>
          <w:highlight w:val="none"/>
          <w:lang w:eastAsia="zh-CN"/>
        </w:rPr>
        <w:t>》</w:t>
      </w:r>
      <w:r>
        <w:rPr>
          <w:rFonts w:hint="eastAsia" w:hAnsi="宋体" w:cs="宋体"/>
          <w:color w:val="auto"/>
          <w:highlight w:val="none"/>
        </w:rPr>
        <w:t>和有关资料</w:t>
      </w:r>
      <w:r>
        <w:rPr>
          <w:rFonts w:hint="eastAsia" w:ascii="宋体" w:hAnsi="宋体" w:cs="宋体"/>
          <w:color w:val="auto"/>
          <w:szCs w:val="21"/>
          <w:highlight w:val="none"/>
          <w:lang w:eastAsia="zh-CN"/>
        </w:rPr>
        <w:t>。固定部分按照支付分解表金额，暂定工程量、暂估价按照实际完成的工程量计算，安全生产费按照</w:t>
      </w:r>
      <w:r>
        <w:rPr>
          <w:rFonts w:hint="default" w:ascii="宋体" w:hAnsi="宋体" w:cs="宋体"/>
          <w:color w:val="auto"/>
          <w:szCs w:val="21"/>
          <w:highlight w:val="none"/>
          <w:lang w:val="en" w:eastAsia="zh-CN"/>
        </w:rPr>
        <w:t>本合同6.1.6规定计算。</w:t>
      </w:r>
    </w:p>
    <w:p w14:paraId="75491753">
      <w:pPr>
        <w:spacing w:line="360" w:lineRule="auto"/>
        <w:ind w:firstLine="420" w:firstLineChars="200"/>
        <w:jc w:val="left"/>
        <w:rPr>
          <w:color w:val="auto"/>
          <w:highlight w:val="none"/>
          <w:u w:val="single"/>
        </w:rPr>
      </w:pPr>
      <w:r>
        <w:rPr>
          <w:rFonts w:hint="eastAsia" w:hAnsi="宋体" w:cs="宋体"/>
          <w:color w:val="auto"/>
          <w:highlight w:val="none"/>
        </w:rPr>
        <w:t>（</w:t>
      </w:r>
      <w:r>
        <w:rPr>
          <w:color w:val="auto"/>
          <w:highlight w:val="none"/>
        </w:rPr>
        <w:t>3</w:t>
      </w:r>
      <w:r>
        <w:rPr>
          <w:rFonts w:hint="eastAsia" w:hAnsi="宋体" w:cs="宋体"/>
          <w:color w:val="auto"/>
          <w:highlight w:val="none"/>
        </w:rPr>
        <w:t>）</w:t>
      </w:r>
      <w:r>
        <w:rPr>
          <w:rFonts w:hint="eastAsia" w:ascii="宋体" w:hAnsi="宋体" w:cs="宋体"/>
          <w:b w:val="0"/>
          <w:bCs w:val="0"/>
          <w:color w:val="auto"/>
          <w:szCs w:val="21"/>
          <w:highlight w:val="none"/>
        </w:rPr>
        <w:t>发承包双方确认的按本规范规定计算的合同价款调整金额应列入</w:t>
      </w:r>
      <w:r>
        <w:rPr>
          <w:rFonts w:hint="eastAsia" w:ascii="宋体" w:hAnsi="宋体" w:cs="宋体"/>
          <w:b w:val="0"/>
          <w:bCs w:val="0"/>
          <w:color w:val="auto"/>
          <w:szCs w:val="21"/>
          <w:highlight w:val="none"/>
          <w:lang w:eastAsia="zh-CN"/>
        </w:rPr>
        <w:t>当</w:t>
      </w:r>
      <w:r>
        <w:rPr>
          <w:rFonts w:hint="eastAsia" w:ascii="宋体" w:hAnsi="宋体" w:cs="宋体"/>
          <w:b w:val="0"/>
          <w:bCs w:val="0"/>
          <w:color w:val="auto"/>
          <w:szCs w:val="21"/>
          <w:highlight w:val="none"/>
        </w:rPr>
        <w:t>期完成的进度款中。</w:t>
      </w:r>
    </w:p>
    <w:p w14:paraId="3576C9F9">
      <w:pPr>
        <w:spacing w:line="360" w:lineRule="auto"/>
        <w:ind w:firstLine="420" w:firstLineChars="200"/>
        <w:jc w:val="left"/>
        <w:rPr>
          <w:color w:val="auto"/>
          <w:highlight w:val="none"/>
        </w:rPr>
      </w:pPr>
      <w:r>
        <w:rPr>
          <w:color w:val="auto"/>
          <w:highlight w:val="none"/>
        </w:rPr>
        <w:t xml:space="preserve">12.4.4 </w:t>
      </w:r>
      <w:r>
        <w:rPr>
          <w:rFonts w:hint="eastAsia" w:hAnsi="宋体" w:cs="宋体"/>
          <w:color w:val="auto"/>
          <w:highlight w:val="none"/>
        </w:rPr>
        <w:t>进度款审核和支付</w:t>
      </w:r>
    </w:p>
    <w:p w14:paraId="4F9361B6">
      <w:pPr>
        <w:spacing w:line="360" w:lineRule="auto"/>
        <w:ind w:firstLine="420" w:firstLineChars="200"/>
        <w:jc w:val="left"/>
        <w:rPr>
          <w:color w:val="auto"/>
          <w:highlight w:val="none"/>
          <w:u w:val="single"/>
        </w:rPr>
      </w:pPr>
      <w:r>
        <w:rPr>
          <w:rFonts w:hint="eastAsia" w:hAnsi="宋体" w:cs="宋体"/>
          <w:color w:val="auto"/>
          <w:highlight w:val="none"/>
        </w:rPr>
        <w:t>（</w:t>
      </w:r>
      <w:r>
        <w:rPr>
          <w:color w:val="auto"/>
          <w:highlight w:val="none"/>
        </w:rPr>
        <w:t>1</w:t>
      </w:r>
      <w:r>
        <w:rPr>
          <w:rFonts w:hint="eastAsia" w:hAnsi="宋体" w:cs="宋体"/>
          <w:color w:val="auto"/>
          <w:highlight w:val="none"/>
        </w:rPr>
        <w:t>）监理人审查并报送发包人的期限：</w:t>
      </w:r>
      <w:r>
        <w:rPr>
          <w:rFonts w:hint="eastAsia"/>
          <w:color w:val="auto"/>
          <w:highlight w:val="none"/>
          <w:u w:val="single"/>
        </w:rPr>
        <w:t>收到资料后14 天内</w:t>
      </w:r>
      <w:r>
        <w:rPr>
          <w:color w:val="auto"/>
          <w:highlight w:val="none"/>
          <w:u w:val="single"/>
        </w:rPr>
        <w:t xml:space="preserve">     </w:t>
      </w:r>
      <w:r>
        <w:rPr>
          <w:rFonts w:hint="eastAsia" w:hAnsi="宋体" w:cs="宋体"/>
          <w:color w:val="auto"/>
          <w:highlight w:val="none"/>
        </w:rPr>
        <w:t>。</w:t>
      </w:r>
    </w:p>
    <w:p w14:paraId="0EB9B18B">
      <w:pPr>
        <w:spacing w:line="360" w:lineRule="auto"/>
        <w:ind w:firstLine="420" w:firstLineChars="200"/>
        <w:jc w:val="left"/>
        <w:rPr>
          <w:color w:val="auto"/>
          <w:highlight w:val="none"/>
          <w:u w:val="single"/>
        </w:rPr>
      </w:pPr>
      <w:r>
        <w:rPr>
          <w:rFonts w:hint="eastAsia" w:hAnsi="宋体" w:cs="宋体"/>
          <w:color w:val="auto"/>
          <w:highlight w:val="none"/>
        </w:rPr>
        <w:t>发包人完成审批并签发进度款支付证书的期限：</w:t>
      </w:r>
      <w:r>
        <w:rPr>
          <w:rFonts w:hint="eastAsia"/>
          <w:color w:val="auto"/>
          <w:highlight w:val="none"/>
          <w:u w:val="single"/>
        </w:rPr>
        <w:t>支付证书签发后14 天内。</w:t>
      </w:r>
    </w:p>
    <w:p w14:paraId="2F63780C">
      <w:pPr>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）发包人支付进度款的期限：</w:t>
      </w:r>
      <w:r>
        <w:rPr>
          <w:rFonts w:hint="eastAsia"/>
          <w:color w:val="auto"/>
          <w:highlight w:val="none"/>
          <w:u w:val="single"/>
        </w:rPr>
        <w:t>发包人签发进度款支付证书后 14 天内(具体支付时间以财政局国库放款时间为准)</w:t>
      </w:r>
      <w:r>
        <w:rPr>
          <w:rFonts w:hint="eastAsia" w:hAnsi="宋体" w:cs="宋体"/>
          <w:color w:val="auto"/>
          <w:highlight w:val="none"/>
        </w:rPr>
        <w:t>。</w:t>
      </w:r>
    </w:p>
    <w:p w14:paraId="6E2DA653">
      <w:pPr>
        <w:spacing w:line="360" w:lineRule="auto"/>
        <w:ind w:firstLine="525" w:firstLineChars="250"/>
        <w:jc w:val="left"/>
        <w:rPr>
          <w:color w:val="auto"/>
          <w:highlight w:val="none"/>
        </w:rPr>
      </w:pPr>
      <w:r>
        <w:rPr>
          <w:rFonts w:hint="eastAsia" w:hAnsi="宋体" w:cs="宋体"/>
          <w:color w:val="auto"/>
          <w:highlight w:val="none"/>
        </w:rPr>
        <w:t>发包人逾期支付进度款的违约金的计算方式：</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highlight w:val="none"/>
        </w:rPr>
        <w:t>。</w:t>
      </w:r>
    </w:p>
    <w:p w14:paraId="035ED024">
      <w:pPr>
        <w:spacing w:line="360" w:lineRule="auto"/>
        <w:ind w:firstLine="630" w:firstLineChars="300"/>
        <w:rPr>
          <w:rFonts w:hAnsi="宋体" w:cs="宋体"/>
          <w:color w:val="auto"/>
          <w:highlight w:val="none"/>
        </w:rPr>
      </w:pPr>
      <w:r>
        <w:rPr>
          <w:rFonts w:hint="eastAsia" w:hAnsi="宋体" w:cs="宋体"/>
          <w:color w:val="auto"/>
          <w:highlight w:val="none"/>
        </w:rPr>
        <w:t>进度款支付方式：</w:t>
      </w:r>
      <w:r>
        <w:rPr>
          <w:rFonts w:hint="eastAsia" w:hAnsi="宋体" w:cs="宋体"/>
          <w:color w:val="auto"/>
          <w:highlight w:val="none"/>
          <w:u w:val="single"/>
        </w:rPr>
        <w:t>银行转账</w:t>
      </w:r>
      <w:r>
        <w:rPr>
          <w:rFonts w:hint="eastAsia" w:hAnsi="宋体" w:cs="宋体"/>
          <w:color w:val="auto"/>
          <w:highlight w:val="none"/>
        </w:rPr>
        <w:t>。</w:t>
      </w:r>
      <w:r>
        <w:rPr>
          <w:rFonts w:hint="eastAsia"/>
          <w:color w:val="auto"/>
          <w:highlight w:val="none"/>
        </w:rPr>
        <w:t>进度款支付申请（核准）表见合同附件11。</w:t>
      </w:r>
    </w:p>
    <w:p w14:paraId="18F39D02">
      <w:pPr>
        <w:spacing w:line="360" w:lineRule="auto"/>
        <w:ind w:firstLine="525" w:firstLineChars="250"/>
        <w:jc w:val="left"/>
        <w:rPr>
          <w:rFonts w:hint="eastAsia" w:hAnsi="宋体" w:cs="宋体"/>
          <w:color w:val="auto"/>
          <w:kern w:val="0"/>
          <w:highlight w:val="none"/>
        </w:rPr>
      </w:pPr>
      <w:r>
        <w:rPr>
          <w:rFonts w:hint="eastAsia" w:hAnsi="宋体"/>
          <w:color w:val="auto"/>
          <w:highlight w:val="none"/>
        </w:rPr>
        <w:t xml:space="preserve">（3） </w:t>
      </w:r>
      <w:r>
        <w:rPr>
          <w:rFonts w:hint="eastAsia" w:hAnsi="宋体"/>
          <w:color w:val="auto"/>
          <w:highlight w:val="none"/>
          <w:lang w:eastAsia="zh-CN"/>
        </w:rPr>
        <w:t>人工费</w:t>
      </w:r>
      <w:r>
        <w:rPr>
          <w:rFonts w:hint="eastAsia" w:hAnsi="宋体"/>
          <w:color w:val="auto"/>
          <w:highlight w:val="none"/>
        </w:rPr>
        <w:t>支付</w:t>
      </w:r>
    </w:p>
    <w:p w14:paraId="59C1D836">
      <w:pPr>
        <w:spacing w:line="360" w:lineRule="auto"/>
        <w:ind w:firstLine="525" w:firstLineChars="250"/>
        <w:jc w:val="left"/>
        <w:rPr>
          <w:rFonts w:hint="eastAsia" w:hAnsi="宋体" w:cs="宋体"/>
          <w:color w:val="auto"/>
          <w:kern w:val="0"/>
          <w:highlight w:val="none"/>
        </w:rPr>
      </w:pPr>
      <w:r>
        <w:rPr>
          <w:rFonts w:hint="eastAsia" w:hAnsi="宋体" w:cs="宋体"/>
          <w:color w:val="auto"/>
          <w:kern w:val="0"/>
          <w:highlight w:val="none"/>
          <w:lang w:val="en-US" w:eastAsia="zh-CN"/>
        </w:rPr>
        <w:t>1</w:t>
      </w:r>
      <w:r>
        <w:rPr>
          <w:rFonts w:hint="eastAsia" w:hAnsi="宋体" w:cs="宋体"/>
          <w:color w:val="auto"/>
          <w:kern w:val="0"/>
          <w:highlight w:val="none"/>
        </w:rPr>
        <w:t>）人工费专款专用</w:t>
      </w:r>
      <w:r>
        <w:rPr>
          <w:rFonts w:hint="eastAsia" w:hAnsi="宋体" w:cs="宋体"/>
          <w:color w:val="auto"/>
          <w:kern w:val="0"/>
          <w:highlight w:val="none"/>
          <w:lang w:eastAsia="zh-CN"/>
        </w:rPr>
        <w:t>，</w:t>
      </w:r>
      <w:r>
        <w:rPr>
          <w:rFonts w:hint="eastAsia" w:hAnsi="宋体" w:cs="宋体"/>
          <w:color w:val="auto"/>
          <w:kern w:val="0"/>
          <w:highlight w:val="none"/>
        </w:rPr>
        <w:t>用于支付农民工工资</w:t>
      </w:r>
      <w:r>
        <w:rPr>
          <w:rFonts w:hint="eastAsia" w:hAnsi="宋体" w:cs="宋体"/>
          <w:color w:val="auto"/>
          <w:kern w:val="0"/>
          <w:highlight w:val="none"/>
          <w:lang w:eastAsia="zh-CN"/>
        </w:rPr>
        <w:t>，应</w:t>
      </w:r>
      <w:r>
        <w:rPr>
          <w:rFonts w:hint="eastAsia" w:hAnsi="宋体" w:cs="宋体"/>
          <w:color w:val="auto"/>
          <w:kern w:val="0"/>
          <w:highlight w:val="none"/>
        </w:rPr>
        <w:t>与工程进度款分</w:t>
      </w:r>
      <w:r>
        <w:rPr>
          <w:rFonts w:hint="eastAsia" w:hAnsi="宋体" w:cs="宋体"/>
          <w:color w:val="auto"/>
          <w:kern w:val="0"/>
          <w:highlight w:val="none"/>
          <w:lang w:eastAsia="zh-CN"/>
        </w:rPr>
        <w:t>账</w:t>
      </w:r>
      <w:r>
        <w:rPr>
          <w:rFonts w:hint="eastAsia" w:hAnsi="宋体" w:cs="宋体"/>
          <w:color w:val="auto"/>
          <w:kern w:val="0"/>
          <w:highlight w:val="none"/>
        </w:rPr>
        <w:t>管理。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每月</w:t>
      </w:r>
      <w:r>
        <w:rPr>
          <w:rFonts w:hint="eastAsia" w:hAnsi="宋体" w:cs="宋体"/>
          <w:color w:val="auto"/>
          <w:kern w:val="0"/>
          <w:highlight w:val="none"/>
          <w:u w:val="single"/>
        </w:rPr>
        <w:t xml:space="preserve">   </w:t>
      </w:r>
      <w:r>
        <w:rPr>
          <w:rFonts w:hint="eastAsia" w:hAnsi="宋体" w:cs="宋体"/>
          <w:color w:val="auto"/>
          <w:kern w:val="0"/>
          <w:highlight w:val="none"/>
        </w:rPr>
        <w:t>日前将当月应付人工费转入承包人为本项目开立的农民工工资专用账户。</w:t>
      </w:r>
    </w:p>
    <w:p w14:paraId="20A67C4D">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lang w:val="en-US" w:eastAsia="zh-CN"/>
        </w:rPr>
        <w:t>2</w:t>
      </w:r>
      <w:r>
        <w:rPr>
          <w:rFonts w:hint="eastAsia" w:hAnsi="宋体" w:cs="宋体"/>
          <w:color w:val="auto"/>
          <w:kern w:val="0"/>
          <w:highlight w:val="none"/>
        </w:rPr>
        <w:t>）农民工工资专用账户：</w:t>
      </w:r>
      <w:r>
        <w:rPr>
          <w:rFonts w:hint="eastAsia" w:hAnsi="宋体" w:cs="宋体"/>
          <w:color w:val="auto"/>
          <w:kern w:val="0"/>
          <w:highlight w:val="none"/>
          <w:u w:val="single"/>
        </w:rPr>
        <w:t xml:space="preserve">  </w:t>
      </w:r>
      <w:r>
        <w:rPr>
          <w:rFonts w:hint="eastAsia" w:hAnsi="宋体" w:cs="宋体"/>
          <w:color w:val="auto"/>
          <w:kern w:val="0"/>
          <w:highlight w:val="none"/>
          <w:u w:val="single"/>
          <w:lang w:val="en-US" w:eastAsia="zh-CN"/>
        </w:rPr>
        <w:t xml:space="preserve">    </w:t>
      </w:r>
      <w:r>
        <w:rPr>
          <w:rFonts w:hint="eastAsia" w:hAnsi="宋体" w:cs="宋体"/>
          <w:color w:val="auto"/>
          <w:kern w:val="0"/>
          <w:highlight w:val="none"/>
          <w:u w:val="single"/>
        </w:rPr>
        <w:t xml:space="preserve"> </w:t>
      </w:r>
      <w:r>
        <w:rPr>
          <w:rFonts w:hint="eastAsia" w:hAnsi="宋体" w:cs="宋体"/>
          <w:color w:val="auto"/>
          <w:kern w:val="0"/>
          <w:highlight w:val="none"/>
        </w:rPr>
        <w:t>公司</w:t>
      </w:r>
      <w:r>
        <w:rPr>
          <w:rFonts w:hint="eastAsia" w:hAnsi="宋体" w:cs="宋体"/>
          <w:color w:val="auto"/>
          <w:kern w:val="0"/>
          <w:highlight w:val="none"/>
          <w:u w:val="single"/>
        </w:rPr>
        <w:t xml:space="preserve">  </w:t>
      </w:r>
      <w:r>
        <w:rPr>
          <w:rFonts w:hint="eastAsia" w:hAnsi="宋体" w:cs="宋体"/>
          <w:color w:val="auto"/>
          <w:kern w:val="0"/>
          <w:highlight w:val="none"/>
          <w:u w:val="single"/>
          <w:lang w:val="en-US" w:eastAsia="zh-CN"/>
        </w:rPr>
        <w:t xml:space="preserve">    </w:t>
      </w:r>
      <w:r>
        <w:rPr>
          <w:rFonts w:hint="eastAsia" w:hAnsi="宋体" w:cs="宋体"/>
          <w:color w:val="auto"/>
          <w:kern w:val="0"/>
          <w:highlight w:val="none"/>
          <w:u w:val="single"/>
        </w:rPr>
        <w:t xml:space="preserve"> </w:t>
      </w:r>
      <w:r>
        <w:rPr>
          <w:rFonts w:hint="eastAsia" w:hAnsi="宋体" w:cs="宋体"/>
          <w:color w:val="auto"/>
          <w:kern w:val="0"/>
          <w:highlight w:val="none"/>
        </w:rPr>
        <w:t>项目农民工工资专用账户。账号：</w:t>
      </w:r>
      <w:r>
        <w:rPr>
          <w:rFonts w:hint="eastAsia" w:hAnsi="宋体" w:cs="宋体"/>
          <w:color w:val="auto"/>
          <w:kern w:val="0"/>
          <w:highlight w:val="none"/>
          <w:u w:val="single"/>
        </w:rPr>
        <w:t xml:space="preserve"> </w:t>
      </w:r>
      <w:r>
        <w:rPr>
          <w:rFonts w:hint="eastAsia" w:hAnsi="宋体" w:cs="宋体"/>
          <w:color w:val="auto"/>
          <w:kern w:val="0"/>
          <w:highlight w:val="none"/>
          <w:u w:val="single"/>
          <w:lang w:val="en-US" w:eastAsia="zh-CN"/>
        </w:rPr>
        <w:t xml:space="preserve">      </w:t>
      </w:r>
      <w:r>
        <w:rPr>
          <w:rFonts w:hint="eastAsia" w:hAnsi="宋体" w:cs="宋体"/>
          <w:color w:val="auto"/>
          <w:kern w:val="0"/>
          <w:highlight w:val="none"/>
          <w:u w:val="single"/>
        </w:rPr>
        <w:t xml:space="preserve">  </w:t>
      </w:r>
      <w:r>
        <w:rPr>
          <w:rFonts w:hint="eastAsia" w:hAnsi="宋体" w:cs="宋体"/>
          <w:color w:val="auto"/>
          <w:kern w:val="0"/>
          <w:highlight w:val="none"/>
        </w:rPr>
        <w:t>。</w:t>
      </w:r>
    </w:p>
    <w:p w14:paraId="4A08EBCC">
      <w:pPr>
        <w:spacing w:line="360" w:lineRule="auto"/>
        <w:ind w:firstLine="525" w:firstLineChars="250"/>
        <w:jc w:val="left"/>
        <w:rPr>
          <w:rFonts w:hAnsi="宋体"/>
          <w:color w:val="auto"/>
          <w:highlight w:val="none"/>
        </w:rPr>
      </w:pPr>
      <w:r>
        <w:rPr>
          <w:color w:val="auto"/>
          <w:highlight w:val="none"/>
        </w:rPr>
        <w:t xml:space="preserve">12.4.6 </w:t>
      </w:r>
      <w:r>
        <w:rPr>
          <w:rFonts w:hint="eastAsia" w:hAnsi="宋体" w:cs="宋体"/>
          <w:color w:val="auto"/>
          <w:highlight w:val="none"/>
        </w:rPr>
        <w:t>支付分解表的编制</w:t>
      </w:r>
    </w:p>
    <w:p w14:paraId="5206351D">
      <w:pPr>
        <w:spacing w:line="360" w:lineRule="auto"/>
        <w:ind w:firstLine="420" w:firstLineChars="200"/>
        <w:jc w:val="left"/>
        <w:rPr>
          <w:color w:val="auto"/>
          <w:highlight w:val="none"/>
          <w:u w:val="single"/>
        </w:rPr>
      </w:pPr>
      <w:r>
        <w:rPr>
          <w:rFonts w:hint="eastAsia"/>
          <w:color w:val="auto"/>
          <w:highlight w:val="none"/>
        </w:rPr>
        <w:t>（</w:t>
      </w:r>
      <w:r>
        <w:rPr>
          <w:color w:val="auto"/>
          <w:highlight w:val="none"/>
        </w:rPr>
        <w:t>1</w:t>
      </w:r>
      <w:r>
        <w:rPr>
          <w:rFonts w:hint="eastAsia"/>
          <w:color w:val="auto"/>
          <w:highlight w:val="none"/>
        </w:rPr>
        <w:t>）</w:t>
      </w:r>
      <w:r>
        <w:rPr>
          <w:rFonts w:hint="eastAsia" w:hAnsi="宋体" w:cs="宋体"/>
          <w:color w:val="auto"/>
          <w:highlight w:val="none"/>
        </w:rPr>
        <w:t>总价合同支付分解表的编制与审批：</w:t>
      </w:r>
      <w:r>
        <w:rPr>
          <w:rFonts w:hint="eastAsia"/>
          <w:color w:val="auto"/>
          <w:highlight w:val="none"/>
          <w:u w:val="none"/>
        </w:rPr>
        <w:t>总价合同支付</w:t>
      </w:r>
      <w:r>
        <w:rPr>
          <w:rFonts w:hint="eastAsia"/>
          <w:color w:val="auto"/>
          <w:highlight w:val="none"/>
          <w:u w:val="none"/>
          <w:lang w:eastAsia="zh-CN"/>
        </w:rPr>
        <w:t>分</w:t>
      </w:r>
      <w:r>
        <w:rPr>
          <w:rFonts w:hint="eastAsia"/>
          <w:color w:val="auto"/>
          <w:highlight w:val="none"/>
          <w:u w:val="none"/>
        </w:rPr>
        <w:t>解表在招标完成后由发包人和承包人共同编制</w:t>
      </w:r>
      <w:r>
        <w:rPr>
          <w:rFonts w:hint="eastAsia"/>
          <w:color w:val="auto"/>
          <w:highlight w:val="none"/>
          <w:u w:val="none"/>
          <w:lang w:eastAsia="zh-CN"/>
        </w:rPr>
        <w:t>，由</w:t>
      </w:r>
      <w:r>
        <w:rPr>
          <w:rFonts w:hint="eastAsia"/>
          <w:color w:val="auto"/>
          <w:highlight w:val="none"/>
          <w:u w:val="none"/>
        </w:rPr>
        <w:t>发包人审批，并作为本合同内容，具体详见合同附件14。</w:t>
      </w:r>
    </w:p>
    <w:p w14:paraId="02C9788F">
      <w:pPr>
        <w:spacing w:line="360" w:lineRule="auto"/>
        <w:ind w:firstLine="420" w:firstLineChars="200"/>
        <w:jc w:val="left"/>
        <w:rPr>
          <w:rFonts w:hint="eastAsia" w:hAnsi="宋体" w:cs="宋体"/>
          <w:color w:val="auto"/>
          <w:highlight w:val="none"/>
        </w:rPr>
      </w:pPr>
      <w:r>
        <w:rPr>
          <w:rFonts w:hint="eastAsia"/>
          <w:color w:val="auto"/>
          <w:highlight w:val="none"/>
        </w:rPr>
        <w:t>（2）</w:t>
      </w:r>
      <w:r>
        <w:rPr>
          <w:rFonts w:hint="eastAsia" w:hAnsi="宋体" w:cs="宋体"/>
          <w:color w:val="auto"/>
          <w:highlight w:val="none"/>
        </w:rPr>
        <w:t>单价合同的总价项目支付分解表的编制与审批：</w:t>
      </w:r>
      <w:r>
        <w:rPr>
          <w:rFonts w:hint="eastAsia" w:hAnsi="宋体" w:cs="宋体"/>
          <w:color w:val="auto"/>
          <w:highlight w:val="none"/>
          <w:lang w:eastAsia="zh-CN"/>
        </w:rPr>
        <w:t>单价合同的</w:t>
      </w:r>
      <w:r>
        <w:rPr>
          <w:rFonts w:hint="eastAsia" w:hAnsi="宋体" w:cs="宋体"/>
          <w:color w:val="auto"/>
          <w:highlight w:val="none"/>
        </w:rPr>
        <w:t>总价项目不采用支付分解表的方式计算</w:t>
      </w:r>
      <w:r>
        <w:rPr>
          <w:rFonts w:hint="eastAsia" w:hAnsi="宋体" w:cs="宋体"/>
          <w:color w:val="auto"/>
          <w:highlight w:val="none"/>
          <w:lang w:eastAsia="zh-CN"/>
        </w:rPr>
        <w:t>的，具体按</w:t>
      </w:r>
      <w:r>
        <w:rPr>
          <w:rFonts w:hint="eastAsia" w:hAnsi="宋体" w:cs="宋体"/>
          <w:color w:val="auto"/>
          <w:highlight w:val="none"/>
          <w:lang w:val="en-US" w:eastAsia="zh-CN"/>
        </w:rPr>
        <w:t>12.4.3约定计算</w:t>
      </w:r>
      <w:r>
        <w:rPr>
          <w:rFonts w:hint="eastAsia" w:hAnsi="宋体" w:cs="宋体"/>
          <w:color w:val="auto"/>
          <w:highlight w:val="none"/>
        </w:rPr>
        <w:t>。</w:t>
      </w:r>
    </w:p>
    <w:p w14:paraId="4491BC85">
      <w:pPr>
        <w:spacing w:line="360" w:lineRule="auto"/>
        <w:ind w:firstLine="420" w:firstLineChars="200"/>
        <w:jc w:val="left"/>
        <w:rPr>
          <w:rFonts w:hint="eastAsia" w:hAnsi="宋体" w:cs="宋体"/>
          <w:color w:val="auto"/>
          <w:highlight w:val="none"/>
        </w:rPr>
      </w:pPr>
      <w:r>
        <w:rPr>
          <w:rFonts w:hint="eastAsia" w:hAnsi="宋体" w:cs="宋体"/>
          <w:color w:val="auto"/>
          <w:highlight w:val="none"/>
          <w:lang w:val="en-US" w:eastAsia="zh-CN"/>
        </w:rPr>
        <w:t>12.4.7</w:t>
      </w:r>
      <w:r>
        <w:rPr>
          <w:rFonts w:hint="eastAsia" w:hAnsi="宋体" w:cs="宋体"/>
          <w:color w:val="auto"/>
          <w:highlight w:val="none"/>
        </w:rPr>
        <w:t>发承包双方签署确认的进度款工程计量成果不作为工程结算依据。</w:t>
      </w:r>
    </w:p>
    <w:p w14:paraId="05A806D8">
      <w:pPr>
        <w:spacing w:line="360" w:lineRule="auto"/>
        <w:ind w:firstLine="525" w:firstLineChars="250"/>
        <w:jc w:val="left"/>
        <w:rPr>
          <w:rFonts w:hint="eastAsia" w:hAnsi="宋体" w:cs="宋体"/>
          <w:color w:val="auto"/>
          <w:highlight w:val="none"/>
        </w:rPr>
      </w:pPr>
    </w:p>
    <w:p w14:paraId="06815189">
      <w:pPr>
        <w:spacing w:line="360" w:lineRule="auto"/>
        <w:ind w:firstLine="643" w:firstLineChars="200"/>
        <w:jc w:val="left"/>
        <w:outlineLvl w:val="9"/>
        <w:rPr>
          <w:rFonts w:hint="eastAsia" w:hAnsi="宋体" w:cs="宋体"/>
          <w:color w:val="auto"/>
          <w:highlight w:val="none"/>
        </w:rPr>
      </w:pPr>
      <w:r>
        <w:rPr>
          <w:rFonts w:hint="default" w:ascii="Times New Roman" w:hAnsi="Times New Roman" w:eastAsia="黑体" w:cs="Times New Roman"/>
          <w:b/>
          <w:bCs/>
          <w:color w:val="auto"/>
          <w:sz w:val="32"/>
          <w:szCs w:val="32"/>
          <w:highlight w:val="none"/>
          <w:lang w:val="zh-CN" w:eastAsia="zh-CN"/>
        </w:rPr>
        <w:t>1</w:t>
      </w:r>
      <w:r>
        <w:rPr>
          <w:rFonts w:hint="default" w:ascii="Times New Roman" w:hAnsi="Times New Roman" w:eastAsia="黑体" w:cs="Times New Roman"/>
          <w:b/>
          <w:bCs/>
          <w:color w:val="auto"/>
          <w:sz w:val="32"/>
          <w:szCs w:val="32"/>
          <w:highlight w:val="none"/>
          <w:lang w:val="zh-CN"/>
        </w:rPr>
        <w:t>2.5过程结算</w:t>
      </w:r>
    </w:p>
    <w:p w14:paraId="15D13551">
      <w:pPr>
        <w:spacing w:line="360" w:lineRule="auto"/>
        <w:ind w:firstLine="525" w:firstLineChars="250"/>
        <w:jc w:val="left"/>
        <w:rPr>
          <w:rFonts w:hint="eastAsia" w:hAnsi="宋体" w:cs="宋体"/>
          <w:color w:val="auto"/>
          <w:highlight w:val="none"/>
        </w:rPr>
      </w:pPr>
      <w:r>
        <w:rPr>
          <w:rFonts w:hint="eastAsia" w:hAnsi="宋体" w:cs="宋体"/>
          <w:color w:val="auto"/>
          <w:highlight w:val="none"/>
        </w:rPr>
        <w:t xml:space="preserve">本工程是否实施过程结算：□是       </w:t>
      </w:r>
      <w:r>
        <w:rPr>
          <w:rFonts w:hint="eastAsia" w:hAnsi="宋体" w:cs="宋体"/>
          <w:color w:val="auto"/>
          <w:highlight w:val="none"/>
          <w:lang w:eastAsia="zh-CN"/>
        </w:rPr>
        <w:t>☑</w:t>
      </w:r>
      <w:r>
        <w:rPr>
          <w:rFonts w:hint="eastAsia" w:hAnsi="宋体" w:cs="宋体"/>
          <w:color w:val="auto"/>
          <w:highlight w:val="none"/>
        </w:rPr>
        <w:t>否。</w:t>
      </w:r>
    </w:p>
    <w:p w14:paraId="50B57E81">
      <w:pPr>
        <w:spacing w:line="360" w:lineRule="auto"/>
        <w:ind w:firstLine="525" w:firstLineChars="250"/>
        <w:jc w:val="left"/>
        <w:rPr>
          <w:rFonts w:hint="eastAsia" w:hAnsi="宋体" w:cs="宋体"/>
          <w:color w:val="auto"/>
          <w:highlight w:val="none"/>
        </w:rPr>
      </w:pPr>
      <w:r>
        <w:rPr>
          <w:rFonts w:hint="eastAsia" w:hAnsi="宋体" w:cs="宋体"/>
          <w:color w:val="auto"/>
          <w:highlight w:val="none"/>
        </w:rPr>
        <w:t xml:space="preserve">12.5.1过程结算节点划分：                      </w:t>
      </w:r>
    </w:p>
    <w:p w14:paraId="5B828AC3">
      <w:pPr>
        <w:spacing w:line="360" w:lineRule="auto"/>
        <w:ind w:firstLine="525" w:firstLineChars="250"/>
        <w:jc w:val="left"/>
        <w:rPr>
          <w:rFonts w:hint="eastAsia" w:hAnsi="宋体" w:cs="宋体"/>
          <w:color w:val="auto"/>
          <w:highlight w:val="none"/>
        </w:rPr>
      </w:pPr>
      <w:r>
        <w:rPr>
          <w:rFonts w:hint="eastAsia" w:hAnsi="宋体" w:cs="宋体"/>
          <w:color w:val="auto"/>
          <w:highlight w:val="none"/>
        </w:rPr>
        <w:t>发承包双方对项目工程过程结算节点的划分如下：</w:t>
      </w:r>
    </w:p>
    <w:p w14:paraId="329D9889">
      <w:pPr>
        <w:numPr>
          <w:ilvl w:val="0"/>
          <w:numId w:val="6"/>
        </w:numPr>
        <w:spacing w:line="360" w:lineRule="auto"/>
        <w:ind w:firstLine="525" w:firstLineChars="250"/>
        <w:jc w:val="left"/>
        <w:rPr>
          <w:rFonts w:hint="eastAsia" w:hAnsi="宋体" w:cs="宋体"/>
          <w:color w:val="auto"/>
          <w:highlight w:val="none"/>
          <w:u w:val="single"/>
        </w:rPr>
      </w:pPr>
      <w:r>
        <w:rPr>
          <w:rFonts w:hint="eastAsia" w:hAnsi="宋体" w:cs="宋体"/>
          <w:color w:val="auto"/>
          <w:highlight w:val="none"/>
          <w:u w:val="single"/>
          <w:lang w:val="en-US" w:eastAsia="zh-CN"/>
        </w:rPr>
        <w:t xml:space="preserve">                                    </w:t>
      </w:r>
    </w:p>
    <w:p w14:paraId="72B9A4CB">
      <w:pPr>
        <w:numPr>
          <w:ilvl w:val="0"/>
          <w:numId w:val="6"/>
        </w:numPr>
        <w:spacing w:line="360" w:lineRule="auto"/>
        <w:ind w:firstLine="525" w:firstLineChars="250"/>
        <w:jc w:val="left"/>
        <w:rPr>
          <w:rFonts w:hint="eastAsia" w:hAnsi="宋体" w:cs="宋体"/>
          <w:color w:val="auto"/>
          <w:highlight w:val="none"/>
        </w:rPr>
      </w:pPr>
      <w:r>
        <w:rPr>
          <w:rFonts w:hint="eastAsia" w:hAnsi="宋体" w:cs="宋体"/>
          <w:color w:val="auto"/>
          <w:highlight w:val="none"/>
          <w:u w:val="single"/>
          <w:lang w:val="en-US" w:eastAsia="zh-CN"/>
        </w:rPr>
        <w:t xml:space="preserve">                                    </w:t>
      </w:r>
    </w:p>
    <w:p w14:paraId="52431007">
      <w:pPr>
        <w:numPr>
          <w:ilvl w:val="0"/>
          <w:numId w:val="6"/>
        </w:numPr>
        <w:spacing w:line="360" w:lineRule="auto"/>
        <w:ind w:firstLine="525" w:firstLineChars="250"/>
        <w:jc w:val="left"/>
        <w:rPr>
          <w:rFonts w:hint="eastAsia" w:hAnsi="宋体" w:cs="宋体"/>
          <w:color w:val="auto"/>
          <w:highlight w:val="none"/>
          <w:u w:val="single"/>
        </w:rPr>
      </w:pPr>
      <w:r>
        <w:rPr>
          <w:rFonts w:hint="eastAsia" w:hAnsi="宋体" w:cs="宋体"/>
          <w:color w:val="auto"/>
          <w:highlight w:val="none"/>
          <w:u w:val="single"/>
          <w:lang w:val="en-US" w:eastAsia="zh-CN"/>
        </w:rPr>
        <w:t xml:space="preserve">                                    </w:t>
      </w:r>
    </w:p>
    <w:p w14:paraId="2F1B2A82">
      <w:pPr>
        <w:numPr>
          <w:ilvl w:val="0"/>
          <w:numId w:val="6"/>
        </w:numPr>
        <w:spacing w:line="360" w:lineRule="auto"/>
        <w:ind w:firstLine="525" w:firstLineChars="250"/>
        <w:jc w:val="left"/>
        <w:rPr>
          <w:rFonts w:hint="eastAsia" w:hAnsi="宋体" w:cs="宋体"/>
          <w:color w:val="auto"/>
          <w:highlight w:val="none"/>
          <w:u w:val="single"/>
        </w:rPr>
      </w:pPr>
      <w:r>
        <w:rPr>
          <w:rFonts w:hint="eastAsia" w:hAnsi="宋体" w:cs="宋体"/>
          <w:color w:val="auto"/>
          <w:highlight w:val="none"/>
          <w:u w:val="single"/>
          <w:lang w:val="en-US" w:eastAsia="zh-CN"/>
        </w:rPr>
        <w:t xml:space="preserve">                                    </w:t>
      </w:r>
    </w:p>
    <w:p w14:paraId="71591889">
      <w:pPr>
        <w:spacing w:line="360" w:lineRule="auto"/>
        <w:ind w:firstLine="525" w:firstLineChars="250"/>
        <w:jc w:val="left"/>
        <w:rPr>
          <w:rFonts w:hint="eastAsia" w:hAnsi="宋体" w:cs="宋体"/>
          <w:color w:val="auto"/>
          <w:highlight w:val="none"/>
        </w:rPr>
      </w:pPr>
      <w:r>
        <w:rPr>
          <w:rFonts w:hint="eastAsia" w:hAnsi="宋体" w:cs="宋体"/>
          <w:color w:val="auto"/>
          <w:highlight w:val="none"/>
        </w:rPr>
        <w:t>划分提示</w:t>
      </w:r>
      <w:r>
        <w:rPr>
          <w:rFonts w:hint="eastAsia" w:hAnsi="宋体" w:cs="宋体"/>
          <w:color w:val="auto"/>
          <w:highlight w:val="none"/>
          <w:lang w:eastAsia="zh-CN"/>
        </w:rPr>
        <w:t>：</w:t>
      </w:r>
      <w:r>
        <w:rPr>
          <w:rFonts w:hint="eastAsia" w:hAnsi="宋体" w:cs="宋体"/>
          <w:color w:val="auto"/>
          <w:highlight w:val="none"/>
        </w:rPr>
        <w:t>发承包双方可根据项目大小合理划分，房屋建筑工程施工过程结算节点可分为土方开挖及基坑支护、桩基工程、地下室工程、地上主体结构工程（可分段）和装饰装修及安装工程（可分专业）等。市政基础设施建筑工程施工过程结算节点可采用分段、分单项或分专业合理划分。</w:t>
      </w:r>
    </w:p>
    <w:p w14:paraId="41C14113">
      <w:pPr>
        <w:spacing w:line="360" w:lineRule="auto"/>
        <w:ind w:firstLine="525" w:firstLineChars="250"/>
        <w:jc w:val="left"/>
        <w:rPr>
          <w:rFonts w:hint="eastAsia" w:hAnsi="宋体" w:cs="宋体"/>
          <w:color w:val="auto"/>
          <w:highlight w:val="none"/>
        </w:rPr>
      </w:pPr>
      <w:r>
        <w:rPr>
          <w:rFonts w:hint="eastAsia" w:hAnsi="宋体" w:cs="宋体"/>
          <w:color w:val="auto"/>
          <w:highlight w:val="none"/>
        </w:rPr>
        <w:t>12.5.2过程结算程序</w:t>
      </w:r>
    </w:p>
    <w:p w14:paraId="2DE8D767">
      <w:pPr>
        <w:spacing w:line="360" w:lineRule="auto"/>
        <w:ind w:firstLine="525" w:firstLineChars="250"/>
        <w:jc w:val="left"/>
        <w:rPr>
          <w:rFonts w:hint="eastAsia" w:hAnsi="宋体" w:cs="宋体"/>
          <w:color w:val="auto"/>
          <w:highlight w:val="none"/>
        </w:rPr>
      </w:pPr>
      <w:r>
        <w:rPr>
          <w:rFonts w:hint="eastAsia" w:hAnsi="宋体" w:cs="宋体"/>
          <w:color w:val="auto"/>
          <w:highlight w:val="none"/>
        </w:rPr>
        <w:t>12.5.2.1过程结算应在结算节点工程质量验收合格后进行。</w:t>
      </w:r>
    </w:p>
    <w:p w14:paraId="3F807EE6">
      <w:pPr>
        <w:spacing w:line="360" w:lineRule="auto"/>
        <w:ind w:firstLine="525" w:firstLineChars="250"/>
        <w:jc w:val="left"/>
        <w:rPr>
          <w:rFonts w:hint="eastAsia" w:hAnsi="宋体" w:cs="宋体"/>
          <w:color w:val="auto"/>
          <w:highlight w:val="none"/>
        </w:rPr>
      </w:pPr>
      <w:r>
        <w:rPr>
          <w:rFonts w:hint="eastAsia" w:hAnsi="宋体" w:cs="宋体"/>
          <w:color w:val="auto"/>
          <w:highlight w:val="none"/>
        </w:rPr>
        <w:t>12.5.2.2发承包双方选择以下第</w:t>
      </w:r>
      <w:r>
        <w:rPr>
          <w:rFonts w:hint="eastAsia" w:hAnsi="宋体" w:cs="宋体"/>
          <w:color w:val="auto"/>
          <w:highlight w:val="none"/>
          <w:u w:val="single"/>
        </w:rPr>
        <w:t xml:space="preserve">    </w:t>
      </w:r>
      <w:r>
        <w:rPr>
          <w:rFonts w:hint="eastAsia" w:hAnsi="宋体" w:cs="宋体"/>
          <w:color w:val="auto"/>
          <w:highlight w:val="none"/>
        </w:rPr>
        <w:t>种方式完成工程项目的过程结算：</w:t>
      </w:r>
    </w:p>
    <w:p w14:paraId="36E03C3C">
      <w:pPr>
        <w:spacing w:line="360" w:lineRule="auto"/>
        <w:ind w:firstLine="525" w:firstLineChars="250"/>
        <w:jc w:val="left"/>
        <w:rPr>
          <w:rFonts w:hint="eastAsia" w:hAnsi="宋体" w:cs="宋体"/>
          <w:color w:val="auto"/>
          <w:highlight w:val="none"/>
        </w:rPr>
      </w:pPr>
      <w:r>
        <w:rPr>
          <w:rFonts w:hint="eastAsia" w:hAnsi="宋体" w:cs="宋体"/>
          <w:color w:val="auto"/>
          <w:highlight w:val="none"/>
        </w:rPr>
        <w:t>（1</w:t>
      </w:r>
      <w:r>
        <w:rPr>
          <w:rFonts w:hint="eastAsia" w:hAnsi="宋体" w:cs="宋体"/>
          <w:color w:val="auto"/>
          <w:highlight w:val="none"/>
          <w:lang w:eastAsia="zh-CN"/>
        </w:rPr>
        <w:t>）</w:t>
      </w:r>
      <w:r>
        <w:rPr>
          <w:rFonts w:hint="eastAsia" w:hAnsi="宋体" w:cs="宋体"/>
          <w:color w:val="auto"/>
          <w:highlight w:val="none"/>
        </w:rPr>
        <w:t>合同未约定竣工结算以财政部门意见为准时，承包方应在施工过程结算节点工程验收合格的</w:t>
      </w:r>
      <w:r>
        <w:rPr>
          <w:rFonts w:hint="eastAsia" w:hAnsi="宋体" w:cs="宋体"/>
          <w:color w:val="auto"/>
          <w:highlight w:val="none"/>
          <w:u w:val="single"/>
        </w:rPr>
        <w:t xml:space="preserve">    </w:t>
      </w:r>
      <w:r>
        <w:rPr>
          <w:rFonts w:hint="eastAsia" w:hAnsi="宋体" w:cs="宋体"/>
          <w:color w:val="auto"/>
          <w:highlight w:val="none"/>
        </w:rPr>
        <w:t>日内（根据过程结算节点工程量约定，但不得超过50天）向发包方递交完整的施工过程结算文件及相应结算资料；发包方收到上述文件资料后应在</w:t>
      </w:r>
      <w:r>
        <w:rPr>
          <w:rFonts w:hint="eastAsia" w:hAnsi="宋体" w:cs="宋体"/>
          <w:color w:val="auto"/>
          <w:highlight w:val="none"/>
          <w:u w:val="single"/>
        </w:rPr>
        <w:t xml:space="preserve">   </w:t>
      </w:r>
      <w:r>
        <w:rPr>
          <w:rFonts w:hint="eastAsia" w:hAnsi="宋体" w:cs="宋体"/>
          <w:color w:val="auto"/>
          <w:highlight w:val="none"/>
        </w:rPr>
        <w:t>日内（根据过程结算节点工程量约定，但审核时限不得超过附表规定的时间）完成施工过程结算的核对、确认。因发包方原因逾期未完成审核或已完成审核但是逾期向承包方提出异议的，可视同发包方认可承包方报送的施工过程结算文件。因承包方原因未在约定期限内 提交施工过程结算文件，发包方可以依据已有资料自行开展施工过程结算活动。</w:t>
      </w:r>
    </w:p>
    <w:p w14:paraId="6FD12762">
      <w:pPr>
        <w:spacing w:line="360" w:lineRule="auto"/>
        <w:ind w:firstLine="525" w:firstLineChars="250"/>
        <w:jc w:val="left"/>
        <w:rPr>
          <w:rFonts w:hint="eastAsia" w:hAnsi="宋体" w:cs="宋体"/>
          <w:color w:val="auto"/>
          <w:highlight w:val="none"/>
        </w:rPr>
      </w:pPr>
      <w:r>
        <w:rPr>
          <w:rFonts w:hint="eastAsia" w:hAnsi="宋体" w:cs="宋体"/>
          <w:color w:val="auto"/>
          <w:highlight w:val="none"/>
        </w:rPr>
        <w:t>施工过程结算发包方审核时限：</w:t>
      </w:r>
    </w:p>
    <w:tbl>
      <w:tblPr>
        <w:tblStyle w:val="22"/>
        <w:tblW w:w="94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3"/>
        <w:gridCol w:w="3049"/>
      </w:tblGrid>
      <w:tr w14:paraId="31231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3" w:type="dxa"/>
            <w:noWrap w:val="0"/>
            <w:vAlign w:val="center"/>
          </w:tcPr>
          <w:p w14:paraId="12E92665">
            <w:pPr>
              <w:pStyle w:val="53"/>
              <w:keepNext w:val="0"/>
              <w:keepLines w:val="0"/>
              <w:suppressLineNumbers w:val="0"/>
              <w:spacing w:before="0" w:beforeAutospacing="0" w:after="0" w:afterAutospacing="0" w:line="360" w:lineRule="auto"/>
              <w:ind w:left="420" w:leftChars="200" w:right="0" w:firstLine="0"/>
              <w:jc w:val="both"/>
              <w:rPr>
                <w:rFonts w:hint="default"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过程结算金额</w:t>
            </w:r>
          </w:p>
        </w:tc>
        <w:tc>
          <w:tcPr>
            <w:tcW w:w="3049" w:type="dxa"/>
            <w:noWrap w:val="0"/>
            <w:vAlign w:val="center"/>
          </w:tcPr>
          <w:p w14:paraId="21DA8B96">
            <w:pPr>
              <w:pStyle w:val="53"/>
              <w:keepNext w:val="0"/>
              <w:keepLines w:val="0"/>
              <w:suppressLineNumbers w:val="0"/>
              <w:spacing w:before="0" w:beforeAutospacing="0" w:after="0" w:afterAutospacing="0" w:line="360" w:lineRule="auto"/>
              <w:ind w:left="420" w:leftChars="200" w:right="0" w:firstLine="0"/>
              <w:jc w:val="both"/>
              <w:rPr>
                <w:rFonts w:hint="default"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审核时间</w:t>
            </w:r>
          </w:p>
        </w:tc>
      </w:tr>
      <w:tr w14:paraId="7E03F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3" w:type="dxa"/>
            <w:noWrap w:val="0"/>
            <w:vAlign w:val="center"/>
          </w:tcPr>
          <w:p w14:paraId="7B207D14">
            <w:pPr>
              <w:pStyle w:val="53"/>
              <w:keepNext w:val="0"/>
              <w:keepLines w:val="0"/>
              <w:suppressLineNumbers w:val="0"/>
              <w:spacing w:before="0" w:beforeAutospacing="0" w:after="0" w:afterAutospacing="0" w:line="360" w:lineRule="auto"/>
              <w:ind w:left="420" w:leftChars="200" w:right="0" w:firstLine="0"/>
              <w:jc w:val="both"/>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500</w:t>
            </w:r>
            <w:r>
              <w:rPr>
                <w:rFonts w:hint="eastAsia" w:ascii="Times New Roman" w:cs="Times New Roman"/>
                <w:color w:val="auto"/>
                <w:kern w:val="2"/>
                <w:sz w:val="21"/>
                <w:szCs w:val="21"/>
                <w:highlight w:val="none"/>
                <w:lang w:val="en-US" w:eastAsia="zh-CN" w:bidi="ar-SA"/>
              </w:rPr>
              <w:t>万元以下</w:t>
            </w:r>
          </w:p>
        </w:tc>
        <w:tc>
          <w:tcPr>
            <w:tcW w:w="3049" w:type="dxa"/>
            <w:noWrap w:val="0"/>
            <w:vAlign w:val="center"/>
          </w:tcPr>
          <w:p w14:paraId="4FF8BEA9">
            <w:pPr>
              <w:pStyle w:val="53"/>
              <w:keepNext w:val="0"/>
              <w:keepLines w:val="0"/>
              <w:suppressLineNumbers w:val="0"/>
              <w:spacing w:before="0" w:beforeAutospacing="0" w:after="0" w:afterAutospacing="0" w:line="360" w:lineRule="auto"/>
              <w:ind w:left="420" w:leftChars="200" w:right="0" w:firstLine="0"/>
              <w:jc w:val="both"/>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20</w:t>
            </w:r>
            <w:r>
              <w:rPr>
                <w:rFonts w:hint="eastAsia" w:ascii="Times New Roman" w:cs="Times New Roman"/>
                <w:color w:val="auto"/>
                <w:kern w:val="2"/>
                <w:sz w:val="21"/>
                <w:szCs w:val="21"/>
                <w:highlight w:val="none"/>
                <w:lang w:val="en-US" w:eastAsia="zh-CN" w:bidi="ar-SA"/>
              </w:rPr>
              <w:t>天</w:t>
            </w:r>
          </w:p>
        </w:tc>
      </w:tr>
      <w:tr w14:paraId="5CBB9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3" w:type="dxa"/>
            <w:noWrap w:val="0"/>
            <w:vAlign w:val="center"/>
          </w:tcPr>
          <w:p w14:paraId="2C656DF8">
            <w:pPr>
              <w:pStyle w:val="53"/>
              <w:keepNext w:val="0"/>
              <w:keepLines w:val="0"/>
              <w:suppressLineNumbers w:val="0"/>
              <w:spacing w:before="0" w:beforeAutospacing="0" w:after="0" w:afterAutospacing="0" w:line="360" w:lineRule="auto"/>
              <w:ind w:left="420" w:leftChars="200" w:right="0" w:firstLine="0"/>
              <w:jc w:val="both"/>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500</w:t>
            </w:r>
            <w:r>
              <w:rPr>
                <w:rFonts w:hint="eastAsia" w:ascii="Times New Roman" w:cs="Times New Roman"/>
                <w:color w:val="auto"/>
                <w:kern w:val="2"/>
                <w:sz w:val="21"/>
                <w:szCs w:val="21"/>
                <w:highlight w:val="none"/>
                <w:lang w:val="en-US" w:eastAsia="zh-CN" w:bidi="ar-SA"/>
              </w:rPr>
              <w:t>万元</w:t>
            </w:r>
            <w:r>
              <w:rPr>
                <w:rFonts w:hint="default" w:ascii="Times New Roman" w:cs="Times New Roman"/>
                <w:color w:val="auto"/>
                <w:kern w:val="2"/>
                <w:sz w:val="21"/>
                <w:szCs w:val="21"/>
                <w:highlight w:val="none"/>
                <w:lang w:val="en-US" w:eastAsia="zh-CN" w:bidi="ar-SA"/>
              </w:rPr>
              <w:t>-2000</w:t>
            </w:r>
            <w:r>
              <w:rPr>
                <w:rFonts w:hint="eastAsia" w:ascii="Times New Roman" w:cs="Times New Roman"/>
                <w:color w:val="auto"/>
                <w:kern w:val="2"/>
                <w:sz w:val="21"/>
                <w:szCs w:val="21"/>
                <w:highlight w:val="none"/>
                <w:lang w:val="en-US" w:eastAsia="zh-CN" w:bidi="ar-SA"/>
              </w:rPr>
              <w:t>万元</w:t>
            </w:r>
          </w:p>
        </w:tc>
        <w:tc>
          <w:tcPr>
            <w:tcW w:w="3049" w:type="dxa"/>
            <w:noWrap w:val="0"/>
            <w:vAlign w:val="center"/>
          </w:tcPr>
          <w:p w14:paraId="04640D99">
            <w:pPr>
              <w:pStyle w:val="53"/>
              <w:keepNext w:val="0"/>
              <w:keepLines w:val="0"/>
              <w:suppressLineNumbers w:val="0"/>
              <w:spacing w:before="0" w:beforeAutospacing="0" w:after="0" w:afterAutospacing="0" w:line="360" w:lineRule="auto"/>
              <w:ind w:left="420" w:leftChars="200" w:right="0" w:firstLine="0"/>
              <w:jc w:val="both"/>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30</w:t>
            </w:r>
            <w:r>
              <w:rPr>
                <w:rFonts w:hint="eastAsia" w:ascii="Times New Roman" w:cs="Times New Roman"/>
                <w:color w:val="auto"/>
                <w:kern w:val="2"/>
                <w:sz w:val="21"/>
                <w:szCs w:val="21"/>
                <w:highlight w:val="none"/>
                <w:lang w:val="en-US" w:eastAsia="zh-CN" w:bidi="ar-SA"/>
              </w:rPr>
              <w:t>天</w:t>
            </w:r>
          </w:p>
        </w:tc>
      </w:tr>
      <w:tr w14:paraId="68DE2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3" w:type="dxa"/>
            <w:noWrap w:val="0"/>
            <w:vAlign w:val="center"/>
          </w:tcPr>
          <w:p w14:paraId="60A879F5">
            <w:pPr>
              <w:pStyle w:val="53"/>
              <w:keepNext w:val="0"/>
              <w:keepLines w:val="0"/>
              <w:suppressLineNumbers w:val="0"/>
              <w:spacing w:before="0" w:beforeAutospacing="0" w:after="0" w:afterAutospacing="0" w:line="360" w:lineRule="auto"/>
              <w:ind w:left="420" w:leftChars="200" w:right="0" w:firstLine="0"/>
              <w:jc w:val="both"/>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2000</w:t>
            </w:r>
            <w:r>
              <w:rPr>
                <w:rFonts w:hint="eastAsia" w:ascii="Times New Roman" w:cs="Times New Roman"/>
                <w:color w:val="auto"/>
                <w:kern w:val="2"/>
                <w:sz w:val="21"/>
                <w:szCs w:val="21"/>
                <w:highlight w:val="none"/>
                <w:lang w:val="en-US" w:eastAsia="zh-CN" w:bidi="ar-SA"/>
              </w:rPr>
              <w:t>万元</w:t>
            </w:r>
            <w:r>
              <w:rPr>
                <w:rFonts w:hint="default" w:ascii="Times New Roman" w:cs="Times New Roman"/>
                <w:color w:val="auto"/>
                <w:kern w:val="2"/>
                <w:sz w:val="21"/>
                <w:szCs w:val="21"/>
                <w:highlight w:val="none"/>
                <w:lang w:val="en-US" w:eastAsia="zh-CN" w:bidi="ar-SA"/>
              </w:rPr>
              <w:t>-5000</w:t>
            </w:r>
            <w:r>
              <w:rPr>
                <w:rFonts w:hint="eastAsia" w:ascii="Times New Roman" w:cs="Times New Roman"/>
                <w:color w:val="auto"/>
                <w:kern w:val="2"/>
                <w:sz w:val="21"/>
                <w:szCs w:val="21"/>
                <w:highlight w:val="none"/>
                <w:lang w:val="en-US" w:eastAsia="zh-CN" w:bidi="ar-SA"/>
              </w:rPr>
              <w:t>万元</w:t>
            </w:r>
          </w:p>
        </w:tc>
        <w:tc>
          <w:tcPr>
            <w:tcW w:w="3049" w:type="dxa"/>
            <w:noWrap w:val="0"/>
            <w:vAlign w:val="center"/>
          </w:tcPr>
          <w:p w14:paraId="5657A654">
            <w:pPr>
              <w:pStyle w:val="53"/>
              <w:keepNext w:val="0"/>
              <w:keepLines w:val="0"/>
              <w:suppressLineNumbers w:val="0"/>
              <w:spacing w:before="0" w:beforeAutospacing="0" w:after="0" w:afterAutospacing="0" w:line="360" w:lineRule="auto"/>
              <w:ind w:left="420" w:leftChars="200" w:right="0" w:firstLine="0"/>
              <w:jc w:val="both"/>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45</w:t>
            </w:r>
            <w:r>
              <w:rPr>
                <w:rFonts w:hint="eastAsia" w:ascii="Times New Roman" w:cs="Times New Roman"/>
                <w:color w:val="auto"/>
                <w:kern w:val="2"/>
                <w:sz w:val="21"/>
                <w:szCs w:val="21"/>
                <w:highlight w:val="none"/>
                <w:lang w:val="en-US" w:eastAsia="zh-CN" w:bidi="ar-SA"/>
              </w:rPr>
              <w:t>天</w:t>
            </w:r>
          </w:p>
        </w:tc>
      </w:tr>
      <w:tr w14:paraId="423D5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3" w:type="dxa"/>
            <w:noWrap w:val="0"/>
            <w:vAlign w:val="center"/>
          </w:tcPr>
          <w:p w14:paraId="24B0407D">
            <w:pPr>
              <w:pStyle w:val="53"/>
              <w:keepNext w:val="0"/>
              <w:keepLines w:val="0"/>
              <w:suppressLineNumbers w:val="0"/>
              <w:spacing w:before="0" w:beforeAutospacing="0" w:after="0" w:afterAutospacing="0" w:line="360" w:lineRule="auto"/>
              <w:ind w:left="420" w:leftChars="200" w:right="0" w:firstLine="0"/>
              <w:jc w:val="both"/>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5000</w:t>
            </w:r>
            <w:r>
              <w:rPr>
                <w:rFonts w:hint="eastAsia" w:ascii="Times New Roman" w:cs="Times New Roman"/>
                <w:color w:val="auto"/>
                <w:kern w:val="2"/>
                <w:sz w:val="21"/>
                <w:szCs w:val="21"/>
                <w:highlight w:val="none"/>
                <w:lang w:val="en-US" w:eastAsia="zh-CN" w:bidi="ar-SA"/>
              </w:rPr>
              <w:t>万元以上</w:t>
            </w:r>
          </w:p>
        </w:tc>
        <w:tc>
          <w:tcPr>
            <w:tcW w:w="3049" w:type="dxa"/>
            <w:noWrap w:val="0"/>
            <w:vAlign w:val="center"/>
          </w:tcPr>
          <w:p w14:paraId="2ADB4798">
            <w:pPr>
              <w:pStyle w:val="53"/>
              <w:keepNext w:val="0"/>
              <w:keepLines w:val="0"/>
              <w:suppressLineNumbers w:val="0"/>
              <w:spacing w:before="0" w:beforeAutospacing="0" w:after="0" w:afterAutospacing="0" w:line="360" w:lineRule="auto"/>
              <w:ind w:left="420" w:leftChars="200" w:right="0" w:firstLine="0"/>
              <w:jc w:val="both"/>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60</w:t>
            </w:r>
            <w:r>
              <w:rPr>
                <w:rFonts w:hint="eastAsia" w:ascii="Times New Roman" w:cs="Times New Roman"/>
                <w:color w:val="auto"/>
                <w:kern w:val="2"/>
                <w:sz w:val="21"/>
                <w:szCs w:val="21"/>
                <w:highlight w:val="none"/>
                <w:lang w:val="en-US" w:eastAsia="zh-CN" w:bidi="ar-SA"/>
              </w:rPr>
              <w:t>天</w:t>
            </w:r>
          </w:p>
        </w:tc>
      </w:tr>
      <w:tr w14:paraId="4465D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3" w:type="dxa"/>
            <w:noWrap w:val="0"/>
            <w:vAlign w:val="center"/>
          </w:tcPr>
          <w:p w14:paraId="05F12E9E">
            <w:pPr>
              <w:pStyle w:val="53"/>
              <w:keepNext w:val="0"/>
              <w:keepLines w:val="0"/>
              <w:suppressLineNumbers w:val="0"/>
              <w:spacing w:before="0" w:beforeAutospacing="0" w:after="0" w:afterAutospacing="0" w:line="360" w:lineRule="auto"/>
              <w:ind w:left="420" w:leftChars="200" w:right="0" w:firstLine="0"/>
              <w:jc w:val="both"/>
              <w:rPr>
                <w:rFonts w:hint="default"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5000万以上每增加</w:t>
            </w:r>
            <w:r>
              <w:rPr>
                <w:rFonts w:hint="default" w:ascii="Times New Roman" w:cs="Times New Roman"/>
                <w:color w:val="auto"/>
                <w:kern w:val="2"/>
                <w:sz w:val="21"/>
                <w:szCs w:val="21"/>
                <w:highlight w:val="none"/>
                <w:lang w:val="en-US" w:eastAsia="zh-CN" w:bidi="ar-SA"/>
              </w:rPr>
              <w:t>0.5</w:t>
            </w:r>
            <w:r>
              <w:rPr>
                <w:rFonts w:hint="eastAsia" w:ascii="Times New Roman" w:cs="Times New Roman"/>
                <w:color w:val="auto"/>
                <w:kern w:val="2"/>
                <w:sz w:val="21"/>
                <w:szCs w:val="21"/>
                <w:highlight w:val="none"/>
                <w:lang w:val="en-US" w:eastAsia="zh-CN" w:bidi="ar-SA"/>
              </w:rPr>
              <w:t>亿（不足0.5亿不增加）</w:t>
            </w:r>
          </w:p>
        </w:tc>
        <w:tc>
          <w:tcPr>
            <w:tcW w:w="3049" w:type="dxa"/>
            <w:noWrap w:val="0"/>
            <w:vAlign w:val="center"/>
          </w:tcPr>
          <w:p w14:paraId="225B1D87">
            <w:pPr>
              <w:pStyle w:val="53"/>
              <w:keepNext w:val="0"/>
              <w:keepLines w:val="0"/>
              <w:suppressLineNumbers w:val="0"/>
              <w:spacing w:before="0" w:beforeAutospacing="0" w:after="0" w:afterAutospacing="0" w:line="360" w:lineRule="auto"/>
              <w:ind w:left="420" w:leftChars="200" w:right="0" w:firstLine="0"/>
              <w:jc w:val="both"/>
              <w:rPr>
                <w:rFonts w:hint="eastAsia"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增加10天</w:t>
            </w:r>
          </w:p>
        </w:tc>
      </w:tr>
    </w:tbl>
    <w:p w14:paraId="2E04C406">
      <w:pPr>
        <w:spacing w:line="360" w:lineRule="auto"/>
        <w:ind w:firstLine="525" w:firstLineChars="250"/>
        <w:jc w:val="left"/>
        <w:rPr>
          <w:rFonts w:hint="eastAsia" w:hAnsi="宋体" w:cs="宋体"/>
          <w:color w:val="auto"/>
          <w:highlight w:val="none"/>
        </w:rPr>
      </w:pPr>
    </w:p>
    <w:p w14:paraId="4C72ADB1">
      <w:pPr>
        <w:spacing w:line="360" w:lineRule="auto"/>
        <w:ind w:firstLine="0" w:firstLineChars="0"/>
        <w:jc w:val="left"/>
        <w:rPr>
          <w:rFonts w:hint="eastAsia" w:hAnsi="宋体" w:cs="宋体"/>
          <w:color w:val="auto"/>
          <w:highlight w:val="none"/>
        </w:rPr>
      </w:pPr>
      <w:r>
        <w:rPr>
          <w:rFonts w:hint="default" w:hAnsi="宋体" w:cs="宋体"/>
          <w:color w:val="auto"/>
          <w:highlight w:val="none"/>
          <w:lang w:val="en"/>
        </w:rPr>
        <w:t xml:space="preserve">    </w:t>
      </w:r>
      <w:r>
        <w:rPr>
          <w:rFonts w:hint="eastAsia" w:hAnsi="宋体" w:cs="宋体"/>
          <w:color w:val="auto"/>
          <w:highlight w:val="none"/>
        </w:rPr>
        <w:t>（2）合同约定竣工结算以财政部门意见为准时，承包方应在施工过程结算节点工程验收合格后的</w:t>
      </w:r>
      <w:r>
        <w:rPr>
          <w:rFonts w:hint="eastAsia" w:hAnsi="宋体" w:cs="宋体"/>
          <w:color w:val="auto"/>
          <w:highlight w:val="none"/>
          <w:u w:val="single"/>
        </w:rPr>
        <w:t xml:space="preserve">  </w:t>
      </w:r>
      <w:r>
        <w:rPr>
          <w:rFonts w:hint="eastAsia" w:hAnsi="宋体" w:cs="宋体"/>
          <w:color w:val="auto"/>
          <w:highlight w:val="none"/>
          <w:u w:val="single"/>
          <w:lang w:val="en-US" w:eastAsia="zh-CN"/>
        </w:rPr>
        <w:t>/</w:t>
      </w:r>
      <w:r>
        <w:rPr>
          <w:rFonts w:hint="eastAsia" w:hAnsi="宋体" w:cs="宋体"/>
          <w:color w:val="auto"/>
          <w:highlight w:val="none"/>
          <w:u w:val="single"/>
        </w:rPr>
        <w:t xml:space="preserve">  </w:t>
      </w:r>
      <w:r>
        <w:rPr>
          <w:rFonts w:hint="eastAsia" w:hAnsi="宋体" w:cs="宋体"/>
          <w:color w:val="auto"/>
          <w:highlight w:val="none"/>
        </w:rPr>
        <w:t>天内（根据过程结算节点工程量约定，但不得超过50天）向发包方递交完整的施工过程结算文件及相应结算资料；发包方和财政部门收到上述文件资料后应在</w:t>
      </w:r>
      <w:r>
        <w:rPr>
          <w:rFonts w:hint="eastAsia" w:hAnsi="宋体" w:cs="宋体"/>
          <w:color w:val="auto"/>
          <w:highlight w:val="none"/>
          <w:u w:val="single"/>
        </w:rPr>
        <w:t xml:space="preserve">   </w:t>
      </w:r>
      <w:r>
        <w:rPr>
          <w:rFonts w:hint="eastAsia" w:hAnsi="宋体" w:cs="宋体"/>
          <w:color w:val="auto"/>
          <w:highlight w:val="none"/>
        </w:rPr>
        <w:t>天内（根据过程结算节点工程量约定，但共同审核时限不得超过附表规定的时间）完成施工过程结算的核对、确认。因发包方和财政部门原因逾期未完成审核或已完成审核但是逾期向承包方提出异议的，应当视同发包方认可承包方报送的施工过程结算文件。因承包方原因未在约定期限内 提交施工过程结算文件，发包方可以依据已有资料自行开展施工过程结算活动。</w:t>
      </w:r>
    </w:p>
    <w:p w14:paraId="6B29A35E">
      <w:pPr>
        <w:spacing w:line="360" w:lineRule="auto"/>
        <w:ind w:firstLine="525" w:firstLineChars="250"/>
        <w:jc w:val="left"/>
        <w:rPr>
          <w:rFonts w:hint="eastAsia" w:hAnsi="宋体" w:cs="宋体"/>
          <w:color w:val="auto"/>
          <w:highlight w:val="none"/>
        </w:rPr>
      </w:pPr>
      <w:r>
        <w:rPr>
          <w:rFonts w:hint="eastAsia" w:hAnsi="宋体" w:cs="宋体"/>
          <w:color w:val="auto"/>
          <w:highlight w:val="none"/>
        </w:rPr>
        <w:t>施工过程结算发包方与财政部门共同审核时限</w:t>
      </w:r>
    </w:p>
    <w:tbl>
      <w:tblPr>
        <w:tblStyle w:val="22"/>
        <w:tblW w:w="9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1"/>
        <w:gridCol w:w="2918"/>
      </w:tblGrid>
      <w:tr w14:paraId="3007D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01" w:type="dxa"/>
            <w:noWrap w:val="0"/>
            <w:vAlign w:val="center"/>
          </w:tcPr>
          <w:p w14:paraId="310548A6">
            <w:pPr>
              <w:pStyle w:val="53"/>
              <w:keepNext w:val="0"/>
              <w:keepLines w:val="0"/>
              <w:suppressLineNumbers w:val="0"/>
              <w:spacing w:before="0" w:beforeAutospacing="0" w:after="0" w:afterAutospacing="0" w:line="360" w:lineRule="auto"/>
              <w:ind w:left="0" w:right="0" w:firstLine="620"/>
              <w:rPr>
                <w:rFonts w:hint="default"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过程结算金额</w:t>
            </w:r>
          </w:p>
        </w:tc>
        <w:tc>
          <w:tcPr>
            <w:tcW w:w="2918" w:type="dxa"/>
            <w:noWrap w:val="0"/>
            <w:vAlign w:val="center"/>
          </w:tcPr>
          <w:p w14:paraId="406F2C6F">
            <w:pPr>
              <w:pStyle w:val="53"/>
              <w:keepNext w:val="0"/>
              <w:keepLines w:val="0"/>
              <w:suppressLineNumbers w:val="0"/>
              <w:spacing w:before="0" w:beforeAutospacing="0" w:after="0" w:afterAutospacing="0" w:line="360" w:lineRule="auto"/>
              <w:ind w:left="0" w:right="0" w:firstLine="620"/>
              <w:rPr>
                <w:rFonts w:hint="default"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审核时间</w:t>
            </w:r>
          </w:p>
        </w:tc>
      </w:tr>
      <w:tr w14:paraId="1B698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01" w:type="dxa"/>
            <w:noWrap w:val="0"/>
            <w:vAlign w:val="center"/>
          </w:tcPr>
          <w:p w14:paraId="1560AAA3">
            <w:pPr>
              <w:pStyle w:val="53"/>
              <w:keepNext w:val="0"/>
              <w:keepLines w:val="0"/>
              <w:suppressLineNumbers w:val="0"/>
              <w:spacing w:before="0" w:beforeAutospacing="0" w:after="0" w:afterAutospacing="0" w:line="360" w:lineRule="auto"/>
              <w:ind w:left="0" w:right="0" w:firstLine="620"/>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500</w:t>
            </w:r>
            <w:r>
              <w:rPr>
                <w:rFonts w:hint="eastAsia" w:ascii="Times New Roman" w:cs="Times New Roman"/>
                <w:color w:val="auto"/>
                <w:kern w:val="2"/>
                <w:sz w:val="21"/>
                <w:szCs w:val="21"/>
                <w:highlight w:val="none"/>
                <w:lang w:val="en-US" w:eastAsia="zh-CN" w:bidi="ar-SA"/>
              </w:rPr>
              <w:t>万元以下</w:t>
            </w:r>
          </w:p>
        </w:tc>
        <w:tc>
          <w:tcPr>
            <w:tcW w:w="2918" w:type="dxa"/>
            <w:noWrap w:val="0"/>
            <w:vAlign w:val="center"/>
          </w:tcPr>
          <w:p w14:paraId="24A5FBBE">
            <w:pPr>
              <w:pStyle w:val="53"/>
              <w:keepNext w:val="0"/>
              <w:keepLines w:val="0"/>
              <w:suppressLineNumbers w:val="0"/>
              <w:spacing w:before="0" w:beforeAutospacing="0" w:after="0" w:afterAutospacing="0" w:line="360" w:lineRule="auto"/>
              <w:ind w:left="0" w:right="0" w:firstLine="620"/>
              <w:rPr>
                <w:rFonts w:hint="default"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40天</w:t>
            </w:r>
          </w:p>
        </w:tc>
      </w:tr>
      <w:tr w14:paraId="662F6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01" w:type="dxa"/>
            <w:noWrap w:val="0"/>
            <w:vAlign w:val="center"/>
          </w:tcPr>
          <w:p w14:paraId="76C04DFD">
            <w:pPr>
              <w:pStyle w:val="53"/>
              <w:keepNext w:val="0"/>
              <w:keepLines w:val="0"/>
              <w:suppressLineNumbers w:val="0"/>
              <w:spacing w:before="0" w:beforeAutospacing="0" w:after="0" w:afterAutospacing="0" w:line="360" w:lineRule="auto"/>
              <w:ind w:left="0" w:right="0" w:firstLine="620"/>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500</w:t>
            </w:r>
            <w:r>
              <w:rPr>
                <w:rFonts w:hint="eastAsia" w:ascii="Times New Roman" w:cs="Times New Roman"/>
                <w:color w:val="auto"/>
                <w:kern w:val="2"/>
                <w:sz w:val="21"/>
                <w:szCs w:val="21"/>
                <w:highlight w:val="none"/>
                <w:lang w:val="en-US" w:eastAsia="zh-CN" w:bidi="ar-SA"/>
              </w:rPr>
              <w:t>万元</w:t>
            </w:r>
            <w:r>
              <w:rPr>
                <w:rFonts w:hint="default" w:ascii="Times New Roman" w:cs="Times New Roman"/>
                <w:color w:val="auto"/>
                <w:kern w:val="2"/>
                <w:sz w:val="21"/>
                <w:szCs w:val="21"/>
                <w:highlight w:val="none"/>
                <w:lang w:val="en-US" w:eastAsia="zh-CN" w:bidi="ar-SA"/>
              </w:rPr>
              <w:t>-2000</w:t>
            </w:r>
            <w:r>
              <w:rPr>
                <w:rFonts w:hint="eastAsia" w:ascii="Times New Roman" w:cs="Times New Roman"/>
                <w:color w:val="auto"/>
                <w:kern w:val="2"/>
                <w:sz w:val="21"/>
                <w:szCs w:val="21"/>
                <w:highlight w:val="none"/>
                <w:lang w:val="en-US" w:eastAsia="zh-CN" w:bidi="ar-SA"/>
              </w:rPr>
              <w:t>万元</w:t>
            </w:r>
          </w:p>
        </w:tc>
        <w:tc>
          <w:tcPr>
            <w:tcW w:w="2918" w:type="dxa"/>
            <w:noWrap w:val="0"/>
            <w:vAlign w:val="center"/>
          </w:tcPr>
          <w:p w14:paraId="389BA8C7">
            <w:pPr>
              <w:pStyle w:val="53"/>
              <w:keepNext w:val="0"/>
              <w:keepLines w:val="0"/>
              <w:suppressLineNumbers w:val="0"/>
              <w:spacing w:before="0" w:beforeAutospacing="0" w:after="0" w:afterAutospacing="0" w:line="360" w:lineRule="auto"/>
              <w:ind w:left="0" w:right="0" w:firstLine="620"/>
              <w:rPr>
                <w:rFonts w:hint="default"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60天</w:t>
            </w:r>
          </w:p>
        </w:tc>
      </w:tr>
      <w:tr w14:paraId="7194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01" w:type="dxa"/>
            <w:noWrap w:val="0"/>
            <w:vAlign w:val="center"/>
          </w:tcPr>
          <w:p w14:paraId="2FB665FC">
            <w:pPr>
              <w:pStyle w:val="53"/>
              <w:keepNext w:val="0"/>
              <w:keepLines w:val="0"/>
              <w:suppressLineNumbers w:val="0"/>
              <w:spacing w:before="0" w:beforeAutospacing="0" w:after="0" w:afterAutospacing="0" w:line="360" w:lineRule="auto"/>
              <w:ind w:left="0" w:right="0" w:firstLine="620"/>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2000</w:t>
            </w:r>
            <w:r>
              <w:rPr>
                <w:rFonts w:hint="eastAsia" w:ascii="Times New Roman" w:cs="Times New Roman"/>
                <w:color w:val="auto"/>
                <w:kern w:val="2"/>
                <w:sz w:val="21"/>
                <w:szCs w:val="21"/>
                <w:highlight w:val="none"/>
                <w:lang w:val="en-US" w:eastAsia="zh-CN" w:bidi="ar-SA"/>
              </w:rPr>
              <w:t>万元</w:t>
            </w:r>
            <w:r>
              <w:rPr>
                <w:rFonts w:hint="default" w:ascii="Times New Roman" w:cs="Times New Roman"/>
                <w:color w:val="auto"/>
                <w:kern w:val="2"/>
                <w:sz w:val="21"/>
                <w:szCs w:val="21"/>
                <w:highlight w:val="none"/>
                <w:lang w:val="en-US" w:eastAsia="zh-CN" w:bidi="ar-SA"/>
              </w:rPr>
              <w:t>-5000</w:t>
            </w:r>
            <w:r>
              <w:rPr>
                <w:rFonts w:hint="eastAsia" w:ascii="Times New Roman" w:cs="Times New Roman"/>
                <w:color w:val="auto"/>
                <w:kern w:val="2"/>
                <w:sz w:val="21"/>
                <w:szCs w:val="21"/>
                <w:highlight w:val="none"/>
                <w:lang w:val="en-US" w:eastAsia="zh-CN" w:bidi="ar-SA"/>
              </w:rPr>
              <w:t>万元</w:t>
            </w:r>
          </w:p>
        </w:tc>
        <w:tc>
          <w:tcPr>
            <w:tcW w:w="2918" w:type="dxa"/>
            <w:noWrap w:val="0"/>
            <w:vAlign w:val="center"/>
          </w:tcPr>
          <w:p w14:paraId="69CEC11B">
            <w:pPr>
              <w:pStyle w:val="53"/>
              <w:keepNext w:val="0"/>
              <w:keepLines w:val="0"/>
              <w:suppressLineNumbers w:val="0"/>
              <w:spacing w:before="0" w:beforeAutospacing="0" w:after="0" w:afterAutospacing="0" w:line="360" w:lineRule="auto"/>
              <w:ind w:left="0" w:right="0" w:firstLine="620"/>
              <w:rPr>
                <w:rFonts w:hint="default"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90天</w:t>
            </w:r>
          </w:p>
        </w:tc>
      </w:tr>
      <w:tr w14:paraId="6C3AD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01" w:type="dxa"/>
            <w:noWrap w:val="0"/>
            <w:vAlign w:val="center"/>
          </w:tcPr>
          <w:p w14:paraId="0DFA3175">
            <w:pPr>
              <w:pStyle w:val="53"/>
              <w:keepNext w:val="0"/>
              <w:keepLines w:val="0"/>
              <w:suppressLineNumbers w:val="0"/>
              <w:spacing w:before="0" w:beforeAutospacing="0" w:after="0" w:afterAutospacing="0" w:line="360" w:lineRule="auto"/>
              <w:ind w:left="0" w:right="0" w:firstLine="620"/>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5000</w:t>
            </w:r>
            <w:r>
              <w:rPr>
                <w:rFonts w:hint="eastAsia" w:ascii="Times New Roman" w:cs="Times New Roman"/>
                <w:color w:val="auto"/>
                <w:kern w:val="2"/>
                <w:sz w:val="21"/>
                <w:szCs w:val="21"/>
                <w:highlight w:val="none"/>
                <w:lang w:val="en-US" w:eastAsia="zh-CN" w:bidi="ar-SA"/>
              </w:rPr>
              <w:t>万元以上</w:t>
            </w:r>
          </w:p>
        </w:tc>
        <w:tc>
          <w:tcPr>
            <w:tcW w:w="2918" w:type="dxa"/>
            <w:noWrap w:val="0"/>
            <w:vAlign w:val="center"/>
          </w:tcPr>
          <w:p w14:paraId="3A97B724">
            <w:pPr>
              <w:pStyle w:val="53"/>
              <w:keepNext w:val="0"/>
              <w:keepLines w:val="0"/>
              <w:suppressLineNumbers w:val="0"/>
              <w:spacing w:before="0" w:beforeAutospacing="0" w:after="0" w:afterAutospacing="0" w:line="360" w:lineRule="auto"/>
              <w:ind w:left="0" w:right="0" w:firstLine="620"/>
              <w:rPr>
                <w:rFonts w:hint="default"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120天</w:t>
            </w:r>
          </w:p>
        </w:tc>
      </w:tr>
      <w:tr w14:paraId="32D76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101" w:type="dxa"/>
            <w:noWrap w:val="0"/>
            <w:vAlign w:val="center"/>
          </w:tcPr>
          <w:p w14:paraId="19343D1E">
            <w:pPr>
              <w:pStyle w:val="53"/>
              <w:keepNext w:val="0"/>
              <w:keepLines w:val="0"/>
              <w:suppressLineNumbers w:val="0"/>
              <w:spacing w:before="0" w:beforeAutospacing="0" w:after="0" w:afterAutospacing="0" w:line="360" w:lineRule="auto"/>
              <w:ind w:left="0" w:right="0" w:firstLine="620"/>
              <w:rPr>
                <w:rFonts w:hint="default"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5000万以上每增加</w:t>
            </w:r>
            <w:r>
              <w:rPr>
                <w:rFonts w:hint="default" w:ascii="Times New Roman" w:cs="Times New Roman"/>
                <w:color w:val="auto"/>
                <w:kern w:val="2"/>
                <w:sz w:val="21"/>
                <w:szCs w:val="21"/>
                <w:highlight w:val="none"/>
                <w:lang w:val="en-US" w:eastAsia="zh-CN" w:bidi="ar-SA"/>
              </w:rPr>
              <w:t>0.5</w:t>
            </w:r>
            <w:r>
              <w:rPr>
                <w:rFonts w:hint="eastAsia" w:ascii="Times New Roman" w:cs="Times New Roman"/>
                <w:color w:val="auto"/>
                <w:kern w:val="2"/>
                <w:sz w:val="21"/>
                <w:szCs w:val="21"/>
                <w:highlight w:val="none"/>
                <w:lang w:val="en-US" w:eastAsia="zh-CN" w:bidi="ar-SA"/>
              </w:rPr>
              <w:t>亿（不足0.5亿不增加）</w:t>
            </w:r>
          </w:p>
        </w:tc>
        <w:tc>
          <w:tcPr>
            <w:tcW w:w="2918" w:type="dxa"/>
            <w:noWrap w:val="0"/>
            <w:vAlign w:val="center"/>
          </w:tcPr>
          <w:p w14:paraId="746B2765">
            <w:pPr>
              <w:pStyle w:val="53"/>
              <w:keepNext w:val="0"/>
              <w:keepLines w:val="0"/>
              <w:suppressLineNumbers w:val="0"/>
              <w:spacing w:before="0" w:beforeAutospacing="0" w:after="0" w:afterAutospacing="0" w:line="360" w:lineRule="auto"/>
              <w:ind w:left="0" w:right="0" w:firstLine="620"/>
              <w:rPr>
                <w:rFonts w:hint="eastAsia"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增加20天</w:t>
            </w:r>
          </w:p>
        </w:tc>
      </w:tr>
    </w:tbl>
    <w:p w14:paraId="6E427098">
      <w:pPr>
        <w:spacing w:line="360" w:lineRule="auto"/>
        <w:ind w:firstLine="0" w:firstLineChars="0"/>
        <w:jc w:val="left"/>
        <w:rPr>
          <w:rFonts w:hint="eastAsia" w:hAnsi="宋体" w:cs="宋体"/>
          <w:color w:val="auto"/>
          <w:highlight w:val="none"/>
        </w:rPr>
      </w:pPr>
    </w:p>
    <w:p w14:paraId="202908C8">
      <w:pPr>
        <w:spacing w:line="360" w:lineRule="auto"/>
        <w:ind w:firstLine="525" w:firstLineChars="250"/>
        <w:jc w:val="left"/>
        <w:rPr>
          <w:rFonts w:hint="eastAsia" w:hAnsi="宋体" w:cs="宋体"/>
          <w:color w:val="auto"/>
          <w:highlight w:val="none"/>
        </w:rPr>
      </w:pPr>
      <w:r>
        <w:rPr>
          <w:rFonts w:hint="eastAsia" w:hAnsi="宋体" w:cs="宋体"/>
          <w:color w:val="auto"/>
          <w:highlight w:val="none"/>
        </w:rPr>
        <w:t xml:space="preserve">12.5.3过程结算文件要求 </w:t>
      </w:r>
    </w:p>
    <w:p w14:paraId="07945E9D">
      <w:pPr>
        <w:spacing w:line="360" w:lineRule="auto"/>
        <w:ind w:firstLine="525" w:firstLineChars="250"/>
        <w:jc w:val="left"/>
        <w:rPr>
          <w:rFonts w:hint="eastAsia" w:hAnsi="宋体" w:cs="宋体"/>
          <w:color w:val="auto"/>
          <w:highlight w:val="none"/>
        </w:rPr>
      </w:pPr>
      <w:r>
        <w:rPr>
          <w:rFonts w:hint="eastAsia" w:hAnsi="宋体" w:cs="宋体"/>
          <w:color w:val="auto"/>
          <w:highlight w:val="none"/>
        </w:rPr>
        <w:t>过程结算文件应按竣工结算文件要求进行编制，若合同约定竣工结算以财政部门意见为准，过程结算文件应当按照财政部门的要求进行编制。资料包括施工合同、补充协议、中标通知书、施工图纸、工程招标 投标文件、施工方案、工程量及其相应单价以及各项费用计算、经确认的工程变更、现场签证、工程索赔、扣款扣费文件等。过程结算文件经发承包双方签字认可或符合</w:t>
      </w:r>
      <w:r>
        <w:rPr>
          <w:rFonts w:hint="eastAsia" w:hAnsi="宋体" w:cs="宋体"/>
          <w:color w:val="auto"/>
          <w:highlight w:val="none"/>
          <w:lang w:eastAsia="zh-CN"/>
        </w:rPr>
        <w:t>“</w:t>
      </w:r>
      <w:r>
        <w:rPr>
          <w:rFonts w:hint="eastAsia" w:hAnsi="宋体" w:cs="宋体"/>
          <w:color w:val="auto"/>
          <w:highlight w:val="none"/>
        </w:rPr>
        <w:t>视同认可</w:t>
      </w:r>
      <w:r>
        <w:rPr>
          <w:rFonts w:hint="eastAsia" w:hAnsi="宋体" w:cs="宋体"/>
          <w:color w:val="auto"/>
          <w:highlight w:val="none"/>
          <w:lang w:eastAsia="zh-CN"/>
        </w:rPr>
        <w:t>”</w:t>
      </w:r>
      <w:r>
        <w:rPr>
          <w:rFonts w:hint="eastAsia" w:hAnsi="宋体" w:cs="宋体"/>
          <w:color w:val="auto"/>
          <w:highlight w:val="none"/>
        </w:rPr>
        <w:t>的条件后，直接作为编制竣工结算文件的依据，结算时发包人不得对上述过程结算文件重复审核。过程结算款</w:t>
      </w:r>
      <w:r>
        <w:rPr>
          <w:rFonts w:hint="eastAsia" w:ascii="宋体" w:hAnsi="宋体" w:cs="宋体"/>
          <w:color w:val="auto"/>
          <w:szCs w:val="21"/>
          <w:highlight w:val="none"/>
          <w:lang w:val="zh-TW"/>
        </w:rPr>
        <w:t>支付申请应</w:t>
      </w:r>
      <w:r>
        <w:rPr>
          <w:rFonts w:hint="eastAsia" w:ascii="宋体" w:hAnsi="宋体" w:cs="宋体"/>
          <w:color w:val="auto"/>
          <w:szCs w:val="21"/>
          <w:highlight w:val="none"/>
          <w:lang w:val="zh-TW" w:eastAsia="zh-CN"/>
        </w:rPr>
        <w:t>按</w:t>
      </w:r>
      <w:r>
        <w:rPr>
          <w:rFonts w:hint="default" w:ascii="宋体" w:hAnsi="宋体" w:cs="宋体"/>
          <w:color w:val="auto"/>
          <w:szCs w:val="21"/>
          <w:highlight w:val="none"/>
          <w:lang w:val="en" w:eastAsia="zh-CN"/>
        </w:rPr>
        <w:t>附</w:t>
      </w:r>
      <w:r>
        <w:rPr>
          <w:rFonts w:hint="eastAsia" w:ascii="宋体" w:hAnsi="宋体" w:cs="宋体"/>
          <w:color w:val="auto"/>
          <w:szCs w:val="21"/>
          <w:highlight w:val="none"/>
          <w:lang w:val="en" w:eastAsia="zh-CN"/>
        </w:rPr>
        <w:t>件</w:t>
      </w:r>
      <w:r>
        <w:rPr>
          <w:rFonts w:hint="eastAsia" w:ascii="宋体" w:hAnsi="宋体" w:cs="宋体"/>
          <w:color w:val="auto"/>
          <w:szCs w:val="21"/>
          <w:highlight w:val="none"/>
          <w:lang w:val="en-US" w:eastAsia="zh-CN"/>
        </w:rPr>
        <w:t>11进度款支付申请（核准）表填写</w:t>
      </w:r>
      <w:r>
        <w:rPr>
          <w:rFonts w:hint="eastAsia" w:hAnsi="宋体" w:cs="宋体"/>
          <w:color w:val="auto"/>
          <w:highlight w:val="none"/>
        </w:rPr>
        <w:t>。</w:t>
      </w:r>
    </w:p>
    <w:p w14:paraId="3BDBD6B7">
      <w:pPr>
        <w:spacing w:line="360" w:lineRule="auto"/>
        <w:ind w:firstLine="525" w:firstLineChars="250"/>
        <w:jc w:val="left"/>
        <w:rPr>
          <w:rFonts w:hint="eastAsia" w:hAnsi="宋体" w:cs="宋体"/>
          <w:color w:val="auto"/>
          <w:highlight w:val="none"/>
        </w:rPr>
      </w:pPr>
      <w:r>
        <w:rPr>
          <w:rFonts w:hint="eastAsia" w:hAnsi="宋体" w:cs="宋体"/>
          <w:color w:val="auto"/>
          <w:highlight w:val="none"/>
        </w:rPr>
        <w:t>12.5.4过程结算支付时间及支付比例</w:t>
      </w:r>
    </w:p>
    <w:p w14:paraId="53C25767">
      <w:pPr>
        <w:spacing w:line="360" w:lineRule="auto"/>
        <w:ind w:firstLine="525" w:firstLineChars="250"/>
        <w:jc w:val="left"/>
        <w:rPr>
          <w:rFonts w:hint="eastAsia" w:hAnsi="宋体" w:cs="宋体"/>
          <w:color w:val="auto"/>
          <w:highlight w:val="none"/>
        </w:rPr>
      </w:pPr>
      <w:r>
        <w:rPr>
          <w:rFonts w:hint="eastAsia" w:hAnsi="宋体" w:cs="宋体"/>
          <w:color w:val="auto"/>
          <w:highlight w:val="none"/>
        </w:rPr>
        <w:t>（1）支付时间：在发承包双方签字确认过程结算文件后</w:t>
      </w:r>
      <w:r>
        <w:rPr>
          <w:rFonts w:hint="eastAsia" w:hAnsi="宋体" w:cs="宋体"/>
          <w:color w:val="auto"/>
          <w:highlight w:val="none"/>
          <w:u w:val="single"/>
        </w:rPr>
        <w:t xml:space="preserve">  </w:t>
      </w:r>
      <w:r>
        <w:rPr>
          <w:rFonts w:hint="eastAsia" w:hAnsi="宋体" w:cs="宋体"/>
          <w:color w:val="auto"/>
          <w:highlight w:val="none"/>
        </w:rPr>
        <w:t>天内按照合同约定的付款比例支付；</w:t>
      </w:r>
    </w:p>
    <w:p w14:paraId="1DE35012">
      <w:pPr>
        <w:spacing w:line="360" w:lineRule="auto"/>
        <w:ind w:firstLine="525" w:firstLineChars="250"/>
        <w:jc w:val="left"/>
        <w:rPr>
          <w:rFonts w:hint="eastAsia" w:hAnsi="宋体" w:cs="宋体"/>
          <w:color w:val="auto"/>
          <w:highlight w:val="none"/>
        </w:rPr>
      </w:pPr>
      <w:r>
        <w:rPr>
          <w:rFonts w:hint="eastAsia" w:hAnsi="宋体" w:cs="宋体"/>
          <w:color w:val="auto"/>
          <w:highlight w:val="none"/>
        </w:rPr>
        <w:t>（2）支付比例：按过程结算工程造价的</w:t>
      </w:r>
      <w:r>
        <w:rPr>
          <w:rFonts w:hint="eastAsia" w:hAnsi="宋体" w:cs="宋体"/>
          <w:color w:val="auto"/>
          <w:highlight w:val="none"/>
          <w:u w:val="single"/>
        </w:rPr>
        <w:t xml:space="preserve"> </w:t>
      </w:r>
      <w:r>
        <w:rPr>
          <w:rFonts w:hint="eastAsia" w:hAnsi="宋体" w:cs="宋体"/>
          <w:color w:val="auto"/>
          <w:highlight w:val="none"/>
          <w:u w:val="single"/>
          <w:lang w:val="en-US" w:eastAsia="zh-CN"/>
        </w:rPr>
        <w:t xml:space="preserve"> / </w:t>
      </w:r>
      <w:r>
        <w:rPr>
          <w:rFonts w:hint="eastAsia" w:hAnsi="宋体" w:cs="宋体"/>
          <w:color w:val="auto"/>
          <w:highlight w:val="none"/>
          <w:u w:val="single"/>
        </w:rPr>
        <w:t xml:space="preserve"> </w:t>
      </w:r>
      <w:r>
        <w:rPr>
          <w:rFonts w:hint="eastAsia" w:hAnsi="宋体" w:cs="宋体"/>
          <w:color w:val="auto"/>
          <w:highlight w:val="none"/>
        </w:rPr>
        <w:t>%（取值区间</w:t>
      </w:r>
      <w:r>
        <w:rPr>
          <w:rFonts w:hint="eastAsia" w:hAnsi="宋体" w:cs="宋体"/>
          <w:color w:val="auto"/>
          <w:highlight w:val="none"/>
          <w:lang w:eastAsia="zh-CN"/>
        </w:rPr>
        <w:t>90%—97%</w:t>
      </w:r>
      <w:r>
        <w:rPr>
          <w:rFonts w:hint="eastAsia" w:hAnsi="宋体" w:cs="宋体"/>
          <w:color w:val="auto"/>
          <w:highlight w:val="none"/>
        </w:rPr>
        <w:t>）</w:t>
      </w:r>
    </w:p>
    <w:bookmarkEnd w:id="797"/>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p w14:paraId="3B97F2B1">
      <w:pPr>
        <w:spacing w:line="360" w:lineRule="auto"/>
        <w:outlineLvl w:val="9"/>
        <w:rPr>
          <w:color w:val="auto"/>
          <w:highlight w:val="none"/>
        </w:rPr>
      </w:pPr>
      <w:bookmarkStart w:id="1063" w:name="_Toc78449842"/>
      <w:bookmarkStart w:id="1064" w:name="_Toc351203645"/>
      <w:bookmarkStart w:id="1065" w:name="_Toc728899116"/>
      <w:bookmarkStart w:id="1066" w:name="_Toc407135256"/>
      <w:bookmarkStart w:id="1067" w:name="_Toc373227753"/>
      <w:bookmarkStart w:id="1068" w:name="_Toc373478400"/>
      <w:bookmarkStart w:id="1069" w:name="_Toc389065318"/>
      <w:bookmarkStart w:id="1070" w:name="_Toc29308"/>
      <w:bookmarkStart w:id="1071" w:name="_Toc296891259"/>
      <w:bookmarkStart w:id="1072" w:name="_Toc292559929"/>
      <w:bookmarkStart w:id="1073" w:name="_Toc296944558"/>
      <w:bookmarkStart w:id="1074" w:name="_Toc296891047"/>
      <w:bookmarkStart w:id="1075" w:name="_Toc312678053"/>
      <w:bookmarkStart w:id="1076" w:name="_Toc292559424"/>
      <w:bookmarkStart w:id="1077" w:name="_Toc297123564"/>
      <w:bookmarkStart w:id="1078" w:name="_Toc300935015"/>
      <w:bookmarkStart w:id="1079" w:name="_Toc297120519"/>
      <w:bookmarkStart w:id="1080" w:name="_Toc297048405"/>
      <w:bookmarkStart w:id="1081" w:name="_Toc304295593"/>
      <w:bookmarkStart w:id="1082" w:name="_Toc296346720"/>
      <w:bookmarkStart w:id="1083" w:name="_Toc303539172"/>
      <w:bookmarkStart w:id="1084" w:name="_Toc296347218"/>
      <w:bookmarkStart w:id="1085" w:name="_Toc297216223"/>
      <w:bookmarkStart w:id="1086" w:name="_Toc296503219"/>
      <w:r>
        <w:rPr>
          <w:color w:val="auto"/>
          <w:highlight w:val="none"/>
        </w:rPr>
        <w:t xml:space="preserve">13. </w:t>
      </w:r>
      <w:r>
        <w:rPr>
          <w:rFonts w:hint="eastAsia" w:cs="黑体"/>
          <w:color w:val="auto"/>
          <w:highlight w:val="none"/>
        </w:rPr>
        <w:t>验收和工程试车</w:t>
      </w:r>
      <w:bookmarkEnd w:id="1063"/>
      <w:bookmarkEnd w:id="1064"/>
      <w:bookmarkEnd w:id="1065"/>
      <w:bookmarkEnd w:id="1066"/>
      <w:bookmarkEnd w:id="1067"/>
      <w:bookmarkEnd w:id="1068"/>
      <w:bookmarkEnd w:id="1069"/>
      <w:bookmarkEnd w:id="1070"/>
    </w:p>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p w14:paraId="66E2D5C6">
      <w:pPr>
        <w:spacing w:line="360" w:lineRule="auto"/>
        <w:outlineLvl w:val="9"/>
        <w:rPr>
          <w:color w:val="auto"/>
          <w:highlight w:val="none"/>
        </w:rPr>
      </w:pPr>
      <w:bookmarkStart w:id="1087" w:name="_Toc740353520"/>
      <w:bookmarkStart w:id="1088" w:name="_Toc78449843"/>
      <w:bookmarkStart w:id="1089" w:name="_Toc26423"/>
      <w:bookmarkStart w:id="1090" w:name="_Toc23263"/>
      <w:bookmarkStart w:id="1091" w:name="_Toc407135257"/>
      <w:bookmarkStart w:id="1092" w:name="_Toc389065319"/>
      <w:bookmarkStart w:id="1093" w:name="_Toc373478401"/>
      <w:bookmarkStart w:id="1094" w:name="_Toc373227754"/>
      <w:r>
        <w:rPr>
          <w:color w:val="auto"/>
          <w:highlight w:val="none"/>
        </w:rPr>
        <w:t xml:space="preserve">13.1 </w:t>
      </w:r>
      <w:r>
        <w:rPr>
          <w:rFonts w:hint="eastAsia" w:cs="黑体"/>
          <w:color w:val="auto"/>
          <w:highlight w:val="none"/>
        </w:rPr>
        <w:t>分部分项工程验收</w:t>
      </w:r>
      <w:bookmarkEnd w:id="1087"/>
      <w:bookmarkEnd w:id="1088"/>
      <w:bookmarkEnd w:id="1089"/>
      <w:bookmarkEnd w:id="1090"/>
      <w:bookmarkEnd w:id="1091"/>
      <w:bookmarkEnd w:id="1092"/>
      <w:bookmarkEnd w:id="1093"/>
      <w:bookmarkEnd w:id="1094"/>
    </w:p>
    <w:p w14:paraId="7D7A8D10">
      <w:pPr>
        <w:spacing w:line="360" w:lineRule="auto"/>
        <w:ind w:firstLine="420" w:firstLineChars="200"/>
        <w:jc w:val="left"/>
        <w:rPr>
          <w:color w:val="auto"/>
          <w:highlight w:val="none"/>
        </w:rPr>
      </w:pPr>
      <w:r>
        <w:rPr>
          <w:color w:val="auto"/>
          <w:highlight w:val="none"/>
        </w:rPr>
        <w:t>13.1.2</w:t>
      </w:r>
      <w:r>
        <w:rPr>
          <w:rFonts w:hint="eastAsia" w:hAnsi="宋体" w:cs="宋体"/>
          <w:color w:val="auto"/>
          <w:highlight w:val="none"/>
        </w:rPr>
        <w:t>监理人不能按时进行验收时，应提前</w:t>
      </w:r>
      <w:r>
        <w:rPr>
          <w:rFonts w:hint="eastAsia"/>
          <w:color w:val="auto"/>
          <w:highlight w:val="none"/>
          <w:u w:val="single"/>
          <w:lang w:val="en-US" w:eastAsia="zh-CN"/>
        </w:rPr>
        <w:t>24</w:t>
      </w:r>
      <w:r>
        <w:rPr>
          <w:color w:val="auto"/>
          <w:highlight w:val="none"/>
          <w:u w:val="single"/>
        </w:rPr>
        <w:t xml:space="preserve">  </w:t>
      </w:r>
      <w:r>
        <w:rPr>
          <w:rFonts w:hint="eastAsia" w:hAnsi="宋体" w:cs="宋体"/>
          <w:color w:val="auto"/>
          <w:highlight w:val="none"/>
        </w:rPr>
        <w:t>小时提交书面延期要求。</w:t>
      </w:r>
    </w:p>
    <w:p w14:paraId="2E6EFF75">
      <w:pPr>
        <w:spacing w:line="360" w:lineRule="auto"/>
        <w:ind w:firstLine="420" w:firstLineChars="200"/>
        <w:jc w:val="left"/>
        <w:rPr>
          <w:b/>
          <w:bCs/>
          <w:color w:val="auto"/>
          <w:highlight w:val="none"/>
        </w:rPr>
      </w:pPr>
      <w:r>
        <w:rPr>
          <w:rFonts w:hint="eastAsia" w:hAnsi="宋体" w:cs="宋体"/>
          <w:color w:val="auto"/>
          <w:highlight w:val="none"/>
        </w:rPr>
        <w:t>关于延期最长不得超过：</w:t>
      </w:r>
      <w:r>
        <w:rPr>
          <w:rFonts w:hint="eastAsia"/>
          <w:color w:val="auto"/>
          <w:highlight w:val="none"/>
          <w:u w:val="single"/>
          <w:lang w:val="en-US" w:eastAsia="zh-CN"/>
        </w:rPr>
        <w:t>48</w:t>
      </w:r>
      <w:r>
        <w:rPr>
          <w:color w:val="auto"/>
          <w:highlight w:val="none"/>
          <w:u w:val="single"/>
        </w:rPr>
        <w:t xml:space="preserve"> </w:t>
      </w:r>
      <w:r>
        <w:rPr>
          <w:rFonts w:hint="eastAsia" w:hAnsi="宋体" w:cs="宋体"/>
          <w:color w:val="auto"/>
          <w:highlight w:val="none"/>
        </w:rPr>
        <w:t>小时。</w:t>
      </w:r>
    </w:p>
    <w:p w14:paraId="1B7ADF9B">
      <w:pPr>
        <w:spacing w:line="360" w:lineRule="auto"/>
        <w:outlineLvl w:val="9"/>
        <w:rPr>
          <w:color w:val="auto"/>
          <w:highlight w:val="none"/>
        </w:rPr>
      </w:pPr>
      <w:bookmarkStart w:id="1095" w:name="_Toc373478402"/>
      <w:bookmarkStart w:id="1096" w:name="_Toc373227755"/>
      <w:bookmarkStart w:id="1097" w:name="_Toc78449844"/>
      <w:bookmarkStart w:id="1098" w:name="_Toc8842"/>
      <w:bookmarkStart w:id="1099" w:name="_Toc24981"/>
      <w:bookmarkStart w:id="1100" w:name="_Toc389065320"/>
      <w:bookmarkStart w:id="1101" w:name="_Toc1578431234"/>
      <w:bookmarkStart w:id="1102" w:name="_Toc407135258"/>
      <w:bookmarkStart w:id="1103" w:name="_Toc297123565"/>
      <w:bookmarkStart w:id="1104" w:name="_Toc304295596"/>
      <w:bookmarkStart w:id="1105" w:name="_Toc296891051"/>
      <w:bookmarkStart w:id="1106" w:name="_Toc296347222"/>
      <w:bookmarkStart w:id="1107" w:name="_Toc296503223"/>
      <w:bookmarkStart w:id="1108" w:name="_Toc297216224"/>
      <w:bookmarkStart w:id="1109" w:name="_Toc296346724"/>
      <w:bookmarkStart w:id="1110" w:name="_Toc292559428"/>
      <w:bookmarkStart w:id="1111" w:name="_Toc297048409"/>
      <w:bookmarkStart w:id="1112" w:name="_Toc312678056"/>
      <w:bookmarkStart w:id="1113" w:name="_Toc292559933"/>
      <w:bookmarkStart w:id="1114" w:name="_Toc296891263"/>
      <w:bookmarkStart w:id="1115" w:name="_Toc303539173"/>
      <w:bookmarkStart w:id="1116" w:name="_Toc297120523"/>
      <w:bookmarkStart w:id="1117" w:name="_Toc296944562"/>
      <w:bookmarkStart w:id="1118" w:name="_Toc300935016"/>
      <w:bookmarkStart w:id="1119" w:name="_Toc267251471"/>
      <w:bookmarkStart w:id="1120" w:name="_Toc267251474"/>
      <w:bookmarkStart w:id="1121" w:name="_Toc267251473"/>
      <w:bookmarkStart w:id="1122" w:name="_Toc267251472"/>
      <w:bookmarkStart w:id="1123" w:name="_Toc267251475"/>
      <w:bookmarkStart w:id="1124" w:name="_Toc267251470"/>
      <w:bookmarkStart w:id="1125" w:name="_Toc267251476"/>
      <w:r>
        <w:rPr>
          <w:color w:val="auto"/>
          <w:highlight w:val="none"/>
        </w:rPr>
        <w:t xml:space="preserve">13.2 </w:t>
      </w:r>
      <w:r>
        <w:rPr>
          <w:rFonts w:hint="eastAsia" w:hAnsi="宋体" w:cs="黑体"/>
          <w:color w:val="auto"/>
          <w:highlight w:val="none"/>
        </w:rPr>
        <w:t>竣工验收</w:t>
      </w:r>
      <w:bookmarkEnd w:id="1095"/>
      <w:bookmarkEnd w:id="1096"/>
      <w:bookmarkEnd w:id="1097"/>
      <w:bookmarkEnd w:id="1098"/>
      <w:bookmarkEnd w:id="1099"/>
      <w:bookmarkEnd w:id="1100"/>
      <w:bookmarkEnd w:id="1101"/>
      <w:bookmarkEnd w:id="1102"/>
    </w:p>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p w14:paraId="6B029FFE">
      <w:pPr>
        <w:spacing w:line="360" w:lineRule="auto"/>
        <w:ind w:firstLine="420" w:firstLineChars="200"/>
        <w:jc w:val="left"/>
        <w:rPr>
          <w:color w:val="auto"/>
          <w:highlight w:val="none"/>
        </w:rPr>
      </w:pPr>
      <w:bookmarkStart w:id="1126" w:name="_Toc280868704"/>
      <w:bookmarkStart w:id="1127" w:name="_Toc280868705"/>
      <w:bookmarkStart w:id="1128" w:name="_Toc280868706"/>
      <w:bookmarkStart w:id="1129" w:name="_Toc280868707"/>
      <w:bookmarkStart w:id="1130" w:name="_Toc280868708"/>
      <w:bookmarkStart w:id="1131" w:name="_Toc280868709"/>
      <w:r>
        <w:rPr>
          <w:color w:val="auto"/>
          <w:highlight w:val="none"/>
        </w:rPr>
        <w:t>13.2.1</w:t>
      </w:r>
      <w:r>
        <w:rPr>
          <w:rFonts w:hint="eastAsia" w:hAnsi="宋体" w:cs="宋体"/>
          <w:color w:val="auto"/>
          <w:highlight w:val="none"/>
        </w:rPr>
        <w:t>竣工验收条件</w:t>
      </w:r>
    </w:p>
    <w:p w14:paraId="5394F814">
      <w:pPr>
        <w:spacing w:line="360" w:lineRule="auto"/>
        <w:ind w:firstLine="420" w:firstLineChars="200"/>
        <w:rPr>
          <w:color w:val="auto"/>
          <w:highlight w:val="none"/>
        </w:rPr>
      </w:pPr>
      <w:r>
        <w:rPr>
          <w:rFonts w:hint="eastAsia" w:cs="宋体"/>
          <w:color w:val="auto"/>
          <w:highlight w:val="none"/>
        </w:rPr>
        <w:t>（</w:t>
      </w:r>
      <w:r>
        <w:rPr>
          <w:color w:val="auto"/>
          <w:highlight w:val="none"/>
        </w:rPr>
        <w:t>3</w:t>
      </w:r>
      <w:r>
        <w:rPr>
          <w:rFonts w:hint="eastAsia" w:cs="宋体"/>
          <w:color w:val="auto"/>
          <w:highlight w:val="none"/>
        </w:rPr>
        <w:t>）</w:t>
      </w:r>
      <w:r>
        <w:rPr>
          <w:rFonts w:hint="eastAsia" w:hAnsi="宋体" w:cs="宋体"/>
          <w:color w:val="auto"/>
          <w:highlight w:val="none"/>
        </w:rPr>
        <w:t>承包人负责整理和提交的竣工验收资料应当符合工程所在地建设行政主管部门和</w:t>
      </w:r>
      <w:r>
        <w:rPr>
          <w:rFonts w:hint="eastAsia" w:hAnsi="宋体" w:cs="宋体"/>
          <w:color w:val="auto"/>
          <w:highlight w:val="none"/>
          <w:lang w:eastAsia="zh-CN"/>
        </w:rPr>
        <w:t>（</w:t>
      </w:r>
      <w:r>
        <w:rPr>
          <w:rFonts w:hint="eastAsia" w:hAnsi="宋体" w:cs="宋体"/>
          <w:color w:val="auto"/>
          <w:highlight w:val="none"/>
        </w:rPr>
        <w:t>或</w:t>
      </w:r>
      <w:r>
        <w:rPr>
          <w:rFonts w:hint="eastAsia" w:hAnsi="宋体" w:cs="宋体"/>
          <w:color w:val="auto"/>
          <w:highlight w:val="none"/>
          <w:lang w:eastAsia="zh-CN"/>
        </w:rPr>
        <w:t>）</w:t>
      </w:r>
      <w:r>
        <w:rPr>
          <w:rFonts w:hint="eastAsia" w:hAnsi="宋体" w:cs="宋体"/>
          <w:color w:val="auto"/>
          <w:highlight w:val="none"/>
        </w:rPr>
        <w:t>城市建设档案管理机构有关施工资料的要求，具体内容包括：</w:t>
      </w:r>
      <w:r>
        <w:rPr>
          <w:rFonts w:hint="eastAsia"/>
          <w:color w:val="auto"/>
          <w:highlight w:val="none"/>
          <w:u w:val="single"/>
        </w:rPr>
        <w:t>按国家现行规定执行</w:t>
      </w:r>
      <w:r>
        <w:rPr>
          <w:rFonts w:hint="eastAsia" w:hAnsi="宋体" w:cs="宋体"/>
          <w:color w:val="auto"/>
          <w:highlight w:val="none"/>
        </w:rPr>
        <w:t>。</w:t>
      </w:r>
    </w:p>
    <w:p w14:paraId="2DA7E76E">
      <w:pPr>
        <w:spacing w:line="360" w:lineRule="auto"/>
        <w:ind w:firstLine="420" w:firstLineChars="200"/>
        <w:rPr>
          <w:color w:val="auto"/>
          <w:highlight w:val="none"/>
        </w:rPr>
      </w:pPr>
      <w:r>
        <w:rPr>
          <w:rFonts w:hint="eastAsia" w:hAnsi="宋体" w:cs="宋体"/>
          <w:color w:val="auto"/>
          <w:highlight w:val="none"/>
        </w:rPr>
        <w:t>竣工验收资料的份数：</w:t>
      </w:r>
      <w:r>
        <w:rPr>
          <w:color w:val="auto"/>
          <w:highlight w:val="none"/>
          <w:u w:val="single"/>
        </w:rPr>
        <w:t xml:space="preserve"> </w:t>
      </w:r>
      <w:r>
        <w:rPr>
          <w:rFonts w:hint="eastAsia"/>
          <w:color w:val="auto"/>
          <w:highlight w:val="none"/>
          <w:u w:val="single"/>
        </w:rPr>
        <w:t>一式肆份</w:t>
      </w:r>
      <w:r>
        <w:rPr>
          <w:color w:val="auto"/>
          <w:highlight w:val="none"/>
          <w:u w:val="single"/>
        </w:rPr>
        <w:t xml:space="preserve">  </w:t>
      </w:r>
      <w:r>
        <w:rPr>
          <w:rFonts w:hint="eastAsia" w:hAnsi="宋体" w:cs="宋体"/>
          <w:color w:val="auto"/>
          <w:highlight w:val="none"/>
        </w:rPr>
        <w:t>。</w:t>
      </w:r>
    </w:p>
    <w:p w14:paraId="421E8728">
      <w:pPr>
        <w:spacing w:line="360" w:lineRule="auto"/>
        <w:ind w:firstLine="420" w:firstLineChars="200"/>
        <w:jc w:val="left"/>
        <w:rPr>
          <w:color w:val="auto"/>
          <w:highlight w:val="none"/>
        </w:rPr>
      </w:pPr>
      <w:r>
        <w:rPr>
          <w:rFonts w:hint="eastAsia" w:hAnsi="宋体" w:cs="宋体"/>
          <w:color w:val="auto"/>
          <w:highlight w:val="none"/>
        </w:rPr>
        <w:t>承包人提供竣工图的约定：</w:t>
      </w:r>
      <w:r>
        <w:rPr>
          <w:rFonts w:hint="eastAsia" w:hAnsi="宋体" w:cs="宋体"/>
          <w:color w:val="auto"/>
          <w:highlight w:val="none"/>
          <w:u w:val="single"/>
        </w:rPr>
        <w:t>竣工验收正式通过后</w:t>
      </w:r>
      <w:r>
        <w:rPr>
          <w:color w:val="auto"/>
          <w:highlight w:val="none"/>
          <w:u w:val="single"/>
        </w:rPr>
        <w:t>5</w:t>
      </w:r>
      <w:r>
        <w:rPr>
          <w:rFonts w:hint="eastAsia" w:hAnsi="宋体" w:cs="宋体"/>
          <w:color w:val="auto"/>
          <w:highlight w:val="none"/>
          <w:u w:val="single"/>
        </w:rPr>
        <w:t>天（工程造价在</w:t>
      </w:r>
      <w:r>
        <w:rPr>
          <w:color w:val="auto"/>
          <w:highlight w:val="none"/>
          <w:u w:val="single"/>
        </w:rPr>
        <w:t>500</w:t>
      </w:r>
      <w:r>
        <w:rPr>
          <w:rFonts w:hint="eastAsia" w:hAnsi="宋体" w:cs="宋体"/>
          <w:color w:val="auto"/>
          <w:highlight w:val="none"/>
          <w:u w:val="single"/>
        </w:rPr>
        <w:t>万元以下含</w:t>
      </w:r>
      <w:r>
        <w:rPr>
          <w:color w:val="auto"/>
          <w:highlight w:val="none"/>
          <w:u w:val="single"/>
        </w:rPr>
        <w:t>500</w:t>
      </w:r>
      <w:r>
        <w:rPr>
          <w:rFonts w:hint="eastAsia" w:hAnsi="宋体" w:cs="宋体"/>
          <w:color w:val="auto"/>
          <w:highlight w:val="none"/>
          <w:u w:val="single"/>
        </w:rPr>
        <w:t>万元）、</w:t>
      </w:r>
      <w:r>
        <w:rPr>
          <w:color w:val="auto"/>
          <w:highlight w:val="none"/>
          <w:u w:val="single"/>
        </w:rPr>
        <w:t>10</w:t>
      </w:r>
      <w:r>
        <w:rPr>
          <w:rFonts w:hint="eastAsia" w:hAnsi="宋体" w:cs="宋体"/>
          <w:color w:val="auto"/>
          <w:highlight w:val="none"/>
          <w:u w:val="single"/>
        </w:rPr>
        <w:t>天（工程造价在</w:t>
      </w:r>
      <w:r>
        <w:rPr>
          <w:color w:val="auto"/>
          <w:highlight w:val="none"/>
          <w:u w:val="single"/>
        </w:rPr>
        <w:t>500</w:t>
      </w:r>
      <w:r>
        <w:rPr>
          <w:rFonts w:hint="eastAsia" w:hAnsi="宋体" w:cs="宋体"/>
          <w:color w:val="auto"/>
          <w:highlight w:val="none"/>
          <w:u w:val="single"/>
        </w:rPr>
        <w:t>万元至</w:t>
      </w:r>
      <w:r>
        <w:rPr>
          <w:color w:val="auto"/>
          <w:highlight w:val="none"/>
          <w:u w:val="single"/>
        </w:rPr>
        <w:t>1000</w:t>
      </w:r>
      <w:r>
        <w:rPr>
          <w:rFonts w:hint="eastAsia" w:hAnsi="宋体" w:cs="宋体"/>
          <w:color w:val="auto"/>
          <w:highlight w:val="none"/>
          <w:u w:val="single"/>
        </w:rPr>
        <w:t>万元之间含</w:t>
      </w:r>
      <w:r>
        <w:rPr>
          <w:color w:val="auto"/>
          <w:highlight w:val="none"/>
          <w:u w:val="single"/>
        </w:rPr>
        <w:t>1000</w:t>
      </w:r>
      <w:r>
        <w:rPr>
          <w:rFonts w:hint="eastAsia" w:hAnsi="宋体" w:cs="宋体"/>
          <w:color w:val="auto"/>
          <w:highlight w:val="none"/>
          <w:u w:val="single"/>
        </w:rPr>
        <w:t>万元）、</w:t>
      </w:r>
      <w:r>
        <w:rPr>
          <w:color w:val="auto"/>
          <w:highlight w:val="none"/>
          <w:u w:val="single"/>
        </w:rPr>
        <w:t>15</w:t>
      </w:r>
      <w:r>
        <w:rPr>
          <w:rFonts w:hint="eastAsia" w:hAnsi="宋体" w:cs="宋体"/>
          <w:color w:val="auto"/>
          <w:highlight w:val="none"/>
          <w:u w:val="single"/>
        </w:rPr>
        <w:t>天（工程造价在</w:t>
      </w:r>
      <w:r>
        <w:rPr>
          <w:color w:val="auto"/>
          <w:highlight w:val="none"/>
          <w:u w:val="single"/>
        </w:rPr>
        <w:t>1000</w:t>
      </w:r>
      <w:r>
        <w:rPr>
          <w:rFonts w:hint="eastAsia" w:hAnsi="宋体" w:cs="宋体"/>
          <w:color w:val="auto"/>
          <w:highlight w:val="none"/>
          <w:u w:val="single"/>
        </w:rPr>
        <w:t>万元以上），提供竣工图的数量分别为</w:t>
      </w:r>
      <w:r>
        <w:rPr>
          <w:color w:val="auto"/>
          <w:highlight w:val="none"/>
          <w:u w:val="single"/>
        </w:rPr>
        <w:t>2</w:t>
      </w:r>
      <w:r>
        <w:rPr>
          <w:rFonts w:hint="eastAsia" w:hAnsi="宋体" w:cs="宋体"/>
          <w:color w:val="auto"/>
          <w:highlight w:val="none"/>
          <w:u w:val="single"/>
        </w:rPr>
        <w:t>套、</w:t>
      </w:r>
      <w:r>
        <w:rPr>
          <w:color w:val="auto"/>
          <w:highlight w:val="none"/>
          <w:u w:val="single"/>
        </w:rPr>
        <w:t>4</w:t>
      </w:r>
      <w:r>
        <w:rPr>
          <w:rFonts w:hint="eastAsia" w:hAnsi="宋体" w:cs="宋体"/>
          <w:color w:val="auto"/>
          <w:highlight w:val="none"/>
          <w:u w:val="single"/>
        </w:rPr>
        <w:t>套、</w:t>
      </w:r>
      <w:r>
        <w:rPr>
          <w:color w:val="auto"/>
          <w:highlight w:val="none"/>
          <w:u w:val="single"/>
        </w:rPr>
        <w:t>6</w:t>
      </w:r>
      <w:r>
        <w:rPr>
          <w:rFonts w:hint="eastAsia" w:hAnsi="宋体" w:cs="宋体"/>
          <w:color w:val="auto"/>
          <w:highlight w:val="none"/>
          <w:u w:val="single"/>
        </w:rPr>
        <w:t>套。</w:t>
      </w:r>
    </w:p>
    <w:p w14:paraId="32812146">
      <w:pPr>
        <w:spacing w:line="360" w:lineRule="auto"/>
        <w:ind w:firstLine="420" w:firstLineChars="200"/>
        <w:jc w:val="left"/>
        <w:rPr>
          <w:color w:val="auto"/>
          <w:highlight w:val="none"/>
        </w:rPr>
      </w:pPr>
      <w:r>
        <w:rPr>
          <w:color w:val="auto"/>
          <w:highlight w:val="none"/>
        </w:rPr>
        <w:t>13.2.2</w:t>
      </w:r>
      <w:r>
        <w:rPr>
          <w:rFonts w:hint="eastAsia" w:hAnsi="宋体" w:cs="宋体"/>
          <w:color w:val="auto"/>
          <w:highlight w:val="none"/>
        </w:rPr>
        <w:t>竣工验收程序</w:t>
      </w:r>
    </w:p>
    <w:bookmarkEnd w:id="1126"/>
    <w:p w14:paraId="7E66FD2C">
      <w:pPr>
        <w:spacing w:line="360" w:lineRule="auto"/>
        <w:ind w:firstLine="420" w:firstLineChars="200"/>
        <w:jc w:val="left"/>
        <w:rPr>
          <w:color w:val="auto"/>
          <w:highlight w:val="none"/>
          <w:u w:val="single"/>
        </w:rPr>
      </w:pPr>
      <w:r>
        <w:rPr>
          <w:rFonts w:hint="eastAsia" w:hAnsi="宋体" w:cs="宋体"/>
          <w:color w:val="auto"/>
          <w:kern w:val="0"/>
          <w:highlight w:val="none"/>
        </w:rPr>
        <w:t>关于竣工验收程序的约定：</w:t>
      </w:r>
      <w:r>
        <w:rPr>
          <w:color w:val="auto"/>
          <w:highlight w:val="none"/>
          <w:u w:val="single"/>
        </w:rPr>
        <w:t xml:space="preserve"> </w:t>
      </w:r>
      <w:r>
        <w:rPr>
          <w:rFonts w:hint="eastAsia"/>
          <w:color w:val="auto"/>
          <w:highlight w:val="none"/>
          <w:u w:val="single"/>
        </w:rPr>
        <w:t>按国家现行规定执行</w:t>
      </w:r>
      <w:r>
        <w:rPr>
          <w:rFonts w:hint="eastAsia" w:hAnsi="宋体" w:cs="宋体"/>
          <w:color w:val="auto"/>
          <w:highlight w:val="none"/>
        </w:rPr>
        <w:t>。</w:t>
      </w:r>
    </w:p>
    <w:p w14:paraId="77A1B1EF">
      <w:pPr>
        <w:spacing w:line="360" w:lineRule="auto"/>
        <w:jc w:val="left"/>
        <w:rPr>
          <w:color w:val="auto"/>
          <w:highlight w:val="none"/>
        </w:rPr>
      </w:pPr>
      <w:r>
        <w:rPr>
          <w:rFonts w:hint="eastAsia" w:hAnsi="宋体" w:cs="宋体"/>
          <w:color w:val="auto"/>
          <w:kern w:val="0"/>
          <w:highlight w:val="none"/>
        </w:rPr>
        <w:t>发包人不按照本项约定组织竣工验收、颁发工程接收证书的违约金的计算方法：</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highlight w:val="none"/>
        </w:rPr>
        <w:t>。</w:t>
      </w:r>
    </w:p>
    <w:bookmarkEnd w:id="1127"/>
    <w:p w14:paraId="35CF4289">
      <w:pPr>
        <w:spacing w:line="360" w:lineRule="auto"/>
        <w:ind w:firstLine="420" w:firstLineChars="200"/>
        <w:jc w:val="left"/>
        <w:rPr>
          <w:color w:val="auto"/>
          <w:highlight w:val="none"/>
        </w:rPr>
      </w:pPr>
      <w:r>
        <w:rPr>
          <w:color w:val="auto"/>
          <w:highlight w:val="none"/>
        </w:rPr>
        <w:t>13.2.5</w:t>
      </w:r>
      <w:r>
        <w:rPr>
          <w:rFonts w:hint="eastAsia" w:hAnsi="宋体" w:cs="宋体"/>
          <w:color w:val="auto"/>
          <w:highlight w:val="none"/>
        </w:rPr>
        <w:t>移交、接收全部与部分工程</w:t>
      </w:r>
    </w:p>
    <w:bookmarkEnd w:id="1128"/>
    <w:p w14:paraId="10F0CA0B">
      <w:pPr>
        <w:spacing w:line="360" w:lineRule="auto"/>
        <w:ind w:firstLine="420" w:firstLineChars="200"/>
        <w:jc w:val="left"/>
        <w:rPr>
          <w:color w:val="auto"/>
          <w:kern w:val="0"/>
          <w:highlight w:val="none"/>
        </w:rPr>
      </w:pPr>
      <w:r>
        <w:rPr>
          <w:rFonts w:hint="eastAsia" w:hAnsi="宋体" w:cs="宋体"/>
          <w:color w:val="auto"/>
          <w:kern w:val="0"/>
          <w:highlight w:val="none"/>
        </w:rPr>
        <w:t>承包人向发包人移交工程的期限：</w:t>
      </w:r>
      <w:r>
        <w:rPr>
          <w:rFonts w:hint="eastAsia"/>
          <w:color w:val="auto"/>
          <w:highlight w:val="none"/>
          <w:u w:val="single"/>
        </w:rPr>
        <w:t>工程竣工验收合格后7天内</w:t>
      </w:r>
      <w:r>
        <w:rPr>
          <w:color w:val="auto"/>
          <w:highlight w:val="none"/>
          <w:u w:val="single"/>
        </w:rPr>
        <w:t xml:space="preserve"> </w:t>
      </w:r>
      <w:r>
        <w:rPr>
          <w:rFonts w:hint="eastAsia" w:hAnsi="宋体" w:cs="宋体"/>
          <w:color w:val="auto"/>
          <w:highlight w:val="none"/>
        </w:rPr>
        <w:t>。</w:t>
      </w:r>
    </w:p>
    <w:p w14:paraId="022552F4">
      <w:pPr>
        <w:spacing w:line="360" w:lineRule="auto"/>
        <w:ind w:firstLine="420" w:firstLineChars="200"/>
        <w:jc w:val="left"/>
        <w:rPr>
          <w:color w:val="auto"/>
          <w:highlight w:val="none"/>
          <w:u w:val="single"/>
        </w:rPr>
      </w:pPr>
      <w:r>
        <w:rPr>
          <w:rFonts w:hint="eastAsia" w:hAnsi="宋体" w:cs="宋体"/>
          <w:color w:val="auto"/>
          <w:kern w:val="0"/>
          <w:highlight w:val="none"/>
        </w:rPr>
        <w:t>发包人未按本合同约定接收全部或部分工程的，违约金的计算方法为：</w:t>
      </w:r>
      <w:r>
        <w:rPr>
          <w:color w:val="auto"/>
          <w:highlight w:val="none"/>
          <w:u w:val="single"/>
        </w:rPr>
        <w:t xml:space="preserve">              </w:t>
      </w:r>
      <w:r>
        <w:rPr>
          <w:rFonts w:hint="eastAsia" w:hAnsi="宋体" w:cs="宋体"/>
          <w:color w:val="auto"/>
          <w:highlight w:val="none"/>
        </w:rPr>
        <w:t>。</w:t>
      </w:r>
    </w:p>
    <w:bookmarkEnd w:id="1129"/>
    <w:p w14:paraId="14376AAF">
      <w:pPr>
        <w:spacing w:line="360" w:lineRule="auto"/>
        <w:ind w:firstLine="420" w:firstLineChars="200"/>
        <w:jc w:val="left"/>
        <w:rPr>
          <w:color w:val="auto"/>
          <w:highlight w:val="none"/>
          <w:u w:val="single"/>
        </w:rPr>
      </w:pPr>
      <w:r>
        <w:rPr>
          <w:rFonts w:hint="eastAsia" w:hAnsi="宋体" w:cs="宋体"/>
          <w:color w:val="auto"/>
          <w:highlight w:val="none"/>
        </w:rPr>
        <w:t>承包人未按时移交工程的，违约金的计算方法为：</w:t>
      </w:r>
      <w:r>
        <w:rPr>
          <w:color w:val="auto"/>
          <w:highlight w:val="none"/>
          <w:u w:val="single"/>
        </w:rPr>
        <w:t xml:space="preserve">                                </w:t>
      </w:r>
      <w:r>
        <w:rPr>
          <w:rFonts w:hint="eastAsia" w:hAnsi="宋体" w:cs="宋体"/>
          <w:color w:val="auto"/>
          <w:highlight w:val="none"/>
        </w:rPr>
        <w:t>。</w:t>
      </w:r>
    </w:p>
    <w:p w14:paraId="4D603E2D">
      <w:pPr>
        <w:spacing w:line="360" w:lineRule="auto"/>
        <w:outlineLvl w:val="9"/>
        <w:rPr>
          <w:color w:val="auto"/>
          <w:highlight w:val="none"/>
        </w:rPr>
      </w:pPr>
      <w:bookmarkStart w:id="1132" w:name="_Toc1470255881"/>
      <w:bookmarkStart w:id="1133" w:name="_Toc407135259"/>
      <w:bookmarkStart w:id="1134" w:name="_Toc1727"/>
      <w:bookmarkStart w:id="1135" w:name="_Toc373227756"/>
      <w:bookmarkStart w:id="1136" w:name="_Toc78449845"/>
      <w:bookmarkStart w:id="1137" w:name="_Toc389065321"/>
      <w:bookmarkStart w:id="1138" w:name="_Toc24630"/>
      <w:bookmarkStart w:id="1139" w:name="_Toc373478403"/>
      <w:r>
        <w:rPr>
          <w:color w:val="auto"/>
          <w:highlight w:val="none"/>
        </w:rPr>
        <w:t xml:space="preserve">13.3 </w:t>
      </w:r>
      <w:r>
        <w:rPr>
          <w:rFonts w:hint="eastAsia" w:hAnsi="宋体" w:cs="黑体"/>
          <w:color w:val="auto"/>
          <w:highlight w:val="none"/>
        </w:rPr>
        <w:t>工程试车</w:t>
      </w:r>
      <w:bookmarkEnd w:id="1132"/>
      <w:bookmarkEnd w:id="1133"/>
      <w:bookmarkEnd w:id="1134"/>
      <w:bookmarkEnd w:id="1135"/>
      <w:bookmarkEnd w:id="1136"/>
      <w:bookmarkEnd w:id="1137"/>
      <w:bookmarkEnd w:id="1138"/>
      <w:bookmarkEnd w:id="1139"/>
    </w:p>
    <w:bookmarkEnd w:id="1130"/>
    <w:p w14:paraId="2FBB0AE8">
      <w:pPr>
        <w:spacing w:line="360" w:lineRule="auto"/>
        <w:ind w:firstLine="420" w:firstLineChars="200"/>
        <w:jc w:val="left"/>
        <w:rPr>
          <w:color w:val="auto"/>
          <w:kern w:val="0"/>
          <w:highlight w:val="none"/>
        </w:rPr>
      </w:pPr>
      <w:r>
        <w:rPr>
          <w:color w:val="auto"/>
          <w:kern w:val="0"/>
          <w:highlight w:val="none"/>
        </w:rPr>
        <w:t xml:space="preserve">13.3.1 </w:t>
      </w:r>
      <w:r>
        <w:rPr>
          <w:rFonts w:hint="eastAsia" w:hAnsi="宋体" w:cs="宋体"/>
          <w:color w:val="auto"/>
          <w:kern w:val="0"/>
          <w:highlight w:val="none"/>
        </w:rPr>
        <w:t>试车程序</w:t>
      </w:r>
    </w:p>
    <w:p w14:paraId="30C37BBC">
      <w:pPr>
        <w:spacing w:line="360" w:lineRule="auto"/>
        <w:ind w:firstLine="420" w:firstLineChars="200"/>
        <w:jc w:val="left"/>
        <w:rPr>
          <w:color w:val="auto"/>
          <w:highlight w:val="none"/>
          <w:u w:val="single"/>
        </w:rPr>
      </w:pPr>
      <w:r>
        <w:rPr>
          <w:rFonts w:hint="eastAsia" w:hAnsi="宋体" w:cs="宋体"/>
          <w:color w:val="auto"/>
          <w:kern w:val="0"/>
          <w:highlight w:val="none"/>
        </w:rPr>
        <w:t>工程试车内容：</w:t>
      </w:r>
      <w:r>
        <w:rPr>
          <w:color w:val="auto"/>
          <w:highlight w:val="none"/>
          <w:u w:val="single"/>
        </w:rPr>
        <w:t xml:space="preserve">                                                            </w:t>
      </w:r>
      <w:r>
        <w:rPr>
          <w:rFonts w:hint="eastAsia" w:hAnsi="宋体" w:cs="宋体"/>
          <w:color w:val="auto"/>
          <w:highlight w:val="none"/>
        </w:rPr>
        <w:t>。</w:t>
      </w:r>
    </w:p>
    <w:p w14:paraId="57F754EF">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）单机无负荷试车费用由</w:t>
      </w:r>
      <w:r>
        <w:rPr>
          <w:color w:val="auto"/>
          <w:highlight w:val="none"/>
          <w:u w:val="single"/>
        </w:rPr>
        <w:t xml:space="preserve">                     </w:t>
      </w:r>
      <w:r>
        <w:rPr>
          <w:rFonts w:hint="eastAsia" w:hAnsi="宋体" w:cs="宋体"/>
          <w:color w:val="auto"/>
          <w:kern w:val="0"/>
          <w:highlight w:val="none"/>
        </w:rPr>
        <w:t>承担；</w:t>
      </w:r>
    </w:p>
    <w:p w14:paraId="56E26C6F">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）无负荷联动试车费用由</w:t>
      </w:r>
      <w:r>
        <w:rPr>
          <w:color w:val="auto"/>
          <w:highlight w:val="none"/>
          <w:u w:val="single"/>
        </w:rPr>
        <w:t xml:space="preserve">                     </w:t>
      </w:r>
      <w:r>
        <w:rPr>
          <w:rFonts w:hint="eastAsia" w:hAnsi="宋体" w:cs="宋体"/>
          <w:color w:val="auto"/>
          <w:kern w:val="0"/>
          <w:highlight w:val="none"/>
        </w:rPr>
        <w:t>承担。</w:t>
      </w:r>
    </w:p>
    <w:p w14:paraId="58ABE76D">
      <w:pPr>
        <w:spacing w:line="360" w:lineRule="auto"/>
        <w:ind w:firstLine="420" w:firstLineChars="200"/>
        <w:jc w:val="left"/>
        <w:rPr>
          <w:color w:val="auto"/>
          <w:kern w:val="0"/>
          <w:highlight w:val="none"/>
        </w:rPr>
      </w:pPr>
      <w:r>
        <w:rPr>
          <w:color w:val="auto"/>
          <w:kern w:val="0"/>
          <w:highlight w:val="none"/>
        </w:rPr>
        <w:t xml:space="preserve">13.3.3 </w:t>
      </w:r>
      <w:r>
        <w:rPr>
          <w:rFonts w:hint="eastAsia" w:hAnsi="宋体" w:cs="宋体"/>
          <w:color w:val="auto"/>
          <w:kern w:val="0"/>
          <w:highlight w:val="none"/>
        </w:rPr>
        <w:t>投料试车</w:t>
      </w:r>
    </w:p>
    <w:p w14:paraId="38D68D7F">
      <w:pPr>
        <w:spacing w:line="360" w:lineRule="auto"/>
        <w:ind w:firstLine="420" w:firstLineChars="200"/>
        <w:jc w:val="left"/>
        <w:rPr>
          <w:color w:val="auto"/>
          <w:highlight w:val="none"/>
          <w:u w:val="single"/>
        </w:rPr>
      </w:pPr>
      <w:r>
        <w:rPr>
          <w:rFonts w:hint="eastAsia" w:hAnsi="宋体" w:cs="宋体"/>
          <w:color w:val="auto"/>
          <w:kern w:val="0"/>
          <w:highlight w:val="none"/>
        </w:rPr>
        <w:t>关于投料试车相关事项的约定：</w:t>
      </w:r>
      <w:r>
        <w:rPr>
          <w:color w:val="auto"/>
          <w:highlight w:val="none"/>
          <w:u w:val="single"/>
        </w:rPr>
        <w:t xml:space="preserve">                                              </w:t>
      </w:r>
      <w:r>
        <w:rPr>
          <w:rFonts w:hint="eastAsia" w:hAnsi="宋体" w:cs="宋体"/>
          <w:color w:val="auto"/>
          <w:highlight w:val="none"/>
        </w:rPr>
        <w:t>。</w:t>
      </w:r>
    </w:p>
    <w:p w14:paraId="1EBB6D87">
      <w:pPr>
        <w:spacing w:line="360" w:lineRule="auto"/>
        <w:outlineLvl w:val="9"/>
        <w:rPr>
          <w:color w:val="auto"/>
          <w:highlight w:val="none"/>
        </w:rPr>
      </w:pPr>
      <w:bookmarkStart w:id="1140" w:name="_Toc407135260"/>
      <w:bookmarkStart w:id="1141" w:name="_Toc78449846"/>
      <w:bookmarkStart w:id="1142" w:name="_Toc10307455"/>
      <w:bookmarkStart w:id="1143" w:name="_Toc12147"/>
      <w:bookmarkStart w:id="1144" w:name="_Toc22225"/>
      <w:bookmarkStart w:id="1145" w:name="_Toc373227757"/>
      <w:bookmarkStart w:id="1146" w:name="_Toc389065322"/>
      <w:bookmarkStart w:id="1147" w:name="_Toc373478404"/>
      <w:r>
        <w:rPr>
          <w:color w:val="auto"/>
          <w:highlight w:val="none"/>
        </w:rPr>
        <w:t xml:space="preserve">13.6 </w:t>
      </w:r>
      <w:r>
        <w:rPr>
          <w:rFonts w:hint="eastAsia" w:hAnsi="宋体" w:cs="黑体"/>
          <w:color w:val="auto"/>
          <w:highlight w:val="none"/>
        </w:rPr>
        <w:t>竣工退场</w:t>
      </w:r>
      <w:bookmarkEnd w:id="1140"/>
      <w:bookmarkEnd w:id="1141"/>
      <w:bookmarkEnd w:id="1142"/>
      <w:bookmarkEnd w:id="1143"/>
      <w:bookmarkEnd w:id="1144"/>
      <w:bookmarkEnd w:id="1145"/>
      <w:bookmarkEnd w:id="1146"/>
      <w:bookmarkEnd w:id="1147"/>
    </w:p>
    <w:p w14:paraId="6A844F9A">
      <w:pPr>
        <w:spacing w:line="360" w:lineRule="auto"/>
        <w:ind w:firstLine="420" w:firstLineChars="200"/>
        <w:jc w:val="left"/>
        <w:outlineLvl w:val="9"/>
        <w:rPr>
          <w:color w:val="auto"/>
          <w:kern w:val="0"/>
          <w:highlight w:val="none"/>
        </w:rPr>
      </w:pPr>
      <w:r>
        <w:rPr>
          <w:color w:val="auto"/>
          <w:kern w:val="0"/>
          <w:highlight w:val="none"/>
        </w:rPr>
        <w:t xml:space="preserve">13.6.1 </w:t>
      </w:r>
      <w:r>
        <w:rPr>
          <w:rFonts w:hint="eastAsia" w:hAnsi="宋体" w:cs="宋体"/>
          <w:color w:val="auto"/>
          <w:kern w:val="0"/>
          <w:highlight w:val="none"/>
        </w:rPr>
        <w:t>竣工退场</w:t>
      </w:r>
    </w:p>
    <w:p w14:paraId="0513E04E">
      <w:pPr>
        <w:spacing w:line="360" w:lineRule="auto"/>
        <w:ind w:firstLine="420" w:firstLineChars="200"/>
        <w:jc w:val="left"/>
        <w:rPr>
          <w:color w:val="auto"/>
          <w:kern w:val="0"/>
          <w:highlight w:val="none"/>
        </w:rPr>
      </w:pPr>
      <w:r>
        <w:rPr>
          <w:rFonts w:hint="eastAsia" w:hAnsi="宋体" w:cs="宋体"/>
          <w:color w:val="auto"/>
          <w:kern w:val="0"/>
          <w:highlight w:val="none"/>
        </w:rPr>
        <w:t>承包人完成竣工退场的期限：</w:t>
      </w:r>
      <w:r>
        <w:rPr>
          <w:color w:val="auto"/>
          <w:highlight w:val="none"/>
          <w:u w:val="single"/>
        </w:rPr>
        <w:t xml:space="preserve"> </w:t>
      </w:r>
      <w:r>
        <w:rPr>
          <w:rFonts w:hint="eastAsia"/>
          <w:color w:val="auto"/>
          <w:highlight w:val="none"/>
          <w:u w:val="single"/>
        </w:rPr>
        <w:t>竣工验收合格并移交后21天内。</w:t>
      </w:r>
      <w:r>
        <w:rPr>
          <w:color w:val="auto"/>
          <w:highlight w:val="none"/>
          <w:u w:val="single"/>
        </w:rPr>
        <w:t xml:space="preserve"> </w:t>
      </w:r>
    </w:p>
    <w:p w14:paraId="224151FE">
      <w:pPr>
        <w:spacing w:line="360" w:lineRule="auto"/>
        <w:outlineLvl w:val="9"/>
        <w:rPr>
          <w:color w:val="auto"/>
          <w:highlight w:val="none"/>
        </w:rPr>
      </w:pPr>
      <w:bookmarkStart w:id="1148" w:name="_Toc373227758"/>
      <w:bookmarkStart w:id="1149" w:name="_Toc1385490858"/>
      <w:bookmarkStart w:id="1150" w:name="_Toc78449847"/>
      <w:bookmarkStart w:id="1151" w:name="_Toc373478405"/>
      <w:bookmarkStart w:id="1152" w:name="_Toc407135261"/>
      <w:bookmarkStart w:id="1153" w:name="_Toc389065323"/>
      <w:bookmarkStart w:id="1154" w:name="_Toc351203646"/>
      <w:bookmarkStart w:id="1155" w:name="_Toc24722"/>
      <w:r>
        <w:rPr>
          <w:color w:val="auto"/>
          <w:highlight w:val="none"/>
        </w:rPr>
        <w:t xml:space="preserve">14. </w:t>
      </w:r>
      <w:r>
        <w:rPr>
          <w:rFonts w:hint="eastAsia" w:hAnsi="宋体" w:cs="黑体"/>
          <w:color w:val="auto"/>
          <w:highlight w:val="none"/>
        </w:rPr>
        <w:t>竣工结算</w:t>
      </w:r>
      <w:bookmarkEnd w:id="1148"/>
      <w:bookmarkEnd w:id="1149"/>
      <w:bookmarkEnd w:id="1150"/>
      <w:bookmarkEnd w:id="1151"/>
      <w:bookmarkEnd w:id="1152"/>
      <w:bookmarkEnd w:id="1153"/>
      <w:bookmarkEnd w:id="1154"/>
      <w:bookmarkEnd w:id="1155"/>
    </w:p>
    <w:p w14:paraId="41B02706">
      <w:pPr>
        <w:spacing w:line="360" w:lineRule="auto"/>
        <w:outlineLvl w:val="9"/>
        <w:rPr>
          <w:color w:val="auto"/>
          <w:highlight w:val="none"/>
        </w:rPr>
      </w:pPr>
      <w:bookmarkStart w:id="1156" w:name="_Toc373478406"/>
      <w:bookmarkStart w:id="1157" w:name="_Toc2542"/>
      <w:bookmarkStart w:id="1158" w:name="_Toc11356"/>
      <w:bookmarkStart w:id="1159" w:name="_Toc78449848"/>
      <w:bookmarkStart w:id="1160" w:name="_Toc389065324"/>
      <w:bookmarkStart w:id="1161" w:name="_Toc407135262"/>
      <w:bookmarkStart w:id="1162" w:name="_Toc174652718"/>
      <w:bookmarkStart w:id="1163" w:name="_Toc373227759"/>
      <w:r>
        <w:rPr>
          <w:color w:val="auto"/>
          <w:highlight w:val="none"/>
        </w:rPr>
        <w:t xml:space="preserve">14.1 </w:t>
      </w:r>
      <w:r>
        <w:rPr>
          <w:rFonts w:hint="eastAsia" w:hAnsi="宋体" w:cs="黑体"/>
          <w:color w:val="auto"/>
          <w:highlight w:val="none"/>
        </w:rPr>
        <w:t>竣工付款申请</w:t>
      </w:r>
      <w:bookmarkEnd w:id="1156"/>
      <w:bookmarkEnd w:id="1157"/>
      <w:bookmarkEnd w:id="1158"/>
      <w:bookmarkEnd w:id="1159"/>
      <w:bookmarkEnd w:id="1160"/>
      <w:bookmarkEnd w:id="1161"/>
      <w:bookmarkEnd w:id="1162"/>
      <w:bookmarkEnd w:id="1163"/>
    </w:p>
    <w:p w14:paraId="70A3BD05">
      <w:pPr>
        <w:spacing w:line="360" w:lineRule="auto"/>
        <w:ind w:firstLine="420" w:firstLineChars="200"/>
        <w:jc w:val="left"/>
        <w:rPr>
          <w:color w:val="auto"/>
          <w:highlight w:val="none"/>
        </w:rPr>
      </w:pPr>
      <w:r>
        <w:rPr>
          <w:rFonts w:hint="eastAsia" w:hAnsi="宋体" w:cs="宋体"/>
          <w:color w:val="auto"/>
          <w:highlight w:val="none"/>
        </w:rPr>
        <w:t>承包人提交竣工付款申请单的期限：</w:t>
      </w:r>
      <w:r>
        <w:rPr>
          <w:color w:val="auto"/>
          <w:highlight w:val="none"/>
          <w:u w:val="single"/>
        </w:rPr>
        <w:t xml:space="preserve">   </w:t>
      </w:r>
      <w:r>
        <w:rPr>
          <w:rFonts w:hint="eastAsia"/>
          <w:color w:val="auto"/>
          <w:highlight w:val="none"/>
          <w:u w:val="single"/>
        </w:rPr>
        <w:t>竣工验收合格后 28天内</w:t>
      </w:r>
      <w:r>
        <w:rPr>
          <w:color w:val="auto"/>
          <w:highlight w:val="none"/>
          <w:u w:val="single"/>
        </w:rPr>
        <w:t xml:space="preserve">    </w:t>
      </w:r>
      <w:r>
        <w:rPr>
          <w:rFonts w:hint="eastAsia" w:hAnsi="宋体" w:cs="宋体"/>
          <w:color w:val="auto"/>
          <w:highlight w:val="none"/>
        </w:rPr>
        <w:t>。</w:t>
      </w:r>
    </w:p>
    <w:p w14:paraId="54CF84E2">
      <w:pPr>
        <w:spacing w:line="360" w:lineRule="auto"/>
        <w:ind w:firstLine="420" w:firstLineChars="200"/>
        <w:jc w:val="left"/>
        <w:rPr>
          <w:color w:val="auto"/>
          <w:highlight w:val="none"/>
          <w:u w:val="single"/>
        </w:rPr>
      </w:pPr>
      <w:r>
        <w:rPr>
          <w:rFonts w:hint="eastAsia" w:hAnsi="宋体" w:cs="宋体"/>
          <w:color w:val="auto"/>
          <w:highlight w:val="none"/>
        </w:rPr>
        <w:t>竣工付款申请单应包括的内容：</w:t>
      </w:r>
      <w:r>
        <w:rPr>
          <w:color w:val="auto"/>
          <w:highlight w:val="none"/>
          <w:u w:val="single"/>
        </w:rPr>
        <w:t xml:space="preserve"> </w:t>
      </w:r>
      <w:r>
        <w:rPr>
          <w:rFonts w:hint="eastAsia"/>
          <w:color w:val="auto"/>
          <w:highlight w:val="none"/>
          <w:u w:val="single"/>
        </w:rPr>
        <w:t>按通用条款约定执行</w:t>
      </w:r>
      <w:r>
        <w:rPr>
          <w:color w:val="auto"/>
          <w:highlight w:val="none"/>
          <w:u w:val="single"/>
        </w:rPr>
        <w:t xml:space="preserve"> </w:t>
      </w:r>
      <w:r>
        <w:rPr>
          <w:rFonts w:hint="eastAsia" w:hAnsi="宋体" w:cs="宋体"/>
          <w:color w:val="auto"/>
          <w:highlight w:val="none"/>
        </w:rPr>
        <w:t>。竣工结算款支付申请（核准）表见合同附件12。</w:t>
      </w:r>
    </w:p>
    <w:p w14:paraId="5ADCC29D">
      <w:pPr>
        <w:spacing w:line="360" w:lineRule="auto"/>
        <w:outlineLvl w:val="9"/>
        <w:rPr>
          <w:color w:val="auto"/>
          <w:highlight w:val="none"/>
        </w:rPr>
      </w:pPr>
      <w:bookmarkStart w:id="1164" w:name="_Toc407135263"/>
      <w:bookmarkStart w:id="1165" w:name="_Toc373478407"/>
      <w:bookmarkStart w:id="1166" w:name="_Toc78449849"/>
      <w:bookmarkStart w:id="1167" w:name="_Toc389065325"/>
      <w:bookmarkStart w:id="1168" w:name="_Toc10913"/>
      <w:bookmarkStart w:id="1169" w:name="_Toc23646"/>
      <w:bookmarkStart w:id="1170" w:name="_Toc667492935"/>
      <w:bookmarkStart w:id="1171" w:name="_Toc373227760"/>
      <w:r>
        <w:rPr>
          <w:color w:val="auto"/>
          <w:highlight w:val="none"/>
        </w:rPr>
        <w:t xml:space="preserve">14.2 </w:t>
      </w:r>
      <w:r>
        <w:rPr>
          <w:rFonts w:hint="eastAsia" w:hAnsi="宋体" w:cs="黑体"/>
          <w:color w:val="auto"/>
          <w:highlight w:val="none"/>
        </w:rPr>
        <w:t>竣工结算审核</w:t>
      </w:r>
      <w:bookmarkEnd w:id="1164"/>
      <w:bookmarkEnd w:id="1165"/>
      <w:bookmarkEnd w:id="1166"/>
      <w:bookmarkEnd w:id="1167"/>
      <w:bookmarkEnd w:id="1168"/>
      <w:bookmarkEnd w:id="1169"/>
      <w:bookmarkEnd w:id="1170"/>
      <w:bookmarkEnd w:id="1171"/>
    </w:p>
    <w:p w14:paraId="7397032E">
      <w:pPr>
        <w:spacing w:line="360" w:lineRule="auto"/>
        <w:ind w:firstLine="420" w:firstLineChars="200"/>
        <w:jc w:val="left"/>
        <w:rPr>
          <w:rFonts w:hint="eastAsia" w:ascii="Times New Roman" w:hAnsi="宋体" w:eastAsia="宋体" w:cs="宋体"/>
          <w:i w:val="0"/>
          <w:caps w:val="0"/>
          <w:color w:val="auto"/>
          <w:spacing w:val="0"/>
          <w:sz w:val="21"/>
          <w:szCs w:val="21"/>
          <w:highlight w:val="none"/>
          <w:lang w:val="en-US" w:eastAsia="zh-CN"/>
        </w:rPr>
      </w:pPr>
      <w:r>
        <w:rPr>
          <w:rFonts w:hint="eastAsia" w:ascii="Times New Roman" w:hAnsi="宋体" w:eastAsia="宋体" w:cs="宋体"/>
          <w:i w:val="0"/>
          <w:caps w:val="0"/>
          <w:color w:val="auto"/>
          <w:spacing w:val="0"/>
          <w:sz w:val="21"/>
          <w:szCs w:val="21"/>
          <w:highlight w:val="none"/>
          <w:lang w:val="en-US" w:eastAsia="zh-CN"/>
        </w:rPr>
        <w:t>14.2.1承包人</w:t>
      </w:r>
      <w:r>
        <w:rPr>
          <w:rFonts w:hint="eastAsia" w:ascii="宋体" w:hAnsi="宋体" w:cs="宋体"/>
          <w:color w:val="auto"/>
          <w:szCs w:val="21"/>
          <w:highlight w:val="none"/>
          <w:u w:val="single"/>
        </w:rPr>
        <w:t xml:space="preserve">□是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rPr>
        <w:t>否</w:t>
      </w:r>
      <w:r>
        <w:rPr>
          <w:rFonts w:hint="eastAsia" w:ascii="Times New Roman" w:hAnsi="宋体" w:eastAsia="宋体" w:cs="宋体"/>
          <w:i w:val="0"/>
          <w:caps w:val="0"/>
          <w:color w:val="auto"/>
          <w:spacing w:val="0"/>
          <w:sz w:val="21"/>
          <w:szCs w:val="21"/>
          <w:highlight w:val="none"/>
          <w:lang w:val="en-US" w:eastAsia="zh-CN"/>
        </w:rPr>
        <w:t>属于中小微企业。</w:t>
      </w:r>
    </w:p>
    <w:p w14:paraId="6296597E">
      <w:pPr>
        <w:spacing w:line="360" w:lineRule="auto"/>
        <w:ind w:firstLine="420" w:firstLineChars="200"/>
        <w:jc w:val="left"/>
        <w:rPr>
          <w:rFonts w:hint="eastAsia" w:ascii="Times New Roman" w:hAnsi="宋体" w:eastAsia="宋体" w:cs="宋体"/>
          <w:i w:val="0"/>
          <w:caps w:val="0"/>
          <w:color w:val="auto"/>
          <w:spacing w:val="0"/>
          <w:sz w:val="21"/>
          <w:szCs w:val="21"/>
          <w:highlight w:val="none"/>
          <w:lang w:val="en-US" w:eastAsia="zh-CN"/>
        </w:rPr>
      </w:pPr>
      <w:r>
        <w:rPr>
          <w:rFonts w:hint="eastAsia" w:ascii="Times New Roman" w:hAnsi="宋体" w:eastAsia="宋体" w:cs="宋体"/>
          <w:i w:val="0"/>
          <w:caps w:val="0"/>
          <w:color w:val="auto"/>
          <w:spacing w:val="0"/>
          <w:sz w:val="21"/>
          <w:szCs w:val="21"/>
          <w:highlight w:val="none"/>
          <w:lang w:val="en-US" w:eastAsia="zh-CN"/>
        </w:rPr>
        <w:t>14.2.2</w:t>
      </w:r>
      <w:r>
        <w:rPr>
          <w:rFonts w:hint="eastAsia" w:ascii="宋体" w:hAnsi="宋体" w:eastAsia="宋体" w:cs="宋体"/>
          <w:color w:val="auto"/>
          <w:szCs w:val="21"/>
          <w:highlight w:val="none"/>
          <w:lang w:val="en-US" w:eastAsia="zh-CN"/>
        </w:rPr>
        <w:t>项目推行过程结算的，</w:t>
      </w:r>
      <w:r>
        <w:rPr>
          <w:rFonts w:hint="eastAsia" w:ascii="宋体" w:hAnsi="宋体" w:cs="宋体"/>
          <w:color w:val="auto"/>
          <w:szCs w:val="21"/>
          <w:highlight w:val="none"/>
          <w:lang w:val="zh-TW"/>
        </w:rPr>
        <w:t>承包人应在经发承包双方确认的施工过程结算的基础上，</w:t>
      </w:r>
      <w:r>
        <w:rPr>
          <w:rFonts w:hint="eastAsia" w:ascii="宋体" w:hAnsi="宋体" w:cs="宋体"/>
          <w:color w:val="auto"/>
          <w:szCs w:val="21"/>
          <w:highlight w:val="none"/>
        </w:rPr>
        <w:t>补充完善相关质量合格验收证明等资料，</w:t>
      </w:r>
      <w:r>
        <w:rPr>
          <w:rFonts w:hint="eastAsia" w:ascii="宋体" w:hAnsi="宋体" w:cs="宋体"/>
          <w:color w:val="auto"/>
          <w:szCs w:val="21"/>
          <w:highlight w:val="none"/>
          <w:lang w:val="zh-TW"/>
        </w:rPr>
        <w:t>按合同约定及相关规定编制并向发包人提交完整的工程竣工结算文件。</w:t>
      </w:r>
      <w:r>
        <w:rPr>
          <w:rFonts w:hint="eastAsia" w:ascii="Times New Roman" w:hAnsi="宋体" w:eastAsia="宋体" w:cs="宋体"/>
          <w:i w:val="0"/>
          <w:caps w:val="0"/>
          <w:color w:val="auto"/>
          <w:spacing w:val="0"/>
          <w:sz w:val="21"/>
          <w:szCs w:val="21"/>
          <w:highlight w:val="none"/>
        </w:rPr>
        <w:t>经发承包双方签署确认的施工过程结算文件作为竣工结算文件的组成部分。</w:t>
      </w:r>
      <w:r>
        <w:rPr>
          <w:rFonts w:hint="eastAsia" w:ascii="Times New Roman" w:hAnsi="宋体" w:eastAsia="宋体" w:cs="宋体"/>
          <w:i w:val="0"/>
          <w:caps w:val="0"/>
          <w:color w:val="auto"/>
          <w:spacing w:val="0"/>
          <w:sz w:val="21"/>
          <w:szCs w:val="21"/>
          <w:highlight w:val="none"/>
          <w:lang w:val="en-US" w:eastAsia="zh-CN"/>
        </w:rPr>
        <w:t>根据合同约定具有过程结算效力的过程结算文件作为竣工结算文件的组成部分，竣工后原则上不再重复审核。</w:t>
      </w:r>
    </w:p>
    <w:p w14:paraId="7C87CE98">
      <w:pPr>
        <w:spacing w:line="360" w:lineRule="auto"/>
        <w:ind w:firstLine="420" w:firstLineChars="200"/>
        <w:outlineLvl w:val="9"/>
        <w:rPr>
          <w:rFonts w:hint="default" w:ascii="Times New Roman" w:hAnsi="Times New Roman" w:cs="Times New Roman"/>
          <w:color w:val="auto"/>
          <w:szCs w:val="21"/>
          <w:highlight w:val="none"/>
        </w:rPr>
      </w:pPr>
      <w:r>
        <w:rPr>
          <w:rFonts w:hint="eastAsia" w:ascii="Times New Roman" w:hAnsi="Times New Roman" w:cs="Times New Roman"/>
          <w:color w:val="auto"/>
          <w:szCs w:val="21"/>
          <w:highlight w:val="none"/>
          <w:lang w:val="en-US" w:eastAsia="zh-CN"/>
        </w:rPr>
        <w:t>14.2.3</w:t>
      </w:r>
      <w:r>
        <w:rPr>
          <w:rFonts w:hint="default" w:ascii="Times New Roman" w:hAnsi="Times New Roman" w:cs="Times New Roman"/>
          <w:color w:val="auto"/>
          <w:szCs w:val="21"/>
          <w:highlight w:val="none"/>
        </w:rPr>
        <w:t>发包</w:t>
      </w:r>
      <w:r>
        <w:rPr>
          <w:rFonts w:hint="default" w:ascii="Times New Roman" w:hAnsi="Times New Roman" w:cs="Times New Roman"/>
          <w:color w:val="auto"/>
          <w:szCs w:val="21"/>
          <w:highlight w:val="none"/>
          <w:u w:val="none"/>
        </w:rPr>
        <w:t>人</w:t>
      </w:r>
      <w:r>
        <w:rPr>
          <w:rFonts w:hint="eastAsia" w:ascii="Times New Roman" w:hAnsi="Times New Roman" w:cs="Times New Roman"/>
          <w:color w:val="auto"/>
          <w:szCs w:val="21"/>
          <w:highlight w:val="none"/>
          <w:u w:val="none"/>
          <w:lang w:val="en-US" w:eastAsia="zh-CN"/>
        </w:rPr>
        <w:t>在期限内</w:t>
      </w:r>
      <w:r>
        <w:rPr>
          <w:rFonts w:hint="eastAsia" w:ascii="Times New Roman" w:hAnsi="Times New Roman" w:cs="Times New Roman"/>
          <w:color w:val="auto"/>
          <w:szCs w:val="21"/>
          <w:highlight w:val="none"/>
          <w:lang w:val="en-US" w:eastAsia="zh-CN"/>
        </w:rPr>
        <w:t>按照第</w:t>
      </w:r>
      <w:r>
        <w:rPr>
          <w:rFonts w:hint="default" w:ascii="Times New Roman" w:hAnsi="Times New Roman" w:cs="Times New Roman"/>
          <w:color w:val="auto"/>
          <w:szCs w:val="21"/>
          <w:highlight w:val="none"/>
          <w:u w:val="single"/>
        </w:rPr>
        <w:t xml:space="preserve">   </w:t>
      </w:r>
      <w:r>
        <w:rPr>
          <w:rFonts w:hint="eastAsia" w:ascii="Times New Roman" w:hAnsi="Times New Roman" w:cs="Times New Roman"/>
          <w:color w:val="auto"/>
          <w:szCs w:val="21"/>
          <w:highlight w:val="none"/>
          <w:lang w:eastAsia="zh-CN"/>
        </w:rPr>
        <w:t>（</w:t>
      </w:r>
      <w:r>
        <w:rPr>
          <w:rFonts w:hint="eastAsia" w:ascii="Times New Roman" w:hAnsi="Times New Roman" w:cs="Times New Roman"/>
          <w:color w:val="auto"/>
          <w:szCs w:val="21"/>
          <w:highlight w:val="none"/>
          <w:lang w:val="en-US" w:eastAsia="zh-CN"/>
        </w:rPr>
        <w:t>2</w:t>
      </w:r>
      <w:r>
        <w:rPr>
          <w:rFonts w:hint="eastAsia"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u w:val="single"/>
        </w:rPr>
        <w:t xml:space="preserve">  </w:t>
      </w:r>
      <w:r>
        <w:rPr>
          <w:rFonts w:hint="eastAsia" w:ascii="Times New Roman" w:hAnsi="Times New Roman" w:cs="Times New Roman"/>
          <w:color w:val="auto"/>
          <w:szCs w:val="21"/>
          <w:highlight w:val="none"/>
          <w:u w:val="none"/>
          <w:lang w:val="en-US" w:eastAsia="zh-CN"/>
        </w:rPr>
        <w:t>种方式</w:t>
      </w:r>
      <w:r>
        <w:rPr>
          <w:rFonts w:hint="eastAsia" w:ascii="Times New Roman" w:hAnsi="Times New Roman" w:cs="Times New Roman"/>
          <w:color w:val="auto"/>
          <w:szCs w:val="21"/>
          <w:highlight w:val="none"/>
          <w:lang w:val="en-US" w:eastAsia="zh-CN"/>
        </w:rPr>
        <w:t>进行</w:t>
      </w:r>
      <w:r>
        <w:rPr>
          <w:rFonts w:hint="default" w:ascii="Times New Roman" w:hAnsi="Times New Roman" w:cs="Times New Roman"/>
          <w:color w:val="auto"/>
          <w:szCs w:val="21"/>
          <w:highlight w:val="none"/>
        </w:rPr>
        <w:t>竣工</w:t>
      </w:r>
      <w:r>
        <w:rPr>
          <w:rFonts w:hint="eastAsia" w:ascii="Times New Roman" w:hAnsi="Times New Roman" w:cs="Times New Roman"/>
          <w:color w:val="auto"/>
          <w:szCs w:val="21"/>
          <w:highlight w:val="none"/>
          <w:lang w:val="en-US" w:eastAsia="zh-CN"/>
        </w:rPr>
        <w:t>结算文件审核</w:t>
      </w:r>
      <w:r>
        <w:rPr>
          <w:rFonts w:hint="default" w:ascii="Times New Roman" w:hAnsi="Times New Roman" w:cs="Times New Roman"/>
          <w:color w:val="auto"/>
          <w:szCs w:val="21"/>
          <w:highlight w:val="none"/>
        </w:rPr>
        <w:t>。</w:t>
      </w:r>
    </w:p>
    <w:p w14:paraId="1F440B12">
      <w:pPr>
        <w:numPr>
          <w:ilvl w:val="0"/>
          <w:numId w:val="7"/>
        </w:numPr>
        <w:spacing w:line="360" w:lineRule="auto"/>
        <w:ind w:firstLine="420" w:firstLineChars="200"/>
        <w:jc w:val="left"/>
        <w:rPr>
          <w:rFonts w:hint="eastAsia" w:ascii="Times New Roman" w:hAnsi="Times New Roman" w:eastAsia="宋体" w:cs="Times New Roman"/>
          <w:b w:val="0"/>
          <w:bCs w:val="0"/>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本工程项目</w:t>
      </w:r>
      <w:r>
        <w:rPr>
          <w:rFonts w:hint="eastAsia" w:cs="Times New Roman"/>
          <w:color w:val="auto"/>
          <w:szCs w:val="21"/>
          <w:highlight w:val="none"/>
          <w:lang w:val="en-US" w:eastAsia="zh-CN"/>
        </w:rPr>
        <w:t>的</w:t>
      </w:r>
      <w:r>
        <w:rPr>
          <w:rFonts w:hint="eastAsia" w:ascii="Times New Roman" w:hAnsi="Times New Roman" w:eastAsia="宋体" w:cs="Times New Roman"/>
          <w:color w:val="auto"/>
          <w:szCs w:val="21"/>
          <w:highlight w:val="none"/>
          <w:lang w:val="en-US" w:eastAsia="zh-CN"/>
        </w:rPr>
        <w:t>竣工结算以发包人</w:t>
      </w:r>
      <w:r>
        <w:rPr>
          <w:rFonts w:hint="eastAsia" w:ascii="Times New Roman" w:hAnsi="Times New Roman" w:eastAsia="宋体" w:cs="Times New Roman"/>
          <w:b w:val="0"/>
          <w:bCs w:val="0"/>
          <w:color w:val="auto"/>
          <w:szCs w:val="21"/>
          <w:highlight w:val="none"/>
          <w:lang w:val="en-US" w:eastAsia="zh-CN"/>
        </w:rPr>
        <w:t>审核的结论为准。</w:t>
      </w:r>
    </w:p>
    <w:p w14:paraId="55445ED8">
      <w:pPr>
        <w:spacing w:line="360" w:lineRule="auto"/>
        <w:ind w:firstLine="420" w:firstLineChars="200"/>
        <w:jc w:val="left"/>
        <w:rPr>
          <w:rFonts w:hint="eastAsia" w:hAnsi="宋体" w:cs="宋体"/>
          <w:color w:val="auto"/>
          <w:highlight w:val="none"/>
        </w:rPr>
      </w:pPr>
      <w:r>
        <w:rPr>
          <w:rFonts w:hint="eastAsia" w:ascii="Times New Roman" w:hAnsi="宋体" w:eastAsia="宋体" w:cs="宋体"/>
          <w:i w:val="0"/>
          <w:caps w:val="0"/>
          <w:color w:val="auto"/>
          <w:spacing w:val="0"/>
          <w:sz w:val="21"/>
          <w:szCs w:val="21"/>
          <w:highlight w:val="none"/>
        </w:rPr>
        <w:t>发承包双方</w:t>
      </w:r>
      <w:r>
        <w:rPr>
          <w:rFonts w:hint="eastAsia" w:ascii="Times New Roman" w:hAnsi="宋体" w:eastAsia="宋体" w:cs="宋体"/>
          <w:i w:val="0"/>
          <w:caps w:val="0"/>
          <w:color w:val="auto"/>
          <w:spacing w:val="0"/>
          <w:sz w:val="21"/>
          <w:szCs w:val="21"/>
          <w:highlight w:val="none"/>
          <w:lang w:val="en-US" w:eastAsia="zh-CN"/>
        </w:rPr>
        <w:t>可参照下表，约定发包人审核竣工结算文件</w:t>
      </w:r>
      <w:r>
        <w:rPr>
          <w:rFonts w:hint="eastAsia" w:ascii="Times New Roman" w:hAnsi="宋体" w:eastAsia="宋体" w:cs="宋体"/>
          <w:i w:val="0"/>
          <w:caps w:val="0"/>
          <w:color w:val="auto"/>
          <w:spacing w:val="0"/>
          <w:sz w:val="21"/>
          <w:szCs w:val="21"/>
          <w:highlight w:val="none"/>
        </w:rPr>
        <w:t>的期限</w:t>
      </w:r>
      <w:r>
        <w:rPr>
          <w:rFonts w:hint="eastAsia" w:hAnsi="宋体" w:cs="宋体"/>
          <w:color w:val="auto"/>
          <w:highlight w:val="none"/>
          <w:lang w:val="en-US" w:eastAsia="zh-CN"/>
        </w:rPr>
        <w:t>。</w:t>
      </w:r>
    </w:p>
    <w:p w14:paraId="225AEA93">
      <w:pPr>
        <w:spacing w:line="360" w:lineRule="auto"/>
        <w:ind w:firstLine="420" w:firstLineChars="200"/>
        <w:jc w:val="left"/>
        <w:rPr>
          <w:color w:val="auto"/>
          <w:highlight w:val="none"/>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58E67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2A2E013">
            <w:pPr>
              <w:keepNext w:val="0"/>
              <w:keepLines w:val="0"/>
              <w:suppressLineNumbers w:val="0"/>
              <w:spacing w:before="0" w:beforeAutospacing="0" w:after="0" w:afterAutospacing="0" w:line="360" w:lineRule="auto"/>
              <w:ind w:left="0" w:right="0"/>
              <w:rPr>
                <w:rFonts w:hint="default" w:ascii="Calibri" w:hAnsi="Calibri" w:eastAsia="宋体" w:cs="Times New Roman"/>
                <w:color w:val="auto"/>
                <w:highlight w:val="none"/>
              </w:rPr>
            </w:pPr>
          </w:p>
        </w:tc>
        <w:tc>
          <w:tcPr>
            <w:tcW w:w="2466" w:type="dxa"/>
            <w:noWrap w:val="0"/>
            <w:vAlign w:val="center"/>
          </w:tcPr>
          <w:p w14:paraId="6517923D">
            <w:pPr>
              <w:keepNext w:val="0"/>
              <w:keepLines w:val="0"/>
              <w:suppressLineNumbers w:val="0"/>
              <w:spacing w:before="0" w:beforeAutospacing="0" w:after="0" w:afterAutospacing="0" w:line="360" w:lineRule="auto"/>
              <w:ind w:left="0" w:right="0" w:firstLine="27" w:firstLineChars="13"/>
              <w:jc w:val="center"/>
              <w:rPr>
                <w:rFonts w:hint="default" w:ascii="Calibri" w:hAnsi="Calibri" w:eastAsia="宋体" w:cs="Times New Roman"/>
                <w:color w:val="auto"/>
                <w:highlight w:val="none"/>
              </w:rPr>
            </w:pPr>
            <w:r>
              <w:rPr>
                <w:rFonts w:hint="eastAsia" w:ascii="Calibri" w:hAnsi="宋体" w:eastAsia="宋体" w:cs="宋体"/>
                <w:color w:val="auto"/>
                <w:highlight w:val="none"/>
              </w:rPr>
              <w:t>工程竣工结算</w:t>
            </w:r>
            <w:r>
              <w:rPr>
                <w:rFonts w:hint="eastAsia" w:ascii="Calibri" w:hAnsi="宋体" w:eastAsia="宋体" w:cs="宋体"/>
                <w:color w:val="auto"/>
                <w:highlight w:val="none"/>
                <w:lang w:eastAsia="zh-CN"/>
              </w:rPr>
              <w:t>申请</w:t>
            </w:r>
            <w:r>
              <w:rPr>
                <w:rFonts w:hint="eastAsia" w:ascii="Calibri" w:hAnsi="宋体" w:eastAsia="宋体" w:cs="宋体"/>
                <w:color w:val="auto"/>
                <w:highlight w:val="none"/>
              </w:rPr>
              <w:t>金额</w:t>
            </w:r>
          </w:p>
        </w:tc>
        <w:tc>
          <w:tcPr>
            <w:tcW w:w="5967" w:type="dxa"/>
            <w:noWrap w:val="0"/>
            <w:vAlign w:val="center"/>
          </w:tcPr>
          <w:p w14:paraId="7259BF0B">
            <w:pPr>
              <w:keepNext w:val="0"/>
              <w:keepLines w:val="0"/>
              <w:suppressLineNumbers w:val="0"/>
              <w:spacing w:before="0" w:beforeAutospacing="0" w:after="0" w:afterAutospacing="0" w:line="360" w:lineRule="auto"/>
              <w:ind w:left="0" w:right="0" w:firstLine="441" w:firstLineChars="210"/>
              <w:jc w:val="center"/>
              <w:rPr>
                <w:rFonts w:hint="default" w:ascii="Calibri" w:hAnsi="Calibri" w:eastAsia="宋体" w:cs="Times New Roman"/>
                <w:color w:val="auto"/>
                <w:highlight w:val="none"/>
              </w:rPr>
            </w:pPr>
            <w:r>
              <w:rPr>
                <w:rFonts w:hint="eastAsia" w:ascii="Calibri" w:hAnsi="宋体" w:eastAsia="宋体" w:cs="宋体"/>
                <w:color w:val="auto"/>
                <w:highlight w:val="none"/>
              </w:rPr>
              <w:t>发包人</w:t>
            </w:r>
            <w:r>
              <w:rPr>
                <w:rFonts w:hint="eastAsia" w:ascii="Calibri" w:hAnsi="宋体" w:eastAsia="宋体" w:cs="宋体"/>
                <w:color w:val="auto"/>
                <w:highlight w:val="none"/>
                <w:lang w:val="en-US" w:eastAsia="zh-CN"/>
              </w:rPr>
              <w:t>审核</w:t>
            </w:r>
            <w:r>
              <w:rPr>
                <w:rFonts w:hint="eastAsia" w:ascii="Times New Roman" w:hAnsi="宋体" w:eastAsia="宋体" w:cs="宋体"/>
                <w:i w:val="0"/>
                <w:caps w:val="0"/>
                <w:color w:val="auto"/>
                <w:spacing w:val="0"/>
                <w:sz w:val="21"/>
                <w:szCs w:val="21"/>
                <w:highlight w:val="none"/>
                <w:lang w:val="en-US" w:eastAsia="zh-CN"/>
              </w:rPr>
              <w:t>竣工结算文件</w:t>
            </w:r>
            <w:r>
              <w:rPr>
                <w:rFonts w:hint="eastAsia" w:ascii="Times New Roman" w:hAnsi="宋体" w:eastAsia="宋体" w:cs="宋体"/>
                <w:i w:val="0"/>
                <w:caps w:val="0"/>
                <w:color w:val="auto"/>
                <w:spacing w:val="0"/>
                <w:sz w:val="21"/>
                <w:szCs w:val="21"/>
                <w:highlight w:val="none"/>
              </w:rPr>
              <w:t>的</w:t>
            </w:r>
            <w:r>
              <w:rPr>
                <w:rFonts w:hint="eastAsia" w:ascii="Calibri" w:hAnsi="宋体" w:eastAsia="宋体" w:cs="宋体"/>
                <w:color w:val="auto"/>
                <w:highlight w:val="none"/>
              </w:rPr>
              <w:t>时间</w:t>
            </w:r>
          </w:p>
        </w:tc>
      </w:tr>
      <w:tr w14:paraId="162B2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28D8778">
            <w:pPr>
              <w:keepNext w:val="0"/>
              <w:keepLines w:val="0"/>
              <w:suppressLineNumbers w:val="0"/>
              <w:spacing w:before="0" w:beforeAutospacing="0" w:after="0" w:afterAutospacing="0" w:line="360" w:lineRule="auto"/>
              <w:ind w:left="0" w:right="0"/>
              <w:jc w:val="center"/>
              <w:rPr>
                <w:rFonts w:hint="default" w:ascii="Calibri" w:hAnsi="Calibri" w:eastAsia="宋体" w:cs="Times New Roman"/>
                <w:color w:val="auto"/>
                <w:highlight w:val="none"/>
              </w:rPr>
            </w:pPr>
            <w:r>
              <w:rPr>
                <w:rFonts w:hint="default" w:ascii="Calibri" w:hAnsi="Calibri" w:eastAsia="宋体" w:cs="Times New Roman"/>
                <w:color w:val="auto"/>
                <w:highlight w:val="none"/>
              </w:rPr>
              <w:t>1</w:t>
            </w:r>
          </w:p>
        </w:tc>
        <w:tc>
          <w:tcPr>
            <w:tcW w:w="2466" w:type="dxa"/>
            <w:noWrap w:val="0"/>
            <w:vAlign w:val="center"/>
          </w:tcPr>
          <w:p w14:paraId="618EF2F3">
            <w:pPr>
              <w:keepNext w:val="0"/>
              <w:keepLines w:val="0"/>
              <w:suppressLineNumbers w:val="0"/>
              <w:spacing w:before="0" w:beforeAutospacing="0" w:after="0" w:afterAutospacing="0" w:line="360" w:lineRule="auto"/>
              <w:ind w:left="0" w:right="0" w:firstLine="27" w:firstLineChars="13"/>
              <w:jc w:val="center"/>
              <w:rPr>
                <w:rFonts w:hint="default" w:ascii="Calibri" w:hAnsi="Calibri" w:eastAsia="宋体" w:cs="Times New Roman"/>
                <w:color w:val="auto"/>
                <w:highlight w:val="none"/>
              </w:rPr>
            </w:pPr>
            <w:r>
              <w:rPr>
                <w:rFonts w:hint="default" w:ascii="Calibri" w:hAnsi="Calibri" w:eastAsia="宋体" w:cs="Times New Roman"/>
                <w:color w:val="auto"/>
                <w:highlight w:val="none"/>
              </w:rPr>
              <w:t>500</w:t>
            </w:r>
            <w:r>
              <w:rPr>
                <w:rFonts w:hint="eastAsia" w:ascii="Calibri" w:hAnsi="宋体" w:eastAsia="宋体" w:cs="宋体"/>
                <w:color w:val="auto"/>
                <w:highlight w:val="none"/>
              </w:rPr>
              <w:t>万元以下</w:t>
            </w:r>
          </w:p>
        </w:tc>
        <w:tc>
          <w:tcPr>
            <w:tcW w:w="5967" w:type="dxa"/>
            <w:noWrap w:val="0"/>
            <w:vAlign w:val="center"/>
          </w:tcPr>
          <w:p w14:paraId="0F3AD41F">
            <w:pPr>
              <w:keepNext w:val="0"/>
              <w:keepLines w:val="0"/>
              <w:suppressLineNumbers w:val="0"/>
              <w:spacing w:before="0" w:beforeAutospacing="0" w:after="0" w:afterAutospacing="0" w:line="360" w:lineRule="auto"/>
              <w:ind w:left="0" w:right="0" w:firstLine="441" w:firstLineChars="210"/>
              <w:jc w:val="center"/>
              <w:rPr>
                <w:rFonts w:hint="default" w:ascii="Calibri" w:hAnsi="Calibri" w:eastAsia="宋体" w:cs="Times New Roman"/>
                <w:color w:val="auto"/>
                <w:highlight w:val="none"/>
              </w:rPr>
            </w:pPr>
            <w:r>
              <w:rPr>
                <w:rFonts w:hint="eastAsia" w:ascii="Calibri" w:hAnsi="宋体" w:eastAsia="宋体" w:cs="宋体"/>
                <w:color w:val="auto"/>
                <w:highlight w:val="none"/>
              </w:rPr>
              <w:t>从接到竣工结算报告和完整的竣工结算资料之日起</w:t>
            </w:r>
            <w:r>
              <w:rPr>
                <w:rFonts w:hint="default" w:ascii="Calibri" w:hAnsi="Calibri" w:eastAsia="宋体" w:cs="Times New Roman"/>
                <w:color w:val="auto"/>
                <w:highlight w:val="none"/>
              </w:rPr>
              <w:t>20</w:t>
            </w:r>
            <w:r>
              <w:rPr>
                <w:rFonts w:hint="eastAsia" w:ascii="Calibri" w:hAnsi="宋体" w:eastAsia="宋体" w:cs="宋体"/>
                <w:color w:val="auto"/>
                <w:highlight w:val="none"/>
              </w:rPr>
              <w:t>天</w:t>
            </w:r>
          </w:p>
        </w:tc>
      </w:tr>
      <w:tr w14:paraId="322BB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26168799">
            <w:pPr>
              <w:keepNext w:val="0"/>
              <w:keepLines w:val="0"/>
              <w:suppressLineNumbers w:val="0"/>
              <w:spacing w:before="0" w:beforeAutospacing="0" w:after="0" w:afterAutospacing="0" w:line="360" w:lineRule="auto"/>
              <w:ind w:left="0" w:right="0"/>
              <w:jc w:val="center"/>
              <w:rPr>
                <w:rFonts w:hint="default" w:ascii="Calibri" w:hAnsi="Calibri" w:eastAsia="宋体" w:cs="Times New Roman"/>
                <w:color w:val="auto"/>
                <w:highlight w:val="none"/>
              </w:rPr>
            </w:pPr>
            <w:r>
              <w:rPr>
                <w:rFonts w:hint="default" w:ascii="Calibri" w:hAnsi="Calibri" w:eastAsia="宋体" w:cs="Times New Roman"/>
                <w:color w:val="auto"/>
                <w:highlight w:val="none"/>
              </w:rPr>
              <w:t>2</w:t>
            </w:r>
          </w:p>
        </w:tc>
        <w:tc>
          <w:tcPr>
            <w:tcW w:w="2466" w:type="dxa"/>
            <w:noWrap w:val="0"/>
            <w:vAlign w:val="center"/>
          </w:tcPr>
          <w:p w14:paraId="4832A095">
            <w:pPr>
              <w:keepNext w:val="0"/>
              <w:keepLines w:val="0"/>
              <w:suppressLineNumbers w:val="0"/>
              <w:spacing w:before="0" w:beforeAutospacing="0" w:after="0" w:afterAutospacing="0" w:line="360" w:lineRule="auto"/>
              <w:ind w:left="0" w:right="0" w:firstLine="27" w:firstLineChars="13"/>
              <w:jc w:val="center"/>
              <w:rPr>
                <w:rFonts w:hint="default" w:ascii="Calibri" w:hAnsi="Calibri" w:eastAsia="宋体" w:cs="Times New Roman"/>
                <w:color w:val="auto"/>
                <w:highlight w:val="none"/>
              </w:rPr>
            </w:pPr>
            <w:r>
              <w:rPr>
                <w:rFonts w:hint="default" w:ascii="Calibri" w:hAnsi="Calibri" w:eastAsia="宋体" w:cs="Times New Roman"/>
                <w:color w:val="auto"/>
                <w:highlight w:val="none"/>
              </w:rPr>
              <w:t>500</w:t>
            </w:r>
            <w:r>
              <w:rPr>
                <w:rFonts w:hint="eastAsia" w:ascii="Calibri" w:hAnsi="宋体" w:eastAsia="宋体" w:cs="宋体"/>
                <w:color w:val="auto"/>
                <w:highlight w:val="none"/>
              </w:rPr>
              <w:t>万元</w:t>
            </w:r>
            <w:r>
              <w:rPr>
                <w:rFonts w:hint="default" w:ascii="Calibri" w:hAnsi="Calibri" w:eastAsia="宋体" w:cs="Times New Roman"/>
                <w:color w:val="auto"/>
                <w:highlight w:val="none"/>
              </w:rPr>
              <w:t>-2000</w:t>
            </w:r>
            <w:r>
              <w:rPr>
                <w:rFonts w:hint="eastAsia" w:ascii="Calibri" w:hAnsi="宋体" w:eastAsia="宋体" w:cs="宋体"/>
                <w:color w:val="auto"/>
                <w:highlight w:val="none"/>
              </w:rPr>
              <w:t>万元</w:t>
            </w:r>
          </w:p>
        </w:tc>
        <w:tc>
          <w:tcPr>
            <w:tcW w:w="5967" w:type="dxa"/>
            <w:noWrap w:val="0"/>
            <w:vAlign w:val="center"/>
          </w:tcPr>
          <w:p w14:paraId="34959ECC">
            <w:pPr>
              <w:keepNext w:val="0"/>
              <w:keepLines w:val="0"/>
              <w:suppressLineNumbers w:val="0"/>
              <w:spacing w:before="0" w:beforeAutospacing="0" w:after="0" w:afterAutospacing="0" w:line="360" w:lineRule="auto"/>
              <w:ind w:left="0" w:right="0" w:firstLine="441" w:firstLineChars="210"/>
              <w:jc w:val="center"/>
              <w:rPr>
                <w:rFonts w:hint="default" w:ascii="Calibri" w:hAnsi="Calibri" w:eastAsia="宋体" w:cs="Times New Roman"/>
                <w:color w:val="auto"/>
                <w:highlight w:val="none"/>
              </w:rPr>
            </w:pPr>
            <w:r>
              <w:rPr>
                <w:rFonts w:hint="eastAsia" w:ascii="Calibri" w:hAnsi="宋体" w:eastAsia="宋体" w:cs="宋体"/>
                <w:color w:val="auto"/>
                <w:highlight w:val="none"/>
              </w:rPr>
              <w:t>从接到竣工结算报告和完整的竣工结算资料之日起</w:t>
            </w:r>
            <w:r>
              <w:rPr>
                <w:rFonts w:hint="default" w:ascii="Calibri" w:hAnsi="Calibri" w:eastAsia="宋体" w:cs="Times New Roman"/>
                <w:color w:val="auto"/>
                <w:highlight w:val="none"/>
              </w:rPr>
              <w:t>30</w:t>
            </w:r>
            <w:r>
              <w:rPr>
                <w:rFonts w:hint="eastAsia" w:ascii="Calibri" w:hAnsi="宋体" w:eastAsia="宋体" w:cs="宋体"/>
                <w:color w:val="auto"/>
                <w:highlight w:val="none"/>
              </w:rPr>
              <w:t>天</w:t>
            </w:r>
          </w:p>
        </w:tc>
      </w:tr>
      <w:tr w14:paraId="663AB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6B730F0">
            <w:pPr>
              <w:keepNext w:val="0"/>
              <w:keepLines w:val="0"/>
              <w:suppressLineNumbers w:val="0"/>
              <w:spacing w:before="0" w:beforeAutospacing="0" w:after="0" w:afterAutospacing="0" w:line="360" w:lineRule="auto"/>
              <w:ind w:left="0" w:right="0"/>
              <w:jc w:val="center"/>
              <w:rPr>
                <w:rFonts w:hint="default" w:ascii="Calibri" w:hAnsi="Calibri" w:eastAsia="宋体" w:cs="Times New Roman"/>
                <w:color w:val="auto"/>
                <w:highlight w:val="none"/>
              </w:rPr>
            </w:pPr>
            <w:r>
              <w:rPr>
                <w:rFonts w:hint="default" w:ascii="Calibri" w:hAnsi="Calibri" w:eastAsia="宋体" w:cs="Times New Roman"/>
                <w:color w:val="auto"/>
                <w:highlight w:val="none"/>
              </w:rPr>
              <w:t>3</w:t>
            </w:r>
          </w:p>
        </w:tc>
        <w:tc>
          <w:tcPr>
            <w:tcW w:w="2466" w:type="dxa"/>
            <w:noWrap w:val="0"/>
            <w:vAlign w:val="center"/>
          </w:tcPr>
          <w:p w14:paraId="7587F4BE">
            <w:pPr>
              <w:keepNext w:val="0"/>
              <w:keepLines w:val="0"/>
              <w:suppressLineNumbers w:val="0"/>
              <w:spacing w:before="0" w:beforeAutospacing="0" w:after="0" w:afterAutospacing="0" w:line="360" w:lineRule="auto"/>
              <w:ind w:left="0" w:right="0" w:firstLine="27" w:firstLineChars="13"/>
              <w:jc w:val="center"/>
              <w:rPr>
                <w:rFonts w:hint="default" w:ascii="Calibri" w:hAnsi="Calibri" w:eastAsia="宋体" w:cs="Times New Roman"/>
                <w:color w:val="auto"/>
                <w:highlight w:val="none"/>
              </w:rPr>
            </w:pPr>
            <w:r>
              <w:rPr>
                <w:rFonts w:hint="default" w:ascii="Calibri" w:hAnsi="Calibri" w:eastAsia="宋体" w:cs="Times New Roman"/>
                <w:color w:val="auto"/>
                <w:highlight w:val="none"/>
              </w:rPr>
              <w:t>2000</w:t>
            </w:r>
            <w:r>
              <w:rPr>
                <w:rFonts w:hint="eastAsia" w:ascii="Calibri" w:hAnsi="宋体" w:eastAsia="宋体" w:cs="宋体"/>
                <w:color w:val="auto"/>
                <w:highlight w:val="none"/>
              </w:rPr>
              <w:t>万元</w:t>
            </w:r>
            <w:r>
              <w:rPr>
                <w:rFonts w:hint="default" w:ascii="Calibri" w:hAnsi="Calibri" w:eastAsia="宋体" w:cs="Times New Roman"/>
                <w:color w:val="auto"/>
                <w:highlight w:val="none"/>
              </w:rPr>
              <w:t>-5000</w:t>
            </w:r>
            <w:r>
              <w:rPr>
                <w:rFonts w:hint="eastAsia" w:ascii="Calibri" w:hAnsi="宋体" w:eastAsia="宋体" w:cs="宋体"/>
                <w:color w:val="auto"/>
                <w:highlight w:val="none"/>
              </w:rPr>
              <w:t>万元</w:t>
            </w:r>
          </w:p>
        </w:tc>
        <w:tc>
          <w:tcPr>
            <w:tcW w:w="5967" w:type="dxa"/>
            <w:noWrap w:val="0"/>
            <w:vAlign w:val="center"/>
          </w:tcPr>
          <w:p w14:paraId="0528F68D">
            <w:pPr>
              <w:keepNext w:val="0"/>
              <w:keepLines w:val="0"/>
              <w:suppressLineNumbers w:val="0"/>
              <w:spacing w:before="0" w:beforeAutospacing="0" w:after="0" w:afterAutospacing="0" w:line="360" w:lineRule="auto"/>
              <w:ind w:left="0" w:right="0" w:firstLine="441" w:firstLineChars="210"/>
              <w:jc w:val="center"/>
              <w:rPr>
                <w:rFonts w:hint="default" w:ascii="Calibri" w:hAnsi="Calibri" w:eastAsia="宋体" w:cs="Times New Roman"/>
                <w:color w:val="auto"/>
                <w:highlight w:val="none"/>
              </w:rPr>
            </w:pPr>
            <w:r>
              <w:rPr>
                <w:rFonts w:hint="eastAsia" w:ascii="Calibri" w:hAnsi="宋体" w:eastAsia="宋体" w:cs="宋体"/>
                <w:color w:val="auto"/>
                <w:highlight w:val="none"/>
              </w:rPr>
              <w:t>从接到竣工结算报告和完整的竣工结算资料之日起</w:t>
            </w:r>
            <w:r>
              <w:rPr>
                <w:rFonts w:hint="default" w:ascii="Calibri" w:hAnsi="Calibri" w:eastAsia="宋体" w:cs="Times New Roman"/>
                <w:color w:val="auto"/>
                <w:highlight w:val="none"/>
              </w:rPr>
              <w:t>45</w:t>
            </w:r>
            <w:r>
              <w:rPr>
                <w:rFonts w:hint="eastAsia" w:ascii="Calibri" w:hAnsi="宋体" w:eastAsia="宋体" w:cs="宋体"/>
                <w:color w:val="auto"/>
                <w:highlight w:val="none"/>
              </w:rPr>
              <w:t>天</w:t>
            </w:r>
          </w:p>
        </w:tc>
      </w:tr>
      <w:tr w14:paraId="3E362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37F8F4AE">
            <w:pPr>
              <w:keepNext w:val="0"/>
              <w:keepLines w:val="0"/>
              <w:suppressLineNumbers w:val="0"/>
              <w:spacing w:before="0" w:beforeAutospacing="0" w:after="0" w:afterAutospacing="0" w:line="360" w:lineRule="auto"/>
              <w:ind w:left="0" w:right="0"/>
              <w:jc w:val="center"/>
              <w:rPr>
                <w:rFonts w:hint="default" w:ascii="Calibri" w:hAnsi="Calibri" w:eastAsia="宋体" w:cs="Times New Roman"/>
                <w:color w:val="auto"/>
                <w:highlight w:val="none"/>
              </w:rPr>
            </w:pPr>
            <w:r>
              <w:rPr>
                <w:rFonts w:hint="default" w:ascii="Calibri" w:hAnsi="Calibri" w:eastAsia="宋体" w:cs="Times New Roman"/>
                <w:color w:val="auto"/>
                <w:highlight w:val="none"/>
              </w:rPr>
              <w:t>4</w:t>
            </w:r>
          </w:p>
        </w:tc>
        <w:tc>
          <w:tcPr>
            <w:tcW w:w="2466" w:type="dxa"/>
            <w:noWrap w:val="0"/>
            <w:vAlign w:val="center"/>
          </w:tcPr>
          <w:p w14:paraId="0E60B038">
            <w:pPr>
              <w:keepNext w:val="0"/>
              <w:keepLines w:val="0"/>
              <w:suppressLineNumbers w:val="0"/>
              <w:spacing w:before="0" w:beforeAutospacing="0" w:after="0" w:afterAutospacing="0" w:line="360" w:lineRule="auto"/>
              <w:ind w:left="0" w:right="0" w:firstLine="27" w:firstLineChars="13"/>
              <w:jc w:val="center"/>
              <w:rPr>
                <w:rFonts w:hint="default" w:ascii="Calibri" w:hAnsi="Calibri" w:eastAsia="宋体" w:cs="Times New Roman"/>
                <w:color w:val="auto"/>
                <w:highlight w:val="none"/>
              </w:rPr>
            </w:pPr>
            <w:r>
              <w:rPr>
                <w:rFonts w:hint="default" w:ascii="Calibri" w:hAnsi="Calibri" w:eastAsia="宋体" w:cs="Times New Roman"/>
                <w:color w:val="auto"/>
                <w:highlight w:val="none"/>
              </w:rPr>
              <w:t>5000</w:t>
            </w:r>
            <w:r>
              <w:rPr>
                <w:rFonts w:hint="eastAsia" w:ascii="Calibri" w:hAnsi="宋体" w:eastAsia="宋体" w:cs="宋体"/>
                <w:color w:val="auto"/>
                <w:highlight w:val="none"/>
              </w:rPr>
              <w:t>万元以上</w:t>
            </w:r>
          </w:p>
        </w:tc>
        <w:tc>
          <w:tcPr>
            <w:tcW w:w="5967" w:type="dxa"/>
            <w:noWrap w:val="0"/>
            <w:vAlign w:val="center"/>
          </w:tcPr>
          <w:p w14:paraId="23DC3B77">
            <w:pPr>
              <w:keepNext w:val="0"/>
              <w:keepLines w:val="0"/>
              <w:suppressLineNumbers w:val="0"/>
              <w:spacing w:before="0" w:beforeAutospacing="0" w:after="0" w:afterAutospacing="0" w:line="360" w:lineRule="auto"/>
              <w:ind w:left="0" w:right="0" w:firstLine="441" w:firstLineChars="210"/>
              <w:jc w:val="center"/>
              <w:rPr>
                <w:rFonts w:hint="default" w:ascii="Calibri" w:hAnsi="Calibri" w:eastAsia="宋体" w:cs="Times New Roman"/>
                <w:color w:val="auto"/>
                <w:highlight w:val="none"/>
              </w:rPr>
            </w:pPr>
            <w:r>
              <w:rPr>
                <w:rFonts w:hint="eastAsia" w:ascii="Calibri" w:hAnsi="宋体" w:eastAsia="宋体" w:cs="宋体"/>
                <w:color w:val="auto"/>
                <w:highlight w:val="none"/>
              </w:rPr>
              <w:t>从接到竣工结算报告和完整的竣工结算资料之日起</w:t>
            </w:r>
            <w:r>
              <w:rPr>
                <w:rFonts w:hint="default" w:ascii="Calibri" w:hAnsi="Calibri" w:eastAsia="宋体" w:cs="Times New Roman"/>
                <w:color w:val="auto"/>
                <w:highlight w:val="none"/>
              </w:rPr>
              <w:t>60</w:t>
            </w:r>
            <w:r>
              <w:rPr>
                <w:rFonts w:hint="eastAsia" w:ascii="Calibri" w:hAnsi="宋体" w:eastAsia="宋体" w:cs="宋体"/>
                <w:color w:val="auto"/>
                <w:highlight w:val="none"/>
              </w:rPr>
              <w:t>天</w:t>
            </w:r>
          </w:p>
        </w:tc>
      </w:tr>
      <w:tr w14:paraId="634BA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217E4898">
            <w:pPr>
              <w:keepNext w:val="0"/>
              <w:keepLines w:val="0"/>
              <w:suppressLineNumbers w:val="0"/>
              <w:spacing w:before="0" w:beforeAutospacing="0" w:after="0" w:afterAutospacing="0" w:line="360" w:lineRule="auto"/>
              <w:ind w:left="0" w:right="0"/>
              <w:jc w:val="center"/>
              <w:rPr>
                <w:rFonts w:hint="default" w:ascii="Calibri" w:hAnsi="Calibri" w:eastAsia="宋体" w:cs="Times New Roman"/>
                <w:color w:val="auto"/>
                <w:highlight w:val="none"/>
              </w:rPr>
            </w:pPr>
            <w:r>
              <w:rPr>
                <w:rFonts w:hint="eastAsia" w:ascii="Calibri" w:hAnsi="Calibri" w:eastAsia="宋体" w:cs="Times New Roman"/>
                <w:color w:val="auto"/>
                <w:highlight w:val="none"/>
              </w:rPr>
              <w:t>5</w:t>
            </w:r>
          </w:p>
        </w:tc>
        <w:tc>
          <w:tcPr>
            <w:tcW w:w="2466" w:type="dxa"/>
            <w:noWrap w:val="0"/>
            <w:vAlign w:val="center"/>
          </w:tcPr>
          <w:p w14:paraId="5D625FDC">
            <w:pPr>
              <w:keepNext w:val="0"/>
              <w:keepLines w:val="0"/>
              <w:suppressLineNumbers w:val="0"/>
              <w:spacing w:before="0" w:beforeAutospacing="0" w:after="0" w:afterAutospacing="0" w:line="360" w:lineRule="auto"/>
              <w:ind w:left="0" w:right="0" w:firstLine="27" w:firstLineChars="13"/>
              <w:jc w:val="center"/>
              <w:rPr>
                <w:rFonts w:hint="default" w:ascii="Calibri" w:hAnsi="Calibri" w:eastAsia="宋体" w:cs="Times New Roman"/>
                <w:color w:val="auto"/>
                <w:highlight w:val="none"/>
              </w:rPr>
            </w:pPr>
            <w:r>
              <w:rPr>
                <w:rFonts w:hint="eastAsia" w:ascii="Calibri" w:hAnsi="Calibri" w:eastAsia="宋体" w:cs="Times New Roman"/>
                <w:color w:val="auto"/>
                <w:highlight w:val="none"/>
              </w:rPr>
              <w:t>5000万以上每增加</w:t>
            </w:r>
            <w:r>
              <w:rPr>
                <w:rFonts w:hint="default" w:ascii="Calibri" w:hAnsi="Calibri" w:eastAsia="宋体" w:cs="Times New Roman"/>
                <w:color w:val="auto"/>
                <w:highlight w:val="none"/>
              </w:rPr>
              <w:t>0.5</w:t>
            </w:r>
            <w:r>
              <w:rPr>
                <w:rFonts w:hint="eastAsia" w:ascii="Calibri" w:hAnsi="Calibri" w:eastAsia="宋体" w:cs="Times New Roman"/>
                <w:color w:val="auto"/>
                <w:highlight w:val="none"/>
              </w:rPr>
              <w:t>亿</w:t>
            </w:r>
            <w:r>
              <w:rPr>
                <w:rFonts w:hint="eastAsia" w:ascii="Calibri" w:hAnsi="Calibri" w:cs="Times New Roman"/>
                <w:color w:val="auto"/>
                <w:highlight w:val="none"/>
                <w:lang w:eastAsia="zh-CN"/>
              </w:rPr>
              <w:t>（</w:t>
            </w:r>
            <w:r>
              <w:rPr>
                <w:rFonts w:hint="eastAsia" w:ascii="Calibri" w:hAnsi="Calibri" w:eastAsia="宋体" w:cs="Times New Roman"/>
                <w:color w:val="auto"/>
                <w:highlight w:val="none"/>
              </w:rPr>
              <w:t>不足0.5亿不增加</w:t>
            </w:r>
            <w:r>
              <w:rPr>
                <w:rFonts w:hint="eastAsia" w:ascii="Calibri" w:hAnsi="Calibri" w:cs="Times New Roman"/>
                <w:color w:val="auto"/>
                <w:highlight w:val="none"/>
                <w:lang w:eastAsia="zh-CN"/>
              </w:rPr>
              <w:t>）</w:t>
            </w:r>
          </w:p>
        </w:tc>
        <w:tc>
          <w:tcPr>
            <w:tcW w:w="5967" w:type="dxa"/>
            <w:noWrap w:val="0"/>
            <w:vAlign w:val="center"/>
          </w:tcPr>
          <w:p w14:paraId="0710731A">
            <w:pPr>
              <w:keepNext w:val="0"/>
              <w:keepLines w:val="0"/>
              <w:suppressLineNumbers w:val="0"/>
              <w:spacing w:before="0" w:beforeAutospacing="0" w:after="0" w:afterAutospacing="0" w:line="360" w:lineRule="auto"/>
              <w:ind w:left="0" w:right="0" w:firstLine="441" w:firstLineChars="210"/>
              <w:jc w:val="center"/>
              <w:rPr>
                <w:rFonts w:hint="eastAsia" w:ascii="Calibri" w:hAnsi="宋体" w:eastAsia="宋体" w:cs="宋体"/>
                <w:color w:val="auto"/>
                <w:highlight w:val="none"/>
              </w:rPr>
            </w:pPr>
            <w:r>
              <w:rPr>
                <w:rFonts w:hint="eastAsia" w:ascii="Calibri" w:hAnsi="宋体" w:eastAsia="宋体" w:cs="宋体"/>
                <w:color w:val="auto"/>
                <w:highlight w:val="none"/>
              </w:rPr>
              <w:t>增加10天</w:t>
            </w:r>
          </w:p>
        </w:tc>
      </w:tr>
    </w:tbl>
    <w:p w14:paraId="35B7BAB3">
      <w:pPr>
        <w:spacing w:line="360" w:lineRule="auto"/>
        <w:ind w:left="0" w:leftChars="0" w:firstLine="0" w:firstLineChars="0"/>
        <w:outlineLvl w:val="9"/>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eastAsia="zh-CN"/>
        </w:rPr>
        <w:t>附注：推行施工过程结算的竣工结算审核时限按本表审核时间的</w:t>
      </w:r>
      <w:r>
        <w:rPr>
          <w:rFonts w:hint="eastAsia" w:ascii="Times New Roman" w:hAnsi="Times New Roman" w:eastAsia="宋体" w:cs="Times New Roman"/>
          <w:color w:val="auto"/>
          <w:szCs w:val="21"/>
          <w:highlight w:val="none"/>
          <w:lang w:val="en-US" w:eastAsia="zh-CN"/>
        </w:rPr>
        <w:t>50%计算。</w:t>
      </w:r>
    </w:p>
    <w:p w14:paraId="18CE8DD0">
      <w:pPr>
        <w:spacing w:line="360" w:lineRule="auto"/>
        <w:ind w:firstLine="420" w:firstLineChars="200"/>
        <w:jc w:val="left"/>
        <w:rPr>
          <w:rFonts w:hint="eastAsia" w:hAnsi="宋体" w:cs="宋体"/>
          <w:color w:val="auto"/>
          <w:highlight w:val="none"/>
        </w:rPr>
      </w:pPr>
    </w:p>
    <w:p w14:paraId="6E72A29B">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发包人约定审核竣工结算申请文件的期限：从接到竣工结算报告和完整的竣工结算资料之日</w:t>
      </w:r>
    </w:p>
    <w:p w14:paraId="3BDF7AFB">
      <w:pPr>
        <w:spacing w:line="360" w:lineRule="auto"/>
        <w:ind w:firstLine="0" w:firstLineChars="0"/>
        <w:jc w:val="left"/>
        <w:rPr>
          <w:rFonts w:hint="eastAsia" w:hAnsi="宋体" w:cs="宋体"/>
          <w:color w:val="auto"/>
          <w:highlight w:val="none"/>
        </w:rPr>
      </w:pPr>
      <w:r>
        <w:rPr>
          <w:rFonts w:hint="eastAsia" w:hAnsi="宋体" w:cs="宋体"/>
          <w:color w:val="auto"/>
          <w:highlight w:val="none"/>
        </w:rPr>
        <w:t>起</w:t>
      </w:r>
      <w:r>
        <w:rPr>
          <w:rFonts w:hint="eastAsia" w:hAnsi="宋体" w:cs="宋体"/>
          <w:color w:val="auto"/>
          <w:highlight w:val="none"/>
          <w:u w:val="single"/>
        </w:rPr>
        <w:t xml:space="preserve">  </w:t>
      </w:r>
      <w:r>
        <w:rPr>
          <w:rFonts w:hint="eastAsia" w:hAnsi="宋体" w:cs="宋体"/>
          <w:color w:val="auto"/>
          <w:highlight w:val="none"/>
          <w:u w:val="single"/>
          <w:lang w:val="en-US" w:eastAsia="zh-CN"/>
        </w:rPr>
        <w:t xml:space="preserve">/ </w:t>
      </w:r>
      <w:r>
        <w:rPr>
          <w:rFonts w:hint="eastAsia" w:hAnsi="宋体" w:cs="宋体"/>
          <w:color w:val="auto"/>
          <w:highlight w:val="none"/>
        </w:rPr>
        <w:t>天内审核完毕。没有约定期限的，发包人应当在收到承包人提交的竣工结算申请与竣工结算文件之日起的28天内完成竣工结算审核。</w:t>
      </w:r>
    </w:p>
    <w:p w14:paraId="320140BC">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工程结算应由承包人或受其委托的工程造价咨询人编制，由发包人或受其委托的工程造价咨询人核对。受其委托的工程造价咨询人编制或核对的结果，经委托人确认后应视为委托人的结果。经发包人或发包人委托的工程造价咨询单位与承包人核对后无异议的竣工结算文件，发承包双方应签字并盖章确认。如其中一方不签认的，应承担违约责任，并承担由此造成的损失。</w:t>
      </w:r>
    </w:p>
    <w:p w14:paraId="3D066970">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除发承包双方共同约定以财政评审结论作为竣工结算的依据以外，不应以财政评审结论作为竣工结算的依据。</w:t>
      </w:r>
    </w:p>
    <w:p w14:paraId="65852C37">
      <w:pPr>
        <w:spacing w:line="360" w:lineRule="auto"/>
        <w:ind w:firstLine="420" w:firstLineChars="200"/>
        <w:jc w:val="left"/>
        <w:rPr>
          <w:rFonts w:hint="eastAsia"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eastAsia="zh-CN"/>
        </w:rPr>
        <w:t>（</w:t>
      </w:r>
      <w:r>
        <w:rPr>
          <w:rFonts w:hint="eastAsia" w:ascii="Times New Roman" w:hAnsi="Times New Roman" w:cs="Times New Roman"/>
          <w:color w:val="auto"/>
          <w:szCs w:val="21"/>
          <w:highlight w:val="none"/>
          <w:lang w:val="en-US" w:eastAsia="zh-CN"/>
        </w:rPr>
        <w:t>2</w:t>
      </w:r>
      <w:r>
        <w:rPr>
          <w:rFonts w:hint="eastAsia" w:ascii="Times New Roman" w:hAnsi="Times New Roman" w:cs="Times New Roman"/>
          <w:color w:val="auto"/>
          <w:szCs w:val="21"/>
          <w:highlight w:val="none"/>
          <w:lang w:eastAsia="zh-CN"/>
        </w:rPr>
        <w:t>）</w:t>
      </w:r>
      <w:r>
        <w:rPr>
          <w:rFonts w:hint="eastAsia" w:ascii="Times New Roman" w:hAnsi="Times New Roman" w:eastAsia="宋体" w:cs="Times New Roman"/>
          <w:color w:val="auto"/>
          <w:szCs w:val="21"/>
          <w:highlight w:val="none"/>
          <w:lang w:val="en-US" w:eastAsia="zh-CN"/>
        </w:rPr>
        <w:t>本工程项目</w:t>
      </w:r>
      <w:r>
        <w:rPr>
          <w:rFonts w:hint="eastAsia" w:cs="Times New Roman"/>
          <w:color w:val="auto"/>
          <w:szCs w:val="21"/>
          <w:highlight w:val="none"/>
          <w:lang w:val="en-US" w:eastAsia="zh-CN"/>
        </w:rPr>
        <w:t>的</w:t>
      </w:r>
      <w:r>
        <w:rPr>
          <w:rFonts w:hint="eastAsia" w:ascii="Times New Roman" w:hAnsi="Times New Roman" w:eastAsia="宋体" w:cs="Times New Roman"/>
          <w:color w:val="auto"/>
          <w:szCs w:val="21"/>
          <w:highlight w:val="none"/>
          <w:lang w:val="en-US" w:eastAsia="zh-CN"/>
        </w:rPr>
        <w:t>竣工结算以</w:t>
      </w:r>
      <w:r>
        <w:rPr>
          <w:rFonts w:hint="eastAsia" w:ascii="Times New Roman" w:hAnsi="Times New Roman" w:eastAsia="宋体" w:cs="Times New Roman"/>
          <w:color w:val="auto"/>
          <w:szCs w:val="21"/>
          <w:highlight w:val="none"/>
          <w:u w:val="single"/>
          <w:lang w:val="en-US" w:eastAsia="zh-CN"/>
        </w:rPr>
        <w:t xml:space="preserve"> </w:t>
      </w:r>
      <w:r>
        <w:rPr>
          <w:rFonts w:hint="eastAsia" w:cs="Times New Roman"/>
          <w:color w:val="auto"/>
          <w:szCs w:val="21"/>
          <w:highlight w:val="none"/>
          <w:u w:val="single"/>
          <w:lang w:val="en-US" w:eastAsia="zh-CN"/>
        </w:rPr>
        <w:t>富川瑶族自治县</w:t>
      </w:r>
      <w:r>
        <w:rPr>
          <w:rFonts w:hint="eastAsia" w:ascii="Times New Roman" w:hAnsi="Times New Roman" w:eastAsia="宋体" w:cs="Times New Roman"/>
          <w:color w:val="auto"/>
          <w:szCs w:val="21"/>
          <w:highlight w:val="none"/>
          <w:u w:val="single"/>
          <w:lang w:val="en-US" w:eastAsia="zh-CN"/>
        </w:rPr>
        <w:t xml:space="preserve"> </w:t>
      </w:r>
      <w:r>
        <w:rPr>
          <w:rFonts w:hint="eastAsia" w:ascii="Times New Roman" w:hAnsi="Times New Roman" w:eastAsia="宋体" w:cs="Times New Roman"/>
          <w:color w:val="auto"/>
          <w:szCs w:val="21"/>
          <w:highlight w:val="none"/>
          <w:lang w:val="en-US" w:eastAsia="zh-CN"/>
        </w:rPr>
        <w:t>财政</w:t>
      </w:r>
      <w:r>
        <w:rPr>
          <w:rFonts w:hint="eastAsia" w:cs="Times New Roman"/>
          <w:color w:val="auto"/>
          <w:szCs w:val="21"/>
          <w:highlight w:val="none"/>
          <w:lang w:val="en-US" w:eastAsia="zh-CN"/>
        </w:rPr>
        <w:t>投资</w:t>
      </w:r>
      <w:r>
        <w:rPr>
          <w:rFonts w:hint="eastAsia" w:ascii="Times New Roman" w:hAnsi="Times New Roman" w:eastAsia="宋体" w:cs="Times New Roman"/>
          <w:color w:val="auto"/>
          <w:szCs w:val="21"/>
          <w:highlight w:val="none"/>
          <w:lang w:val="en-US" w:eastAsia="zh-CN"/>
        </w:rPr>
        <w:t>评审的结论为准。</w:t>
      </w:r>
    </w:p>
    <w:p w14:paraId="153F50D5">
      <w:pPr>
        <w:spacing w:line="360" w:lineRule="auto"/>
        <w:ind w:firstLine="420" w:firstLineChars="200"/>
        <w:outlineLvl w:val="9"/>
        <w:rPr>
          <w:rFonts w:hint="eastAsia" w:hAnsi="宋体" w:cs="宋体"/>
          <w:color w:val="auto"/>
          <w:highlight w:val="none"/>
          <w:lang w:val="en-US" w:eastAsia="zh-CN"/>
        </w:rPr>
      </w:pPr>
      <w:r>
        <w:rPr>
          <w:rFonts w:hint="eastAsia" w:ascii="Times New Roman" w:hAnsi="Times New Roman" w:eastAsia="宋体" w:cs="Times New Roman"/>
          <w:color w:val="auto"/>
          <w:szCs w:val="21"/>
          <w:highlight w:val="none"/>
          <w:lang w:val="en-US" w:eastAsia="zh-CN"/>
        </w:rPr>
        <w:t>承包人</w:t>
      </w:r>
      <w:r>
        <w:rPr>
          <w:rFonts w:hint="eastAsia" w:cs="Times New Roman"/>
          <w:color w:val="auto"/>
          <w:szCs w:val="21"/>
          <w:highlight w:val="none"/>
          <w:lang w:val="en-US" w:eastAsia="zh-CN"/>
        </w:rPr>
        <w:t>应配合发包人按</w:t>
      </w:r>
      <w:r>
        <w:rPr>
          <w:rFonts w:hint="eastAsia" w:ascii="Times New Roman" w:hAnsi="Times New Roman" w:eastAsia="宋体" w:cs="Times New Roman"/>
          <w:color w:val="auto"/>
          <w:szCs w:val="21"/>
          <w:highlight w:val="none"/>
          <w:lang w:val="en-US" w:eastAsia="zh-CN"/>
        </w:rPr>
        <w:t>财政</w:t>
      </w:r>
      <w:r>
        <w:rPr>
          <w:rFonts w:hint="eastAsia" w:cs="Times New Roman"/>
          <w:color w:val="auto"/>
          <w:szCs w:val="21"/>
          <w:highlight w:val="none"/>
          <w:lang w:val="en-US" w:eastAsia="zh-CN"/>
        </w:rPr>
        <w:t>投资</w:t>
      </w:r>
      <w:r>
        <w:rPr>
          <w:rFonts w:hint="eastAsia" w:ascii="Times New Roman" w:hAnsi="Times New Roman" w:eastAsia="宋体" w:cs="Times New Roman"/>
          <w:color w:val="auto"/>
          <w:szCs w:val="21"/>
          <w:highlight w:val="none"/>
          <w:lang w:val="en-US" w:eastAsia="zh-CN"/>
        </w:rPr>
        <w:t>评审</w:t>
      </w:r>
      <w:r>
        <w:rPr>
          <w:rFonts w:hint="eastAsia" w:eastAsia="宋体" w:cs="Times New Roman"/>
          <w:color w:val="auto"/>
          <w:szCs w:val="21"/>
          <w:highlight w:val="none"/>
          <w:lang w:val="en-US" w:eastAsia="zh-CN"/>
        </w:rPr>
        <w:t>规定，及时</w:t>
      </w:r>
      <w:r>
        <w:rPr>
          <w:rFonts w:hint="eastAsia" w:ascii="Times New Roman" w:hAnsi="Times New Roman" w:eastAsia="宋体" w:cs="Times New Roman"/>
          <w:color w:val="auto"/>
          <w:szCs w:val="21"/>
          <w:highlight w:val="none"/>
          <w:lang w:val="en-US" w:eastAsia="zh-CN"/>
        </w:rPr>
        <w:t>报送的工程竣工结算</w:t>
      </w:r>
      <w:r>
        <w:rPr>
          <w:rFonts w:hint="eastAsia" w:cs="Times New Roman"/>
          <w:color w:val="auto"/>
          <w:szCs w:val="21"/>
          <w:highlight w:val="none"/>
          <w:lang w:val="en-US" w:eastAsia="zh-CN"/>
        </w:rPr>
        <w:t>资料</w:t>
      </w:r>
      <w:r>
        <w:rPr>
          <w:rFonts w:hint="eastAsia" w:ascii="Calibri" w:hAnsi="宋体" w:cs="宋体"/>
          <w:color w:val="auto"/>
          <w:highlight w:val="none"/>
          <w:lang w:val="en-US" w:eastAsia="zh-CN"/>
        </w:rPr>
        <w:t>，</w:t>
      </w:r>
      <w:r>
        <w:rPr>
          <w:rFonts w:hint="eastAsia" w:ascii="Times New Roman" w:hAnsi="宋体" w:eastAsia="宋体" w:cs="宋体"/>
          <w:color w:val="auto"/>
          <w:szCs w:val="21"/>
          <w:highlight w:val="none"/>
          <w:lang w:val="en-US" w:eastAsia="zh-CN"/>
        </w:rPr>
        <w:t>财政</w:t>
      </w:r>
      <w:r>
        <w:rPr>
          <w:rFonts w:hint="eastAsia" w:hAnsi="宋体" w:cs="宋体"/>
          <w:color w:val="auto"/>
          <w:szCs w:val="21"/>
          <w:highlight w:val="none"/>
          <w:lang w:val="en-US" w:eastAsia="zh-CN"/>
        </w:rPr>
        <w:t>投资</w:t>
      </w:r>
      <w:r>
        <w:rPr>
          <w:rFonts w:hint="eastAsia" w:ascii="Times New Roman" w:hAnsi="宋体" w:eastAsia="宋体" w:cs="宋体"/>
          <w:color w:val="auto"/>
          <w:szCs w:val="21"/>
          <w:highlight w:val="none"/>
          <w:lang w:val="en-US" w:eastAsia="zh-CN"/>
        </w:rPr>
        <w:t>评审机构</w:t>
      </w:r>
      <w:r>
        <w:rPr>
          <w:rFonts w:hint="eastAsia" w:hAnsi="宋体" w:cs="宋体"/>
          <w:color w:val="auto"/>
          <w:szCs w:val="21"/>
          <w:highlight w:val="none"/>
          <w:lang w:val="en-US" w:eastAsia="zh-CN"/>
        </w:rPr>
        <w:t>应在规定期限内完成项目竣工结算评审。</w:t>
      </w:r>
    </w:p>
    <w:p w14:paraId="7D70DEB5">
      <w:pPr>
        <w:spacing w:line="360" w:lineRule="auto"/>
        <w:ind w:firstLine="420" w:firstLineChars="200"/>
        <w:outlineLvl w:val="9"/>
        <w:rPr>
          <w:rFonts w:hint="default" w:hAnsi="宋体" w:cs="宋体"/>
          <w:color w:val="auto"/>
          <w:highlight w:val="none"/>
          <w:lang w:val="en-US" w:eastAsia="zh-CN"/>
        </w:rPr>
      </w:pPr>
      <w:r>
        <w:rPr>
          <w:rFonts w:hint="eastAsia" w:hAnsi="宋体" w:cs="宋体"/>
          <w:color w:val="auto"/>
          <w:highlight w:val="none"/>
          <w:lang w:val="en-US" w:eastAsia="zh-CN"/>
        </w:rPr>
        <w:t>14.2.4审核异议处理</w:t>
      </w:r>
    </w:p>
    <w:p w14:paraId="02431395">
      <w:pPr>
        <w:spacing w:line="360" w:lineRule="auto"/>
        <w:ind w:firstLine="420" w:firstLineChars="200"/>
        <w:outlineLvl w:val="9"/>
        <w:rPr>
          <w:rFonts w:hint="eastAsia" w:hAnsi="宋体" w:cs="宋体"/>
          <w:color w:val="auto"/>
          <w:highlight w:val="none"/>
        </w:rPr>
      </w:pPr>
      <w:r>
        <w:rPr>
          <w:rFonts w:hint="eastAsia" w:ascii="Times New Roman" w:hAnsi="宋体" w:eastAsia="宋体" w:cs="宋体"/>
          <w:i w:val="0"/>
          <w:caps w:val="0"/>
          <w:color w:val="auto"/>
          <w:spacing w:val="0"/>
          <w:sz w:val="21"/>
          <w:szCs w:val="21"/>
          <w:highlight w:val="none"/>
          <w:lang w:val="en-US" w:eastAsia="zh-CN"/>
        </w:rPr>
        <w:t>发包人或财政部门就竣工结算文件提出异议需要补充资料文件的，应一次性告知承包人应当补充的遗漏资料文件。承包人应当在收到发包人或财政部门提出的竣工结算审核异议之日起的14天内予以答复、回应，并及时补充相应的资料文件。</w:t>
      </w:r>
      <w:r>
        <w:rPr>
          <w:rFonts w:hint="eastAsia" w:hAnsi="宋体" w:cs="宋体"/>
          <w:color w:val="auto"/>
          <w:highlight w:val="none"/>
        </w:rPr>
        <w:t>因承包人提供的</w:t>
      </w:r>
      <w:r>
        <w:rPr>
          <w:rFonts w:hint="eastAsia" w:hAnsi="宋体" w:cs="宋体"/>
          <w:color w:val="auto"/>
          <w:highlight w:val="none"/>
          <w:lang w:val="en-US" w:eastAsia="zh-CN"/>
        </w:rPr>
        <w:t>竣工</w:t>
      </w:r>
      <w:r>
        <w:rPr>
          <w:rFonts w:hint="eastAsia" w:hAnsi="宋体" w:cs="宋体"/>
          <w:color w:val="auto"/>
          <w:highlight w:val="none"/>
        </w:rPr>
        <w:t>结算资料不完整而需要补充或承包人不按时对账耽误时间时，</w:t>
      </w:r>
      <w:r>
        <w:rPr>
          <w:rFonts w:hint="eastAsia" w:hAnsi="宋体" w:cs="宋体"/>
          <w:color w:val="auto"/>
          <w:highlight w:val="none"/>
          <w:lang w:val="en-US" w:eastAsia="zh-CN"/>
        </w:rPr>
        <w:t>审核</w:t>
      </w:r>
      <w:r>
        <w:rPr>
          <w:rFonts w:hint="eastAsia" w:hAnsi="宋体" w:cs="宋体"/>
          <w:color w:val="auto"/>
          <w:highlight w:val="none"/>
        </w:rPr>
        <w:t>时间应相应顺延。</w:t>
      </w:r>
    </w:p>
    <w:p w14:paraId="3DB1538B">
      <w:pPr>
        <w:numPr>
          <w:ilvl w:val="0"/>
          <w:numId w:val="0"/>
        </w:numPr>
        <w:spacing w:line="360" w:lineRule="auto"/>
        <w:ind w:firstLine="420" w:firstLineChars="200"/>
        <w:rPr>
          <w:rFonts w:hint="eastAsia" w:hAnsi="宋体" w:cs="宋体"/>
          <w:color w:val="auto"/>
          <w:highlight w:val="none"/>
          <w:u w:val="none"/>
        </w:rPr>
      </w:pPr>
      <w:r>
        <w:rPr>
          <w:rFonts w:hint="eastAsia" w:hAnsi="宋体" w:cs="宋体"/>
          <w:color w:val="auto"/>
          <w:highlight w:val="none"/>
          <w:u w:val="none"/>
        </w:rPr>
        <w:t>承包人对发包人</w:t>
      </w:r>
      <w:r>
        <w:rPr>
          <w:rFonts w:hint="eastAsia" w:hAnsi="宋体" w:cs="宋体"/>
          <w:color w:val="auto"/>
          <w:highlight w:val="none"/>
          <w:u w:val="none"/>
          <w:lang w:val="en-US" w:eastAsia="zh-CN"/>
        </w:rPr>
        <w:t>或财政部门</w:t>
      </w:r>
      <w:r>
        <w:rPr>
          <w:rFonts w:hint="eastAsia" w:hAnsi="宋体" w:cs="宋体"/>
          <w:color w:val="auto"/>
          <w:highlight w:val="none"/>
          <w:u w:val="none"/>
        </w:rPr>
        <w:t>确认的结算价款或审核意见有异议的，应在收到发包人</w:t>
      </w:r>
      <w:r>
        <w:rPr>
          <w:rFonts w:hint="eastAsia" w:hAnsi="宋体" w:cs="宋体"/>
          <w:color w:val="auto"/>
          <w:highlight w:val="none"/>
          <w:u w:val="none"/>
          <w:lang w:val="en-US" w:eastAsia="zh-CN"/>
        </w:rPr>
        <w:t>或财政部门</w:t>
      </w:r>
      <w:r>
        <w:rPr>
          <w:rFonts w:hint="eastAsia" w:hAnsi="宋体" w:cs="宋体"/>
          <w:color w:val="auto"/>
          <w:highlight w:val="none"/>
          <w:u w:val="none"/>
        </w:rPr>
        <w:t>确认的价款或审核意见之日起</w:t>
      </w:r>
      <w:r>
        <w:rPr>
          <w:rFonts w:hAnsi="宋体" w:cs="宋体"/>
          <w:color w:val="auto"/>
          <w:highlight w:val="none"/>
          <w:u w:val="single"/>
        </w:rPr>
        <w:t xml:space="preserve"> </w:t>
      </w:r>
      <w:r>
        <w:rPr>
          <w:rFonts w:hint="eastAsia" w:hAnsi="宋体" w:cs="宋体"/>
          <w:color w:val="auto"/>
          <w:highlight w:val="none"/>
          <w:u w:val="single"/>
          <w:lang w:val="en-US" w:eastAsia="zh-CN"/>
        </w:rPr>
        <w:t xml:space="preserve">14 </w:t>
      </w:r>
      <w:r>
        <w:rPr>
          <w:rFonts w:hint="eastAsia" w:hAnsi="宋体" w:cs="宋体"/>
          <w:color w:val="auto"/>
          <w:highlight w:val="none"/>
          <w:u w:val="none"/>
        </w:rPr>
        <w:t>天内提出异议，必要时合同当事人要当面核对，直至完成工程竣工结算。除非有特殊情形，否则从承包人递交竣工结算报告到完成竣工结算的时间应控制在</w:t>
      </w:r>
      <w:r>
        <w:rPr>
          <w:rFonts w:hint="eastAsia" w:hAnsi="宋体" w:cs="宋体"/>
          <w:color w:val="auto"/>
          <w:highlight w:val="none"/>
          <w:u w:val="none"/>
          <w:lang w:val="en-US" w:eastAsia="zh-CN"/>
        </w:rPr>
        <w:t>审核竣工结算文件</w:t>
      </w:r>
      <w:r>
        <w:rPr>
          <w:rFonts w:hint="eastAsia" w:hAnsi="宋体" w:cs="宋体"/>
          <w:color w:val="auto"/>
          <w:highlight w:val="none"/>
          <w:u w:val="none"/>
        </w:rPr>
        <w:t>期限</w:t>
      </w:r>
      <w:r>
        <w:rPr>
          <w:rFonts w:hint="eastAsia" w:hAnsi="宋体" w:cs="宋体"/>
          <w:color w:val="auto"/>
          <w:highlight w:val="none"/>
          <w:u w:val="none"/>
          <w:lang w:val="en-US" w:eastAsia="zh-CN"/>
        </w:rPr>
        <w:t>之</w:t>
      </w:r>
      <w:r>
        <w:rPr>
          <w:rFonts w:hint="eastAsia" w:hAnsi="宋体" w:cs="宋体"/>
          <w:color w:val="auto"/>
          <w:highlight w:val="none"/>
          <w:u w:val="none"/>
        </w:rPr>
        <w:t>内。</w:t>
      </w:r>
    </w:p>
    <w:p w14:paraId="63A19B61">
      <w:pPr>
        <w:spacing w:line="360" w:lineRule="auto"/>
        <w:ind w:firstLine="420" w:firstLineChars="200"/>
        <w:outlineLvl w:val="9"/>
        <w:rPr>
          <w:rFonts w:hint="eastAsia" w:hAnsi="宋体" w:cs="宋体"/>
          <w:color w:val="auto"/>
          <w:highlight w:val="none"/>
        </w:rPr>
      </w:pPr>
      <w:r>
        <w:rPr>
          <w:rFonts w:hint="eastAsia" w:ascii="Times New Roman" w:hAnsi="Times New Roman" w:eastAsia="宋体" w:cs="Times New Roman"/>
          <w:color w:val="auto"/>
          <w:szCs w:val="21"/>
          <w:highlight w:val="none"/>
          <w:lang w:val="en-US" w:eastAsia="zh-CN"/>
        </w:rPr>
        <w:t>竣工结算审核期限届满，</w:t>
      </w:r>
      <w:r>
        <w:rPr>
          <w:rFonts w:hint="eastAsia" w:ascii="Times New Roman" w:hAnsi="Times New Roman" w:eastAsia="宋体" w:cs="Times New Roman"/>
          <w:color w:val="auto"/>
          <w:szCs w:val="21"/>
          <w:highlight w:val="none"/>
          <w:lang w:val="en-US"/>
        </w:rPr>
        <w:t>发包人</w:t>
      </w:r>
      <w:r>
        <w:rPr>
          <w:rFonts w:hint="eastAsia" w:ascii="Times New Roman" w:hAnsi="Times New Roman" w:eastAsia="宋体" w:cs="Times New Roman"/>
          <w:color w:val="auto"/>
          <w:szCs w:val="21"/>
          <w:highlight w:val="none"/>
          <w:lang w:val="en-US" w:eastAsia="zh-CN"/>
        </w:rPr>
        <w:t>（财政部门）</w:t>
      </w:r>
      <w:r>
        <w:rPr>
          <w:rFonts w:hint="eastAsia" w:ascii="Times New Roman" w:hAnsi="Times New Roman" w:eastAsia="宋体" w:cs="Times New Roman"/>
          <w:color w:val="auto"/>
          <w:szCs w:val="21"/>
          <w:highlight w:val="none"/>
          <w:lang w:val="en-US"/>
        </w:rPr>
        <w:t>或承包人对</w:t>
      </w:r>
      <w:r>
        <w:rPr>
          <w:rFonts w:hint="eastAsia" w:ascii="Times New Roman" w:hAnsi="Times New Roman" w:eastAsia="宋体" w:cs="Times New Roman"/>
          <w:color w:val="auto"/>
          <w:szCs w:val="21"/>
          <w:highlight w:val="none"/>
          <w:lang w:val="en-US" w:eastAsia="zh-CN"/>
        </w:rPr>
        <w:t>审核</w:t>
      </w:r>
      <w:r>
        <w:rPr>
          <w:rFonts w:hint="eastAsia" w:ascii="Times New Roman" w:hAnsi="Times New Roman" w:eastAsia="宋体" w:cs="Times New Roman"/>
          <w:color w:val="auto"/>
          <w:szCs w:val="21"/>
          <w:highlight w:val="none"/>
          <w:lang w:val="en-US"/>
        </w:rPr>
        <w:t>结果</w:t>
      </w:r>
      <w:r>
        <w:rPr>
          <w:rFonts w:hint="eastAsia" w:ascii="Times New Roman" w:hAnsi="Times New Roman" w:eastAsia="宋体" w:cs="Times New Roman"/>
          <w:color w:val="auto"/>
          <w:szCs w:val="21"/>
          <w:highlight w:val="none"/>
          <w:lang w:val="en-US" w:eastAsia="zh-CN"/>
        </w:rPr>
        <w:t>部分</w:t>
      </w:r>
      <w:r>
        <w:rPr>
          <w:rFonts w:hint="eastAsia" w:ascii="Times New Roman" w:hAnsi="Times New Roman" w:eastAsia="宋体" w:cs="Times New Roman"/>
          <w:color w:val="auto"/>
          <w:szCs w:val="21"/>
          <w:highlight w:val="none"/>
          <w:lang w:val="en-US"/>
        </w:rPr>
        <w:t>存有异议的，</w:t>
      </w:r>
      <w:r>
        <w:rPr>
          <w:rFonts w:hint="eastAsia" w:ascii="Times New Roman" w:hAnsi="Times New Roman" w:eastAsia="宋体" w:cs="Times New Roman"/>
          <w:color w:val="auto"/>
          <w:szCs w:val="21"/>
          <w:highlight w:val="none"/>
          <w:lang w:val="en-US" w:eastAsia="zh-CN"/>
        </w:rPr>
        <w:t>就</w:t>
      </w:r>
      <w:r>
        <w:rPr>
          <w:rFonts w:hint="eastAsia" w:ascii="Times New Roman" w:hAnsi="Times New Roman" w:eastAsia="宋体" w:cs="Times New Roman"/>
          <w:color w:val="auto"/>
          <w:szCs w:val="21"/>
          <w:highlight w:val="none"/>
          <w:lang w:val="en-US"/>
        </w:rPr>
        <w:t>无异议部分办理不完全竣工结算</w:t>
      </w:r>
      <w:r>
        <w:rPr>
          <w:rFonts w:hint="eastAsia" w:ascii="Times New Roman" w:hAnsi="Times New Roman" w:eastAsia="宋体" w:cs="Times New Roman"/>
          <w:color w:val="auto"/>
          <w:szCs w:val="21"/>
          <w:highlight w:val="none"/>
          <w:lang w:val="en-US" w:eastAsia="zh-CN"/>
        </w:rPr>
        <w:t>，发包人应按照不完全竣工结算金额依约向承包人支付对应的工程款</w:t>
      </w:r>
      <w:r>
        <w:rPr>
          <w:rFonts w:hint="eastAsia" w:ascii="Times New Roman" w:hAnsi="Times New Roman" w:eastAsia="宋体" w:cs="Times New Roman"/>
          <w:color w:val="auto"/>
          <w:szCs w:val="21"/>
          <w:highlight w:val="none"/>
          <w:lang w:val="en-US"/>
        </w:rPr>
        <w:t>；</w:t>
      </w:r>
      <w:r>
        <w:rPr>
          <w:rFonts w:hint="eastAsia" w:ascii="Times New Roman" w:hAnsi="Times New Roman" w:eastAsia="宋体" w:cs="Times New Roman"/>
          <w:color w:val="auto"/>
          <w:szCs w:val="21"/>
          <w:highlight w:val="none"/>
          <w:lang w:val="en-US" w:eastAsia="zh-CN"/>
        </w:rPr>
        <w:t>就</w:t>
      </w:r>
      <w:r>
        <w:rPr>
          <w:rFonts w:hint="eastAsia" w:ascii="Times New Roman" w:hAnsi="Times New Roman" w:eastAsia="宋体" w:cs="Times New Roman"/>
          <w:color w:val="auto"/>
          <w:szCs w:val="21"/>
          <w:highlight w:val="none"/>
          <w:lang w:val="en-US"/>
        </w:rPr>
        <w:t>有异议部分</w:t>
      </w:r>
      <w:r>
        <w:rPr>
          <w:rFonts w:hint="eastAsia" w:ascii="Times New Roman" w:hAnsi="Times New Roman" w:eastAsia="宋体" w:cs="Times New Roman"/>
          <w:color w:val="auto"/>
          <w:szCs w:val="21"/>
          <w:highlight w:val="none"/>
          <w:lang w:val="en-US" w:eastAsia="zh-CN"/>
        </w:rPr>
        <w:t>发承包</w:t>
      </w:r>
      <w:r>
        <w:rPr>
          <w:rFonts w:hint="eastAsia" w:ascii="Times New Roman" w:hAnsi="Times New Roman" w:eastAsia="宋体" w:cs="Times New Roman"/>
          <w:color w:val="auto"/>
          <w:szCs w:val="21"/>
          <w:highlight w:val="none"/>
          <w:lang w:val="en-US"/>
        </w:rPr>
        <w:t>双方按</w:t>
      </w:r>
      <w:r>
        <w:rPr>
          <w:rFonts w:hint="eastAsia" w:ascii="Times New Roman" w:hAnsi="Times New Roman" w:eastAsia="宋体" w:cs="Times New Roman"/>
          <w:color w:val="auto"/>
          <w:szCs w:val="21"/>
          <w:highlight w:val="none"/>
          <w:lang w:val="en-US" w:eastAsia="zh-CN"/>
        </w:rPr>
        <w:t>本合同约定的</w:t>
      </w:r>
      <w:r>
        <w:rPr>
          <w:rFonts w:hint="eastAsia" w:ascii="Times New Roman" w:hAnsi="Times New Roman" w:eastAsia="宋体" w:cs="Times New Roman"/>
          <w:color w:val="auto"/>
          <w:szCs w:val="21"/>
          <w:highlight w:val="none"/>
          <w:lang w:val="en-US"/>
        </w:rPr>
        <w:t>争议解决方式处理</w:t>
      </w:r>
      <w:r>
        <w:rPr>
          <w:rFonts w:hint="eastAsia" w:ascii="Times New Roman" w:hAnsi="Times New Roman" w:eastAsia="宋体" w:cs="Times New Roman"/>
          <w:color w:val="auto"/>
          <w:szCs w:val="21"/>
          <w:highlight w:val="none"/>
          <w:lang w:val="en-US" w:eastAsia="zh-CN"/>
        </w:rPr>
        <w:t>，达成一致后，按争议部分的结算金额依约向承包人支付对应的工程款</w:t>
      </w:r>
      <w:r>
        <w:rPr>
          <w:rFonts w:hint="eastAsia" w:ascii="Times New Roman" w:hAnsi="Times New Roman" w:eastAsia="宋体" w:cs="Times New Roman"/>
          <w:color w:val="auto"/>
          <w:szCs w:val="21"/>
          <w:highlight w:val="none"/>
          <w:lang w:val="en-US"/>
        </w:rPr>
        <w:t>。</w:t>
      </w:r>
    </w:p>
    <w:p w14:paraId="4E28289F">
      <w:pPr>
        <w:numPr>
          <w:ilvl w:val="0"/>
          <w:numId w:val="0"/>
        </w:numPr>
        <w:spacing w:line="360" w:lineRule="auto"/>
        <w:ind w:firstLine="420" w:firstLineChars="200"/>
        <w:jc w:val="left"/>
        <w:rPr>
          <w:rFonts w:hint="eastAsia" w:hAnsi="宋体" w:cs="宋体"/>
          <w:color w:val="auto"/>
          <w:highlight w:val="none"/>
          <w:u w:val="single"/>
        </w:rPr>
      </w:pPr>
      <w:r>
        <w:rPr>
          <w:rFonts w:hint="eastAsia" w:ascii="宋体" w:hAnsi="宋体" w:cs="宋体"/>
          <w:color w:val="auto"/>
          <w:szCs w:val="21"/>
          <w:highlight w:val="none"/>
          <w:lang w:val="zh-TW"/>
        </w:rPr>
        <w:t>发包人</w:t>
      </w:r>
      <w:r>
        <w:rPr>
          <w:rFonts w:hint="eastAsia" w:ascii="宋体" w:hAnsi="宋体" w:cs="宋体"/>
          <w:color w:val="auto"/>
          <w:szCs w:val="21"/>
          <w:highlight w:val="none"/>
          <w:lang w:val="en-US" w:eastAsia="zh-CN"/>
        </w:rPr>
        <w:t>或财政部门</w:t>
      </w:r>
      <w:r>
        <w:rPr>
          <w:rFonts w:hint="eastAsia" w:ascii="宋体" w:hAnsi="宋体" w:cs="宋体"/>
          <w:color w:val="auto"/>
          <w:szCs w:val="21"/>
          <w:highlight w:val="none"/>
          <w:lang w:val="zh-TW"/>
        </w:rPr>
        <w:t>在收到承包人竣工结算文件后约定</w:t>
      </w:r>
      <w:r>
        <w:rPr>
          <w:rFonts w:hint="eastAsia" w:ascii="宋体" w:hAnsi="宋体" w:cs="宋体"/>
          <w:color w:val="auto"/>
          <w:szCs w:val="21"/>
          <w:highlight w:val="none"/>
          <w:lang w:val="en-US" w:eastAsia="zh-CN"/>
        </w:rPr>
        <w:t>审核期限</w:t>
      </w:r>
      <w:r>
        <w:rPr>
          <w:rFonts w:hint="eastAsia" w:ascii="宋体" w:hAnsi="宋体" w:cs="宋体"/>
          <w:color w:val="auto"/>
          <w:szCs w:val="21"/>
          <w:highlight w:val="none"/>
          <w:lang w:val="zh-TW"/>
        </w:rPr>
        <w:t>内，未按合同约定或财政投资评审规定核对竣工结算或未提出核对意见的，应视为承包人提交的竣工结算文件已被发包人认可，竣工结算确认完毕。承包人在收到发包人</w:t>
      </w:r>
      <w:r>
        <w:rPr>
          <w:rFonts w:hint="eastAsia" w:ascii="宋体" w:hAnsi="宋体" w:cs="宋体"/>
          <w:color w:val="auto"/>
          <w:szCs w:val="21"/>
          <w:highlight w:val="none"/>
          <w:lang w:val="en-US" w:eastAsia="zh-CN"/>
        </w:rPr>
        <w:t>或财政部门</w:t>
      </w:r>
      <w:r>
        <w:rPr>
          <w:rFonts w:hint="eastAsia" w:ascii="宋体" w:hAnsi="宋体" w:cs="宋体"/>
          <w:color w:val="auto"/>
          <w:szCs w:val="21"/>
          <w:highlight w:val="none"/>
          <w:lang w:val="zh-TW"/>
        </w:rPr>
        <w:t>提出的核对（或复核）意见后，在约定的时间内未按合同约定确认也未提出异议的，应视为发包人</w:t>
      </w:r>
      <w:r>
        <w:rPr>
          <w:rFonts w:hint="eastAsia" w:ascii="宋体" w:hAnsi="宋体" w:cs="宋体"/>
          <w:color w:val="auto"/>
          <w:szCs w:val="21"/>
          <w:highlight w:val="none"/>
          <w:lang w:val="en-US" w:eastAsia="zh-CN"/>
        </w:rPr>
        <w:t>或财政部门</w:t>
      </w:r>
      <w:r>
        <w:rPr>
          <w:rFonts w:hint="eastAsia" w:ascii="宋体" w:hAnsi="宋体" w:cs="宋体"/>
          <w:color w:val="auto"/>
          <w:szCs w:val="21"/>
          <w:highlight w:val="none"/>
          <w:lang w:val="zh-TW"/>
        </w:rPr>
        <w:t>提出的核对意见已被承包人认可，竣工结算确认完毕。</w:t>
      </w:r>
    </w:p>
    <w:p w14:paraId="4807ADA9">
      <w:pPr>
        <w:spacing w:line="360" w:lineRule="auto"/>
        <w:ind w:firstLine="411" w:firstLineChars="196"/>
        <w:jc w:val="left"/>
        <w:rPr>
          <w:rFonts w:hint="eastAsia" w:ascii="Times New Roman" w:hAnsi="宋体" w:eastAsia="宋体" w:cs="宋体"/>
          <w:color w:val="auto"/>
          <w:sz w:val="21"/>
          <w:szCs w:val="24"/>
          <w:highlight w:val="none"/>
          <w:u w:val="none"/>
        </w:rPr>
      </w:pPr>
      <w:r>
        <w:rPr>
          <w:rStyle w:val="24"/>
          <w:rFonts w:hint="eastAsia" w:ascii="Times New Roman" w:hAnsi="宋体" w:eastAsia="宋体" w:cs="宋体"/>
          <w:color w:val="auto"/>
          <w:highlight w:val="none"/>
          <w:u w:val="none"/>
          <w:lang w:val="en-US" w:eastAsia="zh-CN"/>
        </w:rPr>
        <w:t>14.2.5</w:t>
      </w:r>
      <w:r>
        <w:rPr>
          <w:rStyle w:val="24"/>
          <w:rFonts w:hint="eastAsia" w:ascii="Times New Roman" w:hAnsi="宋体" w:eastAsia="宋体" w:cs="宋体"/>
          <w:color w:val="auto"/>
          <w:highlight w:val="none"/>
          <w:u w:val="none"/>
        </w:rPr>
        <w:t>自竣工结算</w:t>
      </w:r>
      <w:r>
        <w:rPr>
          <w:rStyle w:val="24"/>
          <w:rFonts w:hint="eastAsia" w:ascii="Times New Roman" w:hAnsi="宋体" w:eastAsia="宋体" w:cs="宋体"/>
          <w:color w:val="auto"/>
          <w:highlight w:val="none"/>
          <w:u w:val="none"/>
          <w:lang w:eastAsia="zh-CN"/>
        </w:rPr>
        <w:t>（</w:t>
      </w:r>
      <w:r>
        <w:rPr>
          <w:rStyle w:val="24"/>
          <w:rFonts w:hint="eastAsia" w:ascii="Times New Roman" w:hAnsi="宋体" w:eastAsia="宋体" w:cs="宋体"/>
          <w:color w:val="auto"/>
          <w:highlight w:val="none"/>
          <w:u w:val="none"/>
          <w:lang w:val="en-US" w:eastAsia="zh-CN"/>
        </w:rPr>
        <w:t>或办理不完全竣工结算</w:t>
      </w:r>
      <w:r>
        <w:rPr>
          <w:rStyle w:val="24"/>
          <w:rFonts w:hint="eastAsia" w:ascii="Times New Roman" w:hAnsi="宋体" w:eastAsia="宋体" w:cs="宋体"/>
          <w:color w:val="auto"/>
          <w:highlight w:val="none"/>
          <w:u w:val="none"/>
          <w:lang w:eastAsia="zh-CN"/>
        </w:rPr>
        <w:t>）</w:t>
      </w:r>
      <w:r>
        <w:rPr>
          <w:rStyle w:val="24"/>
          <w:rFonts w:hint="eastAsia" w:ascii="Times New Roman" w:hAnsi="宋体" w:eastAsia="宋体" w:cs="宋体"/>
          <w:color w:val="auto"/>
          <w:highlight w:val="none"/>
          <w:u w:val="none"/>
        </w:rPr>
        <w:t>完毕之日起</w:t>
      </w:r>
      <w:r>
        <w:rPr>
          <w:rStyle w:val="24"/>
          <w:rFonts w:hint="eastAsia" w:hAnsi="宋体" w:cs="Times New Roman"/>
          <w:color w:val="auto"/>
          <w:highlight w:val="none"/>
          <w:u w:val="single"/>
          <w:lang w:val="en-US" w:eastAsia="zh-CN"/>
        </w:rPr>
        <w:t>15</w:t>
      </w:r>
      <w:r>
        <w:rPr>
          <w:rStyle w:val="24"/>
          <w:rFonts w:hint="eastAsia" w:ascii="Times New Roman" w:hAnsi="宋体" w:eastAsia="宋体" w:cs="Times New Roman"/>
          <w:color w:val="auto"/>
          <w:highlight w:val="none"/>
          <w:u w:val="single"/>
          <w:lang w:val="en-US" w:eastAsia="zh-CN"/>
        </w:rPr>
        <w:t xml:space="preserve"> </w:t>
      </w:r>
      <w:r>
        <w:rPr>
          <w:rStyle w:val="24"/>
          <w:rFonts w:hint="eastAsia" w:ascii="Times New Roman" w:hAnsi="宋体" w:eastAsia="宋体" w:cs="宋体"/>
          <w:color w:val="auto"/>
          <w:highlight w:val="none"/>
          <w:u w:val="none"/>
        </w:rPr>
        <w:t>天内，发包人按审定的结算</w:t>
      </w:r>
      <w:r>
        <w:rPr>
          <w:rStyle w:val="24"/>
          <w:rFonts w:hint="eastAsia" w:ascii="Times New Roman" w:hAnsi="宋体" w:eastAsia="宋体" w:cs="宋体"/>
          <w:color w:val="auto"/>
          <w:highlight w:val="none"/>
          <w:u w:val="none"/>
          <w:lang w:val="en-US" w:eastAsia="zh-CN"/>
        </w:rPr>
        <w:t>金额</w:t>
      </w:r>
      <w:r>
        <w:rPr>
          <w:rStyle w:val="24"/>
          <w:rFonts w:hint="eastAsia" w:ascii="Times New Roman" w:hAnsi="宋体" w:eastAsia="宋体" w:cs="宋体"/>
          <w:color w:val="auto"/>
          <w:highlight w:val="none"/>
          <w:u w:val="none"/>
        </w:rPr>
        <w:t>向承包人支付结算价款。</w:t>
      </w:r>
    </w:p>
    <w:p w14:paraId="629E931A">
      <w:pPr>
        <w:spacing w:line="360" w:lineRule="auto"/>
        <w:ind w:firstLine="411" w:firstLineChars="196"/>
        <w:jc w:val="left"/>
        <w:rPr>
          <w:rFonts w:hint="eastAsia" w:ascii="Times New Roman" w:hAnsi="宋体" w:eastAsia="宋体" w:cs="宋体"/>
          <w:color w:val="auto"/>
          <w:sz w:val="21"/>
          <w:szCs w:val="24"/>
          <w:highlight w:val="none"/>
          <w:u w:val="none"/>
        </w:rPr>
      </w:pPr>
      <w:r>
        <w:rPr>
          <w:rFonts w:hint="eastAsia" w:ascii="Times New Roman" w:hAnsi="宋体" w:eastAsia="宋体" w:cs="宋体"/>
          <w:color w:val="auto"/>
          <w:sz w:val="21"/>
          <w:szCs w:val="24"/>
          <w:highlight w:val="none"/>
          <w:u w:val="none"/>
        </w:rPr>
        <w:t>14.2.</w:t>
      </w:r>
      <w:r>
        <w:rPr>
          <w:rFonts w:hint="eastAsia" w:ascii="Times New Roman" w:hAnsi="宋体" w:eastAsia="宋体" w:cs="宋体"/>
          <w:color w:val="auto"/>
          <w:sz w:val="21"/>
          <w:szCs w:val="24"/>
          <w:highlight w:val="none"/>
          <w:u w:val="none"/>
          <w:lang w:val="en-US" w:eastAsia="zh-CN"/>
        </w:rPr>
        <w:t>6</w:t>
      </w:r>
      <w:r>
        <w:rPr>
          <w:rFonts w:hint="eastAsia" w:ascii="Times New Roman" w:hAnsi="宋体" w:eastAsia="宋体" w:cs="宋体"/>
          <w:color w:val="auto"/>
          <w:sz w:val="21"/>
          <w:szCs w:val="24"/>
          <w:highlight w:val="none"/>
          <w:u w:val="none"/>
        </w:rPr>
        <w:t xml:space="preserve"> 承包人必须提供完整、真实的隐蔽工程原始施工、验收记录。如发现施工单位提供的隐蔽工程资料与实际不符时，按不利于施工单位原则结算。</w:t>
      </w:r>
    </w:p>
    <w:p w14:paraId="1D58F4B9">
      <w:pPr>
        <w:spacing w:line="360" w:lineRule="auto"/>
        <w:ind w:firstLine="411" w:firstLineChars="196"/>
        <w:jc w:val="left"/>
        <w:outlineLvl w:val="9"/>
        <w:rPr>
          <w:rFonts w:hint="eastAsia" w:hAnsi="宋体" w:cs="宋体"/>
          <w:color w:val="auto"/>
          <w:highlight w:val="none"/>
          <w:u w:val="none"/>
        </w:rPr>
      </w:pPr>
      <w:bookmarkStart w:id="1172" w:name="_Toc373478408"/>
      <w:bookmarkStart w:id="1173" w:name="_Toc78449850"/>
      <w:bookmarkStart w:id="1174" w:name="_Toc389065326"/>
      <w:bookmarkStart w:id="1175" w:name="_Toc407135264"/>
      <w:bookmarkStart w:id="1176" w:name="_Toc373227761"/>
      <w:bookmarkStart w:id="1177" w:name="_Toc29846"/>
      <w:bookmarkStart w:id="1178" w:name="_Toc540165641"/>
      <w:bookmarkStart w:id="1179" w:name="_Toc11123"/>
      <w:r>
        <w:rPr>
          <w:rFonts w:hint="eastAsia" w:hAnsi="宋体" w:cs="宋体"/>
          <w:color w:val="auto"/>
          <w:highlight w:val="none"/>
          <w:u w:val="none"/>
        </w:rPr>
        <w:t>14.4 最终结清</w:t>
      </w:r>
      <w:bookmarkEnd w:id="1172"/>
      <w:bookmarkEnd w:id="1173"/>
      <w:bookmarkEnd w:id="1174"/>
      <w:bookmarkEnd w:id="1175"/>
      <w:bookmarkEnd w:id="1176"/>
      <w:bookmarkEnd w:id="1177"/>
      <w:bookmarkEnd w:id="1178"/>
      <w:bookmarkEnd w:id="1179"/>
    </w:p>
    <w:p w14:paraId="642AD627">
      <w:pPr>
        <w:spacing w:line="360" w:lineRule="auto"/>
        <w:ind w:firstLine="411" w:firstLineChars="196"/>
        <w:jc w:val="left"/>
        <w:rPr>
          <w:rFonts w:hint="eastAsia" w:hAnsi="宋体" w:cs="宋体"/>
          <w:color w:val="auto"/>
          <w:kern w:val="2"/>
          <w:highlight w:val="none"/>
          <w:u w:val="none"/>
        </w:rPr>
      </w:pPr>
      <w:r>
        <w:rPr>
          <w:rFonts w:hint="eastAsia" w:hAnsi="宋体" w:cs="宋体"/>
          <w:color w:val="auto"/>
          <w:kern w:val="2"/>
          <w:highlight w:val="none"/>
          <w:u w:val="none"/>
        </w:rPr>
        <w:t>14.4.1 最终结清申请单</w:t>
      </w:r>
    </w:p>
    <w:p w14:paraId="07ABDF04">
      <w:pPr>
        <w:spacing w:line="360" w:lineRule="auto"/>
        <w:ind w:firstLine="420" w:firstLineChars="200"/>
        <w:jc w:val="left"/>
        <w:rPr>
          <w:color w:val="auto"/>
          <w:kern w:val="0"/>
          <w:highlight w:val="none"/>
        </w:rPr>
      </w:pPr>
      <w:r>
        <w:rPr>
          <w:rFonts w:hint="eastAsia" w:hAnsi="宋体" w:cs="宋体"/>
          <w:color w:val="auto"/>
          <w:kern w:val="0"/>
          <w:highlight w:val="none"/>
        </w:rPr>
        <w:t>承包人提交最终结清申请单的份数：</w:t>
      </w:r>
      <w:r>
        <w:rPr>
          <w:color w:val="auto"/>
          <w:highlight w:val="none"/>
          <w:u w:val="single"/>
        </w:rPr>
        <w:t xml:space="preserve"> </w:t>
      </w:r>
      <w:r>
        <w:rPr>
          <w:rStyle w:val="24"/>
          <w:rFonts w:ascii="Calibri" w:hAnsi="Calibri" w:eastAsia="宋体" w:cs="Times New Roman"/>
          <w:color w:val="auto"/>
          <w:highlight w:val="none"/>
          <w:u w:val="single"/>
        </w:rPr>
        <w:t>一式两份</w:t>
      </w:r>
      <w:r>
        <w:rPr>
          <w:color w:val="auto"/>
          <w:highlight w:val="none"/>
          <w:u w:val="single"/>
        </w:rPr>
        <w:t xml:space="preserve">  </w:t>
      </w:r>
      <w:r>
        <w:rPr>
          <w:rFonts w:hint="eastAsia" w:hAnsi="宋体" w:cs="宋体"/>
          <w:color w:val="auto"/>
          <w:highlight w:val="none"/>
        </w:rPr>
        <w:t>。</w:t>
      </w:r>
    </w:p>
    <w:p w14:paraId="6AD9C37A">
      <w:pPr>
        <w:spacing w:line="360" w:lineRule="auto"/>
        <w:ind w:firstLine="420" w:firstLineChars="200"/>
        <w:jc w:val="left"/>
        <w:rPr>
          <w:color w:val="auto"/>
          <w:highlight w:val="none"/>
        </w:rPr>
      </w:pPr>
      <w:r>
        <w:rPr>
          <w:rFonts w:hint="eastAsia" w:hAnsi="宋体" w:cs="宋体"/>
          <w:color w:val="auto"/>
          <w:kern w:val="0"/>
          <w:highlight w:val="none"/>
        </w:rPr>
        <w:t>承包人提交最终结算申请单的期限：</w:t>
      </w:r>
      <w:r>
        <w:rPr>
          <w:rStyle w:val="24"/>
          <w:rFonts w:ascii="Calibri" w:hAnsi="Calibri" w:eastAsia="宋体" w:cs="Times New Roman"/>
          <w:color w:val="auto"/>
          <w:highlight w:val="none"/>
          <w:u w:val="single"/>
        </w:rPr>
        <w:t>缺陷责任期终止证书签发后 14 日内提交给发包 人</w:t>
      </w:r>
      <w:r>
        <w:rPr>
          <w:rStyle w:val="24"/>
          <w:rFonts w:ascii="Times New Roman" w:hAnsi="Times New Roman" w:eastAsia="宋体" w:cs="Times New Roman"/>
          <w:color w:val="auto"/>
          <w:highlight w:val="none"/>
          <w:u w:val="single"/>
        </w:rPr>
        <w:t xml:space="preserve">  </w:t>
      </w:r>
      <w:r>
        <w:rPr>
          <w:color w:val="auto"/>
          <w:highlight w:val="none"/>
          <w:u w:val="single"/>
        </w:rPr>
        <w:t xml:space="preserve"> </w:t>
      </w:r>
      <w:r>
        <w:rPr>
          <w:rFonts w:hint="eastAsia" w:hAnsi="宋体" w:cs="宋体"/>
          <w:color w:val="auto"/>
          <w:highlight w:val="none"/>
        </w:rPr>
        <w:t>。</w:t>
      </w:r>
      <w:r>
        <w:rPr>
          <w:color w:val="auto"/>
          <w:highlight w:val="none"/>
        </w:rPr>
        <w:t xml:space="preserve"> </w:t>
      </w:r>
    </w:p>
    <w:p w14:paraId="371B8DC8">
      <w:pPr>
        <w:spacing w:line="360" w:lineRule="auto"/>
        <w:ind w:firstLine="420" w:firstLineChars="200"/>
        <w:jc w:val="left"/>
        <w:rPr>
          <w:color w:val="auto"/>
          <w:highlight w:val="none"/>
        </w:rPr>
      </w:pPr>
      <w:r>
        <w:rPr>
          <w:rFonts w:hint="eastAsia"/>
          <w:color w:val="auto"/>
          <w:highlight w:val="none"/>
          <w:lang w:eastAsia="zh-CN"/>
        </w:rPr>
        <w:t>《</w:t>
      </w:r>
      <w:r>
        <w:rPr>
          <w:rFonts w:hint="eastAsia"/>
          <w:color w:val="auto"/>
          <w:highlight w:val="none"/>
        </w:rPr>
        <w:t>工程保修与结清结算款支付申请（核准）表</w:t>
      </w:r>
      <w:r>
        <w:rPr>
          <w:rFonts w:hint="eastAsia"/>
          <w:color w:val="auto"/>
          <w:highlight w:val="none"/>
          <w:lang w:eastAsia="zh-CN"/>
        </w:rPr>
        <w:t>》</w:t>
      </w:r>
      <w:r>
        <w:rPr>
          <w:rFonts w:hint="eastAsia"/>
          <w:color w:val="auto"/>
          <w:highlight w:val="none"/>
        </w:rPr>
        <w:t>见合同附件13。</w:t>
      </w:r>
    </w:p>
    <w:p w14:paraId="37A3BD0D">
      <w:pPr>
        <w:spacing w:line="360" w:lineRule="auto"/>
        <w:ind w:firstLine="420" w:firstLineChars="200"/>
        <w:jc w:val="left"/>
        <w:rPr>
          <w:color w:val="auto"/>
          <w:highlight w:val="none"/>
        </w:rPr>
      </w:pPr>
      <w:r>
        <w:rPr>
          <w:color w:val="auto"/>
          <w:highlight w:val="none"/>
        </w:rPr>
        <w:t xml:space="preserve">14.4.2 </w:t>
      </w:r>
      <w:r>
        <w:rPr>
          <w:rFonts w:hint="eastAsia" w:hAnsi="宋体" w:cs="宋体"/>
          <w:color w:val="auto"/>
          <w:highlight w:val="none"/>
        </w:rPr>
        <w:t>最终结清证书和支付</w:t>
      </w:r>
    </w:p>
    <w:p w14:paraId="7E128A00">
      <w:pPr>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1</w:t>
      </w:r>
      <w:r>
        <w:rPr>
          <w:rFonts w:hint="eastAsia" w:hAnsi="宋体" w:cs="宋体"/>
          <w:color w:val="auto"/>
          <w:highlight w:val="none"/>
        </w:rPr>
        <w:t>）发包人完成最终结清申请单的审批并颁发最终结清证书的期限：</w:t>
      </w:r>
      <w:r>
        <w:rPr>
          <w:color w:val="auto"/>
          <w:highlight w:val="none"/>
          <w:u w:val="single"/>
        </w:rPr>
        <w:t xml:space="preserve"> </w:t>
      </w:r>
      <w:r>
        <w:rPr>
          <w:rStyle w:val="24"/>
          <w:rFonts w:ascii="Calibri" w:hAnsi="Calibri" w:eastAsia="宋体" w:cs="Times New Roman"/>
          <w:color w:val="auto"/>
          <w:highlight w:val="none"/>
          <w:u w:val="single"/>
        </w:rPr>
        <w:t>收到申请单后 14 天内</w:t>
      </w:r>
      <w:r>
        <w:rPr>
          <w:color w:val="auto"/>
          <w:highlight w:val="none"/>
          <w:u w:val="single"/>
        </w:rPr>
        <w:t xml:space="preserve"> </w:t>
      </w:r>
      <w:r>
        <w:rPr>
          <w:rFonts w:hint="eastAsia" w:hAnsi="宋体" w:cs="宋体"/>
          <w:color w:val="auto"/>
          <w:highlight w:val="none"/>
        </w:rPr>
        <w:t>。</w:t>
      </w:r>
    </w:p>
    <w:p w14:paraId="6180D680">
      <w:pPr>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）发包人完成支付的期限：</w:t>
      </w:r>
      <w:r>
        <w:rPr>
          <w:color w:val="auto"/>
          <w:highlight w:val="none"/>
          <w:u w:val="single"/>
        </w:rPr>
        <w:t xml:space="preserve"> </w:t>
      </w:r>
      <w:r>
        <w:rPr>
          <w:rStyle w:val="24"/>
          <w:rFonts w:ascii="Calibri" w:hAnsi="Calibri" w:eastAsia="宋体" w:cs="Times New Roman"/>
          <w:color w:val="auto"/>
          <w:highlight w:val="none"/>
          <w:u w:val="single"/>
        </w:rPr>
        <w:t>颁发最终结清证书后 14 天内</w:t>
      </w:r>
      <w:r>
        <w:rPr>
          <w:rFonts w:hint="eastAsia" w:hAnsi="宋体" w:cs="宋体"/>
          <w:color w:val="auto"/>
          <w:highlight w:val="none"/>
        </w:rPr>
        <w:t>。</w:t>
      </w:r>
    </w:p>
    <w:bookmarkEnd w:id="1119"/>
    <w:bookmarkEnd w:id="1120"/>
    <w:bookmarkEnd w:id="1121"/>
    <w:bookmarkEnd w:id="1122"/>
    <w:bookmarkEnd w:id="1123"/>
    <w:bookmarkEnd w:id="1124"/>
    <w:bookmarkEnd w:id="1125"/>
    <w:bookmarkEnd w:id="1131"/>
    <w:p w14:paraId="61E70299">
      <w:pPr>
        <w:spacing w:line="360" w:lineRule="auto"/>
        <w:ind w:firstLine="411" w:firstLineChars="196"/>
        <w:jc w:val="left"/>
        <w:outlineLvl w:val="9"/>
        <w:rPr>
          <w:rFonts w:hint="eastAsia" w:hAnsi="宋体" w:cs="宋体"/>
          <w:color w:val="auto"/>
          <w:highlight w:val="none"/>
          <w:u w:val="none"/>
        </w:rPr>
      </w:pPr>
      <w:bookmarkStart w:id="1180" w:name="_Toc78449851"/>
      <w:bookmarkStart w:id="1181" w:name="_Toc373478409"/>
      <w:bookmarkStart w:id="1182" w:name="_Toc373227762"/>
      <w:bookmarkStart w:id="1183" w:name="_Toc389065327"/>
      <w:bookmarkStart w:id="1184" w:name="_Toc1294213766"/>
      <w:bookmarkStart w:id="1185" w:name="_Toc351203647"/>
      <w:bookmarkStart w:id="1186" w:name="_Toc5429"/>
      <w:bookmarkStart w:id="1187" w:name="_Toc407135265"/>
      <w:bookmarkStart w:id="1188" w:name="_Toc267251483"/>
      <w:bookmarkStart w:id="1189" w:name="_Toc267251484"/>
      <w:bookmarkStart w:id="1190" w:name="_Toc267251482"/>
      <w:bookmarkStart w:id="1191" w:name="_Toc267251485"/>
      <w:bookmarkStart w:id="1192" w:name="_Toc267251489"/>
      <w:bookmarkStart w:id="1193" w:name="_Toc267251486"/>
      <w:bookmarkStart w:id="1194" w:name="_Toc267251490"/>
      <w:bookmarkStart w:id="1195" w:name="_Toc267251488"/>
      <w:bookmarkStart w:id="1196" w:name="_Toc267251494"/>
      <w:bookmarkStart w:id="1197" w:name="_Toc267251493"/>
      <w:bookmarkStart w:id="1198" w:name="_Toc267251491"/>
      <w:bookmarkStart w:id="1199" w:name="_Toc267251492"/>
      <w:bookmarkStart w:id="1200" w:name="_Toc267251496"/>
      <w:bookmarkStart w:id="1201" w:name="_Toc267251503"/>
      <w:bookmarkStart w:id="1202" w:name="_Toc267251501"/>
      <w:bookmarkStart w:id="1203" w:name="_Toc267251497"/>
      <w:bookmarkStart w:id="1204" w:name="_Toc267251495"/>
      <w:bookmarkStart w:id="1205" w:name="_Toc267251502"/>
      <w:bookmarkStart w:id="1206" w:name="_Toc267251498"/>
      <w:bookmarkStart w:id="1207" w:name="_Toc267251499"/>
      <w:bookmarkStart w:id="1208" w:name="_Toc267251504"/>
      <w:bookmarkStart w:id="1209" w:name="_Toc267251506"/>
      <w:bookmarkStart w:id="1210" w:name="_Toc267251507"/>
      <w:bookmarkStart w:id="1211" w:name="_Toc267251508"/>
      <w:bookmarkStart w:id="1212" w:name="_Toc267251509"/>
      <w:bookmarkStart w:id="1213" w:name="_Toc267251511"/>
      <w:bookmarkStart w:id="1214" w:name="_Toc267251514"/>
      <w:bookmarkStart w:id="1215" w:name="_Toc267251513"/>
      <w:bookmarkStart w:id="1216" w:name="_Toc267251510"/>
      <w:bookmarkStart w:id="1217" w:name="_Toc267251515"/>
      <w:r>
        <w:rPr>
          <w:rFonts w:hint="eastAsia" w:hAnsi="宋体" w:cs="宋体"/>
          <w:color w:val="auto"/>
          <w:highlight w:val="none"/>
          <w:u w:val="none"/>
        </w:rPr>
        <w:t>15. 缺陷责任期与保修</w:t>
      </w:r>
      <w:bookmarkEnd w:id="1180"/>
      <w:bookmarkEnd w:id="1181"/>
      <w:bookmarkEnd w:id="1182"/>
      <w:bookmarkEnd w:id="1183"/>
      <w:bookmarkEnd w:id="1184"/>
      <w:bookmarkEnd w:id="1185"/>
      <w:bookmarkEnd w:id="1186"/>
      <w:bookmarkEnd w:id="1187"/>
    </w:p>
    <w:p w14:paraId="2BAB8FC3">
      <w:pPr>
        <w:autoSpaceDE w:val="0"/>
        <w:autoSpaceDN w:val="0"/>
        <w:adjustRightInd w:val="0"/>
        <w:spacing w:line="360" w:lineRule="auto"/>
        <w:ind w:firstLine="420" w:firstLineChars="200"/>
        <w:jc w:val="left"/>
        <w:outlineLvl w:val="9"/>
        <w:rPr>
          <w:rFonts w:hint="eastAsia" w:hAnsi="宋体" w:cs="宋体"/>
          <w:color w:val="auto"/>
          <w:highlight w:val="none"/>
        </w:rPr>
      </w:pPr>
      <w:bookmarkStart w:id="1218" w:name="_Toc78449852"/>
      <w:bookmarkStart w:id="1219" w:name="_Toc5211"/>
      <w:bookmarkStart w:id="1220" w:name="_Toc373227763"/>
      <w:bookmarkStart w:id="1221" w:name="_Toc373478410"/>
      <w:bookmarkStart w:id="1222" w:name="_Toc389065328"/>
      <w:bookmarkStart w:id="1223" w:name="_Toc14431"/>
      <w:bookmarkStart w:id="1224" w:name="_Toc407135266"/>
      <w:bookmarkStart w:id="1225" w:name="_Toc1468458868"/>
      <w:r>
        <w:rPr>
          <w:rFonts w:hint="eastAsia" w:hAnsi="宋体" w:cs="宋体"/>
          <w:color w:val="auto"/>
          <w:highlight w:val="none"/>
        </w:rPr>
        <w:t>15.2 缺陷责任期</w:t>
      </w:r>
      <w:bookmarkEnd w:id="1188"/>
      <w:bookmarkEnd w:id="1218"/>
      <w:bookmarkEnd w:id="1219"/>
      <w:bookmarkEnd w:id="1220"/>
      <w:bookmarkEnd w:id="1221"/>
      <w:bookmarkEnd w:id="1222"/>
      <w:bookmarkEnd w:id="1223"/>
      <w:bookmarkEnd w:id="1224"/>
      <w:bookmarkEnd w:id="1225"/>
    </w:p>
    <w:p w14:paraId="433D7DBE">
      <w:pPr>
        <w:autoSpaceDE w:val="0"/>
        <w:autoSpaceDN w:val="0"/>
        <w:adjustRightInd w:val="0"/>
        <w:spacing w:line="360" w:lineRule="auto"/>
        <w:ind w:firstLine="420" w:firstLineChars="200"/>
        <w:jc w:val="left"/>
        <w:outlineLvl w:val="9"/>
        <w:rPr>
          <w:color w:val="auto"/>
          <w:highlight w:val="none"/>
          <w:u w:val="single"/>
        </w:rPr>
      </w:pPr>
      <w:r>
        <w:rPr>
          <w:rFonts w:hint="eastAsia" w:hAnsi="宋体" w:cs="宋体"/>
          <w:color w:val="auto"/>
          <w:highlight w:val="none"/>
        </w:rPr>
        <w:t>缺陷责任期的具体期限：</w:t>
      </w:r>
      <w:r>
        <w:rPr>
          <w:rStyle w:val="24"/>
          <w:rFonts w:ascii="Calibri" w:hAnsi="Calibri" w:eastAsia="宋体" w:cs="Times New Roman"/>
          <w:color w:val="auto"/>
          <w:highlight w:val="none"/>
          <w:u w:val="single"/>
        </w:rPr>
        <w:t xml:space="preserve"> </w:t>
      </w:r>
      <w:r>
        <w:rPr>
          <w:rStyle w:val="24"/>
          <w:rFonts w:hint="eastAsia" w:cs="Times New Roman"/>
          <w:color w:val="auto"/>
          <w:highlight w:val="none"/>
          <w:u w:val="single"/>
          <w:lang w:val="en-US" w:eastAsia="zh-CN"/>
        </w:rPr>
        <w:t>12</w:t>
      </w:r>
      <w:r>
        <w:rPr>
          <w:rStyle w:val="24"/>
          <w:rFonts w:ascii="Calibri" w:hAnsi="Calibri" w:eastAsia="宋体" w:cs="Times New Roman"/>
          <w:color w:val="auto"/>
          <w:highlight w:val="none"/>
          <w:u w:val="single"/>
        </w:rPr>
        <w:t>个月，缺陷责任期自工程竣工验收合格之日起计算。单位工程先于全部工程进行验收， 单位工程缺陷责任期自单位工程验收合格之日起算</w:t>
      </w:r>
      <w:r>
        <w:rPr>
          <w:rFonts w:hint="eastAsia" w:hAnsi="宋体" w:cs="宋体"/>
          <w:color w:val="auto"/>
          <w:highlight w:val="none"/>
        </w:rPr>
        <w:t>。</w:t>
      </w:r>
    </w:p>
    <w:p w14:paraId="74E4C9F0">
      <w:pPr>
        <w:autoSpaceDE w:val="0"/>
        <w:autoSpaceDN w:val="0"/>
        <w:adjustRightInd w:val="0"/>
        <w:spacing w:line="360" w:lineRule="auto"/>
        <w:ind w:firstLine="420" w:firstLineChars="200"/>
        <w:jc w:val="left"/>
        <w:outlineLvl w:val="9"/>
        <w:rPr>
          <w:rFonts w:hint="eastAsia" w:hAnsi="宋体" w:cs="宋体"/>
          <w:color w:val="auto"/>
          <w:highlight w:val="none"/>
        </w:rPr>
      </w:pPr>
      <w:bookmarkStart w:id="1226" w:name="_Toc373227764"/>
      <w:bookmarkStart w:id="1227" w:name="_Toc23897"/>
      <w:bookmarkStart w:id="1228" w:name="_Toc389065329"/>
      <w:bookmarkStart w:id="1229" w:name="_Toc13775"/>
      <w:bookmarkStart w:id="1230" w:name="_Toc666080472"/>
      <w:bookmarkStart w:id="1231" w:name="_Toc78449853"/>
      <w:bookmarkStart w:id="1232" w:name="_Toc373478411"/>
      <w:bookmarkStart w:id="1233" w:name="_Toc407135267"/>
      <w:r>
        <w:rPr>
          <w:rFonts w:hint="eastAsia" w:hAnsi="宋体" w:cs="宋体"/>
          <w:color w:val="auto"/>
          <w:highlight w:val="none"/>
        </w:rPr>
        <w:t>15.3 质量保证金</w:t>
      </w:r>
      <w:bookmarkEnd w:id="1226"/>
      <w:bookmarkEnd w:id="1227"/>
      <w:bookmarkEnd w:id="1228"/>
      <w:bookmarkEnd w:id="1229"/>
      <w:bookmarkEnd w:id="1230"/>
      <w:bookmarkEnd w:id="1231"/>
      <w:bookmarkEnd w:id="1232"/>
      <w:bookmarkEnd w:id="1233"/>
    </w:p>
    <w:p w14:paraId="12A4576B">
      <w:pPr>
        <w:autoSpaceDE w:val="0"/>
        <w:autoSpaceDN w:val="0"/>
        <w:adjustRightInd w:val="0"/>
        <w:spacing w:line="360" w:lineRule="auto"/>
        <w:ind w:firstLine="420" w:firstLineChars="200"/>
        <w:jc w:val="left"/>
        <w:outlineLvl w:val="9"/>
        <w:rPr>
          <w:rFonts w:hint="eastAsia" w:hAnsi="宋体" w:cs="宋体"/>
          <w:color w:val="auto"/>
          <w:highlight w:val="none"/>
        </w:rPr>
      </w:pPr>
      <w:r>
        <w:rPr>
          <w:rFonts w:hint="eastAsia" w:hAnsi="宋体" w:cs="宋体"/>
          <w:color w:val="auto"/>
          <w:highlight w:val="none"/>
        </w:rPr>
        <w:t>15.3.1 承包人提供质量保证金的方式</w:t>
      </w:r>
    </w:p>
    <w:p w14:paraId="7C95E24E">
      <w:pPr>
        <w:spacing w:line="360" w:lineRule="auto"/>
        <w:ind w:firstLine="420" w:firstLineChars="200"/>
        <w:jc w:val="left"/>
        <w:rPr>
          <w:color w:val="auto"/>
          <w:highlight w:val="none"/>
        </w:rPr>
      </w:pPr>
      <w:r>
        <w:rPr>
          <w:rFonts w:hint="eastAsia" w:hAnsi="宋体" w:cs="宋体"/>
          <w:color w:val="auto"/>
          <w:highlight w:val="none"/>
        </w:rPr>
        <w:t>质量保证金采用以下第</w:t>
      </w:r>
      <w:r>
        <w:rPr>
          <w:color w:val="auto"/>
          <w:highlight w:val="none"/>
          <w:u w:val="single"/>
        </w:rPr>
        <w:t xml:space="preserve"> </w:t>
      </w:r>
      <w:r>
        <w:rPr>
          <w:rStyle w:val="24"/>
          <w:rFonts w:hint="eastAsia" w:ascii="Times New Roman" w:hAnsi="Times New Roman" w:eastAsia="宋体" w:cs="Times New Roman"/>
          <w:color w:val="auto"/>
          <w:highlight w:val="none"/>
          <w:u w:val="single"/>
          <w:lang w:eastAsia="zh-CN"/>
        </w:rPr>
        <w:t>（</w:t>
      </w:r>
      <w:r>
        <w:rPr>
          <w:rStyle w:val="24"/>
          <w:rFonts w:hint="eastAsia" w:cs="Times New Roman"/>
          <w:color w:val="auto"/>
          <w:highlight w:val="none"/>
          <w:u w:val="single"/>
          <w:lang w:val="en-US" w:eastAsia="zh-CN"/>
        </w:rPr>
        <w:t>1</w:t>
      </w:r>
      <w:r>
        <w:rPr>
          <w:rStyle w:val="24"/>
          <w:rFonts w:hint="eastAsia" w:ascii="Times New Roman" w:hAnsi="Times New Roman" w:eastAsia="宋体" w:cs="Times New Roman"/>
          <w:color w:val="auto"/>
          <w:highlight w:val="none"/>
          <w:u w:val="single"/>
          <w:lang w:eastAsia="zh-CN"/>
        </w:rPr>
        <w:t>）</w:t>
      </w:r>
      <w:r>
        <w:rPr>
          <w:color w:val="auto"/>
          <w:highlight w:val="none"/>
          <w:u w:val="single"/>
        </w:rPr>
        <w:t xml:space="preserve"> </w:t>
      </w:r>
      <w:r>
        <w:rPr>
          <w:rFonts w:hint="eastAsia" w:hAnsi="宋体" w:cs="宋体"/>
          <w:color w:val="auto"/>
          <w:highlight w:val="none"/>
        </w:rPr>
        <w:t>种方式：</w:t>
      </w:r>
    </w:p>
    <w:p w14:paraId="6E356F04">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）质量保证金保函</w:t>
      </w:r>
      <w:r>
        <w:rPr>
          <w:rFonts w:hint="eastAsia" w:ascii="Times New Roman" w:hAnsi="宋体" w:eastAsia="宋体" w:cs="宋体"/>
          <w:color w:val="auto"/>
          <w:highlight w:val="none"/>
        </w:rPr>
        <w:t>（银行保函、电子保函、保证保险保函、工程担保保函</w:t>
      </w:r>
      <w:r>
        <w:rPr>
          <w:rFonts w:hint="eastAsia" w:hAnsi="宋体" w:cs="宋体"/>
          <w:color w:val="auto"/>
          <w:kern w:val="0"/>
          <w:highlight w:val="none"/>
        </w:rPr>
        <w:t>，保证金额</w:t>
      </w:r>
      <w:r>
        <w:rPr>
          <w:rFonts w:hint="eastAsia" w:hAnsi="宋体" w:cs="宋体"/>
          <w:color w:val="auto"/>
          <w:kern w:val="0"/>
          <w:highlight w:val="none"/>
          <w:lang w:val="en-US" w:eastAsia="zh-CN"/>
        </w:rPr>
        <w:t>度</w:t>
      </w:r>
      <w:r>
        <w:rPr>
          <w:rFonts w:hint="eastAsia" w:hAnsi="宋体" w:cs="宋体"/>
          <w:color w:val="auto"/>
          <w:kern w:val="0"/>
          <w:highlight w:val="none"/>
        </w:rPr>
        <w:t>为：</w:t>
      </w:r>
      <w:r>
        <w:rPr>
          <w:color w:val="auto"/>
          <w:kern w:val="0"/>
          <w:highlight w:val="none"/>
          <w:u w:val="single"/>
        </w:rPr>
        <w:t xml:space="preserve"> </w:t>
      </w:r>
      <w:r>
        <w:rPr>
          <w:rFonts w:hint="eastAsia"/>
          <w:color w:val="auto"/>
          <w:kern w:val="0"/>
          <w:highlight w:val="none"/>
          <w:u w:val="single"/>
          <w:lang w:val="en-US" w:eastAsia="zh-CN"/>
        </w:rPr>
        <w:t>工程结算价款的3%</w:t>
      </w:r>
      <w:r>
        <w:rPr>
          <w:color w:val="auto"/>
          <w:kern w:val="0"/>
          <w:highlight w:val="none"/>
          <w:u w:val="single"/>
        </w:rPr>
        <w:t xml:space="preserve"> </w:t>
      </w:r>
      <w:r>
        <w:rPr>
          <w:rFonts w:hint="eastAsia" w:hAnsi="宋体" w:cs="宋体"/>
          <w:color w:val="auto"/>
          <w:kern w:val="0"/>
          <w:highlight w:val="none"/>
        </w:rPr>
        <w:t>；</w:t>
      </w:r>
    </w:p>
    <w:p w14:paraId="6F41C7F8">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w:t>
      </w:r>
      <w:r>
        <w:rPr>
          <w:rFonts w:hint="eastAsia" w:hAnsi="宋体" w:cs="宋体"/>
          <w:color w:val="auto"/>
          <w:highlight w:val="none"/>
        </w:rPr>
        <w:t>发包人按工程价款结算总额的</w:t>
      </w:r>
      <w:r>
        <w:rPr>
          <w:rFonts w:hAnsi="宋体"/>
          <w:color w:val="auto"/>
          <w:highlight w:val="none"/>
          <w:u w:val="single"/>
        </w:rPr>
        <w:t xml:space="preserve"> </w:t>
      </w:r>
      <w:r>
        <w:rPr>
          <w:rFonts w:hint="eastAsia" w:hAnsi="宋体"/>
          <w:color w:val="auto"/>
          <w:highlight w:val="none"/>
          <w:u w:val="single"/>
          <w:lang w:val="en-US" w:eastAsia="zh-CN"/>
        </w:rPr>
        <w:t>/</w:t>
      </w:r>
      <w:r>
        <w:rPr>
          <w:rFonts w:hAnsi="宋体"/>
          <w:color w:val="auto"/>
          <w:highlight w:val="none"/>
          <w:u w:val="single"/>
        </w:rPr>
        <w:t xml:space="preserve">  </w:t>
      </w:r>
      <w:r>
        <w:rPr>
          <w:color w:val="auto"/>
          <w:highlight w:val="none"/>
        </w:rPr>
        <w:t>%</w:t>
      </w:r>
      <w:r>
        <w:rPr>
          <w:rFonts w:hint="eastAsia" w:cs="宋体"/>
          <w:color w:val="auto"/>
          <w:highlight w:val="none"/>
        </w:rPr>
        <w:t>（不得超过</w:t>
      </w:r>
      <w:r>
        <w:rPr>
          <w:color w:val="auto"/>
          <w:highlight w:val="none"/>
        </w:rPr>
        <w:t>3%</w:t>
      </w:r>
      <w:r>
        <w:rPr>
          <w:rFonts w:hint="eastAsia" w:cs="宋体"/>
          <w:color w:val="auto"/>
          <w:highlight w:val="none"/>
        </w:rPr>
        <w:t>）</w:t>
      </w:r>
      <w:r>
        <w:rPr>
          <w:rFonts w:hint="eastAsia" w:hAnsi="宋体" w:cs="宋体"/>
          <w:color w:val="auto"/>
          <w:highlight w:val="none"/>
        </w:rPr>
        <w:t>预留工程质量保证金，待缺陷责任期满后返还</w:t>
      </w:r>
      <w:r>
        <w:rPr>
          <w:rFonts w:hint="eastAsia" w:hAnsi="宋体" w:cs="宋体"/>
          <w:color w:val="auto"/>
          <w:kern w:val="0"/>
          <w:highlight w:val="none"/>
        </w:rPr>
        <w:t>；</w:t>
      </w:r>
    </w:p>
    <w:p w14:paraId="69AC1992">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3</w:t>
      </w:r>
      <w:r>
        <w:rPr>
          <w:rFonts w:hint="eastAsia" w:hAnsi="宋体" w:cs="宋体"/>
          <w:color w:val="auto"/>
          <w:kern w:val="0"/>
          <w:highlight w:val="none"/>
        </w:rPr>
        <w:t>）其他方式</w:t>
      </w:r>
      <w:r>
        <w:rPr>
          <w:rFonts w:hint="eastAsia" w:cs="宋体"/>
          <w:color w:val="auto"/>
          <w:kern w:val="0"/>
          <w:highlight w:val="none"/>
        </w:rPr>
        <w:t>：</w:t>
      </w:r>
      <w:r>
        <w:rPr>
          <w:rFonts w:hint="eastAsia" w:ascii="Times New Roman" w:hAnsi="宋体" w:eastAsia="宋体" w:cs="宋体"/>
          <w:color w:val="auto"/>
          <w:highlight w:val="none"/>
        </w:rPr>
        <w:t>银行转账、电汇或网上支付等</w:t>
      </w:r>
      <w:r>
        <w:rPr>
          <w:rFonts w:hint="eastAsia" w:ascii="Times New Roman" w:hAnsi="宋体" w:eastAsia="宋体" w:cs="宋体"/>
          <w:color w:val="auto"/>
          <w:highlight w:val="none"/>
          <w:lang w:eastAsia="zh-CN"/>
        </w:rPr>
        <w:t>形</w:t>
      </w:r>
      <w:r>
        <w:rPr>
          <w:rFonts w:hint="eastAsia" w:ascii="Times New Roman" w:hAnsi="宋体" w:eastAsia="宋体" w:cs="宋体"/>
          <w:color w:val="auto"/>
          <w:highlight w:val="none"/>
        </w:rPr>
        <w:t>式</w:t>
      </w:r>
      <w:r>
        <w:rPr>
          <w:rFonts w:hint="eastAsia" w:hAnsi="宋体" w:cs="宋体"/>
          <w:color w:val="auto"/>
          <w:highlight w:val="none"/>
        </w:rPr>
        <w:t>。</w:t>
      </w:r>
    </w:p>
    <w:p w14:paraId="28877A9F">
      <w:pPr>
        <w:spacing w:line="360" w:lineRule="auto"/>
        <w:ind w:firstLine="420" w:firstLineChars="200"/>
        <w:jc w:val="left"/>
        <w:rPr>
          <w:color w:val="auto"/>
          <w:highlight w:val="none"/>
        </w:rPr>
      </w:pPr>
      <w:r>
        <w:rPr>
          <w:color w:val="auto"/>
          <w:highlight w:val="none"/>
        </w:rPr>
        <w:t xml:space="preserve">15.3.2 </w:t>
      </w:r>
      <w:r>
        <w:rPr>
          <w:rFonts w:hint="eastAsia" w:hAnsi="宋体" w:cs="宋体"/>
          <w:color w:val="auto"/>
          <w:highlight w:val="none"/>
        </w:rPr>
        <w:t>质量保证金的扣留</w:t>
      </w:r>
    </w:p>
    <w:p w14:paraId="093FB6ED">
      <w:pPr>
        <w:spacing w:line="360" w:lineRule="auto"/>
        <w:ind w:firstLine="420" w:firstLineChars="200"/>
        <w:jc w:val="left"/>
        <w:rPr>
          <w:color w:val="auto"/>
          <w:highlight w:val="none"/>
        </w:rPr>
      </w:pPr>
      <w:r>
        <w:rPr>
          <w:rFonts w:hint="eastAsia" w:hAnsi="宋体" w:cs="宋体"/>
          <w:color w:val="auto"/>
          <w:highlight w:val="none"/>
        </w:rPr>
        <w:t>质量保证金的扣留采取以下第</w:t>
      </w:r>
      <w:r>
        <w:rPr>
          <w:color w:val="auto"/>
          <w:highlight w:val="none"/>
          <w:u w:val="single"/>
        </w:rPr>
        <w:t xml:space="preserve">  </w:t>
      </w:r>
      <w:r>
        <w:rPr>
          <w:rStyle w:val="24"/>
          <w:rFonts w:hint="eastAsia" w:ascii="Times New Roman" w:hAnsi="Times New Roman" w:eastAsia="宋体" w:cs="Times New Roman"/>
          <w:color w:val="auto"/>
          <w:highlight w:val="none"/>
          <w:u w:val="single"/>
          <w:lang w:eastAsia="zh-CN"/>
        </w:rPr>
        <w:t>（</w:t>
      </w:r>
      <w:r>
        <w:rPr>
          <w:rStyle w:val="24"/>
          <w:rFonts w:hint="eastAsia" w:ascii="Times New Roman" w:hAnsi="Times New Roman" w:eastAsia="宋体" w:cs="Times New Roman"/>
          <w:color w:val="auto"/>
          <w:highlight w:val="none"/>
          <w:u w:val="single"/>
          <w:lang w:val="en-US" w:eastAsia="zh-CN"/>
        </w:rPr>
        <w:t>2</w:t>
      </w:r>
      <w:r>
        <w:rPr>
          <w:rStyle w:val="24"/>
          <w:rFonts w:hint="eastAsia" w:ascii="Times New Roman" w:hAnsi="Times New Roman" w:eastAsia="宋体" w:cs="Times New Roman"/>
          <w:color w:val="auto"/>
          <w:highlight w:val="none"/>
          <w:u w:val="single"/>
          <w:lang w:eastAsia="zh-CN"/>
        </w:rPr>
        <w:t>）</w:t>
      </w:r>
      <w:r>
        <w:rPr>
          <w:color w:val="auto"/>
          <w:highlight w:val="none"/>
          <w:u w:val="single"/>
        </w:rPr>
        <w:t xml:space="preserve">   </w:t>
      </w:r>
      <w:r>
        <w:rPr>
          <w:rFonts w:hint="eastAsia" w:hAnsi="宋体" w:cs="宋体"/>
          <w:color w:val="auto"/>
          <w:highlight w:val="none"/>
        </w:rPr>
        <w:t>种方式：</w:t>
      </w:r>
    </w:p>
    <w:p w14:paraId="1E7663D2">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）在</w:t>
      </w:r>
      <w:r>
        <w:rPr>
          <w:rFonts w:hAnsi="宋体" w:cs="宋体"/>
          <w:color w:val="auto"/>
          <w:kern w:val="0"/>
          <w:highlight w:val="none"/>
        </w:rPr>
        <w:t>不缴纳</w:t>
      </w:r>
      <w:r>
        <w:rPr>
          <w:rFonts w:hint="eastAsia" w:hAnsi="宋体" w:cs="宋体"/>
          <w:color w:val="auto"/>
          <w:kern w:val="0"/>
          <w:highlight w:val="none"/>
          <w:lang w:eastAsia="zh-CN"/>
        </w:rPr>
        <w:t>履约</w:t>
      </w:r>
      <w:r>
        <w:rPr>
          <w:rFonts w:hint="eastAsia" w:hAnsi="宋体" w:cs="宋体"/>
          <w:color w:val="auto"/>
          <w:kern w:val="0"/>
          <w:highlight w:val="none"/>
        </w:rPr>
        <w:t>保</w:t>
      </w:r>
      <w:r>
        <w:rPr>
          <w:rFonts w:hAnsi="宋体" w:cs="宋体"/>
          <w:color w:val="auto"/>
          <w:kern w:val="0"/>
          <w:highlight w:val="none"/>
        </w:rPr>
        <w:t>证金情况下</w:t>
      </w:r>
      <w:r>
        <w:rPr>
          <w:rFonts w:hint="eastAsia" w:hAnsi="宋体" w:cs="宋体"/>
          <w:color w:val="auto"/>
          <w:kern w:val="0"/>
          <w:highlight w:val="none"/>
        </w:rPr>
        <w:t>，按支付工程进度款时逐次扣留，质量保证金的计算基数不包括预付款的支付、扣回以及价格调整的金额</w:t>
      </w:r>
      <w:r>
        <w:rPr>
          <w:rFonts w:hint="eastAsia" w:hAnsi="宋体" w:cs="宋体"/>
          <w:color w:val="auto"/>
          <w:kern w:val="0"/>
          <w:highlight w:val="none"/>
          <w:lang w:eastAsia="zh-CN"/>
        </w:rPr>
        <w:t>。</w:t>
      </w:r>
      <w:r>
        <w:rPr>
          <w:rFonts w:hint="eastAsia" w:hAnsi="宋体" w:cs="宋体"/>
          <w:color w:val="auto"/>
          <w:highlight w:val="none"/>
        </w:rPr>
        <w:t>在工程项目竣工前，承包人按专用合同条款第3.7条提供履约担保的，发包人不得同时预留工程质量保证金</w:t>
      </w:r>
      <w:r>
        <w:rPr>
          <w:rFonts w:hint="eastAsia" w:hAnsi="宋体" w:cs="宋体"/>
          <w:color w:val="auto"/>
          <w:highlight w:val="none"/>
          <w:lang w:eastAsia="zh-CN"/>
        </w:rPr>
        <w:t>。</w:t>
      </w:r>
    </w:p>
    <w:p w14:paraId="10A6218C">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）工程竣工结算时，一次性扣留质量保证金，</w:t>
      </w:r>
      <w:r>
        <w:rPr>
          <w:rFonts w:hAnsi="宋体" w:cs="宋体"/>
          <w:color w:val="auto"/>
          <w:kern w:val="0"/>
          <w:highlight w:val="none"/>
        </w:rPr>
        <w:t>由承包人以银行保函</w:t>
      </w:r>
      <w:r>
        <w:rPr>
          <w:rFonts w:hint="eastAsia" w:hAnsi="宋体" w:cs="宋体"/>
          <w:color w:val="auto"/>
          <w:kern w:val="0"/>
          <w:highlight w:val="none"/>
        </w:rPr>
        <w:t>、保证保险</w:t>
      </w:r>
      <w:r>
        <w:rPr>
          <w:rFonts w:hAnsi="宋体" w:cs="宋体"/>
          <w:color w:val="auto"/>
          <w:kern w:val="0"/>
          <w:highlight w:val="none"/>
        </w:rPr>
        <w:t>替代预留</w:t>
      </w:r>
      <w:r>
        <w:rPr>
          <w:rFonts w:hint="eastAsia" w:hAnsi="宋体" w:cs="宋体"/>
          <w:color w:val="auto"/>
          <w:kern w:val="0"/>
          <w:highlight w:val="none"/>
        </w:rPr>
        <w:t>质量</w:t>
      </w:r>
      <w:r>
        <w:rPr>
          <w:rFonts w:hAnsi="宋体" w:cs="宋体"/>
          <w:color w:val="auto"/>
          <w:kern w:val="0"/>
          <w:highlight w:val="none"/>
        </w:rPr>
        <w:t>保证金</w:t>
      </w:r>
      <w:r>
        <w:rPr>
          <w:rFonts w:hint="eastAsia" w:hAnsi="宋体" w:cs="宋体"/>
          <w:color w:val="auto"/>
          <w:kern w:val="0"/>
          <w:highlight w:val="none"/>
        </w:rPr>
        <w:t>，</w:t>
      </w:r>
      <w:r>
        <w:rPr>
          <w:rFonts w:hAnsi="宋体" w:cs="宋体"/>
          <w:color w:val="auto"/>
          <w:kern w:val="0"/>
          <w:highlight w:val="none"/>
        </w:rPr>
        <w:t>保函金额不得高</w:t>
      </w:r>
      <w:r>
        <w:rPr>
          <w:rFonts w:hint="eastAsia" w:hAnsi="宋体" w:cs="宋体"/>
          <w:color w:val="auto"/>
          <w:kern w:val="0"/>
          <w:highlight w:val="none"/>
        </w:rPr>
        <w:t>于</w:t>
      </w:r>
      <w:r>
        <w:rPr>
          <w:rFonts w:hAnsi="宋体" w:cs="宋体"/>
          <w:color w:val="auto"/>
          <w:kern w:val="0"/>
          <w:highlight w:val="none"/>
        </w:rPr>
        <w:t>工程价款结算总额的</w:t>
      </w:r>
      <w:r>
        <w:rPr>
          <w:rFonts w:hint="eastAsia" w:hAnsi="宋体" w:cs="宋体"/>
          <w:color w:val="auto"/>
          <w:kern w:val="0"/>
          <w:highlight w:val="none"/>
        </w:rPr>
        <w:t>3</w:t>
      </w:r>
      <w:r>
        <w:rPr>
          <w:rFonts w:hAnsi="宋体" w:cs="宋体"/>
          <w:color w:val="auto"/>
          <w:kern w:val="0"/>
          <w:highlight w:val="none"/>
        </w:rPr>
        <w:t>%</w:t>
      </w:r>
      <w:r>
        <w:rPr>
          <w:rFonts w:hint="eastAsia" w:hAnsi="宋体" w:cs="宋体"/>
          <w:color w:val="auto"/>
          <w:kern w:val="0"/>
          <w:highlight w:val="none"/>
        </w:rPr>
        <w:t>；</w:t>
      </w:r>
    </w:p>
    <w:p w14:paraId="62AFE4A1">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3</w:t>
      </w:r>
      <w:r>
        <w:rPr>
          <w:rFonts w:hint="eastAsia" w:hAnsi="宋体" w:cs="宋体"/>
          <w:color w:val="auto"/>
          <w:kern w:val="0"/>
          <w:highlight w:val="none"/>
        </w:rPr>
        <w:t>）其他扣留方式</w:t>
      </w:r>
      <w:r>
        <w:rPr>
          <w:rFonts w:hint="eastAsia" w:hAnsi="宋体" w:cs="宋体"/>
          <w:color w:val="auto"/>
          <w:kern w:val="0"/>
          <w:highlight w:val="none"/>
          <w:lang w:eastAsia="zh-CN"/>
        </w:rPr>
        <w:t>：</w:t>
      </w:r>
      <w:r>
        <w:rPr>
          <w:rFonts w:hint="eastAsia" w:cs="宋体"/>
          <w:color w:val="auto"/>
          <w:kern w:val="0"/>
          <w:highlight w:val="none"/>
          <w:u w:val="single"/>
          <w:lang w:val="en-US" w:eastAsia="zh-CN"/>
        </w:rPr>
        <w:t xml:space="preserve">    /    </w:t>
      </w:r>
      <w:r>
        <w:rPr>
          <w:rFonts w:hint="eastAsia" w:cs="宋体"/>
          <w:color w:val="auto"/>
          <w:kern w:val="0"/>
          <w:highlight w:val="none"/>
          <w:u w:val="none"/>
          <w:lang w:val="en-US" w:eastAsia="zh-CN"/>
        </w:rPr>
        <w:t>（如</w:t>
      </w:r>
      <w:r>
        <w:rPr>
          <w:rFonts w:hint="eastAsia" w:ascii="Times New Roman" w:hAnsi="宋体" w:eastAsia="宋体" w:cs="宋体"/>
          <w:color w:val="auto"/>
          <w:highlight w:val="none"/>
        </w:rPr>
        <w:t>银行转账、电汇或网上支付等</w:t>
      </w:r>
      <w:r>
        <w:rPr>
          <w:rFonts w:hint="eastAsia" w:ascii="Times New Roman" w:hAnsi="宋体" w:eastAsia="宋体" w:cs="宋体"/>
          <w:color w:val="auto"/>
          <w:highlight w:val="none"/>
          <w:lang w:eastAsia="zh-CN"/>
        </w:rPr>
        <w:t>形</w:t>
      </w:r>
      <w:r>
        <w:rPr>
          <w:rFonts w:hint="eastAsia" w:ascii="Times New Roman" w:hAnsi="宋体" w:eastAsia="宋体" w:cs="宋体"/>
          <w:color w:val="auto"/>
          <w:highlight w:val="none"/>
        </w:rPr>
        <w:t>式</w:t>
      </w:r>
      <w:r>
        <w:rPr>
          <w:rFonts w:hint="eastAsia" w:hAnsi="宋体" w:cs="宋体"/>
          <w:color w:val="auto"/>
          <w:highlight w:val="none"/>
          <w:lang w:eastAsia="zh-CN"/>
        </w:rPr>
        <w:t>）。</w:t>
      </w:r>
    </w:p>
    <w:p w14:paraId="4DAA8B69">
      <w:pPr>
        <w:spacing w:line="360" w:lineRule="auto"/>
        <w:ind w:firstLine="420" w:firstLineChars="200"/>
        <w:jc w:val="left"/>
        <w:rPr>
          <w:color w:val="auto"/>
          <w:kern w:val="0"/>
          <w:highlight w:val="none"/>
          <w:u w:val="single"/>
        </w:rPr>
      </w:pPr>
      <w:r>
        <w:rPr>
          <w:rFonts w:hint="eastAsia" w:hAnsi="宋体" w:cs="宋体"/>
          <w:color w:val="auto"/>
          <w:highlight w:val="none"/>
        </w:rPr>
        <w:t>关于质量保证金的补充约定：</w:t>
      </w:r>
      <w:r>
        <w:rPr>
          <w:rFonts w:hint="eastAsia" w:hAnsi="宋体" w:cs="宋体"/>
          <w:color w:val="auto"/>
          <w:kern w:val="0"/>
          <w:highlight w:val="none"/>
        </w:rPr>
        <w:t>工程竣工结算时</w:t>
      </w:r>
      <w:r>
        <w:rPr>
          <w:rFonts w:hAnsi="宋体" w:cs="宋体"/>
          <w:color w:val="auto"/>
          <w:kern w:val="0"/>
          <w:highlight w:val="none"/>
        </w:rPr>
        <w:t>承包人以银行保函</w:t>
      </w:r>
      <w:r>
        <w:rPr>
          <w:rFonts w:hint="eastAsia" w:hAnsi="宋体" w:cs="宋体"/>
          <w:color w:val="auto"/>
          <w:kern w:val="0"/>
          <w:highlight w:val="none"/>
        </w:rPr>
        <w:t>、保证保险</w:t>
      </w:r>
      <w:r>
        <w:rPr>
          <w:rFonts w:hAnsi="宋体" w:cs="宋体"/>
          <w:color w:val="auto"/>
          <w:kern w:val="0"/>
          <w:highlight w:val="none"/>
        </w:rPr>
        <w:t>替代预留</w:t>
      </w:r>
      <w:r>
        <w:rPr>
          <w:rFonts w:hint="eastAsia" w:hAnsi="宋体" w:cs="宋体"/>
          <w:color w:val="auto"/>
          <w:kern w:val="0"/>
          <w:highlight w:val="none"/>
        </w:rPr>
        <w:t>质量</w:t>
      </w:r>
      <w:r>
        <w:rPr>
          <w:rFonts w:hAnsi="宋体" w:cs="宋体"/>
          <w:color w:val="auto"/>
          <w:kern w:val="0"/>
          <w:highlight w:val="none"/>
        </w:rPr>
        <w:t>保证金</w:t>
      </w:r>
      <w:r>
        <w:rPr>
          <w:rFonts w:hint="eastAsia" w:hAnsi="宋体" w:cs="宋体"/>
          <w:color w:val="auto"/>
          <w:kern w:val="0"/>
          <w:highlight w:val="none"/>
        </w:rPr>
        <w:t>，</w:t>
      </w:r>
      <w:r>
        <w:rPr>
          <w:rFonts w:hAnsi="宋体" w:cs="宋体"/>
          <w:color w:val="auto"/>
          <w:kern w:val="0"/>
          <w:highlight w:val="none"/>
        </w:rPr>
        <w:t>保函金额</w:t>
      </w:r>
      <w:r>
        <w:rPr>
          <w:rFonts w:hint="eastAsia" w:hAnsi="宋体" w:cs="宋体"/>
          <w:color w:val="auto"/>
          <w:kern w:val="0"/>
          <w:highlight w:val="none"/>
          <w:lang w:val="en-US" w:eastAsia="zh-CN"/>
        </w:rPr>
        <w:t>为</w:t>
      </w:r>
      <w:r>
        <w:rPr>
          <w:rFonts w:hAnsi="宋体" w:cs="宋体"/>
          <w:color w:val="auto"/>
          <w:kern w:val="0"/>
          <w:highlight w:val="none"/>
        </w:rPr>
        <w:t>工程价款结算总额的</w:t>
      </w:r>
      <w:r>
        <w:rPr>
          <w:rFonts w:hint="eastAsia" w:hAnsi="宋体" w:cs="宋体"/>
          <w:color w:val="auto"/>
          <w:kern w:val="0"/>
          <w:highlight w:val="none"/>
        </w:rPr>
        <w:t>3</w:t>
      </w:r>
      <w:r>
        <w:rPr>
          <w:rFonts w:hAnsi="宋体" w:cs="宋体"/>
          <w:color w:val="auto"/>
          <w:kern w:val="0"/>
          <w:highlight w:val="none"/>
        </w:rPr>
        <w:t>%</w:t>
      </w:r>
      <w:r>
        <w:rPr>
          <w:rFonts w:hint="eastAsia"/>
          <w:color w:val="auto"/>
          <w:kern w:val="0"/>
          <w:highlight w:val="none"/>
          <w:u w:val="single"/>
          <w:lang w:eastAsia="zh-CN"/>
        </w:rPr>
        <w:t>，</w:t>
      </w:r>
      <w:r>
        <w:rPr>
          <w:rFonts w:hint="eastAsia"/>
          <w:color w:val="auto"/>
          <w:kern w:val="0"/>
          <w:highlight w:val="none"/>
          <w:u w:val="single"/>
          <w:lang w:val="en-US" w:eastAsia="zh-CN"/>
        </w:rPr>
        <w:t>发包人收到保函后支付承包人</w:t>
      </w:r>
      <w:r>
        <w:rPr>
          <w:rFonts w:hAnsi="宋体" w:cs="宋体"/>
          <w:color w:val="auto"/>
          <w:kern w:val="0"/>
          <w:highlight w:val="none"/>
        </w:rPr>
        <w:t>工程价款结算总额的</w:t>
      </w:r>
      <w:r>
        <w:rPr>
          <w:rFonts w:hint="eastAsia" w:hAnsi="宋体" w:cs="宋体"/>
          <w:color w:val="auto"/>
          <w:kern w:val="0"/>
          <w:highlight w:val="none"/>
        </w:rPr>
        <w:t>3</w:t>
      </w:r>
      <w:r>
        <w:rPr>
          <w:rFonts w:hAnsi="宋体" w:cs="宋体"/>
          <w:color w:val="auto"/>
          <w:kern w:val="0"/>
          <w:highlight w:val="none"/>
        </w:rPr>
        <w:t>%</w:t>
      </w:r>
      <w:r>
        <w:rPr>
          <w:color w:val="auto"/>
          <w:kern w:val="0"/>
          <w:highlight w:val="none"/>
          <w:u w:val="single"/>
        </w:rPr>
        <w:t xml:space="preserve"> </w:t>
      </w:r>
      <w:r>
        <w:rPr>
          <w:rFonts w:hint="eastAsia" w:hAnsi="宋体" w:cs="宋体"/>
          <w:color w:val="auto"/>
          <w:kern w:val="0"/>
          <w:highlight w:val="none"/>
        </w:rPr>
        <w:t>。</w:t>
      </w:r>
    </w:p>
    <w:bookmarkEnd w:id="1189"/>
    <w:bookmarkEnd w:id="1190"/>
    <w:p w14:paraId="0E123181">
      <w:pPr>
        <w:spacing w:line="360" w:lineRule="auto"/>
        <w:outlineLvl w:val="9"/>
        <w:rPr>
          <w:color w:val="auto"/>
          <w:highlight w:val="none"/>
        </w:rPr>
      </w:pPr>
      <w:bookmarkStart w:id="1234" w:name="_Toc196306762"/>
      <w:bookmarkStart w:id="1235" w:name="_Toc373478412"/>
      <w:bookmarkStart w:id="1236" w:name="_Toc373227765"/>
      <w:bookmarkStart w:id="1237" w:name="_Toc26279"/>
      <w:bookmarkStart w:id="1238" w:name="_Toc407135268"/>
      <w:bookmarkStart w:id="1239" w:name="_Toc389065330"/>
      <w:bookmarkStart w:id="1240" w:name="_Toc31747"/>
      <w:bookmarkStart w:id="1241" w:name="_Toc78449854"/>
      <w:r>
        <w:rPr>
          <w:color w:val="auto"/>
          <w:highlight w:val="none"/>
        </w:rPr>
        <w:t xml:space="preserve">15.4 </w:t>
      </w:r>
      <w:r>
        <w:rPr>
          <w:rFonts w:hint="eastAsia" w:hAnsi="宋体" w:cs="黑体"/>
          <w:color w:val="auto"/>
          <w:highlight w:val="none"/>
        </w:rPr>
        <w:t>保修</w:t>
      </w:r>
      <w:bookmarkEnd w:id="1234"/>
      <w:bookmarkEnd w:id="1235"/>
      <w:bookmarkEnd w:id="1236"/>
      <w:bookmarkEnd w:id="1237"/>
      <w:bookmarkEnd w:id="1238"/>
      <w:bookmarkEnd w:id="1239"/>
      <w:bookmarkEnd w:id="1240"/>
      <w:bookmarkEnd w:id="1241"/>
    </w:p>
    <w:bookmarkEnd w:id="1191"/>
    <w:p w14:paraId="33E26EB2">
      <w:pPr>
        <w:spacing w:line="360" w:lineRule="auto"/>
        <w:ind w:firstLine="409" w:firstLineChars="195"/>
        <w:jc w:val="left"/>
        <w:outlineLvl w:val="9"/>
        <w:rPr>
          <w:color w:val="auto"/>
          <w:highlight w:val="none"/>
        </w:rPr>
      </w:pPr>
      <w:r>
        <w:rPr>
          <w:color w:val="auto"/>
          <w:highlight w:val="none"/>
        </w:rPr>
        <w:t xml:space="preserve">15.4.1 </w:t>
      </w:r>
      <w:r>
        <w:rPr>
          <w:rFonts w:hint="eastAsia" w:hAnsi="宋体" w:cs="宋体"/>
          <w:color w:val="auto"/>
          <w:highlight w:val="none"/>
        </w:rPr>
        <w:t>保修责任</w:t>
      </w:r>
    </w:p>
    <w:p w14:paraId="1C479C90">
      <w:pPr>
        <w:spacing w:line="360" w:lineRule="auto"/>
        <w:ind w:firstLine="409" w:firstLineChars="195"/>
        <w:jc w:val="left"/>
        <w:rPr>
          <w:rFonts w:hAnsi="宋体"/>
          <w:color w:val="auto"/>
          <w:kern w:val="0"/>
          <w:highlight w:val="none"/>
        </w:rPr>
      </w:pPr>
      <w:r>
        <w:rPr>
          <w:rFonts w:hint="eastAsia" w:hAnsi="宋体" w:cs="宋体"/>
          <w:color w:val="auto"/>
          <w:highlight w:val="none"/>
        </w:rPr>
        <w:t>工程保修期为：</w:t>
      </w:r>
      <w:r>
        <w:rPr>
          <w:color w:val="auto"/>
          <w:kern w:val="0"/>
          <w:highlight w:val="none"/>
          <w:u w:val="single"/>
        </w:rPr>
        <w:t xml:space="preserve"> </w:t>
      </w:r>
      <w:r>
        <w:rPr>
          <w:rStyle w:val="24"/>
          <w:rFonts w:hint="eastAsia" w:ascii="宋体" w:hAnsi="宋体" w:eastAsia="宋体" w:cs="宋体"/>
          <w:color w:val="auto"/>
          <w:kern w:val="0"/>
          <w:highlight w:val="none"/>
          <w:u w:val="single"/>
        </w:rPr>
        <w:t>按国家有关规定</w:t>
      </w:r>
      <w:r>
        <w:rPr>
          <w:color w:val="auto"/>
          <w:kern w:val="0"/>
          <w:highlight w:val="none"/>
          <w:u w:val="single"/>
        </w:rPr>
        <w:t xml:space="preserve">     </w:t>
      </w:r>
      <w:r>
        <w:rPr>
          <w:rFonts w:hint="eastAsia" w:hAnsi="宋体" w:cs="宋体"/>
          <w:color w:val="auto"/>
          <w:kern w:val="0"/>
          <w:highlight w:val="none"/>
        </w:rPr>
        <w:t>。</w:t>
      </w:r>
    </w:p>
    <w:p w14:paraId="067DDB27">
      <w:pPr>
        <w:spacing w:line="360" w:lineRule="auto"/>
        <w:ind w:firstLine="409" w:firstLineChars="195"/>
        <w:jc w:val="left"/>
        <w:rPr>
          <w:color w:val="auto"/>
          <w:kern w:val="0"/>
          <w:highlight w:val="none"/>
          <w:u w:val="single"/>
        </w:rPr>
      </w:pPr>
      <w:r>
        <w:rPr>
          <w:rFonts w:hint="eastAsia" w:ascii="宋体" w:hAnsi="宋体" w:cs="宋体"/>
          <w:color w:val="auto"/>
          <w:highlight w:val="none"/>
        </w:rPr>
        <w:t>工程保修书具体内容见合同附件2。</w:t>
      </w:r>
    </w:p>
    <w:p w14:paraId="6F822F52">
      <w:pPr>
        <w:spacing w:line="360" w:lineRule="auto"/>
        <w:ind w:firstLine="409" w:firstLineChars="195"/>
        <w:jc w:val="left"/>
        <w:rPr>
          <w:color w:val="auto"/>
          <w:highlight w:val="none"/>
        </w:rPr>
      </w:pPr>
      <w:r>
        <w:rPr>
          <w:color w:val="auto"/>
          <w:highlight w:val="none"/>
        </w:rPr>
        <w:t xml:space="preserve">15.4.3 </w:t>
      </w:r>
      <w:r>
        <w:rPr>
          <w:rFonts w:hint="eastAsia" w:hAnsi="宋体" w:cs="宋体"/>
          <w:color w:val="auto"/>
          <w:highlight w:val="none"/>
        </w:rPr>
        <w:t>修复通知</w:t>
      </w:r>
    </w:p>
    <w:p w14:paraId="48130DCF">
      <w:pPr>
        <w:spacing w:line="360" w:lineRule="auto"/>
        <w:ind w:firstLine="409" w:firstLineChars="195"/>
        <w:jc w:val="left"/>
        <w:rPr>
          <w:color w:val="auto"/>
          <w:kern w:val="0"/>
          <w:highlight w:val="none"/>
          <w:u w:val="single"/>
        </w:rPr>
      </w:pPr>
      <w:r>
        <w:rPr>
          <w:rFonts w:hint="eastAsia" w:hAnsi="宋体" w:cs="宋体"/>
          <w:color w:val="auto"/>
          <w:kern w:val="0"/>
          <w:highlight w:val="none"/>
        </w:rPr>
        <w:t>承包人收到保修通知并到达工程现场的合理时间：</w:t>
      </w:r>
      <w:r>
        <w:rPr>
          <w:rStyle w:val="24"/>
          <w:rFonts w:hint="eastAsia" w:ascii="宋体" w:hAnsi="宋体" w:eastAsia="宋体" w:cs="宋体"/>
          <w:color w:val="auto"/>
          <w:kern w:val="0"/>
          <w:highlight w:val="none"/>
          <w:u w:val="single"/>
        </w:rPr>
        <w:t>48小时内</w:t>
      </w:r>
      <w:r>
        <w:rPr>
          <w:color w:val="auto"/>
          <w:kern w:val="0"/>
          <w:highlight w:val="none"/>
          <w:u w:val="single"/>
        </w:rPr>
        <w:t xml:space="preserve">     </w:t>
      </w:r>
      <w:r>
        <w:rPr>
          <w:rFonts w:hint="eastAsia" w:hAnsi="宋体" w:cs="宋体"/>
          <w:color w:val="auto"/>
          <w:kern w:val="0"/>
          <w:highlight w:val="none"/>
        </w:rPr>
        <w:t>。</w:t>
      </w:r>
    </w:p>
    <w:bookmarkEnd w:id="1192"/>
    <w:bookmarkEnd w:id="1193"/>
    <w:bookmarkEnd w:id="1194"/>
    <w:bookmarkEnd w:id="1195"/>
    <w:p w14:paraId="2EC6068F">
      <w:pPr>
        <w:spacing w:line="360" w:lineRule="auto"/>
        <w:outlineLvl w:val="9"/>
        <w:rPr>
          <w:color w:val="auto"/>
          <w:highlight w:val="none"/>
        </w:rPr>
      </w:pPr>
      <w:bookmarkStart w:id="1242" w:name="_Toc1360137061"/>
      <w:bookmarkStart w:id="1243" w:name="_Toc373478413"/>
      <w:bookmarkStart w:id="1244" w:name="_Toc407135269"/>
      <w:bookmarkStart w:id="1245" w:name="_Toc78449855"/>
      <w:bookmarkStart w:id="1246" w:name="_Toc389065331"/>
      <w:bookmarkStart w:id="1247" w:name="_Toc3143"/>
      <w:bookmarkStart w:id="1248" w:name="_Toc351203648"/>
      <w:bookmarkStart w:id="1249" w:name="_Toc373227766"/>
      <w:bookmarkStart w:id="1250" w:name="_Toc280868717"/>
      <w:bookmarkStart w:id="1251" w:name="_Toc280868718"/>
      <w:r>
        <w:rPr>
          <w:color w:val="auto"/>
          <w:highlight w:val="none"/>
        </w:rPr>
        <w:t xml:space="preserve">16. </w:t>
      </w:r>
      <w:r>
        <w:rPr>
          <w:rFonts w:hint="eastAsia" w:hAnsi="宋体" w:cs="黑体"/>
          <w:color w:val="auto"/>
          <w:highlight w:val="none"/>
        </w:rPr>
        <w:t>违约</w:t>
      </w:r>
      <w:bookmarkEnd w:id="1242"/>
      <w:bookmarkEnd w:id="1243"/>
      <w:bookmarkEnd w:id="1244"/>
      <w:bookmarkEnd w:id="1245"/>
      <w:bookmarkEnd w:id="1246"/>
      <w:bookmarkEnd w:id="1247"/>
      <w:bookmarkEnd w:id="1248"/>
      <w:bookmarkEnd w:id="1249"/>
    </w:p>
    <w:p w14:paraId="1EF8082D">
      <w:pPr>
        <w:spacing w:line="360" w:lineRule="auto"/>
        <w:outlineLvl w:val="9"/>
        <w:rPr>
          <w:color w:val="auto"/>
          <w:highlight w:val="none"/>
        </w:rPr>
      </w:pPr>
      <w:bookmarkStart w:id="1252" w:name="_Toc7570"/>
      <w:bookmarkStart w:id="1253" w:name="_Toc1973395665"/>
      <w:bookmarkStart w:id="1254" w:name="_Toc19236"/>
      <w:bookmarkStart w:id="1255" w:name="_Toc78449856"/>
      <w:bookmarkStart w:id="1256" w:name="_Toc389065332"/>
      <w:bookmarkStart w:id="1257" w:name="_Toc373478414"/>
      <w:bookmarkStart w:id="1258" w:name="_Toc407135270"/>
      <w:bookmarkStart w:id="1259" w:name="_Toc373227767"/>
      <w:r>
        <w:rPr>
          <w:color w:val="auto"/>
          <w:highlight w:val="none"/>
        </w:rPr>
        <w:t xml:space="preserve">16.1 </w:t>
      </w:r>
      <w:r>
        <w:rPr>
          <w:rFonts w:hint="eastAsia" w:hAnsi="宋体" w:cs="黑体"/>
          <w:color w:val="auto"/>
          <w:highlight w:val="none"/>
        </w:rPr>
        <w:t>发包人违约</w:t>
      </w:r>
      <w:bookmarkEnd w:id="1252"/>
      <w:bookmarkEnd w:id="1253"/>
      <w:bookmarkEnd w:id="1254"/>
      <w:bookmarkEnd w:id="1255"/>
      <w:bookmarkEnd w:id="1256"/>
      <w:bookmarkEnd w:id="1257"/>
      <w:bookmarkEnd w:id="1258"/>
      <w:bookmarkEnd w:id="1259"/>
    </w:p>
    <w:p w14:paraId="642627DC">
      <w:pPr>
        <w:spacing w:line="360" w:lineRule="auto"/>
        <w:ind w:firstLine="420" w:firstLineChars="200"/>
        <w:jc w:val="left"/>
        <w:rPr>
          <w:color w:val="auto"/>
          <w:highlight w:val="none"/>
        </w:rPr>
      </w:pPr>
      <w:r>
        <w:rPr>
          <w:color w:val="auto"/>
          <w:highlight w:val="none"/>
        </w:rPr>
        <w:t>16.1.1</w:t>
      </w:r>
      <w:r>
        <w:rPr>
          <w:rFonts w:hint="eastAsia" w:hAnsi="宋体" w:cs="宋体"/>
          <w:color w:val="auto"/>
          <w:highlight w:val="none"/>
        </w:rPr>
        <w:t>发包人违约的情形</w:t>
      </w:r>
    </w:p>
    <w:p w14:paraId="302F666C">
      <w:pPr>
        <w:spacing w:line="360" w:lineRule="auto"/>
        <w:ind w:firstLine="420" w:firstLineChars="200"/>
        <w:jc w:val="left"/>
        <w:rPr>
          <w:rFonts w:hAnsi="宋体"/>
          <w:color w:val="auto"/>
          <w:kern w:val="0"/>
          <w:highlight w:val="none"/>
        </w:rPr>
      </w:pPr>
      <w:r>
        <w:rPr>
          <w:rFonts w:hint="eastAsia" w:hAnsi="宋体" w:cs="宋体"/>
          <w:color w:val="auto"/>
          <w:kern w:val="0"/>
          <w:highlight w:val="none"/>
        </w:rPr>
        <w:t>发包人违约的其他情形：</w:t>
      </w:r>
      <w:r>
        <w:rPr>
          <w:color w:val="auto"/>
          <w:kern w:val="0"/>
          <w:highlight w:val="none"/>
          <w:u w:val="single"/>
        </w:rPr>
        <w:t xml:space="preserve">    </w:t>
      </w:r>
      <w:r>
        <w:rPr>
          <w:rFonts w:hint="eastAsia" w:hAnsi="宋体" w:cs="宋体"/>
          <w:color w:val="auto"/>
          <w:kern w:val="0"/>
          <w:highlight w:val="none"/>
        </w:rPr>
        <w:t>。</w:t>
      </w:r>
    </w:p>
    <w:p w14:paraId="0B9FF1C5">
      <w:pPr>
        <w:spacing w:line="360" w:lineRule="auto"/>
        <w:ind w:firstLine="420" w:firstLineChars="200"/>
        <w:jc w:val="left"/>
        <w:outlineLvl w:val="9"/>
        <w:rPr>
          <w:color w:val="auto"/>
          <w:kern w:val="0"/>
          <w:highlight w:val="none"/>
        </w:rPr>
      </w:pPr>
      <w:r>
        <w:rPr>
          <w:color w:val="auto"/>
          <w:kern w:val="0"/>
          <w:highlight w:val="none"/>
        </w:rPr>
        <w:t xml:space="preserve">16.1.2 </w:t>
      </w:r>
      <w:r>
        <w:rPr>
          <w:rFonts w:hint="eastAsia" w:hAnsi="宋体" w:cs="宋体"/>
          <w:color w:val="auto"/>
          <w:kern w:val="0"/>
          <w:highlight w:val="none"/>
        </w:rPr>
        <w:t>发包人违约的责任</w:t>
      </w:r>
    </w:p>
    <w:p w14:paraId="0FF87F08">
      <w:pPr>
        <w:spacing w:line="360" w:lineRule="auto"/>
        <w:ind w:firstLine="420" w:firstLineChars="200"/>
        <w:jc w:val="left"/>
        <w:rPr>
          <w:color w:val="auto"/>
          <w:kern w:val="0"/>
          <w:highlight w:val="none"/>
        </w:rPr>
      </w:pPr>
      <w:r>
        <w:rPr>
          <w:rFonts w:hint="eastAsia" w:hAnsi="宋体" w:cs="宋体"/>
          <w:color w:val="auto"/>
          <w:kern w:val="0"/>
          <w:highlight w:val="none"/>
        </w:rPr>
        <w:t>发包人违约责任的承担方式和计算方法：</w:t>
      </w:r>
    </w:p>
    <w:p w14:paraId="48C8339A">
      <w:pPr>
        <w:spacing w:line="360" w:lineRule="auto"/>
        <w:ind w:firstLine="420" w:firstLineChars="200"/>
        <w:jc w:val="left"/>
        <w:rPr>
          <w:color w:val="auto"/>
          <w:kern w:val="0"/>
          <w:highlight w:val="none"/>
          <w:u w:val="singl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）因发包人原因未能在计划开工日期前</w:t>
      </w:r>
      <w:r>
        <w:rPr>
          <w:color w:val="auto"/>
          <w:kern w:val="0"/>
          <w:highlight w:val="none"/>
        </w:rPr>
        <w:t>7</w:t>
      </w:r>
      <w:r>
        <w:rPr>
          <w:rFonts w:hint="eastAsia" w:hAnsi="宋体" w:cs="宋体"/>
          <w:color w:val="auto"/>
          <w:kern w:val="0"/>
          <w:highlight w:val="none"/>
        </w:rPr>
        <w:t>天内下达开工通知的违约责任：</w:t>
      </w:r>
      <w:r>
        <w:rPr>
          <w:rStyle w:val="24"/>
          <w:rFonts w:hint="eastAsia" w:ascii="宋体" w:hAnsi="宋体" w:eastAsia="宋体" w:cs="宋体"/>
          <w:color w:val="auto"/>
          <w:kern w:val="0"/>
          <w:highlight w:val="none"/>
          <w:u w:val="single"/>
        </w:rPr>
        <w:t>工期顺延</w:t>
      </w:r>
      <w:r>
        <w:rPr>
          <w:color w:val="auto"/>
          <w:kern w:val="0"/>
          <w:highlight w:val="none"/>
          <w:u w:val="single"/>
        </w:rPr>
        <w:t xml:space="preserve">  </w:t>
      </w:r>
      <w:r>
        <w:rPr>
          <w:rFonts w:hint="eastAsia" w:hAnsi="宋体" w:cs="宋体"/>
          <w:color w:val="auto"/>
          <w:kern w:val="0"/>
          <w:highlight w:val="none"/>
        </w:rPr>
        <w:t>。</w:t>
      </w:r>
    </w:p>
    <w:p w14:paraId="440820EF">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）因发包人原因未能按合同约定支付合同价款的违约责任：</w:t>
      </w:r>
      <w:r>
        <w:rPr>
          <w:color w:val="auto"/>
          <w:kern w:val="0"/>
          <w:highlight w:val="none"/>
          <w:u w:val="single"/>
        </w:rPr>
        <w:t xml:space="preserve">    </w:t>
      </w:r>
      <w:r>
        <w:rPr>
          <w:rStyle w:val="24"/>
          <w:rFonts w:ascii="Times New Roman" w:hAnsi="Times New Roman" w:eastAsia="宋体" w:cs="Times New Roman"/>
          <w:color w:val="auto"/>
          <w:kern w:val="0"/>
          <w:highlight w:val="none"/>
          <w:u w:val="single"/>
        </w:rPr>
        <w:t xml:space="preserve"> </w:t>
      </w:r>
      <w:r>
        <w:rPr>
          <w:rStyle w:val="24"/>
          <w:rFonts w:hint="eastAsia" w:ascii="Times New Roman" w:hAnsi="Times New Roman" w:eastAsia="宋体" w:cs="Times New Roman"/>
          <w:color w:val="auto"/>
          <w:kern w:val="0"/>
          <w:highlight w:val="none"/>
          <w:u w:val="single"/>
          <w:lang w:val="en-US" w:eastAsia="zh-CN"/>
        </w:rPr>
        <w:t>/</w:t>
      </w:r>
      <w:r>
        <w:rPr>
          <w:color w:val="auto"/>
          <w:kern w:val="0"/>
          <w:highlight w:val="none"/>
          <w:u w:val="single"/>
        </w:rPr>
        <w:t xml:space="preserve">          </w:t>
      </w:r>
      <w:r>
        <w:rPr>
          <w:rFonts w:hint="eastAsia" w:hAnsi="宋体" w:cs="宋体"/>
          <w:color w:val="auto"/>
          <w:kern w:val="0"/>
          <w:highlight w:val="none"/>
        </w:rPr>
        <w:t>。</w:t>
      </w:r>
    </w:p>
    <w:p w14:paraId="59DBF5A2">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3</w:t>
      </w:r>
      <w:r>
        <w:rPr>
          <w:rFonts w:hint="eastAsia" w:hAnsi="宋体" w:cs="宋体"/>
          <w:color w:val="auto"/>
          <w:kern w:val="0"/>
          <w:highlight w:val="none"/>
        </w:rPr>
        <w:t>）发包人违反第</w:t>
      </w:r>
      <w:r>
        <w:rPr>
          <w:color w:val="auto"/>
          <w:kern w:val="0"/>
          <w:highlight w:val="none"/>
        </w:rPr>
        <w:t>10.1</w:t>
      </w:r>
      <w:r>
        <w:rPr>
          <w:rFonts w:hint="eastAsia" w:hAnsi="宋体" w:cs="宋体"/>
          <w:color w:val="auto"/>
          <w:kern w:val="0"/>
          <w:highlight w:val="none"/>
        </w:rPr>
        <w:t>款〔变更的范围〕第（</w:t>
      </w:r>
      <w:r>
        <w:rPr>
          <w:color w:val="auto"/>
          <w:kern w:val="0"/>
          <w:highlight w:val="none"/>
        </w:rPr>
        <w:t>2</w:t>
      </w:r>
      <w:r>
        <w:rPr>
          <w:rFonts w:hint="eastAsia" w:hAnsi="宋体" w:cs="宋体"/>
          <w:color w:val="auto"/>
          <w:kern w:val="0"/>
          <w:highlight w:val="none"/>
        </w:rPr>
        <w:t>）项约定，自行实施被取消的工作或转由他人实施的违约责任：</w:t>
      </w:r>
      <w:r>
        <w:rPr>
          <w:color w:val="auto"/>
          <w:kern w:val="0"/>
          <w:highlight w:val="none"/>
          <w:u w:val="single"/>
        </w:rPr>
        <w:t xml:space="preserve">          </w:t>
      </w:r>
      <w:r>
        <w:rPr>
          <w:rStyle w:val="24"/>
          <w:rFonts w:ascii="Times New Roman" w:hAnsi="Times New Roman" w:eastAsia="宋体" w:cs="Times New Roman"/>
          <w:color w:val="auto"/>
          <w:kern w:val="0"/>
          <w:highlight w:val="none"/>
          <w:u w:val="single"/>
        </w:rPr>
        <w:t xml:space="preserve"> </w:t>
      </w:r>
      <w:r>
        <w:rPr>
          <w:rStyle w:val="24"/>
          <w:rFonts w:hint="eastAsia" w:ascii="Times New Roman" w:hAnsi="Times New Roman" w:eastAsia="宋体" w:cs="Times New Roman"/>
          <w:color w:val="auto"/>
          <w:kern w:val="0"/>
          <w:highlight w:val="none"/>
          <w:u w:val="single"/>
          <w:lang w:val="en-US" w:eastAsia="zh-CN"/>
        </w:rPr>
        <w:t>/</w:t>
      </w:r>
      <w:r>
        <w:rPr>
          <w:color w:val="auto"/>
          <w:kern w:val="0"/>
          <w:highlight w:val="none"/>
          <w:u w:val="single"/>
        </w:rPr>
        <w:t xml:space="preserve">                               </w:t>
      </w:r>
      <w:r>
        <w:rPr>
          <w:rFonts w:hint="eastAsia" w:hAnsi="宋体" w:cs="宋体"/>
          <w:color w:val="auto"/>
          <w:kern w:val="0"/>
          <w:highlight w:val="none"/>
        </w:rPr>
        <w:t>。</w:t>
      </w:r>
    </w:p>
    <w:p w14:paraId="59CFB318">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4</w:t>
      </w:r>
      <w:r>
        <w:rPr>
          <w:rFonts w:hint="eastAsia" w:hAnsi="宋体" w:cs="宋体"/>
          <w:color w:val="auto"/>
          <w:kern w:val="0"/>
          <w:highlight w:val="none"/>
        </w:rPr>
        <w:t>）发包人提供的材料、工程设备的规格、数量或质量不符合合同约定，或因发包人原因导致交货日期延误或交货地点变更等情况的违约责任：</w:t>
      </w:r>
      <w:r>
        <w:rPr>
          <w:color w:val="auto"/>
          <w:kern w:val="0"/>
          <w:highlight w:val="none"/>
          <w:u w:val="single"/>
        </w:rPr>
        <w:t xml:space="preserve">   </w:t>
      </w:r>
      <w:r>
        <w:rPr>
          <w:rStyle w:val="24"/>
          <w:rFonts w:hint="eastAsia" w:ascii="宋体" w:hAnsi="宋体" w:eastAsia="宋体" w:cs="宋体"/>
          <w:color w:val="auto"/>
          <w:kern w:val="0"/>
          <w:highlight w:val="none"/>
          <w:u w:val="single"/>
        </w:rPr>
        <w:t>工期顺延</w:t>
      </w:r>
      <w:r>
        <w:rPr>
          <w:color w:val="auto"/>
          <w:kern w:val="0"/>
          <w:highlight w:val="none"/>
          <w:u w:val="single"/>
        </w:rPr>
        <w:t xml:space="preserve">  </w:t>
      </w:r>
      <w:r>
        <w:rPr>
          <w:rFonts w:hint="eastAsia" w:hAnsi="宋体" w:cs="宋体"/>
          <w:color w:val="auto"/>
          <w:kern w:val="0"/>
          <w:highlight w:val="none"/>
        </w:rPr>
        <w:t>。</w:t>
      </w:r>
    </w:p>
    <w:p w14:paraId="63DC5FC1">
      <w:pPr>
        <w:spacing w:line="360" w:lineRule="auto"/>
        <w:ind w:firstLine="420" w:firstLineChars="200"/>
        <w:jc w:val="left"/>
        <w:rPr>
          <w:color w:val="auto"/>
          <w:kern w:val="0"/>
          <w:highlight w:val="none"/>
          <w:u w:val="single"/>
        </w:rPr>
      </w:pPr>
      <w:r>
        <w:rPr>
          <w:rFonts w:hint="eastAsia" w:hAnsi="宋体" w:cs="宋体"/>
          <w:color w:val="auto"/>
          <w:kern w:val="0"/>
          <w:highlight w:val="none"/>
        </w:rPr>
        <w:t>（</w:t>
      </w:r>
      <w:r>
        <w:rPr>
          <w:color w:val="auto"/>
          <w:kern w:val="0"/>
          <w:highlight w:val="none"/>
        </w:rPr>
        <w:t>5</w:t>
      </w:r>
      <w:r>
        <w:rPr>
          <w:rFonts w:hint="eastAsia" w:hAnsi="宋体" w:cs="宋体"/>
          <w:color w:val="auto"/>
          <w:kern w:val="0"/>
          <w:highlight w:val="none"/>
        </w:rPr>
        <w:t>）因发包人违反合同约定造成暂停施工的违约责任：</w:t>
      </w:r>
      <w:r>
        <w:rPr>
          <w:color w:val="auto"/>
          <w:kern w:val="0"/>
          <w:highlight w:val="none"/>
          <w:u w:val="single"/>
        </w:rPr>
        <w:t xml:space="preserve">  </w:t>
      </w:r>
      <w:r>
        <w:rPr>
          <w:rStyle w:val="24"/>
          <w:rFonts w:hint="eastAsia" w:ascii="宋体" w:hAnsi="宋体" w:eastAsia="宋体" w:cs="宋体"/>
          <w:color w:val="auto"/>
          <w:kern w:val="0"/>
          <w:highlight w:val="none"/>
          <w:u w:val="single"/>
        </w:rPr>
        <w:t>工期顺延</w:t>
      </w:r>
      <w:r>
        <w:rPr>
          <w:color w:val="auto"/>
          <w:kern w:val="0"/>
          <w:highlight w:val="none"/>
          <w:u w:val="single"/>
        </w:rPr>
        <w:t xml:space="preserve">    </w:t>
      </w:r>
      <w:r>
        <w:rPr>
          <w:rFonts w:hint="eastAsia" w:hAnsi="宋体" w:cs="宋体"/>
          <w:color w:val="auto"/>
          <w:kern w:val="0"/>
          <w:highlight w:val="none"/>
        </w:rPr>
        <w:t>。</w:t>
      </w:r>
    </w:p>
    <w:p w14:paraId="15A3EC3F">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6</w:t>
      </w:r>
      <w:r>
        <w:rPr>
          <w:rFonts w:hint="eastAsia" w:hAnsi="宋体" w:cs="宋体"/>
          <w:color w:val="auto"/>
          <w:kern w:val="0"/>
          <w:highlight w:val="none"/>
        </w:rPr>
        <w:t>）发包人无正当理由没有在约定期限内发出复工指示，导致承包人无法复工的违约责任：</w:t>
      </w:r>
      <w:r>
        <w:rPr>
          <w:rStyle w:val="24"/>
          <w:rFonts w:ascii="Calibri" w:hAnsi="Calibri" w:eastAsia="宋体" w:cs="Times New Roman"/>
          <w:color w:val="auto"/>
          <w:kern w:val="0"/>
          <w:highlight w:val="none"/>
          <w:u w:val="single"/>
        </w:rPr>
        <w:t>工期相应顺延</w:t>
      </w:r>
      <w:r>
        <w:rPr>
          <w:color w:val="auto"/>
          <w:kern w:val="0"/>
          <w:highlight w:val="none"/>
          <w:u w:val="single"/>
        </w:rPr>
        <w:t xml:space="preserve">  </w:t>
      </w:r>
      <w:r>
        <w:rPr>
          <w:rFonts w:hint="eastAsia" w:hAnsi="宋体" w:cs="宋体"/>
          <w:color w:val="auto"/>
          <w:kern w:val="0"/>
          <w:highlight w:val="none"/>
        </w:rPr>
        <w:t>。</w:t>
      </w:r>
    </w:p>
    <w:p w14:paraId="5E81D1D8">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7</w:t>
      </w:r>
      <w:r>
        <w:rPr>
          <w:rFonts w:hint="eastAsia" w:hAnsi="宋体" w:cs="宋体"/>
          <w:color w:val="auto"/>
          <w:kern w:val="0"/>
          <w:highlight w:val="none"/>
        </w:rPr>
        <w:t>）其他：</w:t>
      </w:r>
      <w:r>
        <w:rPr>
          <w:rStyle w:val="24"/>
          <w:rFonts w:ascii="Calibri" w:hAnsi="Calibri" w:eastAsia="宋体" w:cs="Times New Roman"/>
          <w:color w:val="auto"/>
          <w:kern w:val="0"/>
          <w:highlight w:val="none"/>
          <w:u w:val="single"/>
        </w:rPr>
        <w:t>工期相应顺延</w:t>
      </w:r>
      <w:r>
        <w:rPr>
          <w:rStyle w:val="24"/>
          <w:rFonts w:ascii="Times New Roman" w:hAnsi="Times New Roman" w:eastAsia="宋体" w:cs="Times New Roman"/>
          <w:color w:val="auto"/>
          <w:kern w:val="0"/>
          <w:highlight w:val="none"/>
          <w:u w:val="single"/>
        </w:rPr>
        <w:t xml:space="preserve"> </w:t>
      </w:r>
      <w:r>
        <w:rPr>
          <w:color w:val="auto"/>
          <w:kern w:val="0"/>
          <w:highlight w:val="none"/>
          <w:u w:val="single"/>
        </w:rPr>
        <w:t xml:space="preserve">  </w:t>
      </w:r>
      <w:r>
        <w:rPr>
          <w:rFonts w:hint="eastAsia" w:hAnsi="宋体" w:cs="宋体"/>
          <w:color w:val="auto"/>
          <w:kern w:val="0"/>
          <w:highlight w:val="none"/>
        </w:rPr>
        <w:t>。</w:t>
      </w:r>
    </w:p>
    <w:p w14:paraId="1B5962A3">
      <w:pPr>
        <w:spacing w:line="360" w:lineRule="auto"/>
        <w:ind w:firstLine="420" w:firstLineChars="200"/>
        <w:jc w:val="left"/>
        <w:rPr>
          <w:color w:val="auto"/>
          <w:highlight w:val="none"/>
        </w:rPr>
      </w:pPr>
      <w:r>
        <w:rPr>
          <w:color w:val="auto"/>
          <w:highlight w:val="none"/>
        </w:rPr>
        <w:t xml:space="preserve">16.1.3 </w:t>
      </w:r>
      <w:r>
        <w:rPr>
          <w:rFonts w:hint="eastAsia" w:hAnsi="宋体" w:cs="宋体"/>
          <w:color w:val="auto"/>
          <w:highlight w:val="none"/>
        </w:rPr>
        <w:t>因发包人违约解除合同</w:t>
      </w:r>
    </w:p>
    <w:p w14:paraId="34B5A67B">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承包人按</w:t>
      </w:r>
      <w:r>
        <w:rPr>
          <w:color w:val="auto"/>
          <w:kern w:val="0"/>
          <w:highlight w:val="none"/>
        </w:rPr>
        <w:t>16.1.1</w:t>
      </w:r>
      <w:r>
        <w:rPr>
          <w:rFonts w:hint="eastAsia" w:hAnsi="宋体" w:cs="宋体"/>
          <w:color w:val="auto"/>
          <w:kern w:val="0"/>
          <w:highlight w:val="none"/>
        </w:rPr>
        <w:t>项〔发包人违约的情形〕约定暂停施工满</w:t>
      </w:r>
      <w:r>
        <w:rPr>
          <w:color w:val="auto"/>
          <w:kern w:val="0"/>
          <w:highlight w:val="none"/>
          <w:u w:val="single"/>
        </w:rPr>
        <w:t xml:space="preserve"> </w:t>
      </w:r>
      <w:r>
        <w:rPr>
          <w:rStyle w:val="24"/>
          <w:rFonts w:hint="eastAsia" w:ascii="Times New Roman" w:hAnsi="Times New Roman" w:eastAsia="宋体" w:cs="Times New Roman"/>
          <w:color w:val="auto"/>
          <w:kern w:val="0"/>
          <w:highlight w:val="none"/>
          <w:u w:val="single"/>
          <w:lang w:val="en-US" w:eastAsia="zh-CN"/>
        </w:rPr>
        <w:t>90</w:t>
      </w:r>
      <w:r>
        <w:rPr>
          <w:color w:val="auto"/>
          <w:kern w:val="0"/>
          <w:highlight w:val="none"/>
          <w:u w:val="single"/>
        </w:rPr>
        <w:t xml:space="preserve">   </w:t>
      </w:r>
      <w:r>
        <w:rPr>
          <w:rFonts w:hint="eastAsia" w:hAnsi="宋体" w:cs="宋体"/>
          <w:color w:val="auto"/>
          <w:kern w:val="0"/>
          <w:highlight w:val="none"/>
        </w:rPr>
        <w:t>天后发包人仍不纠正其违约行为并致使合同目的不能实现的，承包人有权解除合同。</w:t>
      </w:r>
    </w:p>
    <w:p w14:paraId="5FE63775">
      <w:pPr>
        <w:spacing w:line="360" w:lineRule="auto"/>
        <w:outlineLvl w:val="9"/>
        <w:rPr>
          <w:color w:val="auto"/>
          <w:highlight w:val="none"/>
        </w:rPr>
      </w:pPr>
      <w:bookmarkStart w:id="1260" w:name="_Toc25155"/>
      <w:bookmarkStart w:id="1261" w:name="_Toc389065333"/>
      <w:bookmarkStart w:id="1262" w:name="_Toc373478415"/>
      <w:bookmarkStart w:id="1263" w:name="_Toc373227768"/>
      <w:bookmarkStart w:id="1264" w:name="_Toc61078193"/>
      <w:bookmarkStart w:id="1265" w:name="_Toc28597"/>
      <w:bookmarkStart w:id="1266" w:name="_Toc78449857"/>
      <w:bookmarkStart w:id="1267" w:name="_Toc407135271"/>
      <w:r>
        <w:rPr>
          <w:color w:val="auto"/>
          <w:highlight w:val="none"/>
        </w:rPr>
        <w:t xml:space="preserve">16.2 </w:t>
      </w:r>
      <w:r>
        <w:rPr>
          <w:rFonts w:hint="eastAsia" w:hAnsi="宋体" w:cs="黑体"/>
          <w:color w:val="auto"/>
          <w:highlight w:val="none"/>
        </w:rPr>
        <w:t>承包人违约</w:t>
      </w:r>
      <w:bookmarkEnd w:id="1260"/>
      <w:bookmarkEnd w:id="1261"/>
      <w:bookmarkEnd w:id="1262"/>
      <w:bookmarkEnd w:id="1263"/>
      <w:bookmarkEnd w:id="1264"/>
      <w:bookmarkEnd w:id="1265"/>
      <w:bookmarkEnd w:id="1266"/>
      <w:bookmarkEnd w:id="1267"/>
    </w:p>
    <w:p w14:paraId="34F10A37">
      <w:pPr>
        <w:spacing w:line="360" w:lineRule="auto"/>
        <w:ind w:firstLine="420" w:firstLineChars="200"/>
        <w:jc w:val="left"/>
        <w:rPr>
          <w:color w:val="auto"/>
          <w:kern w:val="0"/>
          <w:highlight w:val="none"/>
        </w:rPr>
      </w:pPr>
      <w:r>
        <w:rPr>
          <w:color w:val="auto"/>
          <w:kern w:val="0"/>
          <w:highlight w:val="none"/>
        </w:rPr>
        <w:t xml:space="preserve">16.2.1 </w:t>
      </w:r>
      <w:r>
        <w:rPr>
          <w:rFonts w:hint="eastAsia" w:hAnsi="宋体" w:cs="宋体"/>
          <w:color w:val="auto"/>
          <w:kern w:val="0"/>
          <w:highlight w:val="none"/>
        </w:rPr>
        <w:t>承包人违约的情形</w:t>
      </w:r>
    </w:p>
    <w:p w14:paraId="1C41A3CC">
      <w:pPr>
        <w:spacing w:line="360" w:lineRule="auto"/>
        <w:ind w:firstLine="420" w:firstLineChars="200"/>
        <w:jc w:val="left"/>
        <w:rPr>
          <w:color w:val="auto"/>
          <w:kern w:val="0"/>
          <w:highlight w:val="none"/>
          <w:u w:val="single"/>
        </w:rPr>
      </w:pPr>
      <w:r>
        <w:rPr>
          <w:rFonts w:hint="eastAsia" w:hAnsi="宋体" w:cs="宋体"/>
          <w:color w:val="auto"/>
          <w:kern w:val="0"/>
          <w:highlight w:val="none"/>
        </w:rPr>
        <w:t>承包人违约的其他情形：</w:t>
      </w:r>
      <w:r>
        <w:rPr>
          <w:color w:val="auto"/>
          <w:kern w:val="0"/>
          <w:highlight w:val="none"/>
          <w:u w:val="single"/>
        </w:rPr>
        <w:t xml:space="preserve">    </w:t>
      </w:r>
      <w:r>
        <w:rPr>
          <w:rStyle w:val="24"/>
          <w:rFonts w:ascii="Times New Roman" w:hAnsi="Times New Roman" w:eastAsia="宋体" w:cs="Times New Roman"/>
          <w:color w:val="auto"/>
          <w:kern w:val="0"/>
          <w:highlight w:val="none"/>
          <w:u w:val="single"/>
        </w:rPr>
        <w:t xml:space="preserve"> </w:t>
      </w:r>
      <w:r>
        <w:rPr>
          <w:rStyle w:val="24"/>
          <w:rFonts w:hint="eastAsia" w:cs="Times New Roman"/>
          <w:color w:val="auto"/>
          <w:kern w:val="0"/>
          <w:highlight w:val="none"/>
          <w:u w:val="single"/>
          <w:lang w:val="en-US" w:eastAsia="zh-CN"/>
        </w:rPr>
        <w:t>/</w:t>
      </w:r>
      <w:r>
        <w:rPr>
          <w:color w:val="auto"/>
          <w:kern w:val="0"/>
          <w:highlight w:val="none"/>
          <w:u w:val="single"/>
        </w:rPr>
        <w:t xml:space="preserve">                 </w:t>
      </w:r>
      <w:r>
        <w:rPr>
          <w:rFonts w:hint="eastAsia" w:hAnsi="宋体" w:cs="宋体"/>
          <w:color w:val="auto"/>
          <w:kern w:val="0"/>
          <w:highlight w:val="none"/>
        </w:rPr>
        <w:t>。</w:t>
      </w:r>
    </w:p>
    <w:p w14:paraId="2C738C69">
      <w:pPr>
        <w:spacing w:line="360" w:lineRule="auto"/>
        <w:ind w:firstLine="420" w:firstLineChars="200"/>
        <w:jc w:val="left"/>
        <w:outlineLvl w:val="9"/>
        <w:rPr>
          <w:color w:val="auto"/>
          <w:kern w:val="0"/>
          <w:highlight w:val="none"/>
        </w:rPr>
      </w:pPr>
      <w:r>
        <w:rPr>
          <w:color w:val="auto"/>
          <w:kern w:val="0"/>
          <w:highlight w:val="none"/>
        </w:rPr>
        <w:t>16.2.2</w:t>
      </w:r>
      <w:r>
        <w:rPr>
          <w:rFonts w:hint="eastAsia" w:hAnsi="宋体" w:cs="宋体"/>
          <w:color w:val="auto"/>
          <w:kern w:val="0"/>
          <w:highlight w:val="none"/>
        </w:rPr>
        <w:t>承包人违约的责任</w:t>
      </w:r>
    </w:p>
    <w:p w14:paraId="40C0CCF3">
      <w:pPr>
        <w:spacing w:line="360" w:lineRule="auto"/>
        <w:ind w:firstLine="420" w:firstLineChars="200"/>
        <w:jc w:val="left"/>
        <w:rPr>
          <w:color w:val="auto"/>
          <w:kern w:val="0"/>
          <w:highlight w:val="none"/>
        </w:rPr>
      </w:pPr>
      <w:r>
        <w:rPr>
          <w:rFonts w:hint="eastAsia" w:hAnsi="宋体" w:cs="宋体"/>
          <w:color w:val="auto"/>
          <w:kern w:val="0"/>
          <w:highlight w:val="none"/>
        </w:rPr>
        <w:t>承包人违约责任的承担方式和计算方法：</w:t>
      </w:r>
    </w:p>
    <w:p w14:paraId="7408DCDE">
      <w:pPr>
        <w:spacing w:line="360" w:lineRule="auto"/>
        <w:ind w:firstLine="420" w:firstLineChars="200"/>
        <w:jc w:val="left"/>
        <w:rPr>
          <w:rFonts w:hAnsi="宋体"/>
          <w:color w:val="auto"/>
          <w:kern w:val="0"/>
          <w:highlight w:val="non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）承包人有本合同通用条款第</w:t>
      </w:r>
      <w:r>
        <w:rPr>
          <w:color w:val="auto"/>
          <w:kern w:val="0"/>
          <w:highlight w:val="none"/>
        </w:rPr>
        <w:t>16.2.1</w:t>
      </w: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w:t>
      </w:r>
      <w:r>
        <w:rPr>
          <w:color w:val="auto"/>
          <w:kern w:val="0"/>
          <w:highlight w:val="none"/>
        </w:rPr>
        <w:t>3</w:t>
      </w:r>
      <w:r>
        <w:rPr>
          <w:rFonts w:hint="eastAsia" w:hAnsi="宋体" w:cs="宋体"/>
          <w:color w:val="auto"/>
          <w:kern w:val="0"/>
          <w:highlight w:val="none"/>
        </w:rPr>
        <w:t>）条内容情形的，承包人无条件返工处理，修复至工程质量要求并承担相关费用，并在发包人规定的时间内完成返工，否则发包人有权扣</w:t>
      </w:r>
      <w:r>
        <w:rPr>
          <w:rFonts w:hint="eastAsia" w:hAnsi="宋体" w:cs="宋体"/>
          <w:color w:val="auto"/>
          <w:kern w:val="0"/>
          <w:highlight w:val="none"/>
          <w:lang w:val="en-US" w:eastAsia="zh-CN"/>
        </w:rPr>
        <w:t>除</w:t>
      </w:r>
      <w:r>
        <w:rPr>
          <w:rFonts w:hint="eastAsia" w:hAnsi="宋体" w:cs="宋体"/>
          <w:color w:val="auto"/>
          <w:kern w:val="0"/>
          <w:highlight w:val="none"/>
        </w:rPr>
        <w:t>该分项工程</w:t>
      </w:r>
      <w:r>
        <w:rPr>
          <w:color w:val="auto"/>
          <w:kern w:val="0"/>
          <w:highlight w:val="none"/>
        </w:rPr>
        <w:t>10%</w:t>
      </w:r>
      <w:r>
        <w:rPr>
          <w:rFonts w:hint="eastAsia" w:hAnsi="宋体" w:cs="宋体"/>
          <w:color w:val="auto"/>
          <w:kern w:val="0"/>
          <w:highlight w:val="none"/>
        </w:rPr>
        <w:t>的工程款作为</w:t>
      </w:r>
      <w:r>
        <w:rPr>
          <w:rFonts w:hint="eastAsia" w:hAnsi="宋体" w:cs="宋体"/>
          <w:color w:val="auto"/>
          <w:kern w:val="0"/>
          <w:highlight w:val="none"/>
          <w:lang w:val="en-US" w:eastAsia="zh-CN"/>
        </w:rPr>
        <w:t>违约金</w:t>
      </w:r>
      <w:r>
        <w:rPr>
          <w:rFonts w:hint="eastAsia" w:hAnsi="宋体" w:cs="宋体"/>
          <w:color w:val="auto"/>
          <w:kern w:val="0"/>
          <w:highlight w:val="none"/>
        </w:rPr>
        <w:t>。</w:t>
      </w:r>
    </w:p>
    <w:p w14:paraId="41146008">
      <w:pPr>
        <w:spacing w:line="360" w:lineRule="auto"/>
        <w:ind w:firstLine="420" w:firstLineChars="200"/>
        <w:jc w:val="left"/>
        <w:rPr>
          <w:rFonts w:hAnsi="宋体"/>
          <w:color w:val="auto"/>
          <w:kern w:val="0"/>
          <w:highlight w:val="none"/>
        </w:rPr>
      </w:pP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）承包人有本合同通用条款第</w:t>
      </w:r>
      <w:r>
        <w:rPr>
          <w:color w:val="auto"/>
          <w:kern w:val="0"/>
          <w:highlight w:val="none"/>
        </w:rPr>
        <w:t>16.2.1</w:t>
      </w:r>
      <w:r>
        <w:rPr>
          <w:rFonts w:hint="eastAsia" w:hAnsi="宋体" w:cs="宋体"/>
          <w:color w:val="auto"/>
          <w:kern w:val="0"/>
          <w:highlight w:val="none"/>
        </w:rPr>
        <w:t>（</w:t>
      </w:r>
      <w:r>
        <w:rPr>
          <w:color w:val="auto"/>
          <w:kern w:val="0"/>
          <w:highlight w:val="none"/>
        </w:rPr>
        <w:t>6</w:t>
      </w:r>
      <w:r>
        <w:rPr>
          <w:rFonts w:hint="eastAsia" w:hAnsi="宋体" w:cs="宋体"/>
          <w:color w:val="auto"/>
          <w:kern w:val="0"/>
          <w:highlight w:val="none"/>
        </w:rPr>
        <w:t>）条情形的，或经监理人检验认为修复质量不合格而承包人拒绝再进行修补的，发包人将扣除承包人全部质量保证金。</w:t>
      </w:r>
    </w:p>
    <w:p w14:paraId="0583B36B">
      <w:pPr>
        <w:spacing w:line="360" w:lineRule="auto"/>
        <w:ind w:firstLine="420" w:firstLineChars="200"/>
        <w:jc w:val="left"/>
        <w:rPr>
          <w:rFonts w:hAnsi="宋体"/>
          <w:color w:val="auto"/>
          <w:kern w:val="0"/>
          <w:highlight w:val="none"/>
        </w:rPr>
      </w:pPr>
      <w:r>
        <w:rPr>
          <w:rFonts w:hint="eastAsia" w:hAnsi="宋体" w:cs="宋体"/>
          <w:color w:val="auto"/>
          <w:kern w:val="0"/>
          <w:highlight w:val="none"/>
        </w:rPr>
        <w:t>（</w:t>
      </w:r>
      <w:r>
        <w:rPr>
          <w:color w:val="auto"/>
          <w:kern w:val="0"/>
          <w:highlight w:val="none"/>
        </w:rPr>
        <w:t>3</w:t>
      </w:r>
      <w:r>
        <w:rPr>
          <w:rFonts w:hint="eastAsia" w:hAnsi="宋体" w:cs="宋体"/>
          <w:color w:val="auto"/>
          <w:kern w:val="0"/>
          <w:highlight w:val="none"/>
        </w:rPr>
        <w:t>）承包人有本专用合同条款</w:t>
      </w:r>
      <w:r>
        <w:rPr>
          <w:color w:val="auto"/>
          <w:kern w:val="0"/>
          <w:highlight w:val="none"/>
        </w:rPr>
        <w:t>3.</w:t>
      </w:r>
      <w:r>
        <w:rPr>
          <w:rFonts w:hint="eastAsia"/>
          <w:color w:val="auto"/>
          <w:kern w:val="0"/>
          <w:highlight w:val="none"/>
          <w:lang w:eastAsia="zh-CN"/>
        </w:rPr>
        <w:t>2.</w:t>
      </w:r>
      <w:r>
        <w:rPr>
          <w:color w:val="auto"/>
          <w:kern w:val="0"/>
          <w:highlight w:val="none"/>
        </w:rPr>
        <w:t>3.3</w:t>
      </w:r>
      <w:r>
        <w:rPr>
          <w:rFonts w:hint="eastAsia" w:hAnsi="宋体" w:cs="宋体"/>
          <w:color w:val="auto"/>
          <w:kern w:val="0"/>
          <w:highlight w:val="none"/>
        </w:rPr>
        <w:t>条违约责任的，发包人有权扣除承包人的违约金。违约金金额均在承包人的履约保证金及计量支付款内扣除。监理人预先下发含有</w:t>
      </w:r>
      <w:r>
        <w:rPr>
          <w:rFonts w:hint="eastAsia" w:hAnsi="宋体" w:cs="宋体"/>
          <w:color w:val="auto"/>
          <w:kern w:val="0"/>
          <w:highlight w:val="none"/>
          <w:lang w:val="en-US" w:eastAsia="zh-CN"/>
        </w:rPr>
        <w:t>扣除违约金</w:t>
      </w:r>
      <w:r>
        <w:rPr>
          <w:rFonts w:hint="eastAsia" w:hAnsi="宋体" w:cs="宋体"/>
          <w:color w:val="auto"/>
          <w:kern w:val="0"/>
          <w:highlight w:val="none"/>
        </w:rPr>
        <w:t>意向的指令，如承包人不及时采取措施纠正，则在指令下达后十五天下发</w:t>
      </w:r>
      <w:r>
        <w:rPr>
          <w:rFonts w:hint="eastAsia" w:hAnsi="宋体" w:cs="宋体"/>
          <w:color w:val="auto"/>
          <w:kern w:val="0"/>
          <w:highlight w:val="none"/>
          <w:lang w:val="en-US" w:eastAsia="zh-CN"/>
        </w:rPr>
        <w:t>扣除违约金</w:t>
      </w:r>
      <w:r>
        <w:rPr>
          <w:rFonts w:hint="eastAsia" w:hAnsi="宋体" w:cs="宋体"/>
          <w:color w:val="auto"/>
          <w:kern w:val="0"/>
          <w:highlight w:val="none"/>
        </w:rPr>
        <w:t>通知书（不再陈述</w:t>
      </w:r>
      <w:r>
        <w:rPr>
          <w:rFonts w:hint="eastAsia" w:hAnsi="宋体" w:cs="宋体"/>
          <w:color w:val="auto"/>
          <w:kern w:val="0"/>
          <w:highlight w:val="none"/>
          <w:lang w:val="en-US" w:eastAsia="zh-CN"/>
        </w:rPr>
        <w:t>扣除违约金</w:t>
      </w:r>
      <w:r>
        <w:rPr>
          <w:rFonts w:hint="eastAsia" w:hAnsi="宋体" w:cs="宋体"/>
          <w:color w:val="auto"/>
          <w:kern w:val="0"/>
          <w:highlight w:val="none"/>
        </w:rPr>
        <w:t>理由）。承包人履约保证金被</w:t>
      </w:r>
      <w:r>
        <w:rPr>
          <w:rFonts w:hint="eastAsia" w:hAnsi="宋体" w:cs="宋体"/>
          <w:color w:val="auto"/>
          <w:kern w:val="0"/>
          <w:highlight w:val="none"/>
          <w:lang w:val="en-US" w:eastAsia="zh-CN"/>
        </w:rPr>
        <w:t>扣除</w:t>
      </w:r>
      <w:r>
        <w:rPr>
          <w:rFonts w:hint="eastAsia" w:hAnsi="宋体" w:cs="宋体"/>
          <w:color w:val="auto"/>
          <w:kern w:val="0"/>
          <w:highlight w:val="none"/>
        </w:rPr>
        <w:t>后由发包人从最后一次计量支付时扣除相应金额补足履约保证金。承包人在合同期内，完成合同规定的全部工程，且质量合格，在本工程施工竣工验收后十五天内可申请返还全部或部分</w:t>
      </w:r>
      <w:r>
        <w:rPr>
          <w:rFonts w:hint="eastAsia" w:hAnsi="宋体" w:cs="宋体"/>
          <w:color w:val="auto"/>
          <w:kern w:val="0"/>
          <w:highlight w:val="none"/>
          <w:lang w:val="en-US" w:eastAsia="zh-CN"/>
        </w:rPr>
        <w:t>违约金</w:t>
      </w:r>
      <w:r>
        <w:rPr>
          <w:rFonts w:hint="eastAsia" w:hAnsi="宋体" w:cs="宋体"/>
          <w:color w:val="auto"/>
          <w:kern w:val="0"/>
          <w:highlight w:val="none"/>
        </w:rPr>
        <w:t>，返还金额由监理人审核，发包人批准。</w:t>
      </w:r>
      <w:r>
        <w:rPr>
          <w:rFonts w:hint="eastAsia" w:hAnsi="宋体" w:cs="宋体"/>
          <w:color w:val="auto"/>
          <w:kern w:val="0"/>
          <w:highlight w:val="none"/>
          <w:lang w:val="en-US" w:eastAsia="zh-CN"/>
        </w:rPr>
        <w:t>违约金</w:t>
      </w:r>
      <w:r>
        <w:rPr>
          <w:rFonts w:hint="eastAsia" w:hAnsi="宋体" w:cs="宋体"/>
          <w:color w:val="auto"/>
          <w:kern w:val="0"/>
          <w:highlight w:val="none"/>
        </w:rPr>
        <w:t>金额返还时不包括银行利息。</w:t>
      </w:r>
    </w:p>
    <w:p w14:paraId="5CAC80C3">
      <w:pPr>
        <w:spacing w:line="360" w:lineRule="auto"/>
        <w:ind w:firstLine="420" w:firstLineChars="200"/>
        <w:jc w:val="left"/>
        <w:rPr>
          <w:rFonts w:hAnsi="宋体"/>
          <w:color w:val="auto"/>
          <w:highlight w:val="none"/>
        </w:rPr>
      </w:pPr>
      <w:r>
        <w:rPr>
          <w:color w:val="auto"/>
          <w:highlight w:val="none"/>
        </w:rPr>
        <w:t xml:space="preserve">16.2.3 </w:t>
      </w:r>
      <w:r>
        <w:rPr>
          <w:rFonts w:hint="eastAsia" w:hAnsi="宋体" w:cs="宋体"/>
          <w:color w:val="auto"/>
          <w:highlight w:val="none"/>
        </w:rPr>
        <w:t>因承包人违约解除合同</w:t>
      </w:r>
    </w:p>
    <w:p w14:paraId="2AC920C9">
      <w:pPr>
        <w:spacing w:line="360" w:lineRule="auto"/>
        <w:ind w:firstLine="420" w:firstLineChars="200"/>
        <w:jc w:val="left"/>
        <w:rPr>
          <w:rFonts w:hAnsi="宋体"/>
          <w:color w:val="auto"/>
          <w:kern w:val="0"/>
          <w:highlight w:val="none"/>
        </w:rPr>
      </w:pPr>
      <w:r>
        <w:rPr>
          <w:rFonts w:hint="eastAsia" w:hAnsi="宋体" w:cs="宋体"/>
          <w:color w:val="auto"/>
          <w:kern w:val="0"/>
          <w:highlight w:val="none"/>
        </w:rPr>
        <w:t>关于承包人违约解除合同的特别约定：</w:t>
      </w:r>
      <w:r>
        <w:rPr>
          <w:rFonts w:hint="eastAsia" w:hAnsi="宋体" w:cs="宋体"/>
          <w:color w:val="auto"/>
          <w:kern w:val="0"/>
          <w:highlight w:val="none"/>
          <w:u w:val="none"/>
        </w:rPr>
        <w:t>承包人有违反以下情况之一的，发包人有权解除合同，并没收其全部履约保证金</w:t>
      </w:r>
      <w:r>
        <w:rPr>
          <w:rFonts w:hint="eastAsia" w:hAnsi="宋体" w:cs="宋体"/>
          <w:color w:val="auto"/>
          <w:kern w:val="0"/>
          <w:highlight w:val="none"/>
        </w:rPr>
        <w:t>。</w:t>
      </w:r>
    </w:p>
    <w:p w14:paraId="1060775C">
      <w:pPr>
        <w:spacing w:line="360" w:lineRule="auto"/>
        <w:ind w:firstLine="420" w:firstLineChars="200"/>
        <w:jc w:val="left"/>
        <w:rPr>
          <w:rFonts w:hAnsi="宋体"/>
          <w:color w:val="auto"/>
          <w:kern w:val="0"/>
          <w:highlight w:val="none"/>
        </w:rPr>
      </w:pPr>
      <w:r>
        <w:rPr>
          <w:rFonts w:hint="eastAsia"/>
          <w:color w:val="auto"/>
          <w:kern w:val="0"/>
          <w:highlight w:val="none"/>
          <w:lang w:eastAsia="zh-CN"/>
        </w:rPr>
        <w:t>（1）</w:t>
      </w:r>
      <w:r>
        <w:rPr>
          <w:rFonts w:hint="eastAsia" w:hAnsi="宋体" w:cs="宋体"/>
          <w:color w:val="auto"/>
          <w:kern w:val="0"/>
          <w:highlight w:val="none"/>
        </w:rPr>
        <w:t>承包人无正当理由不按开工通知的要求及时进场组织施工和不按签订协议书时商定的进度计划有效地开展施工准备，造成工期延误的；</w:t>
      </w:r>
    </w:p>
    <w:p w14:paraId="2B9C84BC">
      <w:pPr>
        <w:spacing w:line="360" w:lineRule="auto"/>
        <w:ind w:firstLine="420" w:firstLineChars="200"/>
        <w:jc w:val="left"/>
        <w:rPr>
          <w:rFonts w:hAnsi="宋体"/>
          <w:color w:val="auto"/>
          <w:kern w:val="0"/>
          <w:highlight w:val="none"/>
        </w:rPr>
      </w:pPr>
      <w:r>
        <w:rPr>
          <w:rFonts w:hint="eastAsia"/>
          <w:color w:val="auto"/>
          <w:kern w:val="0"/>
          <w:highlight w:val="none"/>
          <w:lang w:eastAsia="zh-CN"/>
        </w:rPr>
        <w:t>（2）</w:t>
      </w:r>
      <w:r>
        <w:rPr>
          <w:rFonts w:hint="eastAsia" w:hAnsi="宋体" w:cs="宋体"/>
          <w:color w:val="auto"/>
          <w:kern w:val="0"/>
          <w:highlight w:val="none"/>
        </w:rPr>
        <w:t>承包人违反本合同通用条款第</w:t>
      </w:r>
      <w:r>
        <w:rPr>
          <w:color w:val="auto"/>
          <w:kern w:val="0"/>
          <w:highlight w:val="none"/>
        </w:rPr>
        <w:t>3.5</w:t>
      </w:r>
      <w:r>
        <w:rPr>
          <w:rFonts w:hint="eastAsia" w:hAnsi="宋体" w:cs="宋体"/>
          <w:color w:val="auto"/>
          <w:kern w:val="0"/>
          <w:highlight w:val="none"/>
        </w:rPr>
        <w:t>条规定私自将合同或合同的任何部分或任何权利转让给其他人，或私自将工程或工程的一部分分包出去的；</w:t>
      </w:r>
    </w:p>
    <w:p w14:paraId="219CA6A6">
      <w:pPr>
        <w:spacing w:line="360" w:lineRule="auto"/>
        <w:ind w:firstLine="420" w:firstLineChars="200"/>
        <w:jc w:val="left"/>
        <w:rPr>
          <w:rFonts w:hAnsi="宋体"/>
          <w:color w:val="auto"/>
          <w:kern w:val="0"/>
          <w:highlight w:val="none"/>
        </w:rPr>
      </w:pPr>
      <w:r>
        <w:rPr>
          <w:rFonts w:hint="eastAsia"/>
          <w:color w:val="auto"/>
          <w:kern w:val="0"/>
          <w:highlight w:val="none"/>
          <w:lang w:eastAsia="zh-CN"/>
        </w:rPr>
        <w:t>（3）</w:t>
      </w:r>
      <w:r>
        <w:rPr>
          <w:rFonts w:hint="eastAsia" w:hAnsi="宋体" w:cs="宋体"/>
          <w:color w:val="auto"/>
          <w:kern w:val="0"/>
          <w:highlight w:val="none"/>
        </w:rPr>
        <w:t>未经监理人批准，承包人私自将已按投标文件承诺进入工地的工程设备、施工设备、临时工程或材料撤离工地的；</w:t>
      </w:r>
    </w:p>
    <w:p w14:paraId="618BC363">
      <w:pPr>
        <w:spacing w:line="360" w:lineRule="auto"/>
        <w:ind w:firstLine="420" w:firstLineChars="200"/>
        <w:jc w:val="left"/>
        <w:rPr>
          <w:color w:val="auto"/>
          <w:kern w:val="0"/>
          <w:highlight w:val="none"/>
        </w:rPr>
      </w:pPr>
      <w:r>
        <w:rPr>
          <w:rFonts w:hint="eastAsia"/>
          <w:color w:val="auto"/>
          <w:kern w:val="0"/>
          <w:highlight w:val="none"/>
          <w:lang w:eastAsia="zh-CN"/>
        </w:rPr>
        <w:t>（4）</w:t>
      </w:r>
      <w:r>
        <w:rPr>
          <w:rFonts w:hint="eastAsia" w:hAnsi="宋体" w:cs="宋体"/>
          <w:color w:val="auto"/>
          <w:kern w:val="0"/>
          <w:highlight w:val="none"/>
        </w:rPr>
        <w:t>由于承包人原因拒绝按合同进度计划及时完成合同规定的工程，而又未采取有效措施赶上进度，造成工期严重延误的；</w:t>
      </w:r>
    </w:p>
    <w:p w14:paraId="276771BC">
      <w:pPr>
        <w:spacing w:line="360" w:lineRule="auto"/>
        <w:ind w:firstLine="420" w:firstLineChars="200"/>
        <w:rPr>
          <w:color w:val="auto"/>
          <w:kern w:val="0"/>
          <w:highlight w:val="none"/>
        </w:rPr>
      </w:pPr>
      <w:r>
        <w:rPr>
          <w:rFonts w:hint="eastAsia"/>
          <w:color w:val="auto"/>
          <w:kern w:val="0"/>
          <w:highlight w:val="none"/>
          <w:lang w:eastAsia="zh-CN"/>
        </w:rPr>
        <w:t>（5）</w:t>
      </w:r>
      <w:r>
        <w:rPr>
          <w:rFonts w:hint="eastAsia" w:hAnsi="宋体" w:cs="宋体"/>
          <w:color w:val="auto"/>
          <w:kern w:val="0"/>
          <w:highlight w:val="none"/>
        </w:rPr>
        <w:t>承包人否认合同有效或拒绝履行合同规定的承包人义务，或由于法律、财务等原因导致承包人无法继续履行或实质上已停止履行合同的义务的；</w:t>
      </w:r>
    </w:p>
    <w:p w14:paraId="1280C4DE">
      <w:pPr>
        <w:spacing w:line="360" w:lineRule="auto"/>
        <w:ind w:firstLine="420" w:firstLineChars="200"/>
        <w:rPr>
          <w:color w:val="auto"/>
          <w:kern w:val="0"/>
          <w:highlight w:val="none"/>
        </w:rPr>
      </w:pPr>
      <w:r>
        <w:rPr>
          <w:rFonts w:hint="eastAsia"/>
          <w:color w:val="auto"/>
          <w:kern w:val="0"/>
          <w:highlight w:val="none"/>
          <w:lang w:eastAsia="zh-CN"/>
        </w:rPr>
        <w:t>（6）</w:t>
      </w:r>
      <w:r>
        <w:rPr>
          <w:rFonts w:hint="eastAsia" w:hAnsi="宋体" w:cs="宋体"/>
          <w:color w:val="auto"/>
          <w:kern w:val="0"/>
          <w:highlight w:val="none"/>
        </w:rPr>
        <w:t>合同签订</w:t>
      </w:r>
      <w:r>
        <w:rPr>
          <w:rFonts w:hint="eastAsia" w:ascii="仿宋_GB2312" w:hAnsi="宋体" w:cs="宋体"/>
          <w:color w:val="auto"/>
          <w:highlight w:val="none"/>
        </w:rPr>
        <w:t>且具备法定开工条件后</w:t>
      </w:r>
      <w:r>
        <w:rPr>
          <w:rFonts w:hint="eastAsia" w:hAnsi="宋体" w:cs="宋体"/>
          <w:color w:val="auto"/>
          <w:kern w:val="0"/>
          <w:highlight w:val="none"/>
        </w:rPr>
        <w:t>之日起十五日内，承包人无法按合同规定及投标文件的承诺进场经监理工程师认可的该</w:t>
      </w:r>
      <w:r>
        <w:rPr>
          <w:rFonts w:hAnsi="宋体" w:cs="宋体"/>
          <w:color w:val="auto"/>
          <w:kern w:val="0"/>
          <w:highlight w:val="none"/>
        </w:rPr>
        <w:t>施工</w:t>
      </w:r>
      <w:r>
        <w:rPr>
          <w:rFonts w:hint="eastAsia" w:hAnsi="宋体" w:cs="宋体"/>
          <w:color w:val="auto"/>
          <w:kern w:val="0"/>
          <w:highlight w:val="none"/>
        </w:rPr>
        <w:t>阶段</w:t>
      </w:r>
      <w:r>
        <w:rPr>
          <w:rFonts w:hAnsi="宋体" w:cs="宋体"/>
          <w:color w:val="auto"/>
          <w:kern w:val="0"/>
          <w:highlight w:val="none"/>
        </w:rPr>
        <w:t>应有的</w:t>
      </w:r>
      <w:r>
        <w:rPr>
          <w:rFonts w:hint="eastAsia" w:hAnsi="宋体" w:cs="宋体"/>
          <w:color w:val="auto"/>
          <w:kern w:val="0"/>
          <w:highlight w:val="none"/>
        </w:rPr>
        <w:t>全部人员和机械的。</w:t>
      </w:r>
    </w:p>
    <w:p w14:paraId="6CBDE6ED">
      <w:pPr>
        <w:spacing w:line="360" w:lineRule="auto"/>
        <w:ind w:firstLine="420" w:firstLineChars="200"/>
        <w:rPr>
          <w:color w:val="auto"/>
          <w:kern w:val="0"/>
          <w:highlight w:val="none"/>
        </w:rPr>
      </w:pPr>
      <w:r>
        <w:rPr>
          <w:rFonts w:hint="eastAsia" w:hAnsi="宋体" w:cs="宋体"/>
          <w:color w:val="auto"/>
          <w:kern w:val="0"/>
          <w:highlight w:val="none"/>
        </w:rPr>
        <w:t>发包人继续使用承包人在施工现场的材料、设备、临时工程、承包人文件和由承包人或以其名义编制的其他文件的费用承担方式：</w:t>
      </w:r>
      <w:r>
        <w:rPr>
          <w:color w:val="auto"/>
          <w:kern w:val="0"/>
          <w:highlight w:val="none"/>
          <w:u w:val="single"/>
        </w:rPr>
        <w:t xml:space="preserve">  </w:t>
      </w:r>
      <w:r>
        <w:rPr>
          <w:rStyle w:val="24"/>
          <w:rFonts w:ascii="Times New Roman" w:hAnsi="Times New Roman" w:eastAsia="宋体" w:cs="Times New Roman"/>
          <w:color w:val="auto"/>
          <w:kern w:val="0"/>
          <w:highlight w:val="none"/>
          <w:u w:val="single"/>
        </w:rPr>
        <w:t xml:space="preserve"> </w:t>
      </w:r>
      <w:r>
        <w:rPr>
          <w:rStyle w:val="24"/>
          <w:rFonts w:hint="eastAsia" w:ascii="宋体" w:hAnsi="宋体" w:eastAsia="宋体" w:cs="宋体"/>
          <w:color w:val="auto"/>
          <w:kern w:val="0"/>
          <w:highlight w:val="none"/>
          <w:u w:val="single"/>
        </w:rPr>
        <w:t>双方协商</w:t>
      </w:r>
      <w:r>
        <w:rPr>
          <w:rStyle w:val="24"/>
          <w:rFonts w:ascii="Times New Roman" w:hAnsi="Times New Roman" w:eastAsia="宋体" w:cs="Times New Roman"/>
          <w:color w:val="auto"/>
          <w:kern w:val="0"/>
          <w:highlight w:val="none"/>
          <w:u w:val="single"/>
        </w:rPr>
        <w:t xml:space="preserve">  </w:t>
      </w:r>
      <w:r>
        <w:rPr>
          <w:color w:val="auto"/>
          <w:kern w:val="0"/>
          <w:highlight w:val="none"/>
          <w:u w:val="single"/>
        </w:rPr>
        <w:t xml:space="preserve">          </w:t>
      </w:r>
      <w:r>
        <w:rPr>
          <w:rFonts w:hint="eastAsia" w:hAnsi="宋体" w:cs="宋体"/>
          <w:color w:val="auto"/>
          <w:kern w:val="0"/>
          <w:highlight w:val="none"/>
        </w:rPr>
        <w:t>。</w:t>
      </w:r>
    </w:p>
    <w:p w14:paraId="76E5E2D7">
      <w:pPr>
        <w:spacing w:line="360" w:lineRule="auto"/>
        <w:outlineLvl w:val="9"/>
        <w:rPr>
          <w:color w:val="auto"/>
          <w:highlight w:val="none"/>
        </w:rPr>
      </w:pPr>
      <w:bookmarkStart w:id="1268" w:name="_Toc351203649"/>
      <w:bookmarkStart w:id="1269" w:name="_Toc407135272"/>
      <w:bookmarkStart w:id="1270" w:name="_Toc373227769"/>
      <w:bookmarkStart w:id="1271" w:name="_Toc31157"/>
      <w:bookmarkStart w:id="1272" w:name="_Toc373478416"/>
      <w:bookmarkStart w:id="1273" w:name="_Toc78449858"/>
      <w:bookmarkStart w:id="1274" w:name="_Toc389065334"/>
      <w:bookmarkStart w:id="1275" w:name="_Toc1753556740"/>
      <w:r>
        <w:rPr>
          <w:color w:val="auto"/>
          <w:highlight w:val="none"/>
        </w:rPr>
        <w:t xml:space="preserve">17. </w:t>
      </w:r>
      <w:r>
        <w:rPr>
          <w:rFonts w:hint="eastAsia" w:hAnsi="宋体" w:cs="黑体"/>
          <w:color w:val="auto"/>
          <w:highlight w:val="none"/>
        </w:rPr>
        <w:t>不可抗力</w:t>
      </w:r>
      <w:bookmarkEnd w:id="1268"/>
      <w:bookmarkEnd w:id="1269"/>
      <w:bookmarkEnd w:id="1270"/>
      <w:bookmarkEnd w:id="1271"/>
      <w:bookmarkEnd w:id="1272"/>
      <w:bookmarkEnd w:id="1273"/>
      <w:bookmarkEnd w:id="1274"/>
      <w:bookmarkEnd w:id="1275"/>
      <w:r>
        <w:rPr>
          <w:color w:val="auto"/>
          <w:highlight w:val="none"/>
        </w:rPr>
        <w:t xml:space="preserve"> </w:t>
      </w:r>
      <w:bookmarkEnd w:id="1250"/>
    </w:p>
    <w:p w14:paraId="47E40CEC">
      <w:pPr>
        <w:spacing w:line="360" w:lineRule="auto"/>
        <w:outlineLvl w:val="9"/>
        <w:rPr>
          <w:color w:val="auto"/>
          <w:highlight w:val="none"/>
        </w:rPr>
      </w:pPr>
      <w:bookmarkStart w:id="1276" w:name="_Toc373227770"/>
      <w:bookmarkStart w:id="1277" w:name="_Toc12406"/>
      <w:bookmarkStart w:id="1278" w:name="_Toc429574049"/>
      <w:bookmarkStart w:id="1279" w:name="_Toc78449859"/>
      <w:bookmarkStart w:id="1280" w:name="_Toc407135273"/>
      <w:bookmarkStart w:id="1281" w:name="_Toc21791"/>
      <w:bookmarkStart w:id="1282" w:name="_Toc389065335"/>
      <w:bookmarkStart w:id="1283" w:name="_Toc373478417"/>
      <w:r>
        <w:rPr>
          <w:color w:val="auto"/>
          <w:highlight w:val="none"/>
        </w:rPr>
        <w:t xml:space="preserve">17.1 </w:t>
      </w:r>
      <w:r>
        <w:rPr>
          <w:rFonts w:hint="eastAsia" w:cs="黑体"/>
          <w:color w:val="auto"/>
          <w:highlight w:val="none"/>
        </w:rPr>
        <w:t>不可抗力的确认</w:t>
      </w:r>
      <w:bookmarkEnd w:id="1276"/>
      <w:bookmarkEnd w:id="1277"/>
      <w:bookmarkEnd w:id="1278"/>
      <w:bookmarkEnd w:id="1279"/>
      <w:bookmarkEnd w:id="1280"/>
      <w:bookmarkEnd w:id="1281"/>
      <w:bookmarkEnd w:id="1282"/>
      <w:bookmarkEnd w:id="1283"/>
    </w:p>
    <w:p w14:paraId="1CFE0FD9">
      <w:pPr>
        <w:spacing w:line="360" w:lineRule="auto"/>
        <w:ind w:firstLine="420" w:firstLineChars="200"/>
        <w:jc w:val="left"/>
        <w:rPr>
          <w:color w:val="auto"/>
          <w:kern w:val="0"/>
          <w:highlight w:val="none"/>
          <w:u w:val="single"/>
        </w:rPr>
      </w:pPr>
      <w:r>
        <w:rPr>
          <w:rFonts w:hint="eastAsia" w:hAnsi="宋体" w:cs="宋体"/>
          <w:color w:val="auto"/>
          <w:highlight w:val="none"/>
        </w:rPr>
        <w:t>除通用合同条款约定的不可抗力事件之外，视为不可抗力的其他情形：</w:t>
      </w:r>
      <w:r>
        <w:rPr>
          <w:color w:val="auto"/>
          <w:kern w:val="0"/>
          <w:highlight w:val="none"/>
          <w:u w:val="single"/>
        </w:rPr>
        <w:t xml:space="preserve"> </w:t>
      </w:r>
      <w:r>
        <w:rPr>
          <w:rStyle w:val="24"/>
          <w:rFonts w:ascii="Calibri" w:hAnsi="Calibri" w:eastAsia="宋体" w:cs="Times New Roman"/>
          <w:color w:val="auto"/>
          <w:kern w:val="0"/>
          <w:highlight w:val="none"/>
          <w:u w:val="single"/>
        </w:rPr>
        <w:t>包括国家政策影响</w:t>
      </w:r>
      <w:r>
        <w:rPr>
          <w:rStyle w:val="24"/>
          <w:rFonts w:hint="eastAsia" w:ascii="Calibri" w:hAnsi="Calibri" w:eastAsia="宋体" w:cs="Times New Roman"/>
          <w:color w:val="auto"/>
          <w:kern w:val="0"/>
          <w:highlight w:val="none"/>
          <w:u w:val="single"/>
        </w:rPr>
        <w:t>、</w:t>
      </w:r>
      <w:r>
        <w:rPr>
          <w:rStyle w:val="24"/>
          <w:rFonts w:ascii="Calibri" w:hAnsi="Calibri" w:eastAsia="宋体" w:cs="Times New Roman"/>
          <w:color w:val="auto"/>
          <w:kern w:val="0"/>
          <w:highlight w:val="none"/>
          <w:u w:val="single"/>
        </w:rPr>
        <w:t>战争、恐怖活动、动乱、瘟疫、空中飞行物体坠落或其他非发包人承包人责任造成的爆炸、火灾， 以及地震、 洪涝等自然灾害</w:t>
      </w:r>
      <w:r>
        <w:rPr>
          <w:rStyle w:val="24"/>
          <w:rFonts w:ascii="Times New Roman" w:hAnsi="Times New Roman" w:eastAsia="宋体" w:cs="Times New Roman"/>
          <w:color w:val="auto"/>
          <w:kern w:val="0"/>
          <w:highlight w:val="none"/>
          <w:u w:val="single"/>
        </w:rPr>
        <w:t xml:space="preserve"> </w:t>
      </w:r>
      <w:r>
        <w:rPr>
          <w:color w:val="auto"/>
          <w:kern w:val="0"/>
          <w:highlight w:val="none"/>
          <w:u w:val="single"/>
        </w:rPr>
        <w:t xml:space="preserve">  </w:t>
      </w:r>
      <w:r>
        <w:rPr>
          <w:rFonts w:hint="eastAsia" w:hAnsi="宋体" w:cs="宋体"/>
          <w:color w:val="auto"/>
          <w:kern w:val="0"/>
          <w:highlight w:val="none"/>
        </w:rPr>
        <w:t>。</w:t>
      </w:r>
    </w:p>
    <w:p w14:paraId="6222079B">
      <w:pPr>
        <w:spacing w:line="360" w:lineRule="auto"/>
        <w:outlineLvl w:val="9"/>
        <w:rPr>
          <w:color w:val="auto"/>
          <w:highlight w:val="none"/>
        </w:rPr>
      </w:pPr>
      <w:bookmarkStart w:id="1284" w:name="_Toc15401"/>
      <w:bookmarkStart w:id="1285" w:name="_Toc29972"/>
      <w:bookmarkStart w:id="1286" w:name="_Toc373478418"/>
      <w:bookmarkStart w:id="1287" w:name="_Toc78449860"/>
      <w:bookmarkStart w:id="1288" w:name="_Toc373227771"/>
      <w:bookmarkStart w:id="1289" w:name="_Toc389065336"/>
      <w:bookmarkStart w:id="1290" w:name="_Toc1951449751"/>
      <w:bookmarkStart w:id="1291" w:name="_Toc407135274"/>
      <w:r>
        <w:rPr>
          <w:color w:val="auto"/>
          <w:highlight w:val="none"/>
        </w:rPr>
        <w:t xml:space="preserve">17.4 </w:t>
      </w:r>
      <w:r>
        <w:rPr>
          <w:rFonts w:hint="eastAsia" w:cs="黑体"/>
          <w:color w:val="auto"/>
          <w:highlight w:val="none"/>
        </w:rPr>
        <w:t>因不可抗力解除合同</w:t>
      </w:r>
      <w:bookmarkEnd w:id="1284"/>
      <w:bookmarkEnd w:id="1285"/>
      <w:bookmarkEnd w:id="1286"/>
      <w:bookmarkEnd w:id="1287"/>
      <w:bookmarkEnd w:id="1288"/>
      <w:bookmarkEnd w:id="1289"/>
      <w:bookmarkEnd w:id="1290"/>
      <w:bookmarkEnd w:id="1291"/>
    </w:p>
    <w:p w14:paraId="547121C9">
      <w:pPr>
        <w:spacing w:line="360" w:lineRule="auto"/>
        <w:ind w:firstLine="420" w:firstLineChars="200"/>
        <w:jc w:val="left"/>
        <w:rPr>
          <w:color w:val="auto"/>
          <w:highlight w:val="none"/>
        </w:rPr>
      </w:pPr>
      <w:r>
        <w:rPr>
          <w:rFonts w:hint="eastAsia" w:hAnsi="宋体" w:cs="宋体"/>
          <w:color w:val="auto"/>
          <w:highlight w:val="none"/>
        </w:rPr>
        <w:t>合同解除后，发包人应在商定或确定发包人应支付款项后</w:t>
      </w:r>
      <w:r>
        <w:rPr>
          <w:color w:val="auto"/>
          <w:highlight w:val="none"/>
          <w:u w:val="single"/>
        </w:rPr>
        <w:t xml:space="preserve"> </w:t>
      </w:r>
      <w:r>
        <w:rPr>
          <w:rStyle w:val="24"/>
          <w:rFonts w:ascii="Times New Roman" w:hAnsi="Times New Roman" w:eastAsia="宋体" w:cs="Times New Roman"/>
          <w:color w:val="auto"/>
          <w:highlight w:val="none"/>
          <w:u w:val="single"/>
        </w:rPr>
        <w:t xml:space="preserve"> </w:t>
      </w:r>
      <w:r>
        <w:rPr>
          <w:rStyle w:val="24"/>
          <w:rFonts w:hint="eastAsia" w:ascii="Calibri" w:hAnsi="Calibri" w:eastAsia="宋体" w:cs="Times New Roman"/>
          <w:color w:val="auto"/>
          <w:highlight w:val="none"/>
          <w:u w:val="single"/>
        </w:rPr>
        <w:t>28</w:t>
      </w:r>
      <w:r>
        <w:rPr>
          <w:rStyle w:val="24"/>
          <w:rFonts w:ascii="Calibri" w:hAnsi="Calibri" w:eastAsia="宋体" w:cs="Times New Roman"/>
          <w:color w:val="auto"/>
          <w:highlight w:val="none"/>
          <w:u w:val="single"/>
        </w:rPr>
        <w:t xml:space="preserve"> </w:t>
      </w:r>
      <w:r>
        <w:rPr>
          <w:color w:val="auto"/>
          <w:highlight w:val="none"/>
          <w:u w:val="single"/>
        </w:rPr>
        <w:t xml:space="preserve">   </w:t>
      </w:r>
      <w:r>
        <w:rPr>
          <w:rFonts w:hint="eastAsia" w:hAnsi="宋体" w:cs="宋体"/>
          <w:color w:val="auto"/>
          <w:highlight w:val="none"/>
        </w:rPr>
        <w:t>天内完成款项的支付。</w:t>
      </w:r>
    </w:p>
    <w:p w14:paraId="76D1F6D9">
      <w:pPr>
        <w:spacing w:line="360" w:lineRule="auto"/>
        <w:outlineLvl w:val="9"/>
        <w:rPr>
          <w:color w:val="auto"/>
          <w:highlight w:val="none"/>
        </w:rPr>
      </w:pPr>
      <w:bookmarkStart w:id="1292" w:name="_Toc30795"/>
      <w:bookmarkStart w:id="1293" w:name="_Toc56822299"/>
      <w:bookmarkStart w:id="1294" w:name="_Toc407135275"/>
      <w:bookmarkStart w:id="1295" w:name="_Toc78449861"/>
      <w:bookmarkStart w:id="1296" w:name="_Toc373227772"/>
      <w:bookmarkStart w:id="1297" w:name="_Toc389065337"/>
      <w:bookmarkStart w:id="1298" w:name="_Toc373478419"/>
      <w:bookmarkStart w:id="1299" w:name="_Toc351203650"/>
      <w:r>
        <w:rPr>
          <w:color w:val="auto"/>
          <w:highlight w:val="none"/>
        </w:rPr>
        <w:t xml:space="preserve">18. </w:t>
      </w:r>
      <w:r>
        <w:rPr>
          <w:rFonts w:hint="eastAsia" w:hAnsi="宋体" w:cs="黑体"/>
          <w:color w:val="auto"/>
          <w:highlight w:val="none"/>
        </w:rPr>
        <w:t>保险</w:t>
      </w:r>
      <w:bookmarkEnd w:id="1292"/>
      <w:bookmarkEnd w:id="1293"/>
      <w:bookmarkEnd w:id="1294"/>
      <w:bookmarkEnd w:id="1295"/>
      <w:bookmarkEnd w:id="1296"/>
      <w:bookmarkEnd w:id="1297"/>
      <w:bookmarkEnd w:id="1298"/>
      <w:bookmarkEnd w:id="1299"/>
    </w:p>
    <w:bookmarkEnd w:id="1251"/>
    <w:p w14:paraId="001C6429">
      <w:pPr>
        <w:spacing w:line="360" w:lineRule="auto"/>
        <w:outlineLvl w:val="9"/>
        <w:rPr>
          <w:color w:val="auto"/>
          <w:highlight w:val="none"/>
        </w:rPr>
      </w:pPr>
      <w:bookmarkStart w:id="1300" w:name="_Toc407135276"/>
      <w:bookmarkStart w:id="1301" w:name="_Toc16039"/>
      <w:bookmarkStart w:id="1302" w:name="_Toc2075285517"/>
      <w:bookmarkStart w:id="1303" w:name="_Toc78449862"/>
      <w:bookmarkStart w:id="1304" w:name="_Toc389065338"/>
      <w:bookmarkStart w:id="1305" w:name="_Toc6222"/>
      <w:bookmarkStart w:id="1306" w:name="_Toc373478420"/>
      <w:bookmarkStart w:id="1307" w:name="_Toc373227773"/>
      <w:r>
        <w:rPr>
          <w:color w:val="auto"/>
          <w:highlight w:val="none"/>
        </w:rPr>
        <w:t xml:space="preserve">18.1 </w:t>
      </w:r>
      <w:r>
        <w:rPr>
          <w:rFonts w:hint="eastAsia" w:hAnsi="宋体" w:cs="黑体"/>
          <w:color w:val="auto"/>
          <w:highlight w:val="none"/>
        </w:rPr>
        <w:t>工程保险</w:t>
      </w:r>
      <w:bookmarkEnd w:id="1300"/>
      <w:bookmarkEnd w:id="1301"/>
      <w:bookmarkEnd w:id="1302"/>
      <w:bookmarkEnd w:id="1303"/>
      <w:bookmarkEnd w:id="1304"/>
      <w:bookmarkEnd w:id="1305"/>
      <w:bookmarkEnd w:id="1306"/>
      <w:bookmarkEnd w:id="1307"/>
    </w:p>
    <w:p w14:paraId="0975003F">
      <w:pPr>
        <w:spacing w:line="360" w:lineRule="auto"/>
        <w:ind w:firstLine="420" w:firstLineChars="200"/>
        <w:jc w:val="left"/>
        <w:rPr>
          <w:color w:val="auto"/>
          <w:highlight w:val="none"/>
        </w:rPr>
      </w:pPr>
      <w:r>
        <w:rPr>
          <w:rFonts w:hint="eastAsia" w:hAnsi="宋体" w:cs="宋体"/>
          <w:color w:val="auto"/>
          <w:highlight w:val="none"/>
        </w:rPr>
        <w:t>关于工程保险的特别约定：</w:t>
      </w:r>
      <w:r>
        <w:rPr>
          <w:rStyle w:val="24"/>
          <w:rFonts w:ascii="Calibri" w:hAnsi="Calibri" w:eastAsia="宋体" w:cs="Times New Roman"/>
          <w:color w:val="auto"/>
          <w:kern w:val="0"/>
          <w:highlight w:val="none"/>
          <w:u w:val="single"/>
        </w:rPr>
        <w:t xml:space="preserve"> 包括建筑工程一切险和安装工程一切险</w:t>
      </w:r>
      <w:r>
        <w:rPr>
          <w:rStyle w:val="24"/>
          <w:rFonts w:ascii="Times New Roman" w:hAnsi="Times New Roman" w:eastAsia="宋体" w:cs="Times New Roman"/>
          <w:color w:val="auto"/>
          <w:kern w:val="0"/>
          <w:highlight w:val="none"/>
          <w:u w:val="single"/>
        </w:rPr>
        <w:t xml:space="preserve"> </w:t>
      </w:r>
      <w:r>
        <w:rPr>
          <w:color w:val="auto"/>
          <w:kern w:val="0"/>
          <w:highlight w:val="none"/>
          <w:u w:val="single"/>
        </w:rPr>
        <w:t xml:space="preserve"> </w:t>
      </w:r>
      <w:r>
        <w:rPr>
          <w:rFonts w:hint="eastAsia" w:hAnsi="宋体" w:cs="宋体"/>
          <w:color w:val="auto"/>
          <w:kern w:val="0"/>
          <w:highlight w:val="none"/>
        </w:rPr>
        <w:t>。</w:t>
      </w:r>
    </w:p>
    <w:p w14:paraId="5548D940">
      <w:pPr>
        <w:spacing w:line="360" w:lineRule="auto"/>
        <w:outlineLvl w:val="9"/>
        <w:rPr>
          <w:color w:val="auto"/>
          <w:highlight w:val="none"/>
        </w:rPr>
      </w:pPr>
      <w:bookmarkStart w:id="1308" w:name="_Toc639"/>
      <w:bookmarkStart w:id="1309" w:name="_Toc454766369"/>
      <w:bookmarkStart w:id="1310" w:name="_Toc389065339"/>
      <w:bookmarkStart w:id="1311" w:name="_Toc373227774"/>
      <w:bookmarkStart w:id="1312" w:name="_Toc407135277"/>
      <w:bookmarkStart w:id="1313" w:name="_Toc380"/>
      <w:bookmarkStart w:id="1314" w:name="_Toc373478421"/>
      <w:bookmarkStart w:id="1315" w:name="_Toc78449863"/>
      <w:r>
        <w:rPr>
          <w:color w:val="auto"/>
          <w:highlight w:val="none"/>
        </w:rPr>
        <w:t xml:space="preserve">18.3 </w:t>
      </w:r>
      <w:r>
        <w:rPr>
          <w:rFonts w:hint="eastAsia" w:hAnsi="宋体" w:cs="黑体"/>
          <w:color w:val="auto"/>
          <w:highlight w:val="none"/>
        </w:rPr>
        <w:t>其他保险</w:t>
      </w:r>
      <w:bookmarkEnd w:id="1308"/>
      <w:bookmarkEnd w:id="1309"/>
      <w:bookmarkEnd w:id="1310"/>
      <w:bookmarkEnd w:id="1311"/>
      <w:bookmarkEnd w:id="1312"/>
      <w:bookmarkEnd w:id="1313"/>
      <w:bookmarkEnd w:id="1314"/>
      <w:bookmarkEnd w:id="1315"/>
    </w:p>
    <w:p w14:paraId="0CC646E5">
      <w:pPr>
        <w:spacing w:line="360" w:lineRule="auto"/>
        <w:ind w:firstLine="420" w:firstLineChars="200"/>
        <w:jc w:val="left"/>
        <w:rPr>
          <w:color w:val="auto"/>
          <w:kern w:val="0"/>
          <w:highlight w:val="none"/>
        </w:rPr>
      </w:pPr>
      <w:r>
        <w:rPr>
          <w:rFonts w:hint="eastAsia" w:hAnsi="宋体" w:cs="宋体"/>
          <w:color w:val="auto"/>
          <w:highlight w:val="none"/>
        </w:rPr>
        <w:t>关于其他保险的约定：</w:t>
      </w:r>
      <w:r>
        <w:rPr>
          <w:rFonts w:hAnsi="宋体"/>
          <w:color w:val="auto"/>
          <w:highlight w:val="none"/>
          <w:u w:val="single"/>
        </w:rPr>
        <w:t xml:space="preserve"> </w:t>
      </w:r>
      <w:r>
        <w:rPr>
          <w:rStyle w:val="24"/>
          <w:rFonts w:ascii="Times New Roman" w:hAnsi="宋体" w:eastAsia="宋体" w:cs="Times New Roman"/>
          <w:color w:val="auto"/>
          <w:highlight w:val="none"/>
          <w:u w:val="single"/>
        </w:rPr>
        <w:t xml:space="preserve"> </w:t>
      </w:r>
      <w:r>
        <w:rPr>
          <w:rStyle w:val="24"/>
          <w:rFonts w:ascii="Calibri" w:hAnsi="宋体" w:eastAsia="宋体" w:cs="Times New Roman"/>
          <w:color w:val="auto"/>
          <w:highlight w:val="none"/>
          <w:u w:val="single"/>
        </w:rPr>
        <w:t>承包人必须为施工现场从事施工的所有作业人员和管理人员办理</w:t>
      </w:r>
      <w:r>
        <w:rPr>
          <w:rStyle w:val="24"/>
          <w:rFonts w:hint="eastAsia" w:ascii="Calibri" w:hAnsi="宋体" w:eastAsia="宋体" w:cs="Times New Roman"/>
          <w:b/>
          <w:bCs/>
          <w:color w:val="auto"/>
          <w:highlight w:val="none"/>
          <w:u w:val="single"/>
        </w:rPr>
        <w:t>工伤</w:t>
      </w:r>
      <w:r>
        <w:rPr>
          <w:rStyle w:val="24"/>
          <w:rFonts w:ascii="Calibri" w:hAnsi="宋体" w:eastAsia="宋体" w:cs="Times New Roman"/>
          <w:b/>
          <w:bCs/>
          <w:color w:val="auto"/>
          <w:highlight w:val="none"/>
          <w:u w:val="single"/>
        </w:rPr>
        <w:t>保险</w:t>
      </w:r>
      <w:r>
        <w:rPr>
          <w:rStyle w:val="24"/>
          <w:rFonts w:ascii="Calibri" w:hAnsi="宋体" w:eastAsia="宋体" w:cs="Times New Roman"/>
          <w:color w:val="auto"/>
          <w:highlight w:val="none"/>
          <w:u w:val="single"/>
        </w:rPr>
        <w:t>，并支付保险费</w:t>
      </w:r>
      <w:r>
        <w:rPr>
          <w:rFonts w:hint="eastAsia" w:hAnsi="宋体" w:cs="宋体"/>
          <w:color w:val="auto"/>
          <w:highlight w:val="none"/>
        </w:rPr>
        <w:t>。</w:t>
      </w:r>
    </w:p>
    <w:p w14:paraId="5DA71857">
      <w:pPr>
        <w:spacing w:line="360" w:lineRule="auto"/>
        <w:ind w:firstLine="420" w:firstLineChars="200"/>
        <w:jc w:val="left"/>
        <w:rPr>
          <w:color w:val="auto"/>
          <w:highlight w:val="none"/>
          <w:u w:val="single"/>
        </w:rPr>
      </w:pPr>
      <w:r>
        <w:rPr>
          <w:rFonts w:hint="eastAsia" w:hAnsi="宋体" w:cs="宋体"/>
          <w:color w:val="auto"/>
          <w:highlight w:val="none"/>
        </w:rPr>
        <w:t>承包人是否应为其施工设备等办理财产保险：</w:t>
      </w:r>
      <w:r>
        <w:rPr>
          <w:color w:val="auto"/>
          <w:highlight w:val="none"/>
          <w:u w:val="single"/>
        </w:rPr>
        <w:t xml:space="preserve">     </w:t>
      </w:r>
      <w:r>
        <w:rPr>
          <w:rStyle w:val="24"/>
          <w:rFonts w:ascii="Calibri" w:hAnsi="Calibri" w:eastAsia="宋体" w:cs="Times New Roman"/>
          <w:color w:val="auto"/>
          <w:highlight w:val="none"/>
          <w:u w:val="single"/>
        </w:rPr>
        <w:t>是</w:t>
      </w:r>
      <w:r>
        <w:rPr>
          <w:color w:val="auto"/>
          <w:highlight w:val="none"/>
          <w:u w:val="single"/>
        </w:rPr>
        <w:t xml:space="preserve">           </w:t>
      </w:r>
      <w:r>
        <w:rPr>
          <w:rFonts w:hint="eastAsia" w:hAnsi="宋体" w:cs="宋体"/>
          <w:color w:val="auto"/>
          <w:highlight w:val="none"/>
        </w:rPr>
        <w:t>。</w:t>
      </w:r>
    </w:p>
    <w:p w14:paraId="45100440">
      <w:pPr>
        <w:spacing w:line="360" w:lineRule="auto"/>
        <w:outlineLvl w:val="9"/>
        <w:rPr>
          <w:color w:val="auto"/>
          <w:highlight w:val="none"/>
        </w:rPr>
      </w:pPr>
      <w:bookmarkStart w:id="1316" w:name="_Toc407135278"/>
      <w:bookmarkStart w:id="1317" w:name="_Toc78449864"/>
      <w:bookmarkStart w:id="1318" w:name="_Toc373478422"/>
      <w:bookmarkStart w:id="1319" w:name="_Toc20403"/>
      <w:bookmarkStart w:id="1320" w:name="_Toc2102614655"/>
      <w:bookmarkStart w:id="1321" w:name="_Toc9387"/>
      <w:bookmarkStart w:id="1322" w:name="_Toc373227775"/>
      <w:bookmarkStart w:id="1323" w:name="_Toc389065340"/>
      <w:r>
        <w:rPr>
          <w:color w:val="auto"/>
          <w:highlight w:val="none"/>
        </w:rPr>
        <w:t xml:space="preserve">18.7 </w:t>
      </w:r>
      <w:r>
        <w:rPr>
          <w:rFonts w:hint="eastAsia" w:hAnsi="宋体" w:cs="黑体"/>
          <w:color w:val="auto"/>
          <w:highlight w:val="none"/>
        </w:rPr>
        <w:t>通知义务</w:t>
      </w:r>
      <w:bookmarkEnd w:id="1316"/>
      <w:bookmarkEnd w:id="1317"/>
      <w:bookmarkEnd w:id="1318"/>
      <w:bookmarkEnd w:id="1319"/>
      <w:bookmarkEnd w:id="1320"/>
      <w:bookmarkEnd w:id="1321"/>
      <w:bookmarkEnd w:id="1322"/>
      <w:bookmarkEnd w:id="1323"/>
    </w:p>
    <w:p w14:paraId="1F383680">
      <w:pPr>
        <w:spacing w:line="360" w:lineRule="auto"/>
        <w:ind w:firstLine="420" w:firstLineChars="200"/>
        <w:jc w:val="left"/>
        <w:rPr>
          <w:rFonts w:hint="eastAsia" w:hAnsi="宋体" w:cs="宋体"/>
          <w:color w:val="auto"/>
          <w:highlight w:val="none"/>
        </w:rPr>
      </w:pPr>
      <w:r>
        <w:rPr>
          <w:rFonts w:hint="eastAsia" w:hAnsi="宋体" w:cs="宋体"/>
          <w:color w:val="auto"/>
          <w:kern w:val="0"/>
          <w:highlight w:val="none"/>
        </w:rPr>
        <w:t>关于变更保险合同时的通知义务的约定：</w:t>
      </w:r>
      <w:r>
        <w:rPr>
          <w:color w:val="auto"/>
          <w:highlight w:val="none"/>
          <w:u w:val="single"/>
        </w:rPr>
        <w:t xml:space="preserve">  </w:t>
      </w:r>
      <w:r>
        <w:rPr>
          <w:rStyle w:val="24"/>
          <w:rFonts w:ascii="Calibri" w:hAnsi="Calibri" w:eastAsia="宋体" w:cs="Times New Roman"/>
          <w:color w:val="auto"/>
          <w:highlight w:val="none"/>
          <w:u w:val="single"/>
        </w:rPr>
        <w:t>执行通用条款</w:t>
      </w:r>
      <w:r>
        <w:rPr>
          <w:rFonts w:hint="eastAsia" w:hAnsi="宋体" w:cs="宋体"/>
          <w:color w:val="auto"/>
          <w:highlight w:val="none"/>
        </w:rPr>
        <w:t>。</w:t>
      </w:r>
    </w:p>
    <w:bookmarkEnd w:id="1196"/>
    <w:bookmarkEnd w:id="1197"/>
    <w:bookmarkEnd w:id="1198"/>
    <w:bookmarkEnd w:id="1199"/>
    <w:bookmarkEnd w:id="1200"/>
    <w:bookmarkEnd w:id="1201"/>
    <w:bookmarkEnd w:id="1202"/>
    <w:bookmarkEnd w:id="1203"/>
    <w:bookmarkEnd w:id="1204"/>
    <w:bookmarkEnd w:id="1205"/>
    <w:bookmarkEnd w:id="1206"/>
    <w:bookmarkEnd w:id="1207"/>
    <w:p w14:paraId="4166BD7B">
      <w:pPr>
        <w:spacing w:line="360" w:lineRule="auto"/>
        <w:outlineLvl w:val="9"/>
        <w:rPr>
          <w:rFonts w:hint="eastAsia"/>
          <w:color w:val="auto"/>
          <w:highlight w:val="none"/>
        </w:rPr>
      </w:pPr>
      <w:bookmarkStart w:id="1324" w:name="_Toc17775"/>
      <w:bookmarkStart w:id="1325" w:name="_Toc407135279"/>
      <w:bookmarkStart w:id="1326" w:name="_Toc351203651"/>
      <w:bookmarkStart w:id="1327" w:name="_Toc373478423"/>
      <w:bookmarkStart w:id="1328" w:name="_Toc373227776"/>
      <w:bookmarkStart w:id="1329" w:name="_Toc389065341"/>
      <w:bookmarkStart w:id="1330" w:name="_Toc1959910599"/>
      <w:bookmarkStart w:id="1331" w:name="_Toc78449865"/>
      <w:r>
        <w:rPr>
          <w:rFonts w:hint="eastAsia"/>
          <w:color w:val="auto"/>
          <w:highlight w:val="none"/>
        </w:rPr>
        <w:t>19.索赔</w:t>
      </w:r>
      <w:bookmarkEnd w:id="1324"/>
    </w:p>
    <w:p w14:paraId="62FEEE4F">
      <w:pPr>
        <w:spacing w:line="360" w:lineRule="auto"/>
        <w:outlineLvl w:val="9"/>
        <w:rPr>
          <w:rFonts w:hint="eastAsia" w:ascii="Times New Roman" w:hAnsi="宋体" w:eastAsia="宋体" w:cs="宋体"/>
          <w:b w:val="0"/>
          <w:bCs w:val="0"/>
          <w:color w:val="auto"/>
          <w:sz w:val="21"/>
          <w:szCs w:val="21"/>
          <w:highlight w:val="none"/>
          <w:lang w:val="en-US"/>
        </w:rPr>
      </w:pPr>
      <w:bookmarkStart w:id="1332" w:name="_Toc2598"/>
      <w:bookmarkStart w:id="1333" w:name="_Toc874"/>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 xml:space="preserve"> 索赔事项确定</w:t>
      </w:r>
      <w:bookmarkEnd w:id="1332"/>
      <w:bookmarkEnd w:id="1333"/>
    </w:p>
    <w:p w14:paraId="77149862">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.1 按本合同约定计算工期延误</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或延长</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及其引起的索赔费用时，索赔工期所对应的工作应是关键线路上的工作，或索赔事件引起关键线路改变的工作，发包人按本合同约定批准给承包人的工期延长为合同工期延长的时间。发包人对承包人的所有工期延误</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或延长</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的索赔费用应对每一索赔事件进行独立评估，不包括前期发生的工期延误</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或延长</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对后期进行的工程造成相应延误</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或延长</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 xml:space="preserve"> 的费用索赔。</w:t>
      </w:r>
    </w:p>
    <w:p w14:paraId="5ED004CF">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.2 当发生工期延误事件时，发承包双方根据批准的施工进度计划，确定该事件是否发生在关键线路上，以及是否引发关键线路上的工期延误，并可按以下约定计算索赔的工期：</w:t>
      </w:r>
    </w:p>
    <w:p w14:paraId="257954C1">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（1）延误事件为关键线路上的工作，则延误的时间为索赔的工期；</w:t>
      </w:r>
    </w:p>
    <w:p w14:paraId="791ED91F">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（2）延误事件为非关键线路上的工作，当该工作由于延误超过总时差而成为关键工作时，其延误时间与总时差的差值为索赔的工期；</w:t>
      </w:r>
    </w:p>
    <w:p w14:paraId="04ED73C2">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（3）工期延误后事件仍为非关键线路上的工作，则不发生工期索赔。</w:t>
      </w:r>
    </w:p>
    <w:p w14:paraId="44DEA186">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.3 因非承包人的原因发生下列事件，给承包人造成经济损失及费用增加和</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或</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工期延误的，承包人可按蒙受的经济损失及费用增加和</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或</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受影响延误的工期，提出一项或多项索赔：</w:t>
      </w:r>
    </w:p>
    <w:p w14:paraId="25A48E23">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（1）因停工、待工、降效、工期延长等造成的人工、材料、施工机具、水电消耗等的费用损失，政府主管部门要求进行的暂停施工按本合同工19.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.7 条约定执行；</w:t>
      </w:r>
    </w:p>
    <w:p w14:paraId="3BB2A0FE">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（2）因合同工期调整所造成的人工费、材料费、施工机具费物价变化增减的直接费用，但按本合同第11.2.4条约定调整的除外；</w:t>
      </w:r>
    </w:p>
    <w:p w14:paraId="3E48B4F0">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（3）因停工、复工、维护施工现场等发生（包括建设、使用、拆除）的必要措施费用；</w:t>
      </w:r>
    </w:p>
    <w:p w14:paraId="47B46041">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（4）因返工、拆改与修复等发生的直接费用，以及报废（损）的材料的直接损失；</w:t>
      </w:r>
    </w:p>
    <w:p w14:paraId="3C78AE17">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（5）因额外增加的检查、检验、试验等发生的相关费用；</w:t>
      </w:r>
    </w:p>
    <w:p w14:paraId="64E71923">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（6）因合同价款未能按合同约定支付引起的损失；</w:t>
      </w:r>
    </w:p>
    <w:p w14:paraId="1309F861">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（7）因发掘出文物、古迹以及具有地质研究或考古价值的遗迹、化石、钱币或物品造成的暂缓、间断施工或停工的影响；</w:t>
      </w:r>
    </w:p>
    <w:p w14:paraId="1E2D34A3">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（8）承包人可举证的上述费用之外的其他损失；</w:t>
      </w:r>
    </w:p>
    <w:p w14:paraId="20C3D13C">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（9）因事件影响造成的延误（或延长）的合理工期。</w:t>
      </w:r>
    </w:p>
    <w:p w14:paraId="43D07974">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.4  因发包人的原因发生下列事件，给承包人造成经济损失的，承包人除</w:t>
      </w:r>
      <w:r>
        <w:rPr>
          <w:rFonts w:hint="eastAsia" w:hAnsi="宋体" w:cs="宋体"/>
          <w:b w:val="0"/>
          <w:bCs w:val="0"/>
          <w:color w:val="auto"/>
          <w:sz w:val="21"/>
          <w:szCs w:val="21"/>
          <w:highlight w:val="none"/>
          <w:lang w:val="en-US" w:eastAsia="zh-CN"/>
        </w:rPr>
        <w:t>可</w:t>
      </w:r>
      <w:r>
        <w:rPr>
          <w:rFonts w:hint="eastAsia" w:ascii="Times New Roman" w:hAnsi="宋体" w:eastAsia="宋体" w:cs="宋体"/>
          <w:b w:val="0"/>
          <w:bCs w:val="0"/>
          <w:color w:val="auto"/>
          <w:sz w:val="21"/>
          <w:szCs w:val="21"/>
          <w:highlight w:val="none"/>
          <w:lang w:val="en-US"/>
        </w:rPr>
        <w:t>进行经济损失和（或）工期延误索赔外，可索赔利润。</w:t>
      </w:r>
    </w:p>
    <w:p w14:paraId="4C165BFA">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（1）发包人将合同中的某项工作改变为其他承包人负责完成；</w:t>
      </w:r>
    </w:p>
    <w:p w14:paraId="23FC6C5C">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（2）发包人延迟提供图纸或施工场地；</w:t>
      </w:r>
    </w:p>
    <w:p w14:paraId="32F1020D">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（3）发包人提供材料的质量不合格或延迟提供或改变交货地点等引起工程不合格；</w:t>
      </w:r>
    </w:p>
    <w:p w14:paraId="40DCE5E6">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（4）发包人原因引起承包人测量放线错误、工程返工；</w:t>
      </w:r>
    </w:p>
    <w:p w14:paraId="2C0B3AB9">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（5）发包人提供的工程项目原始数据和基准资料错误；</w:t>
      </w:r>
    </w:p>
    <w:p w14:paraId="5315BCAD">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（6）发包人对施工场地额外限制、未按时履约审批、干扰正常施工顺序等；</w:t>
      </w:r>
    </w:p>
    <w:p w14:paraId="4E2C5668">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（7）发包人原因引起工期延误、暂停施工、工程暂停后无法按时复工；</w:t>
      </w:r>
    </w:p>
    <w:p w14:paraId="16BC7A67">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（8）发包人在工程竣工前提前占用工程；</w:t>
      </w:r>
    </w:p>
    <w:p w14:paraId="1342010F">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（9）发包人原因导致工程试运行失败、缺陷责任期内因非承包人原因引起的缺陷或损坏的修复。</w:t>
      </w:r>
    </w:p>
    <w:p w14:paraId="07B99D11">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.5 因发包人的原因引起下列事件给承包人造成经济损失和</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或</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工期延长的，发包人应合理延长受影响的工期，并补偿给承包人造成的损失和</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或</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直接费用，不包括利润：</w:t>
      </w:r>
    </w:p>
    <w:p w14:paraId="4EB0AB41">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（1）按发包人或监理人的要求对材料和工程</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包括已覆盖的隐蔽工程</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进行重新检测、且检测结果质量合格引起的直接费用，以及修复受影响工程的费用；</w:t>
      </w:r>
    </w:p>
    <w:p w14:paraId="74CC0605">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（2）额外增加的检查、检验、试验等的直接费用；</w:t>
      </w:r>
    </w:p>
    <w:p w14:paraId="70CD636A">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（3）工程试运行失败引起的直接费用；</w:t>
      </w:r>
    </w:p>
    <w:p w14:paraId="4D3D4389">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（4）其他情况的直接损失和</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或</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费用。</w:t>
      </w:r>
    </w:p>
    <w:p w14:paraId="122FA84B">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.6  除本合同约定发包人购买工程一切险及第三者责任险外，因不可抗力事件引起的人员伤亡、财产损失、费用增加和</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或</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工期延误等工程索赔，发承包双方应遵循下列原则承担相应损失及费用：</w:t>
      </w:r>
    </w:p>
    <w:p w14:paraId="1C2FCFB2">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（1）永久工程、已运至施工现场的材料的损坏及修复费用，以及因不可抗力事件引起施工场地内及工程损坏造成的第三方人员伤亡和财产损失应由发包人承担；</w:t>
      </w:r>
    </w:p>
    <w:p w14:paraId="6CCD23C0">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（2）承包人施工机具的损坏及停工损失和措施项目的损坏、清理、修复费用，以及因承包人原因发生的第三方人员伤亡和财产损失应由承包人承担；</w:t>
      </w:r>
    </w:p>
    <w:p w14:paraId="6DF6447A">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（3）发包人和承包人应承担各自人员伤亡和本条第（1）款、第（2）款约定外的其他财产的损失；</w:t>
      </w:r>
    </w:p>
    <w:p w14:paraId="3C2F3CC8">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（4）因不可抗力引起暂停施工的，停工期间按照发包人要求照管、清理、修复工程的费用和发包人要求留驻施工现场必要的管理与保卫人员工资，以及按发包人要求留驻现场待工人员的工资应由发包人承担；</w:t>
      </w:r>
    </w:p>
    <w:p w14:paraId="50FF2BCA">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（5）因不可抗力影响承包人履行合同约定的义务，引起工期延误的，应当顺延工期，发包人要求赶工的，由此增加的赶工费用应由发包人承担；</w:t>
      </w:r>
    </w:p>
    <w:p w14:paraId="65815DFE">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（6）其他情形按法律法规规定执行。</w:t>
      </w:r>
    </w:p>
    <w:p w14:paraId="26AC7B78">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.7  除本合同11.3条法律法规及政策性变化引起的价格调整，第19.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.6条第（4）款、第（5）款规定外，因发生具有不可抗力性质的下列例外事件引起工期延误的，受影响的工期应相应顺延，发承包双方应各自承担相应的损失：</w:t>
      </w:r>
    </w:p>
    <w:p w14:paraId="759AC97E">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（1）动乱和暴动等类似事件</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不包括工地现场发生的</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w:t>
      </w:r>
    </w:p>
    <w:p w14:paraId="2FC0534F">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（2）因国家及地方政府有关部门要求而</w:t>
      </w:r>
      <w:r>
        <w:rPr>
          <w:rFonts w:hint="eastAsia" w:hAnsi="宋体" w:cs="宋体"/>
          <w:b w:val="0"/>
          <w:bCs w:val="0"/>
          <w:color w:val="auto"/>
          <w:sz w:val="21"/>
          <w:szCs w:val="21"/>
          <w:highlight w:val="none"/>
          <w:lang w:val="en-US" w:eastAsia="zh-CN"/>
        </w:rPr>
        <w:t>必需的</w:t>
      </w:r>
      <w:r>
        <w:rPr>
          <w:rFonts w:hint="eastAsia" w:ascii="Times New Roman" w:hAnsi="宋体" w:eastAsia="宋体" w:cs="宋体"/>
          <w:b w:val="0"/>
          <w:bCs w:val="0"/>
          <w:color w:val="auto"/>
          <w:sz w:val="21"/>
          <w:szCs w:val="21"/>
          <w:highlight w:val="none"/>
          <w:lang w:val="en-US"/>
        </w:rPr>
        <w:t>停工、暂停（暂缓）施工、间断施工或区域性施工管控造成的影响；</w:t>
      </w:r>
    </w:p>
    <w:p w14:paraId="300AD00A">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（3）地方建设行政主管部门就安全、环保要求停止施工造成的影响；</w:t>
      </w:r>
    </w:p>
    <w:p w14:paraId="1889F431">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（4）地方政府主管部门就健康卫生防疫管控要求停止施工造成的影响；</w:t>
      </w:r>
    </w:p>
    <w:p w14:paraId="5D807B08">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.8  因发生不可抗力引起工期延长，且在延长工期内遭遇物价变化、法律法规及政策性变化的，所引起的影响费用按本合同11.2条、11.3条、19.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.3条的约定处理，调整受影响项目的合同价格。</w:t>
      </w:r>
    </w:p>
    <w:p w14:paraId="5DA7A652">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.9  因发承包双方中的一方原因导致工期延误，且在延长的工期内遭遇不可抗力的，不可抗力事件产生的损失由责任方承担。发承包双方对工期延误均有责任，且在延长的工期内遭遇不可抗力的，按双方责任分担比例承担相应责任。</w:t>
      </w:r>
    </w:p>
    <w:p w14:paraId="1E0164A1">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.10  本合同约定发包人负责购买工程一切险及第三者责任险，且保险范围包括相关的施工机具、人员伤亡，如发生本合同19.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.6 条约定的事件，发承包双方按下列原则承担相应损失和增加费用：</w:t>
      </w:r>
    </w:p>
    <w:p w14:paraId="2D6637ED">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（1）发包人按合同约定购买建筑工程一切险及第三者责任险的，承包人通过发包人按保险条款向保险人理赔本合同19.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.6条第（1）款～第（4）款约定的财产损失和增加的费用，保险规定免赔额部分的损失及费用和超出理赔部分的本合同19.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.6条第（2）款、第（3）款约定的损失及费用由发承包双方各自承担，超出理赔部分的本合同19.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.6 条第（1）款、第（4）款约定的损失及费用由发包人承担；</w:t>
      </w:r>
    </w:p>
    <w:p w14:paraId="04FD0D58">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（2）发包人未按合同约定购买建筑工程一切险及第三者责任险或购买的保险未生效的，本合同19.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.6 条第（1）款和第（</w:t>
      </w:r>
      <w:r>
        <w:rPr>
          <w:rFonts w:hint="eastAsia" w:hAnsi="宋体" w:cs="宋体"/>
          <w:b w:val="0"/>
          <w:bCs w:val="0"/>
          <w:color w:val="auto"/>
          <w:sz w:val="21"/>
          <w:szCs w:val="21"/>
          <w:highlight w:val="none"/>
          <w:lang w:val="en-US" w:eastAsia="zh-CN"/>
        </w:rPr>
        <w:t>4</w:t>
      </w:r>
      <w:r>
        <w:rPr>
          <w:rFonts w:hint="eastAsia" w:ascii="Times New Roman" w:hAnsi="宋体" w:eastAsia="宋体" w:cs="宋体"/>
          <w:b w:val="0"/>
          <w:bCs w:val="0"/>
          <w:color w:val="auto"/>
          <w:sz w:val="21"/>
          <w:szCs w:val="21"/>
          <w:highlight w:val="none"/>
          <w:lang w:val="en-US"/>
        </w:rPr>
        <w:t>）款约定的损失及费用由发包人负责，按相关保险条款可以理赔的本合同19.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.6 条第（2）款、第（3）款约定的损失及费用由发包人承担，超出理赔的损失及费用由发承包双方各自承担。</w:t>
      </w:r>
    </w:p>
    <w:p w14:paraId="7ADA152C">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.11  因发生提前竣工</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赶工）事件引起的工程索赔，发承包双方可按下列原则分别承担相应费用，并调整合同价格和工期：</w:t>
      </w:r>
    </w:p>
    <w:p w14:paraId="36E95605">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（1）发包人要求合同工程提前竣工的，承包人应制定合理的加快工程进度的措施并修订进度计划，经发包人同意后实施，由此增加的提前竣工费用</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赶工费）由发包人承担；</w:t>
      </w:r>
    </w:p>
    <w:p w14:paraId="75589E39">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（2）非发包人要求，因承包人原因自行提前竣工的，应征得发包人的同意，由此增加的费用应由承包人承担。</w:t>
      </w:r>
    </w:p>
    <w:p w14:paraId="310CEBD9">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 xml:space="preserve">.12  因承包人原因发生下列事件，引起工期延误和（或）给发包人造成经济损失的，发包人可根据工期受影响延误的时间和（或）经济损失，提出以下一项或多项索赔： </w:t>
      </w:r>
    </w:p>
    <w:p w14:paraId="67683100">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（1）承包人未尽承包义务、未按合同约定执行发包人的工程指令等引起发包人发生的额外费用或额外支出；</w:t>
      </w:r>
    </w:p>
    <w:p w14:paraId="4EA95371">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（2）承包人未按合同要求正确履行对发包人提供材料、专业分包人的总承包服务造成发包人的损失；</w:t>
      </w:r>
    </w:p>
    <w:p w14:paraId="680A6005">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（3）承包人责任事件造成的发包人向政府部门缴纳的罚款或向第三人的赔偿费用；</w:t>
      </w:r>
    </w:p>
    <w:p w14:paraId="09BA3A7E">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（4）承包人原因引起合同工程发生误期造成发包人的损失；</w:t>
      </w:r>
    </w:p>
    <w:p w14:paraId="6911978D">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（5）承包人完成的工程质量不符合合同约定标准引起发包人的损失；</w:t>
      </w:r>
    </w:p>
    <w:p w14:paraId="288E576C">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（6）发包人可举证的上述费用之外的其他损失。</w:t>
      </w:r>
    </w:p>
    <w:p w14:paraId="4EB28D83">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.13  因承包人原因引起发包人的损失，发包人可以选择以下一项或多项方式获得补偿：</w:t>
      </w:r>
    </w:p>
    <w:p w14:paraId="4A68CCCC">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（1）延长质量缺陷保修期限；</w:t>
      </w:r>
    </w:p>
    <w:p w14:paraId="31DE98F8">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（2）要求承包人支付受影响发生的额外费用；</w:t>
      </w:r>
    </w:p>
    <w:p w14:paraId="2F2D82AB">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（3）要求承包人支付误期赔偿费；</w:t>
      </w:r>
    </w:p>
    <w:p w14:paraId="511BC350">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（4）要求承包人按合同的约定支付违约金。</w:t>
      </w:r>
    </w:p>
    <w:p w14:paraId="73B5AAD5">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.14  发承包双方均应采取措施尽量避免和减少因索赔事件导致的损失扩大，应采取措施的一方当事人不采取积极措施导致损失扩大的，应对扩大的损失承担责任。</w:t>
      </w:r>
    </w:p>
    <w:p w14:paraId="051AA443">
      <w:pPr>
        <w:spacing w:line="360" w:lineRule="auto"/>
        <w:ind w:firstLine="420" w:firstLineChars="200"/>
        <w:jc w:val="left"/>
        <w:rPr>
          <w:rFonts w:ascii="Times New Roman" w:hAnsi="Times New Roman" w:cs="Times New Roman"/>
          <w:color w:val="auto"/>
          <w:szCs w:val="21"/>
          <w:highlight w:val="none"/>
          <w:shd w:val="clear" w:color="auto" w:fill="auto"/>
        </w:rPr>
      </w:pPr>
      <w:r>
        <w:rPr>
          <w:rFonts w:hint="default" w:ascii="Times New Roman" w:hAnsi="Times New Roman" w:cs="Times New Roman"/>
          <w:b w:val="0"/>
          <w:bCs w:val="0"/>
          <w:color w:val="auto"/>
          <w:szCs w:val="21"/>
          <w:highlight w:val="none"/>
          <w:shd w:val="clear" w:color="auto" w:fill="auto"/>
        </w:rPr>
        <w:t>1</w:t>
      </w:r>
      <w:r>
        <w:rPr>
          <w:rFonts w:hint="default" w:ascii="Times New Roman" w:hAnsi="Times New Roman" w:cs="Times New Roman"/>
          <w:b w:val="0"/>
          <w:color w:val="auto"/>
          <w:szCs w:val="21"/>
          <w:highlight w:val="none"/>
          <w:shd w:val="clear" w:color="auto" w:fill="auto"/>
          <w:lang w:val="en-US" w:eastAsia="zh-CN"/>
        </w:rPr>
        <w:t>9</w:t>
      </w:r>
      <w:r>
        <w:rPr>
          <w:rFonts w:hint="default" w:ascii="Times New Roman" w:hAnsi="Times New Roman" w:cs="Times New Roman"/>
          <w:b w:val="0"/>
          <w:color w:val="auto"/>
          <w:szCs w:val="21"/>
          <w:highlight w:val="none"/>
          <w:shd w:val="clear" w:color="auto" w:fill="auto"/>
        </w:rPr>
        <w:t>.</w:t>
      </w:r>
      <w:r>
        <w:rPr>
          <w:rFonts w:hint="eastAsia" w:ascii="Times New Roman" w:hAnsi="Times New Roman" w:cs="Times New Roman"/>
          <w:b w:val="0"/>
          <w:color w:val="auto"/>
          <w:szCs w:val="21"/>
          <w:highlight w:val="none"/>
          <w:shd w:val="clear" w:color="auto" w:fill="auto"/>
          <w:lang w:val="en-US" w:eastAsia="zh-CN"/>
        </w:rPr>
        <w:t>6</w:t>
      </w:r>
      <w:r>
        <w:rPr>
          <w:rFonts w:hint="default" w:ascii="Times New Roman" w:hAnsi="Times New Roman" w:cs="Times New Roman"/>
          <w:b w:val="0"/>
          <w:color w:val="auto"/>
          <w:szCs w:val="21"/>
          <w:highlight w:val="none"/>
          <w:shd w:val="clear" w:color="auto" w:fill="auto"/>
        </w:rPr>
        <w:t>.</w:t>
      </w:r>
      <w:r>
        <w:rPr>
          <w:rFonts w:hint="default" w:ascii="Times New Roman" w:hAnsi="Times New Roman" w:cs="Times New Roman"/>
          <w:b w:val="0"/>
          <w:color w:val="auto"/>
          <w:szCs w:val="21"/>
          <w:highlight w:val="none"/>
          <w:shd w:val="clear" w:color="auto" w:fill="auto"/>
          <w:lang w:val="en-US" w:eastAsia="zh-CN"/>
        </w:rPr>
        <w:t>15</w:t>
      </w:r>
      <w:r>
        <w:rPr>
          <w:rFonts w:hint="default" w:ascii="Times New Roman" w:hAnsi="Times New Roman" w:cs="Times New Roman"/>
          <w:color w:val="auto"/>
          <w:szCs w:val="21"/>
          <w:highlight w:val="none"/>
          <w:shd w:val="clear" w:color="auto" w:fill="auto"/>
        </w:rPr>
        <w:t xml:space="preserve">  在相关索赔事件发生后</w:t>
      </w:r>
      <w:r>
        <w:rPr>
          <w:rFonts w:hint="default" w:ascii="Times New Roman" w:hAnsi="Times New Roman" w:cs="Times New Roman"/>
          <w:color w:val="auto"/>
          <w:szCs w:val="21"/>
          <w:highlight w:val="none"/>
          <w:shd w:val="clear" w:color="auto" w:fill="auto"/>
          <w:lang w:eastAsia="zh-CN"/>
        </w:rPr>
        <w:t>，</w:t>
      </w:r>
      <w:r>
        <w:rPr>
          <w:rFonts w:hint="default" w:ascii="Times New Roman" w:hAnsi="Times New Roman" w:cs="Times New Roman"/>
          <w:color w:val="auto"/>
          <w:szCs w:val="21"/>
          <w:highlight w:val="none"/>
          <w:shd w:val="clear" w:color="auto" w:fill="auto"/>
        </w:rPr>
        <w:t>发承包双方应及时就调整的工期和索赔的费用及时进行确认签署</w:t>
      </w:r>
      <w:r>
        <w:rPr>
          <w:rFonts w:hint="default" w:ascii="Times New Roman" w:hAnsi="Times New Roman" w:cs="Times New Roman"/>
          <w:color w:val="auto"/>
          <w:szCs w:val="21"/>
          <w:highlight w:val="none"/>
          <w:shd w:val="clear" w:color="auto" w:fill="auto"/>
          <w:lang w:eastAsia="zh-CN"/>
        </w:rPr>
        <w:t>，</w:t>
      </w:r>
      <w:r>
        <w:rPr>
          <w:rFonts w:hint="default" w:ascii="Times New Roman" w:hAnsi="Times New Roman" w:cs="Times New Roman"/>
          <w:color w:val="auto"/>
          <w:szCs w:val="21"/>
          <w:highlight w:val="none"/>
          <w:shd w:val="clear" w:color="auto" w:fill="auto"/>
        </w:rPr>
        <w:t>并应作为工程进度款和工程结算的依据。</w:t>
      </w:r>
    </w:p>
    <w:p w14:paraId="2FF15D38">
      <w:pPr>
        <w:spacing w:line="360" w:lineRule="auto"/>
        <w:ind w:firstLine="0" w:firstLineChars="0"/>
        <w:jc w:val="left"/>
        <w:outlineLvl w:val="9"/>
        <w:rPr>
          <w:rFonts w:hint="eastAsia" w:ascii="Times New Roman" w:hAnsi="宋体" w:eastAsia="宋体" w:cs="宋体"/>
          <w:b w:val="0"/>
          <w:bCs w:val="0"/>
          <w:color w:val="auto"/>
          <w:sz w:val="21"/>
          <w:szCs w:val="21"/>
          <w:highlight w:val="none"/>
          <w:lang w:val="en-US"/>
        </w:rPr>
      </w:pPr>
      <w:r>
        <w:rPr>
          <w:rFonts w:hint="eastAsia" w:eastAsia="宋体" w:cs="Times New Roman"/>
          <w:b w:val="0"/>
          <w:bCs w:val="0"/>
          <w:color w:val="auto"/>
          <w:szCs w:val="21"/>
          <w:highlight w:val="none"/>
          <w:shd w:val="clear" w:color="auto" w:fill="auto"/>
          <w:lang w:val="en-US" w:eastAsia="zh-CN"/>
        </w:rPr>
        <w:t xml:space="preserve">    </w:t>
      </w:r>
      <w:r>
        <w:rPr>
          <w:rFonts w:hint="default" w:ascii="Times New Roman" w:hAnsi="Times New Roman" w:cs="Times New Roman"/>
          <w:b w:val="0"/>
          <w:bCs w:val="0"/>
          <w:color w:val="auto"/>
          <w:szCs w:val="21"/>
          <w:highlight w:val="none"/>
          <w:shd w:val="clear" w:color="auto" w:fill="auto"/>
        </w:rPr>
        <w:t>1</w:t>
      </w:r>
      <w:r>
        <w:rPr>
          <w:rFonts w:hint="eastAsia" w:eastAsia="宋体" w:cs="Times New Roman"/>
          <w:b w:val="0"/>
          <w:color w:val="auto"/>
          <w:szCs w:val="21"/>
          <w:highlight w:val="none"/>
          <w:shd w:val="clear" w:color="auto" w:fill="auto"/>
          <w:lang w:eastAsia="zh-CN"/>
        </w:rPr>
        <w:t>9</w:t>
      </w:r>
      <w:r>
        <w:rPr>
          <w:rFonts w:hint="default" w:ascii="Times New Roman" w:hAnsi="Times New Roman" w:cs="Times New Roman"/>
          <w:b w:val="0"/>
          <w:color w:val="auto"/>
          <w:szCs w:val="21"/>
          <w:highlight w:val="none"/>
          <w:shd w:val="clear" w:color="auto" w:fill="auto"/>
        </w:rPr>
        <w:t>.</w:t>
      </w:r>
      <w:r>
        <w:rPr>
          <w:rFonts w:hint="eastAsia" w:eastAsia="宋体" w:cs="Times New Roman"/>
          <w:b w:val="0"/>
          <w:color w:val="auto"/>
          <w:szCs w:val="21"/>
          <w:highlight w:val="none"/>
          <w:shd w:val="clear" w:color="auto" w:fill="auto"/>
          <w:lang w:val="en-US" w:eastAsia="zh-CN"/>
        </w:rPr>
        <w:t>6</w:t>
      </w:r>
      <w:r>
        <w:rPr>
          <w:rFonts w:hint="default" w:ascii="Times New Roman" w:hAnsi="Times New Roman" w:cs="Times New Roman"/>
          <w:b w:val="0"/>
          <w:color w:val="auto"/>
          <w:szCs w:val="21"/>
          <w:highlight w:val="none"/>
          <w:shd w:val="clear" w:color="auto" w:fill="auto"/>
        </w:rPr>
        <w:t>.</w:t>
      </w:r>
      <w:r>
        <w:rPr>
          <w:rFonts w:hint="eastAsia" w:eastAsia="宋体" w:cs="Times New Roman"/>
          <w:b w:val="0"/>
          <w:color w:val="auto"/>
          <w:szCs w:val="21"/>
          <w:highlight w:val="none"/>
          <w:shd w:val="clear" w:color="auto" w:fill="auto"/>
          <w:lang w:val="en-US" w:eastAsia="zh-CN"/>
        </w:rPr>
        <w:t>16</w:t>
      </w:r>
      <w:r>
        <w:rPr>
          <w:rFonts w:hint="default" w:ascii="Times New Roman" w:hAnsi="Times New Roman" w:cs="Times New Roman"/>
          <w:color w:val="auto"/>
          <w:szCs w:val="21"/>
          <w:highlight w:val="none"/>
          <w:shd w:val="clear" w:color="auto" w:fill="auto"/>
        </w:rPr>
        <w:t xml:space="preserve">  在发承包双方已按合同约定完成了工程竣工结算书签署确定及已办理了竣工结算确定后</w:t>
      </w:r>
      <w:r>
        <w:rPr>
          <w:rFonts w:hint="default" w:ascii="Times New Roman" w:hAnsi="Times New Roman" w:cs="Times New Roman"/>
          <w:color w:val="auto"/>
          <w:szCs w:val="21"/>
          <w:highlight w:val="none"/>
          <w:shd w:val="clear" w:color="auto" w:fill="auto"/>
          <w:lang w:eastAsia="zh-CN"/>
        </w:rPr>
        <w:t>，</w:t>
      </w:r>
      <w:r>
        <w:rPr>
          <w:rFonts w:hint="default" w:ascii="Times New Roman" w:hAnsi="Times New Roman" w:cs="Times New Roman"/>
          <w:color w:val="auto"/>
          <w:szCs w:val="21"/>
          <w:highlight w:val="none"/>
          <w:shd w:val="clear" w:color="auto" w:fill="auto"/>
        </w:rPr>
        <w:t>双方应无权再向对方提出关于竣工结算前所发生事件的工程索赔。</w:t>
      </w:r>
    </w:p>
    <w:p w14:paraId="4428DF01">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.1</w:t>
      </w:r>
      <w:r>
        <w:rPr>
          <w:rFonts w:hint="eastAsia" w:hAnsi="宋体" w:cs="宋体"/>
          <w:b w:val="0"/>
          <w:bCs w:val="0"/>
          <w:color w:val="auto"/>
          <w:sz w:val="21"/>
          <w:szCs w:val="21"/>
          <w:highlight w:val="none"/>
          <w:lang w:val="en-US" w:eastAsia="zh-CN"/>
        </w:rPr>
        <w:t>7</w:t>
      </w:r>
      <w:r>
        <w:rPr>
          <w:rFonts w:hint="eastAsia" w:ascii="Times New Roman" w:hAnsi="宋体" w:eastAsia="宋体" w:cs="宋体"/>
          <w:b w:val="0"/>
          <w:bCs w:val="0"/>
          <w:color w:val="auto"/>
          <w:sz w:val="21"/>
          <w:szCs w:val="21"/>
          <w:highlight w:val="none"/>
          <w:lang w:val="en-US"/>
        </w:rPr>
        <w:t xml:space="preserve">  发承包双方宜通过协商方式解决工程索赔，经协商不能达成一致意见的，可按本合同第20条争议解决的约定执行，引起合同解除的，按本合同第</w:t>
      </w:r>
      <w:r>
        <w:rPr>
          <w:rFonts w:hint="eastAsia" w:ascii="Times New Roman" w:hAnsi="宋体" w:eastAsia="宋体" w:cs="宋体"/>
          <w:b w:val="0"/>
          <w:bCs w:val="0"/>
          <w:color w:val="auto"/>
          <w:sz w:val="21"/>
          <w:szCs w:val="21"/>
          <w:highlight w:val="none"/>
          <w:lang w:val="en-US" w:eastAsia="zh-CN"/>
        </w:rPr>
        <w:t>16</w:t>
      </w:r>
      <w:r>
        <w:rPr>
          <w:rFonts w:hint="eastAsia" w:ascii="Times New Roman" w:hAnsi="宋体" w:eastAsia="宋体" w:cs="宋体"/>
          <w:b w:val="0"/>
          <w:bCs w:val="0"/>
          <w:color w:val="auto"/>
          <w:sz w:val="21"/>
          <w:szCs w:val="21"/>
          <w:highlight w:val="none"/>
          <w:lang w:val="en-US"/>
        </w:rPr>
        <w:t>条</w:t>
      </w:r>
      <w:r>
        <w:rPr>
          <w:rFonts w:hint="eastAsia" w:hAnsi="宋体" w:cs="宋体"/>
          <w:b w:val="0"/>
          <w:bCs w:val="0"/>
          <w:strike w:val="0"/>
          <w:color w:val="auto"/>
          <w:sz w:val="21"/>
          <w:szCs w:val="21"/>
          <w:highlight w:val="none"/>
          <w:lang w:val="en-US" w:eastAsia="zh-CN"/>
        </w:rPr>
        <w:t>解除合同相关</w:t>
      </w:r>
      <w:r>
        <w:rPr>
          <w:rFonts w:hint="eastAsia" w:ascii="Times New Roman" w:hAnsi="宋体" w:eastAsia="宋体" w:cs="宋体"/>
          <w:b w:val="0"/>
          <w:bCs w:val="0"/>
          <w:color w:val="auto"/>
          <w:sz w:val="21"/>
          <w:szCs w:val="21"/>
          <w:highlight w:val="none"/>
          <w:lang w:val="en-US"/>
        </w:rPr>
        <w:t>的约定处理。</w:t>
      </w:r>
    </w:p>
    <w:p w14:paraId="2708D85A">
      <w:pPr>
        <w:pStyle w:val="18"/>
        <w:pBdr>
          <w:top w:val="none" w:color="auto" w:sz="0" w:space="0"/>
          <w:left w:val="none" w:color="auto" w:sz="0" w:space="0"/>
          <w:bottom w:val="none" w:color="auto" w:sz="0" w:space="1"/>
          <w:right w:val="none" w:color="auto" w:sz="0" w:space="0"/>
          <w:between w:val="none" w:color="auto" w:sz="0" w:space="0"/>
        </w:pBdr>
        <w:spacing w:line="360" w:lineRule="auto"/>
        <w:rPr>
          <w:color w:val="auto"/>
          <w:highlight w:val="none"/>
        </w:rPr>
      </w:pPr>
    </w:p>
    <w:p w14:paraId="0CC6A207">
      <w:pPr>
        <w:spacing w:line="360" w:lineRule="auto"/>
        <w:outlineLvl w:val="9"/>
        <w:rPr>
          <w:color w:val="auto"/>
          <w:highlight w:val="none"/>
        </w:rPr>
      </w:pPr>
      <w:bookmarkStart w:id="1334" w:name="_Toc20588"/>
      <w:r>
        <w:rPr>
          <w:color w:val="auto"/>
          <w:highlight w:val="none"/>
        </w:rPr>
        <w:t xml:space="preserve">20. </w:t>
      </w:r>
      <w:r>
        <w:rPr>
          <w:rFonts w:hint="eastAsia" w:hAnsi="宋体" w:cs="黑体"/>
          <w:color w:val="auto"/>
          <w:highlight w:val="none"/>
        </w:rPr>
        <w:t>争议解决</w:t>
      </w:r>
      <w:bookmarkEnd w:id="1325"/>
      <w:bookmarkEnd w:id="1326"/>
      <w:bookmarkEnd w:id="1327"/>
      <w:bookmarkEnd w:id="1328"/>
      <w:bookmarkEnd w:id="1329"/>
      <w:bookmarkEnd w:id="1330"/>
      <w:bookmarkEnd w:id="1331"/>
      <w:bookmarkEnd w:id="1334"/>
    </w:p>
    <w:bookmarkEnd w:id="1208"/>
    <w:bookmarkEnd w:id="1209"/>
    <w:p w14:paraId="416514A8">
      <w:pPr>
        <w:spacing w:line="360" w:lineRule="auto"/>
        <w:outlineLvl w:val="9"/>
        <w:rPr>
          <w:color w:val="auto"/>
          <w:highlight w:val="none"/>
        </w:rPr>
      </w:pPr>
      <w:bookmarkStart w:id="1335" w:name="_Toc1645489822"/>
      <w:bookmarkStart w:id="1336" w:name="_Toc373478424"/>
      <w:bookmarkStart w:id="1337" w:name="_Toc28101"/>
      <w:bookmarkStart w:id="1338" w:name="_Toc17992"/>
      <w:bookmarkStart w:id="1339" w:name="_Toc407135280"/>
      <w:bookmarkStart w:id="1340" w:name="_Toc78449866"/>
      <w:bookmarkStart w:id="1341" w:name="_Toc373227777"/>
      <w:bookmarkStart w:id="1342" w:name="_Toc389065342"/>
      <w:r>
        <w:rPr>
          <w:color w:val="auto"/>
          <w:highlight w:val="none"/>
        </w:rPr>
        <w:t xml:space="preserve">20.3 </w:t>
      </w:r>
      <w:r>
        <w:rPr>
          <w:rFonts w:hint="eastAsia" w:hAnsi="宋体" w:cs="黑体"/>
          <w:color w:val="auto"/>
          <w:highlight w:val="none"/>
        </w:rPr>
        <w:t>争</w:t>
      </w:r>
      <w:bookmarkEnd w:id="1210"/>
      <w:r>
        <w:rPr>
          <w:rFonts w:hint="eastAsia" w:hAnsi="宋体" w:cs="黑体"/>
          <w:color w:val="auto"/>
          <w:highlight w:val="none"/>
        </w:rPr>
        <w:t>议评审</w:t>
      </w:r>
      <w:bookmarkEnd w:id="1335"/>
      <w:bookmarkEnd w:id="1336"/>
      <w:bookmarkEnd w:id="1337"/>
      <w:bookmarkEnd w:id="1338"/>
      <w:bookmarkEnd w:id="1339"/>
      <w:bookmarkEnd w:id="1340"/>
      <w:bookmarkEnd w:id="1341"/>
      <w:bookmarkEnd w:id="1342"/>
    </w:p>
    <w:p w14:paraId="4237CD69">
      <w:pPr>
        <w:spacing w:line="360" w:lineRule="auto"/>
        <w:ind w:left="149" w:leftChars="71" w:firstLine="315" w:firstLineChars="150"/>
        <w:jc w:val="left"/>
        <w:rPr>
          <w:color w:val="auto"/>
          <w:highlight w:val="none"/>
          <w:u w:val="single"/>
        </w:rPr>
      </w:pPr>
      <w:r>
        <w:rPr>
          <w:rFonts w:hint="eastAsia" w:hAnsi="宋体" w:cs="宋体"/>
          <w:color w:val="auto"/>
          <w:highlight w:val="none"/>
        </w:rPr>
        <w:t>合同当事人是否同意将工程争议提交争议评审小组决定：</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highlight w:val="none"/>
        </w:rPr>
        <w:t>。</w:t>
      </w:r>
    </w:p>
    <w:p w14:paraId="2B04AFC7">
      <w:pPr>
        <w:spacing w:line="360" w:lineRule="auto"/>
        <w:ind w:firstLine="420" w:firstLineChars="200"/>
        <w:jc w:val="left"/>
        <w:outlineLvl w:val="9"/>
        <w:rPr>
          <w:color w:val="auto"/>
          <w:highlight w:val="none"/>
        </w:rPr>
      </w:pPr>
      <w:r>
        <w:rPr>
          <w:color w:val="auto"/>
          <w:highlight w:val="none"/>
        </w:rPr>
        <w:t xml:space="preserve">20.3.1 </w:t>
      </w:r>
      <w:r>
        <w:rPr>
          <w:rFonts w:hint="eastAsia" w:hAnsi="宋体" w:cs="宋体"/>
          <w:color w:val="auto"/>
          <w:highlight w:val="none"/>
        </w:rPr>
        <w:t>争议评审小组的确定</w:t>
      </w:r>
    </w:p>
    <w:p w14:paraId="4FEFE01A">
      <w:pPr>
        <w:spacing w:line="360" w:lineRule="auto"/>
        <w:ind w:firstLine="420" w:firstLineChars="200"/>
        <w:jc w:val="left"/>
        <w:rPr>
          <w:color w:val="auto"/>
          <w:highlight w:val="none"/>
          <w:u w:val="single"/>
        </w:rPr>
      </w:pPr>
      <w:r>
        <w:rPr>
          <w:rFonts w:hint="eastAsia" w:hAnsi="宋体" w:cs="宋体"/>
          <w:color w:val="auto"/>
          <w:highlight w:val="none"/>
        </w:rPr>
        <w:t>争议评审小组成员的确定：</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highlight w:val="none"/>
        </w:rPr>
        <w:t>。</w:t>
      </w:r>
    </w:p>
    <w:p w14:paraId="5434FAE3">
      <w:pPr>
        <w:spacing w:line="360" w:lineRule="auto"/>
        <w:ind w:firstLine="420" w:firstLineChars="200"/>
        <w:jc w:val="left"/>
        <w:rPr>
          <w:color w:val="auto"/>
          <w:highlight w:val="none"/>
        </w:rPr>
      </w:pPr>
      <w:r>
        <w:rPr>
          <w:rFonts w:hint="eastAsia" w:hAnsi="宋体" w:cs="宋体"/>
          <w:color w:val="auto"/>
          <w:highlight w:val="none"/>
        </w:rPr>
        <w:t>选定争议评审员的期限：</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highlight w:val="none"/>
        </w:rPr>
        <w:t>。</w:t>
      </w:r>
    </w:p>
    <w:p w14:paraId="152DB2F4">
      <w:pPr>
        <w:spacing w:line="360" w:lineRule="auto"/>
        <w:ind w:firstLine="420" w:firstLineChars="200"/>
        <w:jc w:val="left"/>
        <w:rPr>
          <w:color w:val="auto"/>
          <w:highlight w:val="none"/>
        </w:rPr>
      </w:pPr>
      <w:r>
        <w:rPr>
          <w:rFonts w:hint="eastAsia" w:hAnsi="宋体" w:cs="宋体"/>
          <w:color w:val="auto"/>
          <w:highlight w:val="none"/>
        </w:rPr>
        <w:t>争议评审小组成员的报酬承担方式：</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highlight w:val="none"/>
        </w:rPr>
        <w:t>。</w:t>
      </w:r>
    </w:p>
    <w:p w14:paraId="587FE8D6">
      <w:pPr>
        <w:spacing w:line="360" w:lineRule="auto"/>
        <w:ind w:firstLine="420" w:firstLineChars="200"/>
        <w:jc w:val="left"/>
        <w:rPr>
          <w:color w:val="auto"/>
          <w:highlight w:val="none"/>
        </w:rPr>
      </w:pPr>
      <w:r>
        <w:rPr>
          <w:rFonts w:hint="eastAsia" w:hAnsi="宋体" w:cs="宋体"/>
          <w:color w:val="auto"/>
          <w:highlight w:val="none"/>
        </w:rPr>
        <w:t>其他事项的约定：</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highlight w:val="none"/>
        </w:rPr>
        <w:t>。</w:t>
      </w:r>
    </w:p>
    <w:p w14:paraId="6B1E6FB0">
      <w:pPr>
        <w:autoSpaceDE w:val="0"/>
        <w:autoSpaceDN w:val="0"/>
        <w:adjustRightInd w:val="0"/>
        <w:spacing w:line="360" w:lineRule="auto"/>
        <w:ind w:firstLine="420" w:firstLineChars="200"/>
        <w:jc w:val="left"/>
        <w:rPr>
          <w:color w:val="auto"/>
          <w:kern w:val="0"/>
          <w:highlight w:val="none"/>
        </w:rPr>
      </w:pPr>
      <w:r>
        <w:rPr>
          <w:color w:val="auto"/>
          <w:kern w:val="0"/>
          <w:highlight w:val="none"/>
        </w:rPr>
        <w:t xml:space="preserve">20.3.2 </w:t>
      </w:r>
      <w:r>
        <w:rPr>
          <w:rFonts w:hint="eastAsia" w:hAnsi="宋体" w:cs="宋体"/>
          <w:color w:val="auto"/>
          <w:kern w:val="0"/>
          <w:highlight w:val="none"/>
        </w:rPr>
        <w:t>争议评审小组的决定</w:t>
      </w:r>
    </w:p>
    <w:p w14:paraId="1C233817">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合同当事人关于本项的约定：</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highlight w:val="none"/>
        </w:rPr>
        <w:t>。</w:t>
      </w:r>
    </w:p>
    <w:p w14:paraId="4989A185">
      <w:pPr>
        <w:spacing w:line="360" w:lineRule="auto"/>
        <w:ind w:firstLine="420" w:firstLineChars="200"/>
        <w:jc w:val="left"/>
        <w:rPr>
          <w:rFonts w:hint="eastAsia" w:hAnsi="宋体" w:cs="宋体"/>
          <w:color w:val="auto"/>
          <w:highlight w:val="none"/>
        </w:rPr>
      </w:pPr>
      <w:bookmarkStart w:id="1343" w:name="_Toc373478425"/>
      <w:bookmarkStart w:id="1344" w:name="_Toc1456517022"/>
      <w:bookmarkStart w:id="1345" w:name="_Toc389065343"/>
      <w:bookmarkStart w:id="1346" w:name="_Toc78449867"/>
      <w:bookmarkStart w:id="1347" w:name="_Toc373227778"/>
      <w:bookmarkStart w:id="1348" w:name="_Toc407135281"/>
      <w:r>
        <w:rPr>
          <w:rFonts w:hint="eastAsia" w:hAnsi="宋体" w:cs="宋体"/>
          <w:color w:val="auto"/>
          <w:highlight w:val="none"/>
        </w:rPr>
        <w:t>20.3.4 争议评审小组决定的效力</w:t>
      </w:r>
    </w:p>
    <w:p w14:paraId="7E00C011">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合同当事人未签字确认争议评审小组作出的书面决定的，对双方无约束力，但双方在争议评审期间提交的证明材料、认可的事实可作为后续仲裁或诉讼的证据使用。</w:t>
      </w:r>
    </w:p>
    <w:p w14:paraId="24FFE4DB">
      <w:pPr>
        <w:pStyle w:val="18"/>
        <w:pBdr>
          <w:top w:val="none" w:color="auto" w:sz="0" w:space="0"/>
          <w:left w:val="none" w:color="auto" w:sz="0" w:space="0"/>
          <w:bottom w:val="none" w:color="auto" w:sz="0" w:space="1"/>
          <w:right w:val="none" w:color="auto" w:sz="0" w:space="0"/>
          <w:between w:val="none" w:color="auto" w:sz="0" w:space="0"/>
        </w:pBdr>
        <w:spacing w:line="360" w:lineRule="auto"/>
        <w:rPr>
          <w:color w:val="auto"/>
          <w:highlight w:val="none"/>
        </w:rPr>
      </w:pPr>
    </w:p>
    <w:p w14:paraId="0A68C4D0">
      <w:pPr>
        <w:spacing w:line="360" w:lineRule="auto"/>
        <w:outlineLvl w:val="9"/>
        <w:rPr>
          <w:color w:val="auto"/>
          <w:highlight w:val="none"/>
        </w:rPr>
      </w:pPr>
      <w:bookmarkStart w:id="1349" w:name="_Toc31980"/>
      <w:bookmarkStart w:id="1350" w:name="_Toc18668"/>
      <w:r>
        <w:rPr>
          <w:color w:val="auto"/>
          <w:highlight w:val="none"/>
        </w:rPr>
        <w:t xml:space="preserve">20.4 </w:t>
      </w:r>
      <w:r>
        <w:rPr>
          <w:rFonts w:hint="eastAsia" w:hAnsi="宋体" w:cs="黑体"/>
          <w:color w:val="auto"/>
          <w:highlight w:val="none"/>
        </w:rPr>
        <w:t>仲裁或诉讼</w:t>
      </w:r>
      <w:bookmarkEnd w:id="1211"/>
      <w:bookmarkEnd w:id="1343"/>
      <w:bookmarkEnd w:id="1344"/>
      <w:bookmarkEnd w:id="1345"/>
      <w:bookmarkEnd w:id="1346"/>
      <w:bookmarkEnd w:id="1347"/>
      <w:bookmarkEnd w:id="1348"/>
      <w:bookmarkEnd w:id="1349"/>
      <w:bookmarkEnd w:id="1350"/>
    </w:p>
    <w:p w14:paraId="70201737">
      <w:pPr>
        <w:spacing w:line="360" w:lineRule="auto"/>
        <w:ind w:firstLine="420" w:firstLineChars="200"/>
        <w:rPr>
          <w:color w:val="auto"/>
          <w:highlight w:val="none"/>
        </w:rPr>
      </w:pPr>
      <w:r>
        <w:rPr>
          <w:rFonts w:hint="eastAsia" w:hAnsi="宋体" w:cs="宋体"/>
          <w:color w:val="auto"/>
          <w:highlight w:val="none"/>
        </w:rPr>
        <w:t xml:space="preserve">因合同及合同有关事项发生的争议，□是 </w:t>
      </w:r>
      <w:r>
        <w:rPr>
          <w:rFonts w:hint="eastAsia" w:hAnsi="宋体" w:cs="宋体"/>
          <w:color w:val="auto"/>
          <w:highlight w:val="none"/>
          <w:lang w:eastAsia="zh-CN"/>
        </w:rPr>
        <w:t>☑</w:t>
      </w:r>
      <w:r>
        <w:rPr>
          <w:rFonts w:hint="eastAsia" w:hAnsi="宋体" w:cs="宋体"/>
          <w:color w:val="auto"/>
          <w:highlight w:val="none"/>
        </w:rPr>
        <w:t>否 同意先进行调解或争议评审，未达成一致后，按下列第</w:t>
      </w:r>
      <w:r>
        <w:rPr>
          <w:rFonts w:hint="eastAsia" w:hAnsi="宋体" w:cs="宋体"/>
          <w:color w:val="auto"/>
          <w:highlight w:val="none"/>
          <w:u w:val="single"/>
        </w:rPr>
        <w:t xml:space="preserve"> </w:t>
      </w:r>
      <w:r>
        <w:rPr>
          <w:rFonts w:hint="eastAsia" w:hAnsi="宋体" w:cs="宋体"/>
          <w:color w:val="auto"/>
          <w:highlight w:val="none"/>
          <w:u w:val="single"/>
          <w:lang w:val="en-US" w:eastAsia="zh-CN"/>
        </w:rPr>
        <w:t>(2)</w:t>
      </w:r>
      <w:r>
        <w:rPr>
          <w:rFonts w:hint="eastAsia" w:hAnsi="宋体" w:cs="宋体"/>
          <w:color w:val="auto"/>
          <w:highlight w:val="none"/>
          <w:u w:val="single"/>
        </w:rPr>
        <w:t xml:space="preserve">  </w:t>
      </w:r>
      <w:r>
        <w:rPr>
          <w:rFonts w:hint="eastAsia" w:hAnsi="宋体" w:cs="宋体"/>
          <w:color w:val="auto"/>
          <w:highlight w:val="none"/>
        </w:rPr>
        <w:t>种方式解决：</w:t>
      </w:r>
    </w:p>
    <w:p w14:paraId="1C8D6E56">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（1）向</w:t>
      </w:r>
      <w:r>
        <w:rPr>
          <w:rFonts w:hint="eastAsia" w:hAnsi="宋体" w:cs="宋体"/>
          <w:color w:val="auto"/>
          <w:highlight w:val="none"/>
          <w:u w:val="single"/>
        </w:rPr>
        <w:t xml:space="preserve">   </w:t>
      </w:r>
      <w:r>
        <w:rPr>
          <w:rFonts w:hint="eastAsia" w:hAnsi="宋体" w:cs="宋体"/>
          <w:color w:val="auto"/>
          <w:highlight w:val="none"/>
          <w:u w:val="single"/>
          <w:lang w:val="en-US" w:eastAsia="zh-CN"/>
        </w:rPr>
        <w:t>/</w:t>
      </w:r>
      <w:r>
        <w:rPr>
          <w:rFonts w:hint="eastAsia" w:hAnsi="宋体" w:cs="宋体"/>
          <w:color w:val="auto"/>
          <w:highlight w:val="none"/>
          <w:u w:val="single"/>
        </w:rPr>
        <w:t xml:space="preserve">       </w:t>
      </w:r>
      <w:r>
        <w:rPr>
          <w:rFonts w:hint="eastAsia" w:hAnsi="宋体" w:cs="宋体"/>
          <w:color w:val="auto"/>
          <w:highlight w:val="none"/>
        </w:rPr>
        <w:t>仲裁委员会申请仲裁；</w:t>
      </w:r>
    </w:p>
    <w:p w14:paraId="4A3A935B">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1）对于未能友好协商，或未能通过调解或争议评审解决的争议，发包人或承包人任一方均有权提交给约定的仲裁委员会仲裁。</w:t>
      </w:r>
    </w:p>
    <w:p w14:paraId="5D0B3E99">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2）仲裁可在工程竣工验收之前或之后进行，但发包人、监理人和承包人各自的义务不得因在工程实施期间进行仲裁而有所改变。如果仲裁是在终止合同的情况下进行， 则对合同工程应采取保护措施，措施费由败诉方承担。</w:t>
      </w:r>
    </w:p>
    <w:p w14:paraId="467D3351">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3）仲裁裁决是终局性的并对发包人和承包人双方具有约束力。</w:t>
      </w:r>
    </w:p>
    <w:p w14:paraId="1B8031EF">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4）全部仲裁费用应由败诉方承担；或按仲裁委员会裁决的比例分担。</w:t>
      </w:r>
    </w:p>
    <w:p w14:paraId="6EAC76A5">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）向</w:t>
      </w:r>
      <w:r>
        <w:rPr>
          <w:rFonts w:hint="eastAsia"/>
          <w:color w:val="auto"/>
          <w:highlight w:val="none"/>
          <w:u w:val="single"/>
          <w:lang w:val="en-US" w:eastAsia="zh-CN"/>
        </w:rPr>
        <w:t>项目所在地</w:t>
      </w:r>
      <w:r>
        <w:rPr>
          <w:rFonts w:hint="eastAsia" w:hAnsi="宋体" w:cs="宋体"/>
          <w:color w:val="auto"/>
          <w:highlight w:val="none"/>
        </w:rPr>
        <w:t>人民法院起诉。</w:t>
      </w:r>
      <w:bookmarkEnd w:id="1212"/>
      <w:bookmarkEnd w:id="1213"/>
      <w:bookmarkEnd w:id="1214"/>
      <w:bookmarkEnd w:id="1215"/>
      <w:bookmarkEnd w:id="1216"/>
      <w:bookmarkEnd w:id="1217"/>
    </w:p>
    <w:p w14:paraId="2CEC5EFA">
      <w:pPr>
        <w:spacing w:line="360" w:lineRule="auto"/>
        <w:jc w:val="left"/>
        <w:rPr>
          <w:rFonts w:eastAsia="黑体"/>
          <w:b/>
          <w:bCs/>
          <w:color w:val="auto"/>
          <w:sz w:val="28"/>
          <w:szCs w:val="28"/>
          <w:highlight w:val="none"/>
        </w:rPr>
      </w:pPr>
      <w:bookmarkStart w:id="1351" w:name="_Toc351203652"/>
      <w:r>
        <w:rPr>
          <w:rFonts w:hint="eastAsia" w:eastAsia="黑体" w:cs="黑体"/>
          <w:b/>
          <w:bCs/>
          <w:color w:val="auto"/>
          <w:sz w:val="28"/>
          <w:szCs w:val="28"/>
          <w:highlight w:val="none"/>
        </w:rPr>
        <w:t>附件</w:t>
      </w:r>
      <w:bookmarkEnd w:id="1351"/>
    </w:p>
    <w:p w14:paraId="14C5565B">
      <w:pPr>
        <w:spacing w:line="360" w:lineRule="auto"/>
        <w:jc w:val="left"/>
        <w:rPr>
          <w:rFonts w:hint="eastAsia" w:ascii="宋体" w:hAnsi="宋体" w:cs="宋体"/>
          <w:color w:val="auto"/>
          <w:highlight w:val="none"/>
        </w:rPr>
      </w:pPr>
      <w:r>
        <w:rPr>
          <w:rFonts w:hint="eastAsia" w:ascii="宋体" w:hAnsi="宋体" w:cs="宋体"/>
          <w:color w:val="auto"/>
          <w:highlight w:val="none"/>
        </w:rPr>
        <w:t>附件</w:t>
      </w:r>
      <w:r>
        <w:rPr>
          <w:rFonts w:ascii="宋体" w:hAnsi="宋体" w:cs="宋体"/>
          <w:color w:val="auto"/>
          <w:highlight w:val="none"/>
        </w:rPr>
        <w:t>1</w:t>
      </w:r>
      <w:r>
        <w:rPr>
          <w:rFonts w:hint="eastAsia" w:ascii="宋体" w:hAnsi="宋体" w:cs="宋体"/>
          <w:color w:val="auto"/>
          <w:highlight w:val="none"/>
        </w:rPr>
        <w:t>：承包人承揽工程项目一览表</w:t>
      </w:r>
    </w:p>
    <w:p w14:paraId="03FB4D4C">
      <w:pPr>
        <w:spacing w:line="360" w:lineRule="auto"/>
        <w:jc w:val="left"/>
        <w:rPr>
          <w:rFonts w:ascii="宋体" w:hAnsi="宋体" w:cs="宋体"/>
          <w:color w:val="auto"/>
          <w:highlight w:val="none"/>
        </w:rPr>
      </w:pPr>
      <w:r>
        <w:rPr>
          <w:rFonts w:hint="eastAsia" w:ascii="宋体" w:hAnsi="宋体" w:cs="宋体"/>
          <w:color w:val="auto"/>
          <w:highlight w:val="none"/>
        </w:rPr>
        <w:t>附件2：工程质量保修书</w:t>
      </w:r>
    </w:p>
    <w:p w14:paraId="32CCBBF8">
      <w:pPr>
        <w:spacing w:line="360" w:lineRule="auto"/>
        <w:jc w:val="left"/>
        <w:rPr>
          <w:rFonts w:hint="eastAsia" w:ascii="宋体" w:hAnsi="宋体" w:cs="宋体"/>
          <w:color w:val="auto"/>
          <w:highlight w:val="none"/>
        </w:rPr>
      </w:pPr>
      <w:r>
        <w:rPr>
          <w:rFonts w:ascii="宋体" w:hAnsi="宋体" w:cs="宋体"/>
          <w:color w:val="auto"/>
          <w:highlight w:val="none"/>
        </w:rPr>
        <w:t>附件</w:t>
      </w:r>
      <w:r>
        <w:rPr>
          <w:rFonts w:hint="eastAsia" w:ascii="宋体" w:hAnsi="宋体" w:cs="宋体"/>
          <w:color w:val="auto"/>
          <w:highlight w:val="none"/>
        </w:rPr>
        <w:t>3</w:t>
      </w:r>
      <w:r>
        <w:rPr>
          <w:rFonts w:ascii="宋体" w:hAnsi="宋体" w:cs="宋体"/>
          <w:color w:val="auto"/>
          <w:highlight w:val="none"/>
        </w:rPr>
        <w:t>：主要建设工程文件目录</w:t>
      </w:r>
    </w:p>
    <w:p w14:paraId="2AF33D3B">
      <w:pPr>
        <w:spacing w:line="360" w:lineRule="auto"/>
        <w:jc w:val="left"/>
        <w:rPr>
          <w:rFonts w:ascii="宋体" w:hAnsi="宋体" w:cs="宋体"/>
          <w:color w:val="auto"/>
          <w:highlight w:val="none"/>
        </w:rPr>
      </w:pPr>
      <w:r>
        <w:rPr>
          <w:rFonts w:hint="eastAsia" w:ascii="宋体" w:hAnsi="宋体" w:cs="宋体"/>
          <w:color w:val="auto"/>
          <w:highlight w:val="none"/>
        </w:rPr>
        <w:t>附件4：承包人用于本工程施工的机械设备表</w:t>
      </w:r>
    </w:p>
    <w:p w14:paraId="0151D348">
      <w:pPr>
        <w:spacing w:line="360" w:lineRule="auto"/>
        <w:jc w:val="left"/>
        <w:rPr>
          <w:rFonts w:ascii="宋体"/>
          <w:color w:val="auto"/>
          <w:highlight w:val="none"/>
        </w:rPr>
      </w:pPr>
      <w:r>
        <w:rPr>
          <w:rFonts w:hint="eastAsia" w:ascii="宋体" w:hAnsi="宋体" w:cs="宋体"/>
          <w:color w:val="auto"/>
          <w:highlight w:val="none"/>
        </w:rPr>
        <w:t>附件5：承包人主要施工管理人员表</w:t>
      </w:r>
    </w:p>
    <w:p w14:paraId="77B13FD7">
      <w:pPr>
        <w:spacing w:line="360" w:lineRule="auto"/>
        <w:jc w:val="left"/>
        <w:rPr>
          <w:rFonts w:ascii="宋体"/>
          <w:color w:val="auto"/>
          <w:highlight w:val="none"/>
        </w:rPr>
      </w:pPr>
      <w:r>
        <w:rPr>
          <w:rFonts w:hint="eastAsia" w:ascii="宋体" w:hAnsi="宋体" w:cs="宋体"/>
          <w:color w:val="auto"/>
          <w:highlight w:val="none"/>
        </w:rPr>
        <w:t>附件6：分包人主要施工管理人员表</w:t>
      </w:r>
    </w:p>
    <w:p w14:paraId="73C0D23B">
      <w:pPr>
        <w:spacing w:line="360" w:lineRule="auto"/>
        <w:jc w:val="left"/>
        <w:rPr>
          <w:rFonts w:ascii="宋体"/>
          <w:color w:val="auto"/>
          <w:highlight w:val="none"/>
        </w:rPr>
      </w:pPr>
      <w:r>
        <w:rPr>
          <w:rFonts w:hint="eastAsia" w:ascii="宋体" w:hAnsi="宋体" w:cs="宋体"/>
          <w:color w:val="auto"/>
          <w:highlight w:val="none"/>
        </w:rPr>
        <w:t>附件7：履约担保格式（独立保函、非独立保函）</w:t>
      </w:r>
    </w:p>
    <w:p w14:paraId="22285E3D">
      <w:pPr>
        <w:spacing w:line="360" w:lineRule="auto"/>
        <w:jc w:val="left"/>
        <w:rPr>
          <w:rFonts w:hint="eastAsia" w:ascii="宋体" w:hAnsi="宋体" w:cs="宋体"/>
          <w:color w:val="auto"/>
          <w:highlight w:val="none"/>
        </w:rPr>
      </w:pPr>
      <w:r>
        <w:rPr>
          <w:rFonts w:hint="eastAsia" w:ascii="宋体" w:hAnsi="宋体" w:cs="宋体"/>
          <w:color w:val="auto"/>
          <w:highlight w:val="none"/>
        </w:rPr>
        <w:t>附件8：预付款担保格式（独立保函、非独立保函）</w:t>
      </w:r>
    </w:p>
    <w:p w14:paraId="5BB0033A">
      <w:pPr>
        <w:spacing w:line="360" w:lineRule="auto"/>
        <w:jc w:val="left"/>
        <w:rPr>
          <w:rFonts w:ascii="宋体" w:hAnsi="宋体" w:cs="宋体"/>
          <w:color w:val="auto"/>
          <w:highlight w:val="none"/>
        </w:rPr>
      </w:pPr>
      <w:r>
        <w:rPr>
          <w:rFonts w:hint="eastAsia" w:ascii="宋体" w:hAnsi="宋体" w:cs="宋体"/>
          <w:color w:val="auto"/>
          <w:highlight w:val="none"/>
        </w:rPr>
        <w:t>附件9：支付担保格式（独立保函、非独立保函）</w:t>
      </w:r>
    </w:p>
    <w:p w14:paraId="72E280A1">
      <w:pPr>
        <w:spacing w:line="360" w:lineRule="auto"/>
        <w:jc w:val="left"/>
        <w:rPr>
          <w:rFonts w:hint="eastAsia"/>
          <w:color w:val="auto"/>
          <w:highlight w:val="none"/>
        </w:rPr>
      </w:pPr>
      <w:r>
        <w:rPr>
          <w:rFonts w:hint="eastAsia" w:ascii="宋体" w:hAnsi="宋体" w:cs="宋体"/>
          <w:color w:val="auto"/>
          <w:highlight w:val="none"/>
        </w:rPr>
        <w:t>附件10：预付款</w:t>
      </w:r>
      <w:r>
        <w:rPr>
          <w:rFonts w:hint="eastAsia"/>
          <w:color w:val="auto"/>
          <w:highlight w:val="none"/>
        </w:rPr>
        <w:t>支付申请（核准）表</w:t>
      </w:r>
    </w:p>
    <w:p w14:paraId="5C39B951">
      <w:pPr>
        <w:spacing w:line="360" w:lineRule="auto"/>
        <w:jc w:val="left"/>
        <w:rPr>
          <w:rFonts w:hint="eastAsia"/>
          <w:color w:val="auto"/>
          <w:highlight w:val="none"/>
        </w:rPr>
      </w:pPr>
      <w:r>
        <w:rPr>
          <w:rFonts w:hint="eastAsia" w:ascii="宋体" w:hAnsi="宋体" w:cs="宋体"/>
          <w:color w:val="auto"/>
          <w:highlight w:val="none"/>
        </w:rPr>
        <w:t>附件11：</w:t>
      </w:r>
      <w:r>
        <w:rPr>
          <w:rFonts w:hint="eastAsia"/>
          <w:color w:val="auto"/>
          <w:highlight w:val="none"/>
        </w:rPr>
        <w:t>进度款支付申请（核准）表</w:t>
      </w:r>
    </w:p>
    <w:p w14:paraId="56087216">
      <w:pPr>
        <w:spacing w:line="360" w:lineRule="auto"/>
        <w:jc w:val="left"/>
        <w:rPr>
          <w:rFonts w:hint="eastAsia"/>
          <w:color w:val="auto"/>
          <w:highlight w:val="none"/>
        </w:rPr>
      </w:pPr>
      <w:r>
        <w:rPr>
          <w:rFonts w:hint="eastAsia" w:ascii="宋体" w:hAnsi="宋体" w:cs="宋体"/>
          <w:color w:val="auto"/>
          <w:highlight w:val="none"/>
        </w:rPr>
        <w:t>附件12：竣工</w:t>
      </w:r>
      <w:r>
        <w:rPr>
          <w:rFonts w:hint="eastAsia" w:ascii="宋体" w:hAnsi="宋体" w:cs="宋体"/>
          <w:color w:val="auto"/>
          <w:highlight w:val="none"/>
          <w:lang w:eastAsia="zh-CN"/>
        </w:rPr>
        <w:t>（施工过程）</w:t>
      </w:r>
      <w:r>
        <w:rPr>
          <w:rFonts w:hint="eastAsia" w:ascii="宋体" w:hAnsi="宋体" w:cs="宋体"/>
          <w:color w:val="auto"/>
          <w:highlight w:val="none"/>
        </w:rPr>
        <w:t>结算</w:t>
      </w:r>
      <w:r>
        <w:rPr>
          <w:rFonts w:hint="eastAsia"/>
          <w:color w:val="auto"/>
          <w:highlight w:val="none"/>
        </w:rPr>
        <w:t>款支付申请（核准）表</w:t>
      </w:r>
    </w:p>
    <w:p w14:paraId="217A6A4D">
      <w:pPr>
        <w:spacing w:line="360" w:lineRule="auto"/>
        <w:jc w:val="left"/>
        <w:rPr>
          <w:rFonts w:hint="eastAsia"/>
          <w:color w:val="auto"/>
          <w:highlight w:val="none"/>
        </w:rPr>
      </w:pPr>
      <w:r>
        <w:rPr>
          <w:rFonts w:hint="eastAsia" w:ascii="宋体" w:hAnsi="宋体" w:cs="宋体"/>
          <w:color w:val="auto"/>
          <w:highlight w:val="none"/>
        </w:rPr>
        <w:t>附件13：工程保修与结清结算支付申请（核准）表</w:t>
      </w:r>
    </w:p>
    <w:p w14:paraId="51073DA5">
      <w:pPr>
        <w:spacing w:line="360" w:lineRule="auto"/>
        <w:jc w:val="left"/>
        <w:rPr>
          <w:rFonts w:hint="eastAsia"/>
          <w:color w:val="auto"/>
          <w:highlight w:val="none"/>
        </w:rPr>
      </w:pPr>
      <w:r>
        <w:rPr>
          <w:rFonts w:hint="eastAsia"/>
          <w:color w:val="auto"/>
          <w:highlight w:val="none"/>
        </w:rPr>
        <w:t>附件14：总价合同进度款支付分解表</w:t>
      </w:r>
    </w:p>
    <w:p w14:paraId="2932A62C">
      <w:pPr>
        <w:spacing w:line="360" w:lineRule="auto"/>
        <w:jc w:val="left"/>
        <w:rPr>
          <w:rFonts w:hint="eastAsia"/>
          <w:color w:val="auto"/>
          <w:highlight w:val="none"/>
          <w:lang w:eastAsia="zh-CN"/>
        </w:rPr>
      </w:pPr>
      <w:r>
        <w:rPr>
          <w:rFonts w:hint="eastAsia"/>
          <w:color w:val="auto"/>
          <w:highlight w:val="none"/>
        </w:rPr>
        <w:t>附件15</w:t>
      </w:r>
      <w:r>
        <w:rPr>
          <w:rFonts w:hint="eastAsia"/>
          <w:color w:val="auto"/>
          <w:highlight w:val="none"/>
          <w:lang w:eastAsia="zh-CN"/>
        </w:rPr>
        <w:t>：措施项目费用分拆表</w:t>
      </w:r>
    </w:p>
    <w:p w14:paraId="7344BC95">
      <w:pPr>
        <w:spacing w:line="360" w:lineRule="auto"/>
        <w:jc w:val="left"/>
        <w:rPr>
          <w:rFonts w:hint="eastAsia"/>
          <w:color w:val="auto"/>
          <w:highlight w:val="none"/>
        </w:rPr>
      </w:pPr>
      <w:r>
        <w:rPr>
          <w:rFonts w:hint="eastAsia"/>
          <w:color w:val="auto"/>
          <w:highlight w:val="none"/>
          <w:lang w:eastAsia="zh-CN"/>
        </w:rPr>
        <w:t>附件</w:t>
      </w:r>
      <w:r>
        <w:rPr>
          <w:rFonts w:hint="eastAsia"/>
          <w:color w:val="auto"/>
          <w:highlight w:val="none"/>
          <w:lang w:val="en-US" w:eastAsia="zh-CN"/>
        </w:rPr>
        <w:t>16：零星签证费用确认单</w:t>
      </w:r>
    </w:p>
    <w:p w14:paraId="291217ED">
      <w:pPr>
        <w:pBdr>
          <w:top w:val="none" w:color="auto" w:sz="0" w:space="0"/>
          <w:left w:val="none" w:color="auto" w:sz="0" w:space="0"/>
          <w:right w:val="none" w:color="auto" w:sz="0" w:space="0"/>
          <w:between w:val="none" w:color="auto" w:sz="0" w:space="0"/>
        </w:pBdr>
        <w:spacing w:line="360" w:lineRule="auto"/>
        <w:jc w:val="left"/>
        <w:rPr>
          <w:rFonts w:hint="eastAsia" w:eastAsia="宋体"/>
          <w:color w:val="auto"/>
          <w:sz w:val="21"/>
          <w:szCs w:val="21"/>
          <w:highlight w:val="none"/>
          <w:lang w:val="en-US" w:eastAsia="zh-CN"/>
        </w:rPr>
      </w:pPr>
      <w:r>
        <w:rPr>
          <w:rFonts w:hint="eastAsia"/>
          <w:color w:val="auto"/>
          <w:sz w:val="21"/>
          <w:szCs w:val="21"/>
          <w:highlight w:val="none"/>
          <w:lang w:eastAsia="zh-CN"/>
        </w:rPr>
        <w:t>附件</w:t>
      </w:r>
      <w:r>
        <w:rPr>
          <w:rFonts w:hint="eastAsia"/>
          <w:color w:val="auto"/>
          <w:sz w:val="21"/>
          <w:szCs w:val="21"/>
          <w:highlight w:val="none"/>
          <w:lang w:val="en-US" w:eastAsia="zh-CN"/>
        </w:rPr>
        <w:t>17：索赔费用申请（核准）表</w:t>
      </w:r>
    </w:p>
    <w:p w14:paraId="46DE5557">
      <w:pPr>
        <w:pBdr>
          <w:top w:val="none" w:color="auto" w:sz="0" w:space="0"/>
          <w:left w:val="none" w:color="auto" w:sz="0" w:space="0"/>
          <w:right w:val="none" w:color="auto" w:sz="0" w:space="0"/>
          <w:between w:val="none" w:color="auto" w:sz="0" w:space="0"/>
        </w:pBdr>
        <w:spacing w:line="360" w:lineRule="auto"/>
        <w:rPr>
          <w:rFonts w:hint="eastAsia"/>
          <w:color w:val="auto"/>
          <w:sz w:val="21"/>
          <w:szCs w:val="21"/>
          <w:highlight w:val="none"/>
          <w:lang w:val="en-US" w:eastAsia="zh-CN"/>
        </w:rPr>
      </w:pPr>
      <w:r>
        <w:rPr>
          <w:rFonts w:hint="eastAsia"/>
          <w:color w:val="auto"/>
          <w:sz w:val="21"/>
          <w:szCs w:val="21"/>
          <w:highlight w:val="none"/>
          <w:lang w:eastAsia="zh-CN"/>
        </w:rPr>
        <w:t>附件</w:t>
      </w:r>
      <w:r>
        <w:rPr>
          <w:rFonts w:hint="eastAsia"/>
          <w:color w:val="auto"/>
          <w:sz w:val="21"/>
          <w:szCs w:val="21"/>
          <w:highlight w:val="none"/>
          <w:lang w:val="en-US" w:eastAsia="zh-CN"/>
        </w:rPr>
        <w:t>18：安全生产费支付申请（核准）表</w:t>
      </w:r>
    </w:p>
    <w:p w14:paraId="5152DB40">
      <w:pPr>
        <w:pBdr>
          <w:top w:val="none" w:color="auto" w:sz="0" w:space="0"/>
          <w:left w:val="none" w:color="auto" w:sz="0" w:space="0"/>
          <w:right w:val="none" w:color="auto" w:sz="0" w:space="0"/>
          <w:between w:val="none" w:color="auto" w:sz="0" w:space="0"/>
        </w:pBdr>
        <w:tabs>
          <w:tab w:val="center" w:pos="4153"/>
          <w:tab w:val="right" w:pos="8306"/>
        </w:tabs>
        <w:spacing w:line="360" w:lineRule="auto"/>
        <w:rPr>
          <w:rFonts w:hint="eastAsia"/>
          <w:color w:val="auto"/>
          <w:sz w:val="21"/>
          <w:szCs w:val="21"/>
          <w:highlight w:val="none"/>
          <w:lang w:val="en-US" w:eastAsia="zh-CN"/>
        </w:rPr>
      </w:pPr>
      <w:r>
        <w:rPr>
          <w:rFonts w:hint="eastAsia"/>
          <w:color w:val="auto"/>
          <w:sz w:val="21"/>
          <w:szCs w:val="21"/>
          <w:highlight w:val="none"/>
          <w:lang w:eastAsia="zh-CN"/>
        </w:rPr>
        <w:t>附件</w:t>
      </w:r>
      <w:r>
        <w:rPr>
          <w:rFonts w:hint="eastAsia"/>
          <w:color w:val="auto"/>
          <w:sz w:val="21"/>
          <w:szCs w:val="21"/>
          <w:highlight w:val="none"/>
          <w:lang w:val="en-US" w:eastAsia="zh-CN"/>
        </w:rPr>
        <w:t>19：发包人提供材料一览表</w:t>
      </w:r>
    </w:p>
    <w:p w14:paraId="17360C78">
      <w:pPr>
        <w:pBdr>
          <w:top w:val="none" w:color="auto" w:sz="0" w:space="0"/>
          <w:left w:val="none" w:color="auto" w:sz="0" w:space="0"/>
          <w:right w:val="none" w:color="auto" w:sz="0" w:space="0"/>
          <w:between w:val="none" w:color="auto" w:sz="0" w:space="0"/>
        </w:pBdr>
        <w:tabs>
          <w:tab w:val="center" w:pos="4153"/>
          <w:tab w:val="right" w:pos="8306"/>
        </w:tabs>
        <w:spacing w:line="360" w:lineRule="auto"/>
        <w:rPr>
          <w:rFonts w:hint="eastAsia"/>
          <w:color w:val="auto"/>
          <w:highlight w:val="none"/>
        </w:rPr>
        <w:sectPr>
          <w:pgSz w:w="11907" w:h="16840"/>
          <w:pgMar w:top="1440" w:right="1800" w:bottom="1440" w:left="1800" w:header="851" w:footer="850" w:gutter="0"/>
          <w:cols w:space="0" w:num="1"/>
          <w:rtlGutter w:val="0"/>
          <w:docGrid w:linePitch="312" w:charSpace="0"/>
        </w:sectPr>
      </w:pPr>
      <w:r>
        <w:rPr>
          <w:rFonts w:hint="eastAsia"/>
          <w:color w:val="auto"/>
          <w:sz w:val="21"/>
          <w:szCs w:val="21"/>
          <w:highlight w:val="none"/>
          <w:lang w:eastAsia="zh-CN"/>
        </w:rPr>
        <w:t>附件</w:t>
      </w:r>
      <w:r>
        <w:rPr>
          <w:rFonts w:hint="eastAsia"/>
          <w:color w:val="auto"/>
          <w:sz w:val="21"/>
          <w:szCs w:val="21"/>
          <w:highlight w:val="none"/>
          <w:lang w:val="en-US" w:eastAsia="zh-CN"/>
        </w:rPr>
        <w:t>20：允许调整价格的主要材料一览表</w:t>
      </w:r>
    </w:p>
    <w:p w14:paraId="2A901CEB">
      <w:pPr>
        <w:pStyle w:val="18"/>
        <w:pBdr>
          <w:top w:val="none" w:color="auto" w:sz="0" w:space="0"/>
          <w:left w:val="none" w:color="auto" w:sz="0" w:space="0"/>
          <w:bottom w:val="none" w:color="auto" w:sz="0" w:space="1"/>
          <w:right w:val="none" w:color="auto" w:sz="0" w:space="0"/>
          <w:between w:val="none" w:color="auto" w:sz="0" w:space="0"/>
        </w:pBdr>
        <w:spacing w:line="360" w:lineRule="auto"/>
        <w:rPr>
          <w:rFonts w:hint="eastAsia"/>
          <w:color w:val="auto"/>
          <w:highlight w:val="none"/>
        </w:rPr>
      </w:pPr>
    </w:p>
    <w:p w14:paraId="5A6A6622">
      <w:pPr>
        <w:spacing w:before="120" w:beforeLines="50" w:after="120" w:afterLines="50" w:line="360" w:lineRule="auto"/>
        <w:jc w:val="left"/>
        <w:rPr>
          <w:rFonts w:hint="eastAsia"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附件</w:t>
      </w:r>
      <w:r>
        <w:rPr>
          <w:rFonts w:ascii="仿宋_GB2312" w:eastAsia="仿宋_GB2312" w:cs="仿宋_GB2312"/>
          <w:color w:val="auto"/>
          <w:sz w:val="30"/>
          <w:szCs w:val="30"/>
          <w:highlight w:val="none"/>
        </w:rPr>
        <w:t>1</w:t>
      </w:r>
      <w:r>
        <w:rPr>
          <w:rFonts w:hint="eastAsia" w:ascii="仿宋_GB2312" w:eastAsia="仿宋_GB2312" w:cs="仿宋_GB2312"/>
          <w:color w:val="auto"/>
          <w:sz w:val="30"/>
          <w:szCs w:val="30"/>
          <w:highlight w:val="none"/>
        </w:rPr>
        <w:t>：承包人承揽工程项目一览表</w:t>
      </w:r>
    </w:p>
    <w:p w14:paraId="348D7D95">
      <w:pPr>
        <w:spacing w:before="120" w:beforeLines="50" w:after="120" w:afterLines="50" w:line="360" w:lineRule="auto"/>
        <w:jc w:val="center"/>
        <w:rPr>
          <w:rFonts w:eastAsia="黑体"/>
          <w:color w:val="auto"/>
          <w:sz w:val="30"/>
          <w:szCs w:val="30"/>
          <w:highlight w:val="none"/>
        </w:rPr>
      </w:pPr>
      <w:r>
        <w:rPr>
          <w:rFonts w:hint="eastAsia" w:eastAsia="黑体" w:cs="黑体"/>
          <w:color w:val="auto"/>
          <w:sz w:val="30"/>
          <w:szCs w:val="30"/>
          <w:highlight w:val="none"/>
        </w:rPr>
        <w:t>承包人承揽工程项目一览表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40"/>
        <w:gridCol w:w="1440"/>
        <w:gridCol w:w="1620"/>
        <w:gridCol w:w="1661"/>
        <w:gridCol w:w="850"/>
        <w:gridCol w:w="1560"/>
        <w:gridCol w:w="2126"/>
        <w:gridCol w:w="1417"/>
        <w:gridCol w:w="851"/>
        <w:gridCol w:w="850"/>
      </w:tblGrid>
      <w:tr w14:paraId="38E1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40" w:type="dxa"/>
            <w:noWrap w:val="0"/>
            <w:vAlign w:val="center"/>
          </w:tcPr>
          <w:p w14:paraId="6B02F34A">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单位工程名称</w:t>
            </w:r>
          </w:p>
        </w:tc>
        <w:tc>
          <w:tcPr>
            <w:tcW w:w="1440" w:type="dxa"/>
            <w:noWrap w:val="0"/>
            <w:vAlign w:val="center"/>
          </w:tcPr>
          <w:p w14:paraId="0C80B74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建设规模</w:t>
            </w:r>
          </w:p>
        </w:tc>
        <w:tc>
          <w:tcPr>
            <w:tcW w:w="1620" w:type="dxa"/>
            <w:noWrap w:val="0"/>
            <w:vAlign w:val="center"/>
          </w:tcPr>
          <w:p w14:paraId="4E46380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建筑面积</w:t>
            </w:r>
            <w:r>
              <w:rPr>
                <w:rFonts w:hint="eastAsia" w:ascii="Calibri" w:hAnsi="Calibri" w:eastAsia="仿宋_GB2312" w:cs="仿宋_GB2312"/>
                <w:color w:val="auto"/>
                <w:sz w:val="28"/>
                <w:szCs w:val="28"/>
                <w:highlight w:val="none"/>
                <w:lang w:eastAsia="zh-CN"/>
              </w:rPr>
              <w:t>（</w:t>
            </w:r>
            <w:r>
              <w:rPr>
                <w:rFonts w:hint="eastAsia" w:ascii="Calibri" w:hAnsi="Calibri" w:eastAsia="仿宋_GB2312" w:cs="仿宋_GB2312"/>
                <w:color w:val="auto"/>
                <w:sz w:val="28"/>
                <w:szCs w:val="28"/>
                <w:highlight w:val="none"/>
              </w:rPr>
              <w:t>平方米</w:t>
            </w:r>
            <w:r>
              <w:rPr>
                <w:rFonts w:hint="eastAsia" w:ascii="Calibri" w:hAnsi="Calibri" w:eastAsia="仿宋_GB2312" w:cs="仿宋_GB2312"/>
                <w:color w:val="auto"/>
                <w:sz w:val="28"/>
                <w:szCs w:val="28"/>
                <w:highlight w:val="none"/>
                <w:lang w:eastAsia="zh-CN"/>
              </w:rPr>
              <w:t>）</w:t>
            </w:r>
          </w:p>
        </w:tc>
        <w:tc>
          <w:tcPr>
            <w:tcW w:w="1661" w:type="dxa"/>
            <w:noWrap w:val="0"/>
            <w:vAlign w:val="center"/>
          </w:tcPr>
          <w:p w14:paraId="44C4F621">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结构形式</w:t>
            </w:r>
          </w:p>
        </w:tc>
        <w:tc>
          <w:tcPr>
            <w:tcW w:w="850" w:type="dxa"/>
            <w:noWrap w:val="0"/>
            <w:vAlign w:val="center"/>
          </w:tcPr>
          <w:p w14:paraId="38D9E420">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层数</w:t>
            </w:r>
          </w:p>
        </w:tc>
        <w:tc>
          <w:tcPr>
            <w:tcW w:w="1560" w:type="dxa"/>
            <w:noWrap w:val="0"/>
            <w:vAlign w:val="center"/>
          </w:tcPr>
          <w:p w14:paraId="44024910">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生产能力</w:t>
            </w:r>
          </w:p>
        </w:tc>
        <w:tc>
          <w:tcPr>
            <w:tcW w:w="2126" w:type="dxa"/>
            <w:noWrap w:val="0"/>
            <w:vAlign w:val="center"/>
          </w:tcPr>
          <w:p w14:paraId="5161F848">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设备安装内容</w:t>
            </w:r>
          </w:p>
        </w:tc>
        <w:tc>
          <w:tcPr>
            <w:tcW w:w="1417" w:type="dxa"/>
            <w:noWrap w:val="0"/>
            <w:vAlign w:val="center"/>
          </w:tcPr>
          <w:p w14:paraId="72C4565A">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合同价格（元）</w:t>
            </w:r>
          </w:p>
        </w:tc>
        <w:tc>
          <w:tcPr>
            <w:tcW w:w="851" w:type="dxa"/>
            <w:noWrap w:val="0"/>
            <w:vAlign w:val="center"/>
          </w:tcPr>
          <w:p w14:paraId="703C62C2">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开工日期</w:t>
            </w:r>
          </w:p>
        </w:tc>
        <w:tc>
          <w:tcPr>
            <w:tcW w:w="850" w:type="dxa"/>
            <w:noWrap w:val="0"/>
            <w:vAlign w:val="center"/>
          </w:tcPr>
          <w:p w14:paraId="411C97D2">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竣工日期</w:t>
            </w:r>
          </w:p>
        </w:tc>
      </w:tr>
      <w:tr w14:paraId="69686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34704D0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40" w:type="dxa"/>
            <w:noWrap w:val="0"/>
            <w:vAlign w:val="center"/>
          </w:tcPr>
          <w:p w14:paraId="42A63B21">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620" w:type="dxa"/>
            <w:noWrap w:val="0"/>
            <w:vAlign w:val="center"/>
          </w:tcPr>
          <w:p w14:paraId="6D667F2D">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661" w:type="dxa"/>
            <w:noWrap w:val="0"/>
            <w:vAlign w:val="center"/>
          </w:tcPr>
          <w:p w14:paraId="40FBFB5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0" w:type="dxa"/>
            <w:noWrap w:val="0"/>
            <w:vAlign w:val="center"/>
          </w:tcPr>
          <w:p w14:paraId="72164CEE">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560" w:type="dxa"/>
            <w:noWrap w:val="0"/>
            <w:vAlign w:val="center"/>
          </w:tcPr>
          <w:p w14:paraId="0D43E3D0">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2126" w:type="dxa"/>
            <w:noWrap w:val="0"/>
            <w:vAlign w:val="center"/>
          </w:tcPr>
          <w:p w14:paraId="478208FD">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17" w:type="dxa"/>
            <w:noWrap w:val="0"/>
            <w:vAlign w:val="center"/>
          </w:tcPr>
          <w:p w14:paraId="6ECF071C">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1" w:type="dxa"/>
            <w:noWrap w:val="0"/>
            <w:vAlign w:val="center"/>
          </w:tcPr>
          <w:p w14:paraId="5D23DB9E">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0" w:type="dxa"/>
            <w:noWrap w:val="0"/>
            <w:vAlign w:val="center"/>
          </w:tcPr>
          <w:p w14:paraId="2A27A6A9">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1876B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76221ED0">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40" w:type="dxa"/>
            <w:noWrap w:val="0"/>
            <w:vAlign w:val="center"/>
          </w:tcPr>
          <w:p w14:paraId="412F78A2">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620" w:type="dxa"/>
            <w:noWrap w:val="0"/>
            <w:vAlign w:val="center"/>
          </w:tcPr>
          <w:p w14:paraId="189730E4">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661" w:type="dxa"/>
            <w:noWrap w:val="0"/>
            <w:vAlign w:val="center"/>
          </w:tcPr>
          <w:p w14:paraId="018D64FE">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0" w:type="dxa"/>
            <w:noWrap w:val="0"/>
            <w:vAlign w:val="center"/>
          </w:tcPr>
          <w:p w14:paraId="7C21004E">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560" w:type="dxa"/>
            <w:noWrap w:val="0"/>
            <w:vAlign w:val="center"/>
          </w:tcPr>
          <w:p w14:paraId="0AC7BDC1">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2126" w:type="dxa"/>
            <w:noWrap w:val="0"/>
            <w:vAlign w:val="center"/>
          </w:tcPr>
          <w:p w14:paraId="28F0E959">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17" w:type="dxa"/>
            <w:noWrap w:val="0"/>
            <w:vAlign w:val="center"/>
          </w:tcPr>
          <w:p w14:paraId="75990D8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1" w:type="dxa"/>
            <w:noWrap w:val="0"/>
            <w:vAlign w:val="center"/>
          </w:tcPr>
          <w:p w14:paraId="646998F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0" w:type="dxa"/>
            <w:noWrap w:val="0"/>
            <w:vAlign w:val="center"/>
          </w:tcPr>
          <w:p w14:paraId="1C13FBD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56A6C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1D943C1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40" w:type="dxa"/>
            <w:noWrap w:val="0"/>
            <w:vAlign w:val="center"/>
          </w:tcPr>
          <w:p w14:paraId="3904215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620" w:type="dxa"/>
            <w:noWrap w:val="0"/>
            <w:vAlign w:val="center"/>
          </w:tcPr>
          <w:p w14:paraId="5073B80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661" w:type="dxa"/>
            <w:noWrap w:val="0"/>
            <w:vAlign w:val="center"/>
          </w:tcPr>
          <w:p w14:paraId="740014D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0" w:type="dxa"/>
            <w:noWrap w:val="0"/>
            <w:vAlign w:val="center"/>
          </w:tcPr>
          <w:p w14:paraId="10C1A21C">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560" w:type="dxa"/>
            <w:noWrap w:val="0"/>
            <w:vAlign w:val="center"/>
          </w:tcPr>
          <w:p w14:paraId="6858693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2126" w:type="dxa"/>
            <w:noWrap w:val="0"/>
            <w:vAlign w:val="center"/>
          </w:tcPr>
          <w:p w14:paraId="034352AC">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17" w:type="dxa"/>
            <w:noWrap w:val="0"/>
            <w:vAlign w:val="center"/>
          </w:tcPr>
          <w:p w14:paraId="262E8984">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1" w:type="dxa"/>
            <w:noWrap w:val="0"/>
            <w:vAlign w:val="center"/>
          </w:tcPr>
          <w:p w14:paraId="1F2AADF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0" w:type="dxa"/>
            <w:noWrap w:val="0"/>
            <w:vAlign w:val="center"/>
          </w:tcPr>
          <w:p w14:paraId="31643E29">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1DB15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0860E02A">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40" w:type="dxa"/>
            <w:noWrap w:val="0"/>
            <w:vAlign w:val="center"/>
          </w:tcPr>
          <w:p w14:paraId="28FDEC3A">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620" w:type="dxa"/>
            <w:noWrap w:val="0"/>
            <w:vAlign w:val="center"/>
          </w:tcPr>
          <w:p w14:paraId="7AB00C6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661" w:type="dxa"/>
            <w:noWrap w:val="0"/>
            <w:vAlign w:val="center"/>
          </w:tcPr>
          <w:p w14:paraId="4D148994">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0" w:type="dxa"/>
            <w:noWrap w:val="0"/>
            <w:vAlign w:val="center"/>
          </w:tcPr>
          <w:p w14:paraId="77C6D106">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560" w:type="dxa"/>
            <w:noWrap w:val="0"/>
            <w:vAlign w:val="center"/>
          </w:tcPr>
          <w:p w14:paraId="7091CBD1">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2126" w:type="dxa"/>
            <w:noWrap w:val="0"/>
            <w:vAlign w:val="center"/>
          </w:tcPr>
          <w:p w14:paraId="5E7D3DD0">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17" w:type="dxa"/>
            <w:noWrap w:val="0"/>
            <w:vAlign w:val="center"/>
          </w:tcPr>
          <w:p w14:paraId="46C4EAD8">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1" w:type="dxa"/>
            <w:noWrap w:val="0"/>
            <w:vAlign w:val="center"/>
          </w:tcPr>
          <w:p w14:paraId="7BDBA771">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0" w:type="dxa"/>
            <w:noWrap w:val="0"/>
            <w:vAlign w:val="center"/>
          </w:tcPr>
          <w:p w14:paraId="2FBA415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4E12B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3DBA5AAD">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40" w:type="dxa"/>
            <w:noWrap w:val="0"/>
            <w:vAlign w:val="center"/>
          </w:tcPr>
          <w:p w14:paraId="1AD97CF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620" w:type="dxa"/>
            <w:noWrap w:val="0"/>
            <w:vAlign w:val="center"/>
          </w:tcPr>
          <w:p w14:paraId="3AC92A7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661" w:type="dxa"/>
            <w:noWrap w:val="0"/>
            <w:vAlign w:val="center"/>
          </w:tcPr>
          <w:p w14:paraId="53721EAE">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0" w:type="dxa"/>
            <w:noWrap w:val="0"/>
            <w:vAlign w:val="center"/>
          </w:tcPr>
          <w:p w14:paraId="10500237">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560" w:type="dxa"/>
            <w:noWrap w:val="0"/>
            <w:vAlign w:val="center"/>
          </w:tcPr>
          <w:p w14:paraId="4EAE7A38">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2126" w:type="dxa"/>
            <w:noWrap w:val="0"/>
            <w:vAlign w:val="center"/>
          </w:tcPr>
          <w:p w14:paraId="744FDF81">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17" w:type="dxa"/>
            <w:noWrap w:val="0"/>
            <w:vAlign w:val="center"/>
          </w:tcPr>
          <w:p w14:paraId="56BB513C">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1" w:type="dxa"/>
            <w:noWrap w:val="0"/>
            <w:vAlign w:val="center"/>
          </w:tcPr>
          <w:p w14:paraId="5D53950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0" w:type="dxa"/>
            <w:noWrap w:val="0"/>
            <w:vAlign w:val="center"/>
          </w:tcPr>
          <w:p w14:paraId="7BBD15C8">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6ABC7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1568A0F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40" w:type="dxa"/>
            <w:noWrap w:val="0"/>
            <w:vAlign w:val="center"/>
          </w:tcPr>
          <w:p w14:paraId="70B3831C">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620" w:type="dxa"/>
            <w:noWrap w:val="0"/>
            <w:vAlign w:val="center"/>
          </w:tcPr>
          <w:p w14:paraId="2B318D3A">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661" w:type="dxa"/>
            <w:noWrap w:val="0"/>
            <w:vAlign w:val="center"/>
          </w:tcPr>
          <w:p w14:paraId="5E798862">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0" w:type="dxa"/>
            <w:noWrap w:val="0"/>
            <w:vAlign w:val="center"/>
          </w:tcPr>
          <w:p w14:paraId="1C7F5D64">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560" w:type="dxa"/>
            <w:noWrap w:val="0"/>
            <w:vAlign w:val="center"/>
          </w:tcPr>
          <w:p w14:paraId="0F26214A">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2126" w:type="dxa"/>
            <w:noWrap w:val="0"/>
            <w:vAlign w:val="center"/>
          </w:tcPr>
          <w:p w14:paraId="2136899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17" w:type="dxa"/>
            <w:noWrap w:val="0"/>
            <w:vAlign w:val="center"/>
          </w:tcPr>
          <w:p w14:paraId="2689257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1" w:type="dxa"/>
            <w:noWrap w:val="0"/>
            <w:vAlign w:val="center"/>
          </w:tcPr>
          <w:p w14:paraId="63F00CBD">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0" w:type="dxa"/>
            <w:noWrap w:val="0"/>
            <w:vAlign w:val="center"/>
          </w:tcPr>
          <w:p w14:paraId="7A8E6D1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1D2F3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491038E4">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40" w:type="dxa"/>
            <w:noWrap w:val="0"/>
            <w:vAlign w:val="center"/>
          </w:tcPr>
          <w:p w14:paraId="210FCA8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620" w:type="dxa"/>
            <w:noWrap w:val="0"/>
            <w:vAlign w:val="center"/>
          </w:tcPr>
          <w:p w14:paraId="7B312898">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661" w:type="dxa"/>
            <w:noWrap w:val="0"/>
            <w:vAlign w:val="center"/>
          </w:tcPr>
          <w:p w14:paraId="1D5B87A4">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0" w:type="dxa"/>
            <w:noWrap w:val="0"/>
            <w:vAlign w:val="center"/>
          </w:tcPr>
          <w:p w14:paraId="379EA984">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560" w:type="dxa"/>
            <w:noWrap w:val="0"/>
            <w:vAlign w:val="center"/>
          </w:tcPr>
          <w:p w14:paraId="71BF618C">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2126" w:type="dxa"/>
            <w:noWrap w:val="0"/>
            <w:vAlign w:val="center"/>
          </w:tcPr>
          <w:p w14:paraId="34B0E684">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17" w:type="dxa"/>
            <w:noWrap w:val="0"/>
            <w:vAlign w:val="center"/>
          </w:tcPr>
          <w:p w14:paraId="03E75CCD">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1" w:type="dxa"/>
            <w:noWrap w:val="0"/>
            <w:vAlign w:val="center"/>
          </w:tcPr>
          <w:p w14:paraId="4370381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0" w:type="dxa"/>
            <w:noWrap w:val="0"/>
            <w:vAlign w:val="center"/>
          </w:tcPr>
          <w:p w14:paraId="618558B8">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7CD89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72320CEE">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40" w:type="dxa"/>
            <w:noWrap w:val="0"/>
            <w:vAlign w:val="center"/>
          </w:tcPr>
          <w:p w14:paraId="5377BEE8">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620" w:type="dxa"/>
            <w:noWrap w:val="0"/>
            <w:vAlign w:val="center"/>
          </w:tcPr>
          <w:p w14:paraId="0E0D9E2C">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661" w:type="dxa"/>
            <w:noWrap w:val="0"/>
            <w:vAlign w:val="center"/>
          </w:tcPr>
          <w:p w14:paraId="5EAFB398">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0" w:type="dxa"/>
            <w:noWrap w:val="0"/>
            <w:vAlign w:val="center"/>
          </w:tcPr>
          <w:p w14:paraId="2ED1C22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560" w:type="dxa"/>
            <w:noWrap w:val="0"/>
            <w:vAlign w:val="center"/>
          </w:tcPr>
          <w:p w14:paraId="1F481738">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2126" w:type="dxa"/>
            <w:noWrap w:val="0"/>
            <w:vAlign w:val="center"/>
          </w:tcPr>
          <w:p w14:paraId="640AD24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17" w:type="dxa"/>
            <w:noWrap w:val="0"/>
            <w:vAlign w:val="center"/>
          </w:tcPr>
          <w:p w14:paraId="0F5B5321">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1" w:type="dxa"/>
            <w:noWrap w:val="0"/>
            <w:vAlign w:val="center"/>
          </w:tcPr>
          <w:p w14:paraId="1C38F9EE">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0" w:type="dxa"/>
            <w:noWrap w:val="0"/>
            <w:vAlign w:val="center"/>
          </w:tcPr>
          <w:p w14:paraId="6FAFE486">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25A77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3AEF140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40" w:type="dxa"/>
            <w:noWrap w:val="0"/>
            <w:vAlign w:val="center"/>
          </w:tcPr>
          <w:p w14:paraId="4A1C7299">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620" w:type="dxa"/>
            <w:noWrap w:val="0"/>
            <w:vAlign w:val="center"/>
          </w:tcPr>
          <w:p w14:paraId="63729AB8">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661" w:type="dxa"/>
            <w:noWrap w:val="0"/>
            <w:vAlign w:val="center"/>
          </w:tcPr>
          <w:p w14:paraId="01BACE5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0" w:type="dxa"/>
            <w:noWrap w:val="0"/>
            <w:vAlign w:val="center"/>
          </w:tcPr>
          <w:p w14:paraId="478E3AEC">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560" w:type="dxa"/>
            <w:noWrap w:val="0"/>
            <w:vAlign w:val="center"/>
          </w:tcPr>
          <w:p w14:paraId="4A805F00">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2126" w:type="dxa"/>
            <w:noWrap w:val="0"/>
            <w:vAlign w:val="center"/>
          </w:tcPr>
          <w:p w14:paraId="059BFD64">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17" w:type="dxa"/>
            <w:noWrap w:val="0"/>
            <w:vAlign w:val="center"/>
          </w:tcPr>
          <w:p w14:paraId="2134649E">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1" w:type="dxa"/>
            <w:noWrap w:val="0"/>
            <w:vAlign w:val="center"/>
          </w:tcPr>
          <w:p w14:paraId="7A34213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0" w:type="dxa"/>
            <w:noWrap w:val="0"/>
            <w:vAlign w:val="center"/>
          </w:tcPr>
          <w:p w14:paraId="617304E1">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1B554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58E6245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40" w:type="dxa"/>
            <w:noWrap w:val="0"/>
            <w:vAlign w:val="center"/>
          </w:tcPr>
          <w:p w14:paraId="7F73AB4E">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620" w:type="dxa"/>
            <w:noWrap w:val="0"/>
            <w:vAlign w:val="center"/>
          </w:tcPr>
          <w:p w14:paraId="79F5D336">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661" w:type="dxa"/>
            <w:noWrap w:val="0"/>
            <w:vAlign w:val="center"/>
          </w:tcPr>
          <w:p w14:paraId="624B9A1E">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0" w:type="dxa"/>
            <w:noWrap w:val="0"/>
            <w:vAlign w:val="center"/>
          </w:tcPr>
          <w:p w14:paraId="69976551">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560" w:type="dxa"/>
            <w:noWrap w:val="0"/>
            <w:vAlign w:val="center"/>
          </w:tcPr>
          <w:p w14:paraId="686CE9E2">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2126" w:type="dxa"/>
            <w:noWrap w:val="0"/>
            <w:vAlign w:val="center"/>
          </w:tcPr>
          <w:p w14:paraId="456667F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17" w:type="dxa"/>
            <w:noWrap w:val="0"/>
            <w:vAlign w:val="center"/>
          </w:tcPr>
          <w:p w14:paraId="346A1DA1">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1" w:type="dxa"/>
            <w:noWrap w:val="0"/>
            <w:vAlign w:val="center"/>
          </w:tcPr>
          <w:p w14:paraId="21DCBCD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0" w:type="dxa"/>
            <w:noWrap w:val="0"/>
            <w:vAlign w:val="center"/>
          </w:tcPr>
          <w:p w14:paraId="0EA6302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bl>
    <w:p w14:paraId="3AECCC53">
      <w:pPr>
        <w:spacing w:line="360" w:lineRule="auto"/>
        <w:ind w:firstLine="420" w:firstLineChars="200"/>
        <w:rPr>
          <w:color w:val="auto"/>
          <w:highlight w:val="none"/>
        </w:rPr>
      </w:pPr>
    </w:p>
    <w:p w14:paraId="269742B1">
      <w:pPr>
        <w:spacing w:line="360" w:lineRule="auto"/>
        <w:ind w:firstLine="420" w:firstLineChars="200"/>
        <w:rPr>
          <w:color w:val="auto"/>
          <w:highlight w:val="none"/>
        </w:rPr>
        <w:sectPr>
          <w:pgSz w:w="16840" w:h="11907" w:orient="landscape"/>
          <w:pgMar w:top="1440" w:right="1440" w:bottom="1440" w:left="1797" w:header="851" w:footer="851" w:gutter="0"/>
          <w:cols w:space="720" w:num="1"/>
          <w:docGrid w:linePitch="312" w:charSpace="0"/>
        </w:sectPr>
      </w:pPr>
    </w:p>
    <w:p w14:paraId="4C5DB5B7">
      <w:pPr>
        <w:spacing w:before="120" w:beforeLines="50" w:after="120" w:afterLines="50" w:line="360" w:lineRule="auto"/>
        <w:jc w:val="left"/>
        <w:rPr>
          <w:rFonts w:hint="eastAsia"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附件2：</w:t>
      </w:r>
      <w:r>
        <w:rPr>
          <w:rFonts w:hint="eastAsia" w:ascii="仿宋_GB2312" w:eastAsia="仿宋_GB2312" w:cs="仿宋_GB2312"/>
          <w:color w:val="auto"/>
          <w:sz w:val="30"/>
          <w:szCs w:val="30"/>
          <w:highlight w:val="none"/>
          <w:lang w:val="en-US" w:eastAsia="zh-CN"/>
        </w:rPr>
        <w:t>工程质量保修书</w:t>
      </w:r>
    </w:p>
    <w:p w14:paraId="68710CD3">
      <w:pPr>
        <w:spacing w:before="120" w:beforeLines="50" w:after="120" w:afterLines="50" w:line="360" w:lineRule="auto"/>
        <w:jc w:val="center"/>
        <w:rPr>
          <w:rFonts w:ascii="黑体" w:eastAsia="黑体"/>
          <w:color w:val="auto"/>
          <w:sz w:val="32"/>
          <w:szCs w:val="32"/>
          <w:highlight w:val="none"/>
        </w:rPr>
      </w:pPr>
      <w:r>
        <w:rPr>
          <w:rFonts w:hint="eastAsia" w:ascii="黑体" w:hAnsi="宋体" w:eastAsia="黑体" w:cs="黑体"/>
          <w:color w:val="auto"/>
          <w:sz w:val="32"/>
          <w:szCs w:val="32"/>
          <w:highlight w:val="none"/>
        </w:rPr>
        <w:t>工程质量保修书（房屋建筑工程）</w:t>
      </w:r>
    </w:p>
    <w:p w14:paraId="17BDC5DE">
      <w:pPr>
        <w:spacing w:line="360" w:lineRule="auto"/>
        <w:ind w:firstLine="420" w:firstLineChars="200"/>
        <w:rPr>
          <w:color w:val="auto"/>
          <w:highlight w:val="none"/>
        </w:rPr>
      </w:pPr>
      <w:r>
        <w:rPr>
          <w:rFonts w:hint="eastAsia" w:hAnsi="宋体" w:cs="宋体"/>
          <w:color w:val="auto"/>
          <w:highlight w:val="none"/>
        </w:rPr>
        <w:t>发包人（全称）：</w:t>
      </w:r>
      <w:r>
        <w:rPr>
          <w:color w:val="auto"/>
          <w:highlight w:val="none"/>
          <w:u w:val="single"/>
        </w:rPr>
        <w:t xml:space="preserve">                                </w:t>
      </w:r>
      <w:r>
        <w:rPr>
          <w:color w:val="auto"/>
          <w:highlight w:val="none"/>
        </w:rPr>
        <w:t xml:space="preserve"> </w:t>
      </w:r>
    </w:p>
    <w:p w14:paraId="0310CA66">
      <w:pPr>
        <w:spacing w:line="360" w:lineRule="auto"/>
        <w:ind w:firstLine="420" w:firstLineChars="200"/>
        <w:rPr>
          <w:color w:val="auto"/>
          <w:highlight w:val="none"/>
        </w:rPr>
      </w:pPr>
      <w:r>
        <w:rPr>
          <w:rFonts w:hint="eastAsia" w:hAnsi="宋体" w:cs="宋体"/>
          <w:color w:val="auto"/>
          <w:highlight w:val="none"/>
        </w:rPr>
        <w:t>承包人（全称）：</w:t>
      </w:r>
      <w:r>
        <w:rPr>
          <w:color w:val="auto"/>
          <w:highlight w:val="none"/>
          <w:u w:val="single"/>
        </w:rPr>
        <w:t xml:space="preserve">                                </w:t>
      </w:r>
      <w:r>
        <w:rPr>
          <w:color w:val="auto"/>
          <w:highlight w:val="none"/>
        </w:rPr>
        <w:t xml:space="preserve"> </w:t>
      </w:r>
    </w:p>
    <w:p w14:paraId="4AB8D437">
      <w:pPr>
        <w:spacing w:line="360" w:lineRule="auto"/>
        <w:rPr>
          <w:color w:val="auto"/>
          <w:highlight w:val="none"/>
        </w:rPr>
      </w:pPr>
    </w:p>
    <w:p w14:paraId="4B40CE26">
      <w:pPr>
        <w:spacing w:line="360" w:lineRule="auto"/>
        <w:ind w:firstLine="420" w:firstLineChars="200"/>
        <w:rPr>
          <w:rFonts w:hAnsi="宋体"/>
          <w:color w:val="auto"/>
          <w:highlight w:val="none"/>
        </w:rPr>
      </w:pPr>
      <w:r>
        <w:rPr>
          <w:rFonts w:hint="eastAsia" w:hAnsi="宋体" w:cs="宋体"/>
          <w:color w:val="auto"/>
          <w:highlight w:val="none"/>
        </w:rPr>
        <w:t>发包人和承包人根据《中华人民共和国建筑法》和《建设工程质量管理条例》，经协商一致就</w:t>
      </w:r>
      <w:r>
        <w:rPr>
          <w:color w:val="auto"/>
          <w:highlight w:val="none"/>
          <w:u w:val="single"/>
        </w:rPr>
        <w:t xml:space="preserve">                                   </w:t>
      </w:r>
      <w:r>
        <w:rPr>
          <w:rFonts w:hint="eastAsia" w:hAnsi="宋体" w:cs="宋体"/>
          <w:color w:val="auto"/>
          <w:highlight w:val="none"/>
        </w:rPr>
        <w:t>（工程全称）签订工程质量保修书。</w:t>
      </w:r>
    </w:p>
    <w:p w14:paraId="63F34AC6">
      <w:pPr>
        <w:spacing w:line="360" w:lineRule="auto"/>
        <w:ind w:firstLine="420" w:firstLineChars="200"/>
        <w:rPr>
          <w:rFonts w:ascii="黑体" w:hAnsi="宋体" w:eastAsia="黑体"/>
          <w:color w:val="auto"/>
          <w:highlight w:val="none"/>
        </w:rPr>
      </w:pPr>
      <w:r>
        <w:rPr>
          <w:rFonts w:hint="eastAsia" w:ascii="黑体" w:hAnsi="宋体" w:eastAsia="黑体" w:cs="黑体"/>
          <w:color w:val="auto"/>
          <w:highlight w:val="none"/>
        </w:rPr>
        <w:t>一、工程质量保修范围和内容</w:t>
      </w:r>
    </w:p>
    <w:p w14:paraId="70639570">
      <w:pPr>
        <w:spacing w:line="360" w:lineRule="auto"/>
        <w:ind w:firstLine="420" w:firstLineChars="200"/>
        <w:rPr>
          <w:color w:val="auto"/>
          <w:highlight w:val="none"/>
        </w:rPr>
      </w:pPr>
      <w:r>
        <w:rPr>
          <w:rFonts w:hint="eastAsia" w:hAnsi="宋体" w:cs="宋体"/>
          <w:color w:val="auto"/>
          <w:highlight w:val="none"/>
        </w:rPr>
        <w:t>承包人在质量保修期内，按照有关法律规定和合同约定，承担工程质量保修责任。</w:t>
      </w:r>
    </w:p>
    <w:p w14:paraId="143CE972">
      <w:pPr>
        <w:spacing w:line="360" w:lineRule="auto"/>
        <w:ind w:firstLine="420"/>
        <w:rPr>
          <w:rFonts w:hAnsi="宋体"/>
          <w:color w:val="auto"/>
          <w:highlight w:val="none"/>
        </w:rPr>
      </w:pPr>
      <w:r>
        <w:rPr>
          <w:rFonts w:hint="eastAsia" w:hAnsi="宋体" w:cs="宋体"/>
          <w:color w:val="auto"/>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7C0F18FC">
      <w:pPr>
        <w:spacing w:line="360" w:lineRule="auto"/>
        <w:ind w:firstLine="420"/>
        <w:rPr>
          <w:rFonts w:hAnsi="宋体"/>
          <w:color w:val="auto"/>
          <w:highlight w:val="none"/>
        </w:rPr>
      </w:pPr>
      <w:r>
        <w:rPr>
          <w:color w:val="auto"/>
          <w:highlight w:val="none"/>
          <w:u w:val="single"/>
        </w:rPr>
        <w:t xml:space="preserve">                                                                                                                                                            </w:t>
      </w:r>
      <w:r>
        <w:rPr>
          <w:rFonts w:hint="eastAsia" w:hAnsi="宋体" w:cs="宋体"/>
          <w:color w:val="auto"/>
          <w:highlight w:val="none"/>
        </w:rPr>
        <w:t>。</w:t>
      </w:r>
    </w:p>
    <w:p w14:paraId="753339D1">
      <w:pPr>
        <w:spacing w:line="360" w:lineRule="auto"/>
        <w:ind w:firstLine="420"/>
        <w:rPr>
          <w:rFonts w:ascii="黑体" w:hAnsi="宋体" w:eastAsia="黑体"/>
          <w:color w:val="auto"/>
          <w:highlight w:val="none"/>
        </w:rPr>
      </w:pPr>
      <w:r>
        <w:rPr>
          <w:rFonts w:hint="eastAsia" w:ascii="黑体" w:hAnsi="宋体" w:eastAsia="黑体" w:cs="黑体"/>
          <w:color w:val="auto"/>
          <w:highlight w:val="none"/>
        </w:rPr>
        <w:t>二、质量保修期</w:t>
      </w:r>
    </w:p>
    <w:p w14:paraId="4BAFB46E">
      <w:pPr>
        <w:spacing w:line="360" w:lineRule="auto"/>
        <w:ind w:firstLine="420"/>
        <w:rPr>
          <w:rFonts w:hAnsi="宋体"/>
          <w:color w:val="auto"/>
          <w:highlight w:val="none"/>
        </w:rPr>
      </w:pPr>
      <w:r>
        <w:rPr>
          <w:rFonts w:hint="eastAsia" w:hAnsi="宋体" w:cs="宋体"/>
          <w:color w:val="auto"/>
          <w:highlight w:val="none"/>
        </w:rPr>
        <w:t>根据《建设工程质量管理条例》及有关规定，工程的质量保修期如下：</w:t>
      </w:r>
    </w:p>
    <w:p w14:paraId="3119C0A9">
      <w:pPr>
        <w:spacing w:line="360" w:lineRule="auto"/>
        <w:ind w:firstLine="420"/>
        <w:rPr>
          <w:rFonts w:hAnsi="宋体"/>
          <w:color w:val="auto"/>
          <w:highlight w:val="none"/>
        </w:rPr>
      </w:pPr>
      <w:r>
        <w:rPr>
          <w:rFonts w:hint="eastAsia"/>
          <w:color w:val="auto"/>
          <w:highlight w:val="none"/>
          <w:lang w:eastAsia="zh-CN"/>
        </w:rPr>
        <w:t>1.</w:t>
      </w:r>
      <w:r>
        <w:rPr>
          <w:rFonts w:hint="eastAsia" w:hAnsi="宋体" w:cs="宋体"/>
          <w:color w:val="auto"/>
          <w:highlight w:val="none"/>
        </w:rPr>
        <w:t>地基基础工程和主体结构工程为设计文件规定的工程合理使用年限；</w:t>
      </w:r>
    </w:p>
    <w:p w14:paraId="40B59316">
      <w:pPr>
        <w:spacing w:line="360" w:lineRule="auto"/>
        <w:ind w:firstLine="420"/>
        <w:rPr>
          <w:rFonts w:hAnsi="宋体"/>
          <w:color w:val="auto"/>
          <w:highlight w:val="none"/>
        </w:rPr>
      </w:pPr>
      <w:r>
        <w:rPr>
          <w:rFonts w:hint="eastAsia"/>
          <w:color w:val="auto"/>
          <w:highlight w:val="none"/>
          <w:lang w:eastAsia="zh-CN"/>
        </w:rPr>
        <w:t>2.</w:t>
      </w:r>
      <w:r>
        <w:rPr>
          <w:rFonts w:hint="eastAsia" w:hAnsi="宋体" w:cs="宋体"/>
          <w:color w:val="auto"/>
          <w:highlight w:val="none"/>
        </w:rPr>
        <w:t>屋面防水工程、有防水要求的卫生间、房间和外墙面的防渗为</w:t>
      </w:r>
      <w:r>
        <w:rPr>
          <w:color w:val="auto"/>
          <w:highlight w:val="none"/>
          <w:u w:val="single"/>
        </w:rPr>
        <w:t xml:space="preserve">        </w:t>
      </w:r>
      <w:r>
        <w:rPr>
          <w:rFonts w:hint="eastAsia" w:hAnsi="宋体" w:cs="宋体"/>
          <w:color w:val="auto"/>
          <w:highlight w:val="none"/>
        </w:rPr>
        <w:t>年；</w:t>
      </w:r>
    </w:p>
    <w:p w14:paraId="2ECB07A1">
      <w:pPr>
        <w:spacing w:line="360" w:lineRule="auto"/>
        <w:ind w:firstLine="420"/>
        <w:rPr>
          <w:rFonts w:hAnsi="宋体"/>
          <w:color w:val="auto"/>
          <w:highlight w:val="none"/>
        </w:rPr>
      </w:pPr>
      <w:r>
        <w:rPr>
          <w:rFonts w:hint="eastAsia"/>
          <w:color w:val="auto"/>
          <w:highlight w:val="none"/>
          <w:lang w:eastAsia="zh-CN"/>
        </w:rPr>
        <w:t>3.</w:t>
      </w:r>
      <w:r>
        <w:rPr>
          <w:rFonts w:hint="eastAsia" w:hAnsi="宋体" w:cs="宋体"/>
          <w:color w:val="auto"/>
          <w:highlight w:val="none"/>
        </w:rPr>
        <w:t>装修工程为</w:t>
      </w:r>
      <w:r>
        <w:rPr>
          <w:color w:val="auto"/>
          <w:highlight w:val="none"/>
          <w:u w:val="single"/>
        </w:rPr>
        <w:t xml:space="preserve">         </w:t>
      </w:r>
      <w:r>
        <w:rPr>
          <w:rFonts w:hint="eastAsia" w:hAnsi="宋体" w:cs="宋体"/>
          <w:color w:val="auto"/>
          <w:highlight w:val="none"/>
        </w:rPr>
        <w:t>年；</w:t>
      </w:r>
    </w:p>
    <w:p w14:paraId="022092C7">
      <w:pPr>
        <w:spacing w:line="360" w:lineRule="auto"/>
        <w:ind w:firstLine="420"/>
        <w:rPr>
          <w:rFonts w:hAnsi="宋体"/>
          <w:color w:val="auto"/>
          <w:highlight w:val="none"/>
        </w:rPr>
      </w:pPr>
      <w:r>
        <w:rPr>
          <w:rFonts w:hint="eastAsia"/>
          <w:color w:val="auto"/>
          <w:highlight w:val="none"/>
          <w:lang w:eastAsia="zh-CN"/>
        </w:rPr>
        <w:t>4.</w:t>
      </w:r>
      <w:r>
        <w:rPr>
          <w:rFonts w:hint="eastAsia" w:hAnsi="宋体" w:cs="宋体"/>
          <w:color w:val="auto"/>
          <w:highlight w:val="none"/>
        </w:rPr>
        <w:t>电气管线、给排水管道、设备安装工程为</w:t>
      </w:r>
      <w:r>
        <w:rPr>
          <w:color w:val="auto"/>
          <w:highlight w:val="none"/>
          <w:u w:val="single"/>
        </w:rPr>
        <w:t xml:space="preserve">         </w:t>
      </w:r>
      <w:r>
        <w:rPr>
          <w:rFonts w:hint="eastAsia" w:hAnsi="宋体" w:cs="宋体"/>
          <w:color w:val="auto"/>
          <w:highlight w:val="none"/>
        </w:rPr>
        <w:t>年；</w:t>
      </w:r>
    </w:p>
    <w:p w14:paraId="602B657E">
      <w:pPr>
        <w:spacing w:line="360" w:lineRule="auto"/>
        <w:ind w:firstLine="420"/>
        <w:rPr>
          <w:rFonts w:hAnsi="宋体"/>
          <w:color w:val="auto"/>
          <w:highlight w:val="none"/>
        </w:rPr>
      </w:pPr>
      <w:r>
        <w:rPr>
          <w:rFonts w:hint="eastAsia"/>
          <w:color w:val="auto"/>
          <w:highlight w:val="none"/>
          <w:lang w:eastAsia="zh-CN"/>
        </w:rPr>
        <w:t>5.</w:t>
      </w:r>
      <w:r>
        <w:rPr>
          <w:rFonts w:hint="eastAsia" w:hAnsi="宋体" w:cs="宋体"/>
          <w:color w:val="auto"/>
          <w:highlight w:val="none"/>
        </w:rPr>
        <w:t>供热与供冷系统为</w:t>
      </w:r>
      <w:r>
        <w:rPr>
          <w:color w:val="auto"/>
          <w:highlight w:val="none"/>
          <w:u w:val="single"/>
        </w:rPr>
        <w:t xml:space="preserve">         </w:t>
      </w:r>
      <w:r>
        <w:rPr>
          <w:rFonts w:hint="eastAsia" w:hAnsi="宋体" w:cs="宋体"/>
          <w:color w:val="auto"/>
          <w:highlight w:val="none"/>
        </w:rPr>
        <w:t>个采暖期、供冷期；</w:t>
      </w:r>
    </w:p>
    <w:p w14:paraId="12A82A90">
      <w:pPr>
        <w:spacing w:line="360" w:lineRule="auto"/>
        <w:ind w:firstLine="420"/>
        <w:rPr>
          <w:rFonts w:hAnsi="宋体"/>
          <w:color w:val="auto"/>
          <w:highlight w:val="none"/>
        </w:rPr>
      </w:pPr>
      <w:r>
        <w:rPr>
          <w:rFonts w:hint="eastAsia"/>
          <w:color w:val="auto"/>
          <w:highlight w:val="none"/>
          <w:lang w:eastAsia="zh-CN"/>
        </w:rPr>
        <w:t>6.</w:t>
      </w:r>
      <w:r>
        <w:rPr>
          <w:rFonts w:hint="eastAsia" w:hAnsi="宋体" w:cs="宋体"/>
          <w:color w:val="auto"/>
          <w:highlight w:val="none"/>
        </w:rPr>
        <w:t>住宅小区内的给排水设施、道路等配套工程为</w:t>
      </w:r>
      <w:r>
        <w:rPr>
          <w:color w:val="auto"/>
          <w:highlight w:val="none"/>
          <w:u w:val="single"/>
        </w:rPr>
        <w:t xml:space="preserve">         </w:t>
      </w:r>
      <w:r>
        <w:rPr>
          <w:rFonts w:hint="eastAsia" w:hAnsi="宋体" w:cs="宋体"/>
          <w:color w:val="auto"/>
          <w:highlight w:val="none"/>
        </w:rPr>
        <w:t>年；</w:t>
      </w:r>
    </w:p>
    <w:p w14:paraId="071BE10C">
      <w:pPr>
        <w:spacing w:line="360" w:lineRule="auto"/>
        <w:ind w:firstLine="420"/>
        <w:rPr>
          <w:rFonts w:hAnsi="宋体"/>
          <w:color w:val="auto"/>
          <w:highlight w:val="none"/>
        </w:rPr>
      </w:pPr>
      <w:r>
        <w:rPr>
          <w:rFonts w:hint="eastAsia"/>
          <w:color w:val="auto"/>
          <w:highlight w:val="none"/>
          <w:lang w:eastAsia="zh-CN"/>
        </w:rPr>
        <w:t>7.</w:t>
      </w:r>
      <w:r>
        <w:rPr>
          <w:rFonts w:hint="eastAsia" w:hAnsi="宋体" w:cs="宋体"/>
          <w:color w:val="auto"/>
          <w:highlight w:val="none"/>
        </w:rPr>
        <w:t>其他项目保修期限约定如下：</w:t>
      </w:r>
    </w:p>
    <w:p w14:paraId="10350AD5">
      <w:pPr>
        <w:spacing w:line="360" w:lineRule="auto"/>
        <w:ind w:firstLine="420"/>
        <w:rPr>
          <w:rFonts w:hAnsi="宋体"/>
          <w:color w:val="auto"/>
          <w:highlight w:val="none"/>
        </w:rPr>
      </w:pPr>
      <w:r>
        <w:rPr>
          <w:color w:val="auto"/>
          <w:highlight w:val="none"/>
          <w:u w:val="single"/>
        </w:rPr>
        <w:t xml:space="preserve">                                                                                                                                                             </w:t>
      </w:r>
      <w:r>
        <w:rPr>
          <w:rFonts w:hint="eastAsia" w:hAnsi="宋体" w:cs="宋体"/>
          <w:color w:val="auto"/>
          <w:highlight w:val="none"/>
        </w:rPr>
        <w:t>。</w:t>
      </w:r>
    </w:p>
    <w:p w14:paraId="3FC0A866">
      <w:pPr>
        <w:spacing w:line="360" w:lineRule="auto"/>
        <w:ind w:firstLine="420"/>
        <w:rPr>
          <w:rFonts w:hAnsi="宋体"/>
          <w:color w:val="auto"/>
          <w:highlight w:val="none"/>
        </w:rPr>
      </w:pPr>
      <w:r>
        <w:rPr>
          <w:rFonts w:hint="eastAsia" w:hAnsi="宋体" w:cs="宋体"/>
          <w:color w:val="auto"/>
          <w:highlight w:val="none"/>
        </w:rPr>
        <w:t>质量保修期自工程竣工验收合格之日起计算。</w:t>
      </w:r>
    </w:p>
    <w:p w14:paraId="514382E5">
      <w:pPr>
        <w:spacing w:line="360" w:lineRule="auto"/>
        <w:ind w:firstLine="420"/>
        <w:rPr>
          <w:rFonts w:ascii="黑体" w:hAnsi="宋体" w:eastAsia="黑体"/>
          <w:color w:val="auto"/>
          <w:highlight w:val="none"/>
        </w:rPr>
      </w:pPr>
      <w:r>
        <w:rPr>
          <w:rFonts w:hint="eastAsia" w:ascii="黑体" w:hAnsi="宋体" w:eastAsia="黑体" w:cs="黑体"/>
          <w:color w:val="auto"/>
          <w:highlight w:val="none"/>
        </w:rPr>
        <w:t>三、缺陷责任期</w:t>
      </w:r>
    </w:p>
    <w:p w14:paraId="7065DB43">
      <w:pPr>
        <w:spacing w:line="360" w:lineRule="auto"/>
        <w:ind w:firstLine="420"/>
        <w:rPr>
          <w:rFonts w:hAnsi="宋体"/>
          <w:color w:val="auto"/>
          <w:highlight w:val="none"/>
        </w:rPr>
      </w:pPr>
      <w:r>
        <w:rPr>
          <w:rFonts w:hint="eastAsia" w:hAnsi="宋体" w:cs="宋体"/>
          <w:color w:val="auto"/>
          <w:highlight w:val="none"/>
        </w:rPr>
        <w:t>工程缺陷责任期为</w:t>
      </w:r>
      <w:r>
        <w:rPr>
          <w:color w:val="auto"/>
          <w:highlight w:val="none"/>
          <w:u w:val="single"/>
        </w:rPr>
        <w:t xml:space="preserve"> </w:t>
      </w:r>
      <w:r>
        <w:rPr>
          <w:rFonts w:hint="eastAsia"/>
          <w:color w:val="auto"/>
          <w:highlight w:val="none"/>
          <w:u w:val="single"/>
          <w:lang w:val="en-US" w:eastAsia="zh-CN"/>
        </w:rPr>
        <w:t>12</w:t>
      </w:r>
      <w:r>
        <w:rPr>
          <w:color w:val="auto"/>
          <w:highlight w:val="none"/>
          <w:u w:val="single"/>
        </w:rPr>
        <w:t xml:space="preserve"> </w:t>
      </w:r>
      <w:r>
        <w:rPr>
          <w:rFonts w:hint="eastAsia" w:hAnsi="宋体" w:cs="宋体"/>
          <w:color w:val="auto"/>
          <w:highlight w:val="none"/>
        </w:rPr>
        <w:t>个月（最长不超过</w:t>
      </w:r>
      <w:r>
        <w:rPr>
          <w:rFonts w:hAnsi="宋体"/>
          <w:color w:val="auto"/>
          <w:highlight w:val="none"/>
        </w:rPr>
        <w:t>24</w:t>
      </w:r>
      <w:r>
        <w:rPr>
          <w:rFonts w:hint="eastAsia" w:hAnsi="宋体" w:cs="宋体"/>
          <w:color w:val="auto"/>
          <w:highlight w:val="none"/>
        </w:rPr>
        <w:t>个月），缺陷责任期自工程竣工验收合格之日起计算。单位工程先于全部工程进行验收，单位工程缺陷责任期自单位工程验收合格之日起算。</w:t>
      </w:r>
    </w:p>
    <w:p w14:paraId="49761AAC">
      <w:pPr>
        <w:spacing w:line="360" w:lineRule="auto"/>
        <w:ind w:firstLine="420"/>
        <w:rPr>
          <w:rFonts w:hAnsi="宋体"/>
          <w:color w:val="auto"/>
          <w:highlight w:val="none"/>
        </w:rPr>
      </w:pPr>
      <w:r>
        <w:rPr>
          <w:rFonts w:hint="eastAsia" w:hAnsi="宋体" w:cs="宋体"/>
          <w:color w:val="auto"/>
          <w:highlight w:val="none"/>
        </w:rPr>
        <w:t>缺陷责任期</w:t>
      </w:r>
      <w:r>
        <w:rPr>
          <w:rFonts w:hint="eastAsia" w:hAnsi="宋体" w:cs="宋体"/>
          <w:color w:val="auto"/>
          <w:highlight w:val="none"/>
          <w:u w:val="single"/>
        </w:rPr>
        <w:t>满</w:t>
      </w:r>
      <w:r>
        <w:rPr>
          <w:rFonts w:hint="eastAsia" w:ascii="仿宋_GB2312" w:hAnsi="宋体"/>
          <w:color w:val="auto"/>
          <w:highlight w:val="none"/>
        </w:rPr>
        <w:t>之日起</w:t>
      </w:r>
      <w:r>
        <w:rPr>
          <w:rFonts w:hint="eastAsia" w:ascii="仿宋_GB2312" w:hAnsi="宋体"/>
          <w:color w:val="auto"/>
          <w:highlight w:val="none"/>
          <w:u w:val="single"/>
        </w:rPr>
        <w:t xml:space="preserve"> </w:t>
      </w:r>
      <w:r>
        <w:rPr>
          <w:rFonts w:hint="eastAsia" w:ascii="仿宋_GB2312" w:hAnsi="宋体"/>
          <w:color w:val="auto"/>
          <w:highlight w:val="none"/>
          <w:u w:val="single"/>
          <w:lang w:val="en-US" w:eastAsia="zh-CN"/>
        </w:rPr>
        <w:t>/</w:t>
      </w:r>
      <w:r>
        <w:rPr>
          <w:rFonts w:hint="eastAsia" w:ascii="仿宋_GB2312" w:hAnsi="宋体"/>
          <w:color w:val="auto"/>
          <w:highlight w:val="none"/>
          <w:u w:val="single"/>
        </w:rPr>
        <w:t xml:space="preserve"> </w:t>
      </w:r>
      <w:r>
        <w:rPr>
          <w:rFonts w:hint="eastAsia" w:ascii="仿宋_GB2312" w:hAnsi="宋体"/>
          <w:color w:val="auto"/>
          <w:highlight w:val="none"/>
        </w:rPr>
        <w:t>天</w:t>
      </w:r>
      <w:r>
        <w:rPr>
          <w:rFonts w:hint="eastAsia" w:hAnsi="宋体" w:cs="宋体"/>
          <w:color w:val="auto"/>
          <w:highlight w:val="none"/>
          <w:u w:val="single"/>
        </w:rPr>
        <w:t>（按</w:t>
      </w:r>
      <w:r>
        <w:rPr>
          <w:rFonts w:hAnsi="宋体" w:cs="宋体"/>
          <w:color w:val="auto"/>
          <w:highlight w:val="none"/>
          <w:u w:val="single"/>
        </w:rPr>
        <w:t>合同约定期限）</w:t>
      </w:r>
      <w:r>
        <w:rPr>
          <w:rFonts w:hint="eastAsia" w:hAnsi="宋体" w:cs="宋体"/>
          <w:color w:val="auto"/>
          <w:highlight w:val="none"/>
          <w:u w:val="single"/>
        </w:rPr>
        <w:t>，</w:t>
      </w:r>
      <w:r>
        <w:rPr>
          <w:rFonts w:hint="eastAsia" w:hAnsi="宋体" w:cs="宋体"/>
          <w:color w:val="auto"/>
          <w:highlight w:val="none"/>
        </w:rPr>
        <w:t>发包人应退还剩余的质量保证金。</w:t>
      </w:r>
    </w:p>
    <w:p w14:paraId="00EAB3CD">
      <w:pPr>
        <w:spacing w:line="360" w:lineRule="auto"/>
        <w:ind w:firstLine="420"/>
        <w:rPr>
          <w:rFonts w:ascii="黑体" w:hAnsi="宋体" w:eastAsia="黑体"/>
          <w:color w:val="auto"/>
          <w:highlight w:val="none"/>
        </w:rPr>
      </w:pPr>
      <w:r>
        <w:rPr>
          <w:rFonts w:hint="eastAsia" w:ascii="黑体" w:hAnsi="宋体" w:eastAsia="黑体" w:cs="黑体"/>
          <w:color w:val="auto"/>
          <w:highlight w:val="none"/>
        </w:rPr>
        <w:t>四、质量保修责任</w:t>
      </w:r>
    </w:p>
    <w:p w14:paraId="4F63E62D">
      <w:pPr>
        <w:spacing w:line="360" w:lineRule="auto"/>
        <w:ind w:left="105" w:leftChars="50" w:firstLine="430" w:firstLineChars="205"/>
        <w:rPr>
          <w:rFonts w:hAnsi="宋体"/>
          <w:color w:val="auto"/>
          <w:highlight w:val="none"/>
        </w:rPr>
      </w:pPr>
      <w:r>
        <w:rPr>
          <w:rFonts w:hint="eastAsia"/>
          <w:color w:val="auto"/>
          <w:highlight w:val="none"/>
          <w:lang w:eastAsia="zh-CN"/>
        </w:rPr>
        <w:t>1.</w:t>
      </w:r>
      <w:r>
        <w:rPr>
          <w:rFonts w:hint="eastAsia" w:hAnsi="宋体" w:cs="宋体"/>
          <w:color w:val="auto"/>
          <w:highlight w:val="none"/>
        </w:rPr>
        <w:t>属于保修范围、内容的项目，承包人应当在接到保修通知之日起</w:t>
      </w:r>
      <w:r>
        <w:rPr>
          <w:color w:val="auto"/>
          <w:highlight w:val="none"/>
          <w:u w:val="single"/>
        </w:rPr>
        <w:t xml:space="preserve">      </w:t>
      </w:r>
      <w:r>
        <w:rPr>
          <w:rFonts w:hint="eastAsia" w:hAnsi="宋体" w:cs="宋体"/>
          <w:color w:val="auto"/>
          <w:highlight w:val="none"/>
        </w:rPr>
        <w:t>天内派人保修。承包人不在约定期限内派人保修的，发包人可以委托他人修理，修理费用从质量保证金内扣除。</w:t>
      </w:r>
    </w:p>
    <w:p w14:paraId="48B2C506">
      <w:pPr>
        <w:spacing w:line="360" w:lineRule="auto"/>
        <w:ind w:firstLine="420"/>
        <w:rPr>
          <w:rFonts w:hAnsi="宋体"/>
          <w:color w:val="auto"/>
          <w:highlight w:val="none"/>
        </w:rPr>
      </w:pPr>
      <w:r>
        <w:rPr>
          <w:rFonts w:hint="eastAsia"/>
          <w:color w:val="auto"/>
          <w:highlight w:val="none"/>
          <w:lang w:eastAsia="zh-CN"/>
        </w:rPr>
        <w:t>2.</w:t>
      </w:r>
      <w:r>
        <w:rPr>
          <w:rFonts w:hint="eastAsia" w:hAnsi="宋体" w:cs="宋体"/>
          <w:color w:val="auto"/>
          <w:highlight w:val="none"/>
        </w:rPr>
        <w:t>发生紧急事故需抢修的，承包人在接到事故通知后，应当立即到达事故现场抢修。</w:t>
      </w:r>
    </w:p>
    <w:p w14:paraId="47F2B4B9">
      <w:pPr>
        <w:spacing w:line="360" w:lineRule="auto"/>
        <w:ind w:firstLine="420"/>
        <w:rPr>
          <w:rFonts w:hAnsi="宋体"/>
          <w:color w:val="auto"/>
          <w:highlight w:val="none"/>
        </w:rPr>
      </w:pPr>
      <w:r>
        <w:rPr>
          <w:rFonts w:hint="eastAsia"/>
          <w:color w:val="auto"/>
          <w:highlight w:val="none"/>
          <w:lang w:eastAsia="zh-CN"/>
        </w:rPr>
        <w:t>3.</w:t>
      </w:r>
      <w:r>
        <w:rPr>
          <w:rFonts w:hint="eastAsia" w:hAnsi="宋体" w:cs="宋体"/>
          <w:color w:val="auto"/>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093F24CD">
      <w:pPr>
        <w:spacing w:line="360" w:lineRule="auto"/>
        <w:ind w:firstLine="420"/>
        <w:rPr>
          <w:rFonts w:hAnsi="宋体"/>
          <w:color w:val="auto"/>
          <w:highlight w:val="none"/>
        </w:rPr>
      </w:pPr>
      <w:r>
        <w:rPr>
          <w:rFonts w:hint="eastAsia"/>
          <w:color w:val="auto"/>
          <w:highlight w:val="none"/>
          <w:lang w:eastAsia="zh-CN"/>
        </w:rPr>
        <w:t>4.</w:t>
      </w:r>
      <w:r>
        <w:rPr>
          <w:rFonts w:hint="eastAsia" w:hAnsi="宋体" w:cs="宋体"/>
          <w:color w:val="auto"/>
          <w:highlight w:val="none"/>
        </w:rPr>
        <w:t>质量保修完成后，由发包人组织验收。</w:t>
      </w:r>
    </w:p>
    <w:p w14:paraId="34B4D9C4">
      <w:pPr>
        <w:spacing w:line="360" w:lineRule="auto"/>
        <w:ind w:firstLine="420"/>
        <w:rPr>
          <w:rFonts w:ascii="黑体" w:hAnsi="宋体" w:eastAsia="黑体"/>
          <w:color w:val="auto"/>
          <w:highlight w:val="none"/>
        </w:rPr>
      </w:pPr>
      <w:r>
        <w:rPr>
          <w:rFonts w:hint="eastAsia" w:ascii="黑体" w:hAnsi="宋体" w:eastAsia="黑体" w:cs="黑体"/>
          <w:color w:val="auto"/>
          <w:highlight w:val="none"/>
        </w:rPr>
        <w:t>五、保修费用</w:t>
      </w:r>
    </w:p>
    <w:p w14:paraId="1532209D">
      <w:pPr>
        <w:tabs>
          <w:tab w:val="left" w:pos="7380"/>
        </w:tabs>
        <w:spacing w:line="360" w:lineRule="auto"/>
        <w:ind w:firstLine="420"/>
        <w:rPr>
          <w:rFonts w:hAnsi="宋体"/>
          <w:color w:val="auto"/>
          <w:highlight w:val="none"/>
        </w:rPr>
      </w:pPr>
      <w:r>
        <w:rPr>
          <w:rFonts w:hint="eastAsia" w:hAnsi="宋体" w:cs="宋体"/>
          <w:color w:val="auto"/>
          <w:highlight w:val="none"/>
        </w:rPr>
        <w:t>保修费用由造成质量缺陷的责任方承担。</w:t>
      </w:r>
    </w:p>
    <w:p w14:paraId="160FFC69">
      <w:pPr>
        <w:spacing w:line="360" w:lineRule="auto"/>
        <w:ind w:firstLine="420"/>
        <w:rPr>
          <w:rFonts w:ascii="黑体" w:hAnsi="宋体" w:eastAsia="黑体" w:cs="黑体"/>
          <w:color w:val="auto"/>
          <w:highlight w:val="none"/>
        </w:rPr>
      </w:pPr>
      <w:r>
        <w:rPr>
          <w:rFonts w:hint="eastAsia" w:ascii="黑体" w:hAnsi="宋体" w:eastAsia="黑体" w:cs="黑体"/>
          <w:color w:val="auto"/>
          <w:highlight w:val="none"/>
        </w:rPr>
        <w:t>六、双方约定的其他工程质量保修事项：</w:t>
      </w:r>
      <w:r>
        <w:rPr>
          <w:rFonts w:ascii="黑体" w:hAnsi="宋体" w:eastAsia="黑体" w:cs="黑体"/>
          <w:color w:val="auto"/>
          <w:highlight w:val="none"/>
        </w:rPr>
        <w:t xml:space="preserve"> </w:t>
      </w:r>
    </w:p>
    <w:p w14:paraId="13DA56E8">
      <w:pPr>
        <w:spacing w:line="360" w:lineRule="auto"/>
        <w:ind w:firstLine="420" w:firstLineChars="200"/>
        <w:jc w:val="left"/>
        <w:rPr>
          <w:color w:val="auto"/>
          <w:highlight w:val="none"/>
        </w:rPr>
      </w:pPr>
      <w:r>
        <w:rPr>
          <w:color w:val="auto"/>
          <w:highlight w:val="none"/>
          <w:u w:val="single"/>
        </w:rPr>
        <w:t xml:space="preserve">                                                                                                                                                             </w:t>
      </w:r>
      <w:r>
        <w:rPr>
          <w:rFonts w:hint="eastAsia" w:hAnsi="宋体" w:cs="宋体"/>
          <w:color w:val="auto"/>
          <w:highlight w:val="none"/>
        </w:rPr>
        <w:t>。</w:t>
      </w:r>
    </w:p>
    <w:p w14:paraId="4107F577">
      <w:pPr>
        <w:spacing w:line="360" w:lineRule="auto"/>
        <w:ind w:firstLine="399" w:firstLineChars="190"/>
        <w:rPr>
          <w:color w:val="auto"/>
          <w:highlight w:val="none"/>
        </w:rPr>
      </w:pPr>
      <w:r>
        <w:rPr>
          <w:rFonts w:hint="eastAsia" w:hAnsi="宋体" w:cs="宋体"/>
          <w:color w:val="auto"/>
          <w:highlight w:val="none"/>
        </w:rPr>
        <w:t>工程质量保修书由发包人、承包人在工程竣工验收前共同签署，作为施工合同附件，其有效期限至保修期满。</w:t>
      </w:r>
    </w:p>
    <w:p w14:paraId="5F4A5CE6">
      <w:pPr>
        <w:spacing w:line="360" w:lineRule="auto"/>
        <w:ind w:firstLine="420"/>
        <w:rPr>
          <w:color w:val="auto"/>
          <w:highlight w:val="none"/>
        </w:rPr>
      </w:pPr>
    </w:p>
    <w:p w14:paraId="04EC1D05">
      <w:pPr>
        <w:spacing w:line="360" w:lineRule="auto"/>
        <w:rPr>
          <w:rFonts w:hint="eastAsia" w:eastAsia="宋体"/>
          <w:color w:val="auto"/>
          <w:highlight w:val="none"/>
          <w:lang w:eastAsia="zh-CN"/>
        </w:rPr>
      </w:pPr>
      <w:r>
        <w:rPr>
          <w:rFonts w:hAnsi="宋体"/>
          <w:color w:val="auto"/>
          <w:highlight w:val="none"/>
        </w:rPr>
        <w:t>发包人</w:t>
      </w:r>
      <w:r>
        <w:rPr>
          <w:rFonts w:hint="eastAsia"/>
          <w:color w:val="auto"/>
          <w:highlight w:val="none"/>
        </w:rPr>
        <w:t>（</w:t>
      </w:r>
      <w:r>
        <w:rPr>
          <w:rFonts w:hAnsi="宋体"/>
          <w:color w:val="auto"/>
          <w:highlight w:val="none"/>
        </w:rPr>
        <w:t>公章</w:t>
      </w:r>
      <w:r>
        <w:rPr>
          <w:rFonts w:hint="eastAsia"/>
          <w:color w:val="auto"/>
          <w:highlight w:val="none"/>
        </w:rPr>
        <w:t>）</w:t>
      </w:r>
      <w:r>
        <w:rPr>
          <w:rFonts w:hAnsi="宋体"/>
          <w:color w:val="auto"/>
          <w:highlight w:val="none"/>
        </w:rPr>
        <w:t>：</w:t>
      </w:r>
      <w:r>
        <w:rPr>
          <w:color w:val="auto"/>
          <w:highlight w:val="none"/>
          <w:u w:val="single"/>
        </w:rPr>
        <w:t xml:space="preserve"> </w:t>
      </w:r>
      <w:r>
        <w:rPr>
          <w:rFonts w:hint="eastAsia" w:ascii="宋体" w:hAnsi="宋体"/>
          <w:color w:val="auto"/>
          <w:highlight w:val="none"/>
          <w:u w:val="single"/>
          <w:lang w:eastAsia="zh-CN"/>
        </w:rPr>
        <w:t xml:space="preserve">  </w:t>
      </w:r>
      <w:r>
        <w:rPr>
          <w:color w:val="auto"/>
          <w:highlight w:val="none"/>
          <w:u w:val="single"/>
        </w:rPr>
        <w:t xml:space="preserve"> </w:t>
      </w:r>
      <w:r>
        <w:rPr>
          <w:rFonts w:hint="eastAsia" w:ascii="宋体" w:hAnsi="宋体"/>
          <w:color w:val="auto"/>
          <w:highlight w:val="none"/>
          <w:u w:val="single"/>
          <w:lang w:eastAsia="zh-CN"/>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承包人</w:t>
      </w:r>
      <w:r>
        <w:rPr>
          <w:rFonts w:hint="eastAsia"/>
          <w:color w:val="auto"/>
          <w:highlight w:val="none"/>
        </w:rPr>
        <w:t>（</w:t>
      </w:r>
      <w:r>
        <w:rPr>
          <w:rFonts w:hAnsi="宋体"/>
          <w:color w:val="auto"/>
          <w:highlight w:val="none"/>
        </w:rPr>
        <w:t>公章</w:t>
      </w:r>
      <w:r>
        <w:rPr>
          <w:rFonts w:hint="eastAsia"/>
          <w:color w:val="auto"/>
          <w:highlight w:val="none"/>
        </w:rPr>
        <w:t>）</w:t>
      </w:r>
      <w:r>
        <w:rPr>
          <w:rFonts w:hAnsi="宋体"/>
          <w:color w:val="auto"/>
          <w:highlight w:val="none"/>
        </w:rPr>
        <w:t>：</w:t>
      </w:r>
      <w:r>
        <w:rPr>
          <w:rFonts w:hint="eastAsia" w:ascii="宋体" w:hAnsi="宋体"/>
          <w:color w:val="auto"/>
          <w:highlight w:val="none"/>
          <w:u w:val="single"/>
          <w:lang w:eastAsia="zh-CN"/>
        </w:rPr>
        <w:t xml:space="preserve">  </w:t>
      </w:r>
      <w:r>
        <w:rPr>
          <w:color w:val="auto"/>
          <w:highlight w:val="none"/>
          <w:u w:val="single"/>
        </w:rPr>
        <w:t xml:space="preserve">          </w:t>
      </w:r>
      <w:r>
        <w:rPr>
          <w:rFonts w:hint="eastAsia" w:ascii="宋体" w:hAnsi="宋体"/>
          <w:color w:val="auto"/>
          <w:highlight w:val="none"/>
          <w:u w:val="single"/>
          <w:lang w:eastAsia="zh-CN"/>
        </w:rPr>
        <w:t xml:space="preserve">  </w:t>
      </w:r>
    </w:p>
    <w:p w14:paraId="67FB03CF">
      <w:pPr>
        <w:spacing w:line="360" w:lineRule="auto"/>
        <w:rPr>
          <w:rFonts w:hint="eastAsia" w:eastAsia="宋体"/>
          <w:color w:val="auto"/>
          <w:highlight w:val="none"/>
          <w:lang w:eastAsia="zh-CN"/>
        </w:rPr>
      </w:pPr>
      <w:r>
        <w:rPr>
          <w:rFonts w:hAnsi="宋体"/>
          <w:color w:val="auto"/>
          <w:highlight w:val="none"/>
        </w:rPr>
        <w:t>地</w:t>
      </w:r>
      <w:r>
        <w:rPr>
          <w:color w:val="auto"/>
          <w:highlight w:val="none"/>
        </w:rPr>
        <w:t xml:space="preserve">  </w:t>
      </w:r>
      <w:r>
        <w:rPr>
          <w:rFonts w:hAnsi="宋体"/>
          <w:color w:val="auto"/>
          <w:highlight w:val="none"/>
        </w:rPr>
        <w:t>址：</w:t>
      </w:r>
      <w:r>
        <w:rPr>
          <w:color w:val="auto"/>
          <w:highlight w:val="none"/>
          <w:u w:val="single"/>
        </w:rPr>
        <w:t xml:space="preserve"> </w:t>
      </w:r>
      <w:r>
        <w:rPr>
          <w:rFonts w:hint="eastAsia" w:ascii="宋体" w:hAnsi="宋体"/>
          <w:color w:val="auto"/>
          <w:highlight w:val="none"/>
          <w:u w:val="single"/>
          <w:lang w:eastAsia="zh-CN"/>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地</w:t>
      </w:r>
      <w:r>
        <w:rPr>
          <w:color w:val="auto"/>
          <w:highlight w:val="none"/>
        </w:rPr>
        <w:t xml:space="preserve">  </w:t>
      </w:r>
      <w:r>
        <w:rPr>
          <w:rFonts w:hAnsi="宋体"/>
          <w:color w:val="auto"/>
          <w:highlight w:val="none"/>
        </w:rPr>
        <w:t>址：</w:t>
      </w:r>
      <w:r>
        <w:rPr>
          <w:rFonts w:hint="eastAsia" w:ascii="宋体" w:hAnsi="宋体"/>
          <w:color w:val="auto"/>
          <w:highlight w:val="none"/>
          <w:u w:val="single"/>
          <w:lang w:eastAsia="zh-CN"/>
        </w:rPr>
        <w:t xml:space="preserve">            </w:t>
      </w:r>
      <w:r>
        <w:rPr>
          <w:color w:val="auto"/>
          <w:highlight w:val="none"/>
          <w:u w:val="single"/>
        </w:rPr>
        <w:t xml:space="preserve"> </w:t>
      </w:r>
      <w:r>
        <w:rPr>
          <w:rFonts w:hint="eastAsia"/>
          <w:color w:val="auto"/>
          <w:highlight w:val="none"/>
          <w:u w:val="single"/>
        </w:rPr>
        <w:t xml:space="preserve">     </w:t>
      </w:r>
      <w:r>
        <w:rPr>
          <w:rFonts w:hint="eastAsia" w:ascii="宋体" w:hAnsi="宋体"/>
          <w:color w:val="auto"/>
          <w:highlight w:val="none"/>
          <w:u w:val="single"/>
          <w:lang w:eastAsia="zh-CN"/>
        </w:rPr>
        <w:t xml:space="preserve">  </w:t>
      </w:r>
    </w:p>
    <w:p w14:paraId="3D4B02AD">
      <w:pPr>
        <w:spacing w:line="360" w:lineRule="auto"/>
        <w:rPr>
          <w:rFonts w:hint="eastAsia" w:eastAsia="宋体"/>
          <w:color w:val="auto"/>
          <w:highlight w:val="none"/>
          <w:lang w:eastAsia="zh-CN"/>
        </w:rPr>
      </w:pPr>
      <w:r>
        <w:rPr>
          <w:rFonts w:hAnsi="宋体"/>
          <w:color w:val="auto"/>
          <w:highlight w:val="none"/>
        </w:rPr>
        <w:t>法定代表人</w:t>
      </w:r>
      <w:r>
        <w:rPr>
          <w:rFonts w:hint="eastAsia"/>
          <w:color w:val="auto"/>
          <w:highlight w:val="none"/>
        </w:rPr>
        <w:t>（</w:t>
      </w:r>
      <w:r>
        <w:rPr>
          <w:rFonts w:hAnsi="宋体"/>
          <w:color w:val="auto"/>
          <w:highlight w:val="none"/>
        </w:rPr>
        <w:t>签字</w:t>
      </w:r>
      <w:r>
        <w:rPr>
          <w:rFonts w:hint="eastAsia"/>
          <w:color w:val="auto"/>
          <w:highlight w:val="none"/>
        </w:rPr>
        <w:t>）</w:t>
      </w:r>
      <w:r>
        <w:rPr>
          <w:rFonts w:hAnsi="宋体"/>
          <w:color w:val="auto"/>
          <w:highlight w:val="none"/>
        </w:rPr>
        <w:t>：</w:t>
      </w:r>
      <w:r>
        <w:rPr>
          <w:rFonts w:hint="eastAsia" w:ascii="宋体" w:hAnsi="宋体"/>
          <w:color w:val="auto"/>
          <w:highlight w:val="none"/>
          <w:u w:val="single"/>
          <w:lang w:eastAsia="zh-CN"/>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法定代表人</w:t>
      </w:r>
      <w:r>
        <w:rPr>
          <w:rFonts w:hint="eastAsia"/>
          <w:color w:val="auto"/>
          <w:highlight w:val="none"/>
        </w:rPr>
        <w:t>（</w:t>
      </w:r>
      <w:r>
        <w:rPr>
          <w:rFonts w:hAnsi="宋体"/>
          <w:color w:val="auto"/>
          <w:highlight w:val="none"/>
        </w:rPr>
        <w:t>签字</w:t>
      </w:r>
      <w:r>
        <w:rPr>
          <w:rFonts w:hint="eastAsia"/>
          <w:color w:val="auto"/>
          <w:highlight w:val="none"/>
        </w:rPr>
        <w:t>）</w:t>
      </w:r>
      <w:r>
        <w:rPr>
          <w:rFonts w:hAnsi="宋体"/>
          <w:color w:val="auto"/>
          <w:highlight w:val="none"/>
        </w:rPr>
        <w:t>：</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rFonts w:hint="eastAsia" w:ascii="宋体" w:hAnsi="宋体"/>
          <w:color w:val="auto"/>
          <w:highlight w:val="none"/>
          <w:u w:val="single"/>
          <w:lang w:eastAsia="zh-CN"/>
        </w:rPr>
        <w:t xml:space="preserve">  </w:t>
      </w:r>
    </w:p>
    <w:p w14:paraId="21754E20">
      <w:pPr>
        <w:spacing w:line="360" w:lineRule="auto"/>
        <w:rPr>
          <w:rFonts w:hint="eastAsia" w:eastAsia="宋体"/>
          <w:color w:val="auto"/>
          <w:highlight w:val="none"/>
          <w:lang w:eastAsia="zh-CN"/>
        </w:rPr>
      </w:pPr>
      <w:r>
        <w:rPr>
          <w:rFonts w:hAnsi="宋体"/>
          <w:color w:val="auto"/>
          <w:highlight w:val="none"/>
        </w:rPr>
        <w:t>委托代理人</w:t>
      </w:r>
      <w:r>
        <w:rPr>
          <w:rFonts w:hint="eastAsia"/>
          <w:color w:val="auto"/>
          <w:highlight w:val="none"/>
        </w:rPr>
        <w:t>（</w:t>
      </w:r>
      <w:r>
        <w:rPr>
          <w:rFonts w:hAnsi="宋体"/>
          <w:color w:val="auto"/>
          <w:highlight w:val="none"/>
        </w:rPr>
        <w:t>签字</w:t>
      </w:r>
      <w:r>
        <w:rPr>
          <w:rFonts w:hint="eastAsia"/>
          <w:color w:val="auto"/>
          <w:highlight w:val="none"/>
        </w:rPr>
        <w:t>）</w:t>
      </w:r>
      <w:r>
        <w:rPr>
          <w:rFonts w:hAnsi="宋体"/>
          <w:color w:val="auto"/>
          <w:highlight w:val="none"/>
        </w:rPr>
        <w:t>：</w:t>
      </w:r>
      <w:r>
        <w:rPr>
          <w:rFonts w:hint="eastAsia" w:ascii="宋体" w:hAnsi="宋体"/>
          <w:color w:val="auto"/>
          <w:highlight w:val="none"/>
          <w:u w:val="single"/>
          <w:lang w:eastAsia="zh-CN"/>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委托代理人</w:t>
      </w:r>
      <w:r>
        <w:rPr>
          <w:rFonts w:hint="eastAsia"/>
          <w:color w:val="auto"/>
          <w:highlight w:val="none"/>
        </w:rPr>
        <w:t>（</w:t>
      </w:r>
      <w:r>
        <w:rPr>
          <w:rFonts w:hAnsi="宋体"/>
          <w:color w:val="auto"/>
          <w:highlight w:val="none"/>
        </w:rPr>
        <w:t>签字</w:t>
      </w:r>
      <w:r>
        <w:rPr>
          <w:rFonts w:hint="eastAsia"/>
          <w:color w:val="auto"/>
          <w:highlight w:val="none"/>
        </w:rPr>
        <w:t>）</w:t>
      </w:r>
      <w:r>
        <w:rPr>
          <w:rFonts w:hAnsi="宋体"/>
          <w:color w:val="auto"/>
          <w:highlight w:val="none"/>
        </w:rPr>
        <w:t>：</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rFonts w:hint="eastAsia" w:ascii="宋体" w:hAnsi="宋体"/>
          <w:color w:val="auto"/>
          <w:highlight w:val="none"/>
          <w:u w:val="single"/>
          <w:lang w:eastAsia="zh-CN"/>
        </w:rPr>
        <w:t xml:space="preserve">  </w:t>
      </w:r>
    </w:p>
    <w:p w14:paraId="34288E94">
      <w:pPr>
        <w:spacing w:line="360" w:lineRule="auto"/>
        <w:rPr>
          <w:rFonts w:hint="eastAsia" w:eastAsia="宋体"/>
          <w:color w:val="auto"/>
          <w:highlight w:val="none"/>
          <w:lang w:eastAsia="zh-CN"/>
        </w:rPr>
      </w:pPr>
      <w:r>
        <w:rPr>
          <w:rFonts w:hAnsi="宋体"/>
          <w:color w:val="auto"/>
          <w:highlight w:val="none"/>
        </w:rPr>
        <w:t>电</w:t>
      </w:r>
      <w:r>
        <w:rPr>
          <w:color w:val="auto"/>
          <w:highlight w:val="none"/>
        </w:rPr>
        <w:t xml:space="preserve">  </w:t>
      </w:r>
      <w:r>
        <w:rPr>
          <w:rFonts w:hAnsi="宋体"/>
          <w:color w:val="auto"/>
          <w:highlight w:val="none"/>
        </w:rPr>
        <w:t>话：</w:t>
      </w:r>
      <w:r>
        <w:rPr>
          <w:rFonts w:hint="eastAsia" w:ascii="宋体" w:hAnsi="宋体"/>
          <w:color w:val="auto"/>
          <w:highlight w:val="none"/>
          <w:u w:val="single"/>
          <w:lang w:eastAsia="zh-CN"/>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电</w:t>
      </w:r>
      <w:r>
        <w:rPr>
          <w:color w:val="auto"/>
          <w:highlight w:val="none"/>
        </w:rPr>
        <w:t xml:space="preserve">  </w:t>
      </w:r>
      <w:r>
        <w:rPr>
          <w:rFonts w:hAnsi="宋体"/>
          <w:color w:val="auto"/>
          <w:highlight w:val="none"/>
        </w:rPr>
        <w:t>话：</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rFonts w:hint="eastAsia" w:ascii="宋体" w:hAnsi="宋体"/>
          <w:color w:val="auto"/>
          <w:highlight w:val="none"/>
          <w:u w:val="single"/>
          <w:lang w:eastAsia="zh-CN"/>
        </w:rPr>
        <w:t xml:space="preserve">  </w:t>
      </w:r>
    </w:p>
    <w:p w14:paraId="6AE8CF19">
      <w:pPr>
        <w:spacing w:line="360" w:lineRule="auto"/>
        <w:rPr>
          <w:rFonts w:hint="eastAsia" w:eastAsia="宋体"/>
          <w:color w:val="auto"/>
          <w:highlight w:val="none"/>
          <w:lang w:eastAsia="zh-CN"/>
        </w:rPr>
      </w:pPr>
      <w:r>
        <w:rPr>
          <w:rFonts w:hAnsi="宋体"/>
          <w:color w:val="auto"/>
          <w:highlight w:val="none"/>
        </w:rPr>
        <w:t>传</w:t>
      </w:r>
      <w:r>
        <w:rPr>
          <w:color w:val="auto"/>
          <w:highlight w:val="none"/>
        </w:rPr>
        <w:t xml:space="preserve">  </w:t>
      </w:r>
      <w:r>
        <w:rPr>
          <w:rFonts w:hAnsi="宋体"/>
          <w:color w:val="auto"/>
          <w:highlight w:val="none"/>
        </w:rPr>
        <w:t>真：</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传</w:t>
      </w:r>
      <w:r>
        <w:rPr>
          <w:color w:val="auto"/>
          <w:highlight w:val="none"/>
        </w:rPr>
        <w:t xml:space="preserve">  </w:t>
      </w:r>
      <w:r>
        <w:rPr>
          <w:rFonts w:hAnsi="宋体"/>
          <w:color w:val="auto"/>
          <w:highlight w:val="none"/>
        </w:rPr>
        <w:t>真：</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color w:val="auto"/>
          <w:highlight w:val="none"/>
          <w:u w:val="single"/>
        </w:rPr>
        <w:t xml:space="preserve">  </w:t>
      </w:r>
      <w:r>
        <w:rPr>
          <w:rFonts w:hint="eastAsia" w:ascii="宋体" w:hAnsi="宋体"/>
          <w:color w:val="auto"/>
          <w:highlight w:val="none"/>
          <w:u w:val="single"/>
          <w:lang w:eastAsia="zh-CN"/>
        </w:rPr>
        <w:t xml:space="preserve">  </w:t>
      </w:r>
    </w:p>
    <w:p w14:paraId="321E69D8">
      <w:pPr>
        <w:spacing w:line="360" w:lineRule="auto"/>
        <w:rPr>
          <w:rFonts w:hint="eastAsia" w:eastAsia="宋体"/>
          <w:color w:val="auto"/>
          <w:highlight w:val="none"/>
          <w:lang w:eastAsia="zh-CN"/>
        </w:rPr>
      </w:pPr>
      <w:r>
        <w:rPr>
          <w:rFonts w:hAnsi="宋体"/>
          <w:color w:val="auto"/>
          <w:highlight w:val="none"/>
        </w:rPr>
        <w:t>开户银行：</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开户银行：</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rFonts w:hint="eastAsia" w:ascii="宋体" w:hAnsi="宋体"/>
          <w:color w:val="auto"/>
          <w:highlight w:val="none"/>
          <w:u w:val="single"/>
          <w:lang w:eastAsia="zh-CN"/>
        </w:rPr>
        <w:t xml:space="preserve">    </w:t>
      </w:r>
    </w:p>
    <w:p w14:paraId="2A4A1A22">
      <w:pPr>
        <w:tabs>
          <w:tab w:val="left" w:pos="2880"/>
          <w:tab w:val="left" w:pos="3060"/>
          <w:tab w:val="left" w:pos="4500"/>
        </w:tabs>
        <w:spacing w:line="360" w:lineRule="auto"/>
        <w:rPr>
          <w:rFonts w:hint="eastAsia" w:eastAsia="宋体"/>
          <w:color w:val="auto"/>
          <w:highlight w:val="none"/>
          <w:lang w:eastAsia="zh-CN"/>
        </w:rPr>
      </w:pPr>
      <w:r>
        <w:rPr>
          <w:rFonts w:hAnsi="宋体"/>
          <w:color w:val="auto"/>
          <w:highlight w:val="none"/>
        </w:rPr>
        <w:t>账</w:t>
      </w:r>
      <w:r>
        <w:rPr>
          <w:color w:val="auto"/>
          <w:highlight w:val="none"/>
        </w:rPr>
        <w:t xml:space="preserve">  </w:t>
      </w:r>
      <w:r>
        <w:rPr>
          <w:rFonts w:hAnsi="宋体"/>
          <w:color w:val="auto"/>
          <w:highlight w:val="none"/>
        </w:rPr>
        <w:t>号：</w:t>
      </w:r>
      <w:r>
        <w:rPr>
          <w:rFonts w:hint="eastAsia" w:ascii="宋体" w:hAnsi="宋体"/>
          <w:color w:val="auto"/>
          <w:highlight w:val="none"/>
          <w:u w:val="single"/>
          <w:lang w:eastAsia="zh-CN"/>
        </w:rPr>
        <w:t xml:space="preserve">          </w:t>
      </w:r>
      <w:r>
        <w:rPr>
          <w:color w:val="auto"/>
          <w:highlight w:val="none"/>
          <w:u w:val="single"/>
        </w:rPr>
        <w:t xml:space="preserve"> </w:t>
      </w:r>
      <w:r>
        <w:rPr>
          <w:rFonts w:hint="eastAsia" w:ascii="宋体" w:hAnsi="宋体"/>
          <w:color w:val="auto"/>
          <w:highlight w:val="none"/>
          <w:u w:val="single"/>
          <w:lang w:eastAsia="zh-CN"/>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账</w:t>
      </w:r>
      <w:r>
        <w:rPr>
          <w:color w:val="auto"/>
          <w:highlight w:val="none"/>
        </w:rPr>
        <w:t xml:space="preserve">  </w:t>
      </w:r>
      <w:r>
        <w:rPr>
          <w:rFonts w:hAnsi="宋体"/>
          <w:color w:val="auto"/>
          <w:highlight w:val="none"/>
        </w:rPr>
        <w:t>号：</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rFonts w:hint="eastAsia" w:ascii="宋体" w:hAnsi="宋体"/>
          <w:color w:val="auto"/>
          <w:highlight w:val="none"/>
          <w:u w:val="single"/>
          <w:lang w:eastAsia="zh-CN"/>
        </w:rPr>
        <w:t xml:space="preserve">  </w:t>
      </w:r>
    </w:p>
    <w:p w14:paraId="115F6CBD">
      <w:pPr>
        <w:tabs>
          <w:tab w:val="left" w:pos="7200"/>
          <w:tab w:val="left" w:pos="7380"/>
          <w:tab w:val="left" w:pos="7560"/>
        </w:tabs>
        <w:spacing w:line="360" w:lineRule="auto"/>
        <w:rPr>
          <w:rFonts w:hint="eastAsia" w:eastAsia="宋体"/>
          <w:color w:val="auto"/>
          <w:highlight w:val="none"/>
          <w:lang w:eastAsia="zh-CN"/>
        </w:rPr>
      </w:pPr>
      <w:r>
        <w:rPr>
          <w:rFonts w:hAnsi="宋体"/>
          <w:color w:val="auto"/>
          <w:highlight w:val="none"/>
        </w:rPr>
        <w:t>邮政编码：</w:t>
      </w:r>
      <w:r>
        <w:rPr>
          <w:color w:val="auto"/>
          <w:highlight w:val="none"/>
          <w:u w:val="single"/>
        </w:rPr>
        <w:t xml:space="preserve"> </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邮政编码：</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rFonts w:hint="eastAsia" w:ascii="宋体" w:hAnsi="宋体"/>
          <w:color w:val="auto"/>
          <w:highlight w:val="none"/>
          <w:u w:val="single"/>
          <w:lang w:eastAsia="zh-CN"/>
        </w:rPr>
        <w:t xml:space="preserve">  </w:t>
      </w:r>
    </w:p>
    <w:p w14:paraId="5C032A20">
      <w:pPr>
        <w:spacing w:before="120" w:beforeLines="50" w:after="120" w:afterLines="50" w:line="360" w:lineRule="auto"/>
        <w:jc w:val="center"/>
        <w:rPr>
          <w:rFonts w:ascii="黑体" w:hAnsi="宋体" w:eastAsia="黑体"/>
          <w:color w:val="auto"/>
          <w:sz w:val="32"/>
          <w:szCs w:val="32"/>
          <w:highlight w:val="none"/>
        </w:rPr>
      </w:pPr>
    </w:p>
    <w:p w14:paraId="4B0C8584">
      <w:pPr>
        <w:spacing w:before="120" w:beforeLines="50" w:after="120" w:afterLines="50" w:line="360" w:lineRule="auto"/>
        <w:jc w:val="center"/>
        <w:rPr>
          <w:rFonts w:ascii="黑体" w:hAnsi="宋体" w:eastAsia="黑体"/>
          <w:color w:val="auto"/>
          <w:sz w:val="32"/>
          <w:szCs w:val="32"/>
          <w:highlight w:val="none"/>
        </w:rPr>
      </w:pPr>
    </w:p>
    <w:p w14:paraId="522FF15E">
      <w:pPr>
        <w:spacing w:before="120" w:beforeLines="50" w:after="120" w:afterLines="50" w:line="360" w:lineRule="auto"/>
        <w:jc w:val="center"/>
        <w:rPr>
          <w:rFonts w:ascii="黑体" w:hAnsi="宋体" w:eastAsia="黑体"/>
          <w:color w:val="auto"/>
          <w:sz w:val="32"/>
          <w:szCs w:val="32"/>
          <w:highlight w:val="none"/>
        </w:rPr>
      </w:pPr>
    </w:p>
    <w:p w14:paraId="1DD35D6F">
      <w:pPr>
        <w:spacing w:before="120" w:beforeLines="50" w:after="120" w:afterLines="50" w:line="360" w:lineRule="auto"/>
        <w:jc w:val="center"/>
        <w:rPr>
          <w:rFonts w:ascii="黑体" w:hAnsi="宋体" w:eastAsia="黑体"/>
          <w:color w:val="auto"/>
          <w:sz w:val="32"/>
          <w:szCs w:val="32"/>
          <w:highlight w:val="none"/>
        </w:rPr>
      </w:pPr>
    </w:p>
    <w:p w14:paraId="4FD73D3B">
      <w:pPr>
        <w:spacing w:before="120" w:beforeLines="50" w:after="120" w:afterLines="50" w:line="360" w:lineRule="auto"/>
        <w:jc w:val="center"/>
        <w:rPr>
          <w:rFonts w:ascii="黑体" w:hAnsi="宋体" w:eastAsia="黑体"/>
          <w:color w:val="auto"/>
          <w:sz w:val="32"/>
          <w:szCs w:val="32"/>
          <w:highlight w:val="none"/>
        </w:rPr>
      </w:pPr>
    </w:p>
    <w:p w14:paraId="5FFEF42A">
      <w:pPr>
        <w:spacing w:before="120" w:beforeLines="50" w:after="120" w:afterLines="50" w:line="360" w:lineRule="auto"/>
        <w:jc w:val="center"/>
        <w:rPr>
          <w:rFonts w:ascii="黑体" w:hAnsi="宋体" w:eastAsia="黑体"/>
          <w:color w:val="auto"/>
          <w:sz w:val="32"/>
          <w:szCs w:val="32"/>
          <w:highlight w:val="none"/>
        </w:rPr>
      </w:pPr>
    </w:p>
    <w:p w14:paraId="13789B9C">
      <w:pPr>
        <w:spacing w:before="120" w:beforeLines="50" w:after="120" w:afterLines="50" w:line="360" w:lineRule="auto"/>
        <w:jc w:val="center"/>
        <w:rPr>
          <w:rFonts w:ascii="黑体" w:hAnsi="宋体" w:eastAsia="黑体"/>
          <w:color w:val="auto"/>
          <w:sz w:val="32"/>
          <w:szCs w:val="32"/>
          <w:highlight w:val="none"/>
        </w:rPr>
      </w:pPr>
    </w:p>
    <w:p w14:paraId="2CD78836">
      <w:pPr>
        <w:spacing w:before="120" w:beforeLines="50" w:after="120" w:afterLines="50" w:line="360" w:lineRule="auto"/>
        <w:jc w:val="center"/>
        <w:rPr>
          <w:rFonts w:ascii="黑体" w:eastAsia="黑体"/>
          <w:color w:val="auto"/>
          <w:sz w:val="32"/>
          <w:szCs w:val="32"/>
          <w:highlight w:val="none"/>
        </w:rPr>
      </w:pPr>
      <w:r>
        <w:rPr>
          <w:rFonts w:hint="eastAsia" w:ascii="黑体" w:hAnsi="宋体" w:eastAsia="黑体" w:cs="黑体"/>
          <w:color w:val="auto"/>
          <w:sz w:val="32"/>
          <w:szCs w:val="32"/>
          <w:highlight w:val="none"/>
        </w:rPr>
        <w:t>工程质量保修书（市政公用工程）</w:t>
      </w:r>
    </w:p>
    <w:p w14:paraId="6A90B11A">
      <w:pPr>
        <w:spacing w:line="360" w:lineRule="auto"/>
        <w:ind w:firstLine="420" w:firstLineChars="200"/>
        <w:rPr>
          <w:rFonts w:ascii="宋体"/>
          <w:color w:val="auto"/>
          <w:highlight w:val="none"/>
        </w:rPr>
      </w:pPr>
      <w:r>
        <w:rPr>
          <w:rFonts w:hint="eastAsia" w:ascii="宋体" w:hAnsi="宋体" w:cs="宋体"/>
          <w:color w:val="auto"/>
          <w:highlight w:val="none"/>
        </w:rPr>
        <w:t>发包人（全称）：</w:t>
      </w:r>
      <w:r>
        <w:rPr>
          <w:rFonts w:ascii="宋体" w:hAnsi="宋体" w:cs="宋体"/>
          <w:color w:val="auto"/>
          <w:highlight w:val="none"/>
          <w:u w:val="single"/>
        </w:rPr>
        <w:t xml:space="preserve">                                </w:t>
      </w:r>
      <w:r>
        <w:rPr>
          <w:rFonts w:ascii="宋体" w:hAnsi="宋体" w:cs="宋体"/>
          <w:color w:val="auto"/>
          <w:highlight w:val="none"/>
        </w:rPr>
        <w:t xml:space="preserve"> </w:t>
      </w:r>
    </w:p>
    <w:p w14:paraId="271C5CC0">
      <w:pPr>
        <w:spacing w:line="360" w:lineRule="auto"/>
        <w:ind w:firstLine="420" w:firstLineChars="200"/>
        <w:rPr>
          <w:rFonts w:ascii="宋体"/>
          <w:color w:val="auto"/>
          <w:highlight w:val="none"/>
        </w:rPr>
      </w:pPr>
      <w:r>
        <w:rPr>
          <w:rFonts w:hint="eastAsia" w:ascii="宋体" w:hAnsi="宋体" w:cs="宋体"/>
          <w:color w:val="auto"/>
          <w:highlight w:val="none"/>
        </w:rPr>
        <w:t>承包人（全称）：</w:t>
      </w:r>
      <w:r>
        <w:rPr>
          <w:rFonts w:ascii="宋体" w:hAnsi="宋体" w:cs="宋体"/>
          <w:color w:val="auto"/>
          <w:highlight w:val="none"/>
          <w:u w:val="single"/>
        </w:rPr>
        <w:t xml:space="preserve">                                </w:t>
      </w:r>
      <w:r>
        <w:rPr>
          <w:rFonts w:ascii="宋体" w:hAnsi="宋体" w:cs="宋体"/>
          <w:color w:val="auto"/>
          <w:highlight w:val="none"/>
        </w:rPr>
        <w:t xml:space="preserve"> </w:t>
      </w:r>
    </w:p>
    <w:p w14:paraId="1700F8A2">
      <w:pPr>
        <w:spacing w:line="360" w:lineRule="auto"/>
        <w:rPr>
          <w:rFonts w:ascii="宋体"/>
          <w:color w:val="auto"/>
          <w:highlight w:val="none"/>
        </w:rPr>
      </w:pPr>
    </w:p>
    <w:p w14:paraId="26FBA791">
      <w:pPr>
        <w:spacing w:line="360" w:lineRule="auto"/>
        <w:ind w:firstLine="420"/>
        <w:rPr>
          <w:rFonts w:ascii="宋体"/>
          <w:color w:val="auto"/>
          <w:highlight w:val="none"/>
        </w:rPr>
      </w:pPr>
      <w:r>
        <w:rPr>
          <w:rFonts w:hint="eastAsia" w:ascii="宋体" w:hAnsi="宋体" w:cs="宋体"/>
          <w:color w:val="auto"/>
          <w:highlight w:val="none"/>
        </w:rPr>
        <w:t>发包人和承包人根据《中华人民共和国建筑法》和《建设工程质量管理条例》，经协商一致就</w:t>
      </w:r>
      <w:r>
        <w:rPr>
          <w:rFonts w:ascii="宋体" w:hAnsi="宋体" w:cs="宋体"/>
          <w:color w:val="auto"/>
          <w:highlight w:val="none"/>
          <w:u w:val="single"/>
        </w:rPr>
        <w:t xml:space="preserve">                                     </w:t>
      </w:r>
      <w:r>
        <w:rPr>
          <w:rFonts w:hint="eastAsia" w:ascii="宋体" w:hAnsi="宋体" w:cs="宋体"/>
          <w:color w:val="auto"/>
          <w:highlight w:val="none"/>
        </w:rPr>
        <w:t>（工程全称）签订工程质量保修书。</w:t>
      </w:r>
    </w:p>
    <w:p w14:paraId="265843A7">
      <w:pPr>
        <w:spacing w:line="360" w:lineRule="auto"/>
        <w:ind w:firstLine="420" w:firstLineChars="200"/>
        <w:rPr>
          <w:rFonts w:ascii="黑体" w:hAnsi="宋体" w:eastAsia="黑体"/>
          <w:color w:val="auto"/>
          <w:highlight w:val="none"/>
        </w:rPr>
      </w:pPr>
      <w:r>
        <w:rPr>
          <w:rFonts w:hint="eastAsia" w:ascii="黑体" w:hAnsi="宋体" w:eastAsia="黑体" w:cs="黑体"/>
          <w:color w:val="auto"/>
          <w:highlight w:val="none"/>
        </w:rPr>
        <w:t>一、工程质量保修范围和内容</w:t>
      </w:r>
    </w:p>
    <w:p w14:paraId="1B912A47">
      <w:pPr>
        <w:spacing w:line="360" w:lineRule="auto"/>
        <w:ind w:firstLine="420" w:firstLineChars="200"/>
        <w:rPr>
          <w:rFonts w:ascii="宋体"/>
          <w:color w:val="auto"/>
          <w:highlight w:val="none"/>
        </w:rPr>
      </w:pPr>
      <w:r>
        <w:rPr>
          <w:rFonts w:hint="eastAsia" w:ascii="宋体" w:hAnsi="宋体" w:cs="宋体"/>
          <w:color w:val="auto"/>
          <w:highlight w:val="none"/>
        </w:rPr>
        <w:t>承包人在质量保修期内，按照有关法律规定和合同约定，承担工程质量保修责任。</w:t>
      </w:r>
    </w:p>
    <w:p w14:paraId="61E9A1D8">
      <w:pPr>
        <w:spacing w:line="360" w:lineRule="auto"/>
        <w:ind w:firstLine="420" w:firstLineChars="200"/>
        <w:rPr>
          <w:rFonts w:ascii="宋体"/>
          <w:color w:val="auto"/>
          <w:highlight w:val="none"/>
        </w:rPr>
      </w:pPr>
      <w:r>
        <w:rPr>
          <w:rFonts w:hint="eastAsia" w:ascii="宋体" w:hAnsi="宋体" w:cs="宋体"/>
          <w:color w:val="auto"/>
          <w:highlight w:val="none"/>
        </w:rPr>
        <w:t>质量保修范围包括</w:t>
      </w:r>
      <w:r>
        <w:rPr>
          <w:rFonts w:ascii="宋体" w:hAnsi="宋体" w:cs="宋体"/>
          <w:color w:val="auto"/>
          <w:highlight w:val="none"/>
          <w:u w:val="single"/>
        </w:rPr>
        <w:t xml:space="preserve">                                </w:t>
      </w:r>
      <w:r>
        <w:rPr>
          <w:rFonts w:hint="eastAsia" w:ascii="宋体" w:hAnsi="宋体" w:cs="宋体"/>
          <w:color w:val="auto"/>
          <w:highlight w:val="none"/>
        </w:rPr>
        <w:t>，以及双方约定的其他项目。具体保修的内容，双方约定如下：</w:t>
      </w:r>
    </w:p>
    <w:p w14:paraId="4486029C">
      <w:pPr>
        <w:spacing w:line="360" w:lineRule="auto"/>
        <w:ind w:firstLine="420" w:firstLineChars="200"/>
        <w:rPr>
          <w:rFonts w:ascii="宋体"/>
          <w:color w:val="auto"/>
          <w:highlight w:val="none"/>
        </w:rPr>
      </w:pPr>
      <w:r>
        <w:rPr>
          <w:rFonts w:ascii="宋体" w:hAnsi="宋体" w:cs="宋体"/>
          <w:color w:val="auto"/>
          <w:highlight w:val="none"/>
          <w:u w:val="single"/>
        </w:rPr>
        <w:t xml:space="preserve">                                                                                                                                                              </w:t>
      </w:r>
      <w:r>
        <w:rPr>
          <w:rFonts w:hint="eastAsia" w:ascii="宋体" w:hAnsi="宋体" w:cs="宋体"/>
          <w:color w:val="auto"/>
          <w:highlight w:val="none"/>
        </w:rPr>
        <w:t>。</w:t>
      </w:r>
    </w:p>
    <w:p w14:paraId="1320E21C">
      <w:pPr>
        <w:spacing w:line="360" w:lineRule="auto"/>
        <w:ind w:firstLine="420" w:firstLineChars="200"/>
        <w:rPr>
          <w:rFonts w:ascii="黑体" w:hAnsi="宋体" w:eastAsia="黑体"/>
          <w:color w:val="auto"/>
          <w:highlight w:val="none"/>
        </w:rPr>
      </w:pPr>
      <w:r>
        <w:rPr>
          <w:rFonts w:hint="eastAsia" w:ascii="黑体" w:hAnsi="宋体" w:eastAsia="黑体" w:cs="黑体"/>
          <w:color w:val="auto"/>
          <w:highlight w:val="none"/>
        </w:rPr>
        <w:t>二、质量保修期</w:t>
      </w:r>
    </w:p>
    <w:p w14:paraId="07DCA8AB">
      <w:pPr>
        <w:spacing w:line="360" w:lineRule="auto"/>
        <w:ind w:firstLine="420" w:firstLineChars="200"/>
        <w:rPr>
          <w:rFonts w:ascii="宋体"/>
          <w:color w:val="auto"/>
          <w:highlight w:val="none"/>
        </w:rPr>
      </w:pPr>
      <w:r>
        <w:rPr>
          <w:rFonts w:hint="eastAsia" w:ascii="宋体" w:hAnsi="宋体" w:cs="宋体"/>
          <w:color w:val="auto"/>
          <w:highlight w:val="none"/>
        </w:rPr>
        <w:t>根据《建设工程质量管理条例》及有关规定，工程的质量保修期如下：</w:t>
      </w:r>
    </w:p>
    <w:p w14:paraId="3F3EC244">
      <w:pPr>
        <w:spacing w:line="360" w:lineRule="auto"/>
        <w:ind w:firstLine="426"/>
        <w:rPr>
          <w:color w:val="auto"/>
          <w:highlight w:val="none"/>
        </w:rPr>
      </w:pPr>
      <w:r>
        <w:rPr>
          <w:rFonts w:hint="eastAsia" w:ascii="宋体" w:hAnsi="宋体" w:cs="宋体"/>
          <w:color w:val="auto"/>
          <w:highlight w:val="none"/>
          <w:lang w:eastAsia="zh-CN"/>
        </w:rPr>
        <w:t>1.</w:t>
      </w:r>
      <w:r>
        <w:rPr>
          <w:rFonts w:hint="eastAsia" w:cs="宋体"/>
          <w:color w:val="auto"/>
          <w:highlight w:val="none"/>
        </w:rPr>
        <w:t>桥梁工程为</w:t>
      </w:r>
      <w:r>
        <w:rPr>
          <w:color w:val="auto"/>
          <w:highlight w:val="none"/>
          <w:u w:val="single"/>
        </w:rPr>
        <w:t xml:space="preserve">     </w:t>
      </w:r>
      <w:r>
        <w:rPr>
          <w:rFonts w:hint="eastAsia" w:cs="宋体"/>
          <w:color w:val="auto"/>
          <w:highlight w:val="none"/>
        </w:rPr>
        <w:t>年（建议桥梁隧道主体结构工程为设计文件规定的合理使用年限）；</w:t>
      </w:r>
    </w:p>
    <w:p w14:paraId="37ED5785">
      <w:pPr>
        <w:spacing w:line="360" w:lineRule="auto"/>
        <w:ind w:firstLine="426"/>
        <w:rPr>
          <w:color w:val="auto"/>
          <w:highlight w:val="none"/>
        </w:rPr>
      </w:pPr>
      <w:r>
        <w:rPr>
          <w:rFonts w:hint="eastAsia"/>
          <w:color w:val="auto"/>
          <w:highlight w:val="none"/>
          <w:lang w:eastAsia="zh-CN"/>
        </w:rPr>
        <w:t>2.</w:t>
      </w:r>
      <w:r>
        <w:rPr>
          <w:rFonts w:hint="eastAsia" w:cs="宋体"/>
          <w:color w:val="auto"/>
          <w:highlight w:val="none"/>
        </w:rPr>
        <w:t>道路工程为</w:t>
      </w:r>
      <w:r>
        <w:rPr>
          <w:color w:val="auto"/>
          <w:highlight w:val="none"/>
          <w:u w:val="single"/>
        </w:rPr>
        <w:t xml:space="preserve"> </w:t>
      </w:r>
      <w:r>
        <w:rPr>
          <w:rFonts w:hint="eastAsia"/>
          <w:color w:val="auto"/>
          <w:highlight w:val="none"/>
          <w:u w:val="single"/>
          <w:lang w:val="en-US" w:eastAsia="zh-CN"/>
        </w:rPr>
        <w:t>2</w:t>
      </w:r>
      <w:r>
        <w:rPr>
          <w:color w:val="auto"/>
          <w:highlight w:val="none"/>
          <w:u w:val="single"/>
        </w:rPr>
        <w:t xml:space="preserve">  </w:t>
      </w:r>
      <w:r>
        <w:rPr>
          <w:rFonts w:hint="eastAsia" w:cs="宋体"/>
          <w:color w:val="auto"/>
          <w:highlight w:val="none"/>
        </w:rPr>
        <w:t>年（建议路基、路面、桥面为</w:t>
      </w:r>
      <w:r>
        <w:rPr>
          <w:color w:val="auto"/>
          <w:highlight w:val="none"/>
        </w:rPr>
        <w:t>2</w:t>
      </w:r>
      <w:r>
        <w:rPr>
          <w:rFonts w:hint="eastAsia" w:cs="宋体"/>
          <w:color w:val="auto"/>
          <w:highlight w:val="none"/>
        </w:rPr>
        <w:t>年）；</w:t>
      </w:r>
    </w:p>
    <w:p w14:paraId="109FC112">
      <w:pPr>
        <w:spacing w:line="360" w:lineRule="auto"/>
        <w:ind w:firstLine="426"/>
        <w:rPr>
          <w:color w:val="auto"/>
          <w:highlight w:val="none"/>
        </w:rPr>
      </w:pPr>
      <w:r>
        <w:rPr>
          <w:rFonts w:hint="eastAsia"/>
          <w:color w:val="auto"/>
          <w:highlight w:val="none"/>
          <w:lang w:eastAsia="zh-CN"/>
        </w:rPr>
        <w:t>3.</w:t>
      </w:r>
      <w:r>
        <w:rPr>
          <w:rFonts w:hint="eastAsia" w:cs="宋体"/>
          <w:color w:val="auto"/>
          <w:highlight w:val="none"/>
        </w:rPr>
        <w:t>排水（雨水）工程为</w:t>
      </w:r>
      <w:r>
        <w:rPr>
          <w:color w:val="auto"/>
          <w:highlight w:val="none"/>
          <w:u w:val="single"/>
        </w:rPr>
        <w:t xml:space="preserve">     </w:t>
      </w:r>
      <w:r>
        <w:rPr>
          <w:rFonts w:hint="eastAsia" w:cs="宋体"/>
          <w:color w:val="auto"/>
          <w:highlight w:val="none"/>
        </w:rPr>
        <w:t>年（建议道路工程中的排水工程为</w:t>
      </w:r>
      <w:r>
        <w:rPr>
          <w:color w:val="auto"/>
          <w:highlight w:val="none"/>
        </w:rPr>
        <w:t>3</w:t>
      </w:r>
      <w:r>
        <w:rPr>
          <w:rFonts w:hint="eastAsia" w:cs="宋体"/>
          <w:color w:val="auto"/>
          <w:highlight w:val="none"/>
        </w:rPr>
        <w:t>年）；</w:t>
      </w:r>
    </w:p>
    <w:p w14:paraId="4D9470BA">
      <w:pPr>
        <w:spacing w:line="360" w:lineRule="auto"/>
        <w:ind w:firstLine="426"/>
        <w:rPr>
          <w:color w:val="auto"/>
          <w:highlight w:val="none"/>
        </w:rPr>
      </w:pPr>
      <w:r>
        <w:rPr>
          <w:rFonts w:hint="eastAsia"/>
          <w:color w:val="auto"/>
          <w:highlight w:val="none"/>
          <w:lang w:eastAsia="zh-CN"/>
        </w:rPr>
        <w:t>4.</w:t>
      </w:r>
      <w:r>
        <w:rPr>
          <w:rFonts w:hint="eastAsia" w:cs="宋体"/>
          <w:color w:val="auto"/>
          <w:highlight w:val="none"/>
        </w:rPr>
        <w:t>绿化工程为</w:t>
      </w:r>
      <w:r>
        <w:rPr>
          <w:color w:val="auto"/>
          <w:highlight w:val="none"/>
        </w:rPr>
        <w:t xml:space="preserve"> </w:t>
      </w:r>
      <w:r>
        <w:rPr>
          <w:rFonts w:hint="eastAsia" w:cs="宋体"/>
          <w:color w:val="auto"/>
          <w:highlight w:val="none"/>
          <w:u w:val="single"/>
        </w:rPr>
        <w:t>单位工程竣工验收合格后</w:t>
      </w:r>
      <w:r>
        <w:rPr>
          <w:color w:val="auto"/>
          <w:highlight w:val="none"/>
          <w:u w:val="single"/>
        </w:rPr>
        <w:t xml:space="preserve">    </w:t>
      </w:r>
      <w:r>
        <w:rPr>
          <w:rFonts w:hint="eastAsia" w:cs="宋体"/>
          <w:color w:val="auto"/>
          <w:highlight w:val="none"/>
          <w:u w:val="single"/>
        </w:rPr>
        <w:t>年</w:t>
      </w:r>
      <w:r>
        <w:rPr>
          <w:rFonts w:hint="eastAsia" w:cs="宋体"/>
          <w:color w:val="auto"/>
          <w:highlight w:val="none"/>
        </w:rPr>
        <w:t>；</w:t>
      </w:r>
    </w:p>
    <w:p w14:paraId="2EF65CEA">
      <w:pPr>
        <w:spacing w:line="360" w:lineRule="auto"/>
        <w:ind w:firstLine="426"/>
        <w:rPr>
          <w:color w:val="auto"/>
          <w:highlight w:val="none"/>
        </w:rPr>
      </w:pPr>
      <w:r>
        <w:rPr>
          <w:color w:val="auto"/>
          <w:highlight w:val="none"/>
        </w:rPr>
        <w:t>5.</w:t>
      </w:r>
      <w:r>
        <w:rPr>
          <w:rFonts w:hint="eastAsia" w:cs="宋体"/>
          <w:color w:val="auto"/>
          <w:highlight w:val="none"/>
        </w:rPr>
        <w:t>地下防水工程为</w:t>
      </w:r>
      <w:r>
        <w:rPr>
          <w:color w:val="auto"/>
          <w:highlight w:val="none"/>
          <w:u w:val="single"/>
        </w:rPr>
        <w:t xml:space="preserve">     </w:t>
      </w:r>
      <w:r>
        <w:rPr>
          <w:rFonts w:hint="eastAsia" w:cs="宋体"/>
          <w:color w:val="auto"/>
          <w:highlight w:val="none"/>
        </w:rPr>
        <w:t>年（建议为</w:t>
      </w:r>
      <w:r>
        <w:rPr>
          <w:color w:val="auto"/>
          <w:highlight w:val="none"/>
        </w:rPr>
        <w:t>5</w:t>
      </w:r>
      <w:r>
        <w:rPr>
          <w:rFonts w:hint="eastAsia" w:cs="宋体"/>
          <w:color w:val="auto"/>
          <w:highlight w:val="none"/>
        </w:rPr>
        <w:t>年）；</w:t>
      </w:r>
    </w:p>
    <w:p w14:paraId="03BE5862">
      <w:pPr>
        <w:spacing w:line="360" w:lineRule="auto"/>
        <w:ind w:firstLine="426"/>
        <w:rPr>
          <w:color w:val="auto"/>
          <w:highlight w:val="none"/>
        </w:rPr>
      </w:pPr>
      <w:r>
        <w:rPr>
          <w:rFonts w:hint="eastAsia"/>
          <w:color w:val="auto"/>
          <w:highlight w:val="none"/>
          <w:lang w:eastAsia="zh-CN"/>
        </w:rPr>
        <w:t>6.</w:t>
      </w:r>
      <w:r>
        <w:rPr>
          <w:rFonts w:hint="eastAsia" w:cs="宋体"/>
          <w:color w:val="auto"/>
          <w:highlight w:val="none"/>
        </w:rPr>
        <w:t>其他附属工程为</w:t>
      </w:r>
      <w:r>
        <w:rPr>
          <w:color w:val="auto"/>
          <w:highlight w:val="none"/>
          <w:u w:val="single"/>
        </w:rPr>
        <w:t xml:space="preserve">      </w:t>
      </w:r>
      <w:r>
        <w:rPr>
          <w:rFonts w:hint="eastAsia" w:cs="宋体"/>
          <w:color w:val="auto"/>
          <w:highlight w:val="none"/>
        </w:rPr>
        <w:t>年；</w:t>
      </w:r>
    </w:p>
    <w:p w14:paraId="28F2B151">
      <w:pPr>
        <w:spacing w:line="360" w:lineRule="auto"/>
        <w:ind w:firstLine="420" w:firstLineChars="200"/>
        <w:rPr>
          <w:rFonts w:ascii="宋体"/>
          <w:color w:val="auto"/>
          <w:highlight w:val="none"/>
        </w:rPr>
      </w:pPr>
      <w:r>
        <w:rPr>
          <w:rFonts w:hint="eastAsia" w:ascii="宋体" w:hAnsi="宋体" w:cs="宋体"/>
          <w:color w:val="auto"/>
          <w:highlight w:val="none"/>
          <w:lang w:eastAsia="zh-CN"/>
        </w:rPr>
        <w:t>7.</w:t>
      </w:r>
      <w:r>
        <w:rPr>
          <w:rFonts w:hint="eastAsia" w:ascii="宋体" w:hAnsi="宋体" w:cs="宋体"/>
          <w:color w:val="auto"/>
          <w:highlight w:val="none"/>
        </w:rPr>
        <w:t>其他项目保修期限约定如下：</w:t>
      </w:r>
    </w:p>
    <w:p w14:paraId="10AD154A">
      <w:pPr>
        <w:spacing w:line="360" w:lineRule="auto"/>
        <w:ind w:firstLine="420" w:firstLineChars="200"/>
        <w:rPr>
          <w:rFonts w:ascii="宋体"/>
          <w:color w:val="auto"/>
          <w:highlight w:val="none"/>
        </w:rPr>
      </w:pPr>
      <w:r>
        <w:rPr>
          <w:rFonts w:hint="eastAsia" w:ascii="宋体" w:hAnsi="宋体" w:eastAsia="宋体" w:cs="宋体"/>
          <w:b w:val="0"/>
          <w:bCs w:val="0"/>
          <w:color w:val="auto"/>
          <w:sz w:val="21"/>
          <w:szCs w:val="21"/>
          <w:highlight w:val="none"/>
        </w:rPr>
        <w:t>麦岭村委长广村大山至岐山塘脐橙产业路硬化工程</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石家乡石家社区双马塘至黄竹村脐橙产业路硬化工程</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葛坡镇岐山村委岐山大村石板桥至鸭婆塘蔬菜基地三面光水渠建设</w:t>
      </w:r>
      <w:r>
        <w:rPr>
          <w:rFonts w:hint="eastAsia" w:ascii="宋体" w:hAnsi="宋体" w:cs="宋体"/>
          <w:b w:val="0"/>
          <w:bCs w:val="0"/>
          <w:color w:val="auto"/>
          <w:sz w:val="21"/>
          <w:szCs w:val="21"/>
          <w:highlight w:val="none"/>
          <w:lang w:val="en-US" w:eastAsia="zh-CN"/>
        </w:rPr>
        <w:t>约定</w:t>
      </w:r>
      <w:r>
        <w:rPr>
          <w:rFonts w:hint="eastAsia" w:ascii="宋体" w:hAnsi="宋体" w:cs="宋体"/>
          <w:color w:val="auto"/>
          <w:highlight w:val="none"/>
        </w:rPr>
        <w:t>保修期限</w:t>
      </w:r>
      <w:r>
        <w:rPr>
          <w:rFonts w:hint="eastAsia" w:ascii="宋体" w:hAnsi="宋体" w:cs="宋体"/>
          <w:color w:val="auto"/>
          <w:highlight w:val="none"/>
          <w:lang w:val="en-US" w:eastAsia="zh-CN"/>
        </w:rPr>
        <w:t>均为2年</w:t>
      </w:r>
      <w:r>
        <w:rPr>
          <w:rFonts w:hint="eastAsia" w:ascii="宋体" w:hAnsi="宋体" w:cs="宋体"/>
          <w:color w:val="auto"/>
          <w:highlight w:val="none"/>
        </w:rPr>
        <w:t>。</w:t>
      </w:r>
    </w:p>
    <w:p w14:paraId="08E70337">
      <w:pPr>
        <w:spacing w:line="360" w:lineRule="auto"/>
        <w:ind w:firstLine="420" w:firstLineChars="200"/>
        <w:rPr>
          <w:rFonts w:ascii="宋体"/>
          <w:color w:val="auto"/>
          <w:highlight w:val="none"/>
        </w:rPr>
      </w:pPr>
      <w:r>
        <w:rPr>
          <w:rFonts w:hint="eastAsia" w:ascii="宋体" w:hAnsi="宋体" w:cs="宋体"/>
          <w:color w:val="auto"/>
          <w:highlight w:val="none"/>
        </w:rPr>
        <w:t>质量保修期自工程竣工验收合格之日起计算。</w:t>
      </w:r>
    </w:p>
    <w:p w14:paraId="703B8CBF">
      <w:pPr>
        <w:spacing w:line="360" w:lineRule="auto"/>
        <w:ind w:firstLine="420" w:firstLineChars="200"/>
        <w:rPr>
          <w:rFonts w:ascii="黑体" w:hAnsi="宋体" w:eastAsia="黑体"/>
          <w:color w:val="auto"/>
          <w:highlight w:val="none"/>
        </w:rPr>
      </w:pPr>
      <w:r>
        <w:rPr>
          <w:rFonts w:hint="eastAsia" w:ascii="黑体" w:hAnsi="宋体" w:eastAsia="黑体" w:cs="黑体"/>
          <w:color w:val="auto"/>
          <w:highlight w:val="none"/>
        </w:rPr>
        <w:t>三、缺陷责任期</w:t>
      </w:r>
    </w:p>
    <w:p w14:paraId="02CAA3F3">
      <w:pPr>
        <w:spacing w:line="360" w:lineRule="auto"/>
        <w:ind w:firstLine="420" w:firstLineChars="200"/>
        <w:rPr>
          <w:rFonts w:ascii="宋体"/>
          <w:color w:val="auto"/>
          <w:highlight w:val="none"/>
        </w:rPr>
      </w:pPr>
      <w:r>
        <w:rPr>
          <w:rFonts w:hint="eastAsia" w:ascii="宋体" w:hAnsi="宋体" w:cs="宋体"/>
          <w:color w:val="auto"/>
          <w:highlight w:val="none"/>
        </w:rPr>
        <w:t>工程缺陷责任期为</w:t>
      </w:r>
      <w:r>
        <w:rPr>
          <w:rFonts w:ascii="宋体" w:hAnsi="宋体" w:cs="宋体"/>
          <w:color w:val="auto"/>
          <w:highlight w:val="none"/>
          <w:u w:val="single"/>
        </w:rPr>
        <w:t xml:space="preserve">         </w:t>
      </w:r>
      <w:r>
        <w:rPr>
          <w:rFonts w:hint="eastAsia" w:ascii="宋体" w:hAnsi="宋体" w:cs="宋体"/>
          <w:color w:val="auto"/>
          <w:highlight w:val="none"/>
        </w:rPr>
        <w:t>个月</w:t>
      </w:r>
      <w:r>
        <w:rPr>
          <w:rFonts w:hint="eastAsia" w:hAnsi="宋体" w:cs="宋体"/>
          <w:color w:val="auto"/>
          <w:highlight w:val="none"/>
        </w:rPr>
        <w:t>（最长不超过</w:t>
      </w:r>
      <w:r>
        <w:rPr>
          <w:rFonts w:hAnsi="宋体"/>
          <w:color w:val="auto"/>
          <w:highlight w:val="none"/>
        </w:rPr>
        <w:t>24</w:t>
      </w:r>
      <w:r>
        <w:rPr>
          <w:rFonts w:hint="eastAsia" w:hAnsi="宋体" w:cs="宋体"/>
          <w:color w:val="auto"/>
          <w:highlight w:val="none"/>
        </w:rPr>
        <w:t>个月）</w:t>
      </w:r>
      <w:r>
        <w:rPr>
          <w:rFonts w:hint="eastAsia" w:ascii="宋体" w:hAnsi="宋体" w:cs="宋体"/>
          <w:color w:val="auto"/>
          <w:highlight w:val="none"/>
        </w:rPr>
        <w:t>，缺陷责任期自工程竣工验收合格之日起计算。单位工程先于全部工程进行验收，单位工程缺陷责任期自单位工程验收合格之日起算。</w:t>
      </w:r>
    </w:p>
    <w:p w14:paraId="434E4BA2">
      <w:pPr>
        <w:spacing w:line="360" w:lineRule="auto"/>
        <w:ind w:firstLine="420" w:firstLineChars="200"/>
        <w:rPr>
          <w:rFonts w:ascii="宋体"/>
          <w:color w:val="auto"/>
          <w:highlight w:val="none"/>
        </w:rPr>
      </w:pPr>
      <w:r>
        <w:rPr>
          <w:rFonts w:hint="eastAsia" w:ascii="宋体" w:hAnsi="宋体" w:cs="宋体"/>
          <w:color w:val="auto"/>
          <w:highlight w:val="none"/>
        </w:rPr>
        <w:t>缺陷责任期</w:t>
      </w:r>
      <w:r>
        <w:rPr>
          <w:rFonts w:hint="eastAsia" w:hAnsi="宋体" w:cs="宋体"/>
          <w:color w:val="auto"/>
          <w:highlight w:val="none"/>
          <w:u w:val="single"/>
        </w:rPr>
        <w:t>满</w:t>
      </w:r>
      <w:r>
        <w:rPr>
          <w:rFonts w:hint="eastAsia" w:ascii="仿宋_GB2312" w:hAnsi="宋体"/>
          <w:color w:val="auto"/>
          <w:highlight w:val="none"/>
        </w:rPr>
        <w:t>之日起</w:t>
      </w:r>
      <w:r>
        <w:rPr>
          <w:rFonts w:hint="eastAsia" w:ascii="仿宋_GB2312" w:hAnsi="宋体"/>
          <w:color w:val="auto"/>
          <w:highlight w:val="none"/>
          <w:u w:val="single"/>
        </w:rPr>
        <w:t xml:space="preserve"> </w:t>
      </w:r>
      <w:r>
        <w:rPr>
          <w:rFonts w:ascii="仿宋_GB2312" w:hAnsi="宋体"/>
          <w:color w:val="auto"/>
          <w:highlight w:val="none"/>
          <w:u w:val="single"/>
        </w:rPr>
        <w:t xml:space="preserve">  </w:t>
      </w:r>
      <w:r>
        <w:rPr>
          <w:rFonts w:hint="eastAsia" w:ascii="仿宋_GB2312" w:hAnsi="宋体"/>
          <w:color w:val="auto"/>
          <w:highlight w:val="none"/>
          <w:u w:val="single"/>
        </w:rPr>
        <w:t xml:space="preserve"> </w:t>
      </w:r>
      <w:r>
        <w:rPr>
          <w:rFonts w:hint="eastAsia" w:ascii="仿宋_GB2312" w:hAnsi="宋体"/>
          <w:color w:val="auto"/>
          <w:highlight w:val="none"/>
        </w:rPr>
        <w:t>天</w:t>
      </w:r>
      <w:r>
        <w:rPr>
          <w:rFonts w:hint="eastAsia" w:hAnsi="宋体" w:cs="宋体"/>
          <w:color w:val="auto"/>
          <w:highlight w:val="none"/>
          <w:u w:val="single"/>
        </w:rPr>
        <w:t>（按</w:t>
      </w:r>
      <w:r>
        <w:rPr>
          <w:rFonts w:hAnsi="宋体" w:cs="宋体"/>
          <w:color w:val="auto"/>
          <w:highlight w:val="none"/>
          <w:u w:val="single"/>
        </w:rPr>
        <w:t>合同约定期限）</w:t>
      </w:r>
      <w:r>
        <w:rPr>
          <w:rFonts w:hint="eastAsia" w:hAnsi="宋体" w:cs="宋体"/>
          <w:color w:val="auto"/>
          <w:highlight w:val="none"/>
          <w:u w:val="single"/>
        </w:rPr>
        <w:t>，</w:t>
      </w:r>
      <w:r>
        <w:rPr>
          <w:rFonts w:hint="eastAsia" w:ascii="宋体" w:hAnsi="宋体" w:cs="宋体"/>
          <w:color w:val="auto"/>
          <w:highlight w:val="none"/>
        </w:rPr>
        <w:t>发包人应退还剩余的质量保证金。</w:t>
      </w:r>
    </w:p>
    <w:p w14:paraId="73011024">
      <w:pPr>
        <w:spacing w:line="360" w:lineRule="auto"/>
        <w:ind w:firstLine="420" w:firstLineChars="200"/>
        <w:rPr>
          <w:rFonts w:ascii="黑体" w:hAnsi="宋体" w:eastAsia="黑体"/>
          <w:color w:val="auto"/>
          <w:highlight w:val="none"/>
        </w:rPr>
      </w:pPr>
      <w:r>
        <w:rPr>
          <w:rFonts w:hint="eastAsia" w:ascii="黑体" w:hAnsi="宋体" w:eastAsia="黑体" w:cs="黑体"/>
          <w:color w:val="auto"/>
          <w:highlight w:val="none"/>
        </w:rPr>
        <w:t>四、质量保修责任</w:t>
      </w:r>
    </w:p>
    <w:p w14:paraId="66519B75">
      <w:pPr>
        <w:spacing w:line="360" w:lineRule="auto"/>
        <w:ind w:firstLine="420" w:firstLineChars="200"/>
        <w:rPr>
          <w:rFonts w:ascii="宋体"/>
          <w:color w:val="auto"/>
          <w:highlight w:val="none"/>
        </w:rPr>
      </w:pPr>
      <w:r>
        <w:rPr>
          <w:rFonts w:hint="eastAsia" w:ascii="宋体" w:hAnsi="宋体" w:cs="宋体"/>
          <w:color w:val="auto"/>
          <w:highlight w:val="none"/>
          <w:lang w:eastAsia="zh-CN"/>
        </w:rPr>
        <w:t>1.</w:t>
      </w:r>
      <w:r>
        <w:rPr>
          <w:rFonts w:hint="eastAsia" w:ascii="宋体" w:hAnsi="宋体" w:cs="宋体"/>
          <w:color w:val="auto"/>
          <w:highlight w:val="none"/>
        </w:rPr>
        <w:t>属于保修范围、内容的项目，承包人应当在接到保修通知之日起</w:t>
      </w:r>
      <w:r>
        <w:rPr>
          <w:rFonts w:ascii="宋体" w:hAnsi="宋体" w:cs="宋体"/>
          <w:color w:val="auto"/>
          <w:highlight w:val="none"/>
          <w:u w:val="single"/>
        </w:rPr>
        <w:t xml:space="preserve">      </w:t>
      </w:r>
      <w:r>
        <w:rPr>
          <w:rFonts w:hint="eastAsia" w:ascii="宋体" w:hAnsi="宋体" w:cs="宋体"/>
          <w:color w:val="auto"/>
          <w:highlight w:val="none"/>
        </w:rPr>
        <w:t>天内派人保修。承包人不在约定期限内派人保修的，发包人可以委托他人修理</w:t>
      </w:r>
      <w:r>
        <w:rPr>
          <w:rFonts w:hint="eastAsia" w:hAnsi="宋体" w:cs="宋体"/>
          <w:color w:val="auto"/>
          <w:highlight w:val="none"/>
        </w:rPr>
        <w:t>，修理费用从质量保证金内扣除。</w:t>
      </w:r>
    </w:p>
    <w:p w14:paraId="51D3B739">
      <w:pPr>
        <w:spacing w:line="360" w:lineRule="auto"/>
        <w:ind w:firstLine="420" w:firstLineChars="200"/>
        <w:rPr>
          <w:rFonts w:ascii="宋体"/>
          <w:color w:val="auto"/>
          <w:highlight w:val="none"/>
        </w:rPr>
      </w:pPr>
      <w:r>
        <w:rPr>
          <w:rFonts w:hint="eastAsia" w:ascii="宋体" w:hAnsi="宋体" w:cs="宋体"/>
          <w:color w:val="auto"/>
          <w:highlight w:val="none"/>
          <w:lang w:eastAsia="zh-CN"/>
        </w:rPr>
        <w:t>2.</w:t>
      </w:r>
      <w:r>
        <w:rPr>
          <w:rFonts w:hint="eastAsia" w:ascii="宋体" w:hAnsi="宋体" w:cs="宋体"/>
          <w:color w:val="auto"/>
          <w:highlight w:val="none"/>
        </w:rPr>
        <w:t>发生紧急事故需抢修的，承包人在接到事故通知后，应当立即到达事故现场抢修。</w:t>
      </w:r>
    </w:p>
    <w:p w14:paraId="7179DCC1">
      <w:pPr>
        <w:spacing w:line="360" w:lineRule="auto"/>
        <w:ind w:firstLine="420" w:firstLineChars="200"/>
        <w:rPr>
          <w:rFonts w:ascii="宋体"/>
          <w:color w:val="auto"/>
          <w:highlight w:val="none"/>
        </w:rPr>
      </w:pPr>
      <w:r>
        <w:rPr>
          <w:rFonts w:hint="eastAsia" w:ascii="宋体" w:hAnsi="宋体" w:cs="宋体"/>
          <w:color w:val="auto"/>
          <w:highlight w:val="none"/>
          <w:lang w:eastAsia="zh-CN"/>
        </w:rPr>
        <w:t>3.</w:t>
      </w:r>
      <w:r>
        <w:rPr>
          <w:rFonts w:hint="eastAsia" w:ascii="宋体" w:hAnsi="宋体" w:cs="宋体"/>
          <w:color w:val="auto"/>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1163152D">
      <w:pPr>
        <w:spacing w:line="360" w:lineRule="auto"/>
        <w:ind w:firstLine="420" w:firstLineChars="200"/>
        <w:rPr>
          <w:rFonts w:ascii="宋体"/>
          <w:color w:val="auto"/>
          <w:highlight w:val="none"/>
        </w:rPr>
      </w:pPr>
      <w:r>
        <w:rPr>
          <w:rFonts w:hint="eastAsia" w:ascii="宋体" w:hAnsi="宋体" w:cs="宋体"/>
          <w:color w:val="auto"/>
          <w:highlight w:val="none"/>
          <w:lang w:eastAsia="zh-CN"/>
        </w:rPr>
        <w:t>4.</w:t>
      </w:r>
      <w:r>
        <w:rPr>
          <w:rFonts w:hint="eastAsia" w:ascii="宋体" w:hAnsi="宋体" w:cs="宋体"/>
          <w:color w:val="auto"/>
          <w:highlight w:val="none"/>
        </w:rPr>
        <w:t>质量保修完成后，由发包人组织验收。</w:t>
      </w:r>
    </w:p>
    <w:p w14:paraId="563D284B">
      <w:pPr>
        <w:spacing w:line="360" w:lineRule="auto"/>
        <w:ind w:firstLine="420" w:firstLineChars="200"/>
        <w:rPr>
          <w:rFonts w:ascii="黑体" w:hAnsi="宋体" w:eastAsia="黑体"/>
          <w:color w:val="auto"/>
          <w:highlight w:val="none"/>
        </w:rPr>
      </w:pPr>
      <w:r>
        <w:rPr>
          <w:rFonts w:hint="eastAsia" w:ascii="黑体" w:hAnsi="宋体" w:eastAsia="黑体" w:cs="黑体"/>
          <w:color w:val="auto"/>
          <w:highlight w:val="none"/>
        </w:rPr>
        <w:t>五、保修费用</w:t>
      </w:r>
    </w:p>
    <w:p w14:paraId="0527FA29">
      <w:pPr>
        <w:spacing w:line="360" w:lineRule="auto"/>
        <w:ind w:firstLine="420" w:firstLineChars="200"/>
        <w:rPr>
          <w:rFonts w:ascii="宋体"/>
          <w:color w:val="auto"/>
          <w:highlight w:val="none"/>
        </w:rPr>
      </w:pPr>
      <w:r>
        <w:rPr>
          <w:rFonts w:hint="eastAsia" w:ascii="宋体" w:hAnsi="宋体" w:cs="宋体"/>
          <w:color w:val="auto"/>
          <w:highlight w:val="none"/>
        </w:rPr>
        <w:t>保修费用由造成质量缺陷的责任方承担。</w:t>
      </w:r>
    </w:p>
    <w:p w14:paraId="53A4E68A">
      <w:pPr>
        <w:spacing w:line="360" w:lineRule="auto"/>
        <w:ind w:firstLine="420" w:firstLineChars="200"/>
        <w:rPr>
          <w:rFonts w:ascii="黑体" w:hAnsi="宋体" w:eastAsia="黑体" w:cs="黑体"/>
          <w:color w:val="auto"/>
          <w:highlight w:val="none"/>
          <w:u w:val="single"/>
        </w:rPr>
      </w:pPr>
      <w:r>
        <w:rPr>
          <w:rFonts w:hint="eastAsia" w:ascii="黑体" w:hAnsi="宋体" w:eastAsia="黑体" w:cs="黑体"/>
          <w:color w:val="auto"/>
          <w:highlight w:val="none"/>
        </w:rPr>
        <w:t>六、双方约定的其他工程质量保修事项：</w:t>
      </w:r>
      <w:r>
        <w:rPr>
          <w:rFonts w:ascii="黑体" w:hAnsi="宋体" w:eastAsia="黑体" w:cs="黑体"/>
          <w:color w:val="auto"/>
          <w:highlight w:val="none"/>
          <w:u w:val="single"/>
        </w:rPr>
        <w:t xml:space="preserve">                                          </w:t>
      </w:r>
    </w:p>
    <w:p w14:paraId="7D3F210C">
      <w:pPr>
        <w:spacing w:line="360" w:lineRule="auto"/>
        <w:jc w:val="left"/>
        <w:rPr>
          <w:rFonts w:ascii="宋体"/>
          <w:color w:val="auto"/>
          <w:highlight w:val="none"/>
        </w:rPr>
      </w:pPr>
      <w:r>
        <w:rPr>
          <w:rFonts w:ascii="宋体" w:hAnsi="宋体" w:cs="宋体"/>
          <w:color w:val="auto"/>
          <w:highlight w:val="none"/>
          <w:u w:val="single"/>
        </w:rPr>
        <w:t xml:space="preserve">                                                                               </w:t>
      </w:r>
      <w:r>
        <w:rPr>
          <w:rFonts w:hint="eastAsia" w:ascii="宋体" w:hAnsi="宋体" w:cs="宋体"/>
          <w:color w:val="auto"/>
          <w:highlight w:val="none"/>
        </w:rPr>
        <w:t>。</w:t>
      </w:r>
    </w:p>
    <w:p w14:paraId="3535FB22">
      <w:pPr>
        <w:spacing w:line="360" w:lineRule="auto"/>
        <w:ind w:firstLine="399" w:firstLineChars="190"/>
        <w:rPr>
          <w:rFonts w:ascii="宋体"/>
          <w:color w:val="auto"/>
          <w:highlight w:val="none"/>
        </w:rPr>
      </w:pPr>
      <w:r>
        <w:rPr>
          <w:rFonts w:hint="eastAsia" w:ascii="宋体" w:hAnsi="宋体" w:cs="宋体"/>
          <w:color w:val="auto"/>
          <w:highlight w:val="none"/>
        </w:rPr>
        <w:t>工程质量保修书由发包人、承包人在工程竣工验收前共同签署，作为施工合同附件，其有效期限至保修期满。</w:t>
      </w:r>
    </w:p>
    <w:p w14:paraId="1A177FA7">
      <w:pPr>
        <w:spacing w:line="360" w:lineRule="auto"/>
        <w:ind w:firstLine="420"/>
        <w:rPr>
          <w:rFonts w:ascii="宋体"/>
          <w:color w:val="auto"/>
          <w:highlight w:val="none"/>
        </w:rPr>
      </w:pPr>
    </w:p>
    <w:p w14:paraId="7B7F7FD0">
      <w:pPr>
        <w:spacing w:line="360" w:lineRule="auto"/>
        <w:ind w:firstLine="420"/>
        <w:rPr>
          <w:rFonts w:ascii="宋体"/>
          <w:color w:val="auto"/>
          <w:highlight w:val="none"/>
        </w:rPr>
      </w:pPr>
    </w:p>
    <w:p w14:paraId="0EB2C2AC">
      <w:pPr>
        <w:spacing w:line="360" w:lineRule="auto"/>
        <w:rPr>
          <w:rFonts w:hint="eastAsia" w:eastAsia="宋体"/>
          <w:color w:val="auto"/>
          <w:highlight w:val="none"/>
          <w:lang w:eastAsia="zh-CN"/>
        </w:rPr>
      </w:pPr>
      <w:r>
        <w:rPr>
          <w:rFonts w:hAnsi="宋体"/>
          <w:color w:val="auto"/>
          <w:highlight w:val="none"/>
        </w:rPr>
        <w:t>发包人</w:t>
      </w:r>
      <w:r>
        <w:rPr>
          <w:rFonts w:hint="eastAsia"/>
          <w:color w:val="auto"/>
          <w:highlight w:val="none"/>
        </w:rPr>
        <w:t>（</w:t>
      </w:r>
      <w:r>
        <w:rPr>
          <w:rFonts w:hAnsi="宋体"/>
          <w:color w:val="auto"/>
          <w:highlight w:val="none"/>
        </w:rPr>
        <w:t>公章</w:t>
      </w:r>
      <w:r>
        <w:rPr>
          <w:rFonts w:hint="eastAsia"/>
          <w:color w:val="auto"/>
          <w:highlight w:val="none"/>
        </w:rPr>
        <w:t>）</w:t>
      </w:r>
      <w:r>
        <w:rPr>
          <w:rFonts w:hAnsi="宋体"/>
          <w:color w:val="auto"/>
          <w:highlight w:val="none"/>
        </w:rPr>
        <w:t>：</w:t>
      </w:r>
      <w:r>
        <w:rPr>
          <w:color w:val="auto"/>
          <w:highlight w:val="none"/>
          <w:u w:val="single"/>
        </w:rPr>
        <w:t xml:space="preserve"> </w:t>
      </w:r>
      <w:r>
        <w:rPr>
          <w:rFonts w:hint="eastAsia" w:ascii="宋体" w:hAnsi="宋体"/>
          <w:color w:val="auto"/>
          <w:highlight w:val="none"/>
          <w:u w:val="single"/>
          <w:lang w:eastAsia="zh-CN"/>
        </w:rPr>
        <w:t xml:space="preserve">  </w:t>
      </w:r>
      <w:r>
        <w:rPr>
          <w:color w:val="auto"/>
          <w:highlight w:val="none"/>
          <w:u w:val="single"/>
        </w:rPr>
        <w:t xml:space="preserve"> </w:t>
      </w:r>
      <w:r>
        <w:rPr>
          <w:rFonts w:hint="eastAsia" w:ascii="宋体" w:hAnsi="宋体"/>
          <w:color w:val="auto"/>
          <w:highlight w:val="none"/>
          <w:u w:val="single"/>
          <w:lang w:eastAsia="zh-CN"/>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承包人</w:t>
      </w:r>
      <w:r>
        <w:rPr>
          <w:rFonts w:hint="eastAsia"/>
          <w:color w:val="auto"/>
          <w:highlight w:val="none"/>
        </w:rPr>
        <w:t>（</w:t>
      </w:r>
      <w:r>
        <w:rPr>
          <w:rFonts w:hAnsi="宋体"/>
          <w:color w:val="auto"/>
          <w:highlight w:val="none"/>
        </w:rPr>
        <w:t>公章</w:t>
      </w:r>
      <w:r>
        <w:rPr>
          <w:rFonts w:hint="eastAsia"/>
          <w:color w:val="auto"/>
          <w:highlight w:val="none"/>
        </w:rPr>
        <w:t>）</w:t>
      </w:r>
      <w:r>
        <w:rPr>
          <w:rFonts w:hAnsi="宋体"/>
          <w:color w:val="auto"/>
          <w:highlight w:val="none"/>
        </w:rPr>
        <w:t>：</w:t>
      </w:r>
      <w:r>
        <w:rPr>
          <w:rFonts w:hint="eastAsia" w:ascii="宋体" w:hAnsi="宋体"/>
          <w:color w:val="auto"/>
          <w:highlight w:val="none"/>
          <w:u w:val="single"/>
          <w:lang w:eastAsia="zh-CN"/>
        </w:rPr>
        <w:t xml:space="preserve">  </w:t>
      </w:r>
      <w:r>
        <w:rPr>
          <w:color w:val="auto"/>
          <w:highlight w:val="none"/>
          <w:u w:val="single"/>
        </w:rPr>
        <w:t xml:space="preserve">          </w:t>
      </w:r>
      <w:r>
        <w:rPr>
          <w:rFonts w:hint="eastAsia" w:ascii="宋体" w:hAnsi="宋体"/>
          <w:color w:val="auto"/>
          <w:highlight w:val="none"/>
          <w:u w:val="single"/>
          <w:lang w:eastAsia="zh-CN"/>
        </w:rPr>
        <w:t xml:space="preserve">  </w:t>
      </w:r>
    </w:p>
    <w:p w14:paraId="6492FFA6">
      <w:pPr>
        <w:spacing w:line="360" w:lineRule="auto"/>
        <w:rPr>
          <w:rFonts w:hint="eastAsia" w:eastAsia="宋体"/>
          <w:color w:val="auto"/>
          <w:highlight w:val="none"/>
          <w:lang w:eastAsia="zh-CN"/>
        </w:rPr>
      </w:pPr>
      <w:r>
        <w:rPr>
          <w:rFonts w:hAnsi="宋体"/>
          <w:color w:val="auto"/>
          <w:highlight w:val="none"/>
        </w:rPr>
        <w:t>地</w:t>
      </w:r>
      <w:r>
        <w:rPr>
          <w:color w:val="auto"/>
          <w:highlight w:val="none"/>
        </w:rPr>
        <w:t xml:space="preserve">  </w:t>
      </w:r>
      <w:r>
        <w:rPr>
          <w:rFonts w:hAnsi="宋体"/>
          <w:color w:val="auto"/>
          <w:highlight w:val="none"/>
        </w:rPr>
        <w:t>址：</w:t>
      </w:r>
      <w:r>
        <w:rPr>
          <w:color w:val="auto"/>
          <w:highlight w:val="none"/>
          <w:u w:val="single"/>
        </w:rPr>
        <w:t xml:space="preserve"> </w:t>
      </w:r>
      <w:r>
        <w:rPr>
          <w:rFonts w:hint="eastAsia" w:ascii="宋体" w:hAnsi="宋体"/>
          <w:color w:val="auto"/>
          <w:highlight w:val="none"/>
          <w:u w:val="single"/>
          <w:lang w:eastAsia="zh-CN"/>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地</w:t>
      </w:r>
      <w:r>
        <w:rPr>
          <w:color w:val="auto"/>
          <w:highlight w:val="none"/>
        </w:rPr>
        <w:t xml:space="preserve">  </w:t>
      </w:r>
      <w:r>
        <w:rPr>
          <w:rFonts w:hAnsi="宋体"/>
          <w:color w:val="auto"/>
          <w:highlight w:val="none"/>
        </w:rPr>
        <w:t>址：</w:t>
      </w:r>
      <w:r>
        <w:rPr>
          <w:rFonts w:hint="eastAsia" w:ascii="宋体" w:hAnsi="宋体"/>
          <w:color w:val="auto"/>
          <w:highlight w:val="none"/>
          <w:u w:val="single"/>
          <w:lang w:eastAsia="zh-CN"/>
        </w:rPr>
        <w:t xml:space="preserve">            </w:t>
      </w:r>
      <w:r>
        <w:rPr>
          <w:color w:val="auto"/>
          <w:highlight w:val="none"/>
          <w:u w:val="single"/>
        </w:rPr>
        <w:t xml:space="preserve"> </w:t>
      </w:r>
      <w:r>
        <w:rPr>
          <w:rFonts w:hint="eastAsia"/>
          <w:color w:val="auto"/>
          <w:highlight w:val="none"/>
          <w:u w:val="single"/>
        </w:rPr>
        <w:t xml:space="preserve">     </w:t>
      </w:r>
      <w:r>
        <w:rPr>
          <w:rFonts w:hint="eastAsia" w:ascii="宋体" w:hAnsi="宋体"/>
          <w:color w:val="auto"/>
          <w:highlight w:val="none"/>
          <w:u w:val="single"/>
          <w:lang w:eastAsia="zh-CN"/>
        </w:rPr>
        <w:t xml:space="preserve">  </w:t>
      </w:r>
    </w:p>
    <w:p w14:paraId="5D8270EA">
      <w:pPr>
        <w:spacing w:line="360" w:lineRule="auto"/>
        <w:rPr>
          <w:rFonts w:hint="eastAsia" w:eastAsia="宋体"/>
          <w:color w:val="auto"/>
          <w:highlight w:val="none"/>
          <w:lang w:eastAsia="zh-CN"/>
        </w:rPr>
      </w:pPr>
      <w:r>
        <w:rPr>
          <w:rFonts w:hAnsi="宋体"/>
          <w:color w:val="auto"/>
          <w:highlight w:val="none"/>
        </w:rPr>
        <w:t>法定代表人</w:t>
      </w:r>
      <w:r>
        <w:rPr>
          <w:rFonts w:hint="eastAsia"/>
          <w:color w:val="auto"/>
          <w:highlight w:val="none"/>
        </w:rPr>
        <w:t>（</w:t>
      </w:r>
      <w:r>
        <w:rPr>
          <w:rFonts w:hAnsi="宋体"/>
          <w:color w:val="auto"/>
          <w:highlight w:val="none"/>
        </w:rPr>
        <w:t>签字</w:t>
      </w:r>
      <w:r>
        <w:rPr>
          <w:rFonts w:hint="eastAsia"/>
          <w:color w:val="auto"/>
          <w:highlight w:val="none"/>
        </w:rPr>
        <w:t>）</w:t>
      </w:r>
      <w:r>
        <w:rPr>
          <w:rFonts w:hAnsi="宋体"/>
          <w:color w:val="auto"/>
          <w:highlight w:val="none"/>
        </w:rPr>
        <w:t>：</w:t>
      </w:r>
      <w:r>
        <w:rPr>
          <w:rFonts w:hint="eastAsia" w:ascii="宋体" w:hAnsi="宋体"/>
          <w:color w:val="auto"/>
          <w:highlight w:val="none"/>
          <w:u w:val="single"/>
          <w:lang w:eastAsia="zh-CN"/>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法定代表人</w:t>
      </w:r>
      <w:r>
        <w:rPr>
          <w:rFonts w:hint="eastAsia"/>
          <w:color w:val="auto"/>
          <w:highlight w:val="none"/>
        </w:rPr>
        <w:t>（</w:t>
      </w:r>
      <w:r>
        <w:rPr>
          <w:rFonts w:hAnsi="宋体"/>
          <w:color w:val="auto"/>
          <w:highlight w:val="none"/>
        </w:rPr>
        <w:t>签字</w:t>
      </w:r>
      <w:r>
        <w:rPr>
          <w:rFonts w:hint="eastAsia"/>
          <w:color w:val="auto"/>
          <w:highlight w:val="none"/>
        </w:rPr>
        <w:t>）</w:t>
      </w:r>
      <w:r>
        <w:rPr>
          <w:rFonts w:hAnsi="宋体"/>
          <w:color w:val="auto"/>
          <w:highlight w:val="none"/>
        </w:rPr>
        <w:t>：</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rFonts w:hint="eastAsia" w:ascii="宋体" w:hAnsi="宋体"/>
          <w:color w:val="auto"/>
          <w:highlight w:val="none"/>
          <w:u w:val="single"/>
          <w:lang w:eastAsia="zh-CN"/>
        </w:rPr>
        <w:t xml:space="preserve">  </w:t>
      </w:r>
    </w:p>
    <w:p w14:paraId="0E2D18E9">
      <w:pPr>
        <w:spacing w:line="360" w:lineRule="auto"/>
        <w:rPr>
          <w:rFonts w:hint="eastAsia" w:eastAsia="宋体"/>
          <w:color w:val="auto"/>
          <w:highlight w:val="none"/>
          <w:lang w:eastAsia="zh-CN"/>
        </w:rPr>
      </w:pPr>
      <w:r>
        <w:rPr>
          <w:rFonts w:hAnsi="宋体"/>
          <w:color w:val="auto"/>
          <w:highlight w:val="none"/>
        </w:rPr>
        <w:t>委托代理人</w:t>
      </w:r>
      <w:r>
        <w:rPr>
          <w:rFonts w:hint="eastAsia"/>
          <w:color w:val="auto"/>
          <w:highlight w:val="none"/>
        </w:rPr>
        <w:t>（</w:t>
      </w:r>
      <w:r>
        <w:rPr>
          <w:rFonts w:hAnsi="宋体"/>
          <w:color w:val="auto"/>
          <w:highlight w:val="none"/>
        </w:rPr>
        <w:t>签字</w:t>
      </w:r>
      <w:r>
        <w:rPr>
          <w:rFonts w:hint="eastAsia"/>
          <w:color w:val="auto"/>
          <w:highlight w:val="none"/>
        </w:rPr>
        <w:t>）</w:t>
      </w:r>
      <w:r>
        <w:rPr>
          <w:rFonts w:hAnsi="宋体"/>
          <w:color w:val="auto"/>
          <w:highlight w:val="none"/>
        </w:rPr>
        <w:t>：</w:t>
      </w:r>
      <w:r>
        <w:rPr>
          <w:rFonts w:hint="eastAsia" w:ascii="宋体" w:hAnsi="宋体"/>
          <w:color w:val="auto"/>
          <w:highlight w:val="none"/>
          <w:u w:val="single"/>
          <w:lang w:eastAsia="zh-CN"/>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委托代理人</w:t>
      </w:r>
      <w:r>
        <w:rPr>
          <w:rFonts w:hint="eastAsia"/>
          <w:color w:val="auto"/>
          <w:highlight w:val="none"/>
        </w:rPr>
        <w:t>（</w:t>
      </w:r>
      <w:r>
        <w:rPr>
          <w:rFonts w:hAnsi="宋体"/>
          <w:color w:val="auto"/>
          <w:highlight w:val="none"/>
        </w:rPr>
        <w:t>签字</w:t>
      </w:r>
      <w:r>
        <w:rPr>
          <w:rFonts w:hint="eastAsia"/>
          <w:color w:val="auto"/>
          <w:highlight w:val="none"/>
        </w:rPr>
        <w:t>）</w:t>
      </w:r>
      <w:r>
        <w:rPr>
          <w:rFonts w:hAnsi="宋体"/>
          <w:color w:val="auto"/>
          <w:highlight w:val="none"/>
        </w:rPr>
        <w:t>：</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rFonts w:hint="eastAsia" w:ascii="宋体" w:hAnsi="宋体"/>
          <w:color w:val="auto"/>
          <w:highlight w:val="none"/>
          <w:u w:val="single"/>
          <w:lang w:eastAsia="zh-CN"/>
        </w:rPr>
        <w:t xml:space="preserve">  </w:t>
      </w:r>
    </w:p>
    <w:p w14:paraId="3D165568">
      <w:pPr>
        <w:spacing w:line="360" w:lineRule="auto"/>
        <w:rPr>
          <w:rFonts w:hint="eastAsia" w:eastAsia="宋体"/>
          <w:color w:val="auto"/>
          <w:highlight w:val="none"/>
          <w:lang w:eastAsia="zh-CN"/>
        </w:rPr>
      </w:pPr>
      <w:r>
        <w:rPr>
          <w:rFonts w:hAnsi="宋体"/>
          <w:color w:val="auto"/>
          <w:highlight w:val="none"/>
        </w:rPr>
        <w:t>电</w:t>
      </w:r>
      <w:r>
        <w:rPr>
          <w:color w:val="auto"/>
          <w:highlight w:val="none"/>
        </w:rPr>
        <w:t xml:space="preserve">  </w:t>
      </w:r>
      <w:r>
        <w:rPr>
          <w:rFonts w:hAnsi="宋体"/>
          <w:color w:val="auto"/>
          <w:highlight w:val="none"/>
        </w:rPr>
        <w:t>话：</w:t>
      </w:r>
      <w:r>
        <w:rPr>
          <w:rFonts w:hint="eastAsia" w:ascii="宋体" w:hAnsi="宋体"/>
          <w:color w:val="auto"/>
          <w:highlight w:val="none"/>
          <w:u w:val="single"/>
          <w:lang w:eastAsia="zh-CN"/>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电</w:t>
      </w:r>
      <w:r>
        <w:rPr>
          <w:color w:val="auto"/>
          <w:highlight w:val="none"/>
        </w:rPr>
        <w:t xml:space="preserve">  </w:t>
      </w:r>
      <w:r>
        <w:rPr>
          <w:rFonts w:hAnsi="宋体"/>
          <w:color w:val="auto"/>
          <w:highlight w:val="none"/>
        </w:rPr>
        <w:t>话：</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rFonts w:hint="eastAsia" w:ascii="宋体" w:hAnsi="宋体"/>
          <w:color w:val="auto"/>
          <w:highlight w:val="none"/>
          <w:u w:val="single"/>
          <w:lang w:eastAsia="zh-CN"/>
        </w:rPr>
        <w:t xml:space="preserve">  </w:t>
      </w:r>
    </w:p>
    <w:p w14:paraId="5397C2A9">
      <w:pPr>
        <w:spacing w:line="360" w:lineRule="auto"/>
        <w:rPr>
          <w:rFonts w:hint="eastAsia" w:eastAsia="宋体"/>
          <w:color w:val="auto"/>
          <w:highlight w:val="none"/>
          <w:lang w:eastAsia="zh-CN"/>
        </w:rPr>
      </w:pPr>
      <w:r>
        <w:rPr>
          <w:rFonts w:hAnsi="宋体"/>
          <w:color w:val="auto"/>
          <w:highlight w:val="none"/>
        </w:rPr>
        <w:t>传</w:t>
      </w:r>
      <w:r>
        <w:rPr>
          <w:color w:val="auto"/>
          <w:highlight w:val="none"/>
        </w:rPr>
        <w:t xml:space="preserve">  </w:t>
      </w:r>
      <w:r>
        <w:rPr>
          <w:rFonts w:hAnsi="宋体"/>
          <w:color w:val="auto"/>
          <w:highlight w:val="none"/>
        </w:rPr>
        <w:t>真：</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传</w:t>
      </w:r>
      <w:r>
        <w:rPr>
          <w:color w:val="auto"/>
          <w:highlight w:val="none"/>
        </w:rPr>
        <w:t xml:space="preserve">  </w:t>
      </w:r>
      <w:r>
        <w:rPr>
          <w:rFonts w:hAnsi="宋体"/>
          <w:color w:val="auto"/>
          <w:highlight w:val="none"/>
        </w:rPr>
        <w:t>真：</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color w:val="auto"/>
          <w:highlight w:val="none"/>
          <w:u w:val="single"/>
        </w:rPr>
        <w:t xml:space="preserve">  </w:t>
      </w:r>
      <w:r>
        <w:rPr>
          <w:rFonts w:hint="eastAsia" w:ascii="宋体" w:hAnsi="宋体"/>
          <w:color w:val="auto"/>
          <w:highlight w:val="none"/>
          <w:u w:val="single"/>
          <w:lang w:eastAsia="zh-CN"/>
        </w:rPr>
        <w:t xml:space="preserve">  </w:t>
      </w:r>
    </w:p>
    <w:p w14:paraId="0BE31D24">
      <w:pPr>
        <w:spacing w:line="360" w:lineRule="auto"/>
        <w:rPr>
          <w:rFonts w:hint="eastAsia" w:eastAsia="宋体"/>
          <w:color w:val="auto"/>
          <w:highlight w:val="none"/>
          <w:lang w:eastAsia="zh-CN"/>
        </w:rPr>
      </w:pPr>
      <w:r>
        <w:rPr>
          <w:rFonts w:hAnsi="宋体"/>
          <w:color w:val="auto"/>
          <w:highlight w:val="none"/>
        </w:rPr>
        <w:t>开户银行：</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开户银行：</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rFonts w:hint="eastAsia" w:ascii="宋体" w:hAnsi="宋体"/>
          <w:color w:val="auto"/>
          <w:highlight w:val="none"/>
          <w:u w:val="single"/>
          <w:lang w:eastAsia="zh-CN"/>
        </w:rPr>
        <w:t xml:space="preserve">    </w:t>
      </w:r>
    </w:p>
    <w:p w14:paraId="399EF4AC">
      <w:pPr>
        <w:tabs>
          <w:tab w:val="left" w:pos="2880"/>
          <w:tab w:val="left" w:pos="3060"/>
          <w:tab w:val="left" w:pos="4500"/>
        </w:tabs>
        <w:spacing w:line="360" w:lineRule="auto"/>
        <w:rPr>
          <w:rFonts w:hint="eastAsia" w:eastAsia="宋体"/>
          <w:color w:val="auto"/>
          <w:highlight w:val="none"/>
          <w:lang w:eastAsia="zh-CN"/>
        </w:rPr>
      </w:pPr>
      <w:r>
        <w:rPr>
          <w:rFonts w:hAnsi="宋体"/>
          <w:color w:val="auto"/>
          <w:highlight w:val="none"/>
        </w:rPr>
        <w:t>账</w:t>
      </w:r>
      <w:r>
        <w:rPr>
          <w:color w:val="auto"/>
          <w:highlight w:val="none"/>
        </w:rPr>
        <w:t xml:space="preserve">  </w:t>
      </w:r>
      <w:r>
        <w:rPr>
          <w:rFonts w:hAnsi="宋体"/>
          <w:color w:val="auto"/>
          <w:highlight w:val="none"/>
        </w:rPr>
        <w:t>号：</w:t>
      </w:r>
      <w:r>
        <w:rPr>
          <w:rFonts w:hint="eastAsia" w:ascii="宋体" w:hAnsi="宋体"/>
          <w:color w:val="auto"/>
          <w:highlight w:val="none"/>
          <w:u w:val="single"/>
          <w:lang w:eastAsia="zh-CN"/>
        </w:rPr>
        <w:t xml:space="preserve">          </w:t>
      </w:r>
      <w:r>
        <w:rPr>
          <w:color w:val="auto"/>
          <w:highlight w:val="none"/>
          <w:u w:val="single"/>
        </w:rPr>
        <w:t xml:space="preserve"> </w:t>
      </w:r>
      <w:r>
        <w:rPr>
          <w:rFonts w:hint="eastAsia" w:ascii="宋体" w:hAnsi="宋体"/>
          <w:color w:val="auto"/>
          <w:highlight w:val="none"/>
          <w:u w:val="single"/>
          <w:lang w:eastAsia="zh-CN"/>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账</w:t>
      </w:r>
      <w:r>
        <w:rPr>
          <w:color w:val="auto"/>
          <w:highlight w:val="none"/>
        </w:rPr>
        <w:t xml:space="preserve">  </w:t>
      </w:r>
      <w:r>
        <w:rPr>
          <w:rFonts w:hAnsi="宋体"/>
          <w:color w:val="auto"/>
          <w:highlight w:val="none"/>
        </w:rPr>
        <w:t>号：</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rFonts w:hint="eastAsia" w:ascii="宋体" w:hAnsi="宋体"/>
          <w:color w:val="auto"/>
          <w:highlight w:val="none"/>
          <w:u w:val="single"/>
          <w:lang w:eastAsia="zh-CN"/>
        </w:rPr>
        <w:t xml:space="preserve">  </w:t>
      </w:r>
    </w:p>
    <w:p w14:paraId="27F4C522">
      <w:pPr>
        <w:spacing w:line="360" w:lineRule="auto"/>
        <w:rPr>
          <w:rFonts w:ascii="宋体"/>
          <w:color w:val="auto"/>
          <w:highlight w:val="none"/>
          <w:u w:val="single"/>
        </w:rPr>
      </w:pPr>
      <w:r>
        <w:rPr>
          <w:rFonts w:hAnsi="宋体"/>
          <w:color w:val="auto"/>
          <w:highlight w:val="none"/>
        </w:rPr>
        <w:t>邮政编码：</w:t>
      </w:r>
      <w:r>
        <w:rPr>
          <w:color w:val="auto"/>
          <w:highlight w:val="none"/>
          <w:u w:val="single"/>
        </w:rPr>
        <w:t xml:space="preserve"> </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邮政编码：</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p>
    <w:p w14:paraId="02A62DD1">
      <w:pPr>
        <w:spacing w:line="360" w:lineRule="auto"/>
        <w:rPr>
          <w:rFonts w:ascii="宋体"/>
          <w:color w:val="auto"/>
          <w:highlight w:val="none"/>
        </w:rPr>
      </w:pPr>
    </w:p>
    <w:p w14:paraId="6B88C96B">
      <w:pPr>
        <w:spacing w:line="360" w:lineRule="auto"/>
        <w:rPr>
          <w:rFonts w:ascii="宋体"/>
          <w:color w:val="auto"/>
          <w:highlight w:val="none"/>
        </w:rPr>
      </w:pPr>
    </w:p>
    <w:p w14:paraId="3A067016">
      <w:pPr>
        <w:spacing w:line="360" w:lineRule="auto"/>
        <w:rPr>
          <w:rFonts w:ascii="宋体"/>
          <w:color w:val="auto"/>
          <w:highlight w:val="none"/>
        </w:rPr>
      </w:pPr>
    </w:p>
    <w:p w14:paraId="7D45C20B">
      <w:pPr>
        <w:spacing w:line="360" w:lineRule="auto"/>
        <w:rPr>
          <w:rFonts w:ascii="宋体"/>
          <w:color w:val="auto"/>
          <w:highlight w:val="none"/>
        </w:rPr>
      </w:pPr>
    </w:p>
    <w:p w14:paraId="225B5FE4">
      <w:pPr>
        <w:spacing w:line="360" w:lineRule="auto"/>
        <w:rPr>
          <w:rFonts w:ascii="宋体"/>
          <w:color w:val="auto"/>
          <w:highlight w:val="none"/>
        </w:rPr>
      </w:pPr>
    </w:p>
    <w:p w14:paraId="05CD7A43">
      <w:pPr>
        <w:spacing w:before="120" w:beforeLines="50" w:after="120" w:afterLines="50" w:line="360" w:lineRule="auto"/>
        <w:jc w:val="left"/>
        <w:rPr>
          <w:rFonts w:eastAsia="黑体"/>
          <w:color w:val="auto"/>
          <w:sz w:val="30"/>
          <w:szCs w:val="30"/>
          <w:highlight w:val="none"/>
        </w:rPr>
      </w:pPr>
      <w:r>
        <w:rPr>
          <w:rFonts w:eastAsia="仿宋_GB2312" w:cs="仿宋_GB2312"/>
          <w:color w:val="auto"/>
          <w:sz w:val="30"/>
          <w:szCs w:val="30"/>
          <w:highlight w:val="none"/>
        </w:rPr>
        <w:br w:type="page"/>
      </w:r>
      <w:r>
        <w:rPr>
          <w:rFonts w:hint="eastAsia" w:ascii="仿宋_GB2312" w:eastAsia="仿宋_GB2312" w:cs="仿宋_GB2312"/>
          <w:color w:val="auto"/>
          <w:sz w:val="30"/>
          <w:szCs w:val="30"/>
          <w:highlight w:val="none"/>
        </w:rPr>
        <w:t>附件3：</w:t>
      </w:r>
      <w:r>
        <w:rPr>
          <w:rFonts w:hint="eastAsia" w:ascii="仿宋_GB2312" w:eastAsia="仿宋_GB2312" w:cs="仿宋_GB2312"/>
          <w:color w:val="auto"/>
          <w:sz w:val="30"/>
          <w:szCs w:val="30"/>
          <w:highlight w:val="none"/>
          <w:lang w:val="en-US" w:eastAsia="zh-CN"/>
        </w:rPr>
        <w:t>主要建设工程文件目录</w:t>
      </w:r>
    </w:p>
    <w:p w14:paraId="26289F0E">
      <w:pPr>
        <w:spacing w:before="120" w:beforeLines="50" w:after="120" w:afterLines="50" w:line="360" w:lineRule="auto"/>
        <w:jc w:val="center"/>
        <w:rPr>
          <w:rFonts w:eastAsia="黑体"/>
          <w:color w:val="auto"/>
          <w:sz w:val="30"/>
          <w:szCs w:val="30"/>
          <w:highlight w:val="none"/>
        </w:rPr>
      </w:pPr>
      <w:r>
        <w:rPr>
          <w:rFonts w:eastAsia="黑体"/>
          <w:color w:val="auto"/>
          <w:sz w:val="30"/>
          <w:szCs w:val="30"/>
          <w:highlight w:val="none"/>
        </w:rPr>
        <w:t>主要建设工程文件目录</w:t>
      </w:r>
    </w:p>
    <w:tbl>
      <w:tblPr>
        <w:tblStyle w:val="2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30E980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noWrap w:val="0"/>
            <w:vAlign w:val="center"/>
          </w:tcPr>
          <w:p w14:paraId="2DA879C8">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30"/>
                <w:highlight w:val="none"/>
              </w:rPr>
            </w:pPr>
            <w:r>
              <w:rPr>
                <w:rFonts w:hint="default" w:ascii="Calibri" w:hAnsi="Calibri" w:eastAsia="仿宋_GB2312" w:cs="Times New Roman"/>
                <w:color w:val="auto"/>
                <w:sz w:val="28"/>
                <w:szCs w:val="30"/>
                <w:highlight w:val="none"/>
              </w:rPr>
              <w:t>文件名称</w:t>
            </w:r>
          </w:p>
        </w:tc>
        <w:tc>
          <w:tcPr>
            <w:tcW w:w="1276" w:type="dxa"/>
            <w:tcBorders>
              <w:top w:val="single" w:color="auto" w:sz="12" w:space="0"/>
              <w:bottom w:val="double" w:color="auto" w:sz="6" w:space="0"/>
            </w:tcBorders>
            <w:noWrap w:val="0"/>
            <w:vAlign w:val="center"/>
          </w:tcPr>
          <w:p w14:paraId="5931F30C">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30"/>
                <w:highlight w:val="none"/>
              </w:rPr>
            </w:pPr>
            <w:r>
              <w:rPr>
                <w:rFonts w:hint="default" w:ascii="Calibri" w:hAnsi="Calibri" w:eastAsia="仿宋_GB2312" w:cs="Times New Roman"/>
                <w:color w:val="auto"/>
                <w:sz w:val="28"/>
                <w:szCs w:val="30"/>
                <w:highlight w:val="none"/>
              </w:rPr>
              <w:t>套数</w:t>
            </w:r>
          </w:p>
        </w:tc>
        <w:tc>
          <w:tcPr>
            <w:tcW w:w="1450" w:type="dxa"/>
            <w:tcBorders>
              <w:top w:val="single" w:color="auto" w:sz="12" w:space="0"/>
              <w:bottom w:val="double" w:color="auto" w:sz="6" w:space="0"/>
            </w:tcBorders>
            <w:noWrap w:val="0"/>
            <w:vAlign w:val="center"/>
          </w:tcPr>
          <w:p w14:paraId="5399F11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30"/>
                <w:highlight w:val="none"/>
              </w:rPr>
            </w:pPr>
            <w:r>
              <w:rPr>
                <w:rFonts w:hint="default" w:ascii="Calibri" w:hAnsi="Calibri" w:eastAsia="仿宋_GB2312" w:cs="Times New Roman"/>
                <w:color w:val="auto"/>
                <w:sz w:val="28"/>
                <w:szCs w:val="30"/>
                <w:highlight w:val="none"/>
              </w:rPr>
              <w:t>费用</w:t>
            </w:r>
            <w:r>
              <w:rPr>
                <w:rFonts w:hint="eastAsia" w:ascii="Calibri" w:hAnsi="Calibri" w:eastAsia="仿宋_GB2312" w:cs="Times New Roman"/>
                <w:color w:val="auto"/>
                <w:sz w:val="28"/>
                <w:szCs w:val="30"/>
                <w:highlight w:val="none"/>
              </w:rPr>
              <w:t>（元）</w:t>
            </w:r>
          </w:p>
        </w:tc>
        <w:tc>
          <w:tcPr>
            <w:tcW w:w="1243" w:type="dxa"/>
            <w:tcBorders>
              <w:top w:val="single" w:color="auto" w:sz="12" w:space="0"/>
              <w:bottom w:val="double" w:color="auto" w:sz="6" w:space="0"/>
            </w:tcBorders>
            <w:noWrap w:val="0"/>
            <w:vAlign w:val="center"/>
          </w:tcPr>
          <w:p w14:paraId="439C224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30"/>
                <w:highlight w:val="none"/>
              </w:rPr>
            </w:pPr>
            <w:r>
              <w:rPr>
                <w:rFonts w:hint="default" w:ascii="Calibri" w:hAnsi="Calibri" w:eastAsia="仿宋_GB2312" w:cs="Times New Roman"/>
                <w:color w:val="auto"/>
                <w:sz w:val="28"/>
                <w:szCs w:val="30"/>
                <w:highlight w:val="none"/>
              </w:rPr>
              <w:t>质量</w:t>
            </w:r>
          </w:p>
        </w:tc>
        <w:tc>
          <w:tcPr>
            <w:tcW w:w="1450" w:type="dxa"/>
            <w:tcBorders>
              <w:top w:val="single" w:color="auto" w:sz="12" w:space="0"/>
              <w:bottom w:val="double" w:color="auto" w:sz="6" w:space="0"/>
            </w:tcBorders>
            <w:noWrap w:val="0"/>
            <w:vAlign w:val="top"/>
          </w:tcPr>
          <w:p w14:paraId="15B93FC6">
            <w:pPr>
              <w:keepNext w:val="0"/>
              <w:keepLines w:val="0"/>
              <w:suppressLineNumbers w:val="0"/>
              <w:spacing w:before="0" w:beforeAutospacing="0" w:after="0" w:afterAutospacing="0" w:line="360" w:lineRule="auto"/>
              <w:ind w:left="0" w:right="0"/>
              <w:jc w:val="center"/>
              <w:rPr>
                <w:rFonts w:hint="default" w:ascii="Calibri" w:hAnsi="Calibri" w:eastAsia="仿宋_GB2312" w:cs="Times New Roman"/>
                <w:color w:val="auto"/>
                <w:sz w:val="28"/>
                <w:szCs w:val="30"/>
                <w:highlight w:val="none"/>
              </w:rPr>
            </w:pPr>
            <w:r>
              <w:rPr>
                <w:rFonts w:hint="default" w:ascii="Calibri" w:hAnsi="Calibri" w:eastAsia="仿宋_GB2312" w:cs="Times New Roman"/>
                <w:color w:val="auto"/>
                <w:sz w:val="28"/>
                <w:szCs w:val="30"/>
                <w:highlight w:val="none"/>
              </w:rPr>
              <w:t>移交时间</w:t>
            </w:r>
          </w:p>
        </w:tc>
        <w:tc>
          <w:tcPr>
            <w:tcW w:w="1667" w:type="dxa"/>
            <w:tcBorders>
              <w:top w:val="single" w:color="auto" w:sz="12" w:space="0"/>
              <w:bottom w:val="double" w:color="auto" w:sz="6" w:space="0"/>
            </w:tcBorders>
            <w:noWrap w:val="0"/>
            <w:vAlign w:val="top"/>
          </w:tcPr>
          <w:p w14:paraId="6C51E45A">
            <w:pPr>
              <w:keepNext w:val="0"/>
              <w:keepLines w:val="0"/>
              <w:suppressLineNumbers w:val="0"/>
              <w:spacing w:before="0" w:beforeAutospacing="0" w:after="0" w:afterAutospacing="0" w:line="360" w:lineRule="auto"/>
              <w:ind w:left="0" w:right="0"/>
              <w:jc w:val="center"/>
              <w:rPr>
                <w:rFonts w:hint="default" w:ascii="Calibri" w:hAnsi="Calibri" w:eastAsia="仿宋_GB2312" w:cs="Times New Roman"/>
                <w:color w:val="auto"/>
                <w:sz w:val="28"/>
                <w:szCs w:val="30"/>
                <w:highlight w:val="none"/>
              </w:rPr>
            </w:pPr>
            <w:r>
              <w:rPr>
                <w:rFonts w:hint="default" w:ascii="Calibri" w:hAnsi="Calibri" w:eastAsia="仿宋_GB2312" w:cs="Times New Roman"/>
                <w:color w:val="auto"/>
                <w:sz w:val="28"/>
                <w:szCs w:val="30"/>
                <w:highlight w:val="none"/>
              </w:rPr>
              <w:t>责任人</w:t>
            </w:r>
          </w:p>
        </w:tc>
      </w:tr>
      <w:tr w14:paraId="1A450E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noWrap w:val="0"/>
            <w:vAlign w:val="center"/>
          </w:tcPr>
          <w:p w14:paraId="40413AE8">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276" w:type="dxa"/>
            <w:tcBorders>
              <w:top w:val="double" w:color="auto" w:sz="6" w:space="0"/>
              <w:bottom w:val="single" w:color="auto" w:sz="6" w:space="0"/>
            </w:tcBorders>
            <w:noWrap w:val="0"/>
            <w:vAlign w:val="center"/>
          </w:tcPr>
          <w:p w14:paraId="39A1CAF0">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50" w:type="dxa"/>
            <w:tcBorders>
              <w:top w:val="double" w:color="auto" w:sz="6" w:space="0"/>
              <w:bottom w:val="single" w:color="auto" w:sz="6" w:space="0"/>
            </w:tcBorders>
            <w:noWrap w:val="0"/>
            <w:vAlign w:val="center"/>
          </w:tcPr>
          <w:p w14:paraId="6E9C5391">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243" w:type="dxa"/>
            <w:tcBorders>
              <w:top w:val="double" w:color="auto" w:sz="6" w:space="0"/>
              <w:bottom w:val="single" w:color="auto" w:sz="6" w:space="0"/>
            </w:tcBorders>
            <w:noWrap w:val="0"/>
            <w:vAlign w:val="center"/>
          </w:tcPr>
          <w:p w14:paraId="1FB8A6F2">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50" w:type="dxa"/>
            <w:tcBorders>
              <w:top w:val="double" w:color="auto" w:sz="6" w:space="0"/>
              <w:bottom w:val="single" w:color="auto" w:sz="6" w:space="0"/>
            </w:tcBorders>
            <w:noWrap w:val="0"/>
            <w:vAlign w:val="center"/>
          </w:tcPr>
          <w:p w14:paraId="1E27009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667" w:type="dxa"/>
            <w:tcBorders>
              <w:top w:val="double" w:color="auto" w:sz="6" w:space="0"/>
              <w:bottom w:val="single" w:color="auto" w:sz="6" w:space="0"/>
            </w:tcBorders>
            <w:noWrap w:val="0"/>
            <w:vAlign w:val="center"/>
          </w:tcPr>
          <w:p w14:paraId="6A7A0789">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172983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noWrap w:val="0"/>
            <w:vAlign w:val="center"/>
          </w:tcPr>
          <w:p w14:paraId="17A2D732">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276" w:type="dxa"/>
            <w:tcBorders>
              <w:top w:val="nil"/>
            </w:tcBorders>
            <w:noWrap w:val="0"/>
            <w:vAlign w:val="center"/>
          </w:tcPr>
          <w:p w14:paraId="56B208B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50" w:type="dxa"/>
            <w:tcBorders>
              <w:top w:val="nil"/>
            </w:tcBorders>
            <w:noWrap w:val="0"/>
            <w:vAlign w:val="center"/>
          </w:tcPr>
          <w:p w14:paraId="1327CA3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243" w:type="dxa"/>
            <w:tcBorders>
              <w:top w:val="nil"/>
            </w:tcBorders>
            <w:noWrap w:val="0"/>
            <w:vAlign w:val="center"/>
          </w:tcPr>
          <w:p w14:paraId="0323082A">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50" w:type="dxa"/>
            <w:tcBorders>
              <w:top w:val="nil"/>
            </w:tcBorders>
            <w:noWrap w:val="0"/>
            <w:vAlign w:val="center"/>
          </w:tcPr>
          <w:p w14:paraId="5405A40C">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667" w:type="dxa"/>
            <w:tcBorders>
              <w:top w:val="nil"/>
            </w:tcBorders>
            <w:noWrap w:val="0"/>
            <w:vAlign w:val="center"/>
          </w:tcPr>
          <w:p w14:paraId="76567A3D">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3B181B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30D081B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276" w:type="dxa"/>
            <w:noWrap w:val="0"/>
            <w:vAlign w:val="center"/>
          </w:tcPr>
          <w:p w14:paraId="49F67DB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50" w:type="dxa"/>
            <w:noWrap w:val="0"/>
            <w:vAlign w:val="center"/>
          </w:tcPr>
          <w:p w14:paraId="6B671722">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243" w:type="dxa"/>
            <w:noWrap w:val="0"/>
            <w:vAlign w:val="center"/>
          </w:tcPr>
          <w:p w14:paraId="549C5CD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50" w:type="dxa"/>
            <w:noWrap w:val="0"/>
            <w:vAlign w:val="center"/>
          </w:tcPr>
          <w:p w14:paraId="24F9D0F9">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667" w:type="dxa"/>
            <w:noWrap w:val="0"/>
            <w:vAlign w:val="center"/>
          </w:tcPr>
          <w:p w14:paraId="07267012">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0424BF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3D6C103E">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276" w:type="dxa"/>
            <w:noWrap w:val="0"/>
            <w:vAlign w:val="center"/>
          </w:tcPr>
          <w:p w14:paraId="496B4CDC">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50" w:type="dxa"/>
            <w:noWrap w:val="0"/>
            <w:vAlign w:val="center"/>
          </w:tcPr>
          <w:p w14:paraId="289C14B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243" w:type="dxa"/>
            <w:noWrap w:val="0"/>
            <w:vAlign w:val="center"/>
          </w:tcPr>
          <w:p w14:paraId="5F84DDAE">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50" w:type="dxa"/>
            <w:noWrap w:val="0"/>
            <w:vAlign w:val="center"/>
          </w:tcPr>
          <w:p w14:paraId="0B6BBB1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667" w:type="dxa"/>
            <w:noWrap w:val="0"/>
            <w:vAlign w:val="center"/>
          </w:tcPr>
          <w:p w14:paraId="7F171A38">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2C34C9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0EC2551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276" w:type="dxa"/>
            <w:noWrap w:val="0"/>
            <w:vAlign w:val="center"/>
          </w:tcPr>
          <w:p w14:paraId="7ECA467E">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50" w:type="dxa"/>
            <w:noWrap w:val="0"/>
            <w:vAlign w:val="center"/>
          </w:tcPr>
          <w:p w14:paraId="1ADA38E6">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243" w:type="dxa"/>
            <w:noWrap w:val="0"/>
            <w:vAlign w:val="center"/>
          </w:tcPr>
          <w:p w14:paraId="02732BB1">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50" w:type="dxa"/>
            <w:noWrap w:val="0"/>
            <w:vAlign w:val="center"/>
          </w:tcPr>
          <w:p w14:paraId="78B15F9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667" w:type="dxa"/>
            <w:noWrap w:val="0"/>
            <w:vAlign w:val="center"/>
          </w:tcPr>
          <w:p w14:paraId="3DE5F9D0">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77B165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4950CA6E">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276" w:type="dxa"/>
            <w:noWrap w:val="0"/>
            <w:vAlign w:val="center"/>
          </w:tcPr>
          <w:p w14:paraId="04AD87C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50" w:type="dxa"/>
            <w:noWrap w:val="0"/>
            <w:vAlign w:val="center"/>
          </w:tcPr>
          <w:p w14:paraId="5102036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243" w:type="dxa"/>
            <w:noWrap w:val="0"/>
            <w:vAlign w:val="center"/>
          </w:tcPr>
          <w:p w14:paraId="4CC9DCD1">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50" w:type="dxa"/>
            <w:noWrap w:val="0"/>
            <w:vAlign w:val="center"/>
          </w:tcPr>
          <w:p w14:paraId="7B7F3859">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667" w:type="dxa"/>
            <w:noWrap w:val="0"/>
            <w:vAlign w:val="center"/>
          </w:tcPr>
          <w:p w14:paraId="701F0054">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7BEDF1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7EFD96B7">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276" w:type="dxa"/>
            <w:noWrap w:val="0"/>
            <w:vAlign w:val="center"/>
          </w:tcPr>
          <w:p w14:paraId="29DC23E2">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50" w:type="dxa"/>
            <w:noWrap w:val="0"/>
            <w:vAlign w:val="center"/>
          </w:tcPr>
          <w:p w14:paraId="33CF7D27">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243" w:type="dxa"/>
            <w:noWrap w:val="0"/>
            <w:vAlign w:val="center"/>
          </w:tcPr>
          <w:p w14:paraId="5AB9D18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50" w:type="dxa"/>
            <w:noWrap w:val="0"/>
            <w:vAlign w:val="center"/>
          </w:tcPr>
          <w:p w14:paraId="0662106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667" w:type="dxa"/>
            <w:noWrap w:val="0"/>
            <w:vAlign w:val="center"/>
          </w:tcPr>
          <w:p w14:paraId="23CBE3E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53582A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52B8574A">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276" w:type="dxa"/>
            <w:noWrap w:val="0"/>
            <w:vAlign w:val="center"/>
          </w:tcPr>
          <w:p w14:paraId="3F024AE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50" w:type="dxa"/>
            <w:noWrap w:val="0"/>
            <w:vAlign w:val="center"/>
          </w:tcPr>
          <w:p w14:paraId="66295744">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243" w:type="dxa"/>
            <w:noWrap w:val="0"/>
            <w:vAlign w:val="center"/>
          </w:tcPr>
          <w:p w14:paraId="56A310E6">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50" w:type="dxa"/>
            <w:noWrap w:val="0"/>
            <w:vAlign w:val="center"/>
          </w:tcPr>
          <w:p w14:paraId="622FE7C2">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667" w:type="dxa"/>
            <w:noWrap w:val="0"/>
            <w:vAlign w:val="center"/>
          </w:tcPr>
          <w:p w14:paraId="5224EDE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4F696A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198A7EC2">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276" w:type="dxa"/>
            <w:noWrap w:val="0"/>
            <w:vAlign w:val="top"/>
          </w:tcPr>
          <w:p w14:paraId="31E16082">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50" w:type="dxa"/>
            <w:noWrap w:val="0"/>
            <w:vAlign w:val="top"/>
          </w:tcPr>
          <w:p w14:paraId="29B0E555">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243" w:type="dxa"/>
            <w:noWrap w:val="0"/>
            <w:vAlign w:val="top"/>
          </w:tcPr>
          <w:p w14:paraId="6A8FF9A6">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50" w:type="dxa"/>
            <w:noWrap w:val="0"/>
            <w:vAlign w:val="top"/>
          </w:tcPr>
          <w:p w14:paraId="4097C375">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667" w:type="dxa"/>
            <w:noWrap w:val="0"/>
            <w:vAlign w:val="top"/>
          </w:tcPr>
          <w:p w14:paraId="4C59E2B3">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r>
      <w:tr w14:paraId="1658D6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2BD5635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276" w:type="dxa"/>
            <w:noWrap w:val="0"/>
            <w:vAlign w:val="center"/>
          </w:tcPr>
          <w:p w14:paraId="17D7CA02">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50" w:type="dxa"/>
            <w:noWrap w:val="0"/>
            <w:vAlign w:val="center"/>
          </w:tcPr>
          <w:p w14:paraId="4827AC69">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243" w:type="dxa"/>
            <w:noWrap w:val="0"/>
            <w:vAlign w:val="center"/>
          </w:tcPr>
          <w:p w14:paraId="41B258B7">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50" w:type="dxa"/>
            <w:noWrap w:val="0"/>
            <w:vAlign w:val="center"/>
          </w:tcPr>
          <w:p w14:paraId="561BC3F2">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667" w:type="dxa"/>
            <w:noWrap w:val="0"/>
            <w:vAlign w:val="center"/>
          </w:tcPr>
          <w:p w14:paraId="65CEA54D">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70C7EF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7EB0FB23">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276" w:type="dxa"/>
            <w:noWrap w:val="0"/>
            <w:vAlign w:val="top"/>
          </w:tcPr>
          <w:p w14:paraId="3BD30016">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50" w:type="dxa"/>
            <w:noWrap w:val="0"/>
            <w:vAlign w:val="top"/>
          </w:tcPr>
          <w:p w14:paraId="46B7A123">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243" w:type="dxa"/>
            <w:noWrap w:val="0"/>
            <w:vAlign w:val="top"/>
          </w:tcPr>
          <w:p w14:paraId="32C82061">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50" w:type="dxa"/>
            <w:noWrap w:val="0"/>
            <w:vAlign w:val="top"/>
          </w:tcPr>
          <w:p w14:paraId="5908621F">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667" w:type="dxa"/>
            <w:noWrap w:val="0"/>
            <w:vAlign w:val="top"/>
          </w:tcPr>
          <w:p w14:paraId="2E56BA8A">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r>
      <w:tr w14:paraId="4DF715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1BA09764">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276" w:type="dxa"/>
            <w:noWrap w:val="0"/>
            <w:vAlign w:val="top"/>
          </w:tcPr>
          <w:p w14:paraId="7B10AFD3">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50" w:type="dxa"/>
            <w:noWrap w:val="0"/>
            <w:vAlign w:val="top"/>
          </w:tcPr>
          <w:p w14:paraId="6647990F">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243" w:type="dxa"/>
            <w:noWrap w:val="0"/>
            <w:vAlign w:val="top"/>
          </w:tcPr>
          <w:p w14:paraId="2262A597">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50" w:type="dxa"/>
            <w:noWrap w:val="0"/>
            <w:vAlign w:val="top"/>
          </w:tcPr>
          <w:p w14:paraId="15727F28">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667" w:type="dxa"/>
            <w:noWrap w:val="0"/>
            <w:vAlign w:val="top"/>
          </w:tcPr>
          <w:p w14:paraId="7B0697BD">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r>
      <w:tr w14:paraId="51F355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18CEF028">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276" w:type="dxa"/>
            <w:noWrap w:val="0"/>
            <w:vAlign w:val="top"/>
          </w:tcPr>
          <w:p w14:paraId="4F2F93D4">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50" w:type="dxa"/>
            <w:noWrap w:val="0"/>
            <w:vAlign w:val="top"/>
          </w:tcPr>
          <w:p w14:paraId="05A20418">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243" w:type="dxa"/>
            <w:noWrap w:val="0"/>
            <w:vAlign w:val="top"/>
          </w:tcPr>
          <w:p w14:paraId="16289BBE">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50" w:type="dxa"/>
            <w:noWrap w:val="0"/>
            <w:vAlign w:val="top"/>
          </w:tcPr>
          <w:p w14:paraId="1295D101">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667" w:type="dxa"/>
            <w:noWrap w:val="0"/>
            <w:vAlign w:val="top"/>
          </w:tcPr>
          <w:p w14:paraId="326B4F9E">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r>
      <w:tr w14:paraId="1D2693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105B2ED">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276" w:type="dxa"/>
            <w:noWrap w:val="0"/>
            <w:vAlign w:val="top"/>
          </w:tcPr>
          <w:p w14:paraId="7B4C9C97">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50" w:type="dxa"/>
            <w:noWrap w:val="0"/>
            <w:vAlign w:val="top"/>
          </w:tcPr>
          <w:p w14:paraId="044BE377">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243" w:type="dxa"/>
            <w:noWrap w:val="0"/>
            <w:vAlign w:val="top"/>
          </w:tcPr>
          <w:p w14:paraId="7A680FBB">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50" w:type="dxa"/>
            <w:noWrap w:val="0"/>
            <w:vAlign w:val="top"/>
          </w:tcPr>
          <w:p w14:paraId="105CCB69">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667" w:type="dxa"/>
            <w:noWrap w:val="0"/>
            <w:vAlign w:val="top"/>
          </w:tcPr>
          <w:p w14:paraId="35515466">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r>
      <w:tr w14:paraId="67ADFA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4E4B7C4E">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276" w:type="dxa"/>
            <w:noWrap w:val="0"/>
            <w:vAlign w:val="top"/>
          </w:tcPr>
          <w:p w14:paraId="6960F76A">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50" w:type="dxa"/>
            <w:noWrap w:val="0"/>
            <w:vAlign w:val="top"/>
          </w:tcPr>
          <w:p w14:paraId="365469F5">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243" w:type="dxa"/>
            <w:noWrap w:val="0"/>
            <w:vAlign w:val="top"/>
          </w:tcPr>
          <w:p w14:paraId="4301402C">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50" w:type="dxa"/>
            <w:noWrap w:val="0"/>
            <w:vAlign w:val="top"/>
          </w:tcPr>
          <w:p w14:paraId="1CB6AA3A">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667" w:type="dxa"/>
            <w:noWrap w:val="0"/>
            <w:vAlign w:val="top"/>
          </w:tcPr>
          <w:p w14:paraId="768F975B">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r>
      <w:tr w14:paraId="2B80A1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7C8C2713">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276" w:type="dxa"/>
            <w:noWrap w:val="0"/>
            <w:vAlign w:val="top"/>
          </w:tcPr>
          <w:p w14:paraId="66485F34">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50" w:type="dxa"/>
            <w:noWrap w:val="0"/>
            <w:vAlign w:val="top"/>
          </w:tcPr>
          <w:p w14:paraId="61ED4215">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243" w:type="dxa"/>
            <w:noWrap w:val="0"/>
            <w:vAlign w:val="top"/>
          </w:tcPr>
          <w:p w14:paraId="3C3C9DEC">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50" w:type="dxa"/>
            <w:noWrap w:val="0"/>
            <w:vAlign w:val="top"/>
          </w:tcPr>
          <w:p w14:paraId="12816EDF">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667" w:type="dxa"/>
            <w:noWrap w:val="0"/>
            <w:vAlign w:val="top"/>
          </w:tcPr>
          <w:p w14:paraId="23F50A1A">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r>
      <w:tr w14:paraId="085C5A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DB85FDB">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276" w:type="dxa"/>
            <w:noWrap w:val="0"/>
            <w:vAlign w:val="top"/>
          </w:tcPr>
          <w:p w14:paraId="73D97108">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50" w:type="dxa"/>
            <w:noWrap w:val="0"/>
            <w:vAlign w:val="top"/>
          </w:tcPr>
          <w:p w14:paraId="0B0A2775">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243" w:type="dxa"/>
            <w:noWrap w:val="0"/>
            <w:vAlign w:val="top"/>
          </w:tcPr>
          <w:p w14:paraId="7AC8CC59">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50" w:type="dxa"/>
            <w:noWrap w:val="0"/>
            <w:vAlign w:val="top"/>
          </w:tcPr>
          <w:p w14:paraId="28A7D306">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667" w:type="dxa"/>
            <w:noWrap w:val="0"/>
            <w:vAlign w:val="top"/>
          </w:tcPr>
          <w:p w14:paraId="08ED2DBA">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r>
      <w:tr w14:paraId="7F2F9A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16408741">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276" w:type="dxa"/>
            <w:noWrap w:val="0"/>
            <w:vAlign w:val="top"/>
          </w:tcPr>
          <w:p w14:paraId="4CFEDA46">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50" w:type="dxa"/>
            <w:noWrap w:val="0"/>
            <w:vAlign w:val="top"/>
          </w:tcPr>
          <w:p w14:paraId="427681F8">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243" w:type="dxa"/>
            <w:noWrap w:val="0"/>
            <w:vAlign w:val="top"/>
          </w:tcPr>
          <w:p w14:paraId="41469E6C">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50" w:type="dxa"/>
            <w:noWrap w:val="0"/>
            <w:vAlign w:val="top"/>
          </w:tcPr>
          <w:p w14:paraId="6FE81143">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667" w:type="dxa"/>
            <w:noWrap w:val="0"/>
            <w:vAlign w:val="top"/>
          </w:tcPr>
          <w:p w14:paraId="3E994212">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r>
      <w:tr w14:paraId="48FB98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4D020038">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276" w:type="dxa"/>
            <w:noWrap w:val="0"/>
            <w:vAlign w:val="top"/>
          </w:tcPr>
          <w:p w14:paraId="4328294D">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50" w:type="dxa"/>
            <w:noWrap w:val="0"/>
            <w:vAlign w:val="top"/>
          </w:tcPr>
          <w:p w14:paraId="1C2CBAFB">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243" w:type="dxa"/>
            <w:noWrap w:val="0"/>
            <w:vAlign w:val="top"/>
          </w:tcPr>
          <w:p w14:paraId="3E1CA477">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50" w:type="dxa"/>
            <w:noWrap w:val="0"/>
            <w:vAlign w:val="top"/>
          </w:tcPr>
          <w:p w14:paraId="2FB49661">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667" w:type="dxa"/>
            <w:noWrap w:val="0"/>
            <w:vAlign w:val="top"/>
          </w:tcPr>
          <w:p w14:paraId="39B68450">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r>
    </w:tbl>
    <w:p w14:paraId="2FCB9B35">
      <w:pPr>
        <w:spacing w:line="360" w:lineRule="auto"/>
        <w:rPr>
          <w:rFonts w:hint="eastAsia" w:eastAsia="仿宋_GB2312"/>
          <w:color w:val="auto"/>
          <w:sz w:val="30"/>
          <w:szCs w:val="30"/>
          <w:highlight w:val="none"/>
        </w:rPr>
      </w:pPr>
    </w:p>
    <w:p w14:paraId="7854EE0F">
      <w:pPr>
        <w:spacing w:before="120" w:beforeLines="50" w:after="120" w:afterLines="50" w:line="360" w:lineRule="auto"/>
        <w:jc w:val="left"/>
        <w:rPr>
          <w:rFonts w:eastAsia="黑体"/>
          <w:color w:val="auto"/>
          <w:sz w:val="30"/>
          <w:szCs w:val="30"/>
          <w:highlight w:val="none"/>
        </w:rPr>
      </w:pPr>
      <w:r>
        <w:rPr>
          <w:rFonts w:eastAsia="仿宋_GB2312"/>
          <w:color w:val="auto"/>
          <w:sz w:val="30"/>
          <w:szCs w:val="30"/>
          <w:highlight w:val="none"/>
        </w:rPr>
        <w:br w:type="page"/>
      </w:r>
      <w:r>
        <w:rPr>
          <w:rFonts w:hint="eastAsia" w:ascii="仿宋_GB2312" w:eastAsia="仿宋_GB2312" w:cs="仿宋_GB2312"/>
          <w:color w:val="auto"/>
          <w:sz w:val="30"/>
          <w:szCs w:val="30"/>
          <w:highlight w:val="none"/>
        </w:rPr>
        <w:t>附件4：</w:t>
      </w:r>
      <w:r>
        <w:rPr>
          <w:rFonts w:hint="eastAsia" w:ascii="仿宋_GB2312" w:eastAsia="仿宋_GB2312" w:cs="仿宋_GB2312"/>
          <w:color w:val="auto"/>
          <w:sz w:val="30"/>
          <w:szCs w:val="30"/>
          <w:highlight w:val="none"/>
          <w:lang w:val="en-US" w:eastAsia="zh-CN"/>
        </w:rPr>
        <w:t>承包人用于本工程施工的机械设备表</w:t>
      </w:r>
    </w:p>
    <w:p w14:paraId="0C368A1A">
      <w:pPr>
        <w:spacing w:before="120" w:beforeLines="50" w:after="120" w:afterLines="50" w:line="360" w:lineRule="auto"/>
        <w:jc w:val="center"/>
        <w:rPr>
          <w:rFonts w:eastAsia="黑体"/>
          <w:color w:val="auto"/>
          <w:sz w:val="30"/>
          <w:szCs w:val="30"/>
          <w:highlight w:val="none"/>
        </w:rPr>
      </w:pPr>
      <w:r>
        <w:rPr>
          <w:rFonts w:hint="eastAsia" w:eastAsia="黑体" w:cs="黑体"/>
          <w:color w:val="auto"/>
          <w:sz w:val="30"/>
          <w:szCs w:val="30"/>
          <w:highlight w:val="none"/>
        </w:rPr>
        <w:t>承包人用于本工程施工的机械设备表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0B9E2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noWrap w:val="0"/>
            <w:vAlign w:val="center"/>
          </w:tcPr>
          <w:p w14:paraId="24C4BE59">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序号</w:t>
            </w:r>
          </w:p>
        </w:tc>
        <w:tc>
          <w:tcPr>
            <w:tcW w:w="1418" w:type="dxa"/>
            <w:noWrap w:val="0"/>
            <w:vAlign w:val="center"/>
          </w:tcPr>
          <w:p w14:paraId="7DD63A04">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机械或设备名称</w:t>
            </w:r>
          </w:p>
        </w:tc>
        <w:tc>
          <w:tcPr>
            <w:tcW w:w="850" w:type="dxa"/>
            <w:noWrap w:val="0"/>
            <w:vAlign w:val="center"/>
          </w:tcPr>
          <w:p w14:paraId="7158D1C9">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规格型号</w:t>
            </w:r>
          </w:p>
        </w:tc>
        <w:tc>
          <w:tcPr>
            <w:tcW w:w="1058" w:type="dxa"/>
            <w:noWrap w:val="0"/>
            <w:vAlign w:val="center"/>
          </w:tcPr>
          <w:p w14:paraId="1315331D">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数量</w:t>
            </w:r>
          </w:p>
        </w:tc>
        <w:tc>
          <w:tcPr>
            <w:tcW w:w="880" w:type="dxa"/>
            <w:noWrap w:val="0"/>
            <w:vAlign w:val="center"/>
          </w:tcPr>
          <w:p w14:paraId="0018861A">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产地</w:t>
            </w:r>
          </w:p>
        </w:tc>
        <w:tc>
          <w:tcPr>
            <w:tcW w:w="1020" w:type="dxa"/>
            <w:noWrap w:val="0"/>
            <w:vAlign w:val="center"/>
          </w:tcPr>
          <w:p w14:paraId="61AE9672">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制造年份</w:t>
            </w:r>
          </w:p>
        </w:tc>
        <w:tc>
          <w:tcPr>
            <w:tcW w:w="1480" w:type="dxa"/>
            <w:noWrap w:val="0"/>
            <w:vAlign w:val="center"/>
          </w:tcPr>
          <w:p w14:paraId="0918DAAA">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额定功率（</w:t>
            </w:r>
            <w:r>
              <w:rPr>
                <w:rFonts w:hint="default" w:ascii="Calibri" w:hAnsi="Calibri" w:eastAsia="仿宋_GB2312" w:cs="Times New Roman"/>
                <w:color w:val="auto"/>
                <w:sz w:val="28"/>
                <w:szCs w:val="28"/>
                <w:highlight w:val="none"/>
              </w:rPr>
              <w:t>kW</w:t>
            </w:r>
            <w:r>
              <w:rPr>
                <w:rFonts w:hint="eastAsia" w:ascii="Calibri" w:hAnsi="Calibri" w:eastAsia="仿宋_GB2312" w:cs="仿宋_GB2312"/>
                <w:color w:val="auto"/>
                <w:sz w:val="28"/>
                <w:szCs w:val="28"/>
                <w:highlight w:val="none"/>
              </w:rPr>
              <w:t>）</w:t>
            </w:r>
          </w:p>
        </w:tc>
        <w:tc>
          <w:tcPr>
            <w:tcW w:w="1020" w:type="dxa"/>
            <w:noWrap w:val="0"/>
            <w:vAlign w:val="center"/>
          </w:tcPr>
          <w:p w14:paraId="084C4C6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生产能力</w:t>
            </w:r>
          </w:p>
        </w:tc>
        <w:tc>
          <w:tcPr>
            <w:tcW w:w="921" w:type="dxa"/>
            <w:noWrap w:val="0"/>
            <w:vAlign w:val="center"/>
          </w:tcPr>
          <w:p w14:paraId="5F36FD22">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备注</w:t>
            </w:r>
          </w:p>
        </w:tc>
      </w:tr>
      <w:tr w14:paraId="04D14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3768422C">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18" w:type="dxa"/>
            <w:noWrap w:val="0"/>
            <w:vAlign w:val="center"/>
          </w:tcPr>
          <w:p w14:paraId="7858AE5A">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0" w:type="dxa"/>
            <w:noWrap w:val="0"/>
            <w:vAlign w:val="center"/>
          </w:tcPr>
          <w:p w14:paraId="15A24DDC">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058" w:type="dxa"/>
            <w:noWrap w:val="0"/>
            <w:vAlign w:val="center"/>
          </w:tcPr>
          <w:p w14:paraId="07F54160">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80" w:type="dxa"/>
            <w:noWrap w:val="0"/>
            <w:vAlign w:val="center"/>
          </w:tcPr>
          <w:p w14:paraId="401892A0">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020" w:type="dxa"/>
            <w:noWrap w:val="0"/>
            <w:vAlign w:val="center"/>
          </w:tcPr>
          <w:p w14:paraId="744B5524">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80" w:type="dxa"/>
            <w:noWrap w:val="0"/>
            <w:vAlign w:val="center"/>
          </w:tcPr>
          <w:p w14:paraId="51B69EC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020" w:type="dxa"/>
            <w:noWrap w:val="0"/>
            <w:vAlign w:val="center"/>
          </w:tcPr>
          <w:p w14:paraId="702E5FB4">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921" w:type="dxa"/>
            <w:noWrap w:val="0"/>
            <w:vAlign w:val="center"/>
          </w:tcPr>
          <w:p w14:paraId="3E855A7E">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59033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6AA77EAD">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18" w:type="dxa"/>
            <w:noWrap w:val="0"/>
            <w:vAlign w:val="center"/>
          </w:tcPr>
          <w:p w14:paraId="23202A7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0" w:type="dxa"/>
            <w:noWrap w:val="0"/>
            <w:vAlign w:val="center"/>
          </w:tcPr>
          <w:p w14:paraId="0E1254C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058" w:type="dxa"/>
            <w:noWrap w:val="0"/>
            <w:vAlign w:val="center"/>
          </w:tcPr>
          <w:p w14:paraId="563E3978">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80" w:type="dxa"/>
            <w:noWrap w:val="0"/>
            <w:vAlign w:val="center"/>
          </w:tcPr>
          <w:p w14:paraId="08AB07F8">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020" w:type="dxa"/>
            <w:noWrap w:val="0"/>
            <w:vAlign w:val="center"/>
          </w:tcPr>
          <w:p w14:paraId="1BE78648">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80" w:type="dxa"/>
            <w:noWrap w:val="0"/>
            <w:vAlign w:val="center"/>
          </w:tcPr>
          <w:p w14:paraId="31214FE1">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020" w:type="dxa"/>
            <w:noWrap w:val="0"/>
            <w:vAlign w:val="center"/>
          </w:tcPr>
          <w:p w14:paraId="510E7510">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921" w:type="dxa"/>
            <w:noWrap w:val="0"/>
            <w:vAlign w:val="center"/>
          </w:tcPr>
          <w:p w14:paraId="07D63D98">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10A6F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7982AB1A">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18" w:type="dxa"/>
            <w:noWrap w:val="0"/>
            <w:vAlign w:val="center"/>
          </w:tcPr>
          <w:p w14:paraId="159292F6">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0" w:type="dxa"/>
            <w:noWrap w:val="0"/>
            <w:vAlign w:val="center"/>
          </w:tcPr>
          <w:p w14:paraId="71DF5FE8">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058" w:type="dxa"/>
            <w:noWrap w:val="0"/>
            <w:vAlign w:val="center"/>
          </w:tcPr>
          <w:p w14:paraId="035E1AB8">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80" w:type="dxa"/>
            <w:noWrap w:val="0"/>
            <w:vAlign w:val="center"/>
          </w:tcPr>
          <w:p w14:paraId="11ADE772">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020" w:type="dxa"/>
            <w:noWrap w:val="0"/>
            <w:vAlign w:val="center"/>
          </w:tcPr>
          <w:p w14:paraId="3C96D884">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80" w:type="dxa"/>
            <w:noWrap w:val="0"/>
            <w:vAlign w:val="center"/>
          </w:tcPr>
          <w:p w14:paraId="0EFB655C">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020" w:type="dxa"/>
            <w:noWrap w:val="0"/>
            <w:vAlign w:val="center"/>
          </w:tcPr>
          <w:p w14:paraId="16C210F8">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921" w:type="dxa"/>
            <w:noWrap w:val="0"/>
            <w:vAlign w:val="center"/>
          </w:tcPr>
          <w:p w14:paraId="354B05B8">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6AD8C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51FCFF71">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18" w:type="dxa"/>
            <w:noWrap w:val="0"/>
            <w:vAlign w:val="center"/>
          </w:tcPr>
          <w:p w14:paraId="128EC0FD">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0" w:type="dxa"/>
            <w:noWrap w:val="0"/>
            <w:vAlign w:val="center"/>
          </w:tcPr>
          <w:p w14:paraId="0ABA522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058" w:type="dxa"/>
            <w:noWrap w:val="0"/>
            <w:vAlign w:val="center"/>
          </w:tcPr>
          <w:p w14:paraId="6C8EEFF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80" w:type="dxa"/>
            <w:noWrap w:val="0"/>
            <w:vAlign w:val="center"/>
          </w:tcPr>
          <w:p w14:paraId="0470DB8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020" w:type="dxa"/>
            <w:noWrap w:val="0"/>
            <w:vAlign w:val="center"/>
          </w:tcPr>
          <w:p w14:paraId="6C4C0A0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80" w:type="dxa"/>
            <w:noWrap w:val="0"/>
            <w:vAlign w:val="center"/>
          </w:tcPr>
          <w:p w14:paraId="29BD3A9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020" w:type="dxa"/>
            <w:noWrap w:val="0"/>
            <w:vAlign w:val="center"/>
          </w:tcPr>
          <w:p w14:paraId="07A4ECFE">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921" w:type="dxa"/>
            <w:noWrap w:val="0"/>
            <w:vAlign w:val="center"/>
          </w:tcPr>
          <w:p w14:paraId="761D325D">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38194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1CDEE23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18" w:type="dxa"/>
            <w:noWrap w:val="0"/>
            <w:vAlign w:val="center"/>
          </w:tcPr>
          <w:p w14:paraId="04A0599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0" w:type="dxa"/>
            <w:noWrap w:val="0"/>
            <w:vAlign w:val="center"/>
          </w:tcPr>
          <w:p w14:paraId="4281BB32">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058" w:type="dxa"/>
            <w:noWrap w:val="0"/>
            <w:vAlign w:val="center"/>
          </w:tcPr>
          <w:p w14:paraId="2AA1C63C">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80" w:type="dxa"/>
            <w:noWrap w:val="0"/>
            <w:vAlign w:val="center"/>
          </w:tcPr>
          <w:p w14:paraId="4C03A574">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020" w:type="dxa"/>
            <w:noWrap w:val="0"/>
            <w:vAlign w:val="center"/>
          </w:tcPr>
          <w:p w14:paraId="7859BF5D">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80" w:type="dxa"/>
            <w:noWrap w:val="0"/>
            <w:vAlign w:val="center"/>
          </w:tcPr>
          <w:p w14:paraId="178B7AB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020" w:type="dxa"/>
            <w:noWrap w:val="0"/>
            <w:vAlign w:val="center"/>
          </w:tcPr>
          <w:p w14:paraId="1B67523C">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921" w:type="dxa"/>
            <w:noWrap w:val="0"/>
            <w:vAlign w:val="center"/>
          </w:tcPr>
          <w:p w14:paraId="7265558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35230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21E956D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18" w:type="dxa"/>
            <w:noWrap w:val="0"/>
            <w:vAlign w:val="center"/>
          </w:tcPr>
          <w:p w14:paraId="07292F1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0" w:type="dxa"/>
            <w:noWrap w:val="0"/>
            <w:vAlign w:val="center"/>
          </w:tcPr>
          <w:p w14:paraId="3ABF4FC6">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058" w:type="dxa"/>
            <w:noWrap w:val="0"/>
            <w:vAlign w:val="center"/>
          </w:tcPr>
          <w:p w14:paraId="2414218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80" w:type="dxa"/>
            <w:noWrap w:val="0"/>
            <w:vAlign w:val="center"/>
          </w:tcPr>
          <w:p w14:paraId="420A2ACA">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020" w:type="dxa"/>
            <w:noWrap w:val="0"/>
            <w:vAlign w:val="center"/>
          </w:tcPr>
          <w:p w14:paraId="1FCB6E7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80" w:type="dxa"/>
            <w:noWrap w:val="0"/>
            <w:vAlign w:val="center"/>
          </w:tcPr>
          <w:p w14:paraId="321710C2">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020" w:type="dxa"/>
            <w:noWrap w:val="0"/>
            <w:vAlign w:val="center"/>
          </w:tcPr>
          <w:p w14:paraId="2B46C2A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921" w:type="dxa"/>
            <w:noWrap w:val="0"/>
            <w:vAlign w:val="center"/>
          </w:tcPr>
          <w:p w14:paraId="54160A96">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1A400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50384668">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18" w:type="dxa"/>
            <w:noWrap w:val="0"/>
            <w:vAlign w:val="center"/>
          </w:tcPr>
          <w:p w14:paraId="22261AB8">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0" w:type="dxa"/>
            <w:noWrap w:val="0"/>
            <w:vAlign w:val="center"/>
          </w:tcPr>
          <w:p w14:paraId="54DCA8D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058" w:type="dxa"/>
            <w:noWrap w:val="0"/>
            <w:vAlign w:val="center"/>
          </w:tcPr>
          <w:p w14:paraId="16434E54">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80" w:type="dxa"/>
            <w:noWrap w:val="0"/>
            <w:vAlign w:val="center"/>
          </w:tcPr>
          <w:p w14:paraId="74F7CC68">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020" w:type="dxa"/>
            <w:noWrap w:val="0"/>
            <w:vAlign w:val="center"/>
          </w:tcPr>
          <w:p w14:paraId="64D283ED">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80" w:type="dxa"/>
            <w:noWrap w:val="0"/>
            <w:vAlign w:val="center"/>
          </w:tcPr>
          <w:p w14:paraId="53F4D379">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020" w:type="dxa"/>
            <w:noWrap w:val="0"/>
            <w:vAlign w:val="center"/>
          </w:tcPr>
          <w:p w14:paraId="401304F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921" w:type="dxa"/>
            <w:noWrap w:val="0"/>
            <w:vAlign w:val="center"/>
          </w:tcPr>
          <w:p w14:paraId="506E484E">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1CDFE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7BAEE68E">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18" w:type="dxa"/>
            <w:noWrap w:val="0"/>
            <w:vAlign w:val="center"/>
          </w:tcPr>
          <w:p w14:paraId="176268CD">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0" w:type="dxa"/>
            <w:noWrap w:val="0"/>
            <w:vAlign w:val="center"/>
          </w:tcPr>
          <w:p w14:paraId="2E2ED53C">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058" w:type="dxa"/>
            <w:noWrap w:val="0"/>
            <w:vAlign w:val="center"/>
          </w:tcPr>
          <w:p w14:paraId="2BF71866">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80" w:type="dxa"/>
            <w:noWrap w:val="0"/>
            <w:vAlign w:val="center"/>
          </w:tcPr>
          <w:p w14:paraId="612CF34A">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020" w:type="dxa"/>
            <w:noWrap w:val="0"/>
            <w:vAlign w:val="center"/>
          </w:tcPr>
          <w:p w14:paraId="564F856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80" w:type="dxa"/>
            <w:noWrap w:val="0"/>
            <w:vAlign w:val="center"/>
          </w:tcPr>
          <w:p w14:paraId="153908B6">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020" w:type="dxa"/>
            <w:noWrap w:val="0"/>
            <w:vAlign w:val="center"/>
          </w:tcPr>
          <w:p w14:paraId="1CBF24DA">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921" w:type="dxa"/>
            <w:noWrap w:val="0"/>
            <w:vAlign w:val="center"/>
          </w:tcPr>
          <w:p w14:paraId="34E7BF21">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0F130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18770AB4">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18" w:type="dxa"/>
            <w:noWrap w:val="0"/>
            <w:vAlign w:val="top"/>
          </w:tcPr>
          <w:p w14:paraId="70D360C3">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850" w:type="dxa"/>
            <w:noWrap w:val="0"/>
            <w:vAlign w:val="top"/>
          </w:tcPr>
          <w:p w14:paraId="72435EE8">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058" w:type="dxa"/>
            <w:noWrap w:val="0"/>
            <w:vAlign w:val="top"/>
          </w:tcPr>
          <w:p w14:paraId="75BD70A7">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880" w:type="dxa"/>
            <w:noWrap w:val="0"/>
            <w:vAlign w:val="top"/>
          </w:tcPr>
          <w:p w14:paraId="5D2828E5">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020" w:type="dxa"/>
            <w:noWrap w:val="0"/>
            <w:vAlign w:val="top"/>
          </w:tcPr>
          <w:p w14:paraId="7AD674C4">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80" w:type="dxa"/>
            <w:noWrap w:val="0"/>
            <w:vAlign w:val="top"/>
          </w:tcPr>
          <w:p w14:paraId="01639DE3">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020" w:type="dxa"/>
            <w:noWrap w:val="0"/>
            <w:vAlign w:val="top"/>
          </w:tcPr>
          <w:p w14:paraId="04864AD1">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921" w:type="dxa"/>
            <w:noWrap w:val="0"/>
            <w:vAlign w:val="top"/>
          </w:tcPr>
          <w:p w14:paraId="759682EC">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r>
      <w:tr w14:paraId="612AB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3EA1EA86">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18" w:type="dxa"/>
            <w:noWrap w:val="0"/>
            <w:vAlign w:val="center"/>
          </w:tcPr>
          <w:p w14:paraId="5F3BCAAA">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50" w:type="dxa"/>
            <w:noWrap w:val="0"/>
            <w:vAlign w:val="center"/>
          </w:tcPr>
          <w:p w14:paraId="192F7C5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058" w:type="dxa"/>
            <w:noWrap w:val="0"/>
            <w:vAlign w:val="center"/>
          </w:tcPr>
          <w:p w14:paraId="4F4800A8">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880" w:type="dxa"/>
            <w:noWrap w:val="0"/>
            <w:vAlign w:val="center"/>
          </w:tcPr>
          <w:p w14:paraId="26421F57">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020" w:type="dxa"/>
            <w:noWrap w:val="0"/>
            <w:vAlign w:val="center"/>
          </w:tcPr>
          <w:p w14:paraId="258DA979">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480" w:type="dxa"/>
            <w:noWrap w:val="0"/>
            <w:vAlign w:val="center"/>
          </w:tcPr>
          <w:p w14:paraId="58FCAC82">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020" w:type="dxa"/>
            <w:noWrap w:val="0"/>
            <w:vAlign w:val="center"/>
          </w:tcPr>
          <w:p w14:paraId="2F900FD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921" w:type="dxa"/>
            <w:noWrap w:val="0"/>
            <w:vAlign w:val="center"/>
          </w:tcPr>
          <w:p w14:paraId="2B1A0F89">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1408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148D7458">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18" w:type="dxa"/>
            <w:noWrap w:val="0"/>
            <w:vAlign w:val="top"/>
          </w:tcPr>
          <w:p w14:paraId="41460CF8">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850" w:type="dxa"/>
            <w:noWrap w:val="0"/>
            <w:vAlign w:val="top"/>
          </w:tcPr>
          <w:p w14:paraId="508AD738">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058" w:type="dxa"/>
            <w:noWrap w:val="0"/>
            <w:vAlign w:val="top"/>
          </w:tcPr>
          <w:p w14:paraId="77760D49">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880" w:type="dxa"/>
            <w:noWrap w:val="0"/>
            <w:vAlign w:val="top"/>
          </w:tcPr>
          <w:p w14:paraId="5B590FA2">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020" w:type="dxa"/>
            <w:noWrap w:val="0"/>
            <w:vAlign w:val="top"/>
          </w:tcPr>
          <w:p w14:paraId="7410DA1E">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80" w:type="dxa"/>
            <w:noWrap w:val="0"/>
            <w:vAlign w:val="top"/>
          </w:tcPr>
          <w:p w14:paraId="52A907C5">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020" w:type="dxa"/>
            <w:noWrap w:val="0"/>
            <w:vAlign w:val="top"/>
          </w:tcPr>
          <w:p w14:paraId="760934CE">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921" w:type="dxa"/>
            <w:noWrap w:val="0"/>
            <w:vAlign w:val="top"/>
          </w:tcPr>
          <w:p w14:paraId="5735A771">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r>
      <w:tr w14:paraId="484AB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0D0813C6">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18" w:type="dxa"/>
            <w:noWrap w:val="0"/>
            <w:vAlign w:val="top"/>
          </w:tcPr>
          <w:p w14:paraId="1AE39318">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850" w:type="dxa"/>
            <w:noWrap w:val="0"/>
            <w:vAlign w:val="top"/>
          </w:tcPr>
          <w:p w14:paraId="32BF2026">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058" w:type="dxa"/>
            <w:noWrap w:val="0"/>
            <w:vAlign w:val="top"/>
          </w:tcPr>
          <w:p w14:paraId="470C769E">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880" w:type="dxa"/>
            <w:noWrap w:val="0"/>
            <w:vAlign w:val="top"/>
          </w:tcPr>
          <w:p w14:paraId="13499F64">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020" w:type="dxa"/>
            <w:noWrap w:val="0"/>
            <w:vAlign w:val="top"/>
          </w:tcPr>
          <w:p w14:paraId="7C9FCC80">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80" w:type="dxa"/>
            <w:noWrap w:val="0"/>
            <w:vAlign w:val="top"/>
          </w:tcPr>
          <w:p w14:paraId="13724C68">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020" w:type="dxa"/>
            <w:noWrap w:val="0"/>
            <w:vAlign w:val="top"/>
          </w:tcPr>
          <w:p w14:paraId="7B4985E0">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921" w:type="dxa"/>
            <w:noWrap w:val="0"/>
            <w:vAlign w:val="top"/>
          </w:tcPr>
          <w:p w14:paraId="28C53A6B">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r>
      <w:tr w14:paraId="0EFBC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52213EF3">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18" w:type="dxa"/>
            <w:noWrap w:val="0"/>
            <w:vAlign w:val="top"/>
          </w:tcPr>
          <w:p w14:paraId="388CF3B5">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850" w:type="dxa"/>
            <w:noWrap w:val="0"/>
            <w:vAlign w:val="top"/>
          </w:tcPr>
          <w:p w14:paraId="633BE606">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058" w:type="dxa"/>
            <w:noWrap w:val="0"/>
            <w:vAlign w:val="top"/>
          </w:tcPr>
          <w:p w14:paraId="55D5A9E7">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880" w:type="dxa"/>
            <w:noWrap w:val="0"/>
            <w:vAlign w:val="top"/>
          </w:tcPr>
          <w:p w14:paraId="657122C2">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020" w:type="dxa"/>
            <w:noWrap w:val="0"/>
            <w:vAlign w:val="top"/>
          </w:tcPr>
          <w:p w14:paraId="0D81FBFF">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80" w:type="dxa"/>
            <w:noWrap w:val="0"/>
            <w:vAlign w:val="top"/>
          </w:tcPr>
          <w:p w14:paraId="12580E9F">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020" w:type="dxa"/>
            <w:noWrap w:val="0"/>
            <w:vAlign w:val="top"/>
          </w:tcPr>
          <w:p w14:paraId="5E0C5EF3">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921" w:type="dxa"/>
            <w:noWrap w:val="0"/>
            <w:vAlign w:val="top"/>
          </w:tcPr>
          <w:p w14:paraId="4B7DFB75">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r>
      <w:tr w14:paraId="4839A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0DD0978F">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18" w:type="dxa"/>
            <w:noWrap w:val="0"/>
            <w:vAlign w:val="top"/>
          </w:tcPr>
          <w:p w14:paraId="26F1EBE0">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850" w:type="dxa"/>
            <w:noWrap w:val="0"/>
            <w:vAlign w:val="top"/>
          </w:tcPr>
          <w:p w14:paraId="349D1DA3">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058" w:type="dxa"/>
            <w:noWrap w:val="0"/>
            <w:vAlign w:val="top"/>
          </w:tcPr>
          <w:p w14:paraId="5D697F79">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880" w:type="dxa"/>
            <w:noWrap w:val="0"/>
            <w:vAlign w:val="top"/>
          </w:tcPr>
          <w:p w14:paraId="2C4F9D8C">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020" w:type="dxa"/>
            <w:noWrap w:val="0"/>
            <w:vAlign w:val="top"/>
          </w:tcPr>
          <w:p w14:paraId="04BB51CB">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80" w:type="dxa"/>
            <w:noWrap w:val="0"/>
            <w:vAlign w:val="top"/>
          </w:tcPr>
          <w:p w14:paraId="67C571C7">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020" w:type="dxa"/>
            <w:noWrap w:val="0"/>
            <w:vAlign w:val="top"/>
          </w:tcPr>
          <w:p w14:paraId="6584C896">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921" w:type="dxa"/>
            <w:noWrap w:val="0"/>
            <w:vAlign w:val="top"/>
          </w:tcPr>
          <w:p w14:paraId="375B24F5">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r>
      <w:tr w14:paraId="7D20E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306A1B39">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18" w:type="dxa"/>
            <w:noWrap w:val="0"/>
            <w:vAlign w:val="top"/>
          </w:tcPr>
          <w:p w14:paraId="00D76DFD">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850" w:type="dxa"/>
            <w:noWrap w:val="0"/>
            <w:vAlign w:val="top"/>
          </w:tcPr>
          <w:p w14:paraId="3DCAD932">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058" w:type="dxa"/>
            <w:noWrap w:val="0"/>
            <w:vAlign w:val="top"/>
          </w:tcPr>
          <w:p w14:paraId="7F03A084">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880" w:type="dxa"/>
            <w:noWrap w:val="0"/>
            <w:vAlign w:val="top"/>
          </w:tcPr>
          <w:p w14:paraId="7976881C">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020" w:type="dxa"/>
            <w:noWrap w:val="0"/>
            <w:vAlign w:val="top"/>
          </w:tcPr>
          <w:p w14:paraId="1DE68AA2">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80" w:type="dxa"/>
            <w:noWrap w:val="0"/>
            <w:vAlign w:val="top"/>
          </w:tcPr>
          <w:p w14:paraId="4DA31323">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020" w:type="dxa"/>
            <w:noWrap w:val="0"/>
            <w:vAlign w:val="top"/>
          </w:tcPr>
          <w:p w14:paraId="1BD71EE2">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921" w:type="dxa"/>
            <w:noWrap w:val="0"/>
            <w:vAlign w:val="top"/>
          </w:tcPr>
          <w:p w14:paraId="2A5FCAE3">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r>
      <w:tr w14:paraId="62477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66EC0190">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18" w:type="dxa"/>
            <w:noWrap w:val="0"/>
            <w:vAlign w:val="top"/>
          </w:tcPr>
          <w:p w14:paraId="4547B70C">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850" w:type="dxa"/>
            <w:noWrap w:val="0"/>
            <w:vAlign w:val="top"/>
          </w:tcPr>
          <w:p w14:paraId="0324612E">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058" w:type="dxa"/>
            <w:noWrap w:val="0"/>
            <w:vAlign w:val="top"/>
          </w:tcPr>
          <w:p w14:paraId="074FCB4B">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880" w:type="dxa"/>
            <w:noWrap w:val="0"/>
            <w:vAlign w:val="top"/>
          </w:tcPr>
          <w:p w14:paraId="5939D9F0">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020" w:type="dxa"/>
            <w:noWrap w:val="0"/>
            <w:vAlign w:val="top"/>
          </w:tcPr>
          <w:p w14:paraId="54E1F7F0">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80" w:type="dxa"/>
            <w:noWrap w:val="0"/>
            <w:vAlign w:val="top"/>
          </w:tcPr>
          <w:p w14:paraId="3ED19214">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020" w:type="dxa"/>
            <w:noWrap w:val="0"/>
            <w:vAlign w:val="top"/>
          </w:tcPr>
          <w:p w14:paraId="41D96E28">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921" w:type="dxa"/>
            <w:noWrap w:val="0"/>
            <w:vAlign w:val="top"/>
          </w:tcPr>
          <w:p w14:paraId="676DFE76">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r>
      <w:tr w14:paraId="2BB56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1A301FBD">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18" w:type="dxa"/>
            <w:noWrap w:val="0"/>
            <w:vAlign w:val="top"/>
          </w:tcPr>
          <w:p w14:paraId="4DD584E4">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850" w:type="dxa"/>
            <w:noWrap w:val="0"/>
            <w:vAlign w:val="top"/>
          </w:tcPr>
          <w:p w14:paraId="24B9C5C9">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058" w:type="dxa"/>
            <w:noWrap w:val="0"/>
            <w:vAlign w:val="top"/>
          </w:tcPr>
          <w:p w14:paraId="3C3493CB">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880" w:type="dxa"/>
            <w:noWrap w:val="0"/>
            <w:vAlign w:val="top"/>
          </w:tcPr>
          <w:p w14:paraId="18A38257">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020" w:type="dxa"/>
            <w:noWrap w:val="0"/>
            <w:vAlign w:val="top"/>
          </w:tcPr>
          <w:p w14:paraId="12E87FF7">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80" w:type="dxa"/>
            <w:noWrap w:val="0"/>
            <w:vAlign w:val="top"/>
          </w:tcPr>
          <w:p w14:paraId="5ED23E7F">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020" w:type="dxa"/>
            <w:noWrap w:val="0"/>
            <w:vAlign w:val="top"/>
          </w:tcPr>
          <w:p w14:paraId="41822C4A">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921" w:type="dxa"/>
            <w:noWrap w:val="0"/>
            <w:vAlign w:val="top"/>
          </w:tcPr>
          <w:p w14:paraId="10FF18E8">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r>
      <w:tr w14:paraId="7FD55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3FA878D7">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18" w:type="dxa"/>
            <w:noWrap w:val="0"/>
            <w:vAlign w:val="top"/>
          </w:tcPr>
          <w:p w14:paraId="79A6C455">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850" w:type="dxa"/>
            <w:noWrap w:val="0"/>
            <w:vAlign w:val="top"/>
          </w:tcPr>
          <w:p w14:paraId="4308012A">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058" w:type="dxa"/>
            <w:noWrap w:val="0"/>
            <w:vAlign w:val="top"/>
          </w:tcPr>
          <w:p w14:paraId="025481ED">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880" w:type="dxa"/>
            <w:noWrap w:val="0"/>
            <w:vAlign w:val="top"/>
          </w:tcPr>
          <w:p w14:paraId="69AE4CB0">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020" w:type="dxa"/>
            <w:noWrap w:val="0"/>
            <w:vAlign w:val="top"/>
          </w:tcPr>
          <w:p w14:paraId="08B24AEA">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80" w:type="dxa"/>
            <w:noWrap w:val="0"/>
            <w:vAlign w:val="top"/>
          </w:tcPr>
          <w:p w14:paraId="3705904A">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020" w:type="dxa"/>
            <w:noWrap w:val="0"/>
            <w:vAlign w:val="top"/>
          </w:tcPr>
          <w:p w14:paraId="44D2C589">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921" w:type="dxa"/>
            <w:noWrap w:val="0"/>
            <w:vAlign w:val="top"/>
          </w:tcPr>
          <w:p w14:paraId="1E61932A">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r>
      <w:tr w14:paraId="51D17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38DDCCC6">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18" w:type="dxa"/>
            <w:noWrap w:val="0"/>
            <w:vAlign w:val="top"/>
          </w:tcPr>
          <w:p w14:paraId="3E1DF137">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850" w:type="dxa"/>
            <w:noWrap w:val="0"/>
            <w:vAlign w:val="top"/>
          </w:tcPr>
          <w:p w14:paraId="52B41FF2">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058" w:type="dxa"/>
            <w:noWrap w:val="0"/>
            <w:vAlign w:val="top"/>
          </w:tcPr>
          <w:p w14:paraId="162414D7">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880" w:type="dxa"/>
            <w:noWrap w:val="0"/>
            <w:vAlign w:val="top"/>
          </w:tcPr>
          <w:p w14:paraId="6591007B">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020" w:type="dxa"/>
            <w:noWrap w:val="0"/>
            <w:vAlign w:val="top"/>
          </w:tcPr>
          <w:p w14:paraId="656D0B06">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480" w:type="dxa"/>
            <w:noWrap w:val="0"/>
            <w:vAlign w:val="top"/>
          </w:tcPr>
          <w:p w14:paraId="65D7DAA1">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1020" w:type="dxa"/>
            <w:noWrap w:val="0"/>
            <w:vAlign w:val="top"/>
          </w:tcPr>
          <w:p w14:paraId="11E333B3">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c>
          <w:tcPr>
            <w:tcW w:w="921" w:type="dxa"/>
            <w:noWrap w:val="0"/>
            <w:vAlign w:val="top"/>
          </w:tcPr>
          <w:p w14:paraId="19383F2D">
            <w:pPr>
              <w:keepNext w:val="0"/>
              <w:keepLines w:val="0"/>
              <w:suppressLineNumbers w:val="0"/>
              <w:spacing w:before="0" w:beforeAutospacing="0" w:after="0" w:afterAutospacing="0" w:line="360" w:lineRule="auto"/>
              <w:ind w:left="0" w:right="0"/>
              <w:rPr>
                <w:rFonts w:hint="default" w:ascii="Calibri" w:hAnsi="Calibri" w:eastAsia="仿宋_GB2312" w:cs="Times New Roman"/>
                <w:color w:val="auto"/>
                <w:sz w:val="30"/>
                <w:szCs w:val="30"/>
                <w:highlight w:val="none"/>
              </w:rPr>
            </w:pPr>
          </w:p>
        </w:tc>
      </w:tr>
    </w:tbl>
    <w:p w14:paraId="394E2D3F">
      <w:pPr>
        <w:spacing w:line="360" w:lineRule="auto"/>
        <w:rPr>
          <w:rFonts w:eastAsia="仿宋_GB2312"/>
          <w:color w:val="auto"/>
          <w:sz w:val="30"/>
          <w:szCs w:val="30"/>
          <w:highlight w:val="none"/>
        </w:rPr>
        <w:sectPr>
          <w:pgSz w:w="11907" w:h="16840"/>
          <w:pgMar w:top="1440" w:right="1440" w:bottom="1440" w:left="1797" w:header="851" w:footer="851" w:gutter="0"/>
          <w:cols w:space="720" w:num="1"/>
          <w:docGrid w:linePitch="312" w:charSpace="0"/>
        </w:sectPr>
      </w:pPr>
    </w:p>
    <w:p w14:paraId="685ABC29">
      <w:pPr>
        <w:spacing w:before="120" w:beforeLines="50" w:after="120" w:afterLines="50" w:line="360" w:lineRule="auto"/>
        <w:jc w:val="left"/>
        <w:rPr>
          <w:rFonts w:hint="eastAsia"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附</w:t>
      </w:r>
      <w:bookmarkStart w:id="1352" w:name="_Toc296891268"/>
      <w:bookmarkStart w:id="1353" w:name="_Toc296944567"/>
      <w:bookmarkStart w:id="1354" w:name="_Toc296346729"/>
      <w:bookmarkStart w:id="1355" w:name="_Toc296347227"/>
      <w:bookmarkStart w:id="1356" w:name="_Toc296503228"/>
      <w:bookmarkStart w:id="1357" w:name="_Toc267261699"/>
      <w:bookmarkStart w:id="1358" w:name="_Toc296891056"/>
      <w:r>
        <w:rPr>
          <w:rFonts w:hint="eastAsia" w:ascii="仿宋_GB2312" w:eastAsia="仿宋_GB2312" w:cs="仿宋_GB2312"/>
          <w:color w:val="auto"/>
          <w:sz w:val="30"/>
          <w:szCs w:val="30"/>
          <w:highlight w:val="none"/>
        </w:rPr>
        <w:t>件5：承包人主要施工管理人员表</w:t>
      </w:r>
    </w:p>
    <w:bookmarkEnd w:id="1352"/>
    <w:bookmarkEnd w:id="1353"/>
    <w:bookmarkEnd w:id="1354"/>
    <w:bookmarkEnd w:id="1355"/>
    <w:bookmarkEnd w:id="1356"/>
    <w:bookmarkEnd w:id="1357"/>
    <w:bookmarkEnd w:id="1358"/>
    <w:p w14:paraId="52899347">
      <w:pPr>
        <w:spacing w:before="120" w:beforeLines="50" w:after="120" w:afterLines="50" w:line="360" w:lineRule="auto"/>
        <w:jc w:val="center"/>
        <w:rPr>
          <w:rFonts w:eastAsia="黑体"/>
          <w:color w:val="auto"/>
          <w:sz w:val="30"/>
          <w:szCs w:val="30"/>
          <w:highlight w:val="none"/>
        </w:rPr>
      </w:pPr>
      <w:r>
        <w:rPr>
          <w:rFonts w:hint="eastAsia" w:eastAsia="黑体" w:cs="黑体"/>
          <w:color w:val="auto"/>
          <w:sz w:val="30"/>
          <w:szCs w:val="30"/>
          <w:highlight w:val="none"/>
        </w:rPr>
        <w:t>承包人主要施工管理人员表</w:t>
      </w:r>
    </w:p>
    <w:tbl>
      <w:tblPr>
        <w:tblStyle w:val="22"/>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0FB4B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41FB0AB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名</w:t>
            </w:r>
            <w:r>
              <w:rPr>
                <w:rFonts w:hint="default" w:ascii="Calibri" w:hAnsi="Calibri" w:eastAsia="仿宋_GB2312" w:cs="Times New Roman"/>
                <w:color w:val="auto"/>
                <w:sz w:val="28"/>
                <w:szCs w:val="28"/>
                <w:highlight w:val="none"/>
              </w:rPr>
              <w:t xml:space="preserve">    </w:t>
            </w:r>
            <w:r>
              <w:rPr>
                <w:rFonts w:hint="eastAsia" w:ascii="Calibri" w:hAnsi="Calibri" w:eastAsia="仿宋_GB2312" w:cs="仿宋_GB2312"/>
                <w:color w:val="auto"/>
                <w:sz w:val="28"/>
                <w:szCs w:val="28"/>
                <w:highlight w:val="none"/>
              </w:rPr>
              <w:t>称</w:t>
            </w:r>
          </w:p>
        </w:tc>
        <w:tc>
          <w:tcPr>
            <w:tcW w:w="1418" w:type="dxa"/>
            <w:noWrap w:val="0"/>
            <w:vAlign w:val="center"/>
          </w:tcPr>
          <w:p w14:paraId="7D48BC1D">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姓名</w:t>
            </w:r>
          </w:p>
        </w:tc>
        <w:tc>
          <w:tcPr>
            <w:tcW w:w="1134" w:type="dxa"/>
            <w:noWrap w:val="0"/>
            <w:vAlign w:val="center"/>
          </w:tcPr>
          <w:p w14:paraId="5C123671">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r>
              <w:rPr>
                <w:rFonts w:hint="eastAsia" w:ascii="Calibri" w:hAnsi="Calibri" w:eastAsia="仿宋_GB2312" w:cs="仿宋_GB2312"/>
                <w:color w:val="auto"/>
                <w:sz w:val="30"/>
                <w:szCs w:val="30"/>
                <w:highlight w:val="none"/>
              </w:rPr>
              <w:t>职务</w:t>
            </w:r>
          </w:p>
        </w:tc>
        <w:tc>
          <w:tcPr>
            <w:tcW w:w="1134" w:type="dxa"/>
            <w:noWrap w:val="0"/>
            <w:vAlign w:val="center"/>
          </w:tcPr>
          <w:p w14:paraId="6F3DAEEE">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r>
              <w:rPr>
                <w:rFonts w:hint="eastAsia" w:ascii="Calibri" w:hAnsi="Calibri" w:eastAsia="仿宋_GB2312" w:cs="仿宋_GB2312"/>
                <w:color w:val="auto"/>
                <w:sz w:val="30"/>
                <w:szCs w:val="30"/>
                <w:highlight w:val="none"/>
              </w:rPr>
              <w:t>职称</w:t>
            </w:r>
          </w:p>
        </w:tc>
        <w:tc>
          <w:tcPr>
            <w:tcW w:w="4252" w:type="dxa"/>
            <w:noWrap w:val="0"/>
            <w:vAlign w:val="center"/>
          </w:tcPr>
          <w:p w14:paraId="6E0EC569">
            <w:pPr>
              <w:pStyle w:val="12"/>
              <w:keepNext/>
              <w:keepLines w:val="0"/>
              <w:suppressLineNumbers w:val="0"/>
              <w:spacing w:before="0" w:beforeAutospacing="0" w:after="0" w:afterAutospacing="0" w:line="360" w:lineRule="auto"/>
              <w:ind w:left="0" w:leftChars="0" w:right="63"/>
              <w:rPr>
                <w:rFonts w:hint="default" w:ascii="Calibri" w:hAnsi="Calibri" w:eastAsia="仿宋_GB2312" w:cs="Times New Roman"/>
                <w:color w:val="auto"/>
                <w:sz w:val="30"/>
                <w:szCs w:val="30"/>
                <w:highlight w:val="none"/>
              </w:rPr>
            </w:pPr>
            <w:r>
              <w:rPr>
                <w:rFonts w:hint="eastAsia" w:ascii="Calibri" w:hAnsi="Calibri" w:eastAsia="仿宋_GB2312" w:cs="仿宋_GB2312"/>
                <w:color w:val="auto"/>
                <w:sz w:val="30"/>
                <w:szCs w:val="30"/>
                <w:highlight w:val="none"/>
              </w:rPr>
              <w:t>计划进场时间</w:t>
            </w:r>
          </w:p>
        </w:tc>
      </w:tr>
      <w:tr w14:paraId="4533D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3140C752">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一、总部人员</w:t>
            </w:r>
          </w:p>
        </w:tc>
      </w:tr>
      <w:tr w14:paraId="2F93E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500D7AA">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项目主管</w:t>
            </w:r>
          </w:p>
        </w:tc>
        <w:tc>
          <w:tcPr>
            <w:tcW w:w="1418" w:type="dxa"/>
            <w:noWrap w:val="0"/>
            <w:vAlign w:val="center"/>
          </w:tcPr>
          <w:p w14:paraId="5D65E5B7">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2E898477">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7DA35B9A">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57E5323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07471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50B7AD92">
            <w:pPr>
              <w:pStyle w:val="12"/>
              <w:keepNext/>
              <w:keepLines w:val="0"/>
              <w:suppressLineNumbers w:val="0"/>
              <w:spacing w:before="0" w:beforeAutospacing="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其他人员</w:t>
            </w:r>
          </w:p>
        </w:tc>
        <w:tc>
          <w:tcPr>
            <w:tcW w:w="1418" w:type="dxa"/>
            <w:noWrap w:val="0"/>
            <w:vAlign w:val="center"/>
          </w:tcPr>
          <w:p w14:paraId="1AA26FF2">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3CD796B7">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5EA7AC31">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700179AC">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062AE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CFAE45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418" w:type="dxa"/>
            <w:noWrap w:val="0"/>
            <w:vAlign w:val="center"/>
          </w:tcPr>
          <w:p w14:paraId="7DE1B83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63E46639">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2F75EBC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2EC77067">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597DD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3A7194B7">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418" w:type="dxa"/>
            <w:noWrap w:val="0"/>
            <w:vAlign w:val="center"/>
          </w:tcPr>
          <w:p w14:paraId="3E5D751C">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6E38165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714B0E39">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0DDCDE56">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56BCF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5305572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二、现场人员</w:t>
            </w:r>
          </w:p>
        </w:tc>
      </w:tr>
      <w:tr w14:paraId="7834A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46E68124">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项目经理</w:t>
            </w:r>
          </w:p>
        </w:tc>
        <w:tc>
          <w:tcPr>
            <w:tcW w:w="1418" w:type="dxa"/>
            <w:noWrap w:val="0"/>
            <w:vAlign w:val="center"/>
          </w:tcPr>
          <w:p w14:paraId="23FC58C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70CE9952">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152F2208">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62566596">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6087D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6E6683B2">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项目副经理</w:t>
            </w:r>
          </w:p>
        </w:tc>
        <w:tc>
          <w:tcPr>
            <w:tcW w:w="1418" w:type="dxa"/>
            <w:noWrap w:val="0"/>
            <w:vAlign w:val="center"/>
          </w:tcPr>
          <w:p w14:paraId="12CD6AD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7613A039">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769E66DE">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534B0FD0">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73DD3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C8A50B2">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技术负责人</w:t>
            </w:r>
          </w:p>
        </w:tc>
        <w:tc>
          <w:tcPr>
            <w:tcW w:w="1418" w:type="dxa"/>
            <w:noWrap w:val="0"/>
            <w:vAlign w:val="center"/>
          </w:tcPr>
          <w:p w14:paraId="77C58289">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45B5ACC7">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0157931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615D42E8">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0091A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16B16D1">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造价管理</w:t>
            </w:r>
          </w:p>
        </w:tc>
        <w:tc>
          <w:tcPr>
            <w:tcW w:w="1418" w:type="dxa"/>
            <w:noWrap w:val="0"/>
            <w:vAlign w:val="center"/>
          </w:tcPr>
          <w:p w14:paraId="0D1C8789">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537AF46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592B4DE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60F2654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15865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57C54445">
            <w:pPr>
              <w:pStyle w:val="12"/>
              <w:keepNext/>
              <w:keepLines w:val="0"/>
              <w:suppressLineNumbers w:val="0"/>
              <w:spacing w:before="0" w:beforeAutospacing="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质量管理</w:t>
            </w:r>
          </w:p>
        </w:tc>
        <w:tc>
          <w:tcPr>
            <w:tcW w:w="1418" w:type="dxa"/>
            <w:noWrap w:val="0"/>
            <w:vAlign w:val="center"/>
          </w:tcPr>
          <w:p w14:paraId="3E397E72">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410306F4">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1DA7F4AA">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25A9283D">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5DDE7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35B8316F">
            <w:pPr>
              <w:pStyle w:val="12"/>
              <w:keepNext/>
              <w:keepLines w:val="0"/>
              <w:suppressLineNumbers w:val="0"/>
              <w:spacing w:before="0" w:beforeAutospacing="0" w:afterAutospacing="0" w:line="360" w:lineRule="auto"/>
              <w:ind w:left="63" w:right="63"/>
              <w:rPr>
                <w:rFonts w:hint="default" w:ascii="Calibri" w:hAnsi="Calibri" w:eastAsia="仿宋_GB2312" w:cs="Times New Roman"/>
                <w:color w:val="auto"/>
                <w:sz w:val="28"/>
                <w:szCs w:val="28"/>
                <w:highlight w:val="none"/>
              </w:rPr>
            </w:pPr>
          </w:p>
        </w:tc>
        <w:tc>
          <w:tcPr>
            <w:tcW w:w="1418" w:type="dxa"/>
            <w:noWrap w:val="0"/>
            <w:vAlign w:val="center"/>
          </w:tcPr>
          <w:p w14:paraId="516E6954">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43FDF2BA">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0078D1B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400C8DE9">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7A1BC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69574E8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418" w:type="dxa"/>
            <w:noWrap w:val="0"/>
            <w:vAlign w:val="center"/>
          </w:tcPr>
          <w:p w14:paraId="0CD54C88">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2CB8861A">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0F8D582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5E5292F9">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0183F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23D4841">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材料管理</w:t>
            </w:r>
          </w:p>
        </w:tc>
        <w:tc>
          <w:tcPr>
            <w:tcW w:w="1418" w:type="dxa"/>
            <w:noWrap w:val="0"/>
            <w:vAlign w:val="center"/>
          </w:tcPr>
          <w:p w14:paraId="4A5F9117">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33052BC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1214BD1C">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08F323C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5FFCC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6C405C7">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计划管理</w:t>
            </w:r>
          </w:p>
        </w:tc>
        <w:tc>
          <w:tcPr>
            <w:tcW w:w="1418" w:type="dxa"/>
            <w:noWrap w:val="0"/>
            <w:vAlign w:val="center"/>
          </w:tcPr>
          <w:p w14:paraId="6B5262F9">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4BDA026A">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402109A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78311C11">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3A0F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1BDD354F">
            <w:pPr>
              <w:pStyle w:val="12"/>
              <w:keepNext/>
              <w:keepLines w:val="0"/>
              <w:suppressLineNumbers w:val="0"/>
              <w:spacing w:before="0" w:beforeAutospacing="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安全管理</w:t>
            </w:r>
          </w:p>
        </w:tc>
        <w:tc>
          <w:tcPr>
            <w:tcW w:w="1418" w:type="dxa"/>
            <w:noWrap w:val="0"/>
            <w:vAlign w:val="center"/>
          </w:tcPr>
          <w:p w14:paraId="1F5DF7B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3219BE57">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155BB52D">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37C6A71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7E30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5A1F462">
            <w:pPr>
              <w:pStyle w:val="12"/>
              <w:keepNext/>
              <w:keepLines w:val="0"/>
              <w:suppressLineNumbers w:val="0"/>
              <w:spacing w:before="0" w:beforeAutospacing="0" w:afterAutospacing="0" w:line="360" w:lineRule="auto"/>
              <w:ind w:left="63" w:right="63"/>
              <w:rPr>
                <w:rFonts w:hint="default" w:ascii="Calibri" w:hAnsi="Calibri" w:eastAsia="仿宋_GB2312" w:cs="Times New Roman"/>
                <w:color w:val="auto"/>
                <w:sz w:val="28"/>
                <w:szCs w:val="28"/>
                <w:highlight w:val="none"/>
              </w:rPr>
            </w:pPr>
          </w:p>
        </w:tc>
        <w:tc>
          <w:tcPr>
            <w:tcW w:w="1418" w:type="dxa"/>
            <w:noWrap w:val="0"/>
            <w:vAlign w:val="center"/>
          </w:tcPr>
          <w:p w14:paraId="5FD0B846">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3A421A1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09C61D7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0C6361A9">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10792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562AD2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418" w:type="dxa"/>
            <w:noWrap w:val="0"/>
            <w:vAlign w:val="center"/>
          </w:tcPr>
          <w:p w14:paraId="33F8D972">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398BF65E">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11DC0D84">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15B82BBC">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0D081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3BE3BCC0">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其他人员</w:t>
            </w:r>
          </w:p>
        </w:tc>
        <w:tc>
          <w:tcPr>
            <w:tcW w:w="1418" w:type="dxa"/>
            <w:noWrap w:val="0"/>
            <w:vAlign w:val="center"/>
          </w:tcPr>
          <w:p w14:paraId="0E9EF7CA">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334382A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56CAAF4A">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2391A61A">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49BA6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838660A">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418" w:type="dxa"/>
            <w:noWrap w:val="0"/>
            <w:vAlign w:val="center"/>
          </w:tcPr>
          <w:p w14:paraId="17D5F2A2">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6783F600">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1013B08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54C91ED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022AA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E4D3434">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418" w:type="dxa"/>
            <w:noWrap w:val="0"/>
            <w:vAlign w:val="center"/>
          </w:tcPr>
          <w:p w14:paraId="5D19262C">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272E01B1">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09CE8204">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0582E517">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78C24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795C680">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418" w:type="dxa"/>
            <w:noWrap w:val="0"/>
            <w:vAlign w:val="center"/>
          </w:tcPr>
          <w:p w14:paraId="3BD501B6">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5CE5445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19CF8CF1">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257EDBBD">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0BDCC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796350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418" w:type="dxa"/>
            <w:noWrap w:val="0"/>
            <w:vAlign w:val="center"/>
          </w:tcPr>
          <w:p w14:paraId="75BE483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7F22B74D">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3F2FC5B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5E01F6E4">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bl>
    <w:p w14:paraId="687EF0B2">
      <w:pPr>
        <w:spacing w:before="120" w:beforeLines="50" w:after="120" w:afterLines="50" w:line="360" w:lineRule="auto"/>
        <w:jc w:val="left"/>
        <w:rPr>
          <w:rFonts w:hint="eastAsia" w:ascii="仿宋_GB2312" w:eastAsia="仿宋_GB2312" w:cs="仿宋_GB2312"/>
          <w:color w:val="auto"/>
          <w:sz w:val="30"/>
          <w:szCs w:val="30"/>
          <w:highlight w:val="none"/>
        </w:rPr>
      </w:pPr>
      <w:r>
        <w:rPr>
          <w:rFonts w:eastAsia="仿宋_GB2312"/>
          <w:color w:val="auto"/>
          <w:sz w:val="30"/>
          <w:szCs w:val="30"/>
          <w:highlight w:val="none"/>
        </w:rPr>
        <w:br w:type="page"/>
      </w:r>
      <w:r>
        <w:rPr>
          <w:rFonts w:hint="eastAsia" w:ascii="仿宋_GB2312" w:eastAsia="仿宋_GB2312" w:cs="仿宋_GB2312"/>
          <w:color w:val="auto"/>
          <w:sz w:val="30"/>
          <w:szCs w:val="30"/>
          <w:highlight w:val="none"/>
        </w:rPr>
        <w:t>附</w:t>
      </w:r>
      <w:bookmarkStart w:id="1359" w:name="_Toc296891269"/>
      <w:bookmarkStart w:id="1360" w:name="_Toc296944568"/>
      <w:bookmarkStart w:id="1361" w:name="_Toc296503229"/>
      <w:bookmarkStart w:id="1362" w:name="_Toc296346730"/>
      <w:bookmarkStart w:id="1363" w:name="_Toc296891057"/>
      <w:bookmarkStart w:id="1364" w:name="_Toc296347228"/>
      <w:r>
        <w:rPr>
          <w:rFonts w:hint="eastAsia" w:ascii="仿宋_GB2312" w:eastAsia="仿宋_GB2312" w:cs="仿宋_GB2312"/>
          <w:color w:val="auto"/>
          <w:sz w:val="30"/>
          <w:szCs w:val="30"/>
          <w:highlight w:val="none"/>
        </w:rPr>
        <w:t>件6：</w:t>
      </w:r>
      <w:r>
        <w:rPr>
          <w:rFonts w:hint="eastAsia" w:ascii="仿宋_GB2312" w:eastAsia="仿宋_GB2312" w:cs="仿宋_GB2312"/>
          <w:color w:val="auto"/>
          <w:sz w:val="30"/>
          <w:szCs w:val="30"/>
          <w:highlight w:val="none"/>
          <w:lang w:val="en-US" w:eastAsia="zh-CN"/>
        </w:rPr>
        <w:t>分包人主要施工管理人员表</w:t>
      </w:r>
    </w:p>
    <w:bookmarkEnd w:id="1359"/>
    <w:bookmarkEnd w:id="1360"/>
    <w:bookmarkEnd w:id="1361"/>
    <w:bookmarkEnd w:id="1362"/>
    <w:bookmarkEnd w:id="1363"/>
    <w:bookmarkEnd w:id="1364"/>
    <w:p w14:paraId="52AF7B3E">
      <w:pPr>
        <w:spacing w:before="120" w:beforeLines="50" w:after="120" w:afterLines="50" w:line="360" w:lineRule="auto"/>
        <w:jc w:val="center"/>
        <w:rPr>
          <w:rFonts w:eastAsia="黑体"/>
          <w:color w:val="auto"/>
          <w:sz w:val="30"/>
          <w:szCs w:val="30"/>
          <w:highlight w:val="none"/>
        </w:rPr>
      </w:pPr>
      <w:r>
        <w:rPr>
          <w:rFonts w:hint="eastAsia" w:eastAsia="黑体" w:cs="黑体"/>
          <w:color w:val="auto"/>
          <w:sz w:val="30"/>
          <w:szCs w:val="30"/>
          <w:highlight w:val="none"/>
        </w:rPr>
        <w:t>分包人主要施工管理人员表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3CF11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84E3BD7">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名</w:t>
            </w:r>
            <w:r>
              <w:rPr>
                <w:rFonts w:hint="default" w:ascii="Calibri" w:hAnsi="Calibri" w:eastAsia="仿宋_GB2312" w:cs="Times New Roman"/>
                <w:color w:val="auto"/>
                <w:sz w:val="28"/>
                <w:szCs w:val="28"/>
                <w:highlight w:val="none"/>
              </w:rPr>
              <w:t xml:space="preserve">    </w:t>
            </w:r>
            <w:r>
              <w:rPr>
                <w:rFonts w:hint="eastAsia" w:ascii="Calibri" w:hAnsi="Calibri" w:eastAsia="仿宋_GB2312" w:cs="仿宋_GB2312"/>
                <w:color w:val="auto"/>
                <w:sz w:val="28"/>
                <w:szCs w:val="28"/>
                <w:highlight w:val="none"/>
              </w:rPr>
              <w:t>称</w:t>
            </w:r>
          </w:p>
        </w:tc>
        <w:tc>
          <w:tcPr>
            <w:tcW w:w="1418" w:type="dxa"/>
            <w:noWrap w:val="0"/>
            <w:vAlign w:val="center"/>
          </w:tcPr>
          <w:p w14:paraId="7B631B49">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姓名</w:t>
            </w:r>
          </w:p>
        </w:tc>
        <w:tc>
          <w:tcPr>
            <w:tcW w:w="1134" w:type="dxa"/>
            <w:noWrap w:val="0"/>
            <w:vAlign w:val="center"/>
          </w:tcPr>
          <w:p w14:paraId="7259E28A">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r>
              <w:rPr>
                <w:rFonts w:hint="eastAsia" w:ascii="Calibri" w:hAnsi="Calibri" w:eastAsia="仿宋_GB2312" w:cs="仿宋_GB2312"/>
                <w:color w:val="auto"/>
                <w:sz w:val="30"/>
                <w:szCs w:val="30"/>
                <w:highlight w:val="none"/>
              </w:rPr>
              <w:t>职务</w:t>
            </w:r>
          </w:p>
        </w:tc>
        <w:tc>
          <w:tcPr>
            <w:tcW w:w="1134" w:type="dxa"/>
            <w:noWrap w:val="0"/>
            <w:vAlign w:val="center"/>
          </w:tcPr>
          <w:p w14:paraId="11956A41">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r>
              <w:rPr>
                <w:rFonts w:hint="eastAsia" w:ascii="Calibri" w:hAnsi="Calibri" w:eastAsia="仿宋_GB2312" w:cs="仿宋_GB2312"/>
                <w:color w:val="auto"/>
                <w:sz w:val="30"/>
                <w:szCs w:val="30"/>
                <w:highlight w:val="none"/>
              </w:rPr>
              <w:t>职称</w:t>
            </w:r>
          </w:p>
        </w:tc>
        <w:tc>
          <w:tcPr>
            <w:tcW w:w="4252" w:type="dxa"/>
            <w:noWrap w:val="0"/>
            <w:vAlign w:val="center"/>
          </w:tcPr>
          <w:p w14:paraId="28DC31DC">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r>
              <w:rPr>
                <w:rFonts w:hint="eastAsia" w:ascii="Calibri" w:hAnsi="Calibri" w:eastAsia="仿宋_GB2312" w:cs="仿宋_GB2312"/>
                <w:color w:val="auto"/>
                <w:sz w:val="30"/>
                <w:szCs w:val="30"/>
                <w:highlight w:val="none"/>
              </w:rPr>
              <w:t>主要资历、经验及承担过的项目</w:t>
            </w:r>
          </w:p>
        </w:tc>
      </w:tr>
      <w:tr w14:paraId="27338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2CF58A5E">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一、总部人员</w:t>
            </w:r>
          </w:p>
        </w:tc>
      </w:tr>
      <w:tr w14:paraId="3DC7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B3EF9C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项目主管</w:t>
            </w:r>
          </w:p>
        </w:tc>
        <w:tc>
          <w:tcPr>
            <w:tcW w:w="1418" w:type="dxa"/>
            <w:noWrap w:val="0"/>
            <w:vAlign w:val="center"/>
          </w:tcPr>
          <w:p w14:paraId="6C3A9A94">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0575AAC0">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78D276A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11EBAAD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0191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6F959604">
            <w:pPr>
              <w:pStyle w:val="12"/>
              <w:keepNext/>
              <w:keepLines w:val="0"/>
              <w:suppressLineNumbers w:val="0"/>
              <w:spacing w:before="0" w:beforeAutospacing="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其他人员</w:t>
            </w:r>
          </w:p>
        </w:tc>
        <w:tc>
          <w:tcPr>
            <w:tcW w:w="1418" w:type="dxa"/>
            <w:noWrap w:val="0"/>
            <w:vAlign w:val="center"/>
          </w:tcPr>
          <w:p w14:paraId="3791DDD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53332F2A">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6690B7D0">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51005A1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7C193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C1F70B0">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418" w:type="dxa"/>
            <w:noWrap w:val="0"/>
            <w:vAlign w:val="center"/>
          </w:tcPr>
          <w:p w14:paraId="4B031917">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4EB05946">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72558627">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48F33F87">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2D444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AC88929">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418" w:type="dxa"/>
            <w:noWrap w:val="0"/>
            <w:vAlign w:val="center"/>
          </w:tcPr>
          <w:p w14:paraId="2713F0C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4DA992DE">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57336E4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5CE90D89">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0B17B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44A3AFB1">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二、现场人员</w:t>
            </w:r>
          </w:p>
        </w:tc>
      </w:tr>
      <w:tr w14:paraId="57C03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69F29D64">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项目经理</w:t>
            </w:r>
          </w:p>
        </w:tc>
        <w:tc>
          <w:tcPr>
            <w:tcW w:w="1418" w:type="dxa"/>
            <w:noWrap w:val="0"/>
            <w:vAlign w:val="center"/>
          </w:tcPr>
          <w:p w14:paraId="1B3D28E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50585D5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5FD6D1A9">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72A03A6E">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69D3B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1B8B945E">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项目副经理</w:t>
            </w:r>
          </w:p>
        </w:tc>
        <w:tc>
          <w:tcPr>
            <w:tcW w:w="1418" w:type="dxa"/>
            <w:noWrap w:val="0"/>
            <w:vAlign w:val="center"/>
          </w:tcPr>
          <w:p w14:paraId="640AB5BD">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551B973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0B0829C0">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1C2C9DC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4C160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CFCB568">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技术负责人</w:t>
            </w:r>
          </w:p>
        </w:tc>
        <w:tc>
          <w:tcPr>
            <w:tcW w:w="1418" w:type="dxa"/>
            <w:noWrap w:val="0"/>
            <w:vAlign w:val="center"/>
          </w:tcPr>
          <w:p w14:paraId="20C4F90D">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57C42C8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33B6D6E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2B85B2B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682D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64C6CB0">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造价管理</w:t>
            </w:r>
          </w:p>
        </w:tc>
        <w:tc>
          <w:tcPr>
            <w:tcW w:w="1418" w:type="dxa"/>
            <w:noWrap w:val="0"/>
            <w:vAlign w:val="center"/>
          </w:tcPr>
          <w:p w14:paraId="5811EB51">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0AB07D4E">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1742052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396F0B42">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6E446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24390E9">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质量管理</w:t>
            </w:r>
          </w:p>
        </w:tc>
        <w:tc>
          <w:tcPr>
            <w:tcW w:w="1418" w:type="dxa"/>
            <w:noWrap w:val="0"/>
            <w:vAlign w:val="center"/>
          </w:tcPr>
          <w:p w14:paraId="5FC046D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611E4E3E">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7A1995A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787FFE2A">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640C1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05160C4C">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材料管理</w:t>
            </w:r>
          </w:p>
        </w:tc>
        <w:tc>
          <w:tcPr>
            <w:tcW w:w="1418" w:type="dxa"/>
            <w:noWrap w:val="0"/>
            <w:vAlign w:val="center"/>
          </w:tcPr>
          <w:p w14:paraId="50683DF9">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54E43C6C">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6197CC8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74D3AFD1">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2153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70C9AD2">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计划管理</w:t>
            </w:r>
          </w:p>
        </w:tc>
        <w:tc>
          <w:tcPr>
            <w:tcW w:w="1418" w:type="dxa"/>
            <w:noWrap w:val="0"/>
            <w:vAlign w:val="center"/>
          </w:tcPr>
          <w:p w14:paraId="4F352071">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23AA5BD0">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58E80E2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12D0CABC">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428D4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DAF6FF8">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安全管理</w:t>
            </w:r>
          </w:p>
        </w:tc>
        <w:tc>
          <w:tcPr>
            <w:tcW w:w="1418" w:type="dxa"/>
            <w:noWrap w:val="0"/>
            <w:vAlign w:val="center"/>
          </w:tcPr>
          <w:p w14:paraId="5D22B477">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3A7C6054">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1DE75ED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5743B4CC">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17BB8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37034D7D">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其他人员</w:t>
            </w:r>
          </w:p>
        </w:tc>
        <w:tc>
          <w:tcPr>
            <w:tcW w:w="1418" w:type="dxa"/>
            <w:noWrap w:val="0"/>
            <w:vAlign w:val="center"/>
          </w:tcPr>
          <w:p w14:paraId="6B5D663E">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0B458AE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77919146">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1BDF1628">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196EE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CD89199">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418" w:type="dxa"/>
            <w:noWrap w:val="0"/>
            <w:vAlign w:val="center"/>
          </w:tcPr>
          <w:p w14:paraId="2951000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47C09CA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2039B597">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1956353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276E0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33C384B9">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418" w:type="dxa"/>
            <w:noWrap w:val="0"/>
            <w:vAlign w:val="center"/>
          </w:tcPr>
          <w:p w14:paraId="7B831D09">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58044BB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06B62A8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483C7F6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45DFD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678C5401">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418" w:type="dxa"/>
            <w:noWrap w:val="0"/>
            <w:vAlign w:val="center"/>
          </w:tcPr>
          <w:p w14:paraId="23C2CB3A">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2EDAF7F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6FC421CE">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1E7E7A5F">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26F40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6CAA887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418" w:type="dxa"/>
            <w:noWrap w:val="0"/>
            <w:vAlign w:val="center"/>
          </w:tcPr>
          <w:p w14:paraId="451CE093">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02877BDB">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27E17D7E">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52883744">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r w14:paraId="27103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D01239A">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418" w:type="dxa"/>
            <w:noWrap w:val="0"/>
            <w:vAlign w:val="center"/>
          </w:tcPr>
          <w:p w14:paraId="74EDEC1C">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28"/>
                <w:szCs w:val="28"/>
                <w:highlight w:val="none"/>
              </w:rPr>
            </w:pPr>
          </w:p>
        </w:tc>
        <w:tc>
          <w:tcPr>
            <w:tcW w:w="1134" w:type="dxa"/>
            <w:noWrap w:val="0"/>
            <w:vAlign w:val="center"/>
          </w:tcPr>
          <w:p w14:paraId="690EEACC">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1134" w:type="dxa"/>
            <w:noWrap w:val="0"/>
            <w:vAlign w:val="center"/>
          </w:tcPr>
          <w:p w14:paraId="626BB625">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c>
          <w:tcPr>
            <w:tcW w:w="4252" w:type="dxa"/>
            <w:noWrap w:val="0"/>
            <w:vAlign w:val="center"/>
          </w:tcPr>
          <w:p w14:paraId="3A7DE1DD">
            <w:pPr>
              <w:pStyle w:val="12"/>
              <w:keepNext/>
              <w:keepLines w:val="0"/>
              <w:suppressLineNumbers w:val="0"/>
              <w:spacing w:before="0" w:beforeAutospacing="0" w:after="0" w:afterAutospacing="0" w:line="360" w:lineRule="auto"/>
              <w:ind w:left="63" w:right="63"/>
              <w:rPr>
                <w:rFonts w:hint="default" w:ascii="Calibri" w:hAnsi="Calibri" w:eastAsia="仿宋_GB2312" w:cs="Times New Roman"/>
                <w:color w:val="auto"/>
                <w:sz w:val="30"/>
                <w:szCs w:val="30"/>
                <w:highlight w:val="none"/>
              </w:rPr>
            </w:pPr>
          </w:p>
        </w:tc>
      </w:tr>
    </w:tbl>
    <w:p w14:paraId="509F8426">
      <w:pPr>
        <w:spacing w:before="120" w:beforeLines="50" w:after="120" w:afterLines="50" w:line="360" w:lineRule="auto"/>
        <w:jc w:val="left"/>
        <w:rPr>
          <w:rFonts w:hint="eastAsia" w:ascii="仿宋_GB2312" w:eastAsia="仿宋_GB2312" w:cs="仿宋_GB2312"/>
          <w:color w:val="auto"/>
          <w:sz w:val="30"/>
          <w:szCs w:val="30"/>
          <w:highlight w:val="none"/>
          <w:lang w:eastAsia="zh-CN"/>
        </w:rPr>
      </w:pPr>
      <w:r>
        <w:rPr>
          <w:rFonts w:eastAsia="仿宋_GB2312"/>
          <w:color w:val="auto"/>
          <w:sz w:val="30"/>
          <w:szCs w:val="30"/>
          <w:highlight w:val="none"/>
        </w:rPr>
        <w:br w:type="page"/>
      </w:r>
      <w:bookmarkStart w:id="1365" w:name="_Toc267261701"/>
      <w:r>
        <w:rPr>
          <w:rFonts w:hint="eastAsia" w:ascii="仿宋_GB2312" w:eastAsia="仿宋_GB2312" w:cs="仿宋_GB2312"/>
          <w:color w:val="auto"/>
          <w:sz w:val="30"/>
          <w:szCs w:val="30"/>
          <w:highlight w:val="none"/>
        </w:rPr>
        <w:t>附件7</w:t>
      </w:r>
      <w:r>
        <w:rPr>
          <w:rFonts w:hint="eastAsia" w:ascii="仿宋_GB2312" w:eastAsia="仿宋_GB2312" w:cs="仿宋_GB2312"/>
          <w:color w:val="auto"/>
          <w:sz w:val="30"/>
          <w:szCs w:val="30"/>
          <w:highlight w:val="none"/>
          <w:lang w:eastAsia="zh-CN"/>
        </w:rPr>
        <w:t>：履约保函示范文本</w:t>
      </w:r>
    </w:p>
    <w:p w14:paraId="29B68D2E">
      <w:pPr>
        <w:spacing w:line="360" w:lineRule="auto"/>
        <w:jc w:val="left"/>
        <w:rPr>
          <w:rFonts w:ascii="黑体" w:hAnsi="黑体" w:eastAsia="黑体" w:cs="黑体"/>
          <w:b/>
          <w:bCs/>
          <w:color w:val="auto"/>
          <w:sz w:val="32"/>
          <w:szCs w:val="32"/>
          <w:highlight w:val="none"/>
        </w:rPr>
      </w:pPr>
    </w:p>
    <w:p w14:paraId="61E613B6">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履约保函示范文本</w:t>
      </w:r>
    </w:p>
    <w:p w14:paraId="2FEF788C">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（独立保函）</w:t>
      </w:r>
    </w:p>
    <w:p w14:paraId="6F8ACCE7">
      <w:pPr>
        <w:wordWrap w:val="0"/>
        <w:spacing w:line="360" w:lineRule="auto"/>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7DBCE0F4">
      <w:pPr>
        <w:spacing w:line="360" w:lineRule="auto"/>
        <w:rPr>
          <w:rFonts w:ascii="宋体" w:hAnsi="宋体"/>
          <w:color w:val="auto"/>
          <w:sz w:val="24"/>
          <w:szCs w:val="24"/>
          <w:highlight w:val="none"/>
        </w:rPr>
      </w:pPr>
      <w:r>
        <w:rPr>
          <w:rFonts w:hint="eastAsia" w:ascii="宋体" w:hAnsi="宋体"/>
          <w:color w:val="auto"/>
          <w:sz w:val="24"/>
          <w:szCs w:val="24"/>
          <w:highlight w:val="none"/>
        </w:rPr>
        <w:t>申请人：</w:t>
      </w:r>
    </w:p>
    <w:p w14:paraId="4FD56E40">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地址</w:t>
      </w:r>
      <w:r>
        <w:rPr>
          <w:rFonts w:ascii="宋体" w:hAnsi="宋体"/>
          <w:color w:val="auto"/>
          <w:sz w:val="24"/>
          <w:szCs w:val="24"/>
          <w:highlight w:val="none"/>
        </w:rPr>
        <w:t>：</w:t>
      </w:r>
    </w:p>
    <w:p w14:paraId="690D37B4">
      <w:pPr>
        <w:spacing w:line="360" w:lineRule="auto"/>
        <w:rPr>
          <w:rFonts w:ascii="宋体" w:hAnsi="宋体"/>
          <w:color w:val="auto"/>
          <w:sz w:val="24"/>
          <w:szCs w:val="24"/>
          <w:highlight w:val="none"/>
        </w:rPr>
      </w:pPr>
      <w:r>
        <w:rPr>
          <w:rFonts w:hint="eastAsia" w:ascii="宋体" w:hAnsi="宋体"/>
          <w:color w:val="auto"/>
          <w:sz w:val="24"/>
          <w:szCs w:val="24"/>
          <w:highlight w:val="none"/>
        </w:rPr>
        <w:t>受益人：</w:t>
      </w:r>
    </w:p>
    <w:p w14:paraId="0968ABD8">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地址：</w:t>
      </w:r>
    </w:p>
    <w:p w14:paraId="3556FD57">
      <w:pPr>
        <w:spacing w:line="360" w:lineRule="auto"/>
        <w:rPr>
          <w:rFonts w:ascii="宋体" w:hAnsi="宋体"/>
          <w:color w:val="auto"/>
          <w:sz w:val="24"/>
          <w:szCs w:val="24"/>
          <w:highlight w:val="none"/>
        </w:rPr>
      </w:pPr>
      <w:r>
        <w:rPr>
          <w:rFonts w:hint="eastAsia" w:ascii="宋体" w:hAnsi="宋体"/>
          <w:color w:val="auto"/>
          <w:sz w:val="24"/>
          <w:szCs w:val="24"/>
          <w:highlight w:val="none"/>
        </w:rPr>
        <w:t>开立人：</w:t>
      </w:r>
    </w:p>
    <w:p w14:paraId="77F0DA54">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地址：</w:t>
      </w:r>
    </w:p>
    <w:p w14:paraId="1A27F14B">
      <w:pPr>
        <w:spacing w:line="360" w:lineRule="auto"/>
        <w:rPr>
          <w:rFonts w:ascii="宋体" w:hAnsi="宋体"/>
          <w:color w:val="auto"/>
          <w:sz w:val="24"/>
          <w:szCs w:val="24"/>
          <w:highlight w:val="none"/>
        </w:rPr>
      </w:pPr>
      <w:r>
        <w:rPr>
          <w:rFonts w:ascii="宋体" w:hAnsi="宋体"/>
          <w:color w:val="auto"/>
          <w:sz w:val="24"/>
          <w:szCs w:val="24"/>
          <w:highlight w:val="none"/>
        </w:rPr>
        <w:t xml:space="preserve"> </w:t>
      </w:r>
    </w:p>
    <w:p w14:paraId="10DAEDFC">
      <w:pPr>
        <w:spacing w:line="360" w:lineRule="auto"/>
        <w:rPr>
          <w:rFonts w:ascii="宋体" w:hAnsi="宋体"/>
          <w:color w:val="auto"/>
          <w:sz w:val="24"/>
          <w:szCs w:val="24"/>
          <w:highlight w:val="none"/>
        </w:rPr>
      </w:pPr>
      <w:r>
        <w:rPr>
          <w:rFonts w:ascii="宋体" w:hAnsi="宋体"/>
          <w:color w:val="auto"/>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受益人</w:t>
      </w:r>
      <w:r>
        <w:rPr>
          <w:rFonts w:ascii="宋体" w:hAnsi="宋体"/>
          <w:color w:val="auto"/>
          <w:sz w:val="24"/>
          <w:szCs w:val="24"/>
          <w:highlight w:val="none"/>
        </w:rPr>
        <w:t xml:space="preserve">名称）： </w:t>
      </w:r>
    </w:p>
    <w:p w14:paraId="5499DBF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鉴于</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受益人</w:t>
      </w:r>
      <w:r>
        <w:rPr>
          <w:rFonts w:hint="eastAsia" w:ascii="宋体" w:hAnsi="宋体"/>
          <w:color w:val="auto"/>
          <w:sz w:val="24"/>
          <w:szCs w:val="24"/>
          <w:highlight w:val="none"/>
          <w:lang w:eastAsia="zh-CN"/>
        </w:rPr>
        <w:t>”</w:t>
      </w:r>
      <w:r>
        <w:rPr>
          <w:rFonts w:ascii="宋体" w:hAnsi="宋体"/>
          <w:color w:val="auto"/>
          <w:sz w:val="24"/>
          <w:szCs w:val="24"/>
          <w:highlight w:val="none"/>
        </w:rPr>
        <w:t>）</w:t>
      </w:r>
      <w:r>
        <w:rPr>
          <w:rFonts w:hint="eastAsia" w:ascii="宋体" w:hAnsi="宋体"/>
          <w:color w:val="auto"/>
          <w:sz w:val="24"/>
          <w:szCs w:val="24"/>
          <w:highlight w:val="none"/>
        </w:rPr>
        <w:t>与</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申请人</w:t>
      </w:r>
      <w:r>
        <w:rPr>
          <w:rFonts w:hint="eastAsia" w:ascii="宋体" w:hAnsi="宋体"/>
          <w:color w:val="auto"/>
          <w:sz w:val="24"/>
          <w:szCs w:val="24"/>
          <w:highlight w:val="none"/>
          <w:lang w:eastAsia="zh-CN"/>
        </w:rPr>
        <w:t>”</w:t>
      </w:r>
      <w:r>
        <w:rPr>
          <w:rFonts w:ascii="宋体" w:hAnsi="宋体"/>
          <w:color w:val="auto"/>
          <w:sz w:val="24"/>
          <w:szCs w:val="24"/>
          <w:highlight w:val="none"/>
        </w:rPr>
        <w:t>）</w:t>
      </w:r>
      <w:r>
        <w:rPr>
          <w:rFonts w:hint="eastAsia" w:ascii="宋体" w:hAnsi="宋体"/>
          <w:color w:val="auto"/>
          <w:sz w:val="24"/>
          <w:szCs w:val="24"/>
          <w:highlight w:val="none"/>
        </w:rPr>
        <w:t>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日就</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工程（以下简称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本工程</w:t>
      </w:r>
      <w:r>
        <w:rPr>
          <w:rFonts w:hint="eastAsia" w:ascii="宋体" w:hAnsi="宋体"/>
          <w:color w:val="auto"/>
          <w:sz w:val="24"/>
          <w:szCs w:val="24"/>
          <w:highlight w:val="none"/>
          <w:lang w:eastAsia="zh-CN"/>
        </w:rPr>
        <w:t>”</w:t>
      </w:r>
      <w:r>
        <w:rPr>
          <w:rFonts w:hint="eastAsia" w:ascii="宋体" w:hAnsi="宋体"/>
          <w:color w:val="auto"/>
          <w:sz w:val="24"/>
          <w:szCs w:val="24"/>
          <w:highlight w:val="none"/>
        </w:rPr>
        <w:t>）施工和有关事项协商一致共同签订</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w:t>
      </w:r>
      <w:r>
        <w:rPr>
          <w:rFonts w:hint="eastAsia" w:ascii="宋体" w:hAnsi="宋体"/>
          <w:color w:val="auto"/>
          <w:sz w:val="24"/>
          <w:szCs w:val="24"/>
          <w:highlight w:val="none"/>
        </w:rPr>
        <w:t>（以下简称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基础合同</w:t>
      </w:r>
      <w:r>
        <w:rPr>
          <w:rFonts w:hint="eastAsia" w:ascii="宋体" w:hAnsi="宋体"/>
          <w:color w:val="auto"/>
          <w:sz w:val="24"/>
          <w:szCs w:val="24"/>
          <w:highlight w:val="none"/>
          <w:lang w:eastAsia="zh-CN"/>
        </w:rPr>
        <w:t>”</w:t>
      </w:r>
      <w:r>
        <w:rPr>
          <w:rFonts w:hint="eastAsia" w:ascii="宋体" w:hAnsi="宋体"/>
          <w:color w:val="auto"/>
          <w:sz w:val="24"/>
          <w:szCs w:val="24"/>
          <w:highlight w:val="none"/>
        </w:rPr>
        <w:t>），我方（即</w:t>
      </w:r>
      <w:r>
        <w:rPr>
          <w:rFonts w:hint="eastAsia" w:ascii="宋体" w:hAnsi="宋体"/>
          <w:color w:val="auto"/>
          <w:sz w:val="24"/>
          <w:szCs w:val="24"/>
          <w:highlight w:val="none"/>
          <w:lang w:eastAsia="zh-CN"/>
        </w:rPr>
        <w:t>“</w:t>
      </w:r>
      <w:r>
        <w:rPr>
          <w:rFonts w:hint="eastAsia" w:ascii="宋体" w:hAnsi="宋体"/>
          <w:color w:val="auto"/>
          <w:sz w:val="24"/>
          <w:szCs w:val="24"/>
          <w:highlight w:val="none"/>
        </w:rPr>
        <w:t>开立人</w:t>
      </w:r>
      <w:r>
        <w:rPr>
          <w:rFonts w:hint="eastAsia" w:ascii="宋体" w:hAnsi="宋体"/>
          <w:color w:val="auto"/>
          <w:sz w:val="24"/>
          <w:szCs w:val="24"/>
          <w:highlight w:val="none"/>
          <w:lang w:eastAsia="zh-CN"/>
        </w:rPr>
        <w:t>”</w:t>
      </w:r>
      <w:r>
        <w:rPr>
          <w:rFonts w:hint="eastAsia" w:ascii="宋体" w:hAnsi="宋体"/>
          <w:color w:val="auto"/>
          <w:sz w:val="24"/>
          <w:szCs w:val="24"/>
          <w:highlight w:val="none"/>
        </w:rPr>
        <w:t>）根据基础合同了解到申请人为基础合同项下之承包人，受益人为基础合同项下之发包人，基于申请人</w:t>
      </w:r>
      <w:r>
        <w:rPr>
          <w:rFonts w:ascii="宋体" w:hAnsi="宋体"/>
          <w:color w:val="auto"/>
          <w:sz w:val="24"/>
          <w:szCs w:val="24"/>
          <w:highlight w:val="none"/>
        </w:rPr>
        <w:t>的请求，我方同意就</w:t>
      </w:r>
      <w:r>
        <w:rPr>
          <w:rFonts w:hint="eastAsia" w:ascii="宋体" w:hAnsi="宋体"/>
          <w:color w:val="auto"/>
          <w:sz w:val="24"/>
          <w:szCs w:val="24"/>
          <w:highlight w:val="none"/>
        </w:rPr>
        <w:t>申请人</w:t>
      </w:r>
      <w:r>
        <w:rPr>
          <w:rFonts w:ascii="宋体" w:hAnsi="宋体"/>
          <w:color w:val="auto"/>
          <w:sz w:val="24"/>
          <w:szCs w:val="24"/>
          <w:highlight w:val="none"/>
        </w:rPr>
        <w:t>履行</w:t>
      </w:r>
      <w:r>
        <w:rPr>
          <w:rFonts w:hint="eastAsia" w:ascii="宋体" w:hAnsi="宋体"/>
          <w:color w:val="auto"/>
          <w:sz w:val="24"/>
          <w:szCs w:val="24"/>
          <w:highlight w:val="none"/>
        </w:rPr>
        <w:t>与贵方签订的基础合同</w:t>
      </w:r>
      <w:r>
        <w:rPr>
          <w:rFonts w:ascii="宋体" w:hAnsi="宋体"/>
          <w:color w:val="auto"/>
          <w:sz w:val="24"/>
          <w:szCs w:val="24"/>
          <w:highlight w:val="none"/>
        </w:rPr>
        <w:t>项下的义务</w:t>
      </w:r>
      <w:r>
        <w:rPr>
          <w:rFonts w:hint="eastAsia" w:ascii="宋体" w:hAnsi="宋体"/>
          <w:color w:val="auto"/>
          <w:sz w:val="24"/>
          <w:szCs w:val="24"/>
          <w:highlight w:val="none"/>
        </w:rPr>
        <w:t>，</w:t>
      </w:r>
      <w:r>
        <w:rPr>
          <w:rFonts w:ascii="宋体" w:hAnsi="宋体"/>
          <w:color w:val="auto"/>
          <w:sz w:val="24"/>
          <w:szCs w:val="24"/>
          <w:highlight w:val="none"/>
        </w:rPr>
        <w:t>向贵方提供不可撤销、</w:t>
      </w:r>
      <w:r>
        <w:rPr>
          <w:rFonts w:hint="eastAsia" w:ascii="宋体" w:hAnsi="宋体"/>
          <w:color w:val="auto"/>
          <w:sz w:val="24"/>
          <w:szCs w:val="24"/>
          <w:highlight w:val="none"/>
        </w:rPr>
        <w:t>不可转让的见索即付</w:t>
      </w:r>
      <w:r>
        <w:rPr>
          <w:rFonts w:ascii="宋体" w:hAnsi="宋体"/>
          <w:color w:val="auto"/>
          <w:sz w:val="24"/>
          <w:szCs w:val="24"/>
          <w:highlight w:val="none"/>
        </w:rPr>
        <w:t>独立</w:t>
      </w:r>
      <w:r>
        <w:rPr>
          <w:rFonts w:hint="eastAsia" w:ascii="宋体" w:hAnsi="宋体"/>
          <w:color w:val="auto"/>
          <w:sz w:val="24"/>
          <w:szCs w:val="24"/>
          <w:highlight w:val="none"/>
        </w:rPr>
        <w:t>保函（以下简称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本保函</w:t>
      </w:r>
      <w:r>
        <w:rPr>
          <w:rFonts w:hint="eastAsia" w:ascii="宋体" w:hAnsi="宋体"/>
          <w:color w:val="auto"/>
          <w:sz w:val="24"/>
          <w:szCs w:val="24"/>
          <w:highlight w:val="none"/>
          <w:lang w:eastAsia="zh-CN"/>
        </w:rPr>
        <w:t>”</w:t>
      </w:r>
      <w:r>
        <w:rPr>
          <w:rFonts w:hint="eastAsia" w:ascii="宋体" w:hAnsi="宋体"/>
          <w:color w:val="auto"/>
          <w:sz w:val="24"/>
          <w:szCs w:val="24"/>
          <w:highlight w:val="none"/>
        </w:rPr>
        <w:t>）</w:t>
      </w:r>
      <w:r>
        <w:rPr>
          <w:rFonts w:ascii="宋体" w:hAnsi="宋体"/>
          <w:color w:val="auto"/>
          <w:sz w:val="24"/>
          <w:szCs w:val="24"/>
          <w:highlight w:val="none"/>
        </w:rPr>
        <w:t xml:space="preserve">。 </w:t>
      </w:r>
    </w:p>
    <w:p w14:paraId="23B76CC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一、本保函担保范围：承包人未按照基础合同的约定履行义务，应当向贵方承担的违约责任和赔偿因此造成的损失、利息、律师费、诉讼费用等实现债权的费用。</w:t>
      </w:r>
    </w:p>
    <w:p w14:paraId="3E14495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二、本保函担保金额最高不超过</w:t>
      </w:r>
      <w:r>
        <w:rPr>
          <w:rFonts w:ascii="宋体" w:hAnsi="宋体"/>
          <w:color w:val="auto"/>
          <w:sz w:val="24"/>
          <w:szCs w:val="24"/>
          <w:highlight w:val="none"/>
        </w:rPr>
        <w:t>人民币（大写）</w:t>
      </w:r>
      <w:r>
        <w:rPr>
          <w:rFonts w:ascii="宋体" w:hAnsi="宋体"/>
          <w:color w:val="auto"/>
          <w:sz w:val="24"/>
          <w:szCs w:val="24"/>
          <w:highlight w:val="none"/>
          <w:u w:val="single"/>
        </w:rPr>
        <w:t xml:space="preserve">          </w:t>
      </w:r>
      <w:r>
        <w:rPr>
          <w:rFonts w:ascii="宋体" w:hAnsi="宋体"/>
          <w:color w:val="auto"/>
          <w:sz w:val="24"/>
          <w:szCs w:val="24"/>
          <w:highlight w:val="none"/>
        </w:rPr>
        <w:t>元（¥</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62328F3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三、本保函</w:t>
      </w:r>
      <w:r>
        <w:rPr>
          <w:rFonts w:ascii="宋体" w:hAnsi="宋体"/>
          <w:color w:val="auto"/>
          <w:sz w:val="24"/>
          <w:szCs w:val="24"/>
          <w:highlight w:val="none"/>
        </w:rPr>
        <w:t>有效期自</w:t>
      </w:r>
      <w:r>
        <w:rPr>
          <w:rFonts w:hint="eastAsia" w:ascii="宋体" w:hAnsi="宋体"/>
          <w:color w:val="auto"/>
          <w:sz w:val="24"/>
          <w:szCs w:val="24"/>
          <w:highlight w:val="none"/>
        </w:rPr>
        <w:t>开立之日起</w:t>
      </w:r>
      <w:r>
        <w:rPr>
          <w:rFonts w:ascii="宋体" w:hAnsi="宋体"/>
          <w:color w:val="auto"/>
          <w:sz w:val="24"/>
          <w:szCs w:val="24"/>
          <w:highlight w:val="none"/>
        </w:rPr>
        <w:t>至</w:t>
      </w:r>
      <w:r>
        <w:rPr>
          <w:rFonts w:hint="eastAsia" w:ascii="宋体" w:hAnsi="宋体"/>
          <w:color w:val="auto"/>
          <w:sz w:val="24"/>
          <w:szCs w:val="24"/>
          <w:highlight w:val="none"/>
        </w:rPr>
        <w:t>基础合同约定的缺陷责任期</w:t>
      </w:r>
      <w:r>
        <w:rPr>
          <w:rFonts w:ascii="宋体" w:hAnsi="宋体"/>
          <w:color w:val="auto"/>
          <w:sz w:val="24"/>
          <w:szCs w:val="24"/>
          <w:highlight w:val="none"/>
        </w:rPr>
        <w:t>后</w:t>
      </w:r>
      <w:r>
        <w:rPr>
          <w:rFonts w:ascii="宋体" w:hAnsi="宋体"/>
          <w:color w:val="auto"/>
          <w:sz w:val="24"/>
          <w:szCs w:val="24"/>
          <w:highlight w:val="none"/>
          <w:u w:val="single"/>
        </w:rPr>
        <w:t xml:space="preserve">   </w:t>
      </w:r>
      <w:r>
        <w:rPr>
          <w:rFonts w:hint="eastAsia" w:ascii="宋体" w:hAnsi="宋体"/>
          <w:color w:val="auto"/>
          <w:sz w:val="24"/>
          <w:szCs w:val="24"/>
          <w:highlight w:val="none"/>
        </w:rPr>
        <w:t>日止，最迟不超过</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日</w:t>
      </w:r>
      <w:r>
        <w:rPr>
          <w:rFonts w:ascii="宋体" w:hAnsi="宋体"/>
          <w:color w:val="auto"/>
          <w:sz w:val="24"/>
          <w:szCs w:val="24"/>
          <w:highlight w:val="none"/>
        </w:rPr>
        <w:t xml:space="preserve">。 </w:t>
      </w:r>
    </w:p>
    <w:p w14:paraId="1B2CADD3">
      <w:pPr>
        <w:spacing w:line="360" w:lineRule="auto"/>
        <w:ind w:firstLine="480"/>
        <w:rPr>
          <w:rFonts w:ascii="宋体" w:hAnsi="宋体"/>
          <w:color w:val="auto"/>
          <w:sz w:val="24"/>
          <w:szCs w:val="24"/>
          <w:highlight w:val="none"/>
        </w:rPr>
      </w:pPr>
      <w:r>
        <w:rPr>
          <w:rFonts w:hint="eastAsia" w:ascii="宋体" w:hAnsi="宋体"/>
          <w:color w:val="auto"/>
          <w:sz w:val="24"/>
          <w:szCs w:val="24"/>
          <w:highlight w:val="none"/>
        </w:rPr>
        <w:t>四、我方承诺，在收到受益人发来的书面付款通知后的</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日内无条件支付，前述书面付款通知即为付款要求之单据，且应满足以下要求：</w:t>
      </w:r>
    </w:p>
    <w:p w14:paraId="58E077F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（1）付款通知到达的日期在本保函的有效期内；</w:t>
      </w:r>
    </w:p>
    <w:p w14:paraId="0E032B7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（2）载明要求支付的金额；</w:t>
      </w:r>
    </w:p>
    <w:p w14:paraId="5F24DC7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（3）载明申请人违反合同义务的条款和内容；</w:t>
      </w:r>
    </w:p>
    <w:p w14:paraId="5113428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（4）声明不存在合同文件约定或我国法律规定免除申请人或开立人支付责任的情形；</w:t>
      </w:r>
    </w:p>
    <w:p w14:paraId="3B0996F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（5）付款通知应在本保函有效期内到达的地址是：</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5574339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受益人发出的书面付款通知应由其为鉴明受益人法定代表人（负责人）或授权代理人签字并加盖公章。</w:t>
      </w:r>
    </w:p>
    <w:p w14:paraId="2409592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五、</w:t>
      </w:r>
      <w:r>
        <w:rPr>
          <w:rFonts w:ascii="宋体" w:hAnsi="宋体"/>
          <w:color w:val="auto"/>
          <w:sz w:val="24"/>
          <w:szCs w:val="24"/>
          <w:highlight w:val="none"/>
        </w:rPr>
        <w:t>本保函项下的权利不得转让，不得设定担保。贵方未经我方书面同意转 让本保函或其项下任何权利，</w:t>
      </w:r>
      <w:r>
        <w:rPr>
          <w:rFonts w:hint="eastAsia" w:ascii="宋体" w:hAnsi="宋体"/>
          <w:color w:val="auto"/>
          <w:sz w:val="24"/>
          <w:szCs w:val="24"/>
          <w:highlight w:val="none"/>
        </w:rPr>
        <w:t>对我方不发生法律效力</w:t>
      </w:r>
      <w:r>
        <w:rPr>
          <w:rFonts w:ascii="宋体" w:hAnsi="宋体"/>
          <w:color w:val="auto"/>
          <w:sz w:val="24"/>
          <w:szCs w:val="24"/>
          <w:highlight w:val="none"/>
        </w:rPr>
        <w:t xml:space="preserve">。 </w:t>
      </w:r>
    </w:p>
    <w:p w14:paraId="757139F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六、与</w:t>
      </w:r>
      <w:r>
        <w:rPr>
          <w:rFonts w:ascii="宋体" w:hAnsi="宋体"/>
          <w:color w:val="auto"/>
          <w:sz w:val="24"/>
          <w:szCs w:val="24"/>
          <w:highlight w:val="none"/>
        </w:rPr>
        <w:t>本保函</w:t>
      </w:r>
      <w:r>
        <w:rPr>
          <w:rFonts w:hint="eastAsia" w:ascii="宋体" w:hAnsi="宋体"/>
          <w:color w:val="auto"/>
          <w:sz w:val="24"/>
          <w:szCs w:val="24"/>
          <w:highlight w:val="none"/>
        </w:rPr>
        <w:t>有关</w:t>
      </w:r>
      <w:r>
        <w:rPr>
          <w:rFonts w:ascii="宋体" w:hAnsi="宋体"/>
          <w:color w:val="auto"/>
          <w:sz w:val="24"/>
          <w:szCs w:val="24"/>
          <w:highlight w:val="none"/>
        </w:rPr>
        <w:t>的</w:t>
      </w:r>
      <w:r>
        <w:rPr>
          <w:rFonts w:hint="eastAsia" w:ascii="宋体" w:hAnsi="宋体"/>
          <w:color w:val="auto"/>
          <w:sz w:val="24"/>
          <w:szCs w:val="24"/>
          <w:highlight w:val="none"/>
        </w:rPr>
        <w:t>基础</w:t>
      </w:r>
      <w:r>
        <w:rPr>
          <w:rFonts w:ascii="宋体" w:hAnsi="宋体"/>
          <w:color w:val="auto"/>
          <w:sz w:val="24"/>
          <w:szCs w:val="24"/>
          <w:highlight w:val="none"/>
        </w:rPr>
        <w:t xml:space="preserve">合同不成立、不生效、无效、被撤销、被解除，不影响本保函的独立有效。 </w:t>
      </w:r>
    </w:p>
    <w:p w14:paraId="041E877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七、</w:t>
      </w:r>
      <w:r>
        <w:rPr>
          <w:rFonts w:ascii="宋体" w:hAnsi="宋体"/>
          <w:color w:val="auto"/>
          <w:sz w:val="24"/>
          <w:szCs w:val="24"/>
          <w:highlight w:val="none"/>
        </w:rPr>
        <w:t>贵方应在本保函到期后的七日内将本保函正本退回我方注销，但是不论贵方是否按此要求将本保函正本退回我方，我方在本保函项下的义务和责任均在保函</w:t>
      </w:r>
      <w:r>
        <w:rPr>
          <w:rFonts w:hint="eastAsia" w:ascii="宋体" w:hAnsi="宋体"/>
          <w:color w:val="auto"/>
          <w:sz w:val="24"/>
          <w:szCs w:val="24"/>
          <w:highlight w:val="none"/>
        </w:rPr>
        <w:t>有效期</w:t>
      </w:r>
      <w:r>
        <w:rPr>
          <w:rFonts w:ascii="宋体" w:hAnsi="宋体"/>
          <w:color w:val="auto"/>
          <w:sz w:val="24"/>
          <w:szCs w:val="24"/>
          <w:highlight w:val="none"/>
        </w:rPr>
        <w:t xml:space="preserve">到期后自动消灭。 </w:t>
      </w:r>
    </w:p>
    <w:p w14:paraId="7B33417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八、</w:t>
      </w:r>
      <w:r>
        <w:rPr>
          <w:rFonts w:ascii="宋体" w:hAnsi="宋体"/>
          <w:color w:val="auto"/>
          <w:sz w:val="24"/>
          <w:szCs w:val="24"/>
          <w:highlight w:val="none"/>
        </w:rPr>
        <w:t>本保函</w:t>
      </w:r>
      <w:r>
        <w:rPr>
          <w:rFonts w:hint="eastAsia" w:ascii="宋体" w:hAnsi="宋体"/>
          <w:color w:val="auto"/>
          <w:sz w:val="24"/>
          <w:szCs w:val="24"/>
          <w:highlight w:val="none"/>
        </w:rPr>
        <w:t>适用的法律为中华人民共和国法律，争议裁判管辖地为中华人民共和国</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5D5FDA8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九、</w:t>
      </w:r>
      <w:r>
        <w:rPr>
          <w:rFonts w:ascii="宋体" w:hAnsi="宋体"/>
          <w:color w:val="auto"/>
          <w:sz w:val="24"/>
          <w:szCs w:val="24"/>
          <w:highlight w:val="none"/>
        </w:rPr>
        <w:t>本保函自我方法定代表人</w:t>
      </w:r>
      <w:r>
        <w:rPr>
          <w:rFonts w:hint="eastAsia" w:ascii="宋体" w:hAnsi="宋体"/>
          <w:color w:val="auto"/>
          <w:sz w:val="24"/>
          <w:szCs w:val="24"/>
          <w:highlight w:val="none"/>
        </w:rPr>
        <w:t>或授权代表</w:t>
      </w:r>
      <w:r>
        <w:rPr>
          <w:rFonts w:ascii="宋体" w:hAnsi="宋体"/>
          <w:color w:val="auto"/>
          <w:sz w:val="24"/>
          <w:szCs w:val="24"/>
          <w:highlight w:val="none"/>
        </w:rPr>
        <w:t>签字</w:t>
      </w:r>
      <w:r>
        <w:rPr>
          <w:rFonts w:hint="eastAsia" w:ascii="宋体" w:hAnsi="宋体"/>
          <w:color w:val="auto"/>
          <w:sz w:val="24"/>
          <w:szCs w:val="24"/>
          <w:highlight w:val="none"/>
        </w:rPr>
        <w:t>并</w:t>
      </w:r>
      <w:r>
        <w:rPr>
          <w:rFonts w:ascii="宋体" w:hAnsi="宋体"/>
          <w:color w:val="auto"/>
          <w:sz w:val="24"/>
          <w:szCs w:val="24"/>
          <w:highlight w:val="none"/>
        </w:rPr>
        <w:t xml:space="preserve">加盖公章之日起生效。 </w:t>
      </w:r>
    </w:p>
    <w:p w14:paraId="6D3215C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开 立 人</w:t>
      </w:r>
      <w:r>
        <w:rPr>
          <w:rFonts w:ascii="宋体" w:hAnsi="宋体"/>
          <w:color w:val="auto"/>
          <w:sz w:val="24"/>
          <w:szCs w:val="24"/>
          <w:highlight w:val="none"/>
        </w:rPr>
        <w:t xml:space="preserve">：                </w:t>
      </w: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公</w:t>
      </w:r>
      <w:r>
        <w:rPr>
          <w:rFonts w:ascii="宋体" w:hAnsi="宋体"/>
          <w:color w:val="auto"/>
          <w:sz w:val="24"/>
          <w:szCs w:val="24"/>
          <w:highlight w:val="none"/>
        </w:rPr>
        <w:t xml:space="preserve">章） </w:t>
      </w:r>
    </w:p>
    <w:p w14:paraId="32B7A2A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法定代表人（或授权代表）：</w:t>
      </w:r>
      <w:r>
        <w:rPr>
          <w:rFonts w:ascii="宋体" w:hAnsi="宋体"/>
          <w:color w:val="auto"/>
          <w:sz w:val="24"/>
          <w:szCs w:val="24"/>
          <w:highlight w:val="none"/>
        </w:rPr>
        <w:t xml:space="preserve">               （签字） </w:t>
      </w:r>
    </w:p>
    <w:p w14:paraId="56633F9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地</w:t>
      </w:r>
      <w:r>
        <w:rPr>
          <w:rFonts w:ascii="宋体" w:hAnsi="宋体"/>
          <w:color w:val="auto"/>
          <w:sz w:val="24"/>
          <w:szCs w:val="24"/>
          <w:highlight w:val="none"/>
        </w:rPr>
        <w:t xml:space="preserve">    址：                                       </w:t>
      </w:r>
    </w:p>
    <w:p w14:paraId="11C7075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邮政编码：</w:t>
      </w:r>
      <w:r>
        <w:rPr>
          <w:rFonts w:ascii="宋体" w:hAnsi="宋体"/>
          <w:color w:val="auto"/>
          <w:sz w:val="24"/>
          <w:szCs w:val="24"/>
          <w:highlight w:val="none"/>
        </w:rPr>
        <w:t xml:space="preserve">                 </w:t>
      </w:r>
    </w:p>
    <w:p w14:paraId="57AB08A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电</w:t>
      </w:r>
      <w:r>
        <w:rPr>
          <w:rFonts w:ascii="宋体" w:hAnsi="宋体"/>
          <w:color w:val="auto"/>
          <w:sz w:val="24"/>
          <w:szCs w:val="24"/>
          <w:highlight w:val="none"/>
        </w:rPr>
        <w:t xml:space="preserve">    话：                 </w:t>
      </w:r>
    </w:p>
    <w:p w14:paraId="61CF527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传</w:t>
      </w:r>
      <w:r>
        <w:rPr>
          <w:rFonts w:ascii="宋体" w:hAnsi="宋体"/>
          <w:color w:val="auto"/>
          <w:sz w:val="24"/>
          <w:szCs w:val="24"/>
          <w:highlight w:val="none"/>
        </w:rPr>
        <w:t xml:space="preserve">    真：                 </w:t>
      </w:r>
    </w:p>
    <w:p w14:paraId="1D6CA98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开立时间：</w:t>
      </w:r>
      <w:r>
        <w:rPr>
          <w:rFonts w:ascii="宋体" w:hAnsi="宋体"/>
          <w:color w:val="auto"/>
          <w:sz w:val="24"/>
          <w:szCs w:val="24"/>
          <w:highlight w:val="none"/>
        </w:rPr>
        <w:t xml:space="preserve">      年      月    </w:t>
      </w:r>
    </w:p>
    <w:p w14:paraId="49EC785C">
      <w:pPr>
        <w:spacing w:line="360" w:lineRule="auto"/>
        <w:ind w:firstLine="480" w:firstLineChars="200"/>
        <w:rPr>
          <w:rFonts w:ascii="宋体" w:hAnsi="宋体"/>
          <w:color w:val="auto"/>
          <w:sz w:val="24"/>
          <w:szCs w:val="24"/>
          <w:highlight w:val="none"/>
        </w:rPr>
      </w:pPr>
    </w:p>
    <w:p w14:paraId="38FAACAA">
      <w:pPr>
        <w:spacing w:line="360" w:lineRule="auto"/>
        <w:ind w:firstLine="480" w:firstLineChars="200"/>
        <w:rPr>
          <w:rFonts w:ascii="宋体" w:hAnsi="宋体"/>
          <w:color w:val="auto"/>
          <w:sz w:val="24"/>
          <w:szCs w:val="24"/>
          <w:highlight w:val="none"/>
        </w:rPr>
      </w:pPr>
    </w:p>
    <w:p w14:paraId="27BD0584">
      <w:pPr>
        <w:spacing w:line="360" w:lineRule="auto"/>
        <w:ind w:firstLine="480" w:firstLineChars="200"/>
        <w:rPr>
          <w:rFonts w:ascii="宋体" w:hAnsi="宋体"/>
          <w:color w:val="auto"/>
          <w:sz w:val="24"/>
          <w:szCs w:val="24"/>
          <w:highlight w:val="none"/>
        </w:rPr>
      </w:pPr>
    </w:p>
    <w:p w14:paraId="525E779C">
      <w:pPr>
        <w:spacing w:line="360" w:lineRule="auto"/>
        <w:ind w:firstLine="480" w:firstLineChars="200"/>
        <w:rPr>
          <w:rFonts w:ascii="宋体" w:hAnsi="宋体"/>
          <w:color w:val="auto"/>
          <w:sz w:val="24"/>
          <w:szCs w:val="24"/>
          <w:highlight w:val="none"/>
        </w:rPr>
      </w:pPr>
    </w:p>
    <w:p w14:paraId="38FB11A0">
      <w:pPr>
        <w:spacing w:line="360" w:lineRule="auto"/>
        <w:ind w:firstLine="480" w:firstLineChars="200"/>
        <w:rPr>
          <w:rFonts w:ascii="宋体" w:hAnsi="宋体"/>
          <w:color w:val="auto"/>
          <w:sz w:val="24"/>
          <w:szCs w:val="24"/>
          <w:highlight w:val="none"/>
        </w:rPr>
      </w:pPr>
    </w:p>
    <w:p w14:paraId="5E1CE739">
      <w:pPr>
        <w:spacing w:line="360" w:lineRule="auto"/>
        <w:ind w:firstLine="480" w:firstLineChars="200"/>
        <w:rPr>
          <w:rFonts w:ascii="宋体" w:hAnsi="宋体"/>
          <w:color w:val="auto"/>
          <w:sz w:val="24"/>
          <w:szCs w:val="24"/>
          <w:highlight w:val="none"/>
        </w:rPr>
      </w:pPr>
    </w:p>
    <w:p w14:paraId="67D5BECE">
      <w:pPr>
        <w:spacing w:line="360" w:lineRule="auto"/>
        <w:jc w:val="left"/>
        <w:rPr>
          <w:rFonts w:eastAsia="仿宋_GB2312"/>
          <w:color w:val="auto"/>
          <w:sz w:val="30"/>
          <w:szCs w:val="30"/>
          <w:highlight w:val="none"/>
        </w:rPr>
      </w:pPr>
    </w:p>
    <w:p w14:paraId="76455E79">
      <w:pPr>
        <w:spacing w:line="360" w:lineRule="auto"/>
        <w:jc w:val="left"/>
        <w:rPr>
          <w:rFonts w:ascii="宋体" w:hAnsi="宋体"/>
          <w:color w:val="auto"/>
          <w:sz w:val="32"/>
          <w:szCs w:val="32"/>
          <w:highlight w:val="none"/>
        </w:rPr>
      </w:pPr>
      <w:r>
        <w:rPr>
          <w:rFonts w:hint="eastAsia" w:eastAsia="仿宋_GB2312" w:cs="仿宋_GB2312"/>
          <w:color w:val="auto"/>
          <w:sz w:val="30"/>
          <w:szCs w:val="30"/>
          <w:highlight w:val="none"/>
        </w:rPr>
        <w:t>附</w:t>
      </w:r>
      <w:bookmarkStart w:id="1366" w:name="_Toc296944570"/>
      <w:bookmarkStart w:id="1367" w:name="_Toc296891059"/>
      <w:bookmarkStart w:id="1368" w:name="_Toc296347230"/>
      <w:bookmarkStart w:id="1369" w:name="_Toc296891271"/>
      <w:bookmarkStart w:id="1370" w:name="_Toc296346732"/>
      <w:bookmarkStart w:id="1371" w:name="_Toc296503231"/>
      <w:r>
        <w:rPr>
          <w:rFonts w:hint="eastAsia" w:eastAsia="仿宋_GB2312" w:cs="仿宋_GB2312"/>
          <w:color w:val="auto"/>
          <w:sz w:val="30"/>
          <w:szCs w:val="30"/>
          <w:highlight w:val="none"/>
        </w:rPr>
        <w:t>件</w:t>
      </w:r>
      <w:r>
        <w:rPr>
          <w:rFonts w:hint="eastAsia" w:eastAsia="仿宋_GB2312"/>
          <w:color w:val="auto"/>
          <w:sz w:val="30"/>
          <w:szCs w:val="30"/>
          <w:highlight w:val="none"/>
        </w:rPr>
        <w:t>7</w:t>
      </w:r>
      <w:r>
        <w:rPr>
          <w:rFonts w:hint="eastAsia" w:eastAsia="仿宋_GB2312" w:cs="仿宋_GB2312"/>
          <w:color w:val="auto"/>
          <w:sz w:val="30"/>
          <w:szCs w:val="30"/>
          <w:highlight w:val="none"/>
        </w:rPr>
        <w:t>：履约保函示范文本</w:t>
      </w:r>
    </w:p>
    <w:p w14:paraId="017FE961">
      <w:pPr>
        <w:spacing w:line="360" w:lineRule="auto"/>
        <w:rPr>
          <w:rFonts w:ascii="宋体" w:hAnsi="宋体"/>
          <w:b/>
          <w:bCs/>
          <w:color w:val="auto"/>
          <w:sz w:val="32"/>
          <w:szCs w:val="32"/>
          <w:highlight w:val="none"/>
        </w:rPr>
      </w:pPr>
    </w:p>
    <w:p w14:paraId="5B8E4BE9">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履约保函示范文本</w:t>
      </w:r>
    </w:p>
    <w:p w14:paraId="08B0DB07">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（非独立保函）</w:t>
      </w:r>
    </w:p>
    <w:p w14:paraId="2510480F">
      <w:pPr>
        <w:spacing w:line="360" w:lineRule="auto"/>
        <w:jc w:val="center"/>
        <w:rPr>
          <w:rFonts w:ascii="宋体" w:hAnsi="宋体"/>
          <w:b/>
          <w:bCs/>
          <w:color w:val="auto"/>
          <w:sz w:val="32"/>
          <w:szCs w:val="32"/>
          <w:highlight w:val="none"/>
        </w:rPr>
      </w:pPr>
    </w:p>
    <w:p w14:paraId="0C6334BC">
      <w:pPr>
        <w:wordWrap w:val="0"/>
        <w:spacing w:line="360" w:lineRule="auto"/>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31D7C002">
      <w:pPr>
        <w:spacing w:line="360" w:lineRule="auto"/>
        <w:rPr>
          <w:rFonts w:ascii="宋体" w:hAnsi="宋体"/>
          <w:color w:val="auto"/>
          <w:sz w:val="24"/>
          <w:szCs w:val="24"/>
          <w:highlight w:val="none"/>
        </w:rPr>
      </w:pPr>
      <w:r>
        <w:rPr>
          <w:rFonts w:hint="eastAsia" w:ascii="宋体" w:hAnsi="宋体"/>
          <w:color w:val="auto"/>
          <w:sz w:val="24"/>
          <w:szCs w:val="24"/>
          <w:highlight w:val="none"/>
        </w:rPr>
        <w:t>承包人：</w:t>
      </w:r>
    </w:p>
    <w:p w14:paraId="11758AE6">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r>
        <w:rPr>
          <w:rFonts w:ascii="宋体" w:hAnsi="宋体"/>
          <w:color w:val="auto"/>
          <w:sz w:val="24"/>
          <w:szCs w:val="24"/>
          <w:highlight w:val="none"/>
        </w:rPr>
        <w:t>：</w:t>
      </w:r>
    </w:p>
    <w:p w14:paraId="24F4EB4C">
      <w:pPr>
        <w:spacing w:line="360" w:lineRule="auto"/>
        <w:rPr>
          <w:rFonts w:ascii="宋体" w:hAnsi="宋体"/>
          <w:color w:val="auto"/>
          <w:sz w:val="24"/>
          <w:szCs w:val="24"/>
          <w:highlight w:val="none"/>
        </w:rPr>
      </w:pPr>
      <w:r>
        <w:rPr>
          <w:rFonts w:hint="eastAsia" w:ascii="宋体" w:hAnsi="宋体"/>
          <w:color w:val="auto"/>
          <w:sz w:val="24"/>
          <w:szCs w:val="24"/>
          <w:highlight w:val="none"/>
        </w:rPr>
        <w:t>担保权人/发包人：</w:t>
      </w:r>
      <w:r>
        <w:rPr>
          <w:rFonts w:ascii="宋体" w:hAnsi="宋体"/>
          <w:color w:val="auto"/>
          <w:sz w:val="24"/>
          <w:szCs w:val="24"/>
          <w:highlight w:val="none"/>
        </w:rPr>
        <w:t xml:space="preserve"> </w:t>
      </w:r>
    </w:p>
    <w:p w14:paraId="5BF71B21">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p>
    <w:p w14:paraId="2969D7B9">
      <w:pPr>
        <w:spacing w:line="360" w:lineRule="auto"/>
        <w:rPr>
          <w:rFonts w:ascii="宋体" w:hAnsi="宋体"/>
          <w:color w:val="auto"/>
          <w:sz w:val="24"/>
          <w:szCs w:val="24"/>
          <w:highlight w:val="none"/>
        </w:rPr>
      </w:pPr>
      <w:r>
        <w:rPr>
          <w:rFonts w:hint="eastAsia" w:ascii="宋体" w:hAnsi="宋体"/>
          <w:color w:val="auto"/>
          <w:sz w:val="24"/>
          <w:szCs w:val="24"/>
          <w:highlight w:val="none"/>
        </w:rPr>
        <w:t>保证人：</w:t>
      </w:r>
    </w:p>
    <w:p w14:paraId="694506F1">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p>
    <w:p w14:paraId="52824DBA">
      <w:pPr>
        <w:spacing w:line="360" w:lineRule="auto"/>
        <w:rPr>
          <w:rFonts w:ascii="宋体" w:hAnsi="宋体"/>
          <w:color w:val="auto"/>
          <w:sz w:val="24"/>
          <w:szCs w:val="24"/>
          <w:highlight w:val="none"/>
        </w:rPr>
      </w:pPr>
    </w:p>
    <w:p w14:paraId="55551E28">
      <w:pPr>
        <w:spacing w:line="360" w:lineRule="auto"/>
        <w:rPr>
          <w:rFonts w:ascii="宋体" w:hAnsi="宋体"/>
          <w:color w:val="auto"/>
          <w:sz w:val="24"/>
          <w:szCs w:val="24"/>
          <w:highlight w:val="none"/>
        </w:rPr>
      </w:pPr>
      <w:r>
        <w:rPr>
          <w:rFonts w:ascii="宋体" w:hAnsi="宋体"/>
          <w:color w:val="auto"/>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发包人</w:t>
      </w:r>
      <w:r>
        <w:rPr>
          <w:rFonts w:ascii="宋体" w:hAnsi="宋体"/>
          <w:color w:val="auto"/>
          <w:sz w:val="24"/>
          <w:szCs w:val="24"/>
          <w:highlight w:val="none"/>
        </w:rPr>
        <w:t xml:space="preserve">名称）： </w:t>
      </w:r>
    </w:p>
    <w:p w14:paraId="650E2F6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鉴于</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发包人</w:t>
      </w:r>
      <w:r>
        <w:rPr>
          <w:rFonts w:hint="eastAsia" w:ascii="宋体" w:hAnsi="宋体"/>
          <w:color w:val="auto"/>
          <w:sz w:val="24"/>
          <w:szCs w:val="24"/>
          <w:highlight w:val="none"/>
          <w:lang w:eastAsia="zh-CN"/>
        </w:rPr>
        <w:t>”</w:t>
      </w:r>
      <w:r>
        <w:rPr>
          <w:rFonts w:ascii="宋体" w:hAnsi="宋体"/>
          <w:color w:val="auto"/>
          <w:sz w:val="24"/>
          <w:szCs w:val="24"/>
          <w:highlight w:val="none"/>
        </w:rPr>
        <w:t>）</w:t>
      </w:r>
      <w:r>
        <w:rPr>
          <w:rFonts w:hint="eastAsia" w:ascii="宋体" w:hAnsi="宋体"/>
          <w:color w:val="auto"/>
          <w:sz w:val="24"/>
          <w:szCs w:val="24"/>
          <w:highlight w:val="none"/>
        </w:rPr>
        <w:t>与</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承包人</w:t>
      </w:r>
      <w:r>
        <w:rPr>
          <w:rFonts w:hint="eastAsia" w:ascii="宋体" w:hAnsi="宋体"/>
          <w:color w:val="auto"/>
          <w:sz w:val="24"/>
          <w:szCs w:val="24"/>
          <w:highlight w:val="none"/>
          <w:lang w:eastAsia="zh-CN"/>
        </w:rPr>
        <w:t>”</w:t>
      </w:r>
      <w:r>
        <w:rPr>
          <w:rFonts w:ascii="宋体" w:hAnsi="宋体"/>
          <w:color w:val="auto"/>
          <w:sz w:val="24"/>
          <w:szCs w:val="24"/>
          <w:highlight w:val="none"/>
        </w:rPr>
        <w:t>）</w:t>
      </w:r>
      <w:r>
        <w:rPr>
          <w:rFonts w:hint="eastAsia" w:ascii="宋体" w:hAnsi="宋体"/>
          <w:color w:val="auto"/>
          <w:sz w:val="24"/>
          <w:szCs w:val="24"/>
          <w:highlight w:val="none"/>
        </w:rPr>
        <w:t>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日就</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工程（以下简称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本工程</w:t>
      </w:r>
      <w:r>
        <w:rPr>
          <w:rFonts w:hint="eastAsia" w:ascii="宋体" w:hAnsi="宋体"/>
          <w:color w:val="auto"/>
          <w:sz w:val="24"/>
          <w:szCs w:val="24"/>
          <w:highlight w:val="none"/>
          <w:lang w:eastAsia="zh-CN"/>
        </w:rPr>
        <w:t>”</w:t>
      </w:r>
      <w:r>
        <w:rPr>
          <w:rFonts w:hint="eastAsia" w:ascii="宋体" w:hAnsi="宋体"/>
          <w:color w:val="auto"/>
          <w:sz w:val="24"/>
          <w:szCs w:val="24"/>
          <w:highlight w:val="none"/>
        </w:rPr>
        <w:t>）施工和有关事项协商一致共同签订</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w:t>
      </w:r>
      <w:r>
        <w:rPr>
          <w:rFonts w:hint="eastAsia" w:ascii="宋体" w:hAnsi="宋体"/>
          <w:color w:val="auto"/>
          <w:sz w:val="24"/>
          <w:szCs w:val="24"/>
          <w:highlight w:val="none"/>
        </w:rPr>
        <w:t>（以下简称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主合同</w:t>
      </w:r>
      <w:r>
        <w:rPr>
          <w:rFonts w:hint="eastAsia" w:ascii="宋体" w:hAnsi="宋体"/>
          <w:color w:val="auto"/>
          <w:sz w:val="24"/>
          <w:szCs w:val="24"/>
          <w:highlight w:val="none"/>
          <w:lang w:eastAsia="zh-CN"/>
        </w:rPr>
        <w:t>”</w:t>
      </w:r>
      <w:r>
        <w:rPr>
          <w:rFonts w:hint="eastAsia" w:ascii="宋体" w:hAnsi="宋体"/>
          <w:color w:val="auto"/>
          <w:sz w:val="24"/>
          <w:szCs w:val="24"/>
          <w:highlight w:val="none"/>
        </w:rPr>
        <w:t>），我方即保证人基于承包人</w:t>
      </w:r>
      <w:r>
        <w:rPr>
          <w:rFonts w:ascii="宋体" w:hAnsi="宋体"/>
          <w:color w:val="auto"/>
          <w:sz w:val="24"/>
          <w:szCs w:val="24"/>
          <w:highlight w:val="none"/>
        </w:rPr>
        <w:t>的请求，同意就</w:t>
      </w:r>
      <w:r>
        <w:rPr>
          <w:rFonts w:hint="eastAsia" w:ascii="宋体" w:hAnsi="宋体"/>
          <w:color w:val="auto"/>
          <w:sz w:val="24"/>
          <w:szCs w:val="24"/>
          <w:highlight w:val="none"/>
        </w:rPr>
        <w:t>承包人</w:t>
      </w:r>
      <w:r>
        <w:rPr>
          <w:rFonts w:ascii="宋体" w:hAnsi="宋体"/>
          <w:color w:val="auto"/>
          <w:sz w:val="24"/>
          <w:szCs w:val="24"/>
          <w:highlight w:val="none"/>
        </w:rPr>
        <w:t>履行</w:t>
      </w:r>
      <w:r>
        <w:rPr>
          <w:rFonts w:hint="eastAsia" w:ascii="宋体" w:hAnsi="宋体"/>
          <w:color w:val="auto"/>
          <w:sz w:val="24"/>
          <w:szCs w:val="24"/>
          <w:highlight w:val="none"/>
        </w:rPr>
        <w:t>与贵方签订的主合同</w:t>
      </w:r>
      <w:r>
        <w:rPr>
          <w:rFonts w:ascii="宋体" w:hAnsi="宋体"/>
          <w:color w:val="auto"/>
          <w:sz w:val="24"/>
          <w:szCs w:val="24"/>
          <w:highlight w:val="none"/>
        </w:rPr>
        <w:t>项下的义务</w:t>
      </w:r>
      <w:r>
        <w:rPr>
          <w:rFonts w:hint="eastAsia" w:ascii="宋体" w:hAnsi="宋体"/>
          <w:color w:val="auto"/>
          <w:sz w:val="24"/>
          <w:szCs w:val="24"/>
          <w:highlight w:val="none"/>
        </w:rPr>
        <w:t>，</w:t>
      </w:r>
      <w:r>
        <w:rPr>
          <w:rFonts w:ascii="宋体" w:hAnsi="宋体"/>
          <w:color w:val="auto"/>
          <w:sz w:val="24"/>
          <w:szCs w:val="24"/>
          <w:highlight w:val="none"/>
        </w:rPr>
        <w:t>向贵方提供</w:t>
      </w:r>
      <w:r>
        <w:rPr>
          <w:rFonts w:hint="eastAsia" w:ascii="宋体" w:hAnsi="宋体"/>
          <w:color w:val="auto"/>
          <w:sz w:val="24"/>
          <w:szCs w:val="24"/>
          <w:highlight w:val="none"/>
        </w:rPr>
        <w:t>如下保证担保（以下简称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本保证担保</w:t>
      </w:r>
      <w:r>
        <w:rPr>
          <w:rFonts w:hint="eastAsia" w:ascii="宋体" w:hAnsi="宋体"/>
          <w:color w:val="auto"/>
          <w:sz w:val="24"/>
          <w:szCs w:val="24"/>
          <w:highlight w:val="none"/>
          <w:lang w:eastAsia="zh-CN"/>
        </w:rPr>
        <w:t>”</w:t>
      </w:r>
      <w:r>
        <w:rPr>
          <w:rFonts w:hint="eastAsia" w:ascii="宋体" w:hAnsi="宋体"/>
          <w:color w:val="auto"/>
          <w:sz w:val="24"/>
          <w:szCs w:val="24"/>
          <w:highlight w:val="none"/>
        </w:rPr>
        <w:t>）</w:t>
      </w:r>
      <w:r>
        <w:rPr>
          <w:rFonts w:ascii="宋体" w:hAnsi="宋体"/>
          <w:color w:val="auto"/>
          <w:sz w:val="24"/>
          <w:szCs w:val="24"/>
          <w:highlight w:val="none"/>
        </w:rPr>
        <w:t xml:space="preserve">。 </w:t>
      </w:r>
    </w:p>
    <w:p w14:paraId="7CC9C03D">
      <w:pPr>
        <w:spacing w:line="360" w:lineRule="auto"/>
        <w:rPr>
          <w:rFonts w:ascii="宋体" w:hAnsi="宋体"/>
          <w:b/>
          <w:bCs/>
          <w:color w:val="auto"/>
          <w:sz w:val="24"/>
          <w:szCs w:val="24"/>
          <w:highlight w:val="none"/>
        </w:rPr>
      </w:pPr>
      <w:r>
        <w:rPr>
          <w:rFonts w:hint="eastAsia" w:ascii="宋体" w:hAnsi="宋体"/>
          <w:color w:val="auto"/>
          <w:sz w:val="24"/>
          <w:szCs w:val="24"/>
          <w:highlight w:val="none"/>
        </w:rPr>
        <w:t xml:space="preserve">    </w:t>
      </w:r>
      <w:r>
        <w:rPr>
          <w:rFonts w:hint="eastAsia" w:ascii="宋体" w:hAnsi="宋体"/>
          <w:b/>
          <w:bCs/>
          <w:color w:val="auto"/>
          <w:sz w:val="24"/>
          <w:szCs w:val="24"/>
          <w:highlight w:val="none"/>
        </w:rPr>
        <w:t>一、保证担保的范围及保证担保金额</w:t>
      </w:r>
    </w:p>
    <w:p w14:paraId="56C7157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w:t>
      </w:r>
      <w:r>
        <w:rPr>
          <w:rFonts w:hint="eastAsia" w:ascii="宋体" w:hAnsi="宋体"/>
          <w:color w:val="auto"/>
          <w:sz w:val="24"/>
          <w:szCs w:val="24"/>
          <w:highlight w:val="none"/>
        </w:rPr>
        <w:t>保证担保范围：承包人未按照主合同的约定履行义务，应当向贵方承担的违约责任和赔偿因此造成的损失、利息、律师费、诉讼费用等实现债权的费用。</w:t>
      </w:r>
    </w:p>
    <w:p w14:paraId="7FA616F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保证担保金额最高不超过</w:t>
      </w:r>
      <w:r>
        <w:rPr>
          <w:rFonts w:ascii="宋体" w:hAnsi="宋体"/>
          <w:color w:val="auto"/>
          <w:sz w:val="24"/>
          <w:szCs w:val="24"/>
          <w:highlight w:val="none"/>
        </w:rPr>
        <w:t>人民币（大写）</w:t>
      </w:r>
      <w:r>
        <w:rPr>
          <w:rFonts w:ascii="宋体" w:hAnsi="宋体"/>
          <w:color w:val="auto"/>
          <w:sz w:val="24"/>
          <w:szCs w:val="24"/>
          <w:highlight w:val="none"/>
          <w:u w:val="single"/>
        </w:rPr>
        <w:t xml:space="preserve">          </w:t>
      </w:r>
      <w:r>
        <w:rPr>
          <w:rFonts w:ascii="宋体" w:hAnsi="宋体"/>
          <w:color w:val="auto"/>
          <w:sz w:val="24"/>
          <w:szCs w:val="24"/>
          <w:highlight w:val="none"/>
        </w:rPr>
        <w:t>元（¥</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65C9CA18">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二、保证担保的方式及保证期间</w:t>
      </w:r>
      <w:r>
        <w:rPr>
          <w:rFonts w:ascii="宋体" w:hAnsi="宋体"/>
          <w:b/>
          <w:bCs/>
          <w:color w:val="auto"/>
          <w:sz w:val="24"/>
          <w:szCs w:val="24"/>
          <w:highlight w:val="none"/>
        </w:rPr>
        <w:t xml:space="preserve"> </w:t>
      </w:r>
    </w:p>
    <w:p w14:paraId="0ED21D7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1.保证担保方式：连带责任保证。</w:t>
      </w:r>
    </w:p>
    <w:p w14:paraId="6BA6B15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保证期间：</w:t>
      </w:r>
      <w:r>
        <w:rPr>
          <w:rFonts w:ascii="宋体" w:hAnsi="宋体"/>
          <w:color w:val="auto"/>
          <w:sz w:val="24"/>
          <w:szCs w:val="24"/>
          <w:highlight w:val="none"/>
        </w:rPr>
        <w:t>自</w:t>
      </w:r>
      <w:r>
        <w:rPr>
          <w:rFonts w:hint="eastAsia" w:ascii="宋体" w:hAnsi="宋体"/>
          <w:color w:val="auto"/>
          <w:sz w:val="24"/>
          <w:szCs w:val="24"/>
          <w:highlight w:val="none"/>
        </w:rPr>
        <w:t>出具之日起</w:t>
      </w:r>
      <w:r>
        <w:rPr>
          <w:rFonts w:ascii="宋体" w:hAnsi="宋体"/>
          <w:color w:val="auto"/>
          <w:sz w:val="24"/>
          <w:szCs w:val="24"/>
          <w:highlight w:val="none"/>
        </w:rPr>
        <w:t>至</w:t>
      </w:r>
      <w:r>
        <w:rPr>
          <w:rFonts w:hint="eastAsia" w:ascii="宋体" w:hAnsi="宋体"/>
          <w:color w:val="auto"/>
          <w:sz w:val="24"/>
          <w:szCs w:val="24"/>
          <w:highlight w:val="none"/>
        </w:rPr>
        <w:t>主合同约定的缺陷责任期</w:t>
      </w:r>
      <w:r>
        <w:rPr>
          <w:rFonts w:ascii="宋体" w:hAnsi="宋体"/>
          <w:color w:val="auto"/>
          <w:sz w:val="24"/>
          <w:szCs w:val="24"/>
          <w:highlight w:val="none"/>
        </w:rPr>
        <w:t>后</w:t>
      </w:r>
      <w:r>
        <w:rPr>
          <w:rFonts w:ascii="宋体" w:hAnsi="宋体"/>
          <w:color w:val="auto"/>
          <w:sz w:val="24"/>
          <w:szCs w:val="24"/>
          <w:highlight w:val="none"/>
          <w:u w:val="single"/>
        </w:rPr>
        <w:t xml:space="preserve">   </w:t>
      </w:r>
      <w:r>
        <w:rPr>
          <w:rFonts w:ascii="宋体" w:hAnsi="宋体"/>
          <w:color w:val="auto"/>
          <w:sz w:val="24"/>
          <w:szCs w:val="24"/>
          <w:highlight w:val="none"/>
        </w:rPr>
        <w:t>日</w:t>
      </w:r>
      <w:r>
        <w:rPr>
          <w:rFonts w:hint="eastAsia" w:ascii="宋体" w:hAnsi="宋体"/>
          <w:color w:val="auto"/>
          <w:sz w:val="24"/>
          <w:szCs w:val="24"/>
          <w:highlight w:val="none"/>
        </w:rPr>
        <w:t>止，最迟不超过</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日</w:t>
      </w:r>
      <w:r>
        <w:rPr>
          <w:rFonts w:ascii="宋体" w:hAnsi="宋体"/>
          <w:color w:val="auto"/>
          <w:sz w:val="24"/>
          <w:szCs w:val="24"/>
          <w:highlight w:val="none"/>
        </w:rPr>
        <w:t xml:space="preserve">。 </w:t>
      </w:r>
    </w:p>
    <w:p w14:paraId="2598C854">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三、承担保证担保责任的形式</w:t>
      </w:r>
    </w:p>
    <w:p w14:paraId="7110AF6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我方按照贵方的要求以下列方式之一承担保证担保责任：</w:t>
      </w:r>
      <w:r>
        <w:rPr>
          <w:rFonts w:ascii="宋体" w:hAnsi="宋体"/>
          <w:color w:val="auto"/>
          <w:sz w:val="24"/>
          <w:szCs w:val="24"/>
          <w:highlight w:val="none"/>
        </w:rPr>
        <w:t xml:space="preserve"> </w:t>
      </w:r>
    </w:p>
    <w:p w14:paraId="42C43B1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1.向承包人资金、设备或者技术援助，使其能继续履行合同义务；</w:t>
      </w:r>
    </w:p>
    <w:p w14:paraId="74840A0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2.直接接管该项工程或者委托经贵方同意的其他承包商，继续履行合同义务；</w:t>
      </w:r>
    </w:p>
    <w:p w14:paraId="7BD9F33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3.在保证担保金额最高限额内，按照合同约定，向贵方承担违约责任和赔偿因此造成的损失，以及利息和律师费、诉讼费用等实现债权的费用。</w:t>
      </w:r>
    </w:p>
    <w:p w14:paraId="7AA9D76A">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四、代偿的安排</w:t>
      </w:r>
      <w:r>
        <w:rPr>
          <w:rFonts w:ascii="宋体" w:hAnsi="宋体"/>
          <w:b/>
          <w:bCs/>
          <w:color w:val="auto"/>
          <w:sz w:val="24"/>
          <w:szCs w:val="24"/>
          <w:highlight w:val="none"/>
        </w:rPr>
        <w:t xml:space="preserve"> </w:t>
      </w:r>
    </w:p>
    <w:p w14:paraId="42308D9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1.贵方要求我方承担保证责任的，应向我方发出书面索赔通知及承包人未履行主合同约定义务的证明材料。索赔通知应写明要求索赔的金额，支付款项应到达的</w:t>
      </w:r>
      <w:r>
        <w:rPr>
          <w:rFonts w:hint="eastAsia" w:ascii="宋体" w:hAnsi="宋体"/>
          <w:color w:val="auto"/>
          <w:sz w:val="24"/>
          <w:szCs w:val="24"/>
          <w:highlight w:val="none"/>
          <w:lang w:eastAsia="zh-CN"/>
        </w:rPr>
        <w:t>账</w:t>
      </w:r>
      <w:r>
        <w:rPr>
          <w:rFonts w:hint="eastAsia" w:ascii="宋体" w:hAnsi="宋体"/>
          <w:color w:val="auto"/>
          <w:sz w:val="24"/>
          <w:szCs w:val="24"/>
          <w:highlight w:val="none"/>
        </w:rPr>
        <w:t>号，并附有说明承包人违反主合同造成贵方损失情况的证明材料。</w:t>
      </w:r>
    </w:p>
    <w:p w14:paraId="2BC103A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2.贵方以工程质量不符合主合同约定标准为由，向我方提出违约索赔的，还需同时提供符合相应条件要求的工程质量检测部门出具的质量说明材料。</w:t>
      </w:r>
    </w:p>
    <w:p w14:paraId="795B58E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3.我方收到贵方的书面索赔通知及相应证明材料后，在</w:t>
      </w:r>
      <w:r>
        <w:rPr>
          <w:rFonts w:ascii="宋体" w:hAnsi="宋体"/>
          <w:color w:val="auto"/>
          <w:sz w:val="24"/>
          <w:szCs w:val="24"/>
          <w:highlight w:val="none"/>
          <w:u w:val="single"/>
        </w:rPr>
        <w:t xml:space="preserve">   </w:t>
      </w:r>
      <w:r>
        <w:rPr>
          <w:rFonts w:hint="eastAsia" w:ascii="宋体" w:hAnsi="宋体"/>
          <w:color w:val="auto"/>
          <w:sz w:val="24"/>
          <w:szCs w:val="24"/>
          <w:highlight w:val="none"/>
        </w:rPr>
        <w:t>工作日内进行核定后按照本保函的承诺承担保证责任。</w:t>
      </w:r>
    </w:p>
    <w:p w14:paraId="1003FD5C">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五、保证担保责任的解除</w:t>
      </w:r>
      <w:r>
        <w:rPr>
          <w:rFonts w:ascii="宋体" w:hAnsi="宋体"/>
          <w:b/>
          <w:bCs/>
          <w:color w:val="auto"/>
          <w:sz w:val="24"/>
          <w:szCs w:val="24"/>
          <w:highlight w:val="none"/>
        </w:rPr>
        <w:t xml:space="preserve"> </w:t>
      </w:r>
    </w:p>
    <w:p w14:paraId="5DF3393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 xml:space="preserve">保证期间届满贵方未向我方书面主张保证责任的，自保证期间届满次日起，我方解除保证责任。 </w:t>
      </w:r>
    </w:p>
    <w:p w14:paraId="76CE677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我方按照本</w:t>
      </w:r>
      <w:r>
        <w:rPr>
          <w:rFonts w:hint="eastAsia" w:ascii="宋体" w:hAnsi="宋体"/>
          <w:color w:val="auto"/>
          <w:sz w:val="24"/>
          <w:szCs w:val="24"/>
          <w:highlight w:val="none"/>
        </w:rPr>
        <w:t>保证担保</w:t>
      </w:r>
      <w:r>
        <w:rPr>
          <w:rFonts w:ascii="宋体" w:hAnsi="宋体"/>
          <w:color w:val="auto"/>
          <w:sz w:val="24"/>
          <w:szCs w:val="24"/>
          <w:highlight w:val="none"/>
        </w:rPr>
        <w:t>向贵方履行了</w:t>
      </w:r>
      <w:r>
        <w:rPr>
          <w:rFonts w:hint="eastAsia" w:ascii="宋体" w:hAnsi="宋体"/>
          <w:color w:val="auto"/>
          <w:sz w:val="24"/>
          <w:szCs w:val="24"/>
          <w:highlight w:val="none"/>
        </w:rPr>
        <w:t>保证担保责任</w:t>
      </w:r>
      <w:r>
        <w:rPr>
          <w:rFonts w:ascii="宋体" w:hAnsi="宋体"/>
          <w:color w:val="auto"/>
          <w:sz w:val="24"/>
          <w:szCs w:val="24"/>
          <w:highlight w:val="none"/>
        </w:rPr>
        <w:t>后，自我方向贵方支付</w:t>
      </w:r>
      <w:r>
        <w:rPr>
          <w:rFonts w:hint="eastAsia" w:ascii="宋体" w:hAnsi="宋体"/>
          <w:color w:val="auto"/>
          <w:sz w:val="24"/>
          <w:szCs w:val="24"/>
          <w:highlight w:val="none"/>
        </w:rPr>
        <w:t>的金额达到最高保证担保金额</w:t>
      </w:r>
      <w:r>
        <w:rPr>
          <w:rFonts w:ascii="宋体" w:hAnsi="宋体"/>
          <w:color w:val="auto"/>
          <w:sz w:val="24"/>
          <w:szCs w:val="24"/>
          <w:highlight w:val="none"/>
        </w:rPr>
        <w:t>之日起，</w:t>
      </w:r>
      <w:r>
        <w:rPr>
          <w:rFonts w:hint="eastAsia" w:ascii="宋体" w:hAnsi="宋体"/>
          <w:color w:val="auto"/>
          <w:sz w:val="24"/>
          <w:szCs w:val="24"/>
          <w:highlight w:val="none"/>
        </w:rPr>
        <w:t>保证担保责任</w:t>
      </w:r>
      <w:r>
        <w:rPr>
          <w:rFonts w:ascii="宋体" w:hAnsi="宋体"/>
          <w:color w:val="auto"/>
          <w:sz w:val="24"/>
          <w:szCs w:val="24"/>
          <w:highlight w:val="none"/>
        </w:rPr>
        <w:t xml:space="preserve">解除。 </w:t>
      </w:r>
    </w:p>
    <w:p w14:paraId="6F42D6B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按照法律法规的规定应解除我方保证</w:t>
      </w:r>
      <w:r>
        <w:rPr>
          <w:rFonts w:hint="eastAsia" w:ascii="宋体" w:hAnsi="宋体"/>
          <w:color w:val="auto"/>
          <w:sz w:val="24"/>
          <w:szCs w:val="24"/>
          <w:highlight w:val="none"/>
        </w:rPr>
        <w:t>担保</w:t>
      </w:r>
      <w:r>
        <w:rPr>
          <w:rFonts w:ascii="宋体" w:hAnsi="宋体"/>
          <w:color w:val="auto"/>
          <w:sz w:val="24"/>
          <w:szCs w:val="24"/>
          <w:highlight w:val="none"/>
        </w:rPr>
        <w:t>责任的其它情形的，我方在本保证担保项下的保证</w:t>
      </w:r>
      <w:r>
        <w:rPr>
          <w:rFonts w:hint="eastAsia" w:ascii="宋体" w:hAnsi="宋体"/>
          <w:color w:val="auto"/>
          <w:sz w:val="24"/>
          <w:szCs w:val="24"/>
          <w:highlight w:val="none"/>
        </w:rPr>
        <w:t>担保</w:t>
      </w:r>
      <w:r>
        <w:rPr>
          <w:rFonts w:ascii="宋体" w:hAnsi="宋体"/>
          <w:color w:val="auto"/>
          <w:sz w:val="24"/>
          <w:szCs w:val="24"/>
          <w:highlight w:val="none"/>
        </w:rPr>
        <w:t xml:space="preserve">责任亦解除。 </w:t>
      </w:r>
    </w:p>
    <w:p w14:paraId="36833F3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4.我方解除保证责任后，贵方应按上述约定，自我方保证担保责任解除之日起七</w:t>
      </w:r>
      <w:r>
        <w:rPr>
          <w:rFonts w:ascii="宋体" w:hAnsi="宋体"/>
          <w:color w:val="auto"/>
          <w:sz w:val="24"/>
          <w:szCs w:val="24"/>
          <w:highlight w:val="none"/>
        </w:rPr>
        <w:t>日内，将本保证担保原件返还我方。但是不论贵方是否按此要求将本保证担保</w:t>
      </w:r>
      <w:r>
        <w:rPr>
          <w:rFonts w:hint="eastAsia" w:ascii="宋体" w:hAnsi="宋体"/>
          <w:color w:val="auto"/>
          <w:sz w:val="24"/>
          <w:szCs w:val="24"/>
          <w:highlight w:val="none"/>
        </w:rPr>
        <w:t>原件</w:t>
      </w:r>
      <w:r>
        <w:rPr>
          <w:rFonts w:ascii="宋体" w:hAnsi="宋体"/>
          <w:color w:val="auto"/>
          <w:sz w:val="24"/>
          <w:szCs w:val="24"/>
          <w:highlight w:val="none"/>
        </w:rPr>
        <w:t>退回我方，我方在本保证担保项下的义务和责任均</w:t>
      </w:r>
      <w:r>
        <w:rPr>
          <w:rFonts w:hint="eastAsia" w:ascii="宋体" w:hAnsi="宋体"/>
          <w:color w:val="auto"/>
          <w:sz w:val="24"/>
          <w:szCs w:val="24"/>
          <w:highlight w:val="none"/>
        </w:rPr>
        <w:t>自保证担保责任解除之日</w:t>
      </w:r>
      <w:r>
        <w:rPr>
          <w:rFonts w:ascii="宋体" w:hAnsi="宋体"/>
          <w:color w:val="auto"/>
          <w:sz w:val="24"/>
          <w:szCs w:val="24"/>
          <w:highlight w:val="none"/>
        </w:rPr>
        <w:t>自动消灭。</w:t>
      </w:r>
    </w:p>
    <w:p w14:paraId="74E2D978">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六、免责条款</w:t>
      </w:r>
      <w:r>
        <w:rPr>
          <w:rFonts w:ascii="宋体" w:hAnsi="宋体"/>
          <w:b/>
          <w:bCs/>
          <w:color w:val="auto"/>
          <w:sz w:val="24"/>
          <w:szCs w:val="24"/>
          <w:highlight w:val="none"/>
        </w:rPr>
        <w:t xml:space="preserve"> </w:t>
      </w:r>
    </w:p>
    <w:p w14:paraId="772D7B6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因贵方</w:t>
      </w:r>
      <w:r>
        <w:rPr>
          <w:rFonts w:hint="eastAsia" w:ascii="宋体" w:hAnsi="宋体"/>
          <w:color w:val="auto"/>
          <w:sz w:val="24"/>
          <w:szCs w:val="24"/>
          <w:highlight w:val="none"/>
        </w:rPr>
        <w:t>原因</w:t>
      </w:r>
      <w:r>
        <w:rPr>
          <w:rFonts w:ascii="宋体" w:hAnsi="宋体"/>
          <w:color w:val="auto"/>
          <w:sz w:val="24"/>
          <w:szCs w:val="24"/>
          <w:highlight w:val="none"/>
        </w:rPr>
        <w:t>致使</w:t>
      </w:r>
      <w:r>
        <w:rPr>
          <w:rFonts w:hint="eastAsia" w:ascii="宋体" w:hAnsi="宋体"/>
          <w:color w:val="auto"/>
          <w:sz w:val="24"/>
          <w:szCs w:val="24"/>
          <w:highlight w:val="none"/>
        </w:rPr>
        <w:t>承包人未按照主合同约定履行义务的</w:t>
      </w:r>
      <w:r>
        <w:rPr>
          <w:rFonts w:ascii="宋体" w:hAnsi="宋体"/>
          <w:color w:val="auto"/>
          <w:sz w:val="24"/>
          <w:szCs w:val="24"/>
          <w:highlight w:val="none"/>
        </w:rPr>
        <w:t>，我方不承担保证</w:t>
      </w:r>
      <w:r>
        <w:rPr>
          <w:rFonts w:hint="eastAsia" w:ascii="宋体" w:hAnsi="宋体"/>
          <w:color w:val="auto"/>
          <w:sz w:val="24"/>
          <w:szCs w:val="24"/>
          <w:highlight w:val="none"/>
        </w:rPr>
        <w:t>担保</w:t>
      </w:r>
      <w:r>
        <w:rPr>
          <w:rFonts w:ascii="宋体" w:hAnsi="宋体"/>
          <w:color w:val="auto"/>
          <w:sz w:val="24"/>
          <w:szCs w:val="24"/>
          <w:highlight w:val="none"/>
        </w:rPr>
        <w:t xml:space="preserve">责任。 </w:t>
      </w:r>
    </w:p>
    <w:p w14:paraId="109D29B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依照法律规定或贵方与</w:t>
      </w:r>
      <w:r>
        <w:rPr>
          <w:rFonts w:hint="eastAsia" w:ascii="宋体" w:hAnsi="宋体"/>
          <w:color w:val="auto"/>
          <w:sz w:val="24"/>
          <w:szCs w:val="24"/>
          <w:highlight w:val="none"/>
        </w:rPr>
        <w:t>发包</w:t>
      </w:r>
      <w:r>
        <w:rPr>
          <w:rFonts w:ascii="宋体" w:hAnsi="宋体"/>
          <w:color w:val="auto"/>
          <w:sz w:val="24"/>
          <w:szCs w:val="24"/>
          <w:highlight w:val="none"/>
        </w:rPr>
        <w:t>人的另行约定，免除</w:t>
      </w:r>
      <w:r>
        <w:rPr>
          <w:rFonts w:hint="eastAsia" w:ascii="宋体" w:hAnsi="宋体"/>
          <w:color w:val="auto"/>
          <w:sz w:val="24"/>
          <w:szCs w:val="24"/>
          <w:highlight w:val="none"/>
        </w:rPr>
        <w:t>承包</w:t>
      </w:r>
      <w:r>
        <w:rPr>
          <w:rFonts w:ascii="宋体" w:hAnsi="宋体"/>
          <w:color w:val="auto"/>
          <w:sz w:val="24"/>
          <w:szCs w:val="24"/>
          <w:highlight w:val="none"/>
        </w:rPr>
        <w:t>人部分或全部义务的，我方亦免除其相应的保证</w:t>
      </w:r>
      <w:r>
        <w:rPr>
          <w:rFonts w:hint="eastAsia" w:ascii="宋体" w:hAnsi="宋体"/>
          <w:color w:val="auto"/>
          <w:sz w:val="24"/>
          <w:szCs w:val="24"/>
          <w:highlight w:val="none"/>
        </w:rPr>
        <w:t>担保</w:t>
      </w:r>
      <w:r>
        <w:rPr>
          <w:rFonts w:ascii="宋体" w:hAnsi="宋体"/>
          <w:color w:val="auto"/>
          <w:sz w:val="24"/>
          <w:szCs w:val="24"/>
          <w:highlight w:val="none"/>
        </w:rPr>
        <w:t xml:space="preserve">责任。 </w:t>
      </w:r>
    </w:p>
    <w:p w14:paraId="6E0B65C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因不可抗力造成</w:t>
      </w:r>
      <w:r>
        <w:rPr>
          <w:rFonts w:hint="eastAsia" w:ascii="宋体" w:hAnsi="宋体"/>
          <w:color w:val="auto"/>
          <w:sz w:val="24"/>
          <w:szCs w:val="24"/>
          <w:highlight w:val="none"/>
        </w:rPr>
        <w:t>承包人未按照主合同约定履行义务的</w:t>
      </w:r>
      <w:r>
        <w:rPr>
          <w:rFonts w:ascii="宋体" w:hAnsi="宋体"/>
          <w:color w:val="auto"/>
          <w:sz w:val="24"/>
          <w:szCs w:val="24"/>
          <w:highlight w:val="none"/>
        </w:rPr>
        <w:t>，我方不承担保证</w:t>
      </w:r>
      <w:r>
        <w:rPr>
          <w:rFonts w:hint="eastAsia" w:ascii="宋体" w:hAnsi="宋体"/>
          <w:color w:val="auto"/>
          <w:sz w:val="24"/>
          <w:szCs w:val="24"/>
          <w:highlight w:val="none"/>
        </w:rPr>
        <w:t>担保</w:t>
      </w:r>
      <w:r>
        <w:rPr>
          <w:rFonts w:ascii="宋体" w:hAnsi="宋体"/>
          <w:color w:val="auto"/>
          <w:sz w:val="24"/>
          <w:szCs w:val="24"/>
          <w:highlight w:val="none"/>
        </w:rPr>
        <w:t>责任。</w:t>
      </w:r>
    </w:p>
    <w:p w14:paraId="07D4ECC9">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七、其他</w:t>
      </w:r>
    </w:p>
    <w:p w14:paraId="135155F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本保证担保项下的权利不得转让，不得设定担保。贵方未经我方书面同意转让本保证担保或其项下任何权利，</w:t>
      </w:r>
      <w:r>
        <w:rPr>
          <w:rFonts w:hint="eastAsia" w:ascii="宋体" w:hAnsi="宋体"/>
          <w:color w:val="auto"/>
          <w:sz w:val="24"/>
          <w:szCs w:val="24"/>
          <w:highlight w:val="none"/>
        </w:rPr>
        <w:t>对我方不发生法律效力</w:t>
      </w:r>
      <w:r>
        <w:rPr>
          <w:rFonts w:ascii="宋体" w:hAnsi="宋体"/>
          <w:color w:val="auto"/>
          <w:sz w:val="24"/>
          <w:szCs w:val="24"/>
          <w:highlight w:val="none"/>
        </w:rPr>
        <w:t xml:space="preserve">。 </w:t>
      </w:r>
    </w:p>
    <w:p w14:paraId="4DB61EF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.本</w:t>
      </w:r>
      <w:r>
        <w:rPr>
          <w:rFonts w:hint="eastAsia" w:ascii="宋体" w:hAnsi="宋体"/>
          <w:color w:val="auto"/>
          <w:sz w:val="24"/>
          <w:szCs w:val="24"/>
          <w:highlight w:val="none"/>
        </w:rPr>
        <w:t>保证担保适用的法律为中华人民共和国法律，争议裁判管辖地为中华人民共和国</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r>
        <w:rPr>
          <w:rFonts w:ascii="宋体" w:hAnsi="宋体"/>
          <w:color w:val="auto"/>
          <w:sz w:val="24"/>
          <w:szCs w:val="24"/>
          <w:highlight w:val="none"/>
        </w:rPr>
        <w:t xml:space="preserve"> </w:t>
      </w:r>
    </w:p>
    <w:p w14:paraId="3F910BB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.本</w:t>
      </w:r>
      <w:r>
        <w:rPr>
          <w:rFonts w:hint="eastAsia" w:ascii="宋体" w:hAnsi="宋体"/>
          <w:color w:val="auto"/>
          <w:sz w:val="24"/>
          <w:szCs w:val="24"/>
          <w:highlight w:val="none"/>
        </w:rPr>
        <w:t>保证担保</w:t>
      </w:r>
      <w:r>
        <w:rPr>
          <w:rFonts w:ascii="宋体" w:hAnsi="宋体"/>
          <w:color w:val="auto"/>
          <w:sz w:val="24"/>
          <w:szCs w:val="24"/>
          <w:highlight w:val="none"/>
        </w:rPr>
        <w:t>自我方法定代表</w:t>
      </w:r>
      <w:r>
        <w:rPr>
          <w:rFonts w:hint="eastAsia" w:ascii="宋体" w:hAnsi="宋体"/>
          <w:color w:val="auto"/>
          <w:sz w:val="24"/>
          <w:szCs w:val="24"/>
          <w:highlight w:val="none"/>
        </w:rPr>
        <w:t>人或授权代表</w:t>
      </w:r>
      <w:r>
        <w:rPr>
          <w:rFonts w:ascii="宋体" w:hAnsi="宋体"/>
          <w:color w:val="auto"/>
          <w:sz w:val="24"/>
          <w:szCs w:val="24"/>
          <w:highlight w:val="none"/>
        </w:rPr>
        <w:t>签字</w:t>
      </w:r>
      <w:r>
        <w:rPr>
          <w:rFonts w:hint="eastAsia" w:ascii="宋体" w:hAnsi="宋体"/>
          <w:color w:val="auto"/>
          <w:sz w:val="24"/>
          <w:szCs w:val="24"/>
          <w:highlight w:val="none"/>
        </w:rPr>
        <w:t>并</w:t>
      </w:r>
      <w:r>
        <w:rPr>
          <w:rFonts w:ascii="宋体" w:hAnsi="宋体"/>
          <w:color w:val="auto"/>
          <w:sz w:val="24"/>
          <w:szCs w:val="24"/>
          <w:highlight w:val="none"/>
        </w:rPr>
        <w:t xml:space="preserve">加盖公章之日起生效。 </w:t>
      </w:r>
    </w:p>
    <w:p w14:paraId="16C126BA">
      <w:pPr>
        <w:spacing w:line="360" w:lineRule="auto"/>
        <w:ind w:firstLine="480" w:firstLineChars="200"/>
        <w:rPr>
          <w:rFonts w:ascii="宋体" w:hAnsi="宋体"/>
          <w:color w:val="auto"/>
          <w:sz w:val="24"/>
          <w:szCs w:val="24"/>
          <w:highlight w:val="none"/>
        </w:rPr>
      </w:pPr>
    </w:p>
    <w:p w14:paraId="65DC293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保 证 人</w:t>
      </w:r>
      <w:r>
        <w:rPr>
          <w:rFonts w:ascii="宋体" w:hAnsi="宋体"/>
          <w:color w:val="auto"/>
          <w:sz w:val="24"/>
          <w:szCs w:val="24"/>
          <w:highlight w:val="none"/>
        </w:rPr>
        <w:t xml:space="preserve">：                 </w:t>
      </w:r>
      <w:r>
        <w:rPr>
          <w:rFonts w:hint="eastAsia" w:ascii="宋体" w:hAnsi="宋体"/>
          <w:color w:val="auto"/>
          <w:sz w:val="24"/>
          <w:szCs w:val="24"/>
          <w:highlight w:val="none"/>
        </w:rPr>
        <w:t xml:space="preserve">             （公</w:t>
      </w:r>
      <w:r>
        <w:rPr>
          <w:rFonts w:ascii="宋体" w:hAnsi="宋体"/>
          <w:color w:val="auto"/>
          <w:sz w:val="24"/>
          <w:szCs w:val="24"/>
          <w:highlight w:val="none"/>
        </w:rPr>
        <w:t xml:space="preserve">章） </w:t>
      </w:r>
    </w:p>
    <w:p w14:paraId="5276F10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法定代表人（或授权代表）：</w:t>
      </w:r>
      <w:r>
        <w:rPr>
          <w:rFonts w:ascii="宋体" w:hAnsi="宋体"/>
          <w:color w:val="auto"/>
          <w:sz w:val="24"/>
          <w:szCs w:val="24"/>
          <w:highlight w:val="none"/>
        </w:rPr>
        <w:t xml:space="preserve">               （签字） </w:t>
      </w:r>
    </w:p>
    <w:p w14:paraId="6938422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地</w:t>
      </w:r>
      <w:r>
        <w:rPr>
          <w:rFonts w:ascii="宋体" w:hAnsi="宋体"/>
          <w:color w:val="auto"/>
          <w:sz w:val="24"/>
          <w:szCs w:val="24"/>
          <w:highlight w:val="none"/>
        </w:rPr>
        <w:t xml:space="preserve">    址：                                       </w:t>
      </w:r>
    </w:p>
    <w:p w14:paraId="22D7714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邮政编码：</w:t>
      </w:r>
      <w:r>
        <w:rPr>
          <w:rFonts w:ascii="宋体" w:hAnsi="宋体"/>
          <w:color w:val="auto"/>
          <w:sz w:val="24"/>
          <w:szCs w:val="24"/>
          <w:highlight w:val="none"/>
        </w:rPr>
        <w:t xml:space="preserve">                 </w:t>
      </w:r>
    </w:p>
    <w:p w14:paraId="6E67363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电</w:t>
      </w:r>
      <w:r>
        <w:rPr>
          <w:rFonts w:ascii="宋体" w:hAnsi="宋体"/>
          <w:color w:val="auto"/>
          <w:sz w:val="24"/>
          <w:szCs w:val="24"/>
          <w:highlight w:val="none"/>
        </w:rPr>
        <w:t xml:space="preserve">    话：                 </w:t>
      </w:r>
    </w:p>
    <w:p w14:paraId="7C98D0A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传</w:t>
      </w:r>
      <w:r>
        <w:rPr>
          <w:rFonts w:ascii="宋体" w:hAnsi="宋体"/>
          <w:color w:val="auto"/>
          <w:sz w:val="24"/>
          <w:szCs w:val="24"/>
          <w:highlight w:val="none"/>
        </w:rPr>
        <w:t xml:space="preserve">    真：                 </w:t>
      </w:r>
    </w:p>
    <w:p w14:paraId="388E435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时 </w:t>
      </w:r>
      <w:r>
        <w:rPr>
          <w:rFonts w:ascii="宋体" w:hAnsi="宋体"/>
          <w:color w:val="auto"/>
          <w:sz w:val="24"/>
          <w:szCs w:val="24"/>
          <w:highlight w:val="none"/>
        </w:rPr>
        <w:t xml:space="preserve">   </w:t>
      </w:r>
      <w:r>
        <w:rPr>
          <w:rFonts w:hint="eastAsia" w:ascii="宋体" w:hAnsi="宋体"/>
          <w:color w:val="auto"/>
          <w:sz w:val="24"/>
          <w:szCs w:val="24"/>
          <w:highlight w:val="none"/>
        </w:rPr>
        <w:t>间：</w:t>
      </w:r>
      <w:r>
        <w:rPr>
          <w:rFonts w:ascii="宋体" w:hAnsi="宋体"/>
          <w:color w:val="auto"/>
          <w:sz w:val="24"/>
          <w:szCs w:val="24"/>
          <w:highlight w:val="none"/>
        </w:rPr>
        <w:t xml:space="preserve">      年      月        日</w:t>
      </w:r>
    </w:p>
    <w:p w14:paraId="0346BFDC">
      <w:pPr>
        <w:spacing w:line="360" w:lineRule="auto"/>
        <w:rPr>
          <w:color w:val="auto"/>
          <w:highlight w:val="none"/>
        </w:rPr>
      </w:pPr>
    </w:p>
    <w:p w14:paraId="529E35A0">
      <w:pPr>
        <w:spacing w:line="360" w:lineRule="auto"/>
        <w:rPr>
          <w:color w:val="auto"/>
          <w:highlight w:val="none"/>
        </w:rPr>
      </w:pPr>
    </w:p>
    <w:p w14:paraId="34F70EC7">
      <w:pPr>
        <w:spacing w:line="360" w:lineRule="auto"/>
        <w:rPr>
          <w:color w:val="auto"/>
          <w:highlight w:val="none"/>
        </w:rPr>
      </w:pPr>
    </w:p>
    <w:p w14:paraId="7B2D428E">
      <w:pPr>
        <w:spacing w:line="360" w:lineRule="auto"/>
        <w:rPr>
          <w:color w:val="auto"/>
          <w:highlight w:val="none"/>
        </w:rPr>
      </w:pPr>
    </w:p>
    <w:p w14:paraId="31CB34AD">
      <w:pPr>
        <w:spacing w:line="360" w:lineRule="auto"/>
        <w:rPr>
          <w:color w:val="auto"/>
          <w:highlight w:val="none"/>
        </w:rPr>
      </w:pPr>
    </w:p>
    <w:p w14:paraId="12C40E78">
      <w:pPr>
        <w:spacing w:line="360" w:lineRule="auto"/>
        <w:rPr>
          <w:color w:val="auto"/>
          <w:highlight w:val="none"/>
        </w:rPr>
      </w:pPr>
    </w:p>
    <w:p w14:paraId="268DBA2F">
      <w:pPr>
        <w:spacing w:line="360" w:lineRule="auto"/>
        <w:rPr>
          <w:color w:val="auto"/>
          <w:highlight w:val="none"/>
        </w:rPr>
      </w:pPr>
    </w:p>
    <w:p w14:paraId="224C39B7">
      <w:pPr>
        <w:spacing w:line="360" w:lineRule="auto"/>
        <w:rPr>
          <w:color w:val="auto"/>
          <w:highlight w:val="none"/>
        </w:rPr>
      </w:pPr>
    </w:p>
    <w:p w14:paraId="5F6545BD">
      <w:pPr>
        <w:spacing w:line="360" w:lineRule="auto"/>
        <w:rPr>
          <w:color w:val="auto"/>
          <w:highlight w:val="none"/>
        </w:rPr>
      </w:pPr>
    </w:p>
    <w:p w14:paraId="0DB8A8BD">
      <w:pPr>
        <w:spacing w:line="360" w:lineRule="auto"/>
        <w:rPr>
          <w:color w:val="auto"/>
          <w:highlight w:val="none"/>
        </w:rPr>
      </w:pPr>
    </w:p>
    <w:p w14:paraId="46331E79">
      <w:pPr>
        <w:spacing w:line="360" w:lineRule="auto"/>
        <w:rPr>
          <w:color w:val="auto"/>
          <w:highlight w:val="none"/>
        </w:rPr>
      </w:pPr>
    </w:p>
    <w:p w14:paraId="619F2148">
      <w:pPr>
        <w:spacing w:line="360" w:lineRule="auto"/>
        <w:rPr>
          <w:color w:val="auto"/>
          <w:highlight w:val="none"/>
        </w:rPr>
      </w:pPr>
    </w:p>
    <w:p w14:paraId="163F8F2C">
      <w:pPr>
        <w:spacing w:line="360" w:lineRule="auto"/>
        <w:rPr>
          <w:color w:val="auto"/>
          <w:highlight w:val="none"/>
        </w:rPr>
      </w:pPr>
    </w:p>
    <w:p w14:paraId="3B98E7AB">
      <w:pPr>
        <w:spacing w:line="360" w:lineRule="auto"/>
        <w:rPr>
          <w:color w:val="auto"/>
          <w:highlight w:val="none"/>
        </w:rPr>
      </w:pPr>
    </w:p>
    <w:p w14:paraId="270C3ABF">
      <w:pPr>
        <w:spacing w:line="360" w:lineRule="auto"/>
        <w:rPr>
          <w:color w:val="auto"/>
          <w:highlight w:val="none"/>
        </w:rPr>
      </w:pPr>
    </w:p>
    <w:p w14:paraId="02BB2159">
      <w:pPr>
        <w:spacing w:line="360" w:lineRule="auto"/>
        <w:rPr>
          <w:color w:val="auto"/>
          <w:highlight w:val="none"/>
        </w:rPr>
      </w:pPr>
    </w:p>
    <w:p w14:paraId="13D8D460">
      <w:pPr>
        <w:spacing w:line="360" w:lineRule="auto"/>
        <w:rPr>
          <w:color w:val="auto"/>
          <w:highlight w:val="none"/>
        </w:rPr>
      </w:pPr>
    </w:p>
    <w:p w14:paraId="11917489">
      <w:pPr>
        <w:spacing w:line="360" w:lineRule="auto"/>
        <w:rPr>
          <w:color w:val="auto"/>
          <w:highlight w:val="none"/>
        </w:rPr>
      </w:pPr>
    </w:p>
    <w:p w14:paraId="597BCA69">
      <w:pPr>
        <w:spacing w:line="360" w:lineRule="auto"/>
        <w:rPr>
          <w:color w:val="auto"/>
          <w:highlight w:val="none"/>
        </w:rPr>
      </w:pPr>
    </w:p>
    <w:bookmarkEnd w:id="1365"/>
    <w:bookmarkEnd w:id="1366"/>
    <w:bookmarkEnd w:id="1367"/>
    <w:bookmarkEnd w:id="1368"/>
    <w:bookmarkEnd w:id="1369"/>
    <w:bookmarkEnd w:id="1370"/>
    <w:bookmarkEnd w:id="1371"/>
    <w:p w14:paraId="498336E6">
      <w:pPr>
        <w:spacing w:before="120" w:beforeLines="50" w:after="120" w:afterLines="50" w:line="360" w:lineRule="auto"/>
        <w:jc w:val="left"/>
        <w:rPr>
          <w:rFonts w:ascii="黑体" w:hAnsi="黑体" w:eastAsia="黑体" w:cs="黑体"/>
          <w:color w:val="auto"/>
          <w:sz w:val="32"/>
          <w:szCs w:val="32"/>
          <w:highlight w:val="none"/>
        </w:rPr>
      </w:pPr>
      <w:r>
        <w:rPr>
          <w:rFonts w:hint="eastAsia" w:ascii="仿宋_GB2312" w:eastAsia="仿宋_GB2312" w:cs="仿宋_GB2312"/>
          <w:color w:val="auto"/>
          <w:sz w:val="30"/>
          <w:szCs w:val="30"/>
          <w:highlight w:val="none"/>
        </w:rPr>
        <w:t>附件8：预付款保函示范文本</w:t>
      </w:r>
    </w:p>
    <w:p w14:paraId="04EBD6E1">
      <w:pPr>
        <w:spacing w:line="360" w:lineRule="auto"/>
        <w:jc w:val="left"/>
        <w:rPr>
          <w:rFonts w:ascii="黑体" w:hAnsi="黑体" w:eastAsia="黑体" w:cs="黑体"/>
          <w:b/>
          <w:bCs/>
          <w:color w:val="auto"/>
          <w:sz w:val="32"/>
          <w:szCs w:val="32"/>
          <w:highlight w:val="none"/>
        </w:rPr>
      </w:pPr>
    </w:p>
    <w:p w14:paraId="70EAE4D4">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预付款保函示范文本</w:t>
      </w:r>
    </w:p>
    <w:p w14:paraId="003D8C50">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（独立保函）</w:t>
      </w:r>
    </w:p>
    <w:p w14:paraId="1D0D74BF">
      <w:pPr>
        <w:wordWrap w:val="0"/>
        <w:spacing w:line="360" w:lineRule="auto"/>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3F29709C">
      <w:pPr>
        <w:spacing w:line="360" w:lineRule="auto"/>
        <w:rPr>
          <w:rFonts w:ascii="宋体" w:hAnsi="宋体"/>
          <w:color w:val="auto"/>
          <w:sz w:val="24"/>
          <w:szCs w:val="24"/>
          <w:highlight w:val="none"/>
        </w:rPr>
      </w:pPr>
    </w:p>
    <w:p w14:paraId="41221DED">
      <w:pPr>
        <w:spacing w:line="360" w:lineRule="auto"/>
        <w:rPr>
          <w:rFonts w:ascii="宋体" w:hAnsi="宋体"/>
          <w:color w:val="auto"/>
          <w:sz w:val="24"/>
          <w:szCs w:val="24"/>
          <w:highlight w:val="none"/>
        </w:rPr>
      </w:pPr>
      <w:r>
        <w:rPr>
          <w:rFonts w:hint="eastAsia" w:ascii="宋体" w:hAnsi="宋体"/>
          <w:color w:val="auto"/>
          <w:sz w:val="24"/>
          <w:szCs w:val="24"/>
          <w:highlight w:val="none"/>
        </w:rPr>
        <w:t>申请人：</w:t>
      </w:r>
    </w:p>
    <w:p w14:paraId="2FA2F422">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地址</w:t>
      </w:r>
      <w:r>
        <w:rPr>
          <w:rFonts w:ascii="宋体" w:hAnsi="宋体"/>
          <w:color w:val="auto"/>
          <w:sz w:val="24"/>
          <w:szCs w:val="24"/>
          <w:highlight w:val="none"/>
        </w:rPr>
        <w:t>：</w:t>
      </w:r>
    </w:p>
    <w:p w14:paraId="08A5A290">
      <w:pPr>
        <w:spacing w:line="360" w:lineRule="auto"/>
        <w:rPr>
          <w:rFonts w:ascii="宋体" w:hAnsi="宋体"/>
          <w:color w:val="auto"/>
          <w:sz w:val="24"/>
          <w:szCs w:val="24"/>
          <w:highlight w:val="none"/>
        </w:rPr>
      </w:pPr>
      <w:r>
        <w:rPr>
          <w:rFonts w:hint="eastAsia" w:ascii="宋体" w:hAnsi="宋体"/>
          <w:color w:val="auto"/>
          <w:sz w:val="24"/>
          <w:szCs w:val="24"/>
          <w:highlight w:val="none"/>
        </w:rPr>
        <w:t>受益人：</w:t>
      </w:r>
    </w:p>
    <w:p w14:paraId="4D7FEFF5">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地址：</w:t>
      </w:r>
    </w:p>
    <w:p w14:paraId="09CDED98">
      <w:pPr>
        <w:spacing w:line="360" w:lineRule="auto"/>
        <w:rPr>
          <w:rFonts w:ascii="宋体" w:hAnsi="宋体"/>
          <w:color w:val="auto"/>
          <w:sz w:val="24"/>
          <w:szCs w:val="24"/>
          <w:highlight w:val="none"/>
        </w:rPr>
      </w:pPr>
      <w:r>
        <w:rPr>
          <w:rFonts w:hint="eastAsia" w:ascii="宋体" w:hAnsi="宋体"/>
          <w:color w:val="auto"/>
          <w:sz w:val="24"/>
          <w:szCs w:val="24"/>
          <w:highlight w:val="none"/>
        </w:rPr>
        <w:t>开立人：</w:t>
      </w:r>
    </w:p>
    <w:p w14:paraId="64632270">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地址：</w:t>
      </w:r>
    </w:p>
    <w:p w14:paraId="47805720">
      <w:pPr>
        <w:spacing w:line="360" w:lineRule="auto"/>
        <w:rPr>
          <w:rFonts w:ascii="宋体" w:hAnsi="宋体"/>
          <w:color w:val="auto"/>
          <w:sz w:val="24"/>
          <w:szCs w:val="24"/>
          <w:highlight w:val="none"/>
        </w:rPr>
      </w:pPr>
      <w:r>
        <w:rPr>
          <w:rFonts w:ascii="宋体" w:hAnsi="宋体"/>
          <w:color w:val="auto"/>
          <w:sz w:val="24"/>
          <w:szCs w:val="24"/>
          <w:highlight w:val="none"/>
        </w:rPr>
        <w:t xml:space="preserve"> </w:t>
      </w:r>
    </w:p>
    <w:p w14:paraId="0276A98A">
      <w:pPr>
        <w:spacing w:line="360" w:lineRule="auto"/>
        <w:rPr>
          <w:rFonts w:ascii="宋体" w:hAnsi="宋体"/>
          <w:color w:val="auto"/>
          <w:sz w:val="24"/>
          <w:szCs w:val="24"/>
          <w:highlight w:val="none"/>
        </w:rPr>
      </w:pPr>
      <w:r>
        <w:rPr>
          <w:rFonts w:ascii="宋体" w:hAnsi="宋体"/>
          <w:color w:val="auto"/>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受益人</w:t>
      </w:r>
      <w:r>
        <w:rPr>
          <w:rFonts w:ascii="宋体" w:hAnsi="宋体"/>
          <w:color w:val="auto"/>
          <w:sz w:val="24"/>
          <w:szCs w:val="24"/>
          <w:highlight w:val="none"/>
        </w:rPr>
        <w:t xml:space="preserve">名称）： </w:t>
      </w:r>
    </w:p>
    <w:p w14:paraId="2980180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鉴于</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受益人</w:t>
      </w:r>
      <w:r>
        <w:rPr>
          <w:rFonts w:hint="eastAsia" w:ascii="宋体" w:hAnsi="宋体"/>
          <w:color w:val="auto"/>
          <w:sz w:val="24"/>
          <w:szCs w:val="24"/>
          <w:highlight w:val="none"/>
          <w:lang w:eastAsia="zh-CN"/>
        </w:rPr>
        <w:t>”</w:t>
      </w:r>
      <w:r>
        <w:rPr>
          <w:rFonts w:ascii="宋体" w:hAnsi="宋体"/>
          <w:color w:val="auto"/>
          <w:sz w:val="24"/>
          <w:szCs w:val="24"/>
          <w:highlight w:val="none"/>
        </w:rPr>
        <w:t>）</w:t>
      </w:r>
      <w:r>
        <w:rPr>
          <w:rFonts w:hint="eastAsia" w:ascii="宋体" w:hAnsi="宋体"/>
          <w:color w:val="auto"/>
          <w:sz w:val="24"/>
          <w:szCs w:val="24"/>
          <w:highlight w:val="none"/>
        </w:rPr>
        <w:t>与</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申请人</w:t>
      </w:r>
      <w:r>
        <w:rPr>
          <w:rFonts w:hint="eastAsia" w:ascii="宋体" w:hAnsi="宋体"/>
          <w:color w:val="auto"/>
          <w:sz w:val="24"/>
          <w:szCs w:val="24"/>
          <w:highlight w:val="none"/>
          <w:lang w:eastAsia="zh-CN"/>
        </w:rPr>
        <w:t>”</w:t>
      </w:r>
      <w:r>
        <w:rPr>
          <w:rFonts w:ascii="宋体" w:hAnsi="宋体"/>
          <w:color w:val="auto"/>
          <w:sz w:val="24"/>
          <w:szCs w:val="24"/>
          <w:highlight w:val="none"/>
        </w:rPr>
        <w:t>）</w:t>
      </w:r>
      <w:r>
        <w:rPr>
          <w:rFonts w:hint="eastAsia" w:ascii="宋体" w:hAnsi="宋体"/>
          <w:color w:val="auto"/>
          <w:sz w:val="24"/>
          <w:szCs w:val="24"/>
          <w:highlight w:val="none"/>
        </w:rPr>
        <w:t>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日就</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工程（以下简称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本工程</w:t>
      </w:r>
      <w:r>
        <w:rPr>
          <w:rFonts w:hint="eastAsia" w:ascii="宋体" w:hAnsi="宋体"/>
          <w:color w:val="auto"/>
          <w:sz w:val="24"/>
          <w:szCs w:val="24"/>
          <w:highlight w:val="none"/>
          <w:lang w:eastAsia="zh-CN"/>
        </w:rPr>
        <w:t>”</w:t>
      </w:r>
      <w:r>
        <w:rPr>
          <w:rFonts w:hint="eastAsia" w:ascii="宋体" w:hAnsi="宋体"/>
          <w:color w:val="auto"/>
          <w:sz w:val="24"/>
          <w:szCs w:val="24"/>
          <w:highlight w:val="none"/>
        </w:rPr>
        <w:t>）施工和有关事项协商一致共同签订</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w:t>
      </w:r>
      <w:r>
        <w:rPr>
          <w:rFonts w:hint="eastAsia" w:ascii="宋体" w:hAnsi="宋体"/>
          <w:color w:val="auto"/>
          <w:sz w:val="24"/>
          <w:szCs w:val="24"/>
          <w:highlight w:val="none"/>
        </w:rPr>
        <w:t>（以下简称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基础合同</w:t>
      </w:r>
      <w:r>
        <w:rPr>
          <w:rFonts w:hint="eastAsia" w:ascii="宋体" w:hAnsi="宋体"/>
          <w:color w:val="auto"/>
          <w:sz w:val="24"/>
          <w:szCs w:val="24"/>
          <w:highlight w:val="none"/>
          <w:lang w:eastAsia="zh-CN"/>
        </w:rPr>
        <w:t>”</w:t>
      </w:r>
      <w:r>
        <w:rPr>
          <w:rFonts w:hint="eastAsia" w:ascii="宋体" w:hAnsi="宋体"/>
          <w:color w:val="auto"/>
          <w:sz w:val="24"/>
          <w:szCs w:val="24"/>
          <w:highlight w:val="none"/>
        </w:rPr>
        <w:t>），我方（即</w:t>
      </w:r>
      <w:r>
        <w:rPr>
          <w:rFonts w:hint="eastAsia" w:ascii="宋体" w:hAnsi="宋体"/>
          <w:color w:val="auto"/>
          <w:sz w:val="24"/>
          <w:szCs w:val="24"/>
          <w:highlight w:val="none"/>
          <w:lang w:eastAsia="zh-CN"/>
        </w:rPr>
        <w:t>“</w:t>
      </w:r>
      <w:r>
        <w:rPr>
          <w:rFonts w:hint="eastAsia" w:ascii="宋体" w:hAnsi="宋体"/>
          <w:color w:val="auto"/>
          <w:sz w:val="24"/>
          <w:szCs w:val="24"/>
          <w:highlight w:val="none"/>
        </w:rPr>
        <w:t>开立人</w:t>
      </w:r>
      <w:r>
        <w:rPr>
          <w:rFonts w:hint="eastAsia" w:ascii="宋体" w:hAnsi="宋体"/>
          <w:color w:val="auto"/>
          <w:sz w:val="24"/>
          <w:szCs w:val="24"/>
          <w:highlight w:val="none"/>
          <w:lang w:eastAsia="zh-CN"/>
        </w:rPr>
        <w:t>”</w:t>
      </w:r>
      <w:r>
        <w:rPr>
          <w:rFonts w:hint="eastAsia" w:ascii="宋体" w:hAnsi="宋体"/>
          <w:color w:val="auto"/>
          <w:sz w:val="24"/>
          <w:szCs w:val="24"/>
          <w:highlight w:val="none"/>
        </w:rPr>
        <w:t>）根据主合同了解到申请人为主合同项下之承包人，受益人为主合同项下之发包人，基于申请人</w:t>
      </w:r>
      <w:r>
        <w:rPr>
          <w:rFonts w:ascii="宋体" w:hAnsi="宋体"/>
          <w:color w:val="auto"/>
          <w:sz w:val="24"/>
          <w:szCs w:val="24"/>
          <w:highlight w:val="none"/>
        </w:rPr>
        <w:t>的请求，我方同意就</w:t>
      </w:r>
      <w:r>
        <w:rPr>
          <w:rFonts w:hint="eastAsia" w:ascii="宋体" w:hAnsi="宋体"/>
          <w:color w:val="auto"/>
          <w:sz w:val="24"/>
          <w:szCs w:val="24"/>
          <w:highlight w:val="none"/>
        </w:rPr>
        <w:t>申请人按照合同约定正确和合理地为合同目的使用预付款，</w:t>
      </w:r>
      <w:r>
        <w:rPr>
          <w:rFonts w:ascii="宋体" w:hAnsi="宋体"/>
          <w:color w:val="auto"/>
          <w:sz w:val="24"/>
          <w:szCs w:val="24"/>
          <w:highlight w:val="none"/>
        </w:rPr>
        <w:t>向贵方提供不可撤销、</w:t>
      </w:r>
      <w:r>
        <w:rPr>
          <w:rFonts w:hint="eastAsia" w:ascii="宋体" w:hAnsi="宋体"/>
          <w:color w:val="auto"/>
          <w:sz w:val="24"/>
          <w:szCs w:val="24"/>
          <w:highlight w:val="none"/>
        </w:rPr>
        <w:t>不可转让的见索即付</w:t>
      </w:r>
      <w:r>
        <w:rPr>
          <w:rFonts w:ascii="宋体" w:hAnsi="宋体"/>
          <w:color w:val="auto"/>
          <w:sz w:val="24"/>
          <w:szCs w:val="24"/>
          <w:highlight w:val="none"/>
        </w:rPr>
        <w:t>独立</w:t>
      </w:r>
      <w:r>
        <w:rPr>
          <w:rFonts w:hint="eastAsia" w:ascii="宋体" w:hAnsi="宋体"/>
          <w:color w:val="auto"/>
          <w:sz w:val="24"/>
          <w:szCs w:val="24"/>
          <w:highlight w:val="none"/>
        </w:rPr>
        <w:t>保函（以下简称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本保函</w:t>
      </w:r>
      <w:r>
        <w:rPr>
          <w:rFonts w:hint="eastAsia" w:ascii="宋体" w:hAnsi="宋体"/>
          <w:color w:val="auto"/>
          <w:sz w:val="24"/>
          <w:szCs w:val="24"/>
          <w:highlight w:val="none"/>
          <w:lang w:eastAsia="zh-CN"/>
        </w:rPr>
        <w:t>”</w:t>
      </w:r>
      <w:r>
        <w:rPr>
          <w:rFonts w:hint="eastAsia" w:ascii="宋体" w:hAnsi="宋体"/>
          <w:color w:val="auto"/>
          <w:sz w:val="24"/>
          <w:szCs w:val="24"/>
          <w:highlight w:val="none"/>
        </w:rPr>
        <w:t>）</w:t>
      </w:r>
      <w:r>
        <w:rPr>
          <w:rFonts w:ascii="宋体" w:hAnsi="宋体"/>
          <w:color w:val="auto"/>
          <w:sz w:val="24"/>
          <w:szCs w:val="24"/>
          <w:highlight w:val="none"/>
        </w:rPr>
        <w:t xml:space="preserve">。 </w:t>
      </w:r>
    </w:p>
    <w:p w14:paraId="245C267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一、本保函担保范围：申请人未按照合同约定正确和合理地为合同目的使用预付款，应当向贵方承担的违约责任和赔偿因此造成的损失、利息、律师费、诉讼费用等实现债权的费用。</w:t>
      </w:r>
    </w:p>
    <w:p w14:paraId="61D9EB9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二、本保函担保金额最高不超过</w:t>
      </w:r>
      <w:r>
        <w:rPr>
          <w:rFonts w:ascii="宋体" w:hAnsi="宋体"/>
          <w:color w:val="auto"/>
          <w:sz w:val="24"/>
          <w:szCs w:val="24"/>
          <w:highlight w:val="none"/>
        </w:rPr>
        <w:t>人民币（大写）</w:t>
      </w:r>
      <w:r>
        <w:rPr>
          <w:rFonts w:ascii="宋体" w:hAnsi="宋体"/>
          <w:color w:val="auto"/>
          <w:sz w:val="24"/>
          <w:szCs w:val="24"/>
          <w:highlight w:val="none"/>
          <w:u w:val="single"/>
        </w:rPr>
        <w:t xml:space="preserve">          </w:t>
      </w:r>
      <w:r>
        <w:rPr>
          <w:rFonts w:ascii="宋体" w:hAnsi="宋体"/>
          <w:color w:val="auto"/>
          <w:sz w:val="24"/>
          <w:szCs w:val="24"/>
          <w:highlight w:val="none"/>
        </w:rPr>
        <w:t>元（¥</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1485C02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三、本保函</w:t>
      </w:r>
      <w:r>
        <w:rPr>
          <w:rFonts w:ascii="宋体" w:hAnsi="宋体"/>
          <w:color w:val="auto"/>
          <w:sz w:val="24"/>
          <w:szCs w:val="24"/>
          <w:highlight w:val="none"/>
        </w:rPr>
        <w:t>有效期自</w:t>
      </w:r>
      <w:r>
        <w:rPr>
          <w:rFonts w:hint="eastAsia" w:ascii="宋体" w:hAnsi="宋体"/>
          <w:color w:val="auto"/>
          <w:sz w:val="24"/>
          <w:szCs w:val="24"/>
          <w:highlight w:val="none"/>
        </w:rPr>
        <w:t>开立之日起</w:t>
      </w:r>
      <w:r>
        <w:rPr>
          <w:rFonts w:ascii="宋体" w:hAnsi="宋体"/>
          <w:color w:val="auto"/>
          <w:sz w:val="24"/>
          <w:szCs w:val="24"/>
          <w:highlight w:val="none"/>
        </w:rPr>
        <w:t>至</w:t>
      </w:r>
      <w:r>
        <w:rPr>
          <w:rFonts w:hint="eastAsia" w:ascii="宋体" w:hAnsi="宋体"/>
          <w:color w:val="auto"/>
          <w:sz w:val="24"/>
          <w:szCs w:val="24"/>
          <w:highlight w:val="none"/>
        </w:rPr>
        <w:t>发包人全额扣回预付款后</w:t>
      </w:r>
      <w:r>
        <w:rPr>
          <w:rFonts w:ascii="宋体" w:hAnsi="宋体"/>
          <w:color w:val="auto"/>
          <w:sz w:val="24"/>
          <w:szCs w:val="24"/>
          <w:highlight w:val="none"/>
          <w:u w:val="single"/>
        </w:rPr>
        <w:t xml:space="preserve">   </w:t>
      </w:r>
      <w:r>
        <w:rPr>
          <w:rFonts w:ascii="宋体" w:hAnsi="宋体"/>
          <w:color w:val="auto"/>
          <w:sz w:val="24"/>
          <w:szCs w:val="24"/>
          <w:highlight w:val="none"/>
        </w:rPr>
        <w:t>日</w:t>
      </w:r>
      <w:r>
        <w:rPr>
          <w:rFonts w:hint="eastAsia" w:ascii="宋体" w:hAnsi="宋体"/>
          <w:color w:val="auto"/>
          <w:sz w:val="24"/>
          <w:szCs w:val="24"/>
          <w:highlight w:val="none"/>
        </w:rPr>
        <w:t>止，最迟不超过</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日。</w:t>
      </w:r>
    </w:p>
    <w:p w14:paraId="200420A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四、我方承诺，在收到受益人发来的书面付款通知后的</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日内无条件支付，前述书面付款通知即为付款要求之单据，且应满足以下要求：</w:t>
      </w:r>
    </w:p>
    <w:p w14:paraId="2062DEF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（1）付款通知到达的日期在本保函的有效期内；</w:t>
      </w:r>
    </w:p>
    <w:p w14:paraId="0045599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（2）载明要求支付的金额；</w:t>
      </w:r>
    </w:p>
    <w:p w14:paraId="0A3220A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（3）载明申请人违反合同义务的条款和内容；</w:t>
      </w:r>
    </w:p>
    <w:p w14:paraId="1FE0DA5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（4）声明不存在合同文件约定或我国法律规定免除申请人或开立人支付责任的情形；</w:t>
      </w:r>
    </w:p>
    <w:p w14:paraId="0F3802B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（5）付款通知应在本保函有效期内到达的地址是：</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0C1815D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受益人发出的书面付款通知应由其为鉴明受益人法定代表人（负责人）或授权代理人签字并加盖公章。</w:t>
      </w:r>
    </w:p>
    <w:p w14:paraId="66D82DB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五、</w:t>
      </w:r>
      <w:r>
        <w:rPr>
          <w:rFonts w:ascii="宋体" w:hAnsi="宋体"/>
          <w:color w:val="auto"/>
          <w:sz w:val="24"/>
          <w:szCs w:val="24"/>
          <w:highlight w:val="none"/>
        </w:rPr>
        <w:t>本保函项下的权利不得转让，不得设定担保。贵方未经我方书面同意转 让本保函或其项下任何权利，</w:t>
      </w:r>
      <w:r>
        <w:rPr>
          <w:rFonts w:hint="eastAsia" w:ascii="宋体" w:hAnsi="宋体"/>
          <w:color w:val="auto"/>
          <w:sz w:val="24"/>
          <w:szCs w:val="24"/>
          <w:highlight w:val="none"/>
        </w:rPr>
        <w:t>对我方不发生法律效力</w:t>
      </w:r>
      <w:r>
        <w:rPr>
          <w:rFonts w:ascii="宋体" w:hAnsi="宋体"/>
          <w:color w:val="auto"/>
          <w:sz w:val="24"/>
          <w:szCs w:val="24"/>
          <w:highlight w:val="none"/>
        </w:rPr>
        <w:t xml:space="preserve">。 </w:t>
      </w:r>
    </w:p>
    <w:p w14:paraId="2B0A886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六、与</w:t>
      </w:r>
      <w:r>
        <w:rPr>
          <w:rFonts w:ascii="宋体" w:hAnsi="宋体"/>
          <w:color w:val="auto"/>
          <w:sz w:val="24"/>
          <w:szCs w:val="24"/>
          <w:highlight w:val="none"/>
        </w:rPr>
        <w:t>本保函</w:t>
      </w:r>
      <w:r>
        <w:rPr>
          <w:rFonts w:hint="eastAsia" w:ascii="宋体" w:hAnsi="宋体"/>
          <w:color w:val="auto"/>
          <w:sz w:val="24"/>
          <w:szCs w:val="24"/>
          <w:highlight w:val="none"/>
        </w:rPr>
        <w:t>有关</w:t>
      </w:r>
      <w:r>
        <w:rPr>
          <w:rFonts w:ascii="宋体" w:hAnsi="宋体"/>
          <w:color w:val="auto"/>
          <w:sz w:val="24"/>
          <w:szCs w:val="24"/>
          <w:highlight w:val="none"/>
        </w:rPr>
        <w:t>的</w:t>
      </w:r>
      <w:r>
        <w:rPr>
          <w:rFonts w:hint="eastAsia" w:ascii="宋体" w:hAnsi="宋体"/>
          <w:color w:val="auto"/>
          <w:sz w:val="24"/>
          <w:szCs w:val="24"/>
          <w:highlight w:val="none"/>
        </w:rPr>
        <w:t>基础</w:t>
      </w:r>
      <w:r>
        <w:rPr>
          <w:rFonts w:ascii="宋体" w:hAnsi="宋体"/>
          <w:color w:val="auto"/>
          <w:sz w:val="24"/>
          <w:szCs w:val="24"/>
          <w:highlight w:val="none"/>
        </w:rPr>
        <w:t xml:space="preserve">合同不成立、不生效、无效、被撤销、被解除，不影响本保函的独立有效。 </w:t>
      </w:r>
    </w:p>
    <w:p w14:paraId="0A39519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七、</w:t>
      </w:r>
      <w:r>
        <w:rPr>
          <w:rFonts w:ascii="宋体" w:hAnsi="宋体"/>
          <w:color w:val="auto"/>
          <w:sz w:val="24"/>
          <w:szCs w:val="24"/>
          <w:highlight w:val="none"/>
        </w:rPr>
        <w:t>贵方应在本保函到期后的七日内将本保函正本退回我方注销，但是不论贵方是否按此要求将本保函正本退回我方，我方在本保函项下的义务和责任均在保函</w:t>
      </w:r>
      <w:r>
        <w:rPr>
          <w:rFonts w:hint="eastAsia" w:ascii="宋体" w:hAnsi="宋体"/>
          <w:color w:val="auto"/>
          <w:sz w:val="24"/>
          <w:szCs w:val="24"/>
          <w:highlight w:val="none"/>
        </w:rPr>
        <w:t>有效期</w:t>
      </w:r>
      <w:r>
        <w:rPr>
          <w:rFonts w:ascii="宋体" w:hAnsi="宋体"/>
          <w:color w:val="auto"/>
          <w:sz w:val="24"/>
          <w:szCs w:val="24"/>
          <w:highlight w:val="none"/>
        </w:rPr>
        <w:t xml:space="preserve">到期后自动消灭。 </w:t>
      </w:r>
    </w:p>
    <w:p w14:paraId="57B9FB7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八、</w:t>
      </w:r>
      <w:r>
        <w:rPr>
          <w:rFonts w:ascii="宋体" w:hAnsi="宋体"/>
          <w:color w:val="auto"/>
          <w:sz w:val="24"/>
          <w:szCs w:val="24"/>
          <w:highlight w:val="none"/>
        </w:rPr>
        <w:t>本保函</w:t>
      </w:r>
      <w:r>
        <w:rPr>
          <w:rFonts w:hint="eastAsia" w:ascii="宋体" w:hAnsi="宋体"/>
          <w:color w:val="auto"/>
          <w:sz w:val="24"/>
          <w:szCs w:val="24"/>
          <w:highlight w:val="none"/>
        </w:rPr>
        <w:t>适用的法律为中华人民共和国法律，争议裁判管辖地为中华人民共和国</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5F64E97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九、</w:t>
      </w:r>
      <w:r>
        <w:rPr>
          <w:rFonts w:ascii="宋体" w:hAnsi="宋体"/>
          <w:color w:val="auto"/>
          <w:sz w:val="24"/>
          <w:szCs w:val="24"/>
          <w:highlight w:val="none"/>
        </w:rPr>
        <w:t>本保函自我方法定代表人</w:t>
      </w:r>
      <w:r>
        <w:rPr>
          <w:rFonts w:hint="eastAsia" w:ascii="宋体" w:hAnsi="宋体"/>
          <w:color w:val="auto"/>
          <w:sz w:val="24"/>
          <w:szCs w:val="24"/>
          <w:highlight w:val="none"/>
        </w:rPr>
        <w:t>或授权代表</w:t>
      </w:r>
      <w:r>
        <w:rPr>
          <w:rFonts w:ascii="宋体" w:hAnsi="宋体"/>
          <w:color w:val="auto"/>
          <w:sz w:val="24"/>
          <w:szCs w:val="24"/>
          <w:highlight w:val="none"/>
        </w:rPr>
        <w:t>签字</w:t>
      </w:r>
      <w:r>
        <w:rPr>
          <w:rFonts w:hint="eastAsia" w:ascii="宋体" w:hAnsi="宋体"/>
          <w:color w:val="auto"/>
          <w:sz w:val="24"/>
          <w:szCs w:val="24"/>
          <w:highlight w:val="none"/>
        </w:rPr>
        <w:t>并</w:t>
      </w:r>
      <w:r>
        <w:rPr>
          <w:rFonts w:ascii="宋体" w:hAnsi="宋体"/>
          <w:color w:val="auto"/>
          <w:sz w:val="24"/>
          <w:szCs w:val="24"/>
          <w:highlight w:val="none"/>
        </w:rPr>
        <w:t xml:space="preserve">加盖公章之日起生效。 </w:t>
      </w:r>
    </w:p>
    <w:p w14:paraId="343F5457">
      <w:pPr>
        <w:spacing w:line="360" w:lineRule="auto"/>
        <w:ind w:firstLine="480" w:firstLineChars="200"/>
        <w:rPr>
          <w:rFonts w:ascii="宋体" w:hAnsi="宋体"/>
          <w:color w:val="auto"/>
          <w:sz w:val="24"/>
          <w:szCs w:val="24"/>
          <w:highlight w:val="none"/>
        </w:rPr>
      </w:pPr>
    </w:p>
    <w:p w14:paraId="01C86089">
      <w:pPr>
        <w:spacing w:line="360" w:lineRule="auto"/>
        <w:ind w:firstLine="480" w:firstLineChars="200"/>
        <w:rPr>
          <w:rFonts w:ascii="宋体" w:hAnsi="宋体"/>
          <w:color w:val="auto"/>
          <w:sz w:val="24"/>
          <w:szCs w:val="24"/>
          <w:highlight w:val="none"/>
        </w:rPr>
      </w:pPr>
    </w:p>
    <w:p w14:paraId="1CD8A3F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开 立 人</w:t>
      </w:r>
      <w:r>
        <w:rPr>
          <w:rFonts w:ascii="宋体" w:hAnsi="宋体"/>
          <w:color w:val="auto"/>
          <w:sz w:val="24"/>
          <w:szCs w:val="24"/>
          <w:highlight w:val="none"/>
        </w:rPr>
        <w:t xml:space="preserve">：                </w:t>
      </w: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公</w:t>
      </w:r>
      <w:r>
        <w:rPr>
          <w:rFonts w:ascii="宋体" w:hAnsi="宋体"/>
          <w:color w:val="auto"/>
          <w:sz w:val="24"/>
          <w:szCs w:val="24"/>
          <w:highlight w:val="none"/>
        </w:rPr>
        <w:t xml:space="preserve">章） </w:t>
      </w:r>
    </w:p>
    <w:p w14:paraId="6978CBD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法定代表人（或授权代表）：</w:t>
      </w:r>
      <w:r>
        <w:rPr>
          <w:rFonts w:ascii="宋体" w:hAnsi="宋体"/>
          <w:color w:val="auto"/>
          <w:sz w:val="24"/>
          <w:szCs w:val="24"/>
          <w:highlight w:val="none"/>
        </w:rPr>
        <w:t xml:space="preserve">               （签字） </w:t>
      </w:r>
    </w:p>
    <w:p w14:paraId="14C9018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地</w:t>
      </w:r>
      <w:r>
        <w:rPr>
          <w:rFonts w:ascii="宋体" w:hAnsi="宋体"/>
          <w:color w:val="auto"/>
          <w:sz w:val="24"/>
          <w:szCs w:val="24"/>
          <w:highlight w:val="none"/>
        </w:rPr>
        <w:t xml:space="preserve">    址：                                       </w:t>
      </w:r>
    </w:p>
    <w:p w14:paraId="6E18DAD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邮政编码：</w:t>
      </w:r>
      <w:r>
        <w:rPr>
          <w:rFonts w:ascii="宋体" w:hAnsi="宋体"/>
          <w:color w:val="auto"/>
          <w:sz w:val="24"/>
          <w:szCs w:val="24"/>
          <w:highlight w:val="none"/>
        </w:rPr>
        <w:t xml:space="preserve">                 </w:t>
      </w:r>
    </w:p>
    <w:p w14:paraId="18A1CF6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电</w:t>
      </w:r>
      <w:r>
        <w:rPr>
          <w:rFonts w:ascii="宋体" w:hAnsi="宋体"/>
          <w:color w:val="auto"/>
          <w:sz w:val="24"/>
          <w:szCs w:val="24"/>
          <w:highlight w:val="none"/>
        </w:rPr>
        <w:t xml:space="preserve">    话：                 </w:t>
      </w:r>
    </w:p>
    <w:p w14:paraId="77AF6FD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传</w:t>
      </w:r>
      <w:r>
        <w:rPr>
          <w:rFonts w:ascii="宋体" w:hAnsi="宋体"/>
          <w:color w:val="auto"/>
          <w:sz w:val="24"/>
          <w:szCs w:val="24"/>
          <w:highlight w:val="none"/>
        </w:rPr>
        <w:t xml:space="preserve">    真：                 </w:t>
      </w:r>
    </w:p>
    <w:p w14:paraId="5D5DD96F">
      <w:pPr>
        <w:spacing w:line="360" w:lineRule="auto"/>
        <w:rPr>
          <w:color w:val="auto"/>
          <w:highlight w:val="none"/>
        </w:rPr>
      </w:pPr>
      <w:r>
        <w:rPr>
          <w:rFonts w:hint="eastAsia" w:ascii="宋体" w:hAnsi="宋体"/>
          <w:color w:val="auto"/>
          <w:sz w:val="24"/>
          <w:szCs w:val="24"/>
          <w:highlight w:val="none"/>
        </w:rPr>
        <w:t xml:space="preserve">    开立时间：</w:t>
      </w:r>
      <w:r>
        <w:rPr>
          <w:rFonts w:ascii="宋体" w:hAnsi="宋体"/>
          <w:color w:val="auto"/>
          <w:sz w:val="24"/>
          <w:szCs w:val="24"/>
          <w:highlight w:val="none"/>
        </w:rPr>
        <w:t xml:space="preserve">      年      月        日</w:t>
      </w:r>
    </w:p>
    <w:p w14:paraId="76573A88">
      <w:pPr>
        <w:spacing w:line="360" w:lineRule="auto"/>
        <w:jc w:val="center"/>
        <w:rPr>
          <w:rFonts w:ascii="宋体" w:hAnsi="宋体"/>
          <w:b/>
          <w:bCs/>
          <w:color w:val="auto"/>
          <w:sz w:val="32"/>
          <w:szCs w:val="32"/>
          <w:highlight w:val="none"/>
        </w:rPr>
      </w:pPr>
    </w:p>
    <w:p w14:paraId="371459F2">
      <w:pPr>
        <w:spacing w:line="360" w:lineRule="auto"/>
        <w:jc w:val="center"/>
        <w:rPr>
          <w:rFonts w:ascii="宋体" w:hAnsi="宋体"/>
          <w:b/>
          <w:bCs/>
          <w:color w:val="auto"/>
          <w:sz w:val="32"/>
          <w:szCs w:val="32"/>
          <w:highlight w:val="none"/>
        </w:rPr>
      </w:pPr>
    </w:p>
    <w:p w14:paraId="0C286F59">
      <w:pPr>
        <w:spacing w:line="360" w:lineRule="auto"/>
        <w:jc w:val="center"/>
        <w:rPr>
          <w:rFonts w:ascii="宋体" w:hAnsi="宋体"/>
          <w:b/>
          <w:bCs/>
          <w:color w:val="auto"/>
          <w:sz w:val="32"/>
          <w:szCs w:val="32"/>
          <w:highlight w:val="none"/>
        </w:rPr>
      </w:pPr>
    </w:p>
    <w:p w14:paraId="4A27397F">
      <w:pPr>
        <w:spacing w:before="120" w:beforeLines="50" w:after="120" w:afterLines="50" w:line="360" w:lineRule="auto"/>
        <w:jc w:val="left"/>
        <w:rPr>
          <w:rFonts w:hint="eastAsia" w:ascii="仿宋_GB2312" w:eastAsia="仿宋_GB2312" w:cs="仿宋_GB2312"/>
          <w:color w:val="auto"/>
          <w:sz w:val="30"/>
          <w:szCs w:val="30"/>
          <w:highlight w:val="none"/>
          <w:lang w:eastAsia="zh-CN"/>
        </w:rPr>
      </w:pPr>
      <w:r>
        <w:rPr>
          <w:rFonts w:hint="eastAsia" w:ascii="仿宋_GB2312" w:eastAsia="仿宋_GB2312" w:cs="仿宋_GB2312"/>
          <w:color w:val="auto"/>
          <w:sz w:val="30"/>
          <w:szCs w:val="30"/>
          <w:highlight w:val="none"/>
        </w:rPr>
        <w:t>附件8</w:t>
      </w:r>
      <w:r>
        <w:rPr>
          <w:rFonts w:hint="eastAsia" w:ascii="仿宋_GB2312" w:eastAsia="仿宋_GB2312" w:cs="仿宋_GB2312"/>
          <w:color w:val="auto"/>
          <w:sz w:val="30"/>
          <w:szCs w:val="30"/>
          <w:highlight w:val="none"/>
          <w:lang w:eastAsia="zh-CN"/>
        </w:rPr>
        <w:t>：预付款保函示范文本</w:t>
      </w:r>
    </w:p>
    <w:p w14:paraId="0D31A02E">
      <w:pPr>
        <w:spacing w:line="360" w:lineRule="auto"/>
        <w:jc w:val="left"/>
        <w:rPr>
          <w:rFonts w:ascii="黑体" w:hAnsi="黑体" w:eastAsia="黑体" w:cs="黑体"/>
          <w:b/>
          <w:bCs/>
          <w:color w:val="auto"/>
          <w:sz w:val="32"/>
          <w:szCs w:val="32"/>
          <w:highlight w:val="none"/>
        </w:rPr>
      </w:pPr>
    </w:p>
    <w:p w14:paraId="1B7AD15A">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预付款保函示范文本</w:t>
      </w:r>
    </w:p>
    <w:p w14:paraId="5DDC86C8">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（非独立保函）</w:t>
      </w:r>
    </w:p>
    <w:p w14:paraId="49163977">
      <w:pPr>
        <w:wordWrap w:val="0"/>
        <w:spacing w:line="360" w:lineRule="auto"/>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2C8F31CE">
      <w:pPr>
        <w:spacing w:line="360" w:lineRule="auto"/>
        <w:rPr>
          <w:rFonts w:ascii="宋体" w:hAnsi="宋体"/>
          <w:color w:val="auto"/>
          <w:sz w:val="24"/>
          <w:szCs w:val="24"/>
          <w:highlight w:val="none"/>
        </w:rPr>
      </w:pPr>
    </w:p>
    <w:p w14:paraId="6E28481D">
      <w:pPr>
        <w:spacing w:line="360" w:lineRule="auto"/>
        <w:rPr>
          <w:rFonts w:ascii="宋体" w:hAnsi="宋体"/>
          <w:color w:val="auto"/>
          <w:sz w:val="24"/>
          <w:szCs w:val="24"/>
          <w:highlight w:val="none"/>
        </w:rPr>
      </w:pPr>
      <w:r>
        <w:rPr>
          <w:rFonts w:hint="eastAsia" w:ascii="宋体" w:hAnsi="宋体"/>
          <w:color w:val="auto"/>
          <w:sz w:val="24"/>
          <w:szCs w:val="24"/>
          <w:highlight w:val="none"/>
        </w:rPr>
        <w:t>担保权人/发包人：</w:t>
      </w:r>
    </w:p>
    <w:p w14:paraId="3C564C6A">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r>
        <w:rPr>
          <w:rFonts w:ascii="宋体" w:hAnsi="宋体"/>
          <w:color w:val="auto"/>
          <w:sz w:val="24"/>
          <w:szCs w:val="24"/>
          <w:highlight w:val="none"/>
        </w:rPr>
        <w:t>：</w:t>
      </w:r>
    </w:p>
    <w:p w14:paraId="2CC9A9EF">
      <w:pPr>
        <w:spacing w:line="360" w:lineRule="auto"/>
        <w:rPr>
          <w:rFonts w:ascii="宋体" w:hAnsi="宋体"/>
          <w:color w:val="auto"/>
          <w:sz w:val="24"/>
          <w:szCs w:val="24"/>
          <w:highlight w:val="none"/>
        </w:rPr>
      </w:pPr>
      <w:r>
        <w:rPr>
          <w:rFonts w:hint="eastAsia" w:ascii="宋体" w:hAnsi="宋体"/>
          <w:color w:val="auto"/>
          <w:sz w:val="24"/>
          <w:szCs w:val="24"/>
          <w:highlight w:val="none"/>
        </w:rPr>
        <w:t>承包人：</w:t>
      </w:r>
      <w:r>
        <w:rPr>
          <w:rFonts w:ascii="宋体" w:hAnsi="宋体"/>
          <w:color w:val="auto"/>
          <w:sz w:val="24"/>
          <w:szCs w:val="24"/>
          <w:highlight w:val="none"/>
        </w:rPr>
        <w:t xml:space="preserve"> </w:t>
      </w:r>
    </w:p>
    <w:p w14:paraId="499DC330">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p>
    <w:p w14:paraId="784C0EAE">
      <w:pPr>
        <w:spacing w:line="360" w:lineRule="auto"/>
        <w:rPr>
          <w:rFonts w:ascii="宋体" w:hAnsi="宋体"/>
          <w:color w:val="auto"/>
          <w:sz w:val="24"/>
          <w:szCs w:val="24"/>
          <w:highlight w:val="none"/>
        </w:rPr>
      </w:pPr>
      <w:r>
        <w:rPr>
          <w:rFonts w:hint="eastAsia" w:ascii="宋体" w:hAnsi="宋体"/>
          <w:color w:val="auto"/>
          <w:sz w:val="24"/>
          <w:szCs w:val="24"/>
          <w:highlight w:val="none"/>
        </w:rPr>
        <w:t>保证人：</w:t>
      </w:r>
    </w:p>
    <w:p w14:paraId="517868CA">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p>
    <w:p w14:paraId="2DCCFC6B">
      <w:pPr>
        <w:spacing w:line="360" w:lineRule="auto"/>
        <w:rPr>
          <w:rFonts w:ascii="宋体" w:hAnsi="宋体"/>
          <w:color w:val="auto"/>
          <w:sz w:val="24"/>
          <w:szCs w:val="24"/>
          <w:highlight w:val="none"/>
        </w:rPr>
      </w:pPr>
    </w:p>
    <w:p w14:paraId="57A79428">
      <w:pPr>
        <w:spacing w:line="360" w:lineRule="auto"/>
        <w:rPr>
          <w:rFonts w:ascii="宋体" w:hAnsi="宋体"/>
          <w:color w:val="auto"/>
          <w:sz w:val="24"/>
          <w:szCs w:val="24"/>
          <w:highlight w:val="none"/>
        </w:rPr>
      </w:pPr>
      <w:r>
        <w:rPr>
          <w:rFonts w:ascii="宋体" w:hAnsi="宋体"/>
          <w:color w:val="auto"/>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发包人</w:t>
      </w:r>
      <w:r>
        <w:rPr>
          <w:rFonts w:ascii="宋体" w:hAnsi="宋体"/>
          <w:color w:val="auto"/>
          <w:sz w:val="24"/>
          <w:szCs w:val="24"/>
          <w:highlight w:val="none"/>
        </w:rPr>
        <w:t xml:space="preserve">名称）： </w:t>
      </w:r>
    </w:p>
    <w:p w14:paraId="416B3E4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鉴于</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发包人</w:t>
      </w:r>
      <w:r>
        <w:rPr>
          <w:rFonts w:hint="eastAsia" w:ascii="宋体" w:hAnsi="宋体"/>
          <w:color w:val="auto"/>
          <w:sz w:val="24"/>
          <w:szCs w:val="24"/>
          <w:highlight w:val="none"/>
          <w:lang w:eastAsia="zh-CN"/>
        </w:rPr>
        <w:t>”</w:t>
      </w:r>
      <w:r>
        <w:rPr>
          <w:rFonts w:ascii="宋体" w:hAnsi="宋体"/>
          <w:color w:val="auto"/>
          <w:sz w:val="24"/>
          <w:szCs w:val="24"/>
          <w:highlight w:val="none"/>
        </w:rPr>
        <w:t>）</w:t>
      </w:r>
      <w:r>
        <w:rPr>
          <w:rFonts w:hint="eastAsia" w:ascii="宋体" w:hAnsi="宋体"/>
          <w:color w:val="auto"/>
          <w:sz w:val="24"/>
          <w:szCs w:val="24"/>
          <w:highlight w:val="none"/>
        </w:rPr>
        <w:t>与</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承包人</w:t>
      </w:r>
      <w:r>
        <w:rPr>
          <w:rFonts w:hint="eastAsia" w:ascii="宋体" w:hAnsi="宋体"/>
          <w:color w:val="auto"/>
          <w:sz w:val="24"/>
          <w:szCs w:val="24"/>
          <w:highlight w:val="none"/>
          <w:lang w:eastAsia="zh-CN"/>
        </w:rPr>
        <w:t>”</w:t>
      </w:r>
      <w:r>
        <w:rPr>
          <w:rFonts w:ascii="宋体" w:hAnsi="宋体"/>
          <w:color w:val="auto"/>
          <w:sz w:val="24"/>
          <w:szCs w:val="24"/>
          <w:highlight w:val="none"/>
        </w:rPr>
        <w:t>）</w:t>
      </w:r>
      <w:r>
        <w:rPr>
          <w:rFonts w:hint="eastAsia" w:ascii="宋体" w:hAnsi="宋体"/>
          <w:color w:val="auto"/>
          <w:sz w:val="24"/>
          <w:szCs w:val="24"/>
          <w:highlight w:val="none"/>
        </w:rPr>
        <w:t>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日就</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工程（以下简称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本工程</w:t>
      </w:r>
      <w:r>
        <w:rPr>
          <w:rFonts w:hint="eastAsia" w:ascii="宋体" w:hAnsi="宋体"/>
          <w:color w:val="auto"/>
          <w:sz w:val="24"/>
          <w:szCs w:val="24"/>
          <w:highlight w:val="none"/>
          <w:lang w:eastAsia="zh-CN"/>
        </w:rPr>
        <w:t>”</w:t>
      </w:r>
      <w:r>
        <w:rPr>
          <w:rFonts w:hint="eastAsia" w:ascii="宋体" w:hAnsi="宋体"/>
          <w:color w:val="auto"/>
          <w:sz w:val="24"/>
          <w:szCs w:val="24"/>
          <w:highlight w:val="none"/>
        </w:rPr>
        <w:t>）施工和有关事项协商一致共同签订</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w:t>
      </w:r>
      <w:r>
        <w:rPr>
          <w:rFonts w:hint="eastAsia" w:ascii="宋体" w:hAnsi="宋体"/>
          <w:color w:val="auto"/>
          <w:sz w:val="24"/>
          <w:szCs w:val="24"/>
          <w:highlight w:val="none"/>
        </w:rPr>
        <w:t>（以下简称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主合同</w:t>
      </w:r>
      <w:r>
        <w:rPr>
          <w:rFonts w:hint="eastAsia" w:ascii="宋体" w:hAnsi="宋体"/>
          <w:color w:val="auto"/>
          <w:sz w:val="24"/>
          <w:szCs w:val="24"/>
          <w:highlight w:val="none"/>
          <w:lang w:eastAsia="zh-CN"/>
        </w:rPr>
        <w:t>”</w:t>
      </w:r>
      <w:r>
        <w:rPr>
          <w:rFonts w:hint="eastAsia" w:ascii="宋体" w:hAnsi="宋体"/>
          <w:color w:val="auto"/>
          <w:sz w:val="24"/>
          <w:szCs w:val="24"/>
          <w:highlight w:val="none"/>
        </w:rPr>
        <w:t>），我方即保证人基于承包人</w:t>
      </w:r>
      <w:r>
        <w:rPr>
          <w:rFonts w:ascii="宋体" w:hAnsi="宋体"/>
          <w:color w:val="auto"/>
          <w:sz w:val="24"/>
          <w:szCs w:val="24"/>
          <w:highlight w:val="none"/>
        </w:rPr>
        <w:t>的请求，同意就</w:t>
      </w:r>
      <w:r>
        <w:rPr>
          <w:rFonts w:hint="eastAsia" w:ascii="宋体" w:hAnsi="宋体"/>
          <w:color w:val="auto"/>
          <w:sz w:val="24"/>
          <w:szCs w:val="24"/>
          <w:highlight w:val="none"/>
        </w:rPr>
        <w:t>承包人按照合同约定正确和合理地为合同目的使用预付款，不将预付款挪作他用，</w:t>
      </w:r>
      <w:r>
        <w:rPr>
          <w:rFonts w:ascii="宋体" w:hAnsi="宋体"/>
          <w:color w:val="auto"/>
          <w:sz w:val="24"/>
          <w:szCs w:val="24"/>
          <w:highlight w:val="none"/>
        </w:rPr>
        <w:t>向贵方提供</w:t>
      </w:r>
      <w:r>
        <w:rPr>
          <w:rFonts w:hint="eastAsia" w:ascii="宋体" w:hAnsi="宋体"/>
          <w:color w:val="auto"/>
          <w:sz w:val="24"/>
          <w:szCs w:val="24"/>
          <w:highlight w:val="none"/>
        </w:rPr>
        <w:t>如下保证担保（以下简称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本保证担保</w:t>
      </w:r>
      <w:r>
        <w:rPr>
          <w:rFonts w:hint="eastAsia" w:ascii="宋体" w:hAnsi="宋体"/>
          <w:color w:val="auto"/>
          <w:sz w:val="24"/>
          <w:szCs w:val="24"/>
          <w:highlight w:val="none"/>
          <w:lang w:eastAsia="zh-CN"/>
        </w:rPr>
        <w:t>”</w:t>
      </w:r>
      <w:r>
        <w:rPr>
          <w:rFonts w:hint="eastAsia" w:ascii="宋体" w:hAnsi="宋体"/>
          <w:color w:val="auto"/>
          <w:sz w:val="24"/>
          <w:szCs w:val="24"/>
          <w:highlight w:val="none"/>
        </w:rPr>
        <w:t>）</w:t>
      </w:r>
      <w:r>
        <w:rPr>
          <w:rFonts w:ascii="宋体" w:hAnsi="宋体"/>
          <w:color w:val="auto"/>
          <w:sz w:val="24"/>
          <w:szCs w:val="24"/>
          <w:highlight w:val="none"/>
        </w:rPr>
        <w:t xml:space="preserve">。 </w:t>
      </w:r>
    </w:p>
    <w:p w14:paraId="2EFD3BC0">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一、保证担保的范围及保证担保金额</w:t>
      </w:r>
    </w:p>
    <w:p w14:paraId="77629C4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w:t>
      </w:r>
      <w:r>
        <w:rPr>
          <w:rFonts w:hint="eastAsia" w:ascii="宋体" w:hAnsi="宋体"/>
          <w:color w:val="auto"/>
          <w:sz w:val="24"/>
          <w:szCs w:val="24"/>
          <w:highlight w:val="none"/>
        </w:rPr>
        <w:t>保证担保范围：申请人未按照合同约定正确和合理地为合同目的使用预付款，应当向贵方</w:t>
      </w:r>
      <w:r>
        <w:rPr>
          <w:rFonts w:hint="eastAsia" w:ascii="宋体" w:hAnsi="宋体"/>
          <w:color w:val="auto"/>
          <w:sz w:val="24"/>
          <w:szCs w:val="24"/>
          <w:highlight w:val="none"/>
          <w:lang w:eastAsia="zh-CN"/>
        </w:rPr>
        <w:t>承担</w:t>
      </w:r>
      <w:r>
        <w:rPr>
          <w:rFonts w:hint="eastAsia" w:ascii="宋体" w:hAnsi="宋体"/>
          <w:color w:val="auto"/>
          <w:sz w:val="24"/>
          <w:szCs w:val="24"/>
          <w:highlight w:val="none"/>
        </w:rPr>
        <w:t>违约责任和赔偿因此造成的损失、利息、律师费、诉讼费用等实现债权的费用。</w:t>
      </w:r>
    </w:p>
    <w:p w14:paraId="12BB63E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保证担保金额最高不超过</w:t>
      </w:r>
      <w:r>
        <w:rPr>
          <w:rFonts w:ascii="宋体" w:hAnsi="宋体"/>
          <w:color w:val="auto"/>
          <w:sz w:val="24"/>
          <w:szCs w:val="24"/>
          <w:highlight w:val="none"/>
        </w:rPr>
        <w:t>人民币（大写）</w:t>
      </w:r>
      <w:r>
        <w:rPr>
          <w:rFonts w:ascii="宋体" w:hAnsi="宋体"/>
          <w:color w:val="auto"/>
          <w:sz w:val="24"/>
          <w:szCs w:val="24"/>
          <w:highlight w:val="none"/>
          <w:u w:val="single"/>
        </w:rPr>
        <w:t xml:space="preserve">          </w:t>
      </w:r>
      <w:r>
        <w:rPr>
          <w:rFonts w:ascii="宋体" w:hAnsi="宋体"/>
          <w:color w:val="auto"/>
          <w:sz w:val="24"/>
          <w:szCs w:val="24"/>
          <w:highlight w:val="none"/>
        </w:rPr>
        <w:t>元（¥</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56511601">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二、保证担保的方式及保证期间</w:t>
      </w:r>
      <w:r>
        <w:rPr>
          <w:rFonts w:ascii="宋体" w:hAnsi="宋体"/>
          <w:b/>
          <w:bCs/>
          <w:color w:val="auto"/>
          <w:sz w:val="24"/>
          <w:szCs w:val="24"/>
          <w:highlight w:val="none"/>
        </w:rPr>
        <w:t xml:space="preserve"> </w:t>
      </w:r>
    </w:p>
    <w:p w14:paraId="45B2812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1.保证担保方式：连带责任保证。</w:t>
      </w:r>
    </w:p>
    <w:p w14:paraId="76CABDB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保证期间：</w:t>
      </w:r>
      <w:r>
        <w:rPr>
          <w:rFonts w:ascii="宋体" w:hAnsi="宋体"/>
          <w:color w:val="auto"/>
          <w:sz w:val="24"/>
          <w:szCs w:val="24"/>
          <w:highlight w:val="none"/>
        </w:rPr>
        <w:t>自</w:t>
      </w:r>
      <w:r>
        <w:rPr>
          <w:rFonts w:hint="eastAsia" w:ascii="宋体" w:hAnsi="宋体"/>
          <w:color w:val="auto"/>
          <w:sz w:val="24"/>
          <w:szCs w:val="24"/>
          <w:highlight w:val="none"/>
        </w:rPr>
        <w:t>出具之日起</w:t>
      </w:r>
      <w:r>
        <w:rPr>
          <w:rFonts w:ascii="宋体" w:hAnsi="宋体"/>
          <w:color w:val="auto"/>
          <w:sz w:val="24"/>
          <w:szCs w:val="24"/>
          <w:highlight w:val="none"/>
        </w:rPr>
        <w:t>至</w:t>
      </w:r>
      <w:r>
        <w:rPr>
          <w:rFonts w:hint="eastAsia" w:ascii="宋体" w:hAnsi="宋体"/>
          <w:color w:val="auto"/>
          <w:sz w:val="24"/>
          <w:szCs w:val="24"/>
          <w:highlight w:val="none"/>
        </w:rPr>
        <w:t>发包人全额扣回预付款后</w:t>
      </w:r>
      <w:r>
        <w:rPr>
          <w:rFonts w:ascii="宋体" w:hAnsi="宋体"/>
          <w:color w:val="auto"/>
          <w:sz w:val="24"/>
          <w:szCs w:val="24"/>
          <w:highlight w:val="none"/>
          <w:u w:val="single"/>
        </w:rPr>
        <w:t xml:space="preserve">   </w:t>
      </w:r>
      <w:r>
        <w:rPr>
          <w:rFonts w:ascii="宋体" w:hAnsi="宋体"/>
          <w:color w:val="auto"/>
          <w:sz w:val="24"/>
          <w:szCs w:val="24"/>
          <w:highlight w:val="none"/>
        </w:rPr>
        <w:t>日</w:t>
      </w:r>
      <w:r>
        <w:rPr>
          <w:rFonts w:hint="eastAsia" w:ascii="宋体" w:hAnsi="宋体"/>
          <w:color w:val="auto"/>
          <w:sz w:val="24"/>
          <w:szCs w:val="24"/>
          <w:highlight w:val="none"/>
        </w:rPr>
        <w:t>止，最迟不超过</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日</w:t>
      </w:r>
      <w:r>
        <w:rPr>
          <w:rFonts w:ascii="宋体" w:hAnsi="宋体"/>
          <w:color w:val="auto"/>
          <w:sz w:val="24"/>
          <w:szCs w:val="24"/>
          <w:highlight w:val="none"/>
        </w:rPr>
        <w:t xml:space="preserve">。 </w:t>
      </w:r>
    </w:p>
    <w:p w14:paraId="76EC00E7">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三、承担保证担保责任的形式</w:t>
      </w:r>
    </w:p>
    <w:p w14:paraId="4029955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发生应承担保证责任情形的，我方在保证金额内向贵方支付，并赔偿因此给贵方造成的损失，以及利息和律师费、诉讼费用等实现债权的费用。</w:t>
      </w:r>
    </w:p>
    <w:p w14:paraId="29AFF8DA">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四、代偿的安排</w:t>
      </w:r>
      <w:r>
        <w:rPr>
          <w:rFonts w:ascii="宋体" w:hAnsi="宋体"/>
          <w:b/>
          <w:bCs/>
          <w:color w:val="auto"/>
          <w:sz w:val="24"/>
          <w:szCs w:val="24"/>
          <w:highlight w:val="none"/>
        </w:rPr>
        <w:t xml:space="preserve"> </w:t>
      </w:r>
    </w:p>
    <w:p w14:paraId="6E597C4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1.贵方要求我方承担保证责任的，应向我方发出书面索赔通知及承包人未履行主合同约定义务的证明材料。索赔通知应写明要求索赔的金额，支付款项应到达的</w:t>
      </w:r>
      <w:r>
        <w:rPr>
          <w:rFonts w:hint="eastAsia" w:ascii="宋体" w:hAnsi="宋体"/>
          <w:color w:val="auto"/>
          <w:sz w:val="24"/>
          <w:szCs w:val="24"/>
          <w:highlight w:val="none"/>
          <w:lang w:eastAsia="zh-CN"/>
        </w:rPr>
        <w:t>账</w:t>
      </w:r>
      <w:r>
        <w:rPr>
          <w:rFonts w:hint="eastAsia" w:ascii="宋体" w:hAnsi="宋体"/>
          <w:color w:val="auto"/>
          <w:sz w:val="24"/>
          <w:szCs w:val="24"/>
          <w:highlight w:val="none"/>
        </w:rPr>
        <w:t>号，并附有说明承包人违反主合同造成贵方损失情况的证明材料。</w:t>
      </w:r>
    </w:p>
    <w:p w14:paraId="732B3E7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2.我方收到贵方的书面索赔通知及相应证明材料后，在</w:t>
      </w:r>
      <w:r>
        <w:rPr>
          <w:rFonts w:ascii="宋体" w:hAnsi="宋体"/>
          <w:color w:val="auto"/>
          <w:sz w:val="24"/>
          <w:szCs w:val="24"/>
          <w:highlight w:val="none"/>
          <w:u w:val="single"/>
        </w:rPr>
        <w:t xml:space="preserve">    </w:t>
      </w:r>
      <w:r>
        <w:rPr>
          <w:rFonts w:hint="eastAsia" w:ascii="宋体" w:hAnsi="宋体"/>
          <w:color w:val="auto"/>
          <w:sz w:val="24"/>
          <w:szCs w:val="24"/>
          <w:highlight w:val="none"/>
        </w:rPr>
        <w:t>工作日内进行核定后按照本保函的承诺承担保证责任。</w:t>
      </w:r>
    </w:p>
    <w:p w14:paraId="16C5EEEF">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五、保证担保责任的解除</w:t>
      </w:r>
      <w:r>
        <w:rPr>
          <w:rFonts w:ascii="宋体" w:hAnsi="宋体"/>
          <w:b/>
          <w:bCs/>
          <w:color w:val="auto"/>
          <w:sz w:val="24"/>
          <w:szCs w:val="24"/>
          <w:highlight w:val="none"/>
        </w:rPr>
        <w:t xml:space="preserve"> </w:t>
      </w:r>
    </w:p>
    <w:p w14:paraId="03AB4F4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 xml:space="preserve">保证期间届满贵方未向我方书面主张保证责任的，自保证期间届满次日起，我方解除保证责任。 </w:t>
      </w:r>
    </w:p>
    <w:p w14:paraId="4070B4C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我方按照本</w:t>
      </w:r>
      <w:r>
        <w:rPr>
          <w:rFonts w:hint="eastAsia" w:ascii="宋体" w:hAnsi="宋体"/>
          <w:color w:val="auto"/>
          <w:sz w:val="24"/>
          <w:szCs w:val="24"/>
          <w:highlight w:val="none"/>
        </w:rPr>
        <w:t>保证担保</w:t>
      </w:r>
      <w:r>
        <w:rPr>
          <w:rFonts w:ascii="宋体" w:hAnsi="宋体"/>
          <w:color w:val="auto"/>
          <w:sz w:val="24"/>
          <w:szCs w:val="24"/>
          <w:highlight w:val="none"/>
        </w:rPr>
        <w:t>向贵方履行了</w:t>
      </w:r>
      <w:r>
        <w:rPr>
          <w:rFonts w:hint="eastAsia" w:ascii="宋体" w:hAnsi="宋体"/>
          <w:color w:val="auto"/>
          <w:sz w:val="24"/>
          <w:szCs w:val="24"/>
          <w:highlight w:val="none"/>
        </w:rPr>
        <w:t>保证担保责任</w:t>
      </w:r>
      <w:r>
        <w:rPr>
          <w:rFonts w:ascii="宋体" w:hAnsi="宋体"/>
          <w:color w:val="auto"/>
          <w:sz w:val="24"/>
          <w:szCs w:val="24"/>
          <w:highlight w:val="none"/>
        </w:rPr>
        <w:t>后，自我方向贵方支付</w:t>
      </w:r>
      <w:r>
        <w:rPr>
          <w:rFonts w:hint="eastAsia" w:ascii="宋体" w:hAnsi="宋体"/>
          <w:color w:val="auto"/>
          <w:sz w:val="24"/>
          <w:szCs w:val="24"/>
          <w:highlight w:val="none"/>
        </w:rPr>
        <w:t>的金额达到最高保证担保金额</w:t>
      </w:r>
      <w:r>
        <w:rPr>
          <w:rFonts w:ascii="宋体" w:hAnsi="宋体"/>
          <w:color w:val="auto"/>
          <w:sz w:val="24"/>
          <w:szCs w:val="24"/>
          <w:highlight w:val="none"/>
        </w:rPr>
        <w:t>之日起，</w:t>
      </w:r>
      <w:r>
        <w:rPr>
          <w:rFonts w:hint="eastAsia" w:ascii="宋体" w:hAnsi="宋体"/>
          <w:color w:val="auto"/>
          <w:sz w:val="24"/>
          <w:szCs w:val="24"/>
          <w:highlight w:val="none"/>
        </w:rPr>
        <w:t>保证担保责任</w:t>
      </w:r>
      <w:r>
        <w:rPr>
          <w:rFonts w:ascii="宋体" w:hAnsi="宋体"/>
          <w:color w:val="auto"/>
          <w:sz w:val="24"/>
          <w:szCs w:val="24"/>
          <w:highlight w:val="none"/>
        </w:rPr>
        <w:t xml:space="preserve">解除。 </w:t>
      </w:r>
    </w:p>
    <w:p w14:paraId="33B4CA9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按照法律法规的规定应解除我方保证</w:t>
      </w:r>
      <w:r>
        <w:rPr>
          <w:rFonts w:hint="eastAsia" w:ascii="宋体" w:hAnsi="宋体"/>
          <w:color w:val="auto"/>
          <w:sz w:val="24"/>
          <w:szCs w:val="24"/>
          <w:highlight w:val="none"/>
        </w:rPr>
        <w:t>担保</w:t>
      </w:r>
      <w:r>
        <w:rPr>
          <w:rFonts w:ascii="宋体" w:hAnsi="宋体"/>
          <w:color w:val="auto"/>
          <w:sz w:val="24"/>
          <w:szCs w:val="24"/>
          <w:highlight w:val="none"/>
        </w:rPr>
        <w:t>责任的其它情形的，我方在本保证担保项下的保证</w:t>
      </w:r>
      <w:r>
        <w:rPr>
          <w:rFonts w:hint="eastAsia" w:ascii="宋体" w:hAnsi="宋体"/>
          <w:color w:val="auto"/>
          <w:sz w:val="24"/>
          <w:szCs w:val="24"/>
          <w:highlight w:val="none"/>
        </w:rPr>
        <w:t>担保</w:t>
      </w:r>
      <w:r>
        <w:rPr>
          <w:rFonts w:ascii="宋体" w:hAnsi="宋体"/>
          <w:color w:val="auto"/>
          <w:sz w:val="24"/>
          <w:szCs w:val="24"/>
          <w:highlight w:val="none"/>
        </w:rPr>
        <w:t xml:space="preserve">责任亦解除。 </w:t>
      </w:r>
    </w:p>
    <w:p w14:paraId="5AA83FB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4.我方解除保证责任后，贵方应按上述约定，自我方保证担保责任解除之日起七</w:t>
      </w:r>
      <w:r>
        <w:rPr>
          <w:rFonts w:ascii="宋体" w:hAnsi="宋体"/>
          <w:color w:val="auto"/>
          <w:sz w:val="24"/>
          <w:szCs w:val="24"/>
          <w:highlight w:val="none"/>
        </w:rPr>
        <w:t>日内，将本保证担保原件返还我方。但是不论贵方是否按此要求将本保证担保</w:t>
      </w:r>
      <w:r>
        <w:rPr>
          <w:rFonts w:hint="eastAsia" w:ascii="宋体" w:hAnsi="宋体"/>
          <w:color w:val="auto"/>
          <w:sz w:val="24"/>
          <w:szCs w:val="24"/>
          <w:highlight w:val="none"/>
        </w:rPr>
        <w:t>原件</w:t>
      </w:r>
      <w:r>
        <w:rPr>
          <w:rFonts w:ascii="宋体" w:hAnsi="宋体"/>
          <w:color w:val="auto"/>
          <w:sz w:val="24"/>
          <w:szCs w:val="24"/>
          <w:highlight w:val="none"/>
        </w:rPr>
        <w:t>退回我方，我方在本保证担保项下的义务和责任均</w:t>
      </w:r>
      <w:r>
        <w:rPr>
          <w:rFonts w:hint="eastAsia" w:ascii="宋体" w:hAnsi="宋体"/>
          <w:color w:val="auto"/>
          <w:sz w:val="24"/>
          <w:szCs w:val="24"/>
          <w:highlight w:val="none"/>
        </w:rPr>
        <w:t>自保证担保责任解除之日</w:t>
      </w:r>
      <w:r>
        <w:rPr>
          <w:rFonts w:ascii="宋体" w:hAnsi="宋体"/>
          <w:color w:val="auto"/>
          <w:sz w:val="24"/>
          <w:szCs w:val="24"/>
          <w:highlight w:val="none"/>
        </w:rPr>
        <w:t>自动消灭。</w:t>
      </w:r>
    </w:p>
    <w:p w14:paraId="69C742AF">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六、免责条款</w:t>
      </w:r>
      <w:r>
        <w:rPr>
          <w:rFonts w:ascii="宋体" w:hAnsi="宋体"/>
          <w:b/>
          <w:bCs/>
          <w:color w:val="auto"/>
          <w:sz w:val="24"/>
          <w:szCs w:val="24"/>
          <w:highlight w:val="none"/>
        </w:rPr>
        <w:t xml:space="preserve"> </w:t>
      </w:r>
    </w:p>
    <w:p w14:paraId="5F5E240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因贵方</w:t>
      </w:r>
      <w:r>
        <w:rPr>
          <w:rFonts w:hint="eastAsia" w:ascii="宋体" w:hAnsi="宋体"/>
          <w:color w:val="auto"/>
          <w:sz w:val="24"/>
          <w:szCs w:val="24"/>
          <w:highlight w:val="none"/>
        </w:rPr>
        <w:t>原因</w:t>
      </w:r>
      <w:r>
        <w:rPr>
          <w:rFonts w:ascii="宋体" w:hAnsi="宋体"/>
          <w:color w:val="auto"/>
          <w:sz w:val="24"/>
          <w:szCs w:val="24"/>
          <w:highlight w:val="none"/>
        </w:rPr>
        <w:t>致使</w:t>
      </w:r>
      <w:r>
        <w:rPr>
          <w:rFonts w:hint="eastAsia" w:ascii="宋体" w:hAnsi="宋体"/>
          <w:color w:val="auto"/>
          <w:sz w:val="24"/>
          <w:szCs w:val="24"/>
          <w:highlight w:val="none"/>
        </w:rPr>
        <w:t>发生应承担保证责任情形的</w:t>
      </w:r>
      <w:r>
        <w:rPr>
          <w:rFonts w:ascii="宋体" w:hAnsi="宋体"/>
          <w:color w:val="auto"/>
          <w:sz w:val="24"/>
          <w:szCs w:val="24"/>
          <w:highlight w:val="none"/>
        </w:rPr>
        <w:t>，我方不承担保证</w:t>
      </w:r>
      <w:r>
        <w:rPr>
          <w:rFonts w:hint="eastAsia" w:ascii="宋体" w:hAnsi="宋体"/>
          <w:color w:val="auto"/>
          <w:sz w:val="24"/>
          <w:szCs w:val="24"/>
          <w:highlight w:val="none"/>
        </w:rPr>
        <w:t>担保</w:t>
      </w:r>
      <w:r>
        <w:rPr>
          <w:rFonts w:ascii="宋体" w:hAnsi="宋体"/>
          <w:color w:val="auto"/>
          <w:sz w:val="24"/>
          <w:szCs w:val="24"/>
          <w:highlight w:val="none"/>
        </w:rPr>
        <w:t xml:space="preserve">责任。 </w:t>
      </w:r>
    </w:p>
    <w:p w14:paraId="07C098C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依照法律规定或贵方与</w:t>
      </w:r>
      <w:r>
        <w:rPr>
          <w:rFonts w:hint="eastAsia" w:ascii="宋体" w:hAnsi="宋体"/>
          <w:color w:val="auto"/>
          <w:sz w:val="24"/>
          <w:szCs w:val="24"/>
          <w:highlight w:val="none"/>
        </w:rPr>
        <w:t>承包</w:t>
      </w:r>
      <w:r>
        <w:rPr>
          <w:rFonts w:ascii="宋体" w:hAnsi="宋体"/>
          <w:color w:val="auto"/>
          <w:sz w:val="24"/>
          <w:szCs w:val="24"/>
          <w:highlight w:val="none"/>
        </w:rPr>
        <w:t>人的另行约定，免除</w:t>
      </w:r>
      <w:r>
        <w:rPr>
          <w:rFonts w:hint="eastAsia" w:ascii="宋体" w:hAnsi="宋体"/>
          <w:color w:val="auto"/>
          <w:sz w:val="24"/>
          <w:szCs w:val="24"/>
          <w:highlight w:val="none"/>
        </w:rPr>
        <w:t>承包</w:t>
      </w:r>
      <w:r>
        <w:rPr>
          <w:rFonts w:ascii="宋体" w:hAnsi="宋体"/>
          <w:color w:val="auto"/>
          <w:sz w:val="24"/>
          <w:szCs w:val="24"/>
          <w:highlight w:val="none"/>
        </w:rPr>
        <w:t>人部分或全部义务的，我方亦免除其相应的保证</w:t>
      </w:r>
      <w:r>
        <w:rPr>
          <w:rFonts w:hint="eastAsia" w:ascii="宋体" w:hAnsi="宋体"/>
          <w:color w:val="auto"/>
          <w:sz w:val="24"/>
          <w:szCs w:val="24"/>
          <w:highlight w:val="none"/>
        </w:rPr>
        <w:t>担保</w:t>
      </w:r>
      <w:r>
        <w:rPr>
          <w:rFonts w:ascii="宋体" w:hAnsi="宋体"/>
          <w:color w:val="auto"/>
          <w:sz w:val="24"/>
          <w:szCs w:val="24"/>
          <w:highlight w:val="none"/>
        </w:rPr>
        <w:t xml:space="preserve">责任。 </w:t>
      </w:r>
    </w:p>
    <w:p w14:paraId="1F554FD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因不可抗力造成</w:t>
      </w:r>
      <w:r>
        <w:rPr>
          <w:rFonts w:hint="eastAsia" w:ascii="宋体" w:hAnsi="宋体"/>
          <w:color w:val="auto"/>
          <w:sz w:val="24"/>
          <w:szCs w:val="24"/>
          <w:highlight w:val="none"/>
        </w:rPr>
        <w:t>发生应承担保证责任情形的</w:t>
      </w:r>
      <w:r>
        <w:rPr>
          <w:rFonts w:ascii="宋体" w:hAnsi="宋体"/>
          <w:color w:val="auto"/>
          <w:sz w:val="24"/>
          <w:szCs w:val="24"/>
          <w:highlight w:val="none"/>
        </w:rPr>
        <w:t>，我方不承担保证</w:t>
      </w:r>
      <w:r>
        <w:rPr>
          <w:rFonts w:hint="eastAsia" w:ascii="宋体" w:hAnsi="宋体"/>
          <w:color w:val="auto"/>
          <w:sz w:val="24"/>
          <w:szCs w:val="24"/>
          <w:highlight w:val="none"/>
        </w:rPr>
        <w:t>担保</w:t>
      </w:r>
      <w:r>
        <w:rPr>
          <w:rFonts w:ascii="宋体" w:hAnsi="宋体"/>
          <w:color w:val="auto"/>
          <w:sz w:val="24"/>
          <w:szCs w:val="24"/>
          <w:highlight w:val="none"/>
        </w:rPr>
        <w:t>责任。</w:t>
      </w:r>
    </w:p>
    <w:p w14:paraId="3BDE0EB0">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七、其他</w:t>
      </w:r>
    </w:p>
    <w:p w14:paraId="43A3123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本保证担保项下的权利不得转让，不得设定担保。贵方未经我方书面同意转让本保证担保或其项下任何权利，</w:t>
      </w:r>
      <w:r>
        <w:rPr>
          <w:rFonts w:hint="eastAsia" w:ascii="宋体" w:hAnsi="宋体"/>
          <w:color w:val="auto"/>
          <w:sz w:val="24"/>
          <w:szCs w:val="24"/>
          <w:highlight w:val="none"/>
        </w:rPr>
        <w:t>对我方不发生法律效力</w:t>
      </w:r>
      <w:r>
        <w:rPr>
          <w:rFonts w:ascii="宋体" w:hAnsi="宋体"/>
          <w:color w:val="auto"/>
          <w:sz w:val="24"/>
          <w:szCs w:val="24"/>
          <w:highlight w:val="none"/>
        </w:rPr>
        <w:t xml:space="preserve">。 </w:t>
      </w:r>
    </w:p>
    <w:p w14:paraId="37A718B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.本</w:t>
      </w:r>
      <w:r>
        <w:rPr>
          <w:rFonts w:hint="eastAsia" w:ascii="宋体" w:hAnsi="宋体"/>
          <w:color w:val="auto"/>
          <w:sz w:val="24"/>
          <w:szCs w:val="24"/>
          <w:highlight w:val="none"/>
        </w:rPr>
        <w:t>保证担保适用的法律为中华人民共和国法律，争议裁判管辖地为中华人民共和国</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r>
        <w:rPr>
          <w:rFonts w:ascii="宋体" w:hAnsi="宋体"/>
          <w:color w:val="auto"/>
          <w:sz w:val="24"/>
          <w:szCs w:val="24"/>
          <w:highlight w:val="none"/>
        </w:rPr>
        <w:t xml:space="preserve"> </w:t>
      </w:r>
    </w:p>
    <w:p w14:paraId="1339376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.本</w:t>
      </w:r>
      <w:r>
        <w:rPr>
          <w:rFonts w:hint="eastAsia" w:ascii="宋体" w:hAnsi="宋体"/>
          <w:color w:val="auto"/>
          <w:sz w:val="24"/>
          <w:szCs w:val="24"/>
          <w:highlight w:val="none"/>
        </w:rPr>
        <w:t>保证担保</w:t>
      </w:r>
      <w:r>
        <w:rPr>
          <w:rFonts w:ascii="宋体" w:hAnsi="宋体"/>
          <w:color w:val="auto"/>
          <w:sz w:val="24"/>
          <w:szCs w:val="24"/>
          <w:highlight w:val="none"/>
        </w:rPr>
        <w:t>自我方法定代表</w:t>
      </w:r>
      <w:r>
        <w:rPr>
          <w:rFonts w:hint="eastAsia" w:ascii="宋体" w:hAnsi="宋体"/>
          <w:color w:val="auto"/>
          <w:sz w:val="24"/>
          <w:szCs w:val="24"/>
          <w:highlight w:val="none"/>
        </w:rPr>
        <w:t>人或授权代表</w:t>
      </w:r>
      <w:r>
        <w:rPr>
          <w:rFonts w:ascii="宋体" w:hAnsi="宋体"/>
          <w:color w:val="auto"/>
          <w:sz w:val="24"/>
          <w:szCs w:val="24"/>
          <w:highlight w:val="none"/>
        </w:rPr>
        <w:t>签字</w:t>
      </w:r>
      <w:r>
        <w:rPr>
          <w:rFonts w:hint="eastAsia" w:ascii="宋体" w:hAnsi="宋体"/>
          <w:color w:val="auto"/>
          <w:sz w:val="24"/>
          <w:szCs w:val="24"/>
          <w:highlight w:val="none"/>
        </w:rPr>
        <w:t>并</w:t>
      </w:r>
      <w:r>
        <w:rPr>
          <w:rFonts w:ascii="宋体" w:hAnsi="宋体"/>
          <w:color w:val="auto"/>
          <w:sz w:val="24"/>
          <w:szCs w:val="24"/>
          <w:highlight w:val="none"/>
        </w:rPr>
        <w:t xml:space="preserve">加盖公章之日起生效。 </w:t>
      </w:r>
    </w:p>
    <w:p w14:paraId="6332BA3E">
      <w:pPr>
        <w:spacing w:line="360" w:lineRule="auto"/>
        <w:ind w:firstLine="480" w:firstLineChars="200"/>
        <w:rPr>
          <w:rFonts w:ascii="宋体" w:hAnsi="宋体"/>
          <w:color w:val="auto"/>
          <w:sz w:val="24"/>
          <w:szCs w:val="24"/>
          <w:highlight w:val="none"/>
        </w:rPr>
      </w:pPr>
    </w:p>
    <w:p w14:paraId="0C38B35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保 证 人</w:t>
      </w:r>
      <w:r>
        <w:rPr>
          <w:rFonts w:ascii="宋体" w:hAnsi="宋体"/>
          <w:color w:val="auto"/>
          <w:sz w:val="24"/>
          <w:szCs w:val="24"/>
          <w:highlight w:val="none"/>
        </w:rPr>
        <w:t xml:space="preserve">：                </w:t>
      </w: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（公</w:t>
      </w:r>
      <w:r>
        <w:rPr>
          <w:rFonts w:ascii="宋体" w:hAnsi="宋体"/>
          <w:color w:val="auto"/>
          <w:sz w:val="24"/>
          <w:szCs w:val="24"/>
          <w:highlight w:val="none"/>
        </w:rPr>
        <w:t xml:space="preserve">章） </w:t>
      </w:r>
    </w:p>
    <w:p w14:paraId="5B92671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法定代表人（或授权代表）：</w:t>
      </w:r>
      <w:r>
        <w:rPr>
          <w:rFonts w:ascii="宋体" w:hAnsi="宋体"/>
          <w:color w:val="auto"/>
          <w:sz w:val="24"/>
          <w:szCs w:val="24"/>
          <w:highlight w:val="none"/>
        </w:rPr>
        <w:t xml:space="preserve">               （签字） </w:t>
      </w:r>
    </w:p>
    <w:p w14:paraId="3939C45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地</w:t>
      </w:r>
      <w:r>
        <w:rPr>
          <w:rFonts w:ascii="宋体" w:hAnsi="宋体"/>
          <w:color w:val="auto"/>
          <w:sz w:val="24"/>
          <w:szCs w:val="24"/>
          <w:highlight w:val="none"/>
        </w:rPr>
        <w:t xml:space="preserve">    址：                                       </w:t>
      </w:r>
    </w:p>
    <w:p w14:paraId="10A228D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邮政编码：</w:t>
      </w:r>
      <w:r>
        <w:rPr>
          <w:rFonts w:ascii="宋体" w:hAnsi="宋体"/>
          <w:color w:val="auto"/>
          <w:sz w:val="24"/>
          <w:szCs w:val="24"/>
          <w:highlight w:val="none"/>
        </w:rPr>
        <w:t xml:space="preserve">                 </w:t>
      </w:r>
    </w:p>
    <w:p w14:paraId="77487D0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电</w:t>
      </w:r>
      <w:r>
        <w:rPr>
          <w:rFonts w:ascii="宋体" w:hAnsi="宋体"/>
          <w:color w:val="auto"/>
          <w:sz w:val="24"/>
          <w:szCs w:val="24"/>
          <w:highlight w:val="none"/>
        </w:rPr>
        <w:t xml:space="preserve">    话：                 </w:t>
      </w:r>
    </w:p>
    <w:p w14:paraId="3E8A932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传</w:t>
      </w:r>
      <w:r>
        <w:rPr>
          <w:rFonts w:ascii="宋体" w:hAnsi="宋体"/>
          <w:color w:val="auto"/>
          <w:sz w:val="24"/>
          <w:szCs w:val="24"/>
          <w:highlight w:val="none"/>
        </w:rPr>
        <w:t xml:space="preserve">    真：                 </w:t>
      </w:r>
    </w:p>
    <w:p w14:paraId="61D8514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时 </w:t>
      </w:r>
      <w:r>
        <w:rPr>
          <w:rFonts w:ascii="宋体" w:hAnsi="宋体"/>
          <w:color w:val="auto"/>
          <w:sz w:val="24"/>
          <w:szCs w:val="24"/>
          <w:highlight w:val="none"/>
        </w:rPr>
        <w:t xml:space="preserve">   </w:t>
      </w:r>
      <w:r>
        <w:rPr>
          <w:rFonts w:hint="eastAsia" w:ascii="宋体" w:hAnsi="宋体"/>
          <w:color w:val="auto"/>
          <w:sz w:val="24"/>
          <w:szCs w:val="24"/>
          <w:highlight w:val="none"/>
        </w:rPr>
        <w:t>间：</w:t>
      </w:r>
      <w:r>
        <w:rPr>
          <w:rFonts w:ascii="宋体" w:hAnsi="宋体"/>
          <w:color w:val="auto"/>
          <w:sz w:val="24"/>
          <w:szCs w:val="24"/>
          <w:highlight w:val="none"/>
        </w:rPr>
        <w:t xml:space="preserve">      年      月        日</w:t>
      </w:r>
    </w:p>
    <w:p w14:paraId="2ACBCDF9">
      <w:pPr>
        <w:spacing w:line="360" w:lineRule="auto"/>
        <w:rPr>
          <w:color w:val="auto"/>
          <w:highlight w:val="none"/>
        </w:rPr>
      </w:pPr>
    </w:p>
    <w:p w14:paraId="15D9601D">
      <w:pPr>
        <w:spacing w:line="360" w:lineRule="auto"/>
        <w:jc w:val="center"/>
        <w:rPr>
          <w:rFonts w:hint="eastAsia" w:ascii="宋体" w:hAnsi="宋体"/>
          <w:b/>
          <w:bCs/>
          <w:color w:val="auto"/>
          <w:sz w:val="32"/>
          <w:szCs w:val="32"/>
          <w:highlight w:val="none"/>
        </w:rPr>
      </w:pPr>
    </w:p>
    <w:p w14:paraId="68F0BE1B">
      <w:pPr>
        <w:spacing w:line="360" w:lineRule="auto"/>
        <w:jc w:val="center"/>
        <w:rPr>
          <w:rFonts w:hint="eastAsia" w:ascii="宋体" w:hAnsi="宋体"/>
          <w:b/>
          <w:bCs/>
          <w:color w:val="auto"/>
          <w:sz w:val="32"/>
          <w:szCs w:val="32"/>
          <w:highlight w:val="none"/>
        </w:rPr>
      </w:pPr>
    </w:p>
    <w:p w14:paraId="7BA1D3CC">
      <w:pPr>
        <w:spacing w:line="360" w:lineRule="auto"/>
        <w:jc w:val="center"/>
        <w:rPr>
          <w:rFonts w:hint="eastAsia" w:ascii="宋体" w:hAnsi="宋体"/>
          <w:b/>
          <w:bCs/>
          <w:color w:val="auto"/>
          <w:sz w:val="32"/>
          <w:szCs w:val="32"/>
          <w:highlight w:val="none"/>
        </w:rPr>
      </w:pPr>
    </w:p>
    <w:p w14:paraId="3359096D">
      <w:pPr>
        <w:spacing w:line="360" w:lineRule="auto"/>
        <w:jc w:val="center"/>
        <w:rPr>
          <w:rFonts w:hint="eastAsia" w:ascii="宋体" w:hAnsi="宋体"/>
          <w:b/>
          <w:bCs/>
          <w:color w:val="auto"/>
          <w:sz w:val="32"/>
          <w:szCs w:val="32"/>
          <w:highlight w:val="none"/>
        </w:rPr>
      </w:pPr>
    </w:p>
    <w:p w14:paraId="71BD0914">
      <w:pPr>
        <w:spacing w:line="360" w:lineRule="auto"/>
        <w:jc w:val="center"/>
        <w:rPr>
          <w:rFonts w:hint="eastAsia" w:ascii="宋体" w:hAnsi="宋体"/>
          <w:b/>
          <w:bCs/>
          <w:color w:val="auto"/>
          <w:sz w:val="32"/>
          <w:szCs w:val="32"/>
          <w:highlight w:val="none"/>
        </w:rPr>
      </w:pPr>
    </w:p>
    <w:p w14:paraId="559CB96B">
      <w:pPr>
        <w:spacing w:line="360" w:lineRule="auto"/>
        <w:jc w:val="center"/>
        <w:rPr>
          <w:rFonts w:hint="eastAsia" w:ascii="宋体" w:hAnsi="宋体"/>
          <w:b/>
          <w:bCs/>
          <w:color w:val="auto"/>
          <w:sz w:val="32"/>
          <w:szCs w:val="32"/>
          <w:highlight w:val="none"/>
        </w:rPr>
      </w:pPr>
    </w:p>
    <w:p w14:paraId="0AE6AB62">
      <w:pPr>
        <w:spacing w:line="360" w:lineRule="auto"/>
        <w:jc w:val="center"/>
        <w:rPr>
          <w:rFonts w:hint="eastAsia" w:ascii="宋体" w:hAnsi="宋体"/>
          <w:b/>
          <w:bCs/>
          <w:color w:val="auto"/>
          <w:sz w:val="32"/>
          <w:szCs w:val="32"/>
          <w:highlight w:val="none"/>
        </w:rPr>
      </w:pPr>
    </w:p>
    <w:p w14:paraId="5EFDACEF">
      <w:pPr>
        <w:spacing w:line="360" w:lineRule="auto"/>
        <w:jc w:val="center"/>
        <w:rPr>
          <w:rFonts w:hint="eastAsia" w:ascii="宋体" w:hAnsi="宋体"/>
          <w:b/>
          <w:bCs/>
          <w:color w:val="auto"/>
          <w:sz w:val="32"/>
          <w:szCs w:val="32"/>
          <w:highlight w:val="none"/>
        </w:rPr>
      </w:pPr>
    </w:p>
    <w:p w14:paraId="6D430B5B">
      <w:pPr>
        <w:pStyle w:val="2"/>
        <w:rPr>
          <w:rFonts w:hint="eastAsia" w:ascii="宋体" w:hAnsi="宋体"/>
          <w:b/>
          <w:bCs/>
          <w:color w:val="auto"/>
          <w:sz w:val="32"/>
          <w:szCs w:val="32"/>
          <w:highlight w:val="none"/>
        </w:rPr>
      </w:pPr>
    </w:p>
    <w:p w14:paraId="206E9E9D">
      <w:pPr>
        <w:rPr>
          <w:rFonts w:hint="eastAsia" w:ascii="宋体" w:hAnsi="宋体"/>
          <w:b/>
          <w:bCs/>
          <w:color w:val="auto"/>
          <w:sz w:val="32"/>
          <w:szCs w:val="32"/>
          <w:highlight w:val="none"/>
        </w:rPr>
      </w:pPr>
    </w:p>
    <w:p w14:paraId="66BB0242">
      <w:pPr>
        <w:pStyle w:val="2"/>
        <w:rPr>
          <w:rFonts w:hint="eastAsia" w:ascii="宋体" w:hAnsi="宋体"/>
          <w:b/>
          <w:bCs/>
          <w:color w:val="auto"/>
          <w:sz w:val="32"/>
          <w:szCs w:val="32"/>
          <w:highlight w:val="none"/>
        </w:rPr>
      </w:pPr>
    </w:p>
    <w:p w14:paraId="07A4167B">
      <w:pPr>
        <w:rPr>
          <w:rFonts w:hint="eastAsia" w:ascii="宋体" w:hAnsi="宋体"/>
          <w:b/>
          <w:bCs/>
          <w:color w:val="auto"/>
          <w:sz w:val="32"/>
          <w:szCs w:val="32"/>
          <w:highlight w:val="none"/>
        </w:rPr>
      </w:pPr>
    </w:p>
    <w:p w14:paraId="45F1DA94">
      <w:pPr>
        <w:pStyle w:val="2"/>
        <w:rPr>
          <w:rFonts w:hint="eastAsia" w:ascii="宋体" w:hAnsi="宋体"/>
          <w:b/>
          <w:bCs/>
          <w:color w:val="auto"/>
          <w:sz w:val="32"/>
          <w:szCs w:val="32"/>
          <w:highlight w:val="none"/>
        </w:rPr>
      </w:pPr>
    </w:p>
    <w:p w14:paraId="6D0D752F">
      <w:pPr>
        <w:rPr>
          <w:rFonts w:hint="eastAsia" w:ascii="宋体" w:hAnsi="宋体"/>
          <w:b/>
          <w:bCs/>
          <w:color w:val="auto"/>
          <w:sz w:val="32"/>
          <w:szCs w:val="32"/>
          <w:highlight w:val="none"/>
        </w:rPr>
      </w:pPr>
    </w:p>
    <w:p w14:paraId="26072458">
      <w:pPr>
        <w:pStyle w:val="2"/>
        <w:rPr>
          <w:rFonts w:hint="eastAsia"/>
          <w:color w:val="auto"/>
          <w:highlight w:val="none"/>
        </w:rPr>
      </w:pPr>
    </w:p>
    <w:p w14:paraId="5AF67F60">
      <w:pPr>
        <w:spacing w:line="360" w:lineRule="auto"/>
        <w:jc w:val="center"/>
        <w:rPr>
          <w:rFonts w:hint="eastAsia" w:ascii="宋体" w:hAnsi="宋体"/>
          <w:b/>
          <w:bCs/>
          <w:color w:val="auto"/>
          <w:sz w:val="32"/>
          <w:szCs w:val="32"/>
          <w:highlight w:val="none"/>
        </w:rPr>
      </w:pPr>
    </w:p>
    <w:p w14:paraId="0E31F57C">
      <w:pPr>
        <w:spacing w:before="120" w:beforeLines="50" w:after="120" w:afterLines="50" w:line="360" w:lineRule="auto"/>
        <w:jc w:val="left"/>
        <w:rPr>
          <w:rFonts w:hint="eastAsia"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附件9：支付保函示范文本</w:t>
      </w:r>
    </w:p>
    <w:p w14:paraId="6AF60468">
      <w:pPr>
        <w:spacing w:line="360" w:lineRule="auto"/>
        <w:jc w:val="left"/>
        <w:rPr>
          <w:rFonts w:ascii="黑体" w:hAnsi="黑体" w:eastAsia="黑体" w:cs="黑体"/>
          <w:b/>
          <w:bCs/>
          <w:color w:val="auto"/>
          <w:sz w:val="32"/>
          <w:szCs w:val="32"/>
          <w:highlight w:val="none"/>
        </w:rPr>
      </w:pPr>
    </w:p>
    <w:p w14:paraId="1EC27697">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支付保函示范文本</w:t>
      </w:r>
    </w:p>
    <w:p w14:paraId="188027F5">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（独立保函）</w:t>
      </w:r>
    </w:p>
    <w:p w14:paraId="2524A8C3">
      <w:pPr>
        <w:wordWrap w:val="0"/>
        <w:spacing w:line="360" w:lineRule="auto"/>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4D43DAB6">
      <w:pPr>
        <w:spacing w:line="360" w:lineRule="auto"/>
        <w:rPr>
          <w:rFonts w:ascii="宋体" w:hAnsi="宋体"/>
          <w:color w:val="auto"/>
          <w:sz w:val="24"/>
          <w:szCs w:val="24"/>
          <w:highlight w:val="none"/>
        </w:rPr>
      </w:pPr>
      <w:r>
        <w:rPr>
          <w:rFonts w:hint="eastAsia" w:ascii="宋体" w:hAnsi="宋体"/>
          <w:color w:val="auto"/>
          <w:sz w:val="24"/>
          <w:szCs w:val="24"/>
          <w:highlight w:val="none"/>
        </w:rPr>
        <w:t>申请人：</w:t>
      </w:r>
    </w:p>
    <w:p w14:paraId="26913802">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地址</w:t>
      </w:r>
      <w:r>
        <w:rPr>
          <w:rFonts w:ascii="宋体" w:hAnsi="宋体"/>
          <w:color w:val="auto"/>
          <w:sz w:val="24"/>
          <w:szCs w:val="24"/>
          <w:highlight w:val="none"/>
        </w:rPr>
        <w:t>：</w:t>
      </w:r>
    </w:p>
    <w:p w14:paraId="07480811">
      <w:pPr>
        <w:spacing w:line="360" w:lineRule="auto"/>
        <w:rPr>
          <w:rFonts w:ascii="宋体" w:hAnsi="宋体"/>
          <w:color w:val="auto"/>
          <w:sz w:val="24"/>
          <w:szCs w:val="24"/>
          <w:highlight w:val="none"/>
        </w:rPr>
      </w:pPr>
      <w:r>
        <w:rPr>
          <w:rFonts w:hint="eastAsia" w:ascii="宋体" w:hAnsi="宋体"/>
          <w:color w:val="auto"/>
          <w:sz w:val="24"/>
          <w:szCs w:val="24"/>
          <w:highlight w:val="none"/>
        </w:rPr>
        <w:t>受益人：</w:t>
      </w:r>
    </w:p>
    <w:p w14:paraId="0ABEC0A5">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地址：</w:t>
      </w:r>
    </w:p>
    <w:p w14:paraId="56D5C491">
      <w:pPr>
        <w:spacing w:line="360" w:lineRule="auto"/>
        <w:rPr>
          <w:rFonts w:ascii="宋体" w:hAnsi="宋体"/>
          <w:color w:val="auto"/>
          <w:sz w:val="24"/>
          <w:szCs w:val="24"/>
          <w:highlight w:val="none"/>
        </w:rPr>
      </w:pPr>
      <w:r>
        <w:rPr>
          <w:rFonts w:hint="eastAsia" w:ascii="宋体" w:hAnsi="宋体"/>
          <w:color w:val="auto"/>
          <w:sz w:val="24"/>
          <w:szCs w:val="24"/>
          <w:highlight w:val="none"/>
        </w:rPr>
        <w:t>开立人：</w:t>
      </w:r>
    </w:p>
    <w:p w14:paraId="3093FD4E">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地址：</w:t>
      </w:r>
    </w:p>
    <w:p w14:paraId="53435340">
      <w:pPr>
        <w:spacing w:line="360" w:lineRule="auto"/>
        <w:rPr>
          <w:rFonts w:ascii="宋体" w:hAnsi="宋体"/>
          <w:color w:val="auto"/>
          <w:sz w:val="24"/>
          <w:szCs w:val="24"/>
          <w:highlight w:val="none"/>
        </w:rPr>
      </w:pPr>
      <w:r>
        <w:rPr>
          <w:rFonts w:ascii="宋体" w:hAnsi="宋体"/>
          <w:color w:val="auto"/>
          <w:sz w:val="24"/>
          <w:szCs w:val="24"/>
          <w:highlight w:val="none"/>
        </w:rPr>
        <w:t xml:space="preserve"> </w:t>
      </w:r>
    </w:p>
    <w:p w14:paraId="2A06B438">
      <w:pPr>
        <w:spacing w:line="360" w:lineRule="auto"/>
        <w:rPr>
          <w:rFonts w:ascii="宋体" w:hAnsi="宋体"/>
          <w:color w:val="auto"/>
          <w:sz w:val="24"/>
          <w:szCs w:val="24"/>
          <w:highlight w:val="none"/>
        </w:rPr>
      </w:pPr>
      <w:bookmarkStart w:id="1372" w:name="_Hlk40355074"/>
      <w:r>
        <w:rPr>
          <w:rFonts w:ascii="宋体" w:hAnsi="宋体"/>
          <w:color w:val="auto"/>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受益人</w:t>
      </w:r>
      <w:r>
        <w:rPr>
          <w:rFonts w:ascii="宋体" w:hAnsi="宋体"/>
          <w:color w:val="auto"/>
          <w:sz w:val="24"/>
          <w:szCs w:val="24"/>
          <w:highlight w:val="none"/>
        </w:rPr>
        <w:t xml:space="preserve">名称）： </w:t>
      </w:r>
    </w:p>
    <w:bookmarkEnd w:id="1372"/>
    <w:p w14:paraId="353C998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鉴于</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受益人</w:t>
      </w:r>
      <w:r>
        <w:rPr>
          <w:rFonts w:hint="eastAsia" w:ascii="宋体" w:hAnsi="宋体"/>
          <w:color w:val="auto"/>
          <w:sz w:val="24"/>
          <w:szCs w:val="24"/>
          <w:highlight w:val="none"/>
          <w:lang w:eastAsia="zh-CN"/>
        </w:rPr>
        <w:t>”</w:t>
      </w:r>
      <w:r>
        <w:rPr>
          <w:rFonts w:ascii="宋体" w:hAnsi="宋体"/>
          <w:color w:val="auto"/>
          <w:sz w:val="24"/>
          <w:szCs w:val="24"/>
          <w:highlight w:val="none"/>
        </w:rPr>
        <w:t>）</w:t>
      </w:r>
      <w:r>
        <w:rPr>
          <w:rFonts w:hint="eastAsia" w:ascii="宋体" w:hAnsi="宋体"/>
          <w:color w:val="auto"/>
          <w:sz w:val="24"/>
          <w:szCs w:val="24"/>
          <w:highlight w:val="none"/>
        </w:rPr>
        <w:t>与</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申请人</w:t>
      </w:r>
      <w:r>
        <w:rPr>
          <w:rFonts w:hint="eastAsia" w:ascii="宋体" w:hAnsi="宋体"/>
          <w:color w:val="auto"/>
          <w:sz w:val="24"/>
          <w:szCs w:val="24"/>
          <w:highlight w:val="none"/>
          <w:lang w:eastAsia="zh-CN"/>
        </w:rPr>
        <w:t>”</w:t>
      </w:r>
      <w:r>
        <w:rPr>
          <w:rFonts w:ascii="宋体" w:hAnsi="宋体"/>
          <w:color w:val="auto"/>
          <w:sz w:val="24"/>
          <w:szCs w:val="24"/>
          <w:highlight w:val="none"/>
        </w:rPr>
        <w:t>）</w:t>
      </w:r>
      <w:r>
        <w:rPr>
          <w:rFonts w:hint="eastAsia" w:ascii="宋体" w:hAnsi="宋体"/>
          <w:color w:val="auto"/>
          <w:sz w:val="24"/>
          <w:szCs w:val="24"/>
          <w:highlight w:val="none"/>
        </w:rPr>
        <w:t>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日就</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工程（以下简称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本工程</w:t>
      </w:r>
      <w:r>
        <w:rPr>
          <w:rFonts w:hint="eastAsia" w:ascii="宋体" w:hAnsi="宋体"/>
          <w:color w:val="auto"/>
          <w:sz w:val="24"/>
          <w:szCs w:val="24"/>
          <w:highlight w:val="none"/>
          <w:lang w:eastAsia="zh-CN"/>
        </w:rPr>
        <w:t>”</w:t>
      </w:r>
      <w:r>
        <w:rPr>
          <w:rFonts w:hint="eastAsia" w:ascii="宋体" w:hAnsi="宋体"/>
          <w:color w:val="auto"/>
          <w:sz w:val="24"/>
          <w:szCs w:val="24"/>
          <w:highlight w:val="none"/>
        </w:rPr>
        <w:t>）施工和有关事项协商一致共同签订</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w:t>
      </w:r>
      <w:r>
        <w:rPr>
          <w:rFonts w:hint="eastAsia" w:ascii="宋体" w:hAnsi="宋体"/>
          <w:color w:val="auto"/>
          <w:sz w:val="24"/>
          <w:szCs w:val="24"/>
          <w:highlight w:val="none"/>
        </w:rPr>
        <w:t>（以下简称基础合同</w:t>
      </w:r>
      <w:r>
        <w:rPr>
          <w:rFonts w:hint="eastAsia" w:ascii="宋体" w:hAnsi="宋体"/>
          <w:color w:val="auto"/>
          <w:sz w:val="24"/>
          <w:szCs w:val="24"/>
          <w:highlight w:val="none"/>
          <w:lang w:eastAsia="zh-CN"/>
        </w:rPr>
        <w:t>”</w:t>
      </w:r>
      <w:r>
        <w:rPr>
          <w:rFonts w:hint="eastAsia" w:ascii="宋体" w:hAnsi="宋体"/>
          <w:color w:val="auto"/>
          <w:sz w:val="24"/>
          <w:szCs w:val="24"/>
          <w:highlight w:val="none"/>
        </w:rPr>
        <w:t>），我方（即</w:t>
      </w:r>
      <w:r>
        <w:rPr>
          <w:rFonts w:hint="eastAsia" w:ascii="宋体" w:hAnsi="宋体"/>
          <w:color w:val="auto"/>
          <w:sz w:val="24"/>
          <w:szCs w:val="24"/>
          <w:highlight w:val="none"/>
          <w:lang w:eastAsia="zh-CN"/>
        </w:rPr>
        <w:t>“</w:t>
      </w:r>
      <w:r>
        <w:rPr>
          <w:rFonts w:hint="eastAsia" w:ascii="宋体" w:hAnsi="宋体"/>
          <w:color w:val="auto"/>
          <w:sz w:val="24"/>
          <w:szCs w:val="24"/>
          <w:highlight w:val="none"/>
        </w:rPr>
        <w:t>开立人</w:t>
      </w:r>
      <w:r>
        <w:rPr>
          <w:rFonts w:hint="eastAsia" w:ascii="宋体" w:hAnsi="宋体"/>
          <w:color w:val="auto"/>
          <w:sz w:val="24"/>
          <w:szCs w:val="24"/>
          <w:highlight w:val="none"/>
          <w:lang w:eastAsia="zh-CN"/>
        </w:rPr>
        <w:t>”</w:t>
      </w:r>
      <w:r>
        <w:rPr>
          <w:rFonts w:hint="eastAsia" w:ascii="宋体" w:hAnsi="宋体"/>
          <w:color w:val="auto"/>
          <w:sz w:val="24"/>
          <w:szCs w:val="24"/>
          <w:highlight w:val="none"/>
        </w:rPr>
        <w:t>）根据基础合同了解到申请人为基础合同项下之发包人，受益人为基础合同项下之承包人，基于申请人</w:t>
      </w:r>
      <w:r>
        <w:rPr>
          <w:rFonts w:ascii="宋体" w:hAnsi="宋体"/>
          <w:color w:val="auto"/>
          <w:sz w:val="24"/>
          <w:szCs w:val="24"/>
          <w:highlight w:val="none"/>
        </w:rPr>
        <w:t>的请求，我方同意就</w:t>
      </w:r>
      <w:r>
        <w:rPr>
          <w:rFonts w:hint="eastAsia" w:ascii="宋体" w:hAnsi="宋体"/>
          <w:color w:val="auto"/>
          <w:sz w:val="24"/>
          <w:szCs w:val="24"/>
          <w:highlight w:val="none"/>
        </w:rPr>
        <w:t>申请人</w:t>
      </w:r>
      <w:r>
        <w:rPr>
          <w:rFonts w:ascii="宋体" w:hAnsi="宋体"/>
          <w:color w:val="auto"/>
          <w:sz w:val="24"/>
          <w:szCs w:val="24"/>
          <w:highlight w:val="none"/>
        </w:rPr>
        <w:t>履行</w:t>
      </w:r>
      <w:r>
        <w:rPr>
          <w:rFonts w:hint="eastAsia" w:ascii="宋体" w:hAnsi="宋体"/>
          <w:color w:val="auto"/>
          <w:sz w:val="24"/>
          <w:szCs w:val="24"/>
          <w:highlight w:val="none"/>
        </w:rPr>
        <w:t>与贵方签订的基础合同</w:t>
      </w:r>
      <w:r>
        <w:rPr>
          <w:rFonts w:ascii="宋体" w:hAnsi="宋体"/>
          <w:color w:val="auto"/>
          <w:sz w:val="24"/>
          <w:szCs w:val="24"/>
          <w:highlight w:val="none"/>
        </w:rPr>
        <w:t>项下的</w:t>
      </w:r>
      <w:r>
        <w:rPr>
          <w:rFonts w:hint="eastAsia" w:ascii="宋体" w:hAnsi="宋体"/>
          <w:color w:val="auto"/>
          <w:sz w:val="24"/>
          <w:szCs w:val="24"/>
          <w:highlight w:val="none"/>
        </w:rPr>
        <w:t>工程款（指基础合同约定的除工程质量保修金以外的工程款）付款</w:t>
      </w:r>
      <w:r>
        <w:rPr>
          <w:rFonts w:ascii="宋体" w:hAnsi="宋体"/>
          <w:color w:val="auto"/>
          <w:sz w:val="24"/>
          <w:szCs w:val="24"/>
          <w:highlight w:val="none"/>
        </w:rPr>
        <w:t>义务</w:t>
      </w:r>
      <w:r>
        <w:rPr>
          <w:rFonts w:hint="eastAsia" w:ascii="宋体" w:hAnsi="宋体"/>
          <w:color w:val="auto"/>
          <w:sz w:val="24"/>
          <w:szCs w:val="24"/>
          <w:highlight w:val="none"/>
        </w:rPr>
        <w:t>，</w:t>
      </w:r>
      <w:r>
        <w:rPr>
          <w:rFonts w:ascii="宋体" w:hAnsi="宋体"/>
          <w:color w:val="auto"/>
          <w:sz w:val="24"/>
          <w:szCs w:val="24"/>
          <w:highlight w:val="none"/>
        </w:rPr>
        <w:t>向贵方提供不可撤销、</w:t>
      </w:r>
      <w:r>
        <w:rPr>
          <w:rFonts w:hint="eastAsia" w:ascii="宋体" w:hAnsi="宋体"/>
          <w:color w:val="auto"/>
          <w:sz w:val="24"/>
          <w:szCs w:val="24"/>
          <w:highlight w:val="none"/>
        </w:rPr>
        <w:t>不可转让的见索即付</w:t>
      </w:r>
      <w:r>
        <w:rPr>
          <w:rFonts w:ascii="宋体" w:hAnsi="宋体"/>
          <w:color w:val="auto"/>
          <w:sz w:val="24"/>
          <w:szCs w:val="24"/>
          <w:highlight w:val="none"/>
        </w:rPr>
        <w:t>独立</w:t>
      </w:r>
      <w:r>
        <w:rPr>
          <w:rFonts w:hint="eastAsia" w:ascii="宋体" w:hAnsi="宋体"/>
          <w:color w:val="auto"/>
          <w:sz w:val="24"/>
          <w:szCs w:val="24"/>
          <w:highlight w:val="none"/>
        </w:rPr>
        <w:t>保函（以下简称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本保函</w:t>
      </w:r>
      <w:r>
        <w:rPr>
          <w:rFonts w:hint="eastAsia" w:ascii="宋体" w:hAnsi="宋体"/>
          <w:color w:val="auto"/>
          <w:sz w:val="24"/>
          <w:szCs w:val="24"/>
          <w:highlight w:val="none"/>
          <w:lang w:eastAsia="zh-CN"/>
        </w:rPr>
        <w:t>”</w:t>
      </w:r>
      <w:r>
        <w:rPr>
          <w:rFonts w:hint="eastAsia" w:ascii="宋体" w:hAnsi="宋体"/>
          <w:color w:val="auto"/>
          <w:sz w:val="24"/>
          <w:szCs w:val="24"/>
          <w:highlight w:val="none"/>
        </w:rPr>
        <w:t>）</w:t>
      </w:r>
      <w:r>
        <w:rPr>
          <w:rFonts w:ascii="宋体" w:hAnsi="宋体"/>
          <w:color w:val="auto"/>
          <w:sz w:val="24"/>
          <w:szCs w:val="24"/>
          <w:highlight w:val="none"/>
        </w:rPr>
        <w:t xml:space="preserve">。 </w:t>
      </w:r>
    </w:p>
    <w:p w14:paraId="4FDE26A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一、本保函担保范围：申请人未履行基础合同约定的工程款支付义务，应当向贵方承担的违约责任和赔偿因此造成的损失、利息、律师费、诉讼费用等实现债权的费用。</w:t>
      </w:r>
    </w:p>
    <w:p w14:paraId="349D57A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二、本保函担保金额最高不超过</w:t>
      </w:r>
      <w:r>
        <w:rPr>
          <w:rFonts w:ascii="宋体" w:hAnsi="宋体"/>
          <w:color w:val="auto"/>
          <w:sz w:val="24"/>
          <w:szCs w:val="24"/>
          <w:highlight w:val="none"/>
        </w:rPr>
        <w:t>人民币（大写）</w:t>
      </w:r>
      <w:r>
        <w:rPr>
          <w:rFonts w:ascii="宋体" w:hAnsi="宋体"/>
          <w:color w:val="auto"/>
          <w:sz w:val="24"/>
          <w:szCs w:val="24"/>
          <w:highlight w:val="none"/>
          <w:u w:val="single"/>
        </w:rPr>
        <w:t xml:space="preserve">          </w:t>
      </w:r>
      <w:r>
        <w:rPr>
          <w:rFonts w:ascii="宋体" w:hAnsi="宋体"/>
          <w:color w:val="auto"/>
          <w:sz w:val="24"/>
          <w:szCs w:val="24"/>
          <w:highlight w:val="none"/>
        </w:rPr>
        <w:t>元（¥</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7FF3448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三、本保函</w:t>
      </w:r>
      <w:r>
        <w:rPr>
          <w:rFonts w:ascii="宋体" w:hAnsi="宋体"/>
          <w:color w:val="auto"/>
          <w:sz w:val="24"/>
          <w:szCs w:val="24"/>
          <w:highlight w:val="none"/>
        </w:rPr>
        <w:t>有效期自</w:t>
      </w:r>
      <w:r>
        <w:rPr>
          <w:rFonts w:hint="eastAsia" w:ascii="宋体" w:hAnsi="宋体"/>
          <w:color w:val="auto"/>
          <w:sz w:val="24"/>
          <w:szCs w:val="24"/>
          <w:highlight w:val="none"/>
        </w:rPr>
        <w:t>开立之日起</w:t>
      </w:r>
      <w:r>
        <w:rPr>
          <w:rFonts w:ascii="宋体" w:hAnsi="宋体"/>
          <w:color w:val="auto"/>
          <w:sz w:val="24"/>
          <w:szCs w:val="24"/>
          <w:highlight w:val="none"/>
        </w:rPr>
        <w:t>至</w:t>
      </w:r>
      <w:r>
        <w:rPr>
          <w:rFonts w:hint="eastAsia" w:ascii="宋体" w:hAnsi="宋体"/>
          <w:color w:val="auto"/>
          <w:sz w:val="24"/>
          <w:szCs w:val="24"/>
          <w:highlight w:val="none"/>
        </w:rPr>
        <w:t>基础合同约定的除工程质量保修金以外的全部工程结算款项支付之日后</w:t>
      </w:r>
      <w:r>
        <w:rPr>
          <w:rFonts w:ascii="宋体" w:hAnsi="宋体"/>
          <w:color w:val="auto"/>
          <w:sz w:val="24"/>
          <w:szCs w:val="24"/>
          <w:highlight w:val="none"/>
          <w:u w:val="single"/>
        </w:rPr>
        <w:t xml:space="preserve">   </w:t>
      </w:r>
      <w:r>
        <w:rPr>
          <w:rFonts w:ascii="宋体" w:hAnsi="宋体"/>
          <w:color w:val="auto"/>
          <w:sz w:val="24"/>
          <w:szCs w:val="24"/>
          <w:highlight w:val="none"/>
        </w:rPr>
        <w:t>日</w:t>
      </w:r>
      <w:r>
        <w:rPr>
          <w:rFonts w:hint="eastAsia" w:ascii="宋体" w:hAnsi="宋体"/>
          <w:color w:val="auto"/>
          <w:sz w:val="24"/>
          <w:szCs w:val="24"/>
          <w:highlight w:val="none"/>
        </w:rPr>
        <w:t>止，最迟不超过</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日</w:t>
      </w:r>
      <w:r>
        <w:rPr>
          <w:rFonts w:ascii="宋体" w:hAnsi="宋体"/>
          <w:color w:val="auto"/>
          <w:sz w:val="24"/>
          <w:szCs w:val="24"/>
          <w:highlight w:val="none"/>
        </w:rPr>
        <w:t xml:space="preserve">。 </w:t>
      </w:r>
    </w:p>
    <w:p w14:paraId="5E738D43">
      <w:pPr>
        <w:spacing w:line="360" w:lineRule="auto"/>
        <w:ind w:firstLine="480"/>
        <w:rPr>
          <w:rFonts w:ascii="宋体" w:hAnsi="宋体"/>
          <w:color w:val="auto"/>
          <w:sz w:val="24"/>
          <w:szCs w:val="24"/>
          <w:highlight w:val="none"/>
        </w:rPr>
      </w:pPr>
      <w:r>
        <w:rPr>
          <w:rFonts w:hint="eastAsia" w:ascii="宋体" w:hAnsi="宋体"/>
          <w:color w:val="auto"/>
          <w:sz w:val="24"/>
          <w:szCs w:val="24"/>
          <w:highlight w:val="none"/>
        </w:rPr>
        <w:t>四、我方承诺，在收到受益人发来的书面付款通知后的</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日内无条件支付，前述书面付款通知即为付款要求之单据，且应满足以下要求：</w:t>
      </w:r>
    </w:p>
    <w:p w14:paraId="2E7CD1B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（1）付款通知到达的日期在本保函的有效期内；</w:t>
      </w:r>
    </w:p>
    <w:p w14:paraId="16BE20B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（2）载明要求支付的金额；</w:t>
      </w:r>
    </w:p>
    <w:p w14:paraId="2143600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（3）载明申请人违反合同义务的条款和内容；</w:t>
      </w:r>
    </w:p>
    <w:p w14:paraId="7F39139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（4）声明不存在合同文件约定或我国法律规定免除申请人或开立人支付责任的情形；</w:t>
      </w:r>
    </w:p>
    <w:p w14:paraId="4F930CD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（5）付款通知应在本保函有效期内到达的地址是：</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5C910D6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受益人发出的书面付款通知应由其为鉴明受益人法定代表人（负责人）或授权代理人签字并加盖公章。</w:t>
      </w:r>
    </w:p>
    <w:p w14:paraId="5EEEF14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五、</w:t>
      </w:r>
      <w:r>
        <w:rPr>
          <w:rFonts w:ascii="宋体" w:hAnsi="宋体"/>
          <w:color w:val="auto"/>
          <w:sz w:val="24"/>
          <w:szCs w:val="24"/>
          <w:highlight w:val="none"/>
        </w:rPr>
        <w:t>本保函项下的权利不得转让，不得设定担保。贵方未经我方书面同意转 让本保函或其项下任何权利，</w:t>
      </w:r>
      <w:r>
        <w:rPr>
          <w:rFonts w:hint="eastAsia" w:ascii="宋体" w:hAnsi="宋体"/>
          <w:color w:val="auto"/>
          <w:sz w:val="24"/>
          <w:szCs w:val="24"/>
          <w:highlight w:val="none"/>
        </w:rPr>
        <w:t>对我方不发生法律效力</w:t>
      </w:r>
      <w:r>
        <w:rPr>
          <w:rFonts w:ascii="宋体" w:hAnsi="宋体"/>
          <w:color w:val="auto"/>
          <w:sz w:val="24"/>
          <w:szCs w:val="24"/>
          <w:highlight w:val="none"/>
        </w:rPr>
        <w:t xml:space="preserve">。 </w:t>
      </w:r>
    </w:p>
    <w:p w14:paraId="4F68694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六、与</w:t>
      </w:r>
      <w:r>
        <w:rPr>
          <w:rFonts w:ascii="宋体" w:hAnsi="宋体"/>
          <w:color w:val="auto"/>
          <w:sz w:val="24"/>
          <w:szCs w:val="24"/>
          <w:highlight w:val="none"/>
        </w:rPr>
        <w:t>本保函</w:t>
      </w:r>
      <w:r>
        <w:rPr>
          <w:rFonts w:hint="eastAsia" w:ascii="宋体" w:hAnsi="宋体"/>
          <w:color w:val="auto"/>
          <w:sz w:val="24"/>
          <w:szCs w:val="24"/>
          <w:highlight w:val="none"/>
        </w:rPr>
        <w:t>有关</w:t>
      </w:r>
      <w:r>
        <w:rPr>
          <w:rFonts w:ascii="宋体" w:hAnsi="宋体"/>
          <w:color w:val="auto"/>
          <w:sz w:val="24"/>
          <w:szCs w:val="24"/>
          <w:highlight w:val="none"/>
        </w:rPr>
        <w:t>的基础</w:t>
      </w:r>
      <w:r>
        <w:rPr>
          <w:rFonts w:hint="eastAsia" w:ascii="宋体" w:hAnsi="宋体"/>
          <w:color w:val="auto"/>
          <w:sz w:val="24"/>
          <w:szCs w:val="24"/>
          <w:highlight w:val="none"/>
        </w:rPr>
        <w:t>合同</w:t>
      </w:r>
      <w:r>
        <w:rPr>
          <w:rFonts w:ascii="宋体" w:hAnsi="宋体"/>
          <w:color w:val="auto"/>
          <w:sz w:val="24"/>
          <w:szCs w:val="24"/>
          <w:highlight w:val="none"/>
        </w:rPr>
        <w:t xml:space="preserve">不成立、不生效、无效、被撤销、被解除，不影响本保函的独立有效。 </w:t>
      </w:r>
    </w:p>
    <w:p w14:paraId="7CB1C41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七、</w:t>
      </w:r>
      <w:r>
        <w:rPr>
          <w:rFonts w:ascii="宋体" w:hAnsi="宋体"/>
          <w:color w:val="auto"/>
          <w:sz w:val="24"/>
          <w:szCs w:val="24"/>
          <w:highlight w:val="none"/>
        </w:rPr>
        <w:t>贵方应在本保函到期后的七日内将本保函正本退回我方注销，但是不论贵方是否按此要求将本保函正本退回我方，我方在本保函项下的义务和责任均在保函</w:t>
      </w:r>
      <w:r>
        <w:rPr>
          <w:rFonts w:hint="eastAsia" w:ascii="宋体" w:hAnsi="宋体"/>
          <w:color w:val="auto"/>
          <w:sz w:val="24"/>
          <w:szCs w:val="24"/>
          <w:highlight w:val="none"/>
        </w:rPr>
        <w:t>有效期</w:t>
      </w:r>
      <w:r>
        <w:rPr>
          <w:rFonts w:ascii="宋体" w:hAnsi="宋体"/>
          <w:color w:val="auto"/>
          <w:sz w:val="24"/>
          <w:szCs w:val="24"/>
          <w:highlight w:val="none"/>
        </w:rPr>
        <w:t xml:space="preserve">到期后自动消灭。 </w:t>
      </w:r>
    </w:p>
    <w:p w14:paraId="351CA6D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八、</w:t>
      </w:r>
      <w:r>
        <w:rPr>
          <w:rFonts w:ascii="宋体" w:hAnsi="宋体"/>
          <w:color w:val="auto"/>
          <w:sz w:val="24"/>
          <w:szCs w:val="24"/>
          <w:highlight w:val="none"/>
        </w:rPr>
        <w:t>本保函</w:t>
      </w:r>
      <w:r>
        <w:rPr>
          <w:rFonts w:hint="eastAsia" w:ascii="宋体" w:hAnsi="宋体"/>
          <w:color w:val="auto"/>
          <w:sz w:val="24"/>
          <w:szCs w:val="24"/>
          <w:highlight w:val="none"/>
        </w:rPr>
        <w:t>适用的法律为中华人民共和国法律，争议裁判管辖地为中华人民共和国</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6CE6124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九、</w:t>
      </w:r>
      <w:r>
        <w:rPr>
          <w:rFonts w:ascii="宋体" w:hAnsi="宋体"/>
          <w:color w:val="auto"/>
          <w:sz w:val="24"/>
          <w:szCs w:val="24"/>
          <w:highlight w:val="none"/>
        </w:rPr>
        <w:t>本保函自我方法定代表人</w:t>
      </w:r>
      <w:bookmarkStart w:id="1373" w:name="_Hlk58487855"/>
      <w:r>
        <w:rPr>
          <w:rFonts w:hint="eastAsia" w:ascii="宋体" w:hAnsi="宋体"/>
          <w:color w:val="auto"/>
          <w:sz w:val="24"/>
          <w:szCs w:val="24"/>
          <w:highlight w:val="none"/>
        </w:rPr>
        <w:t>或授权代表</w:t>
      </w:r>
      <w:bookmarkEnd w:id="1373"/>
      <w:r>
        <w:rPr>
          <w:rFonts w:ascii="宋体" w:hAnsi="宋体"/>
          <w:color w:val="auto"/>
          <w:sz w:val="24"/>
          <w:szCs w:val="24"/>
          <w:highlight w:val="none"/>
        </w:rPr>
        <w:t>签字</w:t>
      </w:r>
      <w:r>
        <w:rPr>
          <w:rFonts w:hint="eastAsia" w:ascii="宋体" w:hAnsi="宋体"/>
          <w:color w:val="auto"/>
          <w:sz w:val="24"/>
          <w:szCs w:val="24"/>
          <w:highlight w:val="none"/>
        </w:rPr>
        <w:t>并</w:t>
      </w:r>
      <w:r>
        <w:rPr>
          <w:rFonts w:ascii="宋体" w:hAnsi="宋体"/>
          <w:color w:val="auto"/>
          <w:sz w:val="24"/>
          <w:szCs w:val="24"/>
          <w:highlight w:val="none"/>
        </w:rPr>
        <w:t xml:space="preserve">加盖公章之日起生效。 </w:t>
      </w:r>
    </w:p>
    <w:p w14:paraId="7C98E79C">
      <w:pPr>
        <w:spacing w:line="360" w:lineRule="auto"/>
        <w:ind w:firstLine="480" w:firstLineChars="200"/>
        <w:rPr>
          <w:rFonts w:ascii="宋体" w:hAnsi="宋体"/>
          <w:color w:val="auto"/>
          <w:sz w:val="24"/>
          <w:szCs w:val="24"/>
          <w:highlight w:val="none"/>
        </w:rPr>
      </w:pPr>
    </w:p>
    <w:p w14:paraId="0984F7D5">
      <w:pPr>
        <w:spacing w:line="360" w:lineRule="auto"/>
        <w:ind w:firstLine="480" w:firstLineChars="200"/>
        <w:rPr>
          <w:rFonts w:ascii="宋体" w:hAnsi="宋体"/>
          <w:color w:val="auto"/>
          <w:sz w:val="24"/>
          <w:szCs w:val="24"/>
          <w:highlight w:val="none"/>
        </w:rPr>
      </w:pPr>
    </w:p>
    <w:p w14:paraId="6FC12CB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开 立 人</w:t>
      </w:r>
      <w:r>
        <w:rPr>
          <w:rFonts w:ascii="宋体" w:hAnsi="宋体"/>
          <w:color w:val="auto"/>
          <w:sz w:val="24"/>
          <w:szCs w:val="24"/>
          <w:highlight w:val="none"/>
        </w:rPr>
        <w:t xml:space="preserve">：               </w:t>
      </w: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公</w:t>
      </w:r>
      <w:r>
        <w:rPr>
          <w:rFonts w:ascii="宋体" w:hAnsi="宋体"/>
          <w:color w:val="auto"/>
          <w:sz w:val="24"/>
          <w:szCs w:val="24"/>
          <w:highlight w:val="none"/>
        </w:rPr>
        <w:t xml:space="preserve">章） </w:t>
      </w:r>
    </w:p>
    <w:p w14:paraId="3B55D74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法定代表人（或授权代表）：</w:t>
      </w:r>
      <w:r>
        <w:rPr>
          <w:rFonts w:ascii="宋体" w:hAnsi="宋体"/>
          <w:color w:val="auto"/>
          <w:sz w:val="24"/>
          <w:szCs w:val="24"/>
          <w:highlight w:val="none"/>
        </w:rPr>
        <w:t xml:space="preserve">               （签字） </w:t>
      </w:r>
    </w:p>
    <w:p w14:paraId="18709B1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地</w:t>
      </w:r>
      <w:r>
        <w:rPr>
          <w:rFonts w:ascii="宋体" w:hAnsi="宋体"/>
          <w:color w:val="auto"/>
          <w:sz w:val="24"/>
          <w:szCs w:val="24"/>
          <w:highlight w:val="none"/>
        </w:rPr>
        <w:t xml:space="preserve">    址：                                       </w:t>
      </w:r>
    </w:p>
    <w:p w14:paraId="3D4BB02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邮政编码：</w:t>
      </w:r>
      <w:r>
        <w:rPr>
          <w:rFonts w:ascii="宋体" w:hAnsi="宋体"/>
          <w:color w:val="auto"/>
          <w:sz w:val="24"/>
          <w:szCs w:val="24"/>
          <w:highlight w:val="none"/>
        </w:rPr>
        <w:t xml:space="preserve">                 </w:t>
      </w:r>
    </w:p>
    <w:p w14:paraId="33BC7DD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电</w:t>
      </w:r>
      <w:r>
        <w:rPr>
          <w:rFonts w:ascii="宋体" w:hAnsi="宋体"/>
          <w:color w:val="auto"/>
          <w:sz w:val="24"/>
          <w:szCs w:val="24"/>
          <w:highlight w:val="none"/>
        </w:rPr>
        <w:t xml:space="preserve">    话：                 </w:t>
      </w:r>
    </w:p>
    <w:p w14:paraId="6D12646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传</w:t>
      </w:r>
      <w:r>
        <w:rPr>
          <w:rFonts w:ascii="宋体" w:hAnsi="宋体"/>
          <w:color w:val="auto"/>
          <w:sz w:val="24"/>
          <w:szCs w:val="24"/>
          <w:highlight w:val="none"/>
        </w:rPr>
        <w:t xml:space="preserve">    真：                 </w:t>
      </w:r>
    </w:p>
    <w:p w14:paraId="5053181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开立时间：</w:t>
      </w:r>
      <w:r>
        <w:rPr>
          <w:rFonts w:ascii="宋体" w:hAnsi="宋体"/>
          <w:color w:val="auto"/>
          <w:sz w:val="24"/>
          <w:szCs w:val="24"/>
          <w:highlight w:val="none"/>
        </w:rPr>
        <w:t xml:space="preserve">      年      月        日</w:t>
      </w:r>
    </w:p>
    <w:p w14:paraId="3BA48F69">
      <w:pPr>
        <w:spacing w:line="360" w:lineRule="auto"/>
        <w:ind w:firstLine="480" w:firstLineChars="200"/>
        <w:rPr>
          <w:rFonts w:ascii="宋体" w:hAnsi="宋体"/>
          <w:color w:val="auto"/>
          <w:sz w:val="24"/>
          <w:szCs w:val="24"/>
          <w:highlight w:val="none"/>
        </w:rPr>
      </w:pPr>
    </w:p>
    <w:p w14:paraId="0A9B0B1E">
      <w:pPr>
        <w:spacing w:line="360" w:lineRule="auto"/>
        <w:ind w:firstLine="480" w:firstLineChars="200"/>
        <w:rPr>
          <w:rFonts w:ascii="宋体" w:hAnsi="宋体"/>
          <w:color w:val="auto"/>
          <w:sz w:val="24"/>
          <w:szCs w:val="24"/>
          <w:highlight w:val="none"/>
        </w:rPr>
      </w:pPr>
    </w:p>
    <w:p w14:paraId="3DE92731">
      <w:pPr>
        <w:spacing w:line="360" w:lineRule="auto"/>
        <w:ind w:firstLine="480" w:firstLineChars="200"/>
        <w:rPr>
          <w:rFonts w:ascii="宋体" w:hAnsi="宋体"/>
          <w:color w:val="auto"/>
          <w:sz w:val="24"/>
          <w:szCs w:val="24"/>
          <w:highlight w:val="none"/>
        </w:rPr>
      </w:pPr>
    </w:p>
    <w:p w14:paraId="7407B882">
      <w:pPr>
        <w:spacing w:line="360" w:lineRule="auto"/>
        <w:jc w:val="left"/>
        <w:rPr>
          <w:rFonts w:hint="eastAsia" w:ascii="黑体" w:hAnsi="黑体" w:eastAsia="黑体" w:cs="黑体"/>
          <w:b/>
          <w:bCs/>
          <w:color w:val="auto"/>
          <w:sz w:val="32"/>
          <w:szCs w:val="32"/>
          <w:highlight w:val="none"/>
          <w:lang w:eastAsia="zh-CN"/>
        </w:rPr>
      </w:pPr>
      <w:r>
        <w:rPr>
          <w:rFonts w:hint="eastAsia" w:ascii="仿宋_GB2312" w:eastAsia="仿宋_GB2312" w:cs="仿宋_GB2312"/>
          <w:color w:val="auto"/>
          <w:sz w:val="30"/>
          <w:szCs w:val="30"/>
          <w:highlight w:val="none"/>
          <w:lang w:val="en-US" w:eastAsia="zh-CN"/>
        </w:rPr>
        <w:t xml:space="preserve"> </w:t>
      </w:r>
    </w:p>
    <w:p w14:paraId="6EC38FBE">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支付保函示范文本</w:t>
      </w:r>
    </w:p>
    <w:p w14:paraId="0AABC6F7">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（非独立保函）</w:t>
      </w:r>
    </w:p>
    <w:p w14:paraId="26BCD3CB">
      <w:pPr>
        <w:wordWrap w:val="0"/>
        <w:spacing w:line="360" w:lineRule="auto"/>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55B9EC92">
      <w:pPr>
        <w:wordWrap w:val="0"/>
        <w:spacing w:line="360" w:lineRule="auto"/>
        <w:jc w:val="right"/>
        <w:rPr>
          <w:rFonts w:ascii="宋体" w:hAnsi="宋体"/>
          <w:color w:val="auto"/>
          <w:highlight w:val="none"/>
        </w:rPr>
      </w:pPr>
      <w:r>
        <w:rPr>
          <w:rFonts w:ascii="宋体" w:hAnsi="宋体"/>
          <w:color w:val="auto"/>
          <w:highlight w:val="none"/>
        </w:rPr>
        <w:t xml:space="preserve">     </w:t>
      </w:r>
    </w:p>
    <w:p w14:paraId="7DDE2C8B">
      <w:pPr>
        <w:spacing w:line="360" w:lineRule="auto"/>
        <w:rPr>
          <w:rFonts w:ascii="宋体" w:hAnsi="宋体"/>
          <w:color w:val="auto"/>
          <w:sz w:val="24"/>
          <w:szCs w:val="24"/>
          <w:highlight w:val="none"/>
        </w:rPr>
      </w:pPr>
      <w:r>
        <w:rPr>
          <w:rFonts w:hint="eastAsia" w:ascii="宋体" w:hAnsi="宋体"/>
          <w:color w:val="auto"/>
          <w:sz w:val="24"/>
          <w:szCs w:val="24"/>
          <w:highlight w:val="none"/>
        </w:rPr>
        <w:t>发包人：</w:t>
      </w:r>
    </w:p>
    <w:p w14:paraId="21935CD1">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r>
        <w:rPr>
          <w:rFonts w:ascii="宋体" w:hAnsi="宋体"/>
          <w:color w:val="auto"/>
          <w:sz w:val="24"/>
          <w:szCs w:val="24"/>
          <w:highlight w:val="none"/>
        </w:rPr>
        <w:t>：</w:t>
      </w:r>
    </w:p>
    <w:p w14:paraId="30683FA3">
      <w:pPr>
        <w:spacing w:line="360" w:lineRule="auto"/>
        <w:rPr>
          <w:rFonts w:ascii="宋体" w:hAnsi="宋体"/>
          <w:color w:val="auto"/>
          <w:sz w:val="24"/>
          <w:szCs w:val="24"/>
          <w:highlight w:val="none"/>
        </w:rPr>
      </w:pPr>
      <w:r>
        <w:rPr>
          <w:rFonts w:hint="eastAsia" w:ascii="宋体" w:hAnsi="宋体"/>
          <w:color w:val="auto"/>
          <w:sz w:val="24"/>
          <w:szCs w:val="24"/>
          <w:highlight w:val="none"/>
        </w:rPr>
        <w:t>担保权人/承包人：</w:t>
      </w:r>
      <w:r>
        <w:rPr>
          <w:rFonts w:ascii="宋体" w:hAnsi="宋体"/>
          <w:color w:val="auto"/>
          <w:sz w:val="24"/>
          <w:szCs w:val="24"/>
          <w:highlight w:val="none"/>
        </w:rPr>
        <w:t xml:space="preserve"> </w:t>
      </w:r>
    </w:p>
    <w:p w14:paraId="155683F3">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p>
    <w:p w14:paraId="746EA3CC">
      <w:pPr>
        <w:spacing w:line="360" w:lineRule="auto"/>
        <w:rPr>
          <w:rFonts w:ascii="宋体" w:hAnsi="宋体"/>
          <w:color w:val="auto"/>
          <w:sz w:val="24"/>
          <w:szCs w:val="24"/>
          <w:highlight w:val="none"/>
        </w:rPr>
      </w:pPr>
      <w:r>
        <w:rPr>
          <w:rFonts w:hint="eastAsia" w:ascii="宋体" w:hAnsi="宋体"/>
          <w:color w:val="auto"/>
          <w:sz w:val="24"/>
          <w:szCs w:val="24"/>
          <w:highlight w:val="none"/>
        </w:rPr>
        <w:t>保证人：</w:t>
      </w:r>
    </w:p>
    <w:p w14:paraId="2321A0B1">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p>
    <w:p w14:paraId="6F5B37E6">
      <w:pPr>
        <w:spacing w:line="360" w:lineRule="auto"/>
        <w:rPr>
          <w:rFonts w:ascii="宋体" w:hAnsi="宋体"/>
          <w:color w:val="auto"/>
          <w:sz w:val="24"/>
          <w:szCs w:val="24"/>
          <w:highlight w:val="none"/>
        </w:rPr>
      </w:pPr>
    </w:p>
    <w:p w14:paraId="197D3377">
      <w:pPr>
        <w:spacing w:line="360" w:lineRule="auto"/>
        <w:rPr>
          <w:rFonts w:ascii="宋体" w:hAnsi="宋体"/>
          <w:color w:val="auto"/>
          <w:sz w:val="24"/>
          <w:szCs w:val="24"/>
          <w:highlight w:val="none"/>
        </w:rPr>
      </w:pPr>
      <w:r>
        <w:rPr>
          <w:rFonts w:ascii="宋体" w:hAnsi="宋体"/>
          <w:color w:val="auto"/>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承包人</w:t>
      </w:r>
      <w:r>
        <w:rPr>
          <w:rFonts w:ascii="宋体" w:hAnsi="宋体"/>
          <w:color w:val="auto"/>
          <w:sz w:val="24"/>
          <w:szCs w:val="24"/>
          <w:highlight w:val="none"/>
        </w:rPr>
        <w:t xml:space="preserve">名称）： </w:t>
      </w:r>
    </w:p>
    <w:p w14:paraId="1304B97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鉴于</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发包人</w:t>
      </w:r>
      <w:r>
        <w:rPr>
          <w:rFonts w:hint="eastAsia" w:ascii="宋体" w:hAnsi="宋体"/>
          <w:color w:val="auto"/>
          <w:sz w:val="24"/>
          <w:szCs w:val="24"/>
          <w:highlight w:val="none"/>
          <w:lang w:eastAsia="zh-CN"/>
        </w:rPr>
        <w:t>”</w:t>
      </w:r>
      <w:r>
        <w:rPr>
          <w:rFonts w:ascii="宋体" w:hAnsi="宋体"/>
          <w:color w:val="auto"/>
          <w:sz w:val="24"/>
          <w:szCs w:val="24"/>
          <w:highlight w:val="none"/>
        </w:rPr>
        <w:t>）</w:t>
      </w:r>
      <w:r>
        <w:rPr>
          <w:rFonts w:hint="eastAsia" w:ascii="宋体" w:hAnsi="宋体"/>
          <w:color w:val="auto"/>
          <w:sz w:val="24"/>
          <w:szCs w:val="24"/>
          <w:highlight w:val="none"/>
        </w:rPr>
        <w:t>与</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承包人</w:t>
      </w:r>
      <w:r>
        <w:rPr>
          <w:rFonts w:hint="eastAsia" w:ascii="宋体" w:hAnsi="宋体"/>
          <w:color w:val="auto"/>
          <w:sz w:val="24"/>
          <w:szCs w:val="24"/>
          <w:highlight w:val="none"/>
          <w:lang w:eastAsia="zh-CN"/>
        </w:rPr>
        <w:t>”</w:t>
      </w:r>
      <w:r>
        <w:rPr>
          <w:rFonts w:ascii="宋体" w:hAnsi="宋体"/>
          <w:color w:val="auto"/>
          <w:sz w:val="24"/>
          <w:szCs w:val="24"/>
          <w:highlight w:val="none"/>
        </w:rPr>
        <w:t>）</w:t>
      </w:r>
      <w:r>
        <w:rPr>
          <w:rFonts w:hint="eastAsia" w:ascii="宋体" w:hAnsi="宋体"/>
          <w:color w:val="auto"/>
          <w:sz w:val="24"/>
          <w:szCs w:val="24"/>
          <w:highlight w:val="none"/>
        </w:rPr>
        <w:t>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日就</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工程（以下简称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本工程</w:t>
      </w:r>
      <w:r>
        <w:rPr>
          <w:rFonts w:hint="eastAsia" w:ascii="宋体" w:hAnsi="宋体"/>
          <w:color w:val="auto"/>
          <w:sz w:val="24"/>
          <w:szCs w:val="24"/>
          <w:highlight w:val="none"/>
          <w:lang w:eastAsia="zh-CN"/>
        </w:rPr>
        <w:t>”</w:t>
      </w:r>
      <w:r>
        <w:rPr>
          <w:rFonts w:hint="eastAsia" w:ascii="宋体" w:hAnsi="宋体"/>
          <w:color w:val="auto"/>
          <w:sz w:val="24"/>
          <w:szCs w:val="24"/>
          <w:highlight w:val="none"/>
        </w:rPr>
        <w:t>）施工和有关事项协商一致共同签订</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w:t>
      </w:r>
      <w:r>
        <w:rPr>
          <w:rFonts w:hint="eastAsia" w:ascii="宋体" w:hAnsi="宋体"/>
          <w:color w:val="auto"/>
          <w:sz w:val="24"/>
          <w:szCs w:val="24"/>
          <w:highlight w:val="none"/>
        </w:rPr>
        <w:t>（以下简称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主合同</w:t>
      </w:r>
      <w:r>
        <w:rPr>
          <w:rFonts w:hint="eastAsia" w:ascii="宋体" w:hAnsi="宋体"/>
          <w:color w:val="auto"/>
          <w:sz w:val="24"/>
          <w:szCs w:val="24"/>
          <w:highlight w:val="none"/>
          <w:lang w:eastAsia="zh-CN"/>
        </w:rPr>
        <w:t>”</w:t>
      </w:r>
      <w:r>
        <w:rPr>
          <w:rFonts w:hint="eastAsia" w:ascii="宋体" w:hAnsi="宋体"/>
          <w:color w:val="auto"/>
          <w:sz w:val="24"/>
          <w:szCs w:val="24"/>
          <w:highlight w:val="none"/>
        </w:rPr>
        <w:t>），我方即保证人基于发包人</w:t>
      </w:r>
      <w:r>
        <w:rPr>
          <w:rFonts w:ascii="宋体" w:hAnsi="宋体"/>
          <w:color w:val="auto"/>
          <w:sz w:val="24"/>
          <w:szCs w:val="24"/>
          <w:highlight w:val="none"/>
        </w:rPr>
        <w:t>的请求，同意就</w:t>
      </w:r>
      <w:r>
        <w:rPr>
          <w:rFonts w:hint="eastAsia" w:ascii="宋体" w:hAnsi="宋体"/>
          <w:color w:val="auto"/>
          <w:sz w:val="24"/>
          <w:szCs w:val="24"/>
          <w:highlight w:val="none"/>
        </w:rPr>
        <w:t>发包人</w:t>
      </w:r>
      <w:r>
        <w:rPr>
          <w:rFonts w:ascii="宋体" w:hAnsi="宋体"/>
          <w:color w:val="auto"/>
          <w:sz w:val="24"/>
          <w:szCs w:val="24"/>
          <w:highlight w:val="none"/>
        </w:rPr>
        <w:t>履行</w:t>
      </w:r>
      <w:r>
        <w:rPr>
          <w:rFonts w:hint="eastAsia" w:ascii="宋体" w:hAnsi="宋体"/>
          <w:color w:val="auto"/>
          <w:sz w:val="24"/>
          <w:szCs w:val="24"/>
          <w:highlight w:val="none"/>
        </w:rPr>
        <w:t>与贵方签订的主合同</w:t>
      </w:r>
      <w:r>
        <w:rPr>
          <w:rFonts w:ascii="宋体" w:hAnsi="宋体"/>
          <w:color w:val="auto"/>
          <w:sz w:val="24"/>
          <w:szCs w:val="24"/>
          <w:highlight w:val="none"/>
        </w:rPr>
        <w:t>项下的</w:t>
      </w:r>
      <w:r>
        <w:rPr>
          <w:rFonts w:hint="eastAsia" w:ascii="宋体" w:hAnsi="宋体"/>
          <w:color w:val="auto"/>
          <w:sz w:val="24"/>
          <w:szCs w:val="24"/>
          <w:highlight w:val="none"/>
        </w:rPr>
        <w:t>工程款（指主合同约定的除工程质量保修金以外的全部工程结算款项）付款</w:t>
      </w:r>
      <w:r>
        <w:rPr>
          <w:rFonts w:ascii="宋体" w:hAnsi="宋体"/>
          <w:color w:val="auto"/>
          <w:sz w:val="24"/>
          <w:szCs w:val="24"/>
          <w:highlight w:val="none"/>
        </w:rPr>
        <w:t>义务</w:t>
      </w:r>
      <w:r>
        <w:rPr>
          <w:rFonts w:hint="eastAsia" w:ascii="宋体" w:hAnsi="宋体"/>
          <w:color w:val="auto"/>
          <w:sz w:val="24"/>
          <w:szCs w:val="24"/>
          <w:highlight w:val="none"/>
        </w:rPr>
        <w:t>，</w:t>
      </w:r>
      <w:r>
        <w:rPr>
          <w:rFonts w:ascii="宋体" w:hAnsi="宋体"/>
          <w:color w:val="auto"/>
          <w:sz w:val="24"/>
          <w:szCs w:val="24"/>
          <w:highlight w:val="none"/>
        </w:rPr>
        <w:t>向贵方提供</w:t>
      </w:r>
      <w:r>
        <w:rPr>
          <w:rFonts w:hint="eastAsia" w:ascii="宋体" w:hAnsi="宋体"/>
          <w:color w:val="auto"/>
          <w:sz w:val="24"/>
          <w:szCs w:val="24"/>
          <w:highlight w:val="none"/>
        </w:rPr>
        <w:t>如下保证担保（以下简称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本保证担保</w:t>
      </w:r>
      <w:r>
        <w:rPr>
          <w:rFonts w:hint="eastAsia" w:ascii="宋体" w:hAnsi="宋体"/>
          <w:color w:val="auto"/>
          <w:sz w:val="24"/>
          <w:szCs w:val="24"/>
          <w:highlight w:val="none"/>
          <w:lang w:eastAsia="zh-CN"/>
        </w:rPr>
        <w:t>”</w:t>
      </w:r>
      <w:r>
        <w:rPr>
          <w:rFonts w:hint="eastAsia" w:ascii="宋体" w:hAnsi="宋体"/>
          <w:color w:val="auto"/>
          <w:sz w:val="24"/>
          <w:szCs w:val="24"/>
          <w:highlight w:val="none"/>
        </w:rPr>
        <w:t>）</w:t>
      </w:r>
      <w:r>
        <w:rPr>
          <w:rFonts w:ascii="宋体" w:hAnsi="宋体"/>
          <w:color w:val="auto"/>
          <w:sz w:val="24"/>
          <w:szCs w:val="24"/>
          <w:highlight w:val="none"/>
        </w:rPr>
        <w:t xml:space="preserve">。 </w:t>
      </w:r>
    </w:p>
    <w:p w14:paraId="457E0AEF">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一、保证担保的范围及保证担保金额</w:t>
      </w:r>
    </w:p>
    <w:p w14:paraId="011D2F9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w:t>
      </w:r>
      <w:r>
        <w:rPr>
          <w:rFonts w:hint="eastAsia" w:ascii="宋体" w:hAnsi="宋体"/>
          <w:color w:val="auto"/>
          <w:sz w:val="24"/>
          <w:szCs w:val="24"/>
          <w:highlight w:val="none"/>
        </w:rPr>
        <w:t>保证担保范围：申请人未履行主合同约定的工程款支付义务，应当向贵方承担的违约责任和赔偿因此造成的损失、利息、律师费、诉讼费用等实现债权的费用。</w:t>
      </w:r>
    </w:p>
    <w:p w14:paraId="1F91122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保证担保金额最高不超过</w:t>
      </w:r>
      <w:r>
        <w:rPr>
          <w:rFonts w:ascii="宋体" w:hAnsi="宋体"/>
          <w:color w:val="auto"/>
          <w:sz w:val="24"/>
          <w:szCs w:val="24"/>
          <w:highlight w:val="none"/>
        </w:rPr>
        <w:t>人民币（大写）</w:t>
      </w:r>
      <w:r>
        <w:rPr>
          <w:rFonts w:ascii="宋体" w:hAnsi="宋体"/>
          <w:color w:val="auto"/>
          <w:sz w:val="24"/>
          <w:szCs w:val="24"/>
          <w:highlight w:val="none"/>
          <w:u w:val="single"/>
        </w:rPr>
        <w:t xml:space="preserve">          </w:t>
      </w:r>
      <w:r>
        <w:rPr>
          <w:rFonts w:ascii="宋体" w:hAnsi="宋体"/>
          <w:color w:val="auto"/>
          <w:sz w:val="24"/>
          <w:szCs w:val="24"/>
          <w:highlight w:val="none"/>
        </w:rPr>
        <w:t>元（¥</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3D7F7638">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二、保证担保的方式及保证期间</w:t>
      </w:r>
      <w:r>
        <w:rPr>
          <w:rFonts w:ascii="宋体" w:hAnsi="宋体"/>
          <w:b/>
          <w:bCs/>
          <w:color w:val="auto"/>
          <w:sz w:val="24"/>
          <w:szCs w:val="24"/>
          <w:highlight w:val="none"/>
        </w:rPr>
        <w:t xml:space="preserve"> </w:t>
      </w:r>
    </w:p>
    <w:p w14:paraId="0064B0C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1.保证担保方式：连带责任保证。</w:t>
      </w:r>
    </w:p>
    <w:p w14:paraId="79D7C65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保证期间：</w:t>
      </w:r>
      <w:r>
        <w:rPr>
          <w:rFonts w:ascii="宋体" w:hAnsi="宋体"/>
          <w:color w:val="auto"/>
          <w:sz w:val="24"/>
          <w:szCs w:val="24"/>
          <w:highlight w:val="none"/>
        </w:rPr>
        <w:t>自</w:t>
      </w:r>
      <w:r>
        <w:rPr>
          <w:rFonts w:hint="eastAsia" w:ascii="宋体" w:hAnsi="宋体"/>
          <w:color w:val="auto"/>
          <w:sz w:val="24"/>
          <w:szCs w:val="24"/>
          <w:highlight w:val="none"/>
        </w:rPr>
        <w:t>出具之日起</w:t>
      </w:r>
      <w:r>
        <w:rPr>
          <w:rFonts w:ascii="宋体" w:hAnsi="宋体"/>
          <w:color w:val="auto"/>
          <w:sz w:val="24"/>
          <w:szCs w:val="24"/>
          <w:highlight w:val="none"/>
        </w:rPr>
        <w:t>至</w:t>
      </w:r>
      <w:r>
        <w:rPr>
          <w:rFonts w:hint="eastAsia" w:ascii="宋体" w:hAnsi="宋体"/>
          <w:color w:val="auto"/>
          <w:sz w:val="24"/>
          <w:szCs w:val="24"/>
          <w:highlight w:val="none"/>
        </w:rPr>
        <w:t>主合同约定的除工程质量保修金以外的工程款支付之日后</w:t>
      </w:r>
      <w:r>
        <w:rPr>
          <w:rFonts w:ascii="宋体" w:hAnsi="宋体"/>
          <w:color w:val="auto"/>
          <w:sz w:val="24"/>
          <w:szCs w:val="24"/>
          <w:highlight w:val="none"/>
          <w:u w:val="single"/>
        </w:rPr>
        <w:t xml:space="preserve">   </w:t>
      </w:r>
      <w:r>
        <w:rPr>
          <w:rFonts w:ascii="宋体" w:hAnsi="宋体"/>
          <w:color w:val="auto"/>
          <w:sz w:val="24"/>
          <w:szCs w:val="24"/>
          <w:highlight w:val="none"/>
        </w:rPr>
        <w:t>日</w:t>
      </w:r>
      <w:r>
        <w:rPr>
          <w:rFonts w:hint="eastAsia" w:ascii="宋体" w:hAnsi="宋体"/>
          <w:color w:val="auto"/>
          <w:sz w:val="24"/>
          <w:szCs w:val="24"/>
          <w:highlight w:val="none"/>
        </w:rPr>
        <w:t>止，最迟不超过</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日</w:t>
      </w:r>
      <w:r>
        <w:rPr>
          <w:rFonts w:ascii="宋体" w:hAnsi="宋体"/>
          <w:color w:val="auto"/>
          <w:sz w:val="24"/>
          <w:szCs w:val="24"/>
          <w:highlight w:val="none"/>
        </w:rPr>
        <w:t xml:space="preserve">。 </w:t>
      </w:r>
    </w:p>
    <w:p w14:paraId="6DFA42CA">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三、承担保证担保责任的形式</w:t>
      </w:r>
    </w:p>
    <w:p w14:paraId="0D1C91F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发包人未按合同约定向贵方支付主合同项下工程款的，由我方在保证金额内代为支付，并赔偿因此给贵方造成的损失，以及利息和律师费、诉讼费用等实现债权的费用。</w:t>
      </w:r>
    </w:p>
    <w:p w14:paraId="7964F1DB">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四、代偿的安排</w:t>
      </w:r>
      <w:r>
        <w:rPr>
          <w:rFonts w:ascii="宋体" w:hAnsi="宋体"/>
          <w:b/>
          <w:bCs/>
          <w:color w:val="auto"/>
          <w:sz w:val="24"/>
          <w:szCs w:val="24"/>
          <w:highlight w:val="none"/>
        </w:rPr>
        <w:t xml:space="preserve"> </w:t>
      </w:r>
    </w:p>
    <w:p w14:paraId="59C345E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1.贵方要求我方承担保证责任的，应向我方发出书面索赔通知及发包人未支付主合同约定工程款的证明材料。索赔通知应写明要求索赔的金额，支付款项应到达的</w:t>
      </w:r>
      <w:r>
        <w:rPr>
          <w:rFonts w:hint="eastAsia" w:ascii="宋体" w:hAnsi="宋体"/>
          <w:color w:val="auto"/>
          <w:sz w:val="24"/>
          <w:szCs w:val="24"/>
          <w:highlight w:val="none"/>
          <w:lang w:eastAsia="zh-CN"/>
        </w:rPr>
        <w:t>账</w:t>
      </w:r>
      <w:r>
        <w:rPr>
          <w:rFonts w:hint="eastAsia" w:ascii="宋体" w:hAnsi="宋体"/>
          <w:color w:val="auto"/>
          <w:sz w:val="24"/>
          <w:szCs w:val="24"/>
          <w:highlight w:val="none"/>
        </w:rPr>
        <w:t>号。</w:t>
      </w:r>
    </w:p>
    <w:p w14:paraId="70321F7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在出现贵方与发包人因工程质量发生争议，发包人拒绝向贵方支付工程款的情形时，贵方要求我方履行保证责任代为支付的，还需提供项目总监理工程师、监理单位或符合相应条件要求的工程质量检测机构出具的质量说明材料。</w:t>
      </w:r>
    </w:p>
    <w:p w14:paraId="132C708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3.我方收到贵方的书面索赔通知及相应证明材料后，在</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工作日内进行核定后按照本保函的承诺承担保证责任。</w:t>
      </w:r>
    </w:p>
    <w:p w14:paraId="695D3EA1">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五、保证担保责任的解除</w:t>
      </w:r>
      <w:r>
        <w:rPr>
          <w:rFonts w:ascii="宋体" w:hAnsi="宋体"/>
          <w:b/>
          <w:bCs/>
          <w:color w:val="auto"/>
          <w:sz w:val="24"/>
          <w:szCs w:val="24"/>
          <w:highlight w:val="none"/>
        </w:rPr>
        <w:t xml:space="preserve"> </w:t>
      </w:r>
    </w:p>
    <w:p w14:paraId="40803B4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 xml:space="preserve">保证期间届满贵方未向我方书面主张保证责任的，自保证期间届满次日起，我方解除保证责任。 </w:t>
      </w:r>
    </w:p>
    <w:p w14:paraId="4E983E7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我方按照本</w:t>
      </w:r>
      <w:r>
        <w:rPr>
          <w:rFonts w:hint="eastAsia" w:ascii="宋体" w:hAnsi="宋体"/>
          <w:color w:val="auto"/>
          <w:sz w:val="24"/>
          <w:szCs w:val="24"/>
          <w:highlight w:val="none"/>
        </w:rPr>
        <w:t>保证担保</w:t>
      </w:r>
      <w:r>
        <w:rPr>
          <w:rFonts w:ascii="宋体" w:hAnsi="宋体"/>
          <w:color w:val="auto"/>
          <w:sz w:val="24"/>
          <w:szCs w:val="24"/>
          <w:highlight w:val="none"/>
        </w:rPr>
        <w:t>向贵方履行了</w:t>
      </w:r>
      <w:r>
        <w:rPr>
          <w:rFonts w:hint="eastAsia" w:ascii="宋体" w:hAnsi="宋体"/>
          <w:color w:val="auto"/>
          <w:sz w:val="24"/>
          <w:szCs w:val="24"/>
          <w:highlight w:val="none"/>
        </w:rPr>
        <w:t>保证担保责任</w:t>
      </w:r>
      <w:r>
        <w:rPr>
          <w:rFonts w:ascii="宋体" w:hAnsi="宋体"/>
          <w:color w:val="auto"/>
          <w:sz w:val="24"/>
          <w:szCs w:val="24"/>
          <w:highlight w:val="none"/>
        </w:rPr>
        <w:t>后，自我方向贵方支付</w:t>
      </w:r>
      <w:r>
        <w:rPr>
          <w:rFonts w:hint="eastAsia" w:ascii="宋体" w:hAnsi="宋体"/>
          <w:color w:val="auto"/>
          <w:sz w:val="24"/>
          <w:szCs w:val="24"/>
          <w:highlight w:val="none"/>
        </w:rPr>
        <w:t>的金额达到最高保证担保金额</w:t>
      </w:r>
      <w:r>
        <w:rPr>
          <w:rFonts w:ascii="宋体" w:hAnsi="宋体"/>
          <w:color w:val="auto"/>
          <w:sz w:val="24"/>
          <w:szCs w:val="24"/>
          <w:highlight w:val="none"/>
        </w:rPr>
        <w:t>之日起，</w:t>
      </w:r>
      <w:r>
        <w:rPr>
          <w:rFonts w:hint="eastAsia" w:ascii="宋体" w:hAnsi="宋体"/>
          <w:color w:val="auto"/>
          <w:sz w:val="24"/>
          <w:szCs w:val="24"/>
          <w:highlight w:val="none"/>
        </w:rPr>
        <w:t>保证担保责任</w:t>
      </w:r>
      <w:r>
        <w:rPr>
          <w:rFonts w:ascii="宋体" w:hAnsi="宋体"/>
          <w:color w:val="auto"/>
          <w:sz w:val="24"/>
          <w:szCs w:val="24"/>
          <w:highlight w:val="none"/>
        </w:rPr>
        <w:t xml:space="preserve">解除。 </w:t>
      </w:r>
    </w:p>
    <w:p w14:paraId="25E6113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按照法律法规的规定应解除我方保证</w:t>
      </w:r>
      <w:r>
        <w:rPr>
          <w:rFonts w:hint="eastAsia" w:ascii="宋体" w:hAnsi="宋体"/>
          <w:color w:val="auto"/>
          <w:sz w:val="24"/>
          <w:szCs w:val="24"/>
          <w:highlight w:val="none"/>
        </w:rPr>
        <w:t>担保</w:t>
      </w:r>
      <w:r>
        <w:rPr>
          <w:rFonts w:ascii="宋体" w:hAnsi="宋体"/>
          <w:color w:val="auto"/>
          <w:sz w:val="24"/>
          <w:szCs w:val="24"/>
          <w:highlight w:val="none"/>
        </w:rPr>
        <w:t>责任的其它情形的，我方在本保证担保项下的保证</w:t>
      </w:r>
      <w:r>
        <w:rPr>
          <w:rFonts w:hint="eastAsia" w:ascii="宋体" w:hAnsi="宋体"/>
          <w:color w:val="auto"/>
          <w:sz w:val="24"/>
          <w:szCs w:val="24"/>
          <w:highlight w:val="none"/>
        </w:rPr>
        <w:t>担保</w:t>
      </w:r>
      <w:r>
        <w:rPr>
          <w:rFonts w:ascii="宋体" w:hAnsi="宋体"/>
          <w:color w:val="auto"/>
          <w:sz w:val="24"/>
          <w:szCs w:val="24"/>
          <w:highlight w:val="none"/>
        </w:rPr>
        <w:t xml:space="preserve">责任亦解除。 </w:t>
      </w:r>
    </w:p>
    <w:p w14:paraId="5FACA4A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4.我方解除保证责任后，贵方应按上述约定，自我方保证担保责任解除之日起七</w:t>
      </w:r>
      <w:r>
        <w:rPr>
          <w:rFonts w:ascii="宋体" w:hAnsi="宋体"/>
          <w:color w:val="auto"/>
          <w:sz w:val="24"/>
          <w:szCs w:val="24"/>
          <w:highlight w:val="none"/>
        </w:rPr>
        <w:t>日内，将本保证担保原件返还我方。但是不论贵方是否按此要求将本保证担保</w:t>
      </w:r>
      <w:r>
        <w:rPr>
          <w:rFonts w:hint="eastAsia" w:ascii="宋体" w:hAnsi="宋体"/>
          <w:color w:val="auto"/>
          <w:sz w:val="24"/>
          <w:szCs w:val="24"/>
          <w:highlight w:val="none"/>
        </w:rPr>
        <w:t>原件</w:t>
      </w:r>
      <w:r>
        <w:rPr>
          <w:rFonts w:ascii="宋体" w:hAnsi="宋体"/>
          <w:color w:val="auto"/>
          <w:sz w:val="24"/>
          <w:szCs w:val="24"/>
          <w:highlight w:val="none"/>
        </w:rPr>
        <w:t>退回我方，我方在本保证担保项下的义务和责任均</w:t>
      </w:r>
      <w:r>
        <w:rPr>
          <w:rFonts w:hint="eastAsia" w:ascii="宋体" w:hAnsi="宋体"/>
          <w:color w:val="auto"/>
          <w:sz w:val="24"/>
          <w:szCs w:val="24"/>
          <w:highlight w:val="none"/>
        </w:rPr>
        <w:t>自保证担保责任解除之日</w:t>
      </w:r>
      <w:r>
        <w:rPr>
          <w:rFonts w:ascii="宋体" w:hAnsi="宋体"/>
          <w:color w:val="auto"/>
          <w:sz w:val="24"/>
          <w:szCs w:val="24"/>
          <w:highlight w:val="none"/>
        </w:rPr>
        <w:t>自动消灭。</w:t>
      </w:r>
    </w:p>
    <w:p w14:paraId="07EDCEA8">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六、免责条款</w:t>
      </w:r>
      <w:r>
        <w:rPr>
          <w:rFonts w:ascii="宋体" w:hAnsi="宋体"/>
          <w:b/>
          <w:bCs/>
          <w:color w:val="auto"/>
          <w:sz w:val="24"/>
          <w:szCs w:val="24"/>
          <w:highlight w:val="none"/>
        </w:rPr>
        <w:t xml:space="preserve"> </w:t>
      </w:r>
    </w:p>
    <w:p w14:paraId="56CB675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因贵方</w:t>
      </w:r>
      <w:r>
        <w:rPr>
          <w:rFonts w:hint="eastAsia" w:ascii="宋体" w:hAnsi="宋体"/>
          <w:color w:val="auto"/>
          <w:sz w:val="24"/>
          <w:szCs w:val="24"/>
          <w:highlight w:val="none"/>
        </w:rPr>
        <w:t>原因</w:t>
      </w:r>
      <w:r>
        <w:rPr>
          <w:rFonts w:ascii="宋体" w:hAnsi="宋体"/>
          <w:color w:val="auto"/>
          <w:sz w:val="24"/>
          <w:szCs w:val="24"/>
          <w:highlight w:val="none"/>
        </w:rPr>
        <w:t>致使</w:t>
      </w:r>
      <w:r>
        <w:rPr>
          <w:rFonts w:hint="eastAsia" w:ascii="宋体" w:hAnsi="宋体"/>
          <w:color w:val="auto"/>
          <w:sz w:val="24"/>
          <w:szCs w:val="24"/>
          <w:highlight w:val="none"/>
        </w:rPr>
        <w:t>发包人未履行主合同项下工程款付款义务的</w:t>
      </w:r>
      <w:r>
        <w:rPr>
          <w:rFonts w:ascii="宋体" w:hAnsi="宋体"/>
          <w:color w:val="auto"/>
          <w:sz w:val="24"/>
          <w:szCs w:val="24"/>
          <w:highlight w:val="none"/>
        </w:rPr>
        <w:t>，我方不承担保证</w:t>
      </w:r>
      <w:r>
        <w:rPr>
          <w:rFonts w:hint="eastAsia" w:ascii="宋体" w:hAnsi="宋体"/>
          <w:color w:val="auto"/>
          <w:sz w:val="24"/>
          <w:szCs w:val="24"/>
          <w:highlight w:val="none"/>
        </w:rPr>
        <w:t>担保</w:t>
      </w:r>
      <w:r>
        <w:rPr>
          <w:rFonts w:ascii="宋体" w:hAnsi="宋体"/>
          <w:color w:val="auto"/>
          <w:sz w:val="24"/>
          <w:szCs w:val="24"/>
          <w:highlight w:val="none"/>
        </w:rPr>
        <w:t xml:space="preserve">责任。 </w:t>
      </w:r>
    </w:p>
    <w:p w14:paraId="49ED996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依照法律规定或贵方与</w:t>
      </w:r>
      <w:r>
        <w:rPr>
          <w:rFonts w:hint="eastAsia" w:ascii="宋体" w:hAnsi="宋体"/>
          <w:color w:val="auto"/>
          <w:sz w:val="24"/>
          <w:szCs w:val="24"/>
          <w:highlight w:val="none"/>
        </w:rPr>
        <w:t>发包</w:t>
      </w:r>
      <w:r>
        <w:rPr>
          <w:rFonts w:ascii="宋体" w:hAnsi="宋体"/>
          <w:color w:val="auto"/>
          <w:sz w:val="24"/>
          <w:szCs w:val="24"/>
          <w:highlight w:val="none"/>
        </w:rPr>
        <w:t>人的另行约定，免除</w:t>
      </w:r>
      <w:r>
        <w:rPr>
          <w:rFonts w:hint="eastAsia" w:ascii="宋体" w:hAnsi="宋体"/>
          <w:color w:val="auto"/>
          <w:sz w:val="24"/>
          <w:szCs w:val="24"/>
          <w:highlight w:val="none"/>
        </w:rPr>
        <w:t>发包</w:t>
      </w:r>
      <w:r>
        <w:rPr>
          <w:rFonts w:ascii="宋体" w:hAnsi="宋体"/>
          <w:color w:val="auto"/>
          <w:sz w:val="24"/>
          <w:szCs w:val="24"/>
          <w:highlight w:val="none"/>
        </w:rPr>
        <w:t>人部分或全部义务的，我方亦免除其相应的保证</w:t>
      </w:r>
      <w:r>
        <w:rPr>
          <w:rFonts w:hint="eastAsia" w:ascii="宋体" w:hAnsi="宋体"/>
          <w:color w:val="auto"/>
          <w:sz w:val="24"/>
          <w:szCs w:val="24"/>
          <w:highlight w:val="none"/>
        </w:rPr>
        <w:t>担保</w:t>
      </w:r>
      <w:r>
        <w:rPr>
          <w:rFonts w:ascii="宋体" w:hAnsi="宋体"/>
          <w:color w:val="auto"/>
          <w:sz w:val="24"/>
          <w:szCs w:val="24"/>
          <w:highlight w:val="none"/>
        </w:rPr>
        <w:t xml:space="preserve">责任。 </w:t>
      </w:r>
    </w:p>
    <w:p w14:paraId="6687413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因不可抗力造成</w:t>
      </w:r>
      <w:r>
        <w:rPr>
          <w:rFonts w:hint="eastAsia" w:ascii="宋体" w:hAnsi="宋体"/>
          <w:color w:val="auto"/>
          <w:sz w:val="24"/>
          <w:szCs w:val="24"/>
          <w:highlight w:val="none"/>
        </w:rPr>
        <w:t>发包</w:t>
      </w:r>
      <w:r>
        <w:rPr>
          <w:rFonts w:ascii="宋体" w:hAnsi="宋体"/>
          <w:color w:val="auto"/>
          <w:sz w:val="24"/>
          <w:szCs w:val="24"/>
          <w:highlight w:val="none"/>
        </w:rPr>
        <w:t>人</w:t>
      </w:r>
      <w:r>
        <w:rPr>
          <w:rFonts w:hint="eastAsia" w:ascii="宋体" w:hAnsi="宋体"/>
          <w:color w:val="auto"/>
          <w:sz w:val="24"/>
          <w:szCs w:val="24"/>
          <w:highlight w:val="none"/>
        </w:rPr>
        <w:t>未履行主合同项下工程款付款义务的</w:t>
      </w:r>
      <w:r>
        <w:rPr>
          <w:rFonts w:ascii="宋体" w:hAnsi="宋体"/>
          <w:color w:val="auto"/>
          <w:sz w:val="24"/>
          <w:szCs w:val="24"/>
          <w:highlight w:val="none"/>
        </w:rPr>
        <w:t>，我方不承担保证</w:t>
      </w:r>
      <w:r>
        <w:rPr>
          <w:rFonts w:hint="eastAsia" w:ascii="宋体" w:hAnsi="宋体"/>
          <w:color w:val="auto"/>
          <w:sz w:val="24"/>
          <w:szCs w:val="24"/>
          <w:highlight w:val="none"/>
        </w:rPr>
        <w:t>担保</w:t>
      </w:r>
      <w:r>
        <w:rPr>
          <w:rFonts w:ascii="宋体" w:hAnsi="宋体"/>
          <w:color w:val="auto"/>
          <w:sz w:val="24"/>
          <w:szCs w:val="24"/>
          <w:highlight w:val="none"/>
        </w:rPr>
        <w:t>责任。</w:t>
      </w:r>
    </w:p>
    <w:p w14:paraId="0D022C9A">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七、其他</w:t>
      </w:r>
    </w:p>
    <w:p w14:paraId="578EF64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本保证担保项下的权利不得转让，不得设定担保。贵方未经我方书面同意转让本保证担保或其项下任何权利，</w:t>
      </w:r>
      <w:r>
        <w:rPr>
          <w:rFonts w:hint="eastAsia" w:ascii="宋体" w:hAnsi="宋体"/>
          <w:color w:val="auto"/>
          <w:sz w:val="24"/>
          <w:szCs w:val="24"/>
          <w:highlight w:val="none"/>
        </w:rPr>
        <w:t>对我方不发生法律效力</w:t>
      </w:r>
      <w:r>
        <w:rPr>
          <w:rFonts w:ascii="宋体" w:hAnsi="宋体"/>
          <w:color w:val="auto"/>
          <w:sz w:val="24"/>
          <w:szCs w:val="24"/>
          <w:highlight w:val="none"/>
        </w:rPr>
        <w:t xml:space="preserve">。 </w:t>
      </w:r>
    </w:p>
    <w:p w14:paraId="5CDCA0B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.本</w:t>
      </w:r>
      <w:r>
        <w:rPr>
          <w:rFonts w:hint="eastAsia" w:ascii="宋体" w:hAnsi="宋体"/>
          <w:color w:val="auto"/>
          <w:sz w:val="24"/>
          <w:szCs w:val="24"/>
          <w:highlight w:val="none"/>
        </w:rPr>
        <w:t>保证担保适用的法律为中华人民共和国法律，争议裁判管辖地为中华人民共和国</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r>
        <w:rPr>
          <w:rFonts w:ascii="宋体" w:hAnsi="宋体"/>
          <w:color w:val="auto"/>
          <w:sz w:val="24"/>
          <w:szCs w:val="24"/>
          <w:highlight w:val="none"/>
        </w:rPr>
        <w:t xml:space="preserve"> </w:t>
      </w:r>
    </w:p>
    <w:p w14:paraId="239F555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.本</w:t>
      </w:r>
      <w:r>
        <w:rPr>
          <w:rFonts w:hint="eastAsia" w:ascii="宋体" w:hAnsi="宋体"/>
          <w:color w:val="auto"/>
          <w:sz w:val="24"/>
          <w:szCs w:val="24"/>
          <w:highlight w:val="none"/>
        </w:rPr>
        <w:t>保证担保</w:t>
      </w:r>
      <w:r>
        <w:rPr>
          <w:rFonts w:ascii="宋体" w:hAnsi="宋体"/>
          <w:color w:val="auto"/>
          <w:sz w:val="24"/>
          <w:szCs w:val="24"/>
          <w:highlight w:val="none"/>
        </w:rPr>
        <w:t>自我方法定代表</w:t>
      </w:r>
      <w:r>
        <w:rPr>
          <w:rFonts w:hint="eastAsia" w:ascii="宋体" w:hAnsi="宋体"/>
          <w:color w:val="auto"/>
          <w:sz w:val="24"/>
          <w:szCs w:val="24"/>
          <w:highlight w:val="none"/>
        </w:rPr>
        <w:t>人或授权代表</w:t>
      </w:r>
      <w:r>
        <w:rPr>
          <w:rFonts w:ascii="宋体" w:hAnsi="宋体"/>
          <w:color w:val="auto"/>
          <w:sz w:val="24"/>
          <w:szCs w:val="24"/>
          <w:highlight w:val="none"/>
        </w:rPr>
        <w:t>签字</w:t>
      </w:r>
      <w:r>
        <w:rPr>
          <w:rFonts w:hint="eastAsia" w:ascii="宋体" w:hAnsi="宋体"/>
          <w:color w:val="auto"/>
          <w:sz w:val="24"/>
          <w:szCs w:val="24"/>
          <w:highlight w:val="none"/>
        </w:rPr>
        <w:t>并</w:t>
      </w:r>
      <w:r>
        <w:rPr>
          <w:rFonts w:ascii="宋体" w:hAnsi="宋体"/>
          <w:color w:val="auto"/>
          <w:sz w:val="24"/>
          <w:szCs w:val="24"/>
          <w:highlight w:val="none"/>
        </w:rPr>
        <w:t xml:space="preserve">加盖公章之日起生效。 </w:t>
      </w:r>
    </w:p>
    <w:p w14:paraId="66E78DBC">
      <w:pPr>
        <w:spacing w:line="360" w:lineRule="auto"/>
        <w:ind w:firstLine="480" w:firstLineChars="200"/>
        <w:rPr>
          <w:rFonts w:ascii="宋体" w:hAnsi="宋体"/>
          <w:color w:val="auto"/>
          <w:sz w:val="24"/>
          <w:szCs w:val="24"/>
          <w:highlight w:val="none"/>
        </w:rPr>
      </w:pPr>
    </w:p>
    <w:p w14:paraId="5DE6926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保 证 人</w:t>
      </w:r>
      <w:r>
        <w:rPr>
          <w:rFonts w:ascii="宋体" w:hAnsi="宋体"/>
          <w:color w:val="auto"/>
          <w:sz w:val="24"/>
          <w:szCs w:val="24"/>
          <w:highlight w:val="none"/>
        </w:rPr>
        <w:t xml:space="preserve">：                </w:t>
      </w: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（公</w:t>
      </w:r>
      <w:r>
        <w:rPr>
          <w:rFonts w:ascii="宋体" w:hAnsi="宋体"/>
          <w:color w:val="auto"/>
          <w:sz w:val="24"/>
          <w:szCs w:val="24"/>
          <w:highlight w:val="none"/>
        </w:rPr>
        <w:t xml:space="preserve">章） </w:t>
      </w:r>
    </w:p>
    <w:p w14:paraId="7494918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法定代表人（或授权代表）：</w:t>
      </w:r>
      <w:r>
        <w:rPr>
          <w:rFonts w:ascii="宋体" w:hAnsi="宋体"/>
          <w:color w:val="auto"/>
          <w:sz w:val="24"/>
          <w:szCs w:val="24"/>
          <w:highlight w:val="none"/>
        </w:rPr>
        <w:t xml:space="preserve">               （签字） </w:t>
      </w:r>
    </w:p>
    <w:p w14:paraId="2A8003F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地</w:t>
      </w:r>
      <w:r>
        <w:rPr>
          <w:rFonts w:ascii="宋体" w:hAnsi="宋体"/>
          <w:color w:val="auto"/>
          <w:sz w:val="24"/>
          <w:szCs w:val="24"/>
          <w:highlight w:val="none"/>
        </w:rPr>
        <w:t xml:space="preserve">    址：                                       </w:t>
      </w:r>
    </w:p>
    <w:p w14:paraId="3947D9B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邮政编码：</w:t>
      </w:r>
      <w:r>
        <w:rPr>
          <w:rFonts w:ascii="宋体" w:hAnsi="宋体"/>
          <w:color w:val="auto"/>
          <w:sz w:val="24"/>
          <w:szCs w:val="24"/>
          <w:highlight w:val="none"/>
        </w:rPr>
        <w:t xml:space="preserve">                 </w:t>
      </w:r>
    </w:p>
    <w:p w14:paraId="5B2D8A7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电</w:t>
      </w:r>
      <w:r>
        <w:rPr>
          <w:rFonts w:ascii="宋体" w:hAnsi="宋体"/>
          <w:color w:val="auto"/>
          <w:sz w:val="24"/>
          <w:szCs w:val="24"/>
          <w:highlight w:val="none"/>
        </w:rPr>
        <w:t xml:space="preserve">    话：                 </w:t>
      </w:r>
    </w:p>
    <w:p w14:paraId="34EB217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传</w:t>
      </w:r>
      <w:r>
        <w:rPr>
          <w:rFonts w:ascii="宋体" w:hAnsi="宋体"/>
          <w:color w:val="auto"/>
          <w:sz w:val="24"/>
          <w:szCs w:val="24"/>
          <w:highlight w:val="none"/>
        </w:rPr>
        <w:t xml:space="preserve">    真：                 </w:t>
      </w:r>
    </w:p>
    <w:p w14:paraId="25C4814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时 </w:t>
      </w:r>
      <w:r>
        <w:rPr>
          <w:rFonts w:ascii="宋体" w:hAnsi="宋体"/>
          <w:color w:val="auto"/>
          <w:sz w:val="24"/>
          <w:szCs w:val="24"/>
          <w:highlight w:val="none"/>
        </w:rPr>
        <w:t xml:space="preserve">   </w:t>
      </w:r>
      <w:r>
        <w:rPr>
          <w:rFonts w:hint="eastAsia" w:ascii="宋体" w:hAnsi="宋体"/>
          <w:color w:val="auto"/>
          <w:sz w:val="24"/>
          <w:szCs w:val="24"/>
          <w:highlight w:val="none"/>
        </w:rPr>
        <w:t>间：</w:t>
      </w:r>
      <w:r>
        <w:rPr>
          <w:rFonts w:ascii="宋体" w:hAnsi="宋体"/>
          <w:color w:val="auto"/>
          <w:sz w:val="24"/>
          <w:szCs w:val="24"/>
          <w:highlight w:val="none"/>
        </w:rPr>
        <w:t xml:space="preserve">      年      月        日</w:t>
      </w:r>
    </w:p>
    <w:p w14:paraId="56C514A4">
      <w:pPr>
        <w:spacing w:line="360" w:lineRule="auto"/>
        <w:rPr>
          <w:color w:val="auto"/>
          <w:highlight w:val="none"/>
        </w:rPr>
      </w:pPr>
    </w:p>
    <w:p w14:paraId="785FA028">
      <w:pPr>
        <w:spacing w:line="360" w:lineRule="auto"/>
        <w:rPr>
          <w:color w:val="auto"/>
          <w:highlight w:val="none"/>
        </w:rPr>
      </w:pPr>
    </w:p>
    <w:p w14:paraId="788A2604">
      <w:pPr>
        <w:spacing w:line="360" w:lineRule="auto"/>
        <w:rPr>
          <w:color w:val="auto"/>
          <w:highlight w:val="none"/>
        </w:rPr>
      </w:pPr>
    </w:p>
    <w:p w14:paraId="732FFF6B">
      <w:pPr>
        <w:spacing w:line="360" w:lineRule="auto"/>
        <w:rPr>
          <w:color w:val="auto"/>
          <w:highlight w:val="none"/>
        </w:rPr>
      </w:pPr>
    </w:p>
    <w:p w14:paraId="676E95DE">
      <w:pPr>
        <w:spacing w:line="360" w:lineRule="auto"/>
        <w:rPr>
          <w:color w:val="auto"/>
          <w:highlight w:val="none"/>
        </w:rPr>
      </w:pPr>
    </w:p>
    <w:p w14:paraId="64254998">
      <w:pPr>
        <w:spacing w:line="360" w:lineRule="auto"/>
        <w:rPr>
          <w:color w:val="auto"/>
          <w:highlight w:val="none"/>
        </w:rPr>
      </w:pPr>
    </w:p>
    <w:p w14:paraId="665A4DD3">
      <w:pPr>
        <w:spacing w:line="360" w:lineRule="auto"/>
        <w:rPr>
          <w:color w:val="auto"/>
          <w:highlight w:val="none"/>
        </w:rPr>
      </w:pPr>
    </w:p>
    <w:p w14:paraId="3E6061A1">
      <w:pPr>
        <w:spacing w:line="360" w:lineRule="auto"/>
        <w:rPr>
          <w:color w:val="auto"/>
          <w:highlight w:val="none"/>
        </w:rPr>
      </w:pPr>
    </w:p>
    <w:p w14:paraId="3FCC7832">
      <w:pPr>
        <w:spacing w:line="360" w:lineRule="auto"/>
        <w:rPr>
          <w:color w:val="auto"/>
          <w:highlight w:val="none"/>
        </w:rPr>
      </w:pPr>
    </w:p>
    <w:p w14:paraId="22D49569">
      <w:pPr>
        <w:spacing w:line="360" w:lineRule="auto"/>
        <w:rPr>
          <w:color w:val="auto"/>
          <w:highlight w:val="none"/>
        </w:rPr>
      </w:pPr>
    </w:p>
    <w:p w14:paraId="44D0A91C">
      <w:pPr>
        <w:spacing w:line="360" w:lineRule="auto"/>
        <w:rPr>
          <w:color w:val="auto"/>
          <w:highlight w:val="none"/>
        </w:rPr>
      </w:pPr>
    </w:p>
    <w:p w14:paraId="510BE9E2">
      <w:pPr>
        <w:spacing w:line="360" w:lineRule="auto"/>
        <w:rPr>
          <w:color w:val="auto"/>
          <w:highlight w:val="none"/>
        </w:rPr>
      </w:pPr>
    </w:p>
    <w:p w14:paraId="17633AE3">
      <w:pPr>
        <w:spacing w:line="360" w:lineRule="auto"/>
        <w:rPr>
          <w:color w:val="auto"/>
          <w:highlight w:val="none"/>
        </w:rPr>
      </w:pPr>
    </w:p>
    <w:p w14:paraId="41B7D72E">
      <w:pPr>
        <w:spacing w:line="360" w:lineRule="auto"/>
        <w:rPr>
          <w:color w:val="auto"/>
          <w:highlight w:val="none"/>
        </w:rPr>
      </w:pPr>
    </w:p>
    <w:p w14:paraId="3EAB524C">
      <w:pPr>
        <w:spacing w:line="360" w:lineRule="auto"/>
        <w:rPr>
          <w:color w:val="auto"/>
          <w:highlight w:val="none"/>
        </w:rPr>
      </w:pPr>
    </w:p>
    <w:p w14:paraId="71D373F0">
      <w:pPr>
        <w:spacing w:line="360" w:lineRule="auto"/>
        <w:rPr>
          <w:color w:val="auto"/>
          <w:highlight w:val="none"/>
        </w:rPr>
      </w:pPr>
    </w:p>
    <w:p w14:paraId="3FDC4C89">
      <w:pPr>
        <w:spacing w:line="360" w:lineRule="auto"/>
        <w:rPr>
          <w:color w:val="auto"/>
          <w:highlight w:val="none"/>
        </w:rPr>
      </w:pPr>
    </w:p>
    <w:p w14:paraId="236CBBE7">
      <w:pPr>
        <w:spacing w:line="360" w:lineRule="auto"/>
        <w:rPr>
          <w:color w:val="auto"/>
          <w:highlight w:val="none"/>
        </w:rPr>
      </w:pPr>
    </w:p>
    <w:p w14:paraId="1D501694">
      <w:pPr>
        <w:spacing w:line="360" w:lineRule="auto"/>
        <w:rPr>
          <w:color w:val="auto"/>
          <w:highlight w:val="none"/>
        </w:rPr>
      </w:pPr>
    </w:p>
    <w:p w14:paraId="0B941D1F">
      <w:pPr>
        <w:spacing w:line="360" w:lineRule="auto"/>
        <w:rPr>
          <w:color w:val="auto"/>
          <w:highlight w:val="none"/>
        </w:rPr>
      </w:pPr>
    </w:p>
    <w:p w14:paraId="2F78A569">
      <w:pPr>
        <w:spacing w:line="360" w:lineRule="auto"/>
        <w:ind w:firstLine="480" w:firstLineChars="200"/>
        <w:rPr>
          <w:rFonts w:ascii="宋体" w:hAnsi="宋体"/>
          <w:color w:val="auto"/>
          <w:sz w:val="24"/>
          <w:szCs w:val="24"/>
          <w:highlight w:val="none"/>
        </w:rPr>
      </w:pPr>
    </w:p>
    <w:p w14:paraId="2CCBB006">
      <w:pPr>
        <w:spacing w:line="360" w:lineRule="auto"/>
        <w:ind w:firstLine="420" w:firstLineChars="200"/>
        <w:rPr>
          <w:rFonts w:hint="eastAsia"/>
          <w:color w:val="auto"/>
          <w:highlight w:val="none"/>
        </w:rPr>
      </w:pPr>
    </w:p>
    <w:p w14:paraId="451AC362">
      <w:pPr>
        <w:spacing w:line="360" w:lineRule="auto"/>
        <w:jc w:val="left"/>
        <w:rPr>
          <w:rFonts w:hint="eastAsia" w:ascii="仿宋_GB2312" w:eastAsia="仿宋_GB2312" w:cs="仿宋_GB2312"/>
          <w:color w:val="auto"/>
          <w:sz w:val="30"/>
          <w:szCs w:val="30"/>
          <w:highlight w:val="none"/>
        </w:rPr>
      </w:pPr>
      <w:r>
        <w:rPr>
          <w:rFonts w:eastAsia="仿宋_GB2312"/>
          <w:color w:val="auto"/>
          <w:sz w:val="30"/>
          <w:szCs w:val="30"/>
          <w:highlight w:val="none"/>
        </w:rPr>
        <w:t xml:space="preserve"> </w:t>
      </w:r>
      <w:r>
        <w:rPr>
          <w:rFonts w:hint="eastAsia" w:ascii="仿宋_GB2312" w:eastAsia="仿宋_GB2312" w:cs="仿宋_GB2312"/>
          <w:color w:val="auto"/>
          <w:sz w:val="30"/>
          <w:szCs w:val="30"/>
          <w:highlight w:val="none"/>
        </w:rPr>
        <w:t>附件10：预付款支付申请（核准）表</w:t>
      </w:r>
    </w:p>
    <w:p w14:paraId="0BA1F995">
      <w:pPr>
        <w:spacing w:line="360" w:lineRule="auto"/>
        <w:jc w:val="center"/>
        <w:outlineLvl w:val="9"/>
        <w:rPr>
          <w:rFonts w:hint="eastAsia" w:ascii="宋体" w:hAnsi="宋体"/>
          <w:b/>
          <w:color w:val="auto"/>
          <w:sz w:val="30"/>
          <w:szCs w:val="30"/>
          <w:highlight w:val="none"/>
        </w:rPr>
      </w:pPr>
      <w:r>
        <w:rPr>
          <w:rFonts w:hint="eastAsia" w:ascii="宋体" w:hAnsi="宋体"/>
          <w:b/>
          <w:color w:val="auto"/>
          <w:sz w:val="30"/>
          <w:szCs w:val="30"/>
          <w:highlight w:val="none"/>
        </w:rPr>
        <w:t>预付款支付申请（核准）表</w:t>
      </w:r>
    </w:p>
    <w:p w14:paraId="2DF15182">
      <w:pPr>
        <w:spacing w:line="360" w:lineRule="auto"/>
        <w:jc w:val="center"/>
        <w:outlineLvl w:val="9"/>
        <w:rPr>
          <w:rFonts w:hint="eastAsia" w:ascii="宋体" w:hAnsi="宋体" w:eastAsia="宋体"/>
          <w:b/>
          <w:color w:val="auto"/>
          <w:sz w:val="30"/>
          <w:szCs w:val="30"/>
          <w:highlight w:val="none"/>
          <w:lang w:val="en-US" w:eastAsia="zh-CN"/>
        </w:rPr>
      </w:pPr>
      <w:r>
        <w:rPr>
          <w:rFonts w:hint="eastAsia" w:ascii="宋体" w:hAnsi="宋体"/>
          <w:b/>
          <w:color w:val="auto"/>
          <w:sz w:val="30"/>
          <w:szCs w:val="30"/>
          <w:highlight w:val="none"/>
          <w:lang w:eastAsia="zh-CN"/>
        </w:rPr>
        <w:t>（适用于分年度支付）</w:t>
      </w:r>
    </w:p>
    <w:p w14:paraId="37254F3D">
      <w:pPr>
        <w:spacing w:line="360" w:lineRule="auto"/>
        <w:ind w:firstLine="420" w:firstLineChars="200"/>
        <w:rPr>
          <w:color w:val="auto"/>
          <w:sz w:val="21"/>
          <w:szCs w:val="21"/>
          <w:highlight w:val="none"/>
        </w:rPr>
      </w:pPr>
      <w:r>
        <w:rPr>
          <w:rFonts w:hint="eastAsia" w:ascii="宋体" w:hAnsi="宋体"/>
          <w:color w:val="auto"/>
          <w:sz w:val="21"/>
          <w:szCs w:val="21"/>
          <w:highlight w:val="none"/>
        </w:rPr>
        <w:t xml:space="preserve">工程名称：                                             </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编号：</w:t>
      </w:r>
    </w:p>
    <w:tbl>
      <w:tblPr>
        <w:tblStyle w:val="2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9"/>
        <w:gridCol w:w="4543"/>
      </w:tblGrid>
      <w:tr w14:paraId="6228F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7EA18AF5">
            <w:pPr>
              <w:keepNext w:val="0"/>
              <w:keepLines w:val="0"/>
              <w:suppressLineNumbers w:val="0"/>
              <w:spacing w:before="0" w:beforeAutospacing="0" w:after="0" w:afterAutospacing="0" w:line="360" w:lineRule="auto"/>
              <w:ind w:left="525" w:leftChars="149" w:right="0" w:hanging="212" w:hangingChars="101"/>
              <w:rPr>
                <w:rFonts w:hint="default"/>
                <w:color w:val="auto"/>
                <w:highlight w:val="none"/>
                <w:u w:val="single"/>
              </w:rPr>
            </w:pPr>
            <w:r>
              <w:rPr>
                <w:rFonts w:hint="eastAsia" w:ascii="宋体" w:hAnsi="宋体"/>
                <w:color w:val="auto"/>
                <w:highlight w:val="none"/>
              </w:rPr>
              <w:t>致：</w:t>
            </w:r>
            <w:r>
              <w:rPr>
                <w:rFonts w:hint="default"/>
                <w:color w:val="auto"/>
                <w:highlight w:val="none"/>
                <w:u w:val="single"/>
              </w:rPr>
              <w:t xml:space="preserve">                                   </w:t>
            </w:r>
            <w:r>
              <w:rPr>
                <w:rFonts w:hint="eastAsia" w:ascii="宋体" w:hAnsi="宋体"/>
                <w:color w:val="auto"/>
                <w:highlight w:val="none"/>
                <w:u w:val="single"/>
              </w:rPr>
              <w:t>（发包人全称）</w:t>
            </w:r>
          </w:p>
          <w:p w14:paraId="073A1A8F">
            <w:pPr>
              <w:keepNext w:val="0"/>
              <w:keepLines w:val="0"/>
              <w:suppressLineNumbers w:val="0"/>
              <w:spacing w:before="0" w:beforeAutospacing="0" w:after="0" w:afterAutospacing="0" w:line="360" w:lineRule="auto"/>
              <w:ind w:left="-4" w:leftChars="-2" w:right="0" w:firstLine="315" w:firstLineChars="150"/>
              <w:rPr>
                <w:rFonts w:hint="default"/>
                <w:color w:val="auto"/>
                <w:highlight w:val="none"/>
              </w:rPr>
            </w:pPr>
            <w:r>
              <w:rPr>
                <w:rFonts w:hint="eastAsia" w:ascii="宋体" w:hAnsi="宋体"/>
                <w:color w:val="auto"/>
                <w:highlight w:val="none"/>
              </w:rPr>
              <w:t>我方根据施工合同的约定</w:t>
            </w:r>
            <w:r>
              <w:rPr>
                <w:rFonts w:hint="eastAsia" w:ascii="宋体" w:hAnsi="宋体"/>
                <w:color w:val="auto"/>
                <w:highlight w:val="none"/>
                <w:lang w:eastAsia="zh-CN"/>
              </w:rPr>
              <w:t>，</w:t>
            </w:r>
            <w:r>
              <w:rPr>
                <w:rFonts w:hint="eastAsia" w:ascii="宋体" w:hAnsi="宋体"/>
                <w:color w:val="auto"/>
                <w:highlight w:val="none"/>
              </w:rPr>
              <w:t>现申请支付</w:t>
            </w:r>
            <w:r>
              <w:rPr>
                <w:rFonts w:hint="eastAsia" w:ascii="宋体" w:hAnsi="宋体"/>
                <w:color w:val="auto"/>
                <w:highlight w:val="none"/>
                <w:u w:val="none"/>
                <w:lang w:eastAsia="zh-CN"/>
              </w:rPr>
              <w:t>第</w:t>
            </w:r>
            <w:r>
              <w:rPr>
                <w:rFonts w:hint="eastAsia" w:ascii="宋体" w:hAnsi="宋体"/>
                <w:color w:val="auto"/>
                <w:highlight w:val="none"/>
                <w:u w:val="single"/>
                <w:lang w:val="en-US" w:eastAsia="zh-CN"/>
              </w:rPr>
              <w:t xml:space="preserve">  </w:t>
            </w:r>
            <w:r>
              <w:rPr>
                <w:rFonts w:hint="eastAsia" w:ascii="宋体" w:hAnsi="宋体"/>
                <w:color w:val="auto"/>
                <w:highlight w:val="none"/>
                <w:u w:val="none"/>
                <w:lang w:val="en-US" w:eastAsia="zh-CN"/>
              </w:rPr>
              <w:t>年</w:t>
            </w:r>
            <w:r>
              <w:rPr>
                <w:rFonts w:hint="eastAsia" w:ascii="宋体" w:hAnsi="宋体"/>
                <w:color w:val="auto"/>
                <w:highlight w:val="none"/>
              </w:rPr>
              <w:t>工程预付款额为</w:t>
            </w:r>
            <w:r>
              <w:rPr>
                <w:rFonts w:hint="eastAsia"/>
                <w:color w:val="auto"/>
                <w:highlight w:val="none"/>
                <w:lang w:eastAsia="zh-CN"/>
              </w:rPr>
              <w:t>（</w:t>
            </w:r>
            <w:r>
              <w:rPr>
                <w:rFonts w:hint="eastAsia" w:ascii="宋体" w:hAnsi="宋体"/>
                <w:color w:val="auto"/>
                <w:highlight w:val="none"/>
              </w:rPr>
              <w:t>大写</w:t>
            </w:r>
            <w:r>
              <w:rPr>
                <w:rFonts w:hint="eastAsia"/>
                <w:color w:val="auto"/>
                <w:highlight w:val="none"/>
                <w:lang w:eastAsia="zh-CN"/>
              </w:rPr>
              <w:t>）</w:t>
            </w:r>
            <w:r>
              <w:rPr>
                <w:rFonts w:hint="default"/>
                <w:color w:val="auto"/>
                <w:highlight w:val="none"/>
                <w:u w:val="single"/>
              </w:rPr>
              <w:t xml:space="preserve">     </w:t>
            </w:r>
            <w:r>
              <w:rPr>
                <w:rFonts w:hint="eastAsia"/>
                <w:color w:val="auto"/>
                <w:highlight w:val="none"/>
                <w:u w:val="single"/>
              </w:rPr>
              <w:t xml:space="preserve">             </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color w:val="auto"/>
                <w:highlight w:val="none"/>
                <w:lang w:eastAsia="zh-CN"/>
              </w:rPr>
              <w:t>（</w:t>
            </w:r>
            <w:r>
              <w:rPr>
                <w:rFonts w:hint="eastAsia" w:ascii="宋体" w:hAnsi="宋体"/>
                <w:color w:val="auto"/>
                <w:highlight w:val="none"/>
              </w:rPr>
              <w:t>小写</w:t>
            </w:r>
            <w:r>
              <w:rPr>
                <w:rFonts w:hint="eastAsia"/>
                <w:color w:val="auto"/>
                <w:highlight w:val="none"/>
                <w:lang w:eastAsia="zh-CN"/>
              </w:rPr>
              <w:t>）</w:t>
            </w:r>
            <w:r>
              <w:rPr>
                <w:rFonts w:hint="default"/>
                <w:color w:val="auto"/>
                <w:highlight w:val="none"/>
                <w:u w:val="single"/>
              </w:rPr>
              <w:t xml:space="preserve">     </w:t>
            </w:r>
            <w:r>
              <w:rPr>
                <w:rFonts w:hint="eastAsia"/>
                <w:color w:val="auto"/>
                <w:highlight w:val="none"/>
                <w:u w:val="single"/>
              </w:rPr>
              <w:t xml:space="preserve">      </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请予核准。</w:t>
            </w:r>
          </w:p>
          <w:tbl>
            <w:tblPr>
              <w:tblStyle w:val="22"/>
              <w:tblW w:w="8842"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2266"/>
              <w:gridCol w:w="1556"/>
              <w:gridCol w:w="1356"/>
              <w:gridCol w:w="1513"/>
              <w:gridCol w:w="1515"/>
            </w:tblGrid>
            <w:tr w14:paraId="49366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tcBorders>
                    <w:top w:val="single" w:color="auto" w:sz="4" w:space="0"/>
                    <w:left w:val="single" w:color="auto" w:sz="4" w:space="0"/>
                    <w:bottom w:val="single" w:color="auto" w:sz="4" w:space="0"/>
                    <w:right w:val="single" w:color="auto" w:sz="4" w:space="0"/>
                  </w:tcBorders>
                  <w:noWrap w:val="0"/>
                  <w:vAlign w:val="center"/>
                </w:tcPr>
                <w:p w14:paraId="59716135">
                  <w:pPr>
                    <w:keepNext w:val="0"/>
                    <w:keepLines w:val="0"/>
                    <w:suppressLineNumbers w:val="0"/>
                    <w:spacing w:before="0" w:beforeAutospacing="0" w:after="0" w:afterAutospacing="0" w:line="360" w:lineRule="auto"/>
                    <w:ind w:left="0" w:right="0"/>
                    <w:jc w:val="center"/>
                    <w:rPr>
                      <w:rFonts w:hint="default"/>
                      <w:color w:val="auto"/>
                      <w:highlight w:val="none"/>
                    </w:rPr>
                  </w:pPr>
                  <w:r>
                    <w:rPr>
                      <w:rFonts w:hint="eastAsia" w:ascii="宋体" w:hAnsi="宋体"/>
                      <w:color w:val="auto"/>
                      <w:highlight w:val="none"/>
                    </w:rPr>
                    <w:t>序号</w:t>
                  </w:r>
                </w:p>
              </w:tc>
              <w:tc>
                <w:tcPr>
                  <w:tcW w:w="2322" w:type="dxa"/>
                  <w:tcBorders>
                    <w:top w:val="single" w:color="auto" w:sz="4" w:space="0"/>
                    <w:left w:val="single" w:color="auto" w:sz="4" w:space="0"/>
                    <w:bottom w:val="single" w:color="auto" w:sz="4" w:space="0"/>
                    <w:right w:val="single" w:color="auto" w:sz="4" w:space="0"/>
                  </w:tcBorders>
                  <w:noWrap w:val="0"/>
                  <w:vAlign w:val="center"/>
                </w:tcPr>
                <w:p w14:paraId="20FC3052">
                  <w:pPr>
                    <w:keepNext w:val="0"/>
                    <w:keepLines w:val="0"/>
                    <w:suppressLineNumbers w:val="0"/>
                    <w:spacing w:before="0" w:beforeAutospacing="0" w:after="0" w:afterAutospacing="0" w:line="360" w:lineRule="auto"/>
                    <w:ind w:left="0" w:right="0"/>
                    <w:jc w:val="center"/>
                    <w:rPr>
                      <w:rFonts w:hint="default"/>
                      <w:color w:val="auto"/>
                      <w:highlight w:val="none"/>
                    </w:rPr>
                  </w:pPr>
                  <w:r>
                    <w:rPr>
                      <w:rFonts w:hint="eastAsia" w:ascii="宋体" w:hAnsi="宋体"/>
                      <w:color w:val="auto"/>
                      <w:highlight w:val="none"/>
                    </w:rPr>
                    <w:t xml:space="preserve">名 </w:t>
                  </w:r>
                  <w:r>
                    <w:rPr>
                      <w:rFonts w:hint="default"/>
                      <w:color w:val="auto"/>
                      <w:highlight w:val="none"/>
                    </w:rPr>
                    <w:t xml:space="preserve">     </w:t>
                  </w:r>
                  <w:r>
                    <w:rPr>
                      <w:rFonts w:hint="eastAsia" w:ascii="宋体" w:hAnsi="宋体"/>
                      <w:color w:val="auto"/>
                      <w:highlight w:val="none"/>
                    </w:rPr>
                    <w:t>称</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1FF627A2">
                  <w:pPr>
                    <w:keepNext w:val="0"/>
                    <w:keepLines w:val="0"/>
                    <w:suppressLineNumbers w:val="0"/>
                    <w:spacing w:before="0" w:beforeAutospacing="0" w:after="0" w:afterAutospacing="0" w:line="360" w:lineRule="auto"/>
                    <w:ind w:left="0" w:right="0"/>
                    <w:jc w:val="center"/>
                    <w:rPr>
                      <w:rFonts w:hint="eastAsia" w:ascii="宋体" w:hAnsi="宋体" w:eastAsia="宋体"/>
                      <w:color w:val="auto"/>
                      <w:highlight w:val="none"/>
                      <w:lang w:eastAsia="zh-CN"/>
                    </w:rPr>
                  </w:pPr>
                  <w:r>
                    <w:rPr>
                      <w:rFonts w:hint="eastAsia" w:ascii="宋体" w:hAnsi="宋体"/>
                      <w:color w:val="auto"/>
                      <w:highlight w:val="none"/>
                    </w:rPr>
                    <w:t>计算基数</w:t>
                  </w:r>
                  <w:r>
                    <w:rPr>
                      <w:rFonts w:hint="eastAsia" w:ascii="宋体" w:hAnsi="宋体"/>
                      <w:color w:val="auto"/>
                      <w:highlight w:val="none"/>
                      <w:lang w:eastAsia="zh-CN"/>
                    </w:rPr>
                    <w:t>（元）</w:t>
                  </w:r>
                </w:p>
              </w:tc>
              <w:tc>
                <w:tcPr>
                  <w:tcW w:w="1392" w:type="dxa"/>
                  <w:tcBorders>
                    <w:top w:val="single" w:color="auto" w:sz="4" w:space="0"/>
                    <w:left w:val="single" w:color="auto" w:sz="4" w:space="0"/>
                    <w:bottom w:val="single" w:color="auto" w:sz="4" w:space="0"/>
                    <w:right w:val="single" w:color="auto" w:sz="4" w:space="0"/>
                  </w:tcBorders>
                  <w:noWrap w:val="0"/>
                  <w:vAlign w:val="center"/>
                </w:tcPr>
                <w:p w14:paraId="204D2097">
                  <w:pPr>
                    <w:keepNext w:val="0"/>
                    <w:keepLines w:val="0"/>
                    <w:suppressLineNumbers w:val="0"/>
                    <w:spacing w:before="0" w:beforeAutospacing="0" w:after="0" w:afterAutospacing="0" w:line="360" w:lineRule="auto"/>
                    <w:ind w:left="0" w:right="0"/>
                    <w:jc w:val="center"/>
                    <w:rPr>
                      <w:rFonts w:hint="default" w:ascii="宋体" w:hAnsi="宋体"/>
                      <w:color w:val="auto"/>
                      <w:highlight w:val="none"/>
                    </w:rPr>
                  </w:pPr>
                  <w:r>
                    <w:rPr>
                      <w:rFonts w:hint="eastAsia" w:ascii="宋体" w:hAnsi="宋体"/>
                      <w:color w:val="auto"/>
                      <w:highlight w:val="none"/>
                    </w:rPr>
                    <w:t>支付比例</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1022E3E3">
                  <w:pPr>
                    <w:keepNext w:val="0"/>
                    <w:keepLines w:val="0"/>
                    <w:suppressLineNumbers w:val="0"/>
                    <w:spacing w:before="0" w:beforeAutospacing="0" w:after="0" w:afterAutospacing="0" w:line="360" w:lineRule="auto"/>
                    <w:ind w:left="0" w:right="0"/>
                    <w:jc w:val="center"/>
                    <w:rPr>
                      <w:rFonts w:hint="default" w:ascii="宋体" w:hAnsi="宋体"/>
                      <w:color w:val="auto"/>
                      <w:highlight w:val="none"/>
                    </w:rPr>
                  </w:pPr>
                  <w:r>
                    <w:rPr>
                      <w:rFonts w:hint="eastAsia" w:ascii="宋体" w:hAnsi="宋体"/>
                      <w:color w:val="auto"/>
                      <w:highlight w:val="none"/>
                    </w:rPr>
                    <w:t>申请金额（元）</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6B7F9D80">
                  <w:pPr>
                    <w:keepNext w:val="0"/>
                    <w:keepLines w:val="0"/>
                    <w:suppressLineNumbers w:val="0"/>
                    <w:spacing w:before="0" w:beforeAutospacing="0" w:after="0" w:afterAutospacing="0" w:line="360" w:lineRule="auto"/>
                    <w:ind w:left="0" w:right="0"/>
                    <w:jc w:val="center"/>
                    <w:rPr>
                      <w:rFonts w:hint="default"/>
                      <w:color w:val="auto"/>
                      <w:highlight w:val="none"/>
                    </w:rPr>
                  </w:pPr>
                  <w:r>
                    <w:rPr>
                      <w:rFonts w:hint="eastAsia" w:ascii="宋体" w:hAnsi="宋体"/>
                      <w:color w:val="auto"/>
                      <w:highlight w:val="none"/>
                    </w:rPr>
                    <w:t>复核金额（元）</w:t>
                  </w:r>
                </w:p>
              </w:tc>
            </w:tr>
            <w:tr w14:paraId="23832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7486E554">
                  <w:pPr>
                    <w:keepNext w:val="0"/>
                    <w:keepLines w:val="0"/>
                    <w:suppressLineNumbers w:val="0"/>
                    <w:spacing w:before="0" w:beforeAutospacing="0" w:after="0" w:afterAutospacing="0" w:line="360" w:lineRule="auto"/>
                    <w:ind w:left="0" w:right="0"/>
                    <w:jc w:val="center"/>
                    <w:rPr>
                      <w:rFonts w:hint="default"/>
                      <w:color w:val="auto"/>
                      <w:highlight w:val="none"/>
                    </w:rPr>
                  </w:pPr>
                  <w:r>
                    <w:rPr>
                      <w:rFonts w:hint="eastAsia"/>
                      <w:color w:val="auto"/>
                      <w:highlight w:val="none"/>
                    </w:rPr>
                    <w:t>1</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4B617511">
                  <w:pPr>
                    <w:keepNext w:val="0"/>
                    <w:keepLines w:val="0"/>
                    <w:suppressLineNumbers w:val="0"/>
                    <w:spacing w:before="0" w:beforeAutospacing="0" w:after="0" w:afterAutospacing="0" w:line="360" w:lineRule="auto"/>
                    <w:ind w:left="0" w:right="0"/>
                    <w:rPr>
                      <w:rFonts w:hint="default" w:ascii="宋体" w:hAnsi="宋体"/>
                      <w:color w:val="auto"/>
                      <w:highlight w:val="none"/>
                    </w:rPr>
                  </w:pPr>
                  <w:r>
                    <w:rPr>
                      <w:rFonts w:hint="eastAsia" w:ascii="宋体" w:hAnsi="宋体"/>
                      <w:color w:val="auto"/>
                      <w:highlight w:val="none"/>
                    </w:rPr>
                    <w:t>签约合同价款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19747981">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5A21F96F">
                  <w:pPr>
                    <w:keepNext w:val="0"/>
                    <w:keepLines w:val="0"/>
                    <w:suppressLineNumbers w:val="0"/>
                    <w:spacing w:before="0" w:beforeAutospacing="0" w:after="0" w:afterAutospacing="0" w:line="360" w:lineRule="auto"/>
                    <w:ind w:left="0" w:right="0"/>
                    <w:jc w:val="center"/>
                    <w:rPr>
                      <w:rFonts w:hint="default" w:eastAsia="宋体"/>
                      <w:color w:val="auto"/>
                      <w:highlight w:val="none"/>
                      <w:lang w:val="en-US" w:eastAsia="zh-CN"/>
                    </w:rPr>
                  </w:pPr>
                  <w:r>
                    <w:rPr>
                      <w:rFonts w:hint="eastAsia"/>
                      <w:color w:val="auto"/>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1235F2CC">
                  <w:pPr>
                    <w:keepNext w:val="0"/>
                    <w:keepLines w:val="0"/>
                    <w:suppressLineNumbers w:val="0"/>
                    <w:spacing w:before="0" w:beforeAutospacing="0" w:after="0" w:afterAutospacing="0" w:line="360" w:lineRule="auto"/>
                    <w:ind w:left="0" w:right="0"/>
                    <w:jc w:val="center"/>
                    <w:rPr>
                      <w:rFonts w:hint="default" w:eastAsia="宋体"/>
                      <w:color w:val="auto"/>
                      <w:highlight w:val="none"/>
                      <w:lang w:val="en-US" w:eastAsia="zh-CN"/>
                    </w:rPr>
                  </w:pPr>
                  <w:r>
                    <w:rPr>
                      <w:rFonts w:hint="eastAsia"/>
                      <w:color w:val="auto"/>
                      <w:highlight w:val="none"/>
                      <w:lang w:val="en-US" w:eastAsia="zh-CN"/>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66BA372F">
                  <w:pPr>
                    <w:keepNext w:val="0"/>
                    <w:keepLines w:val="0"/>
                    <w:suppressLineNumbers w:val="0"/>
                    <w:spacing w:before="0" w:beforeAutospacing="0" w:after="0" w:afterAutospacing="0" w:line="360" w:lineRule="auto"/>
                    <w:ind w:left="0" w:right="0"/>
                    <w:jc w:val="center"/>
                    <w:rPr>
                      <w:rFonts w:hint="eastAsia" w:eastAsia="宋体"/>
                      <w:color w:val="auto"/>
                      <w:highlight w:val="none"/>
                      <w:lang w:val="en-US" w:eastAsia="zh-CN"/>
                    </w:rPr>
                  </w:pPr>
                  <w:r>
                    <w:rPr>
                      <w:rFonts w:hint="eastAsia"/>
                      <w:color w:val="auto"/>
                      <w:highlight w:val="none"/>
                      <w:lang w:val="en-US" w:eastAsia="zh-CN"/>
                    </w:rPr>
                    <w:t>-</w:t>
                  </w:r>
                </w:p>
              </w:tc>
            </w:tr>
            <w:tr w14:paraId="08216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78687919">
                  <w:pPr>
                    <w:keepNext w:val="0"/>
                    <w:keepLines w:val="0"/>
                    <w:suppressLineNumbers w:val="0"/>
                    <w:spacing w:before="0" w:beforeAutospacing="0" w:after="0" w:afterAutospacing="0" w:line="360" w:lineRule="auto"/>
                    <w:ind w:left="0" w:right="0"/>
                    <w:jc w:val="center"/>
                    <w:rPr>
                      <w:rFonts w:hint="default"/>
                      <w:color w:val="auto"/>
                      <w:highlight w:val="none"/>
                    </w:rPr>
                  </w:pPr>
                  <w:r>
                    <w:rPr>
                      <w:rFonts w:hint="eastAsia"/>
                      <w:color w:val="auto"/>
                      <w:highlight w:val="none"/>
                    </w:rPr>
                    <w:t>1.1</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06D5F79F">
                  <w:pPr>
                    <w:keepNext w:val="0"/>
                    <w:keepLines w:val="0"/>
                    <w:suppressLineNumbers w:val="0"/>
                    <w:spacing w:before="0" w:beforeAutospacing="0" w:after="0" w:afterAutospacing="0" w:line="360" w:lineRule="auto"/>
                    <w:ind w:left="0" w:right="0"/>
                    <w:rPr>
                      <w:rFonts w:hint="default" w:ascii="宋体" w:hAnsi="宋体"/>
                      <w:color w:val="auto"/>
                      <w:highlight w:val="none"/>
                    </w:rPr>
                  </w:pPr>
                  <w:r>
                    <w:rPr>
                      <w:rFonts w:hint="eastAsia" w:ascii="宋体" w:hAnsi="宋体"/>
                      <w:color w:val="auto"/>
                      <w:highlight w:val="none"/>
                    </w:rPr>
                    <w:t>暂列金额</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7D0CEC08">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782C1540">
                  <w:pPr>
                    <w:keepNext w:val="0"/>
                    <w:keepLines w:val="0"/>
                    <w:suppressLineNumbers w:val="0"/>
                    <w:spacing w:before="0" w:beforeAutospacing="0" w:after="0" w:afterAutospacing="0" w:line="360" w:lineRule="auto"/>
                    <w:ind w:left="0" w:leftChars="0" w:right="0" w:rightChars="0"/>
                    <w:jc w:val="center"/>
                    <w:rPr>
                      <w:rFonts w:hint="default"/>
                      <w:color w:val="auto"/>
                      <w:highlight w:val="none"/>
                    </w:rPr>
                  </w:pPr>
                  <w:r>
                    <w:rPr>
                      <w:rFonts w:hint="eastAsia"/>
                      <w:color w:val="auto"/>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1A2ED011">
                  <w:pPr>
                    <w:keepNext w:val="0"/>
                    <w:keepLines w:val="0"/>
                    <w:suppressLineNumbers w:val="0"/>
                    <w:spacing w:before="0" w:beforeAutospacing="0" w:after="0" w:afterAutospacing="0" w:line="360" w:lineRule="auto"/>
                    <w:ind w:left="0" w:leftChars="0" w:right="0" w:rightChars="0"/>
                    <w:jc w:val="center"/>
                    <w:rPr>
                      <w:rFonts w:hint="default"/>
                      <w:color w:val="auto"/>
                      <w:highlight w:val="none"/>
                    </w:rPr>
                  </w:pPr>
                  <w:r>
                    <w:rPr>
                      <w:rFonts w:hint="eastAsia"/>
                      <w:color w:val="auto"/>
                      <w:highlight w:val="none"/>
                      <w:lang w:val="en-US" w:eastAsia="zh-CN"/>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01201AEA">
                  <w:pPr>
                    <w:keepNext w:val="0"/>
                    <w:keepLines w:val="0"/>
                    <w:suppressLineNumbers w:val="0"/>
                    <w:spacing w:before="0" w:beforeAutospacing="0" w:after="0" w:afterAutospacing="0" w:line="360" w:lineRule="auto"/>
                    <w:ind w:left="0" w:leftChars="0" w:right="0" w:rightChars="0"/>
                    <w:jc w:val="center"/>
                    <w:rPr>
                      <w:rFonts w:hint="default"/>
                      <w:color w:val="auto"/>
                      <w:highlight w:val="none"/>
                    </w:rPr>
                  </w:pPr>
                  <w:r>
                    <w:rPr>
                      <w:rFonts w:hint="eastAsia"/>
                      <w:color w:val="auto"/>
                      <w:highlight w:val="none"/>
                      <w:lang w:val="en-US" w:eastAsia="zh-CN"/>
                    </w:rPr>
                    <w:t>-</w:t>
                  </w:r>
                </w:p>
              </w:tc>
            </w:tr>
            <w:tr w14:paraId="53FE0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27CE7966">
                  <w:pPr>
                    <w:keepNext w:val="0"/>
                    <w:keepLines w:val="0"/>
                    <w:suppressLineNumbers w:val="0"/>
                    <w:spacing w:before="0" w:beforeAutospacing="0" w:after="0" w:afterAutospacing="0" w:line="360" w:lineRule="auto"/>
                    <w:ind w:left="0" w:right="0"/>
                    <w:jc w:val="center"/>
                    <w:rPr>
                      <w:rFonts w:hint="default"/>
                      <w:color w:val="auto"/>
                      <w:highlight w:val="none"/>
                    </w:rPr>
                  </w:pPr>
                  <w:r>
                    <w:rPr>
                      <w:rFonts w:hint="eastAsia"/>
                      <w:color w:val="auto"/>
                      <w:highlight w:val="none"/>
                    </w:rPr>
                    <w:t>1.</w:t>
                  </w:r>
                  <w:r>
                    <w:rPr>
                      <w:rFonts w:hint="eastAsia"/>
                      <w:color w:val="auto"/>
                      <w:highlight w:val="none"/>
                      <w:lang w:val="en-US" w:eastAsia="zh-CN"/>
                    </w:rPr>
                    <w:t>2</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3A41C9B0">
                  <w:pPr>
                    <w:keepNext w:val="0"/>
                    <w:keepLines w:val="0"/>
                    <w:suppressLineNumbers w:val="0"/>
                    <w:spacing w:before="0" w:beforeAutospacing="0" w:after="0" w:afterAutospacing="0" w:line="360" w:lineRule="auto"/>
                    <w:ind w:left="0" w:right="0"/>
                    <w:rPr>
                      <w:rFonts w:hint="default" w:ascii="宋体" w:hAnsi="宋体"/>
                      <w:color w:val="auto"/>
                      <w:highlight w:val="none"/>
                    </w:rPr>
                  </w:pPr>
                  <w:r>
                    <w:rPr>
                      <w:rFonts w:hint="eastAsia" w:ascii="宋体" w:hAnsi="宋体"/>
                      <w:color w:val="auto"/>
                      <w:highlight w:val="none"/>
                    </w:rPr>
                    <w:t>专业工程暂估价</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625033DC">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584E77EE">
                  <w:pPr>
                    <w:keepNext w:val="0"/>
                    <w:keepLines w:val="0"/>
                    <w:suppressLineNumbers w:val="0"/>
                    <w:spacing w:before="0" w:beforeAutospacing="0" w:after="0" w:afterAutospacing="0" w:line="360" w:lineRule="auto"/>
                    <w:ind w:left="0" w:leftChars="0" w:right="0" w:rightChars="0"/>
                    <w:jc w:val="center"/>
                    <w:rPr>
                      <w:rFonts w:hint="default"/>
                      <w:color w:val="auto"/>
                      <w:highlight w:val="none"/>
                    </w:rPr>
                  </w:pPr>
                  <w:r>
                    <w:rPr>
                      <w:rFonts w:hint="eastAsia"/>
                      <w:color w:val="auto"/>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0C1C8FB9">
                  <w:pPr>
                    <w:keepNext w:val="0"/>
                    <w:keepLines w:val="0"/>
                    <w:suppressLineNumbers w:val="0"/>
                    <w:spacing w:before="0" w:beforeAutospacing="0" w:after="0" w:afterAutospacing="0" w:line="360" w:lineRule="auto"/>
                    <w:ind w:left="0" w:leftChars="0" w:right="0" w:rightChars="0"/>
                    <w:jc w:val="center"/>
                    <w:rPr>
                      <w:rFonts w:hint="default"/>
                      <w:color w:val="auto"/>
                      <w:highlight w:val="none"/>
                    </w:rPr>
                  </w:pPr>
                  <w:r>
                    <w:rPr>
                      <w:rFonts w:hint="eastAsia"/>
                      <w:color w:val="auto"/>
                      <w:highlight w:val="none"/>
                      <w:lang w:val="en-US" w:eastAsia="zh-CN"/>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71E1E00B">
                  <w:pPr>
                    <w:keepNext w:val="0"/>
                    <w:keepLines w:val="0"/>
                    <w:suppressLineNumbers w:val="0"/>
                    <w:spacing w:before="0" w:beforeAutospacing="0" w:after="0" w:afterAutospacing="0" w:line="360" w:lineRule="auto"/>
                    <w:ind w:left="0" w:leftChars="0" w:right="0" w:rightChars="0"/>
                    <w:jc w:val="center"/>
                    <w:rPr>
                      <w:rFonts w:hint="default"/>
                      <w:color w:val="auto"/>
                      <w:highlight w:val="none"/>
                    </w:rPr>
                  </w:pPr>
                  <w:r>
                    <w:rPr>
                      <w:rFonts w:hint="eastAsia"/>
                      <w:color w:val="auto"/>
                      <w:highlight w:val="none"/>
                      <w:lang w:val="en-US" w:eastAsia="zh-CN"/>
                    </w:rPr>
                    <w:t>-</w:t>
                  </w:r>
                </w:p>
              </w:tc>
            </w:tr>
            <w:tr w14:paraId="4B62A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494F8BE4">
                  <w:pPr>
                    <w:keepNext w:val="0"/>
                    <w:keepLines w:val="0"/>
                    <w:suppressLineNumbers w:val="0"/>
                    <w:spacing w:before="0" w:beforeAutospacing="0" w:after="0" w:afterAutospacing="0" w:line="360" w:lineRule="auto"/>
                    <w:ind w:left="0" w:right="0"/>
                    <w:jc w:val="center"/>
                    <w:rPr>
                      <w:rFonts w:hint="default"/>
                      <w:color w:val="auto"/>
                      <w:highlight w:val="none"/>
                    </w:rPr>
                  </w:pPr>
                  <w:r>
                    <w:rPr>
                      <w:rFonts w:hint="eastAsia"/>
                      <w:color w:val="auto"/>
                      <w:highlight w:val="none"/>
                    </w:rPr>
                    <w:t>1.</w:t>
                  </w:r>
                  <w:r>
                    <w:rPr>
                      <w:rFonts w:hint="eastAsia"/>
                      <w:color w:val="auto"/>
                      <w:highlight w:val="none"/>
                      <w:lang w:val="en-US" w:eastAsia="zh-CN"/>
                    </w:rPr>
                    <w:t>3</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0F78C38B">
                  <w:pPr>
                    <w:keepNext w:val="0"/>
                    <w:keepLines w:val="0"/>
                    <w:suppressLineNumbers w:val="0"/>
                    <w:spacing w:before="0" w:beforeAutospacing="0" w:after="0" w:afterAutospacing="0" w:line="360" w:lineRule="auto"/>
                    <w:ind w:left="0" w:right="0"/>
                    <w:rPr>
                      <w:rFonts w:hint="default" w:ascii="宋体" w:hAnsi="宋体"/>
                      <w:color w:val="auto"/>
                      <w:highlight w:val="none"/>
                      <w:lang w:val="en"/>
                    </w:rPr>
                  </w:pPr>
                  <w:r>
                    <w:rPr>
                      <w:rFonts w:hint="default" w:ascii="宋体" w:hAnsi="宋体"/>
                      <w:color w:val="auto"/>
                      <w:highlight w:val="none"/>
                      <w:lang w:val="en"/>
                    </w:rPr>
                    <w:t>安全生产费</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0CC83877">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7F1CD469">
                  <w:pPr>
                    <w:keepNext w:val="0"/>
                    <w:keepLines w:val="0"/>
                    <w:suppressLineNumbers w:val="0"/>
                    <w:spacing w:before="0" w:beforeAutospacing="0" w:after="0" w:afterAutospacing="0" w:line="360" w:lineRule="auto"/>
                    <w:ind w:left="0" w:leftChars="0" w:right="0" w:rightChars="0"/>
                    <w:jc w:val="center"/>
                    <w:rPr>
                      <w:rFonts w:hint="default"/>
                      <w:color w:val="auto"/>
                      <w:highlight w:val="none"/>
                    </w:rPr>
                  </w:pPr>
                  <w:r>
                    <w:rPr>
                      <w:rFonts w:hint="eastAsia"/>
                      <w:color w:val="auto"/>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11E43B45">
                  <w:pPr>
                    <w:keepNext w:val="0"/>
                    <w:keepLines w:val="0"/>
                    <w:suppressLineNumbers w:val="0"/>
                    <w:spacing w:before="0" w:beforeAutospacing="0" w:after="0" w:afterAutospacing="0" w:line="360" w:lineRule="auto"/>
                    <w:ind w:left="0" w:leftChars="0" w:right="0" w:rightChars="0"/>
                    <w:jc w:val="center"/>
                    <w:rPr>
                      <w:rFonts w:hint="default"/>
                      <w:color w:val="auto"/>
                      <w:highlight w:val="none"/>
                    </w:rPr>
                  </w:pPr>
                  <w:r>
                    <w:rPr>
                      <w:rFonts w:hint="eastAsia"/>
                      <w:color w:val="auto"/>
                      <w:highlight w:val="none"/>
                      <w:lang w:val="en-US" w:eastAsia="zh-CN"/>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2D5AF099">
                  <w:pPr>
                    <w:keepNext w:val="0"/>
                    <w:keepLines w:val="0"/>
                    <w:suppressLineNumbers w:val="0"/>
                    <w:spacing w:before="0" w:beforeAutospacing="0" w:after="0" w:afterAutospacing="0" w:line="360" w:lineRule="auto"/>
                    <w:ind w:left="0" w:leftChars="0" w:right="0" w:rightChars="0"/>
                    <w:jc w:val="center"/>
                    <w:rPr>
                      <w:rFonts w:hint="default"/>
                      <w:color w:val="auto"/>
                      <w:highlight w:val="none"/>
                    </w:rPr>
                  </w:pPr>
                  <w:r>
                    <w:rPr>
                      <w:rFonts w:hint="eastAsia"/>
                      <w:color w:val="auto"/>
                      <w:highlight w:val="none"/>
                      <w:lang w:val="en-US" w:eastAsia="zh-CN"/>
                    </w:rPr>
                    <w:t>-</w:t>
                  </w:r>
                </w:p>
              </w:tc>
            </w:tr>
            <w:tr w14:paraId="3B288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17CD7EA9">
                  <w:pPr>
                    <w:keepNext w:val="0"/>
                    <w:keepLines w:val="0"/>
                    <w:suppressLineNumbers w:val="0"/>
                    <w:spacing w:before="0" w:beforeAutospacing="0" w:after="0" w:afterAutospacing="0" w:line="360" w:lineRule="auto"/>
                    <w:ind w:left="0" w:right="0"/>
                    <w:jc w:val="center"/>
                    <w:rPr>
                      <w:rFonts w:hint="eastAsia" w:eastAsia="宋体"/>
                      <w:color w:val="auto"/>
                      <w:highlight w:val="none"/>
                      <w:lang w:val="en-US" w:eastAsia="zh-CN"/>
                    </w:rPr>
                  </w:pPr>
                  <w:r>
                    <w:rPr>
                      <w:rFonts w:hint="eastAsia"/>
                      <w:color w:val="auto"/>
                      <w:highlight w:val="none"/>
                      <w:lang w:val="en-US" w:eastAsia="zh-CN"/>
                    </w:rPr>
                    <w:t>2</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167937CD">
                  <w:pPr>
                    <w:keepNext w:val="0"/>
                    <w:keepLines w:val="0"/>
                    <w:suppressLineNumbers w:val="0"/>
                    <w:spacing w:before="0" w:beforeAutospacing="0" w:after="0" w:afterAutospacing="0" w:line="360" w:lineRule="auto"/>
                    <w:ind w:left="0" w:right="0"/>
                    <w:rPr>
                      <w:rFonts w:hint="eastAsia" w:ascii="宋体" w:hAnsi="宋体" w:eastAsia="宋体"/>
                      <w:color w:val="auto"/>
                      <w:highlight w:val="none"/>
                      <w:lang w:eastAsia="zh-CN"/>
                    </w:rPr>
                  </w:pPr>
                  <w:r>
                    <w:rPr>
                      <w:rFonts w:hint="eastAsia" w:ascii="宋体" w:hAnsi="宋体"/>
                      <w:color w:val="auto"/>
                      <w:highlight w:val="none"/>
                      <w:lang w:eastAsia="zh-CN"/>
                    </w:rPr>
                    <w:t>应付预付款支付基数</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554DFC30">
                  <w:pPr>
                    <w:keepNext w:val="0"/>
                    <w:keepLines w:val="0"/>
                    <w:suppressLineNumbers w:val="0"/>
                    <w:spacing w:before="0" w:beforeAutospacing="0" w:after="0" w:afterAutospacing="0" w:line="360" w:lineRule="auto"/>
                    <w:ind w:left="0" w:right="0"/>
                    <w:jc w:val="center"/>
                    <w:rPr>
                      <w:rFonts w:hint="default" w:eastAsia="宋体"/>
                      <w:color w:val="auto"/>
                      <w:highlight w:val="none"/>
                      <w:lang w:val="en-US" w:eastAsia="zh-CN"/>
                    </w:rPr>
                  </w:pPr>
                  <w:r>
                    <w:rPr>
                      <w:rFonts w:hint="eastAsia"/>
                      <w:color w:val="auto"/>
                      <w:highlight w:val="none"/>
                      <w:lang w:val="en-US" w:eastAsia="zh-CN"/>
                    </w:rPr>
                    <w:t>1-(1.1+1.2+1.3)</w:t>
                  </w:r>
                </w:p>
              </w:tc>
              <w:tc>
                <w:tcPr>
                  <w:tcW w:w="1392" w:type="dxa"/>
                  <w:tcBorders>
                    <w:top w:val="single" w:color="auto" w:sz="4" w:space="0"/>
                    <w:left w:val="single" w:color="auto" w:sz="4" w:space="0"/>
                    <w:bottom w:val="single" w:color="auto" w:sz="4" w:space="0"/>
                    <w:right w:val="single" w:color="auto" w:sz="4" w:space="0"/>
                  </w:tcBorders>
                  <w:noWrap w:val="0"/>
                  <w:vAlign w:val="center"/>
                </w:tcPr>
                <w:p w14:paraId="51DC7A1E">
                  <w:pPr>
                    <w:keepNext w:val="0"/>
                    <w:keepLines w:val="0"/>
                    <w:suppressLineNumbers w:val="0"/>
                    <w:spacing w:before="0" w:beforeAutospacing="0" w:after="0" w:afterAutospacing="0" w:line="360" w:lineRule="auto"/>
                    <w:ind w:left="0" w:leftChars="0" w:right="0" w:rightChars="0"/>
                    <w:jc w:val="center"/>
                    <w:rPr>
                      <w:rFonts w:hint="default"/>
                      <w:color w:val="auto"/>
                      <w:highlight w:val="none"/>
                    </w:rPr>
                  </w:pPr>
                  <w:r>
                    <w:rPr>
                      <w:rFonts w:hint="eastAsia"/>
                      <w:color w:val="auto"/>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631601D5">
                  <w:pPr>
                    <w:keepNext w:val="0"/>
                    <w:keepLines w:val="0"/>
                    <w:suppressLineNumbers w:val="0"/>
                    <w:spacing w:before="0" w:beforeAutospacing="0" w:after="0" w:afterAutospacing="0" w:line="360" w:lineRule="auto"/>
                    <w:ind w:left="0" w:leftChars="0" w:right="0" w:rightChars="0"/>
                    <w:jc w:val="center"/>
                    <w:rPr>
                      <w:rFonts w:hint="default"/>
                      <w:color w:val="auto"/>
                      <w:highlight w:val="none"/>
                    </w:rPr>
                  </w:pPr>
                  <w:r>
                    <w:rPr>
                      <w:rFonts w:hint="eastAsia"/>
                      <w:color w:val="auto"/>
                      <w:highlight w:val="none"/>
                      <w:lang w:val="en-US" w:eastAsia="zh-CN"/>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781CF14D">
                  <w:pPr>
                    <w:keepNext w:val="0"/>
                    <w:keepLines w:val="0"/>
                    <w:suppressLineNumbers w:val="0"/>
                    <w:spacing w:before="0" w:beforeAutospacing="0" w:after="0" w:afterAutospacing="0" w:line="360" w:lineRule="auto"/>
                    <w:ind w:left="0" w:leftChars="0" w:right="0" w:rightChars="0"/>
                    <w:jc w:val="center"/>
                    <w:rPr>
                      <w:rFonts w:hint="default"/>
                      <w:color w:val="auto"/>
                      <w:highlight w:val="none"/>
                    </w:rPr>
                  </w:pPr>
                  <w:r>
                    <w:rPr>
                      <w:rFonts w:hint="eastAsia"/>
                      <w:color w:val="auto"/>
                      <w:highlight w:val="none"/>
                      <w:lang w:val="en-US" w:eastAsia="zh-CN"/>
                    </w:rPr>
                    <w:t>-</w:t>
                  </w:r>
                </w:p>
              </w:tc>
            </w:tr>
            <w:tr w14:paraId="49C1C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6803DBE4">
                  <w:pPr>
                    <w:keepNext w:val="0"/>
                    <w:keepLines w:val="0"/>
                    <w:suppressLineNumbers w:val="0"/>
                    <w:spacing w:before="0" w:beforeAutospacing="0" w:after="0" w:afterAutospacing="0" w:line="360" w:lineRule="auto"/>
                    <w:ind w:left="0" w:right="0"/>
                    <w:jc w:val="center"/>
                    <w:rPr>
                      <w:rFonts w:hint="default" w:eastAsia="宋体"/>
                      <w:color w:val="auto"/>
                      <w:highlight w:val="none"/>
                      <w:lang w:val="en-US" w:eastAsia="zh-CN"/>
                    </w:rPr>
                  </w:pPr>
                  <w:r>
                    <w:rPr>
                      <w:rFonts w:hint="eastAsia"/>
                      <w:color w:val="auto"/>
                      <w:highlight w:val="none"/>
                      <w:lang w:val="en-US" w:eastAsia="zh-CN"/>
                    </w:rPr>
                    <w:t>2.1</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6C14D7CA">
                  <w:pPr>
                    <w:keepNext w:val="0"/>
                    <w:keepLines w:val="0"/>
                    <w:suppressLineNumbers w:val="0"/>
                    <w:spacing w:before="0" w:beforeAutospacing="0" w:after="0" w:afterAutospacing="0" w:line="360" w:lineRule="auto"/>
                    <w:ind w:left="0" w:right="0"/>
                    <w:rPr>
                      <w:rFonts w:hint="eastAsia" w:ascii="宋体" w:hAnsi="宋体" w:eastAsia="宋体"/>
                      <w:color w:val="auto"/>
                      <w:highlight w:val="none"/>
                      <w:lang w:eastAsia="zh-CN"/>
                    </w:rPr>
                  </w:pPr>
                  <w:r>
                    <w:rPr>
                      <w:rFonts w:hint="eastAsia" w:ascii="宋体" w:hAnsi="宋体"/>
                      <w:color w:val="auto"/>
                      <w:highlight w:val="none"/>
                      <w:lang w:eastAsia="zh-CN"/>
                    </w:rPr>
                    <w:t>第一年应付预付款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1C736594">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67F801B9">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34F106AD">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205E9B74">
                  <w:pPr>
                    <w:keepNext w:val="0"/>
                    <w:keepLines w:val="0"/>
                    <w:suppressLineNumbers w:val="0"/>
                    <w:spacing w:before="0" w:beforeAutospacing="0" w:after="0" w:afterAutospacing="0" w:line="360" w:lineRule="auto"/>
                    <w:ind w:left="0" w:right="0"/>
                    <w:jc w:val="center"/>
                    <w:rPr>
                      <w:rFonts w:hint="default"/>
                      <w:color w:val="auto"/>
                      <w:highlight w:val="none"/>
                    </w:rPr>
                  </w:pPr>
                </w:p>
              </w:tc>
            </w:tr>
            <w:tr w14:paraId="37C7B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286D5E7E">
                  <w:pPr>
                    <w:keepNext w:val="0"/>
                    <w:keepLines w:val="0"/>
                    <w:suppressLineNumbers w:val="0"/>
                    <w:spacing w:before="0" w:beforeAutospacing="0" w:after="0" w:afterAutospacing="0" w:line="360" w:lineRule="auto"/>
                    <w:ind w:left="0" w:right="0"/>
                    <w:jc w:val="center"/>
                    <w:rPr>
                      <w:rFonts w:hint="default" w:eastAsia="宋体"/>
                      <w:color w:val="auto"/>
                      <w:highlight w:val="none"/>
                      <w:lang w:val="en-US" w:eastAsia="zh-CN"/>
                    </w:rPr>
                  </w:pPr>
                  <w:r>
                    <w:rPr>
                      <w:rFonts w:hint="eastAsia"/>
                      <w:color w:val="auto"/>
                      <w:highlight w:val="none"/>
                      <w:lang w:val="en-US" w:eastAsia="zh-CN"/>
                    </w:rPr>
                    <w:t>2.2</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47CE149C">
                  <w:pPr>
                    <w:keepNext w:val="0"/>
                    <w:keepLines w:val="0"/>
                    <w:suppressLineNumbers w:val="0"/>
                    <w:spacing w:before="0" w:beforeAutospacing="0" w:after="0" w:afterAutospacing="0" w:line="360" w:lineRule="auto"/>
                    <w:ind w:left="0" w:right="0"/>
                    <w:rPr>
                      <w:rFonts w:hint="eastAsia" w:ascii="宋体" w:hAnsi="宋体" w:eastAsia="宋体"/>
                      <w:color w:val="auto"/>
                      <w:highlight w:val="none"/>
                      <w:lang w:eastAsia="zh-CN"/>
                    </w:rPr>
                  </w:pPr>
                  <w:r>
                    <w:rPr>
                      <w:rFonts w:hint="eastAsia" w:ascii="宋体" w:hAnsi="宋体"/>
                      <w:color w:val="auto"/>
                      <w:highlight w:val="none"/>
                      <w:lang w:eastAsia="zh-CN"/>
                    </w:rPr>
                    <w:t>第二年应付预付款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69CAD3EE">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504EE33D">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43371141">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3DE4BC61">
                  <w:pPr>
                    <w:keepNext w:val="0"/>
                    <w:keepLines w:val="0"/>
                    <w:suppressLineNumbers w:val="0"/>
                    <w:spacing w:before="0" w:beforeAutospacing="0" w:after="0" w:afterAutospacing="0" w:line="360" w:lineRule="auto"/>
                    <w:ind w:left="0" w:right="0"/>
                    <w:jc w:val="center"/>
                    <w:rPr>
                      <w:rFonts w:hint="default"/>
                      <w:color w:val="auto"/>
                      <w:highlight w:val="none"/>
                    </w:rPr>
                  </w:pPr>
                </w:p>
              </w:tc>
            </w:tr>
            <w:tr w14:paraId="45B7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1AA57A61">
                  <w:pPr>
                    <w:keepNext w:val="0"/>
                    <w:keepLines w:val="0"/>
                    <w:suppressLineNumbers w:val="0"/>
                    <w:spacing w:before="0" w:beforeAutospacing="0" w:after="0" w:afterAutospacing="0" w:line="360" w:lineRule="auto"/>
                    <w:ind w:left="0" w:right="0"/>
                    <w:jc w:val="center"/>
                    <w:rPr>
                      <w:rFonts w:hint="eastAsia" w:ascii="宋体" w:hAnsi="宋体" w:eastAsia="宋体"/>
                      <w:color w:val="auto"/>
                      <w:highlight w:val="none"/>
                      <w:lang w:eastAsia="zh-CN"/>
                    </w:rPr>
                  </w:pPr>
                  <w:r>
                    <w:rPr>
                      <w:rFonts w:hint="eastAsia"/>
                      <w:color w:val="auto"/>
                      <w:highlight w:val="none"/>
                      <w:lang w:val="en-US" w:eastAsia="zh-CN"/>
                    </w:rPr>
                    <w:t>……</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74A91823">
                  <w:pPr>
                    <w:keepNext w:val="0"/>
                    <w:keepLines w:val="0"/>
                    <w:suppressLineNumbers w:val="0"/>
                    <w:spacing w:before="0" w:beforeAutospacing="0" w:after="0" w:afterAutospacing="0" w:line="360" w:lineRule="auto"/>
                    <w:ind w:left="0" w:right="0"/>
                    <w:rPr>
                      <w:rFonts w:hint="default" w:ascii="宋体" w:hAnsi="宋体"/>
                      <w:color w:val="auto"/>
                      <w:highlight w:val="none"/>
                    </w:rPr>
                  </w:pPr>
                  <w:r>
                    <w:rPr>
                      <w:rFonts w:hint="eastAsia" w:ascii="宋体" w:hAnsi="宋体"/>
                      <w:color w:val="auto"/>
                      <w:highlight w:val="none"/>
                      <w:lang w:eastAsia="zh-CN"/>
                    </w:rPr>
                    <w:t>第……年应付预付款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3202E991">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57FFB74A">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5B067F9E">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1F294FD4">
                  <w:pPr>
                    <w:keepNext w:val="0"/>
                    <w:keepLines w:val="0"/>
                    <w:suppressLineNumbers w:val="0"/>
                    <w:spacing w:before="0" w:beforeAutospacing="0" w:after="0" w:afterAutospacing="0" w:line="360" w:lineRule="auto"/>
                    <w:ind w:left="0" w:right="0"/>
                    <w:jc w:val="center"/>
                    <w:rPr>
                      <w:rFonts w:hint="default"/>
                      <w:color w:val="auto"/>
                      <w:highlight w:val="none"/>
                    </w:rPr>
                  </w:pPr>
                </w:p>
              </w:tc>
            </w:tr>
            <w:tr w14:paraId="717CB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305E21DA">
                  <w:pPr>
                    <w:keepNext w:val="0"/>
                    <w:keepLines w:val="0"/>
                    <w:suppressLineNumbers w:val="0"/>
                    <w:spacing w:before="0" w:beforeAutospacing="0" w:after="0" w:afterAutospacing="0" w:line="360" w:lineRule="auto"/>
                    <w:ind w:left="0" w:leftChars="0" w:right="0" w:rightChars="0"/>
                    <w:jc w:val="center"/>
                    <w:rPr>
                      <w:rFonts w:hint="eastAsia" w:ascii="Calibri" w:hAnsi="Calibri" w:eastAsia="宋体"/>
                      <w:color w:val="auto"/>
                      <w:highlight w:val="none"/>
                      <w:lang w:val="en-US" w:eastAsia="zh-CN"/>
                    </w:rPr>
                  </w:pPr>
                  <w:r>
                    <w:rPr>
                      <w:rFonts w:hint="eastAsia"/>
                      <w:color w:val="auto"/>
                      <w:highlight w:val="none"/>
                      <w:lang w:val="en-US" w:eastAsia="zh-CN"/>
                    </w:rPr>
                    <w:t>3</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5ECDC70D">
                  <w:pPr>
                    <w:keepNext w:val="0"/>
                    <w:keepLines w:val="0"/>
                    <w:suppressLineNumbers w:val="0"/>
                    <w:spacing w:before="0" w:beforeAutospacing="0" w:after="0" w:afterAutospacing="0" w:line="360" w:lineRule="auto"/>
                    <w:ind w:left="0" w:leftChars="0" w:right="0" w:rightChars="0"/>
                    <w:rPr>
                      <w:rFonts w:hint="default" w:ascii="Calibri" w:hAnsi="Calibri"/>
                      <w:color w:val="auto"/>
                      <w:highlight w:val="none"/>
                    </w:rPr>
                  </w:pPr>
                  <w:r>
                    <w:rPr>
                      <w:rFonts w:hint="eastAsia" w:ascii="宋体" w:hAnsi="宋体"/>
                      <w:color w:val="auto"/>
                      <w:highlight w:val="none"/>
                    </w:rPr>
                    <w:t>累计</w:t>
                  </w:r>
                  <w:r>
                    <w:rPr>
                      <w:rFonts w:hint="eastAsia" w:ascii="宋体" w:hAnsi="宋体"/>
                      <w:color w:val="auto"/>
                      <w:highlight w:val="none"/>
                      <w:lang w:eastAsia="zh-CN"/>
                    </w:rPr>
                    <w:t>应</w:t>
                  </w:r>
                  <w:r>
                    <w:rPr>
                      <w:rFonts w:hint="eastAsia" w:ascii="宋体" w:hAnsi="宋体"/>
                      <w:color w:val="auto"/>
                      <w:highlight w:val="none"/>
                    </w:rPr>
                    <w:t>支付的预付款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703689E0">
                  <w:pPr>
                    <w:keepNext w:val="0"/>
                    <w:keepLines w:val="0"/>
                    <w:suppressLineNumbers w:val="0"/>
                    <w:spacing w:before="0" w:beforeAutospacing="0" w:after="0" w:afterAutospacing="0" w:line="360" w:lineRule="auto"/>
                    <w:ind w:left="0" w:leftChars="0" w:right="0" w:rightChars="0"/>
                    <w:jc w:val="center"/>
                    <w:rPr>
                      <w:rFonts w:hint="default" w:ascii="Calibri" w:hAnsi="Calibri"/>
                      <w:color w:val="auto"/>
                      <w:highlight w:val="none"/>
                    </w:rPr>
                  </w:pPr>
                  <w:r>
                    <w:rPr>
                      <w:rFonts w:hint="eastAsia"/>
                      <w:color w:val="auto"/>
                      <w:highlight w:val="none"/>
                      <w:lang w:val="en-US" w:eastAsia="zh-CN"/>
                    </w:rPr>
                    <w:t>-</w:t>
                  </w:r>
                </w:p>
              </w:tc>
              <w:tc>
                <w:tcPr>
                  <w:tcW w:w="1392" w:type="dxa"/>
                  <w:tcBorders>
                    <w:top w:val="single" w:color="auto" w:sz="4" w:space="0"/>
                    <w:left w:val="single" w:color="auto" w:sz="4" w:space="0"/>
                    <w:bottom w:val="single" w:color="auto" w:sz="4" w:space="0"/>
                    <w:right w:val="single" w:color="auto" w:sz="4" w:space="0"/>
                  </w:tcBorders>
                  <w:noWrap w:val="0"/>
                  <w:vAlign w:val="center"/>
                </w:tcPr>
                <w:p w14:paraId="307E78CF">
                  <w:pPr>
                    <w:keepNext w:val="0"/>
                    <w:keepLines w:val="0"/>
                    <w:suppressLineNumbers w:val="0"/>
                    <w:spacing w:before="0" w:beforeAutospacing="0" w:after="0" w:afterAutospacing="0" w:line="360" w:lineRule="auto"/>
                    <w:ind w:left="0" w:leftChars="0" w:right="0" w:rightChars="0"/>
                    <w:jc w:val="center"/>
                    <w:rPr>
                      <w:rFonts w:hint="default" w:ascii="Calibri" w:hAnsi="Calibri"/>
                      <w:color w:val="auto"/>
                      <w:highlight w:val="none"/>
                    </w:rPr>
                  </w:pPr>
                  <w:r>
                    <w:rPr>
                      <w:rFonts w:hint="eastAsia"/>
                      <w:color w:val="auto"/>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78EC2A5C">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3E895768">
                  <w:pPr>
                    <w:keepNext w:val="0"/>
                    <w:keepLines w:val="0"/>
                    <w:suppressLineNumbers w:val="0"/>
                    <w:spacing w:before="0" w:beforeAutospacing="0" w:after="0" w:afterAutospacing="0" w:line="360" w:lineRule="auto"/>
                    <w:ind w:left="0" w:right="0"/>
                    <w:jc w:val="center"/>
                    <w:rPr>
                      <w:rFonts w:hint="default"/>
                      <w:color w:val="auto"/>
                      <w:highlight w:val="none"/>
                    </w:rPr>
                  </w:pPr>
                </w:p>
              </w:tc>
            </w:tr>
            <w:tr w14:paraId="54E9D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7EA01E86">
                  <w:pPr>
                    <w:keepNext w:val="0"/>
                    <w:keepLines w:val="0"/>
                    <w:suppressLineNumbers w:val="0"/>
                    <w:spacing w:before="0" w:beforeAutospacing="0" w:after="0" w:afterAutospacing="0" w:line="360" w:lineRule="auto"/>
                    <w:ind w:left="0" w:leftChars="0" w:right="0" w:rightChars="0"/>
                    <w:jc w:val="center"/>
                    <w:rPr>
                      <w:rFonts w:hint="default" w:ascii="Calibri" w:hAnsi="Calibri"/>
                      <w:color w:val="auto"/>
                      <w:highlight w:val="none"/>
                    </w:rPr>
                  </w:pPr>
                  <w:r>
                    <w:rPr>
                      <w:rFonts w:hint="eastAsia" w:ascii="Calibri" w:hAnsi="Calibri"/>
                      <w:color w:val="auto"/>
                      <w:highlight w:val="none"/>
                      <w:lang w:val="en-US" w:eastAsia="zh-CN"/>
                    </w:rPr>
                    <w:t>4</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7069373B">
                  <w:pPr>
                    <w:keepNext w:val="0"/>
                    <w:keepLines w:val="0"/>
                    <w:suppressLineNumbers w:val="0"/>
                    <w:spacing w:before="0" w:beforeAutospacing="0" w:after="0" w:afterAutospacing="0" w:line="360" w:lineRule="auto"/>
                    <w:ind w:left="0" w:leftChars="0" w:right="0" w:rightChars="0"/>
                    <w:rPr>
                      <w:rFonts w:hint="default" w:ascii="Calibri" w:hAnsi="Calibri"/>
                      <w:color w:val="auto"/>
                      <w:highlight w:val="none"/>
                    </w:rPr>
                  </w:pPr>
                  <w:r>
                    <w:rPr>
                      <w:rFonts w:hint="eastAsia" w:ascii="宋体" w:hAnsi="宋体"/>
                      <w:color w:val="auto"/>
                      <w:highlight w:val="none"/>
                    </w:rPr>
                    <w:t>累计</w:t>
                  </w:r>
                  <w:r>
                    <w:rPr>
                      <w:rFonts w:hint="eastAsia" w:ascii="宋体" w:hAnsi="宋体"/>
                      <w:color w:val="auto"/>
                      <w:highlight w:val="none"/>
                      <w:lang w:eastAsia="zh-CN"/>
                    </w:rPr>
                    <w:t>已</w:t>
                  </w:r>
                  <w:r>
                    <w:rPr>
                      <w:rFonts w:hint="eastAsia" w:ascii="宋体" w:hAnsi="宋体"/>
                      <w:color w:val="auto"/>
                      <w:highlight w:val="none"/>
                    </w:rPr>
                    <w:t>支付的预付款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115CD236">
                  <w:pPr>
                    <w:keepNext w:val="0"/>
                    <w:keepLines w:val="0"/>
                    <w:suppressLineNumbers w:val="0"/>
                    <w:spacing w:before="0" w:beforeAutospacing="0" w:after="0" w:afterAutospacing="0" w:line="360" w:lineRule="auto"/>
                    <w:ind w:left="0" w:leftChars="0" w:right="0" w:rightChars="0"/>
                    <w:jc w:val="center"/>
                    <w:rPr>
                      <w:rFonts w:hint="default" w:ascii="Calibri" w:hAnsi="Calibri"/>
                      <w:color w:val="auto"/>
                      <w:highlight w:val="none"/>
                    </w:rPr>
                  </w:pPr>
                  <w:r>
                    <w:rPr>
                      <w:rFonts w:hint="eastAsia"/>
                      <w:color w:val="auto"/>
                      <w:highlight w:val="none"/>
                      <w:lang w:val="en-US" w:eastAsia="zh-CN"/>
                    </w:rPr>
                    <w:t>-</w:t>
                  </w:r>
                </w:p>
              </w:tc>
              <w:tc>
                <w:tcPr>
                  <w:tcW w:w="1392" w:type="dxa"/>
                  <w:tcBorders>
                    <w:top w:val="single" w:color="auto" w:sz="4" w:space="0"/>
                    <w:left w:val="single" w:color="auto" w:sz="4" w:space="0"/>
                    <w:bottom w:val="single" w:color="auto" w:sz="4" w:space="0"/>
                    <w:right w:val="single" w:color="auto" w:sz="4" w:space="0"/>
                  </w:tcBorders>
                  <w:noWrap w:val="0"/>
                  <w:vAlign w:val="center"/>
                </w:tcPr>
                <w:p w14:paraId="7A70967C">
                  <w:pPr>
                    <w:keepNext w:val="0"/>
                    <w:keepLines w:val="0"/>
                    <w:suppressLineNumbers w:val="0"/>
                    <w:spacing w:before="0" w:beforeAutospacing="0" w:after="0" w:afterAutospacing="0" w:line="360" w:lineRule="auto"/>
                    <w:ind w:left="0" w:leftChars="0" w:right="0" w:rightChars="0"/>
                    <w:jc w:val="center"/>
                    <w:rPr>
                      <w:rFonts w:hint="default" w:ascii="Calibri" w:hAnsi="Calibri"/>
                      <w:color w:val="auto"/>
                      <w:highlight w:val="none"/>
                    </w:rPr>
                  </w:pPr>
                  <w:r>
                    <w:rPr>
                      <w:rFonts w:hint="eastAsia"/>
                      <w:color w:val="auto"/>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2E0A2CAA">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3345F726">
                  <w:pPr>
                    <w:keepNext w:val="0"/>
                    <w:keepLines w:val="0"/>
                    <w:suppressLineNumbers w:val="0"/>
                    <w:spacing w:before="0" w:beforeAutospacing="0" w:after="0" w:afterAutospacing="0" w:line="360" w:lineRule="auto"/>
                    <w:ind w:left="0" w:right="0"/>
                    <w:jc w:val="center"/>
                    <w:rPr>
                      <w:rFonts w:hint="default"/>
                      <w:color w:val="auto"/>
                      <w:highlight w:val="none"/>
                    </w:rPr>
                  </w:pPr>
                </w:p>
              </w:tc>
            </w:tr>
            <w:tr w14:paraId="66AE6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2B8CA973">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2322" w:type="dxa"/>
                  <w:tcBorders>
                    <w:top w:val="single" w:color="auto" w:sz="4" w:space="0"/>
                    <w:left w:val="single" w:color="auto" w:sz="4" w:space="0"/>
                    <w:bottom w:val="single" w:color="auto" w:sz="4" w:space="0"/>
                    <w:right w:val="single" w:color="auto" w:sz="4" w:space="0"/>
                  </w:tcBorders>
                  <w:noWrap w:val="0"/>
                  <w:vAlign w:val="top"/>
                </w:tcPr>
                <w:p w14:paraId="3D786ECE">
                  <w:pPr>
                    <w:keepNext w:val="0"/>
                    <w:keepLines w:val="0"/>
                    <w:suppressLineNumbers w:val="0"/>
                    <w:spacing w:before="0" w:beforeAutospacing="0" w:after="0" w:afterAutospacing="0" w:line="360" w:lineRule="auto"/>
                    <w:ind w:left="0" w:right="0"/>
                    <w:rPr>
                      <w:rFonts w:hint="default"/>
                      <w:color w:val="auto"/>
                      <w:highlight w:val="none"/>
                    </w:rPr>
                  </w:pPr>
                </w:p>
              </w:tc>
              <w:tc>
                <w:tcPr>
                  <w:tcW w:w="1412" w:type="dxa"/>
                  <w:tcBorders>
                    <w:top w:val="single" w:color="auto" w:sz="4" w:space="0"/>
                    <w:left w:val="single" w:color="auto" w:sz="4" w:space="0"/>
                    <w:bottom w:val="single" w:color="auto" w:sz="4" w:space="0"/>
                    <w:right w:val="single" w:color="auto" w:sz="4" w:space="0"/>
                  </w:tcBorders>
                  <w:noWrap w:val="0"/>
                  <w:vAlign w:val="center"/>
                </w:tcPr>
                <w:p w14:paraId="3832F0BB">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2BF0BADD">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0EA7CA8C">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77F8292A">
                  <w:pPr>
                    <w:keepNext w:val="0"/>
                    <w:keepLines w:val="0"/>
                    <w:suppressLineNumbers w:val="0"/>
                    <w:spacing w:before="0" w:beforeAutospacing="0" w:after="0" w:afterAutospacing="0" w:line="360" w:lineRule="auto"/>
                    <w:ind w:left="0" w:right="0"/>
                    <w:jc w:val="center"/>
                    <w:rPr>
                      <w:rFonts w:hint="default"/>
                      <w:color w:val="auto"/>
                      <w:highlight w:val="none"/>
                    </w:rPr>
                  </w:pPr>
                </w:p>
              </w:tc>
            </w:tr>
            <w:tr w14:paraId="22903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7DB2229B">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2322" w:type="dxa"/>
                  <w:tcBorders>
                    <w:top w:val="single" w:color="auto" w:sz="4" w:space="0"/>
                    <w:left w:val="single" w:color="auto" w:sz="4" w:space="0"/>
                    <w:bottom w:val="single" w:color="auto" w:sz="4" w:space="0"/>
                    <w:right w:val="single" w:color="auto" w:sz="4" w:space="0"/>
                  </w:tcBorders>
                  <w:noWrap w:val="0"/>
                  <w:vAlign w:val="top"/>
                </w:tcPr>
                <w:p w14:paraId="41701142">
                  <w:pPr>
                    <w:keepNext w:val="0"/>
                    <w:keepLines w:val="0"/>
                    <w:suppressLineNumbers w:val="0"/>
                    <w:spacing w:before="0" w:beforeAutospacing="0" w:after="0" w:afterAutospacing="0" w:line="360" w:lineRule="auto"/>
                    <w:ind w:left="0" w:right="0"/>
                    <w:rPr>
                      <w:rFonts w:hint="default"/>
                      <w:color w:val="auto"/>
                      <w:highlight w:val="none"/>
                    </w:rPr>
                  </w:pPr>
                </w:p>
              </w:tc>
              <w:tc>
                <w:tcPr>
                  <w:tcW w:w="1412" w:type="dxa"/>
                  <w:tcBorders>
                    <w:top w:val="single" w:color="auto" w:sz="4" w:space="0"/>
                    <w:left w:val="single" w:color="auto" w:sz="4" w:space="0"/>
                    <w:bottom w:val="single" w:color="auto" w:sz="4" w:space="0"/>
                    <w:right w:val="single" w:color="auto" w:sz="4" w:space="0"/>
                  </w:tcBorders>
                  <w:noWrap w:val="0"/>
                  <w:vAlign w:val="center"/>
                </w:tcPr>
                <w:p w14:paraId="56C07C11">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7986D0E9">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27F77676">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6AF66F60">
                  <w:pPr>
                    <w:keepNext w:val="0"/>
                    <w:keepLines w:val="0"/>
                    <w:suppressLineNumbers w:val="0"/>
                    <w:spacing w:before="0" w:beforeAutospacing="0" w:after="0" w:afterAutospacing="0" w:line="360" w:lineRule="auto"/>
                    <w:ind w:left="0" w:right="0"/>
                    <w:jc w:val="center"/>
                    <w:rPr>
                      <w:rFonts w:hint="default"/>
                      <w:color w:val="auto"/>
                      <w:highlight w:val="none"/>
                    </w:rPr>
                  </w:pPr>
                </w:p>
              </w:tc>
            </w:tr>
          </w:tbl>
          <w:p w14:paraId="583FD7AC">
            <w:pPr>
              <w:keepNext w:val="0"/>
              <w:keepLines w:val="0"/>
              <w:suppressLineNumbers w:val="0"/>
              <w:wordWrap w:val="0"/>
              <w:spacing w:before="0" w:beforeAutospacing="0" w:after="0" w:afterAutospacing="0" w:line="360" w:lineRule="auto"/>
              <w:ind w:left="0" w:right="420"/>
              <w:rPr>
                <w:rFonts w:hint="default" w:ascii="宋体" w:hAnsi="宋体"/>
                <w:color w:val="auto"/>
                <w:highlight w:val="none"/>
              </w:rPr>
            </w:pPr>
            <w:r>
              <w:rPr>
                <w:rFonts w:hint="default"/>
                <w:color w:val="auto"/>
                <w:highlight w:val="none"/>
              </w:rPr>
              <w:t xml:space="preserve">          </w:t>
            </w:r>
          </w:p>
          <w:p w14:paraId="7E5653BF">
            <w:pPr>
              <w:keepNext w:val="0"/>
              <w:keepLines w:val="0"/>
              <w:suppressLineNumbers w:val="0"/>
              <w:wordWrap w:val="0"/>
              <w:spacing w:before="0" w:beforeAutospacing="0" w:after="0" w:afterAutospacing="0" w:line="360" w:lineRule="auto"/>
              <w:ind w:left="0" w:right="420"/>
              <w:rPr>
                <w:rFonts w:hint="default"/>
                <w:color w:val="auto"/>
                <w:highlight w:val="none"/>
              </w:rPr>
            </w:pPr>
            <w:r>
              <w:rPr>
                <w:rFonts w:hint="default"/>
                <w:color w:val="auto"/>
                <w:highlight w:val="none"/>
              </w:rPr>
              <w:t xml:space="preserve">                                  </w:t>
            </w:r>
            <w:r>
              <w:rPr>
                <w:rFonts w:hint="eastAsia"/>
                <w:color w:val="auto"/>
                <w:highlight w:val="none"/>
              </w:rPr>
              <w:t xml:space="preserve">                  </w:t>
            </w:r>
            <w:r>
              <w:rPr>
                <w:rFonts w:hint="eastAsia" w:ascii="宋体" w:hAnsi="宋体"/>
                <w:color w:val="auto"/>
                <w:highlight w:val="none"/>
              </w:rPr>
              <w:t xml:space="preserve">承包人（章） </w:t>
            </w:r>
            <w:r>
              <w:rPr>
                <w:rFonts w:hint="default"/>
                <w:color w:val="auto"/>
                <w:highlight w:val="none"/>
              </w:rPr>
              <w:t xml:space="preserve">            </w:t>
            </w:r>
          </w:p>
          <w:p w14:paraId="74E46D65">
            <w:pPr>
              <w:keepNext w:val="0"/>
              <w:keepLines w:val="0"/>
              <w:suppressLineNumbers w:val="0"/>
              <w:spacing w:before="0" w:beforeAutospacing="0" w:after="0" w:afterAutospacing="0" w:line="360" w:lineRule="auto"/>
              <w:ind w:left="0" w:right="420" w:firstLine="435"/>
              <w:rPr>
                <w:rFonts w:hint="default"/>
                <w:color w:val="auto"/>
                <w:highlight w:val="none"/>
              </w:rPr>
            </w:pPr>
            <w:r>
              <w:rPr>
                <w:rFonts w:hint="eastAsia" w:ascii="宋体" w:hAnsi="宋体"/>
                <w:color w:val="auto"/>
                <w:highlight w:val="none"/>
              </w:rPr>
              <w:t>造价人员</w:t>
            </w:r>
            <w:r>
              <w:rPr>
                <w:rFonts w:hint="default"/>
                <w:color w:val="auto"/>
                <w:highlight w:val="none"/>
                <w:u w:val="single"/>
              </w:rPr>
              <w:t xml:space="preserve">               </w:t>
            </w:r>
            <w:r>
              <w:rPr>
                <w:rFonts w:hint="eastAsia" w:ascii="宋体" w:hAnsi="宋体"/>
                <w:color w:val="auto"/>
                <w:highlight w:val="none"/>
              </w:rPr>
              <w:t>承包人代表</w:t>
            </w:r>
            <w:r>
              <w:rPr>
                <w:rFonts w:hint="default"/>
                <w:color w:val="auto"/>
                <w:highlight w:val="none"/>
                <w:u w:val="singl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r w14:paraId="16F83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9" w:hRule="atLeast"/>
          <w:jc w:val="center"/>
        </w:trPr>
        <w:tc>
          <w:tcPr>
            <w:tcW w:w="4529" w:type="dxa"/>
            <w:tcBorders>
              <w:top w:val="single" w:color="auto" w:sz="4" w:space="0"/>
              <w:left w:val="single" w:color="auto" w:sz="4" w:space="0"/>
              <w:bottom w:val="single" w:color="auto" w:sz="4" w:space="0"/>
              <w:right w:val="single" w:color="auto" w:sz="4" w:space="0"/>
            </w:tcBorders>
            <w:noWrap w:val="0"/>
            <w:vAlign w:val="top"/>
          </w:tcPr>
          <w:p w14:paraId="04C7ABF4">
            <w:pPr>
              <w:keepNext w:val="0"/>
              <w:keepLines w:val="0"/>
              <w:suppressLineNumbers w:val="0"/>
              <w:spacing w:before="0" w:beforeAutospacing="0" w:after="0" w:afterAutospacing="0" w:line="360" w:lineRule="auto"/>
              <w:ind w:left="0" w:right="0"/>
              <w:rPr>
                <w:rFonts w:hint="default"/>
                <w:color w:val="auto"/>
                <w:highlight w:val="none"/>
              </w:rPr>
            </w:pPr>
            <w:r>
              <w:rPr>
                <w:rFonts w:hint="eastAsia" w:ascii="宋体" w:hAnsi="宋体"/>
                <w:color w:val="auto"/>
                <w:highlight w:val="none"/>
              </w:rPr>
              <w:t>复核意见：</w:t>
            </w:r>
          </w:p>
          <w:p w14:paraId="799AD981">
            <w:pPr>
              <w:keepNext w:val="0"/>
              <w:keepLines w:val="0"/>
              <w:suppressLineNumbers w:val="0"/>
              <w:spacing w:before="0" w:beforeAutospacing="0" w:after="0" w:afterAutospacing="0" w:line="360" w:lineRule="auto"/>
              <w:ind w:left="0" w:right="0"/>
              <w:rPr>
                <w:rFonts w:hint="default"/>
                <w:color w:val="auto"/>
                <w:highlight w:val="none"/>
              </w:rPr>
            </w:pPr>
            <w:r>
              <w:rPr>
                <w:rFonts w:hint="eastAsia" w:ascii="宋体" w:hAnsi="宋体"/>
                <w:color w:val="auto"/>
                <w:highlight w:val="none"/>
              </w:rPr>
              <w:t>□与合同约定不相符</w:t>
            </w:r>
            <w:r>
              <w:rPr>
                <w:rFonts w:hint="eastAsia" w:ascii="宋体" w:hAnsi="宋体"/>
                <w:color w:val="auto"/>
                <w:highlight w:val="none"/>
                <w:lang w:eastAsia="zh-CN"/>
              </w:rPr>
              <w:t>，</w:t>
            </w:r>
            <w:r>
              <w:rPr>
                <w:rFonts w:hint="eastAsia" w:ascii="宋体" w:hAnsi="宋体"/>
                <w:color w:val="auto"/>
                <w:highlight w:val="none"/>
              </w:rPr>
              <w:t>修改意见见附件。</w:t>
            </w:r>
          </w:p>
          <w:p w14:paraId="3E1CEC88">
            <w:pPr>
              <w:keepNext w:val="0"/>
              <w:keepLines w:val="0"/>
              <w:suppressLineNumbers w:val="0"/>
              <w:spacing w:before="0" w:beforeAutospacing="0" w:after="0" w:afterAutospacing="0" w:line="360" w:lineRule="auto"/>
              <w:ind w:left="0" w:right="0"/>
              <w:rPr>
                <w:rFonts w:hint="default"/>
                <w:color w:val="auto"/>
                <w:highlight w:val="none"/>
              </w:rPr>
            </w:pPr>
            <w:r>
              <w:rPr>
                <w:rFonts w:hint="eastAsia" w:ascii="宋体" w:hAnsi="宋体"/>
                <w:color w:val="auto"/>
                <w:highlight w:val="none"/>
              </w:rPr>
              <w:t>□与合同约定相符</w:t>
            </w:r>
            <w:r>
              <w:rPr>
                <w:rFonts w:hint="eastAsia" w:ascii="宋体" w:hAnsi="宋体"/>
                <w:color w:val="auto"/>
                <w:highlight w:val="none"/>
                <w:lang w:eastAsia="zh-CN"/>
              </w:rPr>
              <w:t>，</w:t>
            </w:r>
            <w:r>
              <w:rPr>
                <w:rFonts w:hint="eastAsia" w:ascii="宋体" w:hAnsi="宋体"/>
                <w:color w:val="auto"/>
                <w:highlight w:val="none"/>
              </w:rPr>
              <w:t>具体金额由造价工程师复核。</w:t>
            </w:r>
          </w:p>
          <w:p w14:paraId="1AC6C33F">
            <w:pPr>
              <w:keepNext w:val="0"/>
              <w:keepLines w:val="0"/>
              <w:suppressLineNumbers w:val="0"/>
              <w:spacing w:before="0" w:beforeAutospacing="0" w:after="0" w:afterAutospacing="0" w:line="360" w:lineRule="auto"/>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监理工程师</w:t>
            </w:r>
            <w:r>
              <w:rPr>
                <w:rFonts w:hint="default"/>
                <w:color w:val="auto"/>
                <w:highlight w:val="none"/>
                <w:u w:val="single"/>
              </w:rPr>
              <w:t xml:space="preserve">           </w:t>
            </w:r>
          </w:p>
          <w:p w14:paraId="55EC77E1">
            <w:pPr>
              <w:keepNext w:val="0"/>
              <w:keepLines w:val="0"/>
              <w:suppressLineNumbers w:val="0"/>
              <w:spacing w:before="0" w:beforeAutospacing="0" w:after="0" w:afterAutospacing="0" w:line="360" w:lineRule="auto"/>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c>
          <w:tcPr>
            <w:tcW w:w="4543" w:type="dxa"/>
            <w:tcBorders>
              <w:top w:val="single" w:color="auto" w:sz="4" w:space="0"/>
              <w:left w:val="single" w:color="auto" w:sz="4" w:space="0"/>
              <w:bottom w:val="single" w:color="auto" w:sz="4" w:space="0"/>
              <w:right w:val="single" w:color="auto" w:sz="4" w:space="0"/>
            </w:tcBorders>
            <w:noWrap w:val="0"/>
            <w:vAlign w:val="top"/>
          </w:tcPr>
          <w:p w14:paraId="60C5DD12">
            <w:pPr>
              <w:keepNext w:val="0"/>
              <w:keepLines w:val="0"/>
              <w:suppressLineNumbers w:val="0"/>
              <w:spacing w:before="0" w:beforeAutospacing="0" w:after="0" w:afterAutospacing="0" w:line="360" w:lineRule="auto"/>
              <w:ind w:left="0" w:right="0"/>
              <w:rPr>
                <w:rFonts w:hint="default"/>
                <w:color w:val="auto"/>
                <w:highlight w:val="none"/>
              </w:rPr>
            </w:pPr>
            <w:r>
              <w:rPr>
                <w:rFonts w:hint="eastAsia" w:ascii="宋体" w:hAnsi="宋体"/>
                <w:color w:val="auto"/>
                <w:highlight w:val="none"/>
              </w:rPr>
              <w:t>复核意见：</w:t>
            </w:r>
          </w:p>
          <w:p w14:paraId="535B992A">
            <w:pPr>
              <w:keepNext w:val="0"/>
              <w:keepLines w:val="0"/>
              <w:suppressLineNumbers w:val="0"/>
              <w:spacing w:before="0" w:beforeAutospacing="0" w:after="0" w:afterAutospacing="0" w:line="360" w:lineRule="auto"/>
              <w:ind w:left="0" w:right="0" w:firstLine="435"/>
              <w:rPr>
                <w:rFonts w:hint="default"/>
                <w:color w:val="auto"/>
                <w:highlight w:val="none"/>
              </w:rPr>
            </w:pPr>
            <w:r>
              <w:rPr>
                <w:rFonts w:hint="eastAsia" w:ascii="宋体" w:hAnsi="宋体"/>
                <w:color w:val="auto"/>
                <w:highlight w:val="none"/>
              </w:rPr>
              <w:t>你方提出的支付申请经复核</w:t>
            </w:r>
            <w:r>
              <w:rPr>
                <w:rFonts w:hint="eastAsia" w:ascii="宋体" w:hAnsi="宋体"/>
                <w:color w:val="auto"/>
                <w:highlight w:val="none"/>
                <w:lang w:eastAsia="zh-CN"/>
              </w:rPr>
              <w:t>，</w:t>
            </w:r>
            <w:r>
              <w:rPr>
                <w:rFonts w:hint="eastAsia" w:ascii="宋体" w:hAnsi="宋体"/>
                <w:color w:val="auto"/>
                <w:highlight w:val="none"/>
              </w:rPr>
              <w:t>应支付预付款金额为</w:t>
            </w:r>
            <w:r>
              <w:rPr>
                <w:rFonts w:hint="eastAsia"/>
                <w:color w:val="auto"/>
                <w:highlight w:val="none"/>
                <w:lang w:eastAsia="zh-CN"/>
              </w:rPr>
              <w:t>（</w:t>
            </w:r>
            <w:r>
              <w:rPr>
                <w:rFonts w:hint="eastAsia" w:ascii="宋体" w:hAnsi="宋体"/>
                <w:color w:val="auto"/>
                <w:highlight w:val="none"/>
              </w:rPr>
              <w:t>大写</w:t>
            </w:r>
            <w:r>
              <w:rPr>
                <w:rFonts w:hint="eastAsia"/>
                <w:color w:val="auto"/>
                <w:highlight w:val="none"/>
                <w:lang w:eastAsia="zh-CN"/>
              </w:rPr>
              <w:t>）</w:t>
            </w:r>
            <w:r>
              <w:rPr>
                <w:rFonts w:hint="default"/>
                <w:color w:val="auto"/>
                <w:highlight w:val="none"/>
                <w:u w:val="single"/>
              </w:rPr>
              <w:t xml:space="preserve">         </w:t>
            </w:r>
            <w:r>
              <w:rPr>
                <w:rFonts w:hint="eastAsia"/>
                <w:color w:val="auto"/>
                <w:highlight w:val="none"/>
                <w:u w:val="single"/>
              </w:rPr>
              <w:t xml:space="preserve">          </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（小写）</w:t>
            </w:r>
            <w:r>
              <w:rPr>
                <w:rFonts w:hint="default"/>
                <w:color w:val="auto"/>
                <w:highlight w:val="none"/>
                <w:u w:val="single"/>
              </w:rPr>
              <w:t xml:space="preserve">   </w:t>
            </w:r>
            <w:r>
              <w:rPr>
                <w:rFonts w:hint="eastAsia"/>
                <w:color w:val="auto"/>
                <w:highlight w:val="none"/>
                <w:u w:val="single"/>
              </w:rPr>
              <w:t xml:space="preserve">   </w:t>
            </w:r>
            <w:r>
              <w:rPr>
                <w:rFonts w:hint="default"/>
                <w:color w:val="auto"/>
                <w:highlight w:val="none"/>
                <w:u w:val="single"/>
              </w:rPr>
              <w:t xml:space="preserve">       </w:t>
            </w:r>
            <w:r>
              <w:rPr>
                <w:rFonts w:hint="default"/>
                <w:color w:val="auto"/>
                <w:highlight w:val="none"/>
              </w:rPr>
              <w:t xml:space="preserve"> </w:t>
            </w:r>
            <w:r>
              <w:rPr>
                <w:rFonts w:hint="eastAsia" w:ascii="宋体" w:hAnsi="宋体"/>
                <w:color w:val="auto"/>
                <w:highlight w:val="none"/>
              </w:rPr>
              <w:t>元。</w:t>
            </w:r>
          </w:p>
          <w:p w14:paraId="6250A17A">
            <w:pPr>
              <w:keepNext w:val="0"/>
              <w:keepLines w:val="0"/>
              <w:suppressLineNumbers w:val="0"/>
              <w:spacing w:before="0" w:beforeAutospacing="0" w:after="0" w:afterAutospacing="0" w:line="360" w:lineRule="auto"/>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造价工程师</w:t>
            </w:r>
            <w:r>
              <w:rPr>
                <w:rFonts w:hint="default"/>
                <w:color w:val="auto"/>
                <w:highlight w:val="none"/>
                <w:u w:val="single"/>
              </w:rPr>
              <w:t xml:space="preserve">           </w:t>
            </w:r>
          </w:p>
          <w:p w14:paraId="3A1B6876">
            <w:pPr>
              <w:keepNext w:val="0"/>
              <w:keepLines w:val="0"/>
              <w:suppressLineNumbers w:val="0"/>
              <w:spacing w:before="0" w:beforeAutospacing="0" w:after="0" w:afterAutospacing="0" w:line="360" w:lineRule="auto"/>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r w14:paraId="284D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259C2DA5">
            <w:pPr>
              <w:keepNext w:val="0"/>
              <w:keepLines w:val="0"/>
              <w:suppressLineNumbers w:val="0"/>
              <w:spacing w:before="0" w:beforeAutospacing="0" w:after="0" w:afterAutospacing="0" w:line="360" w:lineRule="auto"/>
              <w:ind w:left="0" w:right="0"/>
              <w:rPr>
                <w:rFonts w:hint="default"/>
                <w:color w:val="auto"/>
                <w:highlight w:val="none"/>
              </w:rPr>
            </w:pPr>
            <w:r>
              <w:rPr>
                <w:rFonts w:hint="eastAsia" w:ascii="宋体" w:hAnsi="宋体"/>
                <w:color w:val="auto"/>
                <w:highlight w:val="none"/>
              </w:rPr>
              <w:t>审核意见：</w:t>
            </w:r>
          </w:p>
          <w:p w14:paraId="17DC1635">
            <w:pPr>
              <w:keepNext w:val="0"/>
              <w:keepLines w:val="0"/>
              <w:suppressLineNumbers w:val="0"/>
              <w:spacing w:before="0" w:beforeAutospacing="0" w:after="0" w:afterAutospacing="0" w:line="360" w:lineRule="auto"/>
              <w:ind w:left="0" w:right="0" w:firstLine="435"/>
              <w:rPr>
                <w:rFonts w:hint="default"/>
                <w:color w:val="auto"/>
                <w:highlight w:val="none"/>
              </w:rPr>
            </w:pPr>
            <w:r>
              <w:rPr>
                <w:rFonts w:hint="eastAsia" w:ascii="宋体" w:hAnsi="宋体"/>
                <w:color w:val="auto"/>
                <w:highlight w:val="none"/>
              </w:rPr>
              <w:t>□不同意。</w:t>
            </w:r>
          </w:p>
          <w:p w14:paraId="57359B63">
            <w:pPr>
              <w:keepNext w:val="0"/>
              <w:keepLines w:val="0"/>
              <w:suppressLineNumbers w:val="0"/>
              <w:spacing w:before="0" w:beforeAutospacing="0" w:after="0" w:afterAutospacing="0" w:line="360" w:lineRule="auto"/>
              <w:ind w:left="0" w:right="0" w:firstLine="420" w:firstLineChars="200"/>
              <w:rPr>
                <w:rFonts w:hint="default"/>
                <w:color w:val="auto"/>
                <w:highlight w:val="none"/>
              </w:rPr>
            </w:pPr>
            <w:r>
              <w:rPr>
                <w:rFonts w:hint="eastAsia" w:ascii="宋体" w:hAnsi="宋体"/>
                <w:color w:val="auto"/>
                <w:highlight w:val="none"/>
              </w:rPr>
              <w:t>□同意</w:t>
            </w:r>
            <w:r>
              <w:rPr>
                <w:rFonts w:hint="eastAsia" w:ascii="宋体" w:hAnsi="宋体"/>
                <w:color w:val="auto"/>
                <w:highlight w:val="none"/>
                <w:lang w:eastAsia="zh-CN"/>
              </w:rPr>
              <w:t>，</w:t>
            </w:r>
            <w:r>
              <w:rPr>
                <w:rFonts w:hint="eastAsia" w:ascii="宋体" w:hAnsi="宋体"/>
                <w:color w:val="auto"/>
                <w:highlight w:val="none"/>
              </w:rPr>
              <w:t>支付时间为本表签发后的</w:t>
            </w:r>
            <w:r>
              <w:rPr>
                <w:rFonts w:hint="eastAsia"/>
                <w:color w:val="auto"/>
                <w:highlight w:val="none"/>
              </w:rPr>
              <w:t>15</w:t>
            </w:r>
            <w:r>
              <w:rPr>
                <w:rFonts w:hint="eastAsia" w:ascii="宋体" w:hAnsi="宋体"/>
                <w:color w:val="auto"/>
                <w:highlight w:val="none"/>
              </w:rPr>
              <w:t>天内。</w:t>
            </w:r>
          </w:p>
          <w:p w14:paraId="02F8E043">
            <w:pPr>
              <w:keepNext w:val="0"/>
              <w:keepLines w:val="0"/>
              <w:suppressLineNumbers w:val="0"/>
              <w:spacing w:before="0" w:beforeAutospacing="0" w:after="0" w:afterAutospacing="0" w:line="360" w:lineRule="auto"/>
              <w:ind w:left="0" w:right="735" w:firstLine="6195" w:firstLineChars="2950"/>
              <w:rPr>
                <w:rFonts w:hint="default"/>
                <w:color w:val="auto"/>
                <w:highlight w:val="none"/>
              </w:rPr>
            </w:pPr>
            <w:r>
              <w:rPr>
                <w:rFonts w:hint="eastAsia" w:ascii="宋体" w:hAnsi="宋体"/>
                <w:color w:val="auto"/>
                <w:highlight w:val="none"/>
              </w:rPr>
              <w:t xml:space="preserve">发包人（章） </w:t>
            </w:r>
            <w:r>
              <w:rPr>
                <w:rFonts w:hint="default"/>
                <w:color w:val="auto"/>
                <w:highlight w:val="none"/>
              </w:rPr>
              <w:t xml:space="preserve">          </w:t>
            </w:r>
          </w:p>
          <w:p w14:paraId="438ABE11">
            <w:pPr>
              <w:keepNext w:val="0"/>
              <w:keepLines w:val="0"/>
              <w:suppressLineNumbers w:val="0"/>
              <w:spacing w:before="0" w:beforeAutospacing="0" w:after="0" w:afterAutospacing="0" w:line="360" w:lineRule="auto"/>
              <w:ind w:left="0" w:right="420" w:firstLine="6195" w:firstLineChars="2950"/>
              <w:rPr>
                <w:rFonts w:hint="default"/>
                <w:color w:val="auto"/>
                <w:highlight w:val="none"/>
                <w:u w:val="single"/>
              </w:rPr>
            </w:pPr>
            <w:r>
              <w:rPr>
                <w:rFonts w:hint="eastAsia" w:ascii="宋体" w:hAnsi="宋体"/>
                <w:color w:val="auto"/>
                <w:highlight w:val="none"/>
              </w:rPr>
              <w:t>发包人代表</w:t>
            </w:r>
            <w:r>
              <w:rPr>
                <w:rFonts w:hint="default"/>
                <w:color w:val="auto"/>
                <w:highlight w:val="none"/>
                <w:u w:val="single"/>
              </w:rPr>
              <w:t xml:space="preserve">             </w:t>
            </w:r>
          </w:p>
          <w:p w14:paraId="4E4A4BB3">
            <w:pPr>
              <w:keepNext w:val="0"/>
              <w:keepLines w:val="0"/>
              <w:suppressLineNumbers w:val="0"/>
              <w:spacing w:before="0" w:beforeAutospacing="0" w:after="0" w:afterAutospacing="0" w:line="360" w:lineRule="auto"/>
              <w:ind w:left="0" w:right="420" w:firstLine="6195" w:firstLineChars="2950"/>
              <w:rPr>
                <w:rFonts w:hint="default"/>
                <w:color w:val="auto"/>
                <w:highlight w:val="none"/>
                <w:u w:val="single"/>
              </w:rPr>
            </w:pP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bl>
    <w:p w14:paraId="65CEBA05">
      <w:pPr>
        <w:spacing w:line="360" w:lineRule="auto"/>
        <w:ind w:firstLine="360" w:firstLineChars="200"/>
        <w:rPr>
          <w:rFonts w:ascii="宋体" w:hAnsi="宋体"/>
          <w:color w:val="auto"/>
          <w:sz w:val="18"/>
          <w:szCs w:val="18"/>
          <w:highlight w:val="none"/>
        </w:rPr>
      </w:pPr>
      <w:r>
        <w:rPr>
          <w:rFonts w:hint="eastAsia" w:ascii="宋体" w:hAnsi="宋体"/>
          <w:color w:val="auto"/>
          <w:sz w:val="18"/>
          <w:szCs w:val="18"/>
          <w:highlight w:val="none"/>
        </w:rPr>
        <w:t>注：1.在选择栏中的</w:t>
      </w:r>
      <w:r>
        <w:rPr>
          <w:rFonts w:hint="eastAsia" w:ascii="宋体" w:hAnsi="宋体"/>
          <w:color w:val="auto"/>
          <w:sz w:val="18"/>
          <w:szCs w:val="18"/>
          <w:highlight w:val="none"/>
          <w:lang w:eastAsia="zh-CN"/>
        </w:rPr>
        <w:t>“</w:t>
      </w:r>
      <w:r>
        <w:rPr>
          <w:rFonts w:hint="eastAsia" w:ascii="宋体" w:hAnsi="宋体"/>
          <w:color w:val="auto"/>
          <w:sz w:val="18"/>
          <w:szCs w:val="18"/>
          <w:highlight w:val="none"/>
        </w:rPr>
        <w:t>□</w:t>
      </w:r>
      <w:r>
        <w:rPr>
          <w:rFonts w:hint="eastAsia" w:ascii="宋体" w:hAnsi="宋体"/>
          <w:color w:val="auto"/>
          <w:sz w:val="18"/>
          <w:szCs w:val="18"/>
          <w:highlight w:val="none"/>
          <w:lang w:eastAsia="zh-CN"/>
        </w:rPr>
        <w:t>”</w:t>
      </w:r>
      <w:r>
        <w:rPr>
          <w:rFonts w:hint="eastAsia" w:ascii="宋体" w:hAnsi="宋体"/>
          <w:color w:val="auto"/>
          <w:sz w:val="18"/>
          <w:szCs w:val="18"/>
          <w:highlight w:val="none"/>
        </w:rPr>
        <w:t>内作标识</w:t>
      </w:r>
      <w:r>
        <w:rPr>
          <w:rFonts w:hint="eastAsia" w:ascii="宋体" w:hAnsi="宋体"/>
          <w:color w:val="auto"/>
          <w:sz w:val="18"/>
          <w:szCs w:val="18"/>
          <w:highlight w:val="none"/>
          <w:lang w:eastAsia="zh-CN"/>
        </w:rPr>
        <w:t>“</w:t>
      </w:r>
      <w:r>
        <w:rPr>
          <w:rFonts w:hint="eastAsia" w:ascii="宋体" w:hAnsi="宋体"/>
          <w:color w:val="auto"/>
          <w:sz w:val="18"/>
          <w:szCs w:val="18"/>
          <w:highlight w:val="none"/>
        </w:rPr>
        <w:t>√</w:t>
      </w:r>
      <w:r>
        <w:rPr>
          <w:rFonts w:hint="eastAsia" w:ascii="宋体" w:hAnsi="宋体"/>
          <w:color w:val="auto"/>
          <w:sz w:val="18"/>
          <w:szCs w:val="18"/>
          <w:highlight w:val="none"/>
          <w:lang w:eastAsia="zh-CN"/>
        </w:rPr>
        <w:t>”</w:t>
      </w:r>
      <w:r>
        <w:rPr>
          <w:rFonts w:hint="eastAsia" w:ascii="宋体" w:hAnsi="宋体"/>
          <w:color w:val="auto"/>
          <w:sz w:val="18"/>
          <w:szCs w:val="18"/>
          <w:highlight w:val="none"/>
        </w:rPr>
        <w:t xml:space="preserve">。 </w:t>
      </w:r>
    </w:p>
    <w:p w14:paraId="43C86725">
      <w:pPr>
        <w:spacing w:line="360" w:lineRule="auto"/>
        <w:ind w:left="720" w:hanging="720" w:hangingChars="400"/>
        <w:rPr>
          <w:rFonts w:ascii="宋体" w:hAnsi="宋体"/>
          <w:color w:val="auto"/>
          <w:sz w:val="18"/>
          <w:szCs w:val="18"/>
          <w:highlight w:val="none"/>
        </w:rPr>
      </w:pPr>
      <w:r>
        <w:rPr>
          <w:rFonts w:hint="eastAsia" w:ascii="宋体" w:hAnsi="宋体"/>
          <w:color w:val="auto"/>
          <w:sz w:val="18"/>
          <w:szCs w:val="18"/>
          <w:highlight w:val="none"/>
        </w:rPr>
        <w:t xml:space="preserve">    </w:t>
      </w:r>
      <w:r>
        <w:rPr>
          <w:rFonts w:ascii="宋体" w:hAnsi="宋体"/>
          <w:color w:val="auto"/>
          <w:sz w:val="18"/>
          <w:szCs w:val="18"/>
          <w:highlight w:val="none"/>
        </w:rPr>
        <w:t xml:space="preserve">  </w:t>
      </w:r>
      <w:r>
        <w:rPr>
          <w:rFonts w:hint="eastAsia" w:ascii="宋体" w:hAnsi="宋体"/>
          <w:color w:val="auto"/>
          <w:sz w:val="18"/>
          <w:szCs w:val="18"/>
          <w:highlight w:val="none"/>
        </w:rPr>
        <w:t xml:space="preserve">  2.本表一式四份</w:t>
      </w:r>
      <w:r>
        <w:rPr>
          <w:rFonts w:hint="eastAsia" w:ascii="宋体" w:hAnsi="宋体"/>
          <w:color w:val="auto"/>
          <w:sz w:val="18"/>
          <w:szCs w:val="18"/>
          <w:highlight w:val="none"/>
          <w:lang w:eastAsia="zh-CN"/>
        </w:rPr>
        <w:t>，</w:t>
      </w:r>
      <w:r>
        <w:rPr>
          <w:rFonts w:hint="eastAsia" w:ascii="宋体" w:hAnsi="宋体"/>
          <w:color w:val="auto"/>
          <w:sz w:val="18"/>
          <w:szCs w:val="18"/>
          <w:highlight w:val="none"/>
        </w:rPr>
        <w:t>由承包人填报</w:t>
      </w:r>
      <w:r>
        <w:rPr>
          <w:rFonts w:hint="eastAsia" w:ascii="宋体" w:hAnsi="宋体"/>
          <w:color w:val="auto"/>
          <w:sz w:val="18"/>
          <w:szCs w:val="18"/>
          <w:highlight w:val="none"/>
          <w:lang w:eastAsia="zh-CN"/>
        </w:rPr>
        <w:t>，</w:t>
      </w:r>
      <w:r>
        <w:rPr>
          <w:rFonts w:hint="eastAsia" w:ascii="宋体" w:hAnsi="宋体"/>
          <w:color w:val="auto"/>
          <w:sz w:val="18"/>
          <w:szCs w:val="18"/>
          <w:highlight w:val="none"/>
        </w:rPr>
        <w:t>发包人、监理人、工程造价咨询人、承包人各存一份。</w:t>
      </w:r>
    </w:p>
    <w:p w14:paraId="4575C9CA">
      <w:pPr>
        <w:widowControl/>
        <w:spacing w:line="360" w:lineRule="auto"/>
        <w:ind w:firstLine="720" w:firstLineChars="400"/>
        <w:jc w:val="both"/>
        <w:rPr>
          <w:rFonts w:hint="eastAsia" w:eastAsia="宋体"/>
          <w:color w:val="auto"/>
          <w:sz w:val="21"/>
          <w:szCs w:val="21"/>
          <w:highlight w:val="none"/>
          <w:lang w:eastAsia="zh-CN"/>
        </w:rPr>
      </w:pPr>
      <w:r>
        <w:rPr>
          <w:rFonts w:hint="eastAsia" w:ascii="宋体" w:hAnsi="宋体"/>
          <w:color w:val="auto"/>
          <w:sz w:val="18"/>
          <w:szCs w:val="18"/>
          <w:highlight w:val="none"/>
          <w:lang w:val="en-US" w:eastAsia="zh-CN"/>
        </w:rPr>
        <w:t>3.</w:t>
      </w:r>
      <w:r>
        <w:rPr>
          <w:rFonts w:hint="eastAsia" w:ascii="宋体" w:hAnsi="宋体"/>
          <w:color w:val="auto"/>
          <w:sz w:val="18"/>
          <w:szCs w:val="18"/>
          <w:highlight w:val="none"/>
        </w:rPr>
        <w:t>应付预付款计算基数=签约合同价款-暂列金额-专业工程暂估价-安全生产费</w:t>
      </w:r>
      <w:r>
        <w:rPr>
          <w:rFonts w:hint="eastAsia" w:ascii="宋体" w:hAnsi="宋体"/>
          <w:color w:val="auto"/>
          <w:sz w:val="18"/>
          <w:szCs w:val="18"/>
          <w:highlight w:val="none"/>
          <w:lang w:eastAsia="zh-CN"/>
        </w:rPr>
        <w:t>。</w:t>
      </w:r>
      <w:r>
        <w:rPr>
          <w:rFonts w:hint="eastAsia" w:ascii="宋体" w:hAnsi="宋体"/>
          <w:color w:val="auto"/>
          <w:sz w:val="18"/>
          <w:szCs w:val="18"/>
          <w:highlight w:val="none"/>
          <w:lang w:val="en-US" w:eastAsia="zh-CN"/>
        </w:rPr>
        <w:t xml:space="preserve"> </w:t>
      </w:r>
      <w:r>
        <w:rPr>
          <w:rFonts w:hint="eastAsia" w:ascii="宋体" w:hAnsi="宋体"/>
          <w:color w:val="auto"/>
          <w:sz w:val="24"/>
          <w:highlight w:val="none"/>
          <w:lang w:val="en-US" w:eastAsia="zh-CN"/>
        </w:rPr>
        <w:t xml:space="preserve">                                                                       </w:t>
      </w:r>
      <w:r>
        <w:rPr>
          <w:rFonts w:hint="eastAsia" w:ascii="宋体" w:hAnsi="宋体"/>
          <w:color w:val="auto"/>
          <w:sz w:val="21"/>
          <w:szCs w:val="21"/>
          <w:highlight w:val="none"/>
          <w:lang w:val="en-US" w:eastAsia="zh-CN"/>
        </w:rPr>
        <w:t xml:space="preserve"> </w:t>
      </w:r>
    </w:p>
    <w:p w14:paraId="4E5570AA">
      <w:pPr>
        <w:spacing w:line="360" w:lineRule="auto"/>
        <w:jc w:val="center"/>
        <w:outlineLvl w:val="9"/>
        <w:rPr>
          <w:rFonts w:hint="eastAsia" w:ascii="宋体" w:hAnsi="宋体"/>
          <w:b/>
          <w:color w:val="auto"/>
          <w:sz w:val="30"/>
          <w:szCs w:val="30"/>
          <w:highlight w:val="none"/>
        </w:rPr>
      </w:pPr>
      <w:r>
        <w:rPr>
          <w:rFonts w:hint="eastAsia" w:ascii="宋体" w:hAnsi="宋体"/>
          <w:b/>
          <w:color w:val="auto"/>
          <w:sz w:val="30"/>
          <w:szCs w:val="30"/>
          <w:highlight w:val="none"/>
        </w:rPr>
        <w:br w:type="page"/>
      </w:r>
      <w:r>
        <w:rPr>
          <w:rFonts w:hint="eastAsia" w:ascii="宋体" w:hAnsi="宋体"/>
          <w:b/>
          <w:color w:val="auto"/>
          <w:sz w:val="30"/>
          <w:szCs w:val="30"/>
          <w:highlight w:val="none"/>
        </w:rPr>
        <w:t>预付款支付申请（核准）表</w:t>
      </w:r>
    </w:p>
    <w:p w14:paraId="53F06352">
      <w:pPr>
        <w:spacing w:line="360" w:lineRule="auto"/>
        <w:jc w:val="center"/>
        <w:outlineLvl w:val="9"/>
        <w:rPr>
          <w:rFonts w:hint="eastAsia" w:ascii="宋体" w:hAnsi="宋体" w:eastAsia="宋体"/>
          <w:b/>
          <w:color w:val="auto"/>
          <w:sz w:val="36"/>
          <w:szCs w:val="36"/>
          <w:highlight w:val="none"/>
          <w:lang w:val="en-US" w:eastAsia="zh-CN"/>
        </w:rPr>
      </w:pPr>
      <w:r>
        <w:rPr>
          <w:rFonts w:hint="eastAsia" w:ascii="宋体" w:hAnsi="宋体"/>
          <w:b/>
          <w:color w:val="auto"/>
          <w:sz w:val="30"/>
          <w:szCs w:val="30"/>
          <w:highlight w:val="none"/>
          <w:lang w:val="en-US" w:eastAsia="zh-CN"/>
        </w:rPr>
        <w:t>（适用一次性支付）</w:t>
      </w:r>
    </w:p>
    <w:p w14:paraId="24DF0E01">
      <w:pPr>
        <w:spacing w:line="360" w:lineRule="auto"/>
        <w:rPr>
          <w:color w:val="auto"/>
          <w:sz w:val="21"/>
          <w:szCs w:val="21"/>
          <w:highlight w:val="none"/>
        </w:rPr>
      </w:pPr>
      <w:r>
        <w:rPr>
          <w:rFonts w:hint="eastAsia" w:ascii="宋体" w:hAnsi="宋体"/>
          <w:color w:val="auto"/>
          <w:sz w:val="21"/>
          <w:szCs w:val="21"/>
          <w:highlight w:val="none"/>
        </w:rPr>
        <w:t xml:space="preserve">工程名称：                                          </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 xml:space="preserve">   编号：</w:t>
      </w:r>
    </w:p>
    <w:tbl>
      <w:tblPr>
        <w:tblStyle w:val="22"/>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96"/>
        <w:gridCol w:w="4543"/>
      </w:tblGrid>
      <w:tr w14:paraId="448E6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639" w:type="dxa"/>
            <w:gridSpan w:val="2"/>
            <w:tcBorders>
              <w:top w:val="single" w:color="auto" w:sz="4" w:space="0"/>
              <w:left w:val="single" w:color="auto" w:sz="4" w:space="0"/>
              <w:bottom w:val="single" w:color="auto" w:sz="4" w:space="0"/>
              <w:right w:val="single" w:color="auto" w:sz="4" w:space="0"/>
            </w:tcBorders>
            <w:noWrap w:val="0"/>
            <w:vAlign w:val="top"/>
          </w:tcPr>
          <w:p w14:paraId="2B58B0AC">
            <w:pPr>
              <w:keepNext w:val="0"/>
              <w:keepLines w:val="0"/>
              <w:suppressLineNumbers w:val="0"/>
              <w:spacing w:before="0" w:beforeAutospacing="0" w:after="0" w:afterAutospacing="0" w:line="360" w:lineRule="auto"/>
              <w:ind w:left="525" w:leftChars="149" w:right="0" w:hanging="212" w:hangingChars="101"/>
              <w:rPr>
                <w:rFonts w:hint="default"/>
                <w:color w:val="auto"/>
                <w:highlight w:val="none"/>
                <w:u w:val="single"/>
              </w:rPr>
            </w:pPr>
            <w:r>
              <w:rPr>
                <w:rFonts w:hint="eastAsia" w:ascii="宋体" w:hAnsi="宋体"/>
                <w:color w:val="auto"/>
                <w:highlight w:val="none"/>
              </w:rPr>
              <w:t>致：</w:t>
            </w:r>
            <w:r>
              <w:rPr>
                <w:rFonts w:hint="default"/>
                <w:color w:val="auto"/>
                <w:highlight w:val="none"/>
                <w:u w:val="single"/>
              </w:rPr>
              <w:t xml:space="preserve">                                   </w:t>
            </w:r>
            <w:r>
              <w:rPr>
                <w:rFonts w:hint="eastAsia" w:ascii="宋体" w:hAnsi="宋体"/>
                <w:color w:val="auto"/>
                <w:highlight w:val="none"/>
                <w:u w:val="single"/>
              </w:rPr>
              <w:t>（发包人全称）</w:t>
            </w:r>
          </w:p>
          <w:p w14:paraId="51760CAB">
            <w:pPr>
              <w:keepNext w:val="0"/>
              <w:keepLines w:val="0"/>
              <w:suppressLineNumbers w:val="0"/>
              <w:spacing w:before="0" w:beforeAutospacing="0" w:after="0" w:afterAutospacing="0" w:line="360" w:lineRule="auto"/>
              <w:ind w:left="-4" w:leftChars="-2" w:right="0" w:firstLine="315" w:firstLineChars="150"/>
              <w:rPr>
                <w:rFonts w:hint="default"/>
                <w:color w:val="auto"/>
                <w:highlight w:val="none"/>
              </w:rPr>
            </w:pPr>
            <w:r>
              <w:rPr>
                <w:rFonts w:hint="eastAsia" w:ascii="宋体" w:hAnsi="宋体"/>
                <w:color w:val="auto"/>
                <w:highlight w:val="none"/>
              </w:rPr>
              <w:t>我方根据施工合同的约定</w:t>
            </w:r>
            <w:r>
              <w:rPr>
                <w:rFonts w:hint="eastAsia" w:ascii="宋体" w:hAnsi="宋体"/>
                <w:color w:val="auto"/>
                <w:highlight w:val="none"/>
                <w:lang w:eastAsia="zh-CN"/>
              </w:rPr>
              <w:t>，</w:t>
            </w:r>
            <w:r>
              <w:rPr>
                <w:rFonts w:hint="eastAsia" w:ascii="宋体" w:hAnsi="宋体"/>
                <w:color w:val="auto"/>
                <w:highlight w:val="none"/>
              </w:rPr>
              <w:t>现申请支付工程预付款额为</w:t>
            </w:r>
            <w:r>
              <w:rPr>
                <w:rFonts w:hint="eastAsia"/>
                <w:color w:val="auto"/>
                <w:highlight w:val="none"/>
                <w:lang w:eastAsia="zh-CN"/>
              </w:rPr>
              <w:t>（</w:t>
            </w:r>
            <w:r>
              <w:rPr>
                <w:rFonts w:hint="eastAsia" w:ascii="宋体" w:hAnsi="宋体"/>
                <w:color w:val="auto"/>
                <w:highlight w:val="none"/>
              </w:rPr>
              <w:t>大写</w:t>
            </w:r>
            <w:r>
              <w:rPr>
                <w:rFonts w:hint="eastAsia"/>
                <w:color w:val="auto"/>
                <w:highlight w:val="none"/>
                <w:lang w:eastAsia="zh-CN"/>
              </w:rPr>
              <w:t>）</w:t>
            </w:r>
            <w:r>
              <w:rPr>
                <w:rFonts w:hint="default"/>
                <w:color w:val="auto"/>
                <w:highlight w:val="none"/>
                <w:u w:val="single"/>
              </w:rPr>
              <w:t xml:space="preserve">     </w:t>
            </w:r>
            <w:r>
              <w:rPr>
                <w:rFonts w:hint="eastAsia"/>
                <w:color w:val="auto"/>
                <w:highlight w:val="none"/>
                <w:u w:val="single"/>
              </w:rPr>
              <w:t xml:space="preserve">             </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color w:val="auto"/>
                <w:highlight w:val="none"/>
                <w:lang w:eastAsia="zh-CN"/>
              </w:rPr>
              <w:t>（</w:t>
            </w:r>
            <w:r>
              <w:rPr>
                <w:rFonts w:hint="eastAsia" w:ascii="宋体" w:hAnsi="宋体"/>
                <w:color w:val="auto"/>
                <w:highlight w:val="none"/>
              </w:rPr>
              <w:t>小写</w:t>
            </w:r>
            <w:r>
              <w:rPr>
                <w:rFonts w:hint="eastAsia"/>
                <w:color w:val="auto"/>
                <w:highlight w:val="none"/>
                <w:lang w:eastAsia="zh-CN"/>
              </w:rPr>
              <w:t>）</w:t>
            </w:r>
            <w:r>
              <w:rPr>
                <w:rFonts w:hint="default"/>
                <w:color w:val="auto"/>
                <w:highlight w:val="none"/>
                <w:u w:val="single"/>
              </w:rPr>
              <w:t xml:space="preserve">     </w:t>
            </w:r>
            <w:r>
              <w:rPr>
                <w:rFonts w:hint="eastAsia"/>
                <w:color w:val="auto"/>
                <w:highlight w:val="none"/>
                <w:u w:val="single"/>
              </w:rPr>
              <w:t xml:space="preserve">      </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请予核准。</w:t>
            </w:r>
          </w:p>
          <w:tbl>
            <w:tblPr>
              <w:tblStyle w:val="22"/>
              <w:tblW w:w="8842"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2211"/>
              <w:gridCol w:w="1661"/>
              <w:gridCol w:w="1336"/>
              <w:gridCol w:w="1498"/>
              <w:gridCol w:w="1500"/>
            </w:tblGrid>
            <w:tr w14:paraId="45EE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tcBorders>
                    <w:top w:val="single" w:color="auto" w:sz="4" w:space="0"/>
                    <w:left w:val="single" w:color="auto" w:sz="4" w:space="0"/>
                    <w:bottom w:val="single" w:color="auto" w:sz="4" w:space="0"/>
                    <w:right w:val="single" w:color="auto" w:sz="4" w:space="0"/>
                  </w:tcBorders>
                  <w:noWrap w:val="0"/>
                  <w:vAlign w:val="center"/>
                </w:tcPr>
                <w:p w14:paraId="0EDFD25F">
                  <w:pPr>
                    <w:keepNext w:val="0"/>
                    <w:keepLines w:val="0"/>
                    <w:suppressLineNumbers w:val="0"/>
                    <w:spacing w:before="0" w:beforeAutospacing="0" w:after="0" w:afterAutospacing="0" w:line="360" w:lineRule="auto"/>
                    <w:ind w:left="0" w:right="0"/>
                    <w:jc w:val="center"/>
                    <w:rPr>
                      <w:rFonts w:hint="default"/>
                      <w:color w:val="auto"/>
                      <w:highlight w:val="none"/>
                    </w:rPr>
                  </w:pPr>
                  <w:r>
                    <w:rPr>
                      <w:rFonts w:hint="eastAsia" w:ascii="宋体" w:hAnsi="宋体"/>
                      <w:color w:val="auto"/>
                      <w:highlight w:val="none"/>
                    </w:rPr>
                    <w:t>序号</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3AFBE800">
                  <w:pPr>
                    <w:keepNext w:val="0"/>
                    <w:keepLines w:val="0"/>
                    <w:suppressLineNumbers w:val="0"/>
                    <w:spacing w:before="0" w:beforeAutospacing="0" w:after="0" w:afterAutospacing="0" w:line="360" w:lineRule="auto"/>
                    <w:ind w:left="0" w:right="0"/>
                    <w:jc w:val="center"/>
                    <w:rPr>
                      <w:rFonts w:hint="default"/>
                      <w:color w:val="auto"/>
                      <w:highlight w:val="none"/>
                    </w:rPr>
                  </w:pPr>
                  <w:r>
                    <w:rPr>
                      <w:rFonts w:hint="eastAsia" w:ascii="宋体" w:hAnsi="宋体"/>
                      <w:color w:val="auto"/>
                      <w:highlight w:val="none"/>
                    </w:rPr>
                    <w:t xml:space="preserve">名 </w:t>
                  </w:r>
                  <w:r>
                    <w:rPr>
                      <w:rFonts w:hint="default"/>
                      <w:color w:val="auto"/>
                      <w:highlight w:val="none"/>
                    </w:rPr>
                    <w:t xml:space="preserve">     </w:t>
                  </w:r>
                  <w:r>
                    <w:rPr>
                      <w:rFonts w:hint="eastAsia" w:ascii="宋体" w:hAnsi="宋体"/>
                      <w:color w:val="auto"/>
                      <w:highlight w:val="none"/>
                    </w:rPr>
                    <w:t>称</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77A393C4">
                  <w:pPr>
                    <w:keepNext w:val="0"/>
                    <w:keepLines w:val="0"/>
                    <w:suppressLineNumbers w:val="0"/>
                    <w:spacing w:before="0" w:beforeAutospacing="0" w:after="0" w:afterAutospacing="0" w:line="360" w:lineRule="auto"/>
                    <w:ind w:left="0" w:right="0"/>
                    <w:jc w:val="center"/>
                    <w:rPr>
                      <w:rFonts w:hint="default" w:ascii="宋体" w:hAnsi="宋体"/>
                      <w:color w:val="auto"/>
                      <w:highlight w:val="none"/>
                    </w:rPr>
                  </w:pPr>
                  <w:r>
                    <w:rPr>
                      <w:rFonts w:hint="eastAsia" w:ascii="宋体" w:hAnsi="宋体"/>
                      <w:color w:val="auto"/>
                      <w:highlight w:val="none"/>
                    </w:rPr>
                    <w:t>计算基数</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2194FEF3">
                  <w:pPr>
                    <w:keepNext w:val="0"/>
                    <w:keepLines w:val="0"/>
                    <w:suppressLineNumbers w:val="0"/>
                    <w:spacing w:before="0" w:beforeAutospacing="0" w:after="0" w:afterAutospacing="0" w:line="360" w:lineRule="auto"/>
                    <w:ind w:left="0" w:right="0"/>
                    <w:jc w:val="center"/>
                    <w:rPr>
                      <w:rFonts w:hint="default" w:ascii="宋体" w:hAnsi="宋体"/>
                      <w:color w:val="auto"/>
                      <w:highlight w:val="none"/>
                    </w:rPr>
                  </w:pPr>
                  <w:r>
                    <w:rPr>
                      <w:rFonts w:hint="eastAsia" w:ascii="宋体" w:hAnsi="宋体"/>
                      <w:color w:val="auto"/>
                      <w:highlight w:val="none"/>
                    </w:rPr>
                    <w:t>支付比例</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2749B65D">
                  <w:pPr>
                    <w:keepNext w:val="0"/>
                    <w:keepLines w:val="0"/>
                    <w:suppressLineNumbers w:val="0"/>
                    <w:spacing w:before="0" w:beforeAutospacing="0" w:after="0" w:afterAutospacing="0" w:line="360" w:lineRule="auto"/>
                    <w:ind w:left="0" w:right="0"/>
                    <w:jc w:val="center"/>
                    <w:rPr>
                      <w:rFonts w:hint="default" w:ascii="宋体" w:hAnsi="宋体"/>
                      <w:color w:val="auto"/>
                      <w:highlight w:val="none"/>
                    </w:rPr>
                  </w:pPr>
                  <w:r>
                    <w:rPr>
                      <w:rFonts w:hint="eastAsia" w:ascii="宋体" w:hAnsi="宋体"/>
                      <w:color w:val="auto"/>
                      <w:highlight w:val="none"/>
                    </w:rPr>
                    <w:t>申请金额（元）</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0DA3FE2">
                  <w:pPr>
                    <w:keepNext w:val="0"/>
                    <w:keepLines w:val="0"/>
                    <w:suppressLineNumbers w:val="0"/>
                    <w:spacing w:before="0" w:beforeAutospacing="0" w:after="0" w:afterAutospacing="0" w:line="360" w:lineRule="auto"/>
                    <w:ind w:left="0" w:right="0"/>
                    <w:jc w:val="center"/>
                    <w:rPr>
                      <w:rFonts w:hint="default"/>
                      <w:color w:val="auto"/>
                      <w:highlight w:val="none"/>
                    </w:rPr>
                  </w:pPr>
                  <w:r>
                    <w:rPr>
                      <w:rFonts w:hint="eastAsia" w:ascii="宋体" w:hAnsi="宋体"/>
                      <w:color w:val="auto"/>
                      <w:highlight w:val="none"/>
                    </w:rPr>
                    <w:t>复核金额（元）</w:t>
                  </w:r>
                </w:p>
              </w:tc>
            </w:tr>
            <w:tr w14:paraId="4929C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5176CE8B">
                  <w:pPr>
                    <w:keepNext w:val="0"/>
                    <w:keepLines w:val="0"/>
                    <w:suppressLineNumbers w:val="0"/>
                    <w:spacing w:before="0" w:beforeAutospacing="0" w:after="0" w:afterAutospacing="0" w:line="360" w:lineRule="auto"/>
                    <w:ind w:left="0" w:right="0"/>
                    <w:jc w:val="center"/>
                    <w:rPr>
                      <w:rFonts w:hint="default"/>
                      <w:color w:val="auto"/>
                      <w:highlight w:val="none"/>
                    </w:rPr>
                  </w:pPr>
                  <w:r>
                    <w:rPr>
                      <w:rFonts w:hint="eastAsia"/>
                      <w:color w:val="auto"/>
                      <w:highlight w:val="none"/>
                    </w:rPr>
                    <w:t>1</w:t>
                  </w:r>
                </w:p>
              </w:tc>
              <w:tc>
                <w:tcPr>
                  <w:tcW w:w="2211" w:type="dxa"/>
                  <w:tcBorders>
                    <w:top w:val="single" w:color="auto" w:sz="4" w:space="0"/>
                    <w:left w:val="single" w:color="auto" w:sz="4" w:space="0"/>
                    <w:bottom w:val="single" w:color="auto" w:sz="4" w:space="0"/>
                    <w:right w:val="single" w:color="auto" w:sz="4" w:space="0"/>
                  </w:tcBorders>
                  <w:noWrap w:val="0"/>
                  <w:vAlign w:val="top"/>
                </w:tcPr>
                <w:p w14:paraId="11BE897D">
                  <w:pPr>
                    <w:keepNext w:val="0"/>
                    <w:keepLines w:val="0"/>
                    <w:suppressLineNumbers w:val="0"/>
                    <w:spacing w:before="0" w:beforeAutospacing="0" w:after="0" w:afterAutospacing="0" w:line="360" w:lineRule="auto"/>
                    <w:ind w:left="0" w:right="0"/>
                    <w:rPr>
                      <w:rFonts w:hint="default" w:ascii="宋体" w:hAnsi="宋体"/>
                      <w:color w:val="auto"/>
                      <w:highlight w:val="none"/>
                    </w:rPr>
                  </w:pPr>
                  <w:r>
                    <w:rPr>
                      <w:rFonts w:hint="eastAsia" w:ascii="宋体" w:hAnsi="宋体"/>
                      <w:color w:val="auto"/>
                      <w:highlight w:val="none"/>
                    </w:rPr>
                    <w:t>签约合同价款</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0B26B427">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7CC2C944">
                  <w:pPr>
                    <w:keepNext w:val="0"/>
                    <w:keepLines w:val="0"/>
                    <w:suppressLineNumbers w:val="0"/>
                    <w:spacing w:before="0" w:beforeAutospacing="0" w:after="0" w:afterAutospacing="0" w:line="360" w:lineRule="auto"/>
                    <w:ind w:left="0" w:right="0"/>
                    <w:jc w:val="center"/>
                    <w:rPr>
                      <w:rFonts w:hint="default" w:eastAsia="宋体"/>
                      <w:color w:val="auto"/>
                      <w:highlight w:val="none"/>
                      <w:lang w:val="en-US" w:eastAsia="zh-CN"/>
                    </w:rPr>
                  </w:pPr>
                  <w:r>
                    <w:rPr>
                      <w:rFonts w:hint="eastAsia"/>
                      <w:color w:val="auto"/>
                      <w:highlight w:val="none"/>
                      <w:lang w:val="en-US" w:eastAsia="zh-CN"/>
                    </w:rPr>
                    <w:t>-</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24D661CA">
                  <w:pPr>
                    <w:keepNext w:val="0"/>
                    <w:keepLines w:val="0"/>
                    <w:suppressLineNumbers w:val="0"/>
                    <w:spacing w:before="0" w:beforeAutospacing="0" w:after="0" w:afterAutospacing="0" w:line="360" w:lineRule="auto"/>
                    <w:ind w:left="0" w:right="0"/>
                    <w:jc w:val="center"/>
                    <w:rPr>
                      <w:rFonts w:hint="default" w:eastAsia="宋体"/>
                      <w:color w:val="auto"/>
                      <w:highlight w:val="none"/>
                      <w:lang w:val="en-US" w:eastAsia="zh-CN"/>
                    </w:rPr>
                  </w:pPr>
                  <w:r>
                    <w:rPr>
                      <w:rFonts w:hint="eastAsia"/>
                      <w:color w:val="auto"/>
                      <w:highlight w:val="none"/>
                      <w:lang w:val="en-US" w:eastAsia="zh-CN"/>
                    </w:rPr>
                    <w:t>-</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FB6E5C6">
                  <w:pPr>
                    <w:keepNext w:val="0"/>
                    <w:keepLines w:val="0"/>
                    <w:suppressLineNumbers w:val="0"/>
                    <w:spacing w:before="0" w:beforeAutospacing="0" w:after="0" w:afterAutospacing="0" w:line="360" w:lineRule="auto"/>
                    <w:ind w:left="0" w:right="0"/>
                    <w:jc w:val="center"/>
                    <w:rPr>
                      <w:rFonts w:hint="eastAsia" w:eastAsia="宋体"/>
                      <w:color w:val="auto"/>
                      <w:highlight w:val="none"/>
                      <w:lang w:val="en-US" w:eastAsia="zh-CN"/>
                    </w:rPr>
                  </w:pPr>
                  <w:r>
                    <w:rPr>
                      <w:rFonts w:hint="eastAsia"/>
                      <w:color w:val="auto"/>
                      <w:highlight w:val="none"/>
                      <w:lang w:val="en-US" w:eastAsia="zh-CN"/>
                    </w:rPr>
                    <w:t>-</w:t>
                  </w:r>
                </w:p>
              </w:tc>
            </w:tr>
            <w:tr w14:paraId="17120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76298B72">
                  <w:pPr>
                    <w:keepNext w:val="0"/>
                    <w:keepLines w:val="0"/>
                    <w:suppressLineNumbers w:val="0"/>
                    <w:spacing w:before="0" w:beforeAutospacing="0" w:after="0" w:afterAutospacing="0" w:line="360" w:lineRule="auto"/>
                    <w:ind w:left="0" w:right="0"/>
                    <w:jc w:val="center"/>
                    <w:rPr>
                      <w:rFonts w:hint="default"/>
                      <w:color w:val="auto"/>
                      <w:highlight w:val="none"/>
                    </w:rPr>
                  </w:pPr>
                  <w:r>
                    <w:rPr>
                      <w:rFonts w:hint="eastAsia"/>
                      <w:color w:val="auto"/>
                      <w:highlight w:val="none"/>
                    </w:rPr>
                    <w:t>1.1</w:t>
                  </w:r>
                </w:p>
              </w:tc>
              <w:tc>
                <w:tcPr>
                  <w:tcW w:w="2211" w:type="dxa"/>
                  <w:tcBorders>
                    <w:top w:val="single" w:color="auto" w:sz="4" w:space="0"/>
                    <w:left w:val="single" w:color="auto" w:sz="4" w:space="0"/>
                    <w:bottom w:val="single" w:color="auto" w:sz="4" w:space="0"/>
                    <w:right w:val="single" w:color="auto" w:sz="4" w:space="0"/>
                  </w:tcBorders>
                  <w:noWrap w:val="0"/>
                  <w:vAlign w:val="top"/>
                </w:tcPr>
                <w:p w14:paraId="5804FB83">
                  <w:pPr>
                    <w:keepNext w:val="0"/>
                    <w:keepLines w:val="0"/>
                    <w:suppressLineNumbers w:val="0"/>
                    <w:spacing w:before="0" w:beforeAutospacing="0" w:after="0" w:afterAutospacing="0" w:line="360" w:lineRule="auto"/>
                    <w:ind w:left="0" w:right="0"/>
                    <w:rPr>
                      <w:rFonts w:hint="default" w:ascii="宋体" w:hAnsi="宋体"/>
                      <w:color w:val="auto"/>
                      <w:highlight w:val="none"/>
                    </w:rPr>
                  </w:pPr>
                  <w:r>
                    <w:rPr>
                      <w:rFonts w:hint="eastAsia" w:ascii="宋体" w:hAnsi="宋体"/>
                      <w:color w:val="auto"/>
                      <w:highlight w:val="none"/>
                    </w:rPr>
                    <w:t>暂列金额</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2B829BED">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053B174B">
                  <w:pPr>
                    <w:keepNext w:val="0"/>
                    <w:keepLines w:val="0"/>
                    <w:suppressLineNumbers w:val="0"/>
                    <w:spacing w:before="0" w:beforeAutospacing="0" w:after="0" w:afterAutospacing="0" w:line="360" w:lineRule="auto"/>
                    <w:ind w:left="0" w:leftChars="0" w:right="0" w:rightChars="0"/>
                    <w:jc w:val="center"/>
                    <w:rPr>
                      <w:rFonts w:hint="default"/>
                      <w:color w:val="auto"/>
                      <w:highlight w:val="none"/>
                    </w:rPr>
                  </w:pPr>
                  <w:r>
                    <w:rPr>
                      <w:rFonts w:hint="eastAsia"/>
                      <w:color w:val="auto"/>
                      <w:highlight w:val="none"/>
                      <w:lang w:val="en-US" w:eastAsia="zh-CN"/>
                    </w:rPr>
                    <w:t>-</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4F58C3E2">
                  <w:pPr>
                    <w:keepNext w:val="0"/>
                    <w:keepLines w:val="0"/>
                    <w:suppressLineNumbers w:val="0"/>
                    <w:spacing w:before="0" w:beforeAutospacing="0" w:after="0" w:afterAutospacing="0" w:line="360" w:lineRule="auto"/>
                    <w:ind w:left="0" w:leftChars="0" w:right="0" w:rightChars="0"/>
                    <w:jc w:val="center"/>
                    <w:rPr>
                      <w:rFonts w:hint="default"/>
                      <w:color w:val="auto"/>
                      <w:highlight w:val="none"/>
                    </w:rPr>
                  </w:pPr>
                  <w:r>
                    <w:rPr>
                      <w:rFonts w:hint="eastAsia"/>
                      <w:color w:val="auto"/>
                      <w:highlight w:val="none"/>
                      <w:lang w:val="en-US" w:eastAsia="zh-CN"/>
                    </w:rPr>
                    <w:t>-</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3F9AFDA4">
                  <w:pPr>
                    <w:keepNext w:val="0"/>
                    <w:keepLines w:val="0"/>
                    <w:suppressLineNumbers w:val="0"/>
                    <w:spacing w:before="0" w:beforeAutospacing="0" w:after="0" w:afterAutospacing="0" w:line="360" w:lineRule="auto"/>
                    <w:ind w:left="0" w:leftChars="0" w:right="0" w:rightChars="0"/>
                    <w:jc w:val="center"/>
                    <w:rPr>
                      <w:rFonts w:hint="default"/>
                      <w:color w:val="auto"/>
                      <w:highlight w:val="none"/>
                    </w:rPr>
                  </w:pPr>
                  <w:r>
                    <w:rPr>
                      <w:rFonts w:hint="eastAsia"/>
                      <w:color w:val="auto"/>
                      <w:highlight w:val="none"/>
                      <w:lang w:val="en-US" w:eastAsia="zh-CN"/>
                    </w:rPr>
                    <w:t>-</w:t>
                  </w:r>
                </w:p>
              </w:tc>
            </w:tr>
            <w:tr w14:paraId="29A15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2B45B79C">
                  <w:pPr>
                    <w:keepNext w:val="0"/>
                    <w:keepLines w:val="0"/>
                    <w:suppressLineNumbers w:val="0"/>
                    <w:spacing w:before="0" w:beforeAutospacing="0" w:after="0" w:afterAutospacing="0" w:line="360" w:lineRule="auto"/>
                    <w:ind w:left="0" w:right="0"/>
                    <w:jc w:val="center"/>
                    <w:rPr>
                      <w:rFonts w:hint="default"/>
                      <w:color w:val="auto"/>
                      <w:highlight w:val="none"/>
                    </w:rPr>
                  </w:pPr>
                  <w:r>
                    <w:rPr>
                      <w:rFonts w:hint="eastAsia"/>
                      <w:color w:val="auto"/>
                      <w:highlight w:val="none"/>
                    </w:rPr>
                    <w:t>1.</w:t>
                  </w:r>
                  <w:r>
                    <w:rPr>
                      <w:rFonts w:hint="eastAsia"/>
                      <w:color w:val="auto"/>
                      <w:highlight w:val="none"/>
                      <w:lang w:val="en-US" w:eastAsia="zh-CN"/>
                    </w:rPr>
                    <w:t>2</w:t>
                  </w:r>
                </w:p>
              </w:tc>
              <w:tc>
                <w:tcPr>
                  <w:tcW w:w="2211" w:type="dxa"/>
                  <w:tcBorders>
                    <w:top w:val="single" w:color="auto" w:sz="4" w:space="0"/>
                    <w:left w:val="single" w:color="auto" w:sz="4" w:space="0"/>
                    <w:bottom w:val="single" w:color="auto" w:sz="4" w:space="0"/>
                    <w:right w:val="single" w:color="auto" w:sz="4" w:space="0"/>
                  </w:tcBorders>
                  <w:noWrap w:val="0"/>
                  <w:vAlign w:val="top"/>
                </w:tcPr>
                <w:p w14:paraId="70FD1A17">
                  <w:pPr>
                    <w:keepNext w:val="0"/>
                    <w:keepLines w:val="0"/>
                    <w:suppressLineNumbers w:val="0"/>
                    <w:spacing w:before="0" w:beforeAutospacing="0" w:after="0" w:afterAutospacing="0" w:line="360" w:lineRule="auto"/>
                    <w:ind w:left="0" w:right="0"/>
                    <w:rPr>
                      <w:rFonts w:hint="default" w:ascii="宋体" w:hAnsi="宋体"/>
                      <w:color w:val="auto"/>
                      <w:highlight w:val="none"/>
                    </w:rPr>
                  </w:pPr>
                  <w:r>
                    <w:rPr>
                      <w:rFonts w:hint="eastAsia" w:ascii="宋体" w:hAnsi="宋体"/>
                      <w:color w:val="auto"/>
                      <w:highlight w:val="none"/>
                    </w:rPr>
                    <w:t>专业工程暂估价</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7B447C70">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3B2A55EE">
                  <w:pPr>
                    <w:keepNext w:val="0"/>
                    <w:keepLines w:val="0"/>
                    <w:suppressLineNumbers w:val="0"/>
                    <w:spacing w:before="0" w:beforeAutospacing="0" w:after="0" w:afterAutospacing="0" w:line="360" w:lineRule="auto"/>
                    <w:ind w:left="0" w:leftChars="0" w:right="0" w:rightChars="0"/>
                    <w:jc w:val="center"/>
                    <w:rPr>
                      <w:rFonts w:hint="default"/>
                      <w:color w:val="auto"/>
                      <w:highlight w:val="none"/>
                    </w:rPr>
                  </w:pPr>
                  <w:r>
                    <w:rPr>
                      <w:rFonts w:hint="eastAsia"/>
                      <w:color w:val="auto"/>
                      <w:highlight w:val="none"/>
                      <w:lang w:val="en-US" w:eastAsia="zh-CN"/>
                    </w:rPr>
                    <w:t>-</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07EF6DC4">
                  <w:pPr>
                    <w:keepNext w:val="0"/>
                    <w:keepLines w:val="0"/>
                    <w:suppressLineNumbers w:val="0"/>
                    <w:spacing w:before="0" w:beforeAutospacing="0" w:after="0" w:afterAutospacing="0" w:line="360" w:lineRule="auto"/>
                    <w:ind w:left="0" w:leftChars="0" w:right="0" w:rightChars="0"/>
                    <w:jc w:val="center"/>
                    <w:rPr>
                      <w:rFonts w:hint="default"/>
                      <w:color w:val="auto"/>
                      <w:highlight w:val="none"/>
                    </w:rPr>
                  </w:pPr>
                  <w:r>
                    <w:rPr>
                      <w:rFonts w:hint="eastAsia"/>
                      <w:color w:val="auto"/>
                      <w:highlight w:val="none"/>
                      <w:lang w:val="en-US" w:eastAsia="zh-CN"/>
                    </w:rPr>
                    <w:t>-</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1ECDDEBD">
                  <w:pPr>
                    <w:keepNext w:val="0"/>
                    <w:keepLines w:val="0"/>
                    <w:suppressLineNumbers w:val="0"/>
                    <w:spacing w:before="0" w:beforeAutospacing="0" w:after="0" w:afterAutospacing="0" w:line="360" w:lineRule="auto"/>
                    <w:ind w:left="0" w:leftChars="0" w:right="0" w:rightChars="0"/>
                    <w:jc w:val="center"/>
                    <w:rPr>
                      <w:rFonts w:hint="default"/>
                      <w:color w:val="auto"/>
                      <w:highlight w:val="none"/>
                    </w:rPr>
                  </w:pPr>
                  <w:r>
                    <w:rPr>
                      <w:rFonts w:hint="eastAsia"/>
                      <w:color w:val="auto"/>
                      <w:highlight w:val="none"/>
                      <w:lang w:val="en-US" w:eastAsia="zh-CN"/>
                    </w:rPr>
                    <w:t>-</w:t>
                  </w:r>
                </w:p>
              </w:tc>
            </w:tr>
            <w:tr w14:paraId="05FCC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34EEB8AB">
                  <w:pPr>
                    <w:keepNext w:val="0"/>
                    <w:keepLines w:val="0"/>
                    <w:suppressLineNumbers w:val="0"/>
                    <w:spacing w:before="0" w:beforeAutospacing="0" w:after="0" w:afterAutospacing="0" w:line="360" w:lineRule="auto"/>
                    <w:ind w:left="0" w:right="0"/>
                    <w:jc w:val="center"/>
                    <w:rPr>
                      <w:rFonts w:hint="default"/>
                      <w:color w:val="auto"/>
                      <w:highlight w:val="none"/>
                    </w:rPr>
                  </w:pPr>
                  <w:r>
                    <w:rPr>
                      <w:rFonts w:hint="eastAsia"/>
                      <w:color w:val="auto"/>
                      <w:highlight w:val="none"/>
                    </w:rPr>
                    <w:t>1.</w:t>
                  </w:r>
                  <w:r>
                    <w:rPr>
                      <w:rFonts w:hint="eastAsia"/>
                      <w:color w:val="auto"/>
                      <w:highlight w:val="none"/>
                      <w:lang w:val="en-US" w:eastAsia="zh-CN"/>
                    </w:rPr>
                    <w:t>3</w:t>
                  </w:r>
                </w:p>
              </w:tc>
              <w:tc>
                <w:tcPr>
                  <w:tcW w:w="2211" w:type="dxa"/>
                  <w:tcBorders>
                    <w:top w:val="single" w:color="auto" w:sz="4" w:space="0"/>
                    <w:left w:val="single" w:color="auto" w:sz="4" w:space="0"/>
                    <w:bottom w:val="single" w:color="auto" w:sz="4" w:space="0"/>
                    <w:right w:val="single" w:color="auto" w:sz="4" w:space="0"/>
                  </w:tcBorders>
                  <w:noWrap w:val="0"/>
                  <w:vAlign w:val="top"/>
                </w:tcPr>
                <w:p w14:paraId="482AD073">
                  <w:pPr>
                    <w:keepNext w:val="0"/>
                    <w:keepLines w:val="0"/>
                    <w:suppressLineNumbers w:val="0"/>
                    <w:spacing w:before="0" w:beforeAutospacing="0" w:after="0" w:afterAutospacing="0" w:line="360" w:lineRule="auto"/>
                    <w:ind w:left="0" w:right="0"/>
                    <w:rPr>
                      <w:rFonts w:hint="default" w:ascii="宋体" w:hAnsi="宋体"/>
                      <w:color w:val="auto"/>
                      <w:highlight w:val="none"/>
                      <w:lang w:val="en"/>
                    </w:rPr>
                  </w:pPr>
                  <w:r>
                    <w:rPr>
                      <w:rFonts w:hint="default" w:ascii="宋体" w:hAnsi="宋体"/>
                      <w:color w:val="auto"/>
                      <w:highlight w:val="none"/>
                      <w:lang w:val="en"/>
                    </w:rPr>
                    <w:t>安全生产费</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6F678015">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06233BBA">
                  <w:pPr>
                    <w:keepNext w:val="0"/>
                    <w:keepLines w:val="0"/>
                    <w:suppressLineNumbers w:val="0"/>
                    <w:spacing w:before="0" w:beforeAutospacing="0" w:after="0" w:afterAutospacing="0" w:line="360" w:lineRule="auto"/>
                    <w:ind w:left="0" w:leftChars="0" w:right="0" w:rightChars="0"/>
                    <w:jc w:val="center"/>
                    <w:rPr>
                      <w:rFonts w:hint="default"/>
                      <w:color w:val="auto"/>
                      <w:highlight w:val="none"/>
                    </w:rPr>
                  </w:pPr>
                  <w:r>
                    <w:rPr>
                      <w:rFonts w:hint="eastAsia"/>
                      <w:color w:val="auto"/>
                      <w:highlight w:val="none"/>
                      <w:lang w:val="en-US" w:eastAsia="zh-CN"/>
                    </w:rPr>
                    <w:t>-</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07D79082">
                  <w:pPr>
                    <w:keepNext w:val="0"/>
                    <w:keepLines w:val="0"/>
                    <w:suppressLineNumbers w:val="0"/>
                    <w:spacing w:before="0" w:beforeAutospacing="0" w:after="0" w:afterAutospacing="0" w:line="360" w:lineRule="auto"/>
                    <w:ind w:left="0" w:leftChars="0" w:right="0" w:rightChars="0"/>
                    <w:jc w:val="center"/>
                    <w:rPr>
                      <w:rFonts w:hint="default"/>
                      <w:color w:val="auto"/>
                      <w:highlight w:val="none"/>
                    </w:rPr>
                  </w:pPr>
                  <w:r>
                    <w:rPr>
                      <w:rFonts w:hint="eastAsia"/>
                      <w:color w:val="auto"/>
                      <w:highlight w:val="none"/>
                      <w:lang w:val="en-US" w:eastAsia="zh-CN"/>
                    </w:rPr>
                    <w:t>-</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6F712AAF">
                  <w:pPr>
                    <w:keepNext w:val="0"/>
                    <w:keepLines w:val="0"/>
                    <w:suppressLineNumbers w:val="0"/>
                    <w:spacing w:before="0" w:beforeAutospacing="0" w:after="0" w:afterAutospacing="0" w:line="360" w:lineRule="auto"/>
                    <w:ind w:left="0" w:leftChars="0" w:right="0" w:rightChars="0"/>
                    <w:jc w:val="center"/>
                    <w:rPr>
                      <w:rFonts w:hint="default"/>
                      <w:color w:val="auto"/>
                      <w:highlight w:val="none"/>
                    </w:rPr>
                  </w:pPr>
                  <w:r>
                    <w:rPr>
                      <w:rFonts w:hint="eastAsia"/>
                      <w:color w:val="auto"/>
                      <w:highlight w:val="none"/>
                      <w:lang w:val="en-US" w:eastAsia="zh-CN"/>
                    </w:rPr>
                    <w:t>-</w:t>
                  </w:r>
                </w:p>
              </w:tc>
            </w:tr>
            <w:tr w14:paraId="7C85F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29F40971">
                  <w:pPr>
                    <w:keepNext w:val="0"/>
                    <w:keepLines w:val="0"/>
                    <w:suppressLineNumbers w:val="0"/>
                    <w:spacing w:before="0" w:beforeAutospacing="0" w:after="0" w:afterAutospacing="0" w:line="360" w:lineRule="auto"/>
                    <w:ind w:left="0" w:right="0"/>
                    <w:jc w:val="center"/>
                    <w:rPr>
                      <w:rFonts w:hint="eastAsia" w:eastAsia="宋体"/>
                      <w:color w:val="auto"/>
                      <w:highlight w:val="none"/>
                      <w:lang w:val="en-US" w:eastAsia="zh-CN"/>
                    </w:rPr>
                  </w:pPr>
                  <w:r>
                    <w:rPr>
                      <w:rFonts w:hint="eastAsia"/>
                      <w:color w:val="auto"/>
                      <w:highlight w:val="none"/>
                      <w:lang w:val="en-US" w:eastAsia="zh-CN"/>
                    </w:rPr>
                    <w:t>2</w:t>
                  </w:r>
                </w:p>
              </w:tc>
              <w:tc>
                <w:tcPr>
                  <w:tcW w:w="2211" w:type="dxa"/>
                  <w:tcBorders>
                    <w:top w:val="single" w:color="auto" w:sz="4" w:space="0"/>
                    <w:left w:val="single" w:color="auto" w:sz="4" w:space="0"/>
                    <w:bottom w:val="single" w:color="auto" w:sz="4" w:space="0"/>
                    <w:right w:val="single" w:color="auto" w:sz="4" w:space="0"/>
                  </w:tcBorders>
                  <w:noWrap w:val="0"/>
                  <w:vAlign w:val="top"/>
                </w:tcPr>
                <w:p w14:paraId="7F805EC6">
                  <w:pPr>
                    <w:keepNext w:val="0"/>
                    <w:keepLines w:val="0"/>
                    <w:suppressLineNumbers w:val="0"/>
                    <w:spacing w:before="0" w:beforeAutospacing="0" w:after="0" w:afterAutospacing="0" w:line="360" w:lineRule="auto"/>
                    <w:ind w:left="0" w:right="0"/>
                    <w:rPr>
                      <w:rFonts w:hint="eastAsia" w:ascii="宋体" w:hAnsi="宋体" w:eastAsia="宋体"/>
                      <w:color w:val="auto"/>
                      <w:highlight w:val="none"/>
                      <w:lang w:eastAsia="zh-CN"/>
                    </w:rPr>
                  </w:pPr>
                  <w:r>
                    <w:rPr>
                      <w:rFonts w:hint="eastAsia" w:ascii="宋体" w:hAnsi="宋体"/>
                      <w:color w:val="auto"/>
                      <w:highlight w:val="none"/>
                      <w:lang w:val="en-US" w:eastAsia="zh-CN"/>
                    </w:rPr>
                    <w:t>应付</w:t>
                  </w:r>
                  <w:r>
                    <w:rPr>
                      <w:rFonts w:hint="eastAsia" w:ascii="宋体" w:hAnsi="宋体"/>
                      <w:color w:val="auto"/>
                      <w:highlight w:val="none"/>
                      <w:lang w:eastAsia="zh-CN"/>
                    </w:rPr>
                    <w:t>预付款</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223EC192">
                  <w:pPr>
                    <w:keepNext w:val="0"/>
                    <w:keepLines w:val="0"/>
                    <w:suppressLineNumbers w:val="0"/>
                    <w:spacing w:before="0" w:beforeAutospacing="0" w:after="0" w:afterAutospacing="0" w:line="360" w:lineRule="auto"/>
                    <w:ind w:left="0" w:right="0"/>
                    <w:jc w:val="center"/>
                    <w:rPr>
                      <w:rFonts w:hint="default" w:eastAsia="宋体"/>
                      <w:color w:val="auto"/>
                      <w:highlight w:val="none"/>
                      <w:lang w:val="en-US" w:eastAsia="zh-CN"/>
                    </w:rPr>
                  </w:pPr>
                  <w:r>
                    <w:rPr>
                      <w:rFonts w:hint="eastAsia"/>
                      <w:color w:val="auto"/>
                      <w:highlight w:val="none"/>
                      <w:lang w:val="en-US" w:eastAsia="zh-CN"/>
                    </w:rPr>
                    <w:t>1-(1.1+1.2+1.3)</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333FAF04">
                  <w:pPr>
                    <w:keepNext w:val="0"/>
                    <w:keepLines w:val="0"/>
                    <w:suppressLineNumbers w:val="0"/>
                    <w:spacing w:before="0" w:beforeAutospacing="0" w:after="0" w:afterAutospacing="0" w:line="360" w:lineRule="auto"/>
                    <w:ind w:left="0" w:leftChars="0" w:right="0" w:rightChars="0"/>
                    <w:jc w:val="center"/>
                    <w:rPr>
                      <w:rFonts w:hint="default"/>
                      <w:color w:val="auto"/>
                      <w:highlight w:val="none"/>
                    </w:rPr>
                  </w:pPr>
                  <w:r>
                    <w:rPr>
                      <w:rFonts w:hint="eastAsia"/>
                      <w:color w:val="auto"/>
                      <w:highlight w:val="none"/>
                      <w:lang w:val="en-US" w:eastAsia="zh-CN"/>
                    </w:rPr>
                    <w:t>-</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2C884631">
                  <w:pPr>
                    <w:keepNext w:val="0"/>
                    <w:keepLines w:val="0"/>
                    <w:suppressLineNumbers w:val="0"/>
                    <w:spacing w:before="0" w:beforeAutospacing="0" w:after="0" w:afterAutospacing="0" w:line="360" w:lineRule="auto"/>
                    <w:ind w:left="0" w:leftChars="0" w:right="0" w:rightChars="0"/>
                    <w:jc w:val="center"/>
                    <w:rPr>
                      <w:rFonts w:hint="default"/>
                      <w:color w:val="auto"/>
                      <w:highlight w:val="none"/>
                    </w:rPr>
                  </w:pPr>
                  <w:r>
                    <w:rPr>
                      <w:rFonts w:hint="eastAsia"/>
                      <w:color w:val="auto"/>
                      <w:highlight w:val="none"/>
                      <w:lang w:val="en-US" w:eastAsia="zh-CN"/>
                    </w:rPr>
                    <w:t>-</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7FD6F0BC">
                  <w:pPr>
                    <w:keepNext w:val="0"/>
                    <w:keepLines w:val="0"/>
                    <w:suppressLineNumbers w:val="0"/>
                    <w:spacing w:before="0" w:beforeAutospacing="0" w:after="0" w:afterAutospacing="0" w:line="360" w:lineRule="auto"/>
                    <w:ind w:left="0" w:leftChars="0" w:right="0" w:rightChars="0"/>
                    <w:jc w:val="center"/>
                    <w:rPr>
                      <w:rFonts w:hint="default"/>
                      <w:color w:val="auto"/>
                      <w:highlight w:val="none"/>
                    </w:rPr>
                  </w:pPr>
                  <w:r>
                    <w:rPr>
                      <w:rFonts w:hint="eastAsia"/>
                      <w:color w:val="auto"/>
                      <w:highlight w:val="none"/>
                      <w:lang w:val="en-US" w:eastAsia="zh-CN"/>
                    </w:rPr>
                    <w:t>-</w:t>
                  </w:r>
                </w:p>
              </w:tc>
            </w:tr>
            <w:tr w14:paraId="74B9E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7E81A0D3">
                  <w:pPr>
                    <w:keepNext w:val="0"/>
                    <w:keepLines w:val="0"/>
                    <w:suppressLineNumbers w:val="0"/>
                    <w:spacing w:before="0" w:beforeAutospacing="0" w:after="0" w:afterAutospacing="0" w:line="360" w:lineRule="auto"/>
                    <w:ind w:left="0" w:leftChars="0" w:right="0" w:rightChars="0"/>
                    <w:jc w:val="center"/>
                    <w:rPr>
                      <w:rFonts w:hint="eastAsia" w:ascii="Calibri" w:hAnsi="Calibri" w:eastAsia="宋体"/>
                      <w:color w:val="auto"/>
                      <w:highlight w:val="none"/>
                      <w:lang w:val="en-US" w:eastAsia="zh-CN"/>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69EBA465">
                  <w:pPr>
                    <w:keepNext w:val="0"/>
                    <w:keepLines w:val="0"/>
                    <w:suppressLineNumbers w:val="0"/>
                    <w:spacing w:before="0" w:beforeAutospacing="0" w:after="0" w:afterAutospacing="0" w:line="360" w:lineRule="auto"/>
                    <w:ind w:left="0" w:leftChars="0" w:right="0" w:rightChars="0"/>
                    <w:rPr>
                      <w:rFonts w:hint="default" w:ascii="Calibri" w:hAnsi="Calibri"/>
                      <w:color w:val="auto"/>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75FE34ED">
                  <w:pPr>
                    <w:keepNext w:val="0"/>
                    <w:keepLines w:val="0"/>
                    <w:suppressLineNumbers w:val="0"/>
                    <w:spacing w:before="0" w:beforeAutospacing="0" w:after="0" w:afterAutospacing="0" w:line="360" w:lineRule="auto"/>
                    <w:ind w:left="0" w:right="0"/>
                    <w:jc w:val="center"/>
                    <w:rPr>
                      <w:rFonts w:hint="default" w:ascii="Calibri" w:hAnsi="Calibri"/>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06F3BAD5">
                  <w:pPr>
                    <w:keepNext w:val="0"/>
                    <w:keepLines w:val="0"/>
                    <w:suppressLineNumbers w:val="0"/>
                    <w:spacing w:before="0" w:beforeAutospacing="0" w:after="0" w:afterAutospacing="0" w:line="360" w:lineRule="auto"/>
                    <w:ind w:left="0" w:right="0"/>
                    <w:jc w:val="center"/>
                    <w:rPr>
                      <w:rFonts w:hint="default" w:ascii="Calibri" w:hAnsi="Calibri"/>
                      <w:color w:val="auto"/>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363B0CA2">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29D0551A">
                  <w:pPr>
                    <w:keepNext w:val="0"/>
                    <w:keepLines w:val="0"/>
                    <w:suppressLineNumbers w:val="0"/>
                    <w:spacing w:before="0" w:beforeAutospacing="0" w:after="0" w:afterAutospacing="0" w:line="360" w:lineRule="auto"/>
                    <w:ind w:left="0" w:right="0"/>
                    <w:jc w:val="center"/>
                    <w:rPr>
                      <w:rFonts w:hint="default"/>
                      <w:color w:val="auto"/>
                      <w:highlight w:val="none"/>
                    </w:rPr>
                  </w:pPr>
                </w:p>
              </w:tc>
            </w:tr>
            <w:tr w14:paraId="3E2A8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3311E2DD">
                  <w:pPr>
                    <w:keepNext w:val="0"/>
                    <w:keepLines w:val="0"/>
                    <w:suppressLineNumbers w:val="0"/>
                    <w:spacing w:before="0" w:beforeAutospacing="0" w:after="0" w:afterAutospacing="0" w:line="360" w:lineRule="auto"/>
                    <w:ind w:left="0" w:leftChars="0" w:right="0" w:rightChars="0"/>
                    <w:jc w:val="center"/>
                    <w:rPr>
                      <w:rFonts w:hint="default" w:ascii="Calibri" w:hAnsi="Calibri"/>
                      <w:color w:val="auto"/>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598C3475">
                  <w:pPr>
                    <w:keepNext w:val="0"/>
                    <w:keepLines w:val="0"/>
                    <w:suppressLineNumbers w:val="0"/>
                    <w:spacing w:before="0" w:beforeAutospacing="0" w:after="0" w:afterAutospacing="0" w:line="360" w:lineRule="auto"/>
                    <w:ind w:left="0" w:leftChars="0" w:right="0" w:rightChars="0"/>
                    <w:rPr>
                      <w:rFonts w:hint="default" w:ascii="Calibri" w:hAnsi="Calibri"/>
                      <w:color w:val="auto"/>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604C6222">
                  <w:pPr>
                    <w:keepNext w:val="0"/>
                    <w:keepLines w:val="0"/>
                    <w:suppressLineNumbers w:val="0"/>
                    <w:spacing w:before="0" w:beforeAutospacing="0" w:after="0" w:afterAutospacing="0" w:line="360" w:lineRule="auto"/>
                    <w:ind w:left="0" w:right="0"/>
                    <w:jc w:val="center"/>
                    <w:rPr>
                      <w:rFonts w:hint="default" w:ascii="Calibri" w:hAnsi="Calibri"/>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3678F044">
                  <w:pPr>
                    <w:keepNext w:val="0"/>
                    <w:keepLines w:val="0"/>
                    <w:suppressLineNumbers w:val="0"/>
                    <w:spacing w:before="0" w:beforeAutospacing="0" w:after="0" w:afterAutospacing="0" w:line="360" w:lineRule="auto"/>
                    <w:ind w:left="0" w:right="0"/>
                    <w:jc w:val="center"/>
                    <w:rPr>
                      <w:rFonts w:hint="default" w:ascii="Calibri" w:hAnsi="Calibri"/>
                      <w:color w:val="auto"/>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6CDD53A0">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1FE8F3E2">
                  <w:pPr>
                    <w:keepNext w:val="0"/>
                    <w:keepLines w:val="0"/>
                    <w:suppressLineNumbers w:val="0"/>
                    <w:spacing w:before="0" w:beforeAutospacing="0" w:after="0" w:afterAutospacing="0" w:line="360" w:lineRule="auto"/>
                    <w:ind w:left="0" w:right="0"/>
                    <w:jc w:val="center"/>
                    <w:rPr>
                      <w:rFonts w:hint="default"/>
                      <w:color w:val="auto"/>
                      <w:highlight w:val="none"/>
                    </w:rPr>
                  </w:pPr>
                </w:p>
              </w:tc>
            </w:tr>
            <w:tr w14:paraId="38497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4EE59C3D">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5BA4FF57">
                  <w:pPr>
                    <w:keepNext w:val="0"/>
                    <w:keepLines w:val="0"/>
                    <w:suppressLineNumbers w:val="0"/>
                    <w:spacing w:before="0" w:beforeAutospacing="0" w:after="0" w:afterAutospacing="0" w:line="360" w:lineRule="auto"/>
                    <w:ind w:left="0" w:right="0"/>
                    <w:rPr>
                      <w:rFonts w:hint="default"/>
                      <w:color w:val="auto"/>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12272DDF">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1BD6AFF3">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03DFAF6C">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5F1AAD1">
                  <w:pPr>
                    <w:keepNext w:val="0"/>
                    <w:keepLines w:val="0"/>
                    <w:suppressLineNumbers w:val="0"/>
                    <w:spacing w:before="0" w:beforeAutospacing="0" w:after="0" w:afterAutospacing="0" w:line="360" w:lineRule="auto"/>
                    <w:ind w:left="0" w:right="0"/>
                    <w:jc w:val="center"/>
                    <w:rPr>
                      <w:rFonts w:hint="default"/>
                      <w:color w:val="auto"/>
                      <w:highlight w:val="none"/>
                    </w:rPr>
                  </w:pPr>
                </w:p>
              </w:tc>
            </w:tr>
            <w:tr w14:paraId="1BEA7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0896C938">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13D31D3B">
                  <w:pPr>
                    <w:keepNext w:val="0"/>
                    <w:keepLines w:val="0"/>
                    <w:suppressLineNumbers w:val="0"/>
                    <w:spacing w:before="0" w:beforeAutospacing="0" w:after="0" w:afterAutospacing="0" w:line="360" w:lineRule="auto"/>
                    <w:ind w:left="0" w:right="0"/>
                    <w:rPr>
                      <w:rFonts w:hint="default"/>
                      <w:color w:val="auto"/>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6441F2FF">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4FCA551F">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365528E8">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0CA93683">
                  <w:pPr>
                    <w:keepNext w:val="0"/>
                    <w:keepLines w:val="0"/>
                    <w:suppressLineNumbers w:val="0"/>
                    <w:spacing w:before="0" w:beforeAutospacing="0" w:after="0" w:afterAutospacing="0" w:line="360" w:lineRule="auto"/>
                    <w:ind w:left="0" w:right="0"/>
                    <w:jc w:val="center"/>
                    <w:rPr>
                      <w:rFonts w:hint="default"/>
                      <w:color w:val="auto"/>
                      <w:highlight w:val="none"/>
                    </w:rPr>
                  </w:pPr>
                </w:p>
              </w:tc>
            </w:tr>
            <w:tr w14:paraId="21EB2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4C16C32C">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53EC2C56">
                  <w:pPr>
                    <w:keepNext w:val="0"/>
                    <w:keepLines w:val="0"/>
                    <w:suppressLineNumbers w:val="0"/>
                    <w:spacing w:before="0" w:beforeAutospacing="0" w:after="0" w:afterAutospacing="0" w:line="360" w:lineRule="auto"/>
                    <w:ind w:left="0" w:right="0"/>
                    <w:rPr>
                      <w:rFonts w:hint="default"/>
                      <w:color w:val="auto"/>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26585923">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39D9F268">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3E5DD7DB">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1FDA6B6F">
                  <w:pPr>
                    <w:keepNext w:val="0"/>
                    <w:keepLines w:val="0"/>
                    <w:suppressLineNumbers w:val="0"/>
                    <w:spacing w:before="0" w:beforeAutospacing="0" w:after="0" w:afterAutospacing="0" w:line="360" w:lineRule="auto"/>
                    <w:ind w:left="0" w:right="0"/>
                    <w:jc w:val="center"/>
                    <w:rPr>
                      <w:rFonts w:hint="default"/>
                      <w:color w:val="auto"/>
                      <w:highlight w:val="none"/>
                    </w:rPr>
                  </w:pPr>
                </w:p>
              </w:tc>
            </w:tr>
            <w:tr w14:paraId="22C0D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35D3F09D">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49D96B3A">
                  <w:pPr>
                    <w:keepNext w:val="0"/>
                    <w:keepLines w:val="0"/>
                    <w:suppressLineNumbers w:val="0"/>
                    <w:spacing w:before="0" w:beforeAutospacing="0" w:after="0" w:afterAutospacing="0" w:line="360" w:lineRule="auto"/>
                    <w:ind w:left="0" w:right="0"/>
                    <w:rPr>
                      <w:rFonts w:hint="default"/>
                      <w:color w:val="auto"/>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5A278017">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4E4EEB89">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27106A59">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6BEE490A">
                  <w:pPr>
                    <w:keepNext w:val="0"/>
                    <w:keepLines w:val="0"/>
                    <w:suppressLineNumbers w:val="0"/>
                    <w:spacing w:before="0" w:beforeAutospacing="0" w:after="0" w:afterAutospacing="0" w:line="360" w:lineRule="auto"/>
                    <w:ind w:left="0" w:right="0"/>
                    <w:jc w:val="center"/>
                    <w:rPr>
                      <w:rFonts w:hint="default"/>
                      <w:color w:val="auto"/>
                      <w:highlight w:val="none"/>
                    </w:rPr>
                  </w:pPr>
                </w:p>
              </w:tc>
            </w:tr>
          </w:tbl>
          <w:p w14:paraId="31A0B646">
            <w:pPr>
              <w:keepNext w:val="0"/>
              <w:keepLines w:val="0"/>
              <w:suppressLineNumbers w:val="0"/>
              <w:wordWrap w:val="0"/>
              <w:spacing w:before="0" w:beforeAutospacing="0" w:after="0" w:afterAutospacing="0" w:line="360" w:lineRule="auto"/>
              <w:ind w:left="0" w:right="420"/>
              <w:rPr>
                <w:rFonts w:hint="default"/>
                <w:color w:val="auto"/>
                <w:highlight w:val="none"/>
              </w:rPr>
            </w:pPr>
            <w:r>
              <w:rPr>
                <w:rFonts w:hint="default"/>
                <w:color w:val="auto"/>
                <w:highlight w:val="none"/>
              </w:rPr>
              <w:t xml:space="preserve">          </w:t>
            </w:r>
          </w:p>
          <w:p w14:paraId="31E86C6F">
            <w:pPr>
              <w:keepNext w:val="0"/>
              <w:keepLines w:val="0"/>
              <w:suppressLineNumbers w:val="0"/>
              <w:wordWrap w:val="0"/>
              <w:spacing w:before="0" w:beforeAutospacing="0" w:after="0" w:afterAutospacing="0" w:line="360" w:lineRule="auto"/>
              <w:ind w:left="0" w:right="420"/>
              <w:rPr>
                <w:rFonts w:hint="default"/>
                <w:color w:val="auto"/>
                <w:highlight w:val="none"/>
              </w:rPr>
            </w:pPr>
          </w:p>
          <w:p w14:paraId="5F0B5A29">
            <w:pPr>
              <w:keepNext w:val="0"/>
              <w:keepLines w:val="0"/>
              <w:suppressLineNumbers w:val="0"/>
              <w:wordWrap w:val="0"/>
              <w:spacing w:before="0" w:beforeAutospacing="0" w:after="0" w:afterAutospacing="0" w:line="360" w:lineRule="auto"/>
              <w:ind w:left="0" w:right="420"/>
              <w:rPr>
                <w:rFonts w:hint="default"/>
                <w:color w:val="auto"/>
                <w:highlight w:val="none"/>
              </w:rPr>
            </w:pPr>
            <w:r>
              <w:rPr>
                <w:rFonts w:hint="default"/>
                <w:color w:val="auto"/>
                <w:highlight w:val="none"/>
              </w:rPr>
              <w:t xml:space="preserve">                                  </w:t>
            </w:r>
            <w:r>
              <w:rPr>
                <w:rFonts w:hint="eastAsia"/>
                <w:color w:val="auto"/>
                <w:highlight w:val="none"/>
              </w:rPr>
              <w:t xml:space="preserve">                  </w:t>
            </w:r>
            <w:r>
              <w:rPr>
                <w:rFonts w:hint="eastAsia" w:ascii="宋体" w:hAnsi="宋体"/>
                <w:color w:val="auto"/>
                <w:highlight w:val="none"/>
              </w:rPr>
              <w:t xml:space="preserve">承包人（章） </w:t>
            </w:r>
            <w:r>
              <w:rPr>
                <w:rFonts w:hint="default"/>
                <w:color w:val="auto"/>
                <w:highlight w:val="none"/>
              </w:rPr>
              <w:t xml:space="preserve">            </w:t>
            </w:r>
          </w:p>
          <w:p w14:paraId="771A3DA6">
            <w:pPr>
              <w:keepNext w:val="0"/>
              <w:keepLines w:val="0"/>
              <w:suppressLineNumbers w:val="0"/>
              <w:spacing w:before="0" w:beforeAutospacing="0" w:after="0" w:afterAutospacing="0" w:line="360" w:lineRule="auto"/>
              <w:ind w:left="0" w:right="420" w:firstLine="435"/>
              <w:rPr>
                <w:rFonts w:hint="default"/>
                <w:color w:val="auto"/>
                <w:highlight w:val="none"/>
              </w:rPr>
            </w:pPr>
            <w:r>
              <w:rPr>
                <w:rFonts w:hint="eastAsia" w:ascii="宋体" w:hAnsi="宋体"/>
                <w:color w:val="auto"/>
                <w:highlight w:val="none"/>
              </w:rPr>
              <w:t>造价人员</w:t>
            </w:r>
            <w:r>
              <w:rPr>
                <w:rFonts w:hint="default"/>
                <w:color w:val="auto"/>
                <w:highlight w:val="none"/>
                <w:u w:val="single"/>
              </w:rPr>
              <w:t xml:space="preserve">               </w:t>
            </w:r>
            <w:r>
              <w:rPr>
                <w:rFonts w:hint="eastAsia" w:ascii="宋体" w:hAnsi="宋体"/>
                <w:color w:val="auto"/>
                <w:highlight w:val="none"/>
              </w:rPr>
              <w:t>承包人代表</w:t>
            </w:r>
            <w:r>
              <w:rPr>
                <w:rFonts w:hint="default"/>
                <w:color w:val="auto"/>
                <w:highlight w:val="none"/>
                <w:u w:val="singl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r w14:paraId="0229E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9" w:hRule="atLeast"/>
          <w:jc w:val="center"/>
        </w:trPr>
        <w:tc>
          <w:tcPr>
            <w:tcW w:w="5096" w:type="dxa"/>
            <w:tcBorders>
              <w:top w:val="single" w:color="auto" w:sz="4" w:space="0"/>
              <w:left w:val="single" w:color="auto" w:sz="4" w:space="0"/>
              <w:bottom w:val="single" w:color="auto" w:sz="4" w:space="0"/>
              <w:right w:val="single" w:color="auto" w:sz="4" w:space="0"/>
            </w:tcBorders>
            <w:noWrap w:val="0"/>
            <w:vAlign w:val="top"/>
          </w:tcPr>
          <w:p w14:paraId="4C1B5DE0">
            <w:pPr>
              <w:keepNext w:val="0"/>
              <w:keepLines w:val="0"/>
              <w:suppressLineNumbers w:val="0"/>
              <w:spacing w:before="0" w:beforeAutospacing="0" w:after="0" w:afterAutospacing="0" w:line="360" w:lineRule="auto"/>
              <w:ind w:left="0" w:right="0"/>
              <w:rPr>
                <w:rFonts w:hint="default"/>
                <w:color w:val="auto"/>
                <w:highlight w:val="none"/>
              </w:rPr>
            </w:pPr>
            <w:r>
              <w:rPr>
                <w:rFonts w:hint="eastAsia" w:ascii="宋体" w:hAnsi="宋体"/>
                <w:color w:val="auto"/>
                <w:highlight w:val="none"/>
              </w:rPr>
              <w:t>复核意见：</w:t>
            </w:r>
          </w:p>
          <w:p w14:paraId="51E673A5">
            <w:pPr>
              <w:keepNext w:val="0"/>
              <w:keepLines w:val="0"/>
              <w:suppressLineNumbers w:val="0"/>
              <w:spacing w:before="0" w:beforeAutospacing="0" w:after="0" w:afterAutospacing="0" w:line="360" w:lineRule="auto"/>
              <w:ind w:left="0" w:right="0"/>
              <w:rPr>
                <w:rFonts w:hint="default"/>
                <w:color w:val="auto"/>
                <w:highlight w:val="none"/>
              </w:rPr>
            </w:pPr>
            <w:r>
              <w:rPr>
                <w:rFonts w:hint="eastAsia" w:ascii="宋体" w:hAnsi="宋体"/>
                <w:color w:val="auto"/>
                <w:highlight w:val="none"/>
              </w:rPr>
              <w:t>□与合同约定不相符</w:t>
            </w:r>
            <w:r>
              <w:rPr>
                <w:rFonts w:hint="eastAsia" w:ascii="宋体" w:hAnsi="宋体"/>
                <w:color w:val="auto"/>
                <w:highlight w:val="none"/>
                <w:lang w:eastAsia="zh-CN"/>
              </w:rPr>
              <w:t>，</w:t>
            </w:r>
            <w:r>
              <w:rPr>
                <w:rFonts w:hint="eastAsia" w:ascii="宋体" w:hAnsi="宋体"/>
                <w:color w:val="auto"/>
                <w:highlight w:val="none"/>
              </w:rPr>
              <w:t>修改意见见附件。</w:t>
            </w:r>
          </w:p>
          <w:p w14:paraId="7DD97314">
            <w:pPr>
              <w:keepNext w:val="0"/>
              <w:keepLines w:val="0"/>
              <w:suppressLineNumbers w:val="0"/>
              <w:spacing w:before="0" w:beforeAutospacing="0" w:after="0" w:afterAutospacing="0" w:line="360" w:lineRule="auto"/>
              <w:ind w:left="0" w:right="0"/>
              <w:rPr>
                <w:rFonts w:hint="default"/>
                <w:color w:val="auto"/>
                <w:highlight w:val="none"/>
              </w:rPr>
            </w:pPr>
            <w:r>
              <w:rPr>
                <w:rFonts w:hint="eastAsia" w:ascii="宋体" w:hAnsi="宋体"/>
                <w:color w:val="auto"/>
                <w:highlight w:val="none"/>
              </w:rPr>
              <w:t>□与合同约定相符</w:t>
            </w:r>
            <w:r>
              <w:rPr>
                <w:rFonts w:hint="eastAsia" w:ascii="宋体" w:hAnsi="宋体"/>
                <w:color w:val="auto"/>
                <w:highlight w:val="none"/>
                <w:lang w:eastAsia="zh-CN"/>
              </w:rPr>
              <w:t>，</w:t>
            </w:r>
            <w:r>
              <w:rPr>
                <w:rFonts w:hint="eastAsia" w:ascii="宋体" w:hAnsi="宋体"/>
                <w:color w:val="auto"/>
                <w:highlight w:val="none"/>
              </w:rPr>
              <w:t>具体金额由造价工程师复核。</w:t>
            </w:r>
          </w:p>
          <w:p w14:paraId="3AC44141">
            <w:pPr>
              <w:keepNext w:val="0"/>
              <w:keepLines w:val="0"/>
              <w:suppressLineNumbers w:val="0"/>
              <w:spacing w:before="0" w:beforeAutospacing="0" w:after="0" w:afterAutospacing="0" w:line="360" w:lineRule="auto"/>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监理工程师</w:t>
            </w:r>
            <w:r>
              <w:rPr>
                <w:rFonts w:hint="default"/>
                <w:color w:val="auto"/>
                <w:highlight w:val="none"/>
                <w:u w:val="single"/>
              </w:rPr>
              <w:t xml:space="preserve">           </w:t>
            </w:r>
          </w:p>
          <w:p w14:paraId="724492B5">
            <w:pPr>
              <w:keepNext w:val="0"/>
              <w:keepLines w:val="0"/>
              <w:suppressLineNumbers w:val="0"/>
              <w:spacing w:before="0" w:beforeAutospacing="0" w:after="0" w:afterAutospacing="0" w:line="360" w:lineRule="auto"/>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c>
          <w:tcPr>
            <w:tcW w:w="4543" w:type="dxa"/>
            <w:tcBorders>
              <w:top w:val="single" w:color="auto" w:sz="4" w:space="0"/>
              <w:left w:val="single" w:color="auto" w:sz="4" w:space="0"/>
              <w:bottom w:val="single" w:color="auto" w:sz="4" w:space="0"/>
              <w:right w:val="single" w:color="auto" w:sz="4" w:space="0"/>
            </w:tcBorders>
            <w:noWrap w:val="0"/>
            <w:vAlign w:val="top"/>
          </w:tcPr>
          <w:p w14:paraId="60B433FC">
            <w:pPr>
              <w:keepNext w:val="0"/>
              <w:keepLines w:val="0"/>
              <w:suppressLineNumbers w:val="0"/>
              <w:spacing w:before="0" w:beforeAutospacing="0" w:after="0" w:afterAutospacing="0" w:line="360" w:lineRule="auto"/>
              <w:ind w:left="0" w:right="0"/>
              <w:rPr>
                <w:rFonts w:hint="default"/>
                <w:color w:val="auto"/>
                <w:highlight w:val="none"/>
              </w:rPr>
            </w:pPr>
            <w:r>
              <w:rPr>
                <w:rFonts w:hint="eastAsia" w:ascii="宋体" w:hAnsi="宋体"/>
                <w:color w:val="auto"/>
                <w:highlight w:val="none"/>
              </w:rPr>
              <w:t>复核意见：</w:t>
            </w:r>
          </w:p>
          <w:p w14:paraId="584218BC">
            <w:pPr>
              <w:keepNext w:val="0"/>
              <w:keepLines w:val="0"/>
              <w:suppressLineNumbers w:val="0"/>
              <w:spacing w:before="0" w:beforeAutospacing="0" w:after="0" w:afterAutospacing="0" w:line="360" w:lineRule="auto"/>
              <w:ind w:left="0" w:right="0" w:firstLine="435"/>
              <w:rPr>
                <w:rFonts w:hint="default"/>
                <w:color w:val="auto"/>
                <w:highlight w:val="none"/>
              </w:rPr>
            </w:pPr>
            <w:r>
              <w:rPr>
                <w:rFonts w:hint="eastAsia" w:ascii="宋体" w:hAnsi="宋体"/>
                <w:color w:val="auto"/>
                <w:highlight w:val="none"/>
              </w:rPr>
              <w:t>你方提出的支付申请经复核</w:t>
            </w:r>
            <w:r>
              <w:rPr>
                <w:rFonts w:hint="eastAsia" w:ascii="宋体" w:hAnsi="宋体"/>
                <w:color w:val="auto"/>
                <w:highlight w:val="none"/>
                <w:lang w:eastAsia="zh-CN"/>
              </w:rPr>
              <w:t>，</w:t>
            </w:r>
            <w:r>
              <w:rPr>
                <w:rFonts w:hint="eastAsia" w:ascii="宋体" w:hAnsi="宋体"/>
                <w:color w:val="auto"/>
                <w:highlight w:val="none"/>
              </w:rPr>
              <w:t>应支付预付款金额为</w:t>
            </w:r>
            <w:r>
              <w:rPr>
                <w:rFonts w:hint="eastAsia"/>
                <w:color w:val="auto"/>
                <w:highlight w:val="none"/>
                <w:lang w:eastAsia="zh-CN"/>
              </w:rPr>
              <w:t>（</w:t>
            </w:r>
            <w:r>
              <w:rPr>
                <w:rFonts w:hint="eastAsia" w:ascii="宋体" w:hAnsi="宋体"/>
                <w:color w:val="auto"/>
                <w:highlight w:val="none"/>
              </w:rPr>
              <w:t>大写</w:t>
            </w:r>
            <w:r>
              <w:rPr>
                <w:rFonts w:hint="eastAsia"/>
                <w:color w:val="auto"/>
                <w:highlight w:val="none"/>
                <w:lang w:eastAsia="zh-CN"/>
              </w:rPr>
              <w:t>）</w:t>
            </w:r>
            <w:r>
              <w:rPr>
                <w:rFonts w:hint="default"/>
                <w:color w:val="auto"/>
                <w:highlight w:val="none"/>
                <w:u w:val="single"/>
              </w:rPr>
              <w:t xml:space="preserve">         </w:t>
            </w:r>
            <w:r>
              <w:rPr>
                <w:rFonts w:hint="eastAsia"/>
                <w:color w:val="auto"/>
                <w:highlight w:val="none"/>
                <w:u w:val="single"/>
              </w:rPr>
              <w:t xml:space="preserve">          </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（小写）</w:t>
            </w:r>
            <w:r>
              <w:rPr>
                <w:rFonts w:hint="default"/>
                <w:color w:val="auto"/>
                <w:highlight w:val="none"/>
                <w:u w:val="single"/>
              </w:rPr>
              <w:t xml:space="preserve">   </w:t>
            </w:r>
            <w:r>
              <w:rPr>
                <w:rFonts w:hint="eastAsia"/>
                <w:color w:val="auto"/>
                <w:highlight w:val="none"/>
                <w:u w:val="single"/>
              </w:rPr>
              <w:t xml:space="preserve">   </w:t>
            </w:r>
            <w:r>
              <w:rPr>
                <w:rFonts w:hint="default"/>
                <w:color w:val="auto"/>
                <w:highlight w:val="none"/>
                <w:u w:val="single"/>
              </w:rPr>
              <w:t xml:space="preserve">       </w:t>
            </w:r>
            <w:r>
              <w:rPr>
                <w:rFonts w:hint="default"/>
                <w:color w:val="auto"/>
                <w:highlight w:val="none"/>
              </w:rPr>
              <w:t xml:space="preserve"> </w:t>
            </w:r>
            <w:r>
              <w:rPr>
                <w:rFonts w:hint="eastAsia" w:ascii="宋体" w:hAnsi="宋体"/>
                <w:color w:val="auto"/>
                <w:highlight w:val="none"/>
              </w:rPr>
              <w:t>元。</w:t>
            </w:r>
          </w:p>
          <w:p w14:paraId="273A8DCB">
            <w:pPr>
              <w:keepNext w:val="0"/>
              <w:keepLines w:val="0"/>
              <w:suppressLineNumbers w:val="0"/>
              <w:spacing w:before="0" w:beforeAutospacing="0" w:after="0" w:afterAutospacing="0" w:line="360" w:lineRule="auto"/>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造价工程师</w:t>
            </w:r>
            <w:r>
              <w:rPr>
                <w:rFonts w:hint="default"/>
                <w:color w:val="auto"/>
                <w:highlight w:val="none"/>
                <w:u w:val="single"/>
              </w:rPr>
              <w:t xml:space="preserve">           </w:t>
            </w:r>
          </w:p>
          <w:p w14:paraId="2F4E0761">
            <w:pPr>
              <w:keepNext w:val="0"/>
              <w:keepLines w:val="0"/>
              <w:suppressLineNumbers w:val="0"/>
              <w:spacing w:before="0" w:beforeAutospacing="0" w:after="0" w:afterAutospacing="0" w:line="360" w:lineRule="auto"/>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r w14:paraId="52083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atLeast"/>
          <w:jc w:val="center"/>
        </w:trPr>
        <w:tc>
          <w:tcPr>
            <w:tcW w:w="9639" w:type="dxa"/>
            <w:gridSpan w:val="2"/>
            <w:tcBorders>
              <w:top w:val="single" w:color="auto" w:sz="4" w:space="0"/>
              <w:left w:val="single" w:color="auto" w:sz="4" w:space="0"/>
              <w:bottom w:val="single" w:color="auto" w:sz="4" w:space="0"/>
              <w:right w:val="single" w:color="auto" w:sz="4" w:space="0"/>
            </w:tcBorders>
            <w:noWrap w:val="0"/>
            <w:vAlign w:val="top"/>
          </w:tcPr>
          <w:p w14:paraId="263AC82B">
            <w:pPr>
              <w:keepNext w:val="0"/>
              <w:keepLines w:val="0"/>
              <w:suppressLineNumbers w:val="0"/>
              <w:spacing w:before="0" w:beforeAutospacing="0" w:after="0" w:afterAutospacing="0" w:line="360" w:lineRule="auto"/>
              <w:ind w:left="0" w:right="0"/>
              <w:rPr>
                <w:rFonts w:hint="default"/>
                <w:color w:val="auto"/>
                <w:highlight w:val="none"/>
              </w:rPr>
            </w:pPr>
            <w:r>
              <w:rPr>
                <w:rFonts w:hint="eastAsia" w:ascii="宋体" w:hAnsi="宋体"/>
                <w:color w:val="auto"/>
                <w:highlight w:val="none"/>
              </w:rPr>
              <w:t>审核意见：</w:t>
            </w:r>
          </w:p>
          <w:p w14:paraId="517F594F">
            <w:pPr>
              <w:keepNext w:val="0"/>
              <w:keepLines w:val="0"/>
              <w:suppressLineNumbers w:val="0"/>
              <w:spacing w:before="0" w:beforeAutospacing="0" w:after="0" w:afterAutospacing="0" w:line="360" w:lineRule="auto"/>
              <w:ind w:left="0" w:right="0" w:firstLine="435"/>
              <w:rPr>
                <w:rFonts w:hint="default"/>
                <w:color w:val="auto"/>
                <w:highlight w:val="none"/>
              </w:rPr>
            </w:pPr>
            <w:r>
              <w:rPr>
                <w:rFonts w:hint="eastAsia" w:ascii="宋体" w:hAnsi="宋体"/>
                <w:color w:val="auto"/>
                <w:highlight w:val="none"/>
              </w:rPr>
              <w:t>□不同意。</w:t>
            </w:r>
          </w:p>
          <w:p w14:paraId="37CAC948">
            <w:pPr>
              <w:keepNext w:val="0"/>
              <w:keepLines w:val="0"/>
              <w:suppressLineNumbers w:val="0"/>
              <w:spacing w:before="0" w:beforeAutospacing="0" w:after="0" w:afterAutospacing="0" w:line="360" w:lineRule="auto"/>
              <w:ind w:left="0" w:right="0" w:firstLine="420" w:firstLineChars="200"/>
              <w:rPr>
                <w:rFonts w:hint="default"/>
                <w:color w:val="auto"/>
                <w:highlight w:val="none"/>
              </w:rPr>
            </w:pPr>
            <w:r>
              <w:rPr>
                <w:rFonts w:hint="eastAsia" w:ascii="宋体" w:hAnsi="宋体"/>
                <w:color w:val="auto"/>
                <w:highlight w:val="none"/>
              </w:rPr>
              <w:t>□同意</w:t>
            </w:r>
            <w:r>
              <w:rPr>
                <w:rFonts w:hint="eastAsia" w:ascii="宋体" w:hAnsi="宋体"/>
                <w:color w:val="auto"/>
                <w:highlight w:val="none"/>
                <w:lang w:eastAsia="zh-CN"/>
              </w:rPr>
              <w:t>，</w:t>
            </w:r>
            <w:r>
              <w:rPr>
                <w:rFonts w:hint="eastAsia" w:ascii="宋体" w:hAnsi="宋体"/>
                <w:color w:val="auto"/>
                <w:highlight w:val="none"/>
              </w:rPr>
              <w:t>支付时间为本表签发后的</w:t>
            </w:r>
            <w:r>
              <w:rPr>
                <w:rFonts w:hint="eastAsia"/>
                <w:color w:val="auto"/>
                <w:highlight w:val="none"/>
              </w:rPr>
              <w:t>15</w:t>
            </w:r>
            <w:r>
              <w:rPr>
                <w:rFonts w:hint="eastAsia" w:ascii="宋体" w:hAnsi="宋体"/>
                <w:color w:val="auto"/>
                <w:highlight w:val="none"/>
              </w:rPr>
              <w:t>天内。</w:t>
            </w:r>
          </w:p>
          <w:p w14:paraId="60061941">
            <w:pPr>
              <w:keepNext w:val="0"/>
              <w:keepLines w:val="0"/>
              <w:suppressLineNumbers w:val="0"/>
              <w:spacing w:before="0" w:beforeAutospacing="0" w:after="0" w:afterAutospacing="0" w:line="360" w:lineRule="auto"/>
              <w:ind w:left="0" w:right="735" w:firstLine="6195" w:firstLineChars="2950"/>
              <w:rPr>
                <w:rFonts w:hint="default"/>
                <w:color w:val="auto"/>
                <w:highlight w:val="none"/>
              </w:rPr>
            </w:pPr>
            <w:r>
              <w:rPr>
                <w:rFonts w:hint="eastAsia" w:ascii="宋体" w:hAnsi="宋体"/>
                <w:color w:val="auto"/>
                <w:highlight w:val="none"/>
              </w:rPr>
              <w:t xml:space="preserve">发包人（章） </w:t>
            </w:r>
            <w:r>
              <w:rPr>
                <w:rFonts w:hint="default"/>
                <w:color w:val="auto"/>
                <w:highlight w:val="none"/>
              </w:rPr>
              <w:t xml:space="preserve">          </w:t>
            </w:r>
          </w:p>
          <w:p w14:paraId="00B1CC30">
            <w:pPr>
              <w:keepNext w:val="0"/>
              <w:keepLines w:val="0"/>
              <w:suppressLineNumbers w:val="0"/>
              <w:spacing w:before="0" w:beforeAutospacing="0" w:after="0" w:afterAutospacing="0" w:line="360" w:lineRule="auto"/>
              <w:ind w:left="0" w:right="420" w:firstLine="6195" w:firstLineChars="2950"/>
              <w:rPr>
                <w:rFonts w:hint="default"/>
                <w:color w:val="auto"/>
                <w:highlight w:val="none"/>
                <w:u w:val="single"/>
              </w:rPr>
            </w:pPr>
            <w:r>
              <w:rPr>
                <w:rFonts w:hint="eastAsia" w:ascii="宋体" w:hAnsi="宋体"/>
                <w:color w:val="auto"/>
                <w:highlight w:val="none"/>
              </w:rPr>
              <w:t>发包人代表</w:t>
            </w:r>
            <w:r>
              <w:rPr>
                <w:rFonts w:hint="default"/>
                <w:color w:val="auto"/>
                <w:highlight w:val="none"/>
                <w:u w:val="single"/>
              </w:rPr>
              <w:t xml:space="preserve">             </w:t>
            </w:r>
          </w:p>
          <w:p w14:paraId="3AD80AED">
            <w:pPr>
              <w:keepNext w:val="0"/>
              <w:keepLines w:val="0"/>
              <w:suppressLineNumbers w:val="0"/>
              <w:spacing w:before="0" w:beforeAutospacing="0" w:after="0" w:afterAutospacing="0" w:line="360" w:lineRule="auto"/>
              <w:ind w:left="0" w:right="420" w:firstLine="6195" w:firstLineChars="2950"/>
              <w:rPr>
                <w:rFonts w:hint="default"/>
                <w:color w:val="auto"/>
                <w:highlight w:val="none"/>
                <w:u w:val="single"/>
              </w:rPr>
            </w:pP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bl>
    <w:p w14:paraId="7B1770B9">
      <w:pPr>
        <w:spacing w:line="360" w:lineRule="auto"/>
        <w:ind w:firstLine="360" w:firstLineChars="200"/>
        <w:rPr>
          <w:rFonts w:ascii="宋体" w:hAnsi="宋体"/>
          <w:color w:val="auto"/>
          <w:sz w:val="18"/>
          <w:szCs w:val="18"/>
          <w:highlight w:val="none"/>
        </w:rPr>
      </w:pPr>
      <w:r>
        <w:rPr>
          <w:rFonts w:hint="eastAsia" w:ascii="宋体" w:hAnsi="宋体"/>
          <w:color w:val="auto"/>
          <w:sz w:val="18"/>
          <w:szCs w:val="18"/>
          <w:highlight w:val="none"/>
        </w:rPr>
        <w:t>注：1.在选择栏中的</w:t>
      </w:r>
      <w:r>
        <w:rPr>
          <w:rFonts w:hint="eastAsia" w:ascii="宋体" w:hAnsi="宋体"/>
          <w:color w:val="auto"/>
          <w:sz w:val="18"/>
          <w:szCs w:val="18"/>
          <w:highlight w:val="none"/>
          <w:lang w:eastAsia="zh-CN"/>
        </w:rPr>
        <w:t>“</w:t>
      </w:r>
      <w:r>
        <w:rPr>
          <w:rFonts w:hint="eastAsia" w:ascii="宋体" w:hAnsi="宋体"/>
          <w:color w:val="auto"/>
          <w:sz w:val="18"/>
          <w:szCs w:val="18"/>
          <w:highlight w:val="none"/>
        </w:rPr>
        <w:t>□</w:t>
      </w:r>
      <w:r>
        <w:rPr>
          <w:rFonts w:hint="eastAsia" w:ascii="宋体" w:hAnsi="宋体"/>
          <w:color w:val="auto"/>
          <w:sz w:val="18"/>
          <w:szCs w:val="18"/>
          <w:highlight w:val="none"/>
          <w:lang w:eastAsia="zh-CN"/>
        </w:rPr>
        <w:t>”</w:t>
      </w:r>
      <w:r>
        <w:rPr>
          <w:rFonts w:hint="eastAsia" w:ascii="宋体" w:hAnsi="宋体"/>
          <w:color w:val="auto"/>
          <w:sz w:val="18"/>
          <w:szCs w:val="18"/>
          <w:highlight w:val="none"/>
        </w:rPr>
        <w:t>内作标识</w:t>
      </w:r>
      <w:r>
        <w:rPr>
          <w:rFonts w:hint="eastAsia" w:ascii="宋体" w:hAnsi="宋体"/>
          <w:color w:val="auto"/>
          <w:sz w:val="18"/>
          <w:szCs w:val="18"/>
          <w:highlight w:val="none"/>
          <w:lang w:eastAsia="zh-CN"/>
        </w:rPr>
        <w:t>“</w:t>
      </w:r>
      <w:r>
        <w:rPr>
          <w:rFonts w:hint="eastAsia" w:ascii="宋体" w:hAnsi="宋体"/>
          <w:color w:val="auto"/>
          <w:sz w:val="18"/>
          <w:szCs w:val="18"/>
          <w:highlight w:val="none"/>
        </w:rPr>
        <w:t>√</w:t>
      </w:r>
      <w:r>
        <w:rPr>
          <w:rFonts w:hint="eastAsia" w:ascii="宋体" w:hAnsi="宋体"/>
          <w:color w:val="auto"/>
          <w:sz w:val="18"/>
          <w:szCs w:val="18"/>
          <w:highlight w:val="none"/>
          <w:lang w:eastAsia="zh-CN"/>
        </w:rPr>
        <w:t>”</w:t>
      </w:r>
      <w:r>
        <w:rPr>
          <w:rFonts w:hint="eastAsia" w:ascii="宋体" w:hAnsi="宋体"/>
          <w:color w:val="auto"/>
          <w:sz w:val="18"/>
          <w:szCs w:val="18"/>
          <w:highlight w:val="none"/>
        </w:rPr>
        <w:t xml:space="preserve">。 </w:t>
      </w:r>
    </w:p>
    <w:p w14:paraId="298F8918">
      <w:pPr>
        <w:spacing w:line="360" w:lineRule="auto"/>
        <w:ind w:left="720" w:hanging="720" w:hangingChars="400"/>
        <w:rPr>
          <w:rFonts w:ascii="宋体" w:hAnsi="宋体"/>
          <w:color w:val="auto"/>
          <w:sz w:val="18"/>
          <w:szCs w:val="18"/>
          <w:highlight w:val="none"/>
        </w:rPr>
      </w:pPr>
      <w:r>
        <w:rPr>
          <w:rFonts w:hint="eastAsia" w:ascii="宋体" w:hAnsi="宋体"/>
          <w:color w:val="auto"/>
          <w:sz w:val="18"/>
          <w:szCs w:val="18"/>
          <w:highlight w:val="none"/>
        </w:rPr>
        <w:t xml:space="preserve">    </w:t>
      </w:r>
      <w:r>
        <w:rPr>
          <w:rFonts w:ascii="宋体" w:hAnsi="宋体"/>
          <w:color w:val="auto"/>
          <w:sz w:val="18"/>
          <w:szCs w:val="18"/>
          <w:highlight w:val="none"/>
        </w:rPr>
        <w:t xml:space="preserve">  </w:t>
      </w:r>
      <w:r>
        <w:rPr>
          <w:rFonts w:hint="eastAsia" w:ascii="宋体" w:hAnsi="宋体"/>
          <w:color w:val="auto"/>
          <w:sz w:val="18"/>
          <w:szCs w:val="18"/>
          <w:highlight w:val="none"/>
        </w:rPr>
        <w:t xml:space="preserve">  2.本表一式四份</w:t>
      </w:r>
      <w:r>
        <w:rPr>
          <w:rFonts w:hint="eastAsia" w:ascii="宋体" w:hAnsi="宋体"/>
          <w:color w:val="auto"/>
          <w:sz w:val="18"/>
          <w:szCs w:val="18"/>
          <w:highlight w:val="none"/>
          <w:lang w:eastAsia="zh-CN"/>
        </w:rPr>
        <w:t>，</w:t>
      </w:r>
      <w:r>
        <w:rPr>
          <w:rFonts w:hint="eastAsia" w:ascii="宋体" w:hAnsi="宋体"/>
          <w:color w:val="auto"/>
          <w:sz w:val="18"/>
          <w:szCs w:val="18"/>
          <w:highlight w:val="none"/>
        </w:rPr>
        <w:t>由承包人填报</w:t>
      </w:r>
      <w:r>
        <w:rPr>
          <w:rFonts w:hint="eastAsia" w:ascii="宋体" w:hAnsi="宋体"/>
          <w:color w:val="auto"/>
          <w:sz w:val="18"/>
          <w:szCs w:val="18"/>
          <w:highlight w:val="none"/>
          <w:lang w:eastAsia="zh-CN"/>
        </w:rPr>
        <w:t>，</w:t>
      </w:r>
      <w:r>
        <w:rPr>
          <w:rFonts w:hint="eastAsia" w:ascii="宋体" w:hAnsi="宋体"/>
          <w:color w:val="auto"/>
          <w:sz w:val="18"/>
          <w:szCs w:val="18"/>
          <w:highlight w:val="none"/>
        </w:rPr>
        <w:t>发包人、监理人、工程造价咨询人、承包人各存一份。</w:t>
      </w:r>
    </w:p>
    <w:p w14:paraId="522EF582">
      <w:pPr>
        <w:spacing w:before="0" w:beforeLines="-2147483648" w:line="360" w:lineRule="auto"/>
        <w:ind w:left="714" w:leftChars="340" w:firstLine="0" w:firstLineChars="0"/>
        <w:rPr>
          <w:rFonts w:hint="eastAsia" w:ascii="宋体" w:hAnsi="宋体" w:eastAsia="宋体"/>
          <w:color w:val="auto"/>
          <w:sz w:val="18"/>
          <w:szCs w:val="18"/>
          <w:highlight w:val="none"/>
        </w:rPr>
      </w:pPr>
      <w:r>
        <w:rPr>
          <w:rFonts w:hint="eastAsia" w:ascii="宋体" w:hAnsi="宋体" w:eastAsia="宋体"/>
          <w:color w:val="auto"/>
          <w:sz w:val="18"/>
          <w:szCs w:val="18"/>
          <w:highlight w:val="none"/>
        </w:rPr>
        <w:t>3.应付预付款计算基数=签约合同价款-暂列金额-专业工程暂估价-安全生产费</w:t>
      </w:r>
      <w:r>
        <w:rPr>
          <w:rFonts w:hint="eastAsia" w:ascii="宋体" w:hAnsi="宋体" w:eastAsia="宋体"/>
          <w:color w:val="auto"/>
          <w:sz w:val="18"/>
          <w:szCs w:val="18"/>
          <w:highlight w:val="none"/>
          <w:lang w:eastAsia="zh-CN"/>
        </w:rPr>
        <w:t>。</w:t>
      </w:r>
    </w:p>
    <w:p w14:paraId="6BB2AD09">
      <w:pPr>
        <w:spacing w:before="120" w:beforeLines="50" w:line="360" w:lineRule="auto"/>
        <w:ind w:left="1200" w:hanging="1200" w:hangingChars="400"/>
        <w:rPr>
          <w:rFonts w:hint="eastAsia" w:eastAsia="仿宋_GB2312"/>
          <w:color w:val="auto"/>
          <w:sz w:val="30"/>
          <w:szCs w:val="30"/>
          <w:highlight w:val="none"/>
        </w:rPr>
      </w:pPr>
    </w:p>
    <w:p w14:paraId="63697796">
      <w:pPr>
        <w:pStyle w:val="21"/>
        <w:spacing w:line="360" w:lineRule="auto"/>
        <w:rPr>
          <w:rFonts w:hint="eastAsia" w:eastAsia="仿宋_GB2312"/>
          <w:color w:val="auto"/>
          <w:sz w:val="30"/>
          <w:szCs w:val="30"/>
          <w:highlight w:val="none"/>
        </w:rPr>
      </w:pPr>
    </w:p>
    <w:p w14:paraId="2F97DCAF">
      <w:pPr>
        <w:pStyle w:val="21"/>
        <w:spacing w:line="360" w:lineRule="auto"/>
        <w:rPr>
          <w:rFonts w:hint="eastAsia" w:eastAsia="仿宋_GB2312"/>
          <w:color w:val="auto"/>
          <w:sz w:val="30"/>
          <w:szCs w:val="30"/>
          <w:highlight w:val="none"/>
        </w:rPr>
      </w:pPr>
    </w:p>
    <w:p w14:paraId="3EC43BD7">
      <w:pPr>
        <w:pStyle w:val="21"/>
        <w:spacing w:line="360" w:lineRule="auto"/>
        <w:rPr>
          <w:rFonts w:hint="eastAsia" w:eastAsia="仿宋_GB2312"/>
          <w:color w:val="auto"/>
          <w:sz w:val="30"/>
          <w:szCs w:val="30"/>
          <w:highlight w:val="none"/>
        </w:rPr>
      </w:pPr>
    </w:p>
    <w:p w14:paraId="1AC51265">
      <w:pPr>
        <w:pStyle w:val="21"/>
        <w:spacing w:line="360" w:lineRule="auto"/>
        <w:rPr>
          <w:rFonts w:hint="eastAsia" w:eastAsia="仿宋_GB2312"/>
          <w:color w:val="auto"/>
          <w:sz w:val="30"/>
          <w:szCs w:val="30"/>
          <w:highlight w:val="none"/>
        </w:rPr>
      </w:pPr>
    </w:p>
    <w:p w14:paraId="36B4A874">
      <w:pPr>
        <w:pStyle w:val="21"/>
        <w:spacing w:line="360" w:lineRule="auto"/>
        <w:rPr>
          <w:rFonts w:hint="eastAsia" w:eastAsia="仿宋_GB2312"/>
          <w:color w:val="auto"/>
          <w:sz w:val="30"/>
          <w:szCs w:val="30"/>
          <w:highlight w:val="none"/>
        </w:rPr>
      </w:pPr>
    </w:p>
    <w:p w14:paraId="2814DFBD">
      <w:pPr>
        <w:pStyle w:val="21"/>
        <w:spacing w:line="360" w:lineRule="auto"/>
        <w:rPr>
          <w:rFonts w:hint="eastAsia" w:eastAsia="仿宋_GB2312"/>
          <w:color w:val="auto"/>
          <w:sz w:val="30"/>
          <w:szCs w:val="30"/>
          <w:highlight w:val="none"/>
        </w:rPr>
      </w:pPr>
    </w:p>
    <w:p w14:paraId="02C358A7">
      <w:pPr>
        <w:pStyle w:val="21"/>
        <w:spacing w:line="360" w:lineRule="auto"/>
        <w:rPr>
          <w:rFonts w:hint="eastAsia" w:eastAsia="仿宋_GB2312"/>
          <w:color w:val="auto"/>
          <w:sz w:val="30"/>
          <w:szCs w:val="30"/>
          <w:highlight w:val="none"/>
        </w:rPr>
      </w:pPr>
    </w:p>
    <w:p w14:paraId="525CD248">
      <w:pPr>
        <w:pStyle w:val="21"/>
        <w:spacing w:line="360" w:lineRule="auto"/>
        <w:rPr>
          <w:rFonts w:hint="eastAsia" w:eastAsia="仿宋_GB2312"/>
          <w:color w:val="auto"/>
          <w:sz w:val="30"/>
          <w:szCs w:val="30"/>
          <w:highlight w:val="none"/>
        </w:rPr>
      </w:pPr>
    </w:p>
    <w:p w14:paraId="4580EDAA">
      <w:pPr>
        <w:pStyle w:val="21"/>
        <w:spacing w:line="360" w:lineRule="auto"/>
        <w:rPr>
          <w:rFonts w:hint="eastAsia" w:eastAsia="仿宋_GB2312"/>
          <w:color w:val="auto"/>
          <w:sz w:val="30"/>
          <w:szCs w:val="30"/>
          <w:highlight w:val="none"/>
        </w:rPr>
      </w:pPr>
    </w:p>
    <w:p w14:paraId="7BDCC406">
      <w:pPr>
        <w:pStyle w:val="21"/>
        <w:spacing w:line="360" w:lineRule="auto"/>
        <w:rPr>
          <w:rFonts w:hint="eastAsia" w:eastAsia="仿宋_GB2312"/>
          <w:color w:val="auto"/>
          <w:sz w:val="30"/>
          <w:szCs w:val="30"/>
          <w:highlight w:val="none"/>
        </w:rPr>
      </w:pPr>
    </w:p>
    <w:p w14:paraId="6303D99E">
      <w:pPr>
        <w:pStyle w:val="21"/>
        <w:spacing w:line="360" w:lineRule="auto"/>
        <w:rPr>
          <w:rFonts w:hint="eastAsia" w:eastAsia="仿宋_GB2312"/>
          <w:color w:val="auto"/>
          <w:sz w:val="30"/>
          <w:szCs w:val="30"/>
          <w:highlight w:val="none"/>
        </w:rPr>
      </w:pPr>
    </w:p>
    <w:p w14:paraId="32241276">
      <w:pPr>
        <w:pStyle w:val="21"/>
        <w:spacing w:line="360" w:lineRule="auto"/>
        <w:rPr>
          <w:rFonts w:hint="eastAsia" w:eastAsia="仿宋_GB2312"/>
          <w:color w:val="auto"/>
          <w:sz w:val="30"/>
          <w:szCs w:val="30"/>
          <w:highlight w:val="none"/>
        </w:rPr>
      </w:pPr>
    </w:p>
    <w:p w14:paraId="2CCE9A20">
      <w:pPr>
        <w:pStyle w:val="21"/>
        <w:spacing w:line="360" w:lineRule="auto"/>
        <w:rPr>
          <w:rFonts w:hint="eastAsia" w:eastAsia="仿宋_GB2312"/>
          <w:color w:val="auto"/>
          <w:sz w:val="30"/>
          <w:szCs w:val="30"/>
          <w:highlight w:val="none"/>
        </w:rPr>
      </w:pPr>
    </w:p>
    <w:p w14:paraId="51894C59">
      <w:pPr>
        <w:pStyle w:val="21"/>
        <w:spacing w:line="360" w:lineRule="auto"/>
        <w:rPr>
          <w:rFonts w:hint="eastAsia" w:eastAsia="仿宋_GB2312"/>
          <w:color w:val="auto"/>
          <w:sz w:val="30"/>
          <w:szCs w:val="30"/>
          <w:highlight w:val="none"/>
        </w:rPr>
      </w:pPr>
    </w:p>
    <w:p w14:paraId="27E78FF2">
      <w:pPr>
        <w:pStyle w:val="21"/>
        <w:spacing w:line="360" w:lineRule="auto"/>
        <w:rPr>
          <w:rFonts w:hint="eastAsia" w:eastAsia="仿宋_GB2312"/>
          <w:color w:val="auto"/>
          <w:sz w:val="30"/>
          <w:szCs w:val="30"/>
          <w:highlight w:val="none"/>
        </w:rPr>
      </w:pPr>
    </w:p>
    <w:p w14:paraId="148B2908">
      <w:pPr>
        <w:pStyle w:val="21"/>
        <w:spacing w:line="360" w:lineRule="auto"/>
        <w:rPr>
          <w:rFonts w:hint="eastAsia" w:eastAsia="仿宋_GB2312"/>
          <w:color w:val="auto"/>
          <w:sz w:val="30"/>
          <w:szCs w:val="30"/>
          <w:highlight w:val="none"/>
        </w:rPr>
      </w:pPr>
    </w:p>
    <w:p w14:paraId="47741B8F">
      <w:pPr>
        <w:spacing w:before="120" w:beforeLines="50" w:after="120" w:afterLines="50" w:line="360" w:lineRule="auto"/>
        <w:jc w:val="left"/>
        <w:rPr>
          <w:rFonts w:hint="eastAsia"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附件11：进度款支付申请（核准）表</w:t>
      </w:r>
    </w:p>
    <w:p w14:paraId="20D825BD">
      <w:pPr>
        <w:spacing w:line="360" w:lineRule="auto"/>
        <w:jc w:val="center"/>
        <w:rPr>
          <w:rFonts w:hint="default" w:ascii="Times New Roman" w:hAnsi="Times New Roman" w:cs="Times New Roman"/>
          <w:b/>
          <w:color w:val="auto"/>
          <w:sz w:val="36"/>
          <w:szCs w:val="36"/>
          <w:highlight w:val="none"/>
        </w:rPr>
      </w:pPr>
      <w:r>
        <w:rPr>
          <w:rFonts w:hint="default" w:ascii="Times New Roman" w:hAnsi="Times New Roman" w:cs="Times New Roman"/>
          <w:b/>
          <w:color w:val="auto"/>
          <w:sz w:val="36"/>
          <w:szCs w:val="36"/>
          <w:highlight w:val="none"/>
        </w:rPr>
        <w:t>进度款支付申请（核准）表</w:t>
      </w:r>
    </w:p>
    <w:p w14:paraId="05005CD4">
      <w:pPr>
        <w:spacing w:line="360" w:lineRule="auto"/>
        <w:rPr>
          <w:color w:val="auto"/>
          <w:sz w:val="24"/>
          <w:szCs w:val="24"/>
          <w:highlight w:val="none"/>
        </w:rPr>
      </w:pPr>
      <w:r>
        <w:rPr>
          <w:rFonts w:hint="eastAsia" w:ascii="宋体" w:hAnsi="宋体"/>
          <w:color w:val="auto"/>
          <w:sz w:val="24"/>
          <w:szCs w:val="24"/>
          <w:highlight w:val="none"/>
        </w:rPr>
        <w:t xml:space="preserve">工程名称：                                      </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编号：</w:t>
      </w:r>
    </w:p>
    <w:tbl>
      <w:tblPr>
        <w:tblStyle w:val="22"/>
        <w:tblW w:w="95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9"/>
        <w:gridCol w:w="4552"/>
      </w:tblGrid>
      <w:tr w14:paraId="63C33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8" w:hRule="atLeast"/>
          <w:jc w:val="center"/>
        </w:trPr>
        <w:tc>
          <w:tcPr>
            <w:tcW w:w="9511" w:type="dxa"/>
            <w:gridSpan w:val="2"/>
            <w:tcBorders>
              <w:top w:val="single" w:color="auto" w:sz="4" w:space="0"/>
              <w:left w:val="single" w:color="auto" w:sz="4" w:space="0"/>
              <w:bottom w:val="single" w:color="auto" w:sz="4" w:space="0"/>
              <w:right w:val="single" w:color="auto" w:sz="4" w:space="0"/>
            </w:tcBorders>
            <w:noWrap w:val="0"/>
            <w:vAlign w:val="top"/>
          </w:tcPr>
          <w:p w14:paraId="2EC6ADB0">
            <w:pPr>
              <w:keepNext w:val="0"/>
              <w:keepLines w:val="0"/>
              <w:suppressLineNumbers w:val="0"/>
              <w:spacing w:before="0" w:beforeAutospacing="0" w:after="0" w:afterAutospacing="0" w:line="360" w:lineRule="auto"/>
              <w:ind w:left="525" w:leftChars="149" w:right="0" w:hanging="212" w:hangingChars="101"/>
              <w:rPr>
                <w:rFonts w:hint="default" w:ascii="Times New Roman" w:hAnsi="Times New Roman" w:eastAsia="宋体" w:cs="Times New Roman"/>
                <w:color w:val="auto"/>
                <w:highlight w:val="none"/>
                <w:u w:val="single"/>
              </w:rPr>
            </w:pPr>
            <w:r>
              <w:rPr>
                <w:rFonts w:hint="eastAsia" w:ascii="宋体" w:hAnsi="宋体" w:eastAsia="宋体" w:cs="Times New Roman"/>
                <w:color w:val="auto"/>
                <w:highlight w:val="none"/>
              </w:rPr>
              <w:t>致：</w:t>
            </w:r>
            <w:r>
              <w:rPr>
                <w:rFonts w:hint="default" w:ascii="Times New Roman" w:hAnsi="Times New Roman" w:eastAsia="宋体" w:cs="Times New Roman"/>
                <w:color w:val="auto"/>
                <w:highlight w:val="none"/>
                <w:u w:val="single"/>
              </w:rPr>
              <w:t xml:space="preserve">                                   </w:t>
            </w:r>
            <w:r>
              <w:rPr>
                <w:rFonts w:hint="eastAsia" w:ascii="宋体" w:hAnsi="宋体" w:eastAsia="宋体" w:cs="Times New Roman"/>
                <w:color w:val="auto"/>
                <w:highlight w:val="none"/>
                <w:u w:val="single"/>
              </w:rPr>
              <w:t>（发包人全称）</w:t>
            </w:r>
          </w:p>
          <w:p w14:paraId="5D02F804">
            <w:pPr>
              <w:keepNext w:val="0"/>
              <w:keepLines w:val="0"/>
              <w:suppressLineNumbers w:val="0"/>
              <w:spacing w:before="0" w:beforeAutospacing="0" w:after="0" w:afterAutospacing="0" w:line="360" w:lineRule="auto"/>
              <w:ind w:left="-4" w:leftChars="-2" w:right="0" w:firstLine="315" w:firstLineChars="150"/>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我方于</w:t>
            </w:r>
            <w:r>
              <w:rPr>
                <w:rFonts w:hint="default" w:ascii="Times New Roman" w:hAnsi="Times New Roman" w:eastAsia="宋体" w:cs="Times New Roman"/>
                <w:color w:val="auto"/>
                <w:highlight w:val="none"/>
                <w:u w:val="single"/>
              </w:rPr>
              <w:t xml:space="preserve">         </w:t>
            </w:r>
            <w:r>
              <w:rPr>
                <w:rFonts w:hint="eastAsia" w:ascii="宋体" w:hAnsi="宋体" w:eastAsia="宋体" w:cs="Times New Roman"/>
                <w:color w:val="auto"/>
                <w:highlight w:val="none"/>
              </w:rPr>
              <w:t>至</w:t>
            </w:r>
            <w:r>
              <w:rPr>
                <w:rFonts w:hint="default" w:ascii="Times New Roman" w:hAnsi="Times New Roman" w:eastAsia="宋体" w:cs="Times New Roman"/>
                <w:color w:val="auto"/>
                <w:highlight w:val="none"/>
                <w:u w:val="single"/>
              </w:rPr>
              <w:t xml:space="preserve">          </w:t>
            </w:r>
            <w:r>
              <w:rPr>
                <w:rFonts w:hint="eastAsia" w:ascii="宋体" w:hAnsi="宋体" w:eastAsia="宋体" w:cs="Times New Roman"/>
                <w:color w:val="auto"/>
                <w:highlight w:val="none"/>
              </w:rPr>
              <w:t>期间已完成了</w:t>
            </w:r>
            <w:r>
              <w:rPr>
                <w:rFonts w:hint="default" w:ascii="Times New Roman" w:hAnsi="Times New Roman" w:eastAsia="宋体" w:cs="Times New Roman"/>
                <w:color w:val="auto"/>
                <w:highlight w:val="none"/>
                <w:u w:val="single"/>
              </w:rPr>
              <w:t xml:space="preserve">               </w:t>
            </w:r>
            <w:r>
              <w:rPr>
                <w:rFonts w:hint="eastAsia" w:ascii="宋体" w:hAnsi="宋体" w:eastAsia="宋体" w:cs="Times New Roman"/>
                <w:color w:val="auto"/>
                <w:highlight w:val="none"/>
              </w:rPr>
              <w:t>工作，根据施工合同的约定，现申请支付本期的进度款额为</w:t>
            </w:r>
            <w:r>
              <w:rPr>
                <w:rFonts w:hint="eastAsia" w:ascii="宋体" w:hAnsi="宋体" w:cs="Times New Roman"/>
                <w:color w:val="auto"/>
                <w:highlight w:val="none"/>
                <w:lang w:eastAsia="zh-CN"/>
              </w:rPr>
              <w:t>（</w:t>
            </w:r>
            <w:r>
              <w:rPr>
                <w:rFonts w:hint="eastAsia" w:ascii="宋体" w:hAnsi="宋体" w:eastAsia="宋体" w:cs="Times New Roman"/>
                <w:color w:val="auto"/>
                <w:highlight w:val="none"/>
              </w:rPr>
              <w:t>大写</w:t>
            </w:r>
            <w:r>
              <w:rPr>
                <w:rFonts w:hint="eastAsia" w:ascii="宋体" w:hAnsi="宋体" w:cs="Times New Roman"/>
                <w:color w:val="auto"/>
                <w:highlight w:val="none"/>
                <w:lang w:eastAsia="zh-CN"/>
              </w:rPr>
              <w:t>）</w:t>
            </w:r>
            <w:r>
              <w:rPr>
                <w:rFonts w:hint="default" w:ascii="Times New Roman" w:hAnsi="Times New Roman" w:eastAsia="宋体" w:cs="Times New Roman"/>
                <w:color w:val="auto"/>
                <w:highlight w:val="none"/>
                <w:u w:val="single"/>
              </w:rPr>
              <w:t xml:space="preserve">            </w:t>
            </w:r>
            <w:r>
              <w:rPr>
                <w:rFonts w:hint="eastAsia" w:ascii="宋体" w:hAnsi="宋体" w:eastAsia="宋体" w:cs="Times New Roman"/>
                <w:color w:val="auto"/>
                <w:highlight w:val="none"/>
              </w:rPr>
              <w:t>元，</w:t>
            </w:r>
            <w:r>
              <w:rPr>
                <w:rFonts w:hint="eastAsia" w:ascii="宋体" w:hAnsi="宋体" w:cs="Times New Roman"/>
                <w:color w:val="auto"/>
                <w:highlight w:val="none"/>
                <w:lang w:eastAsia="zh-CN"/>
              </w:rPr>
              <w:t>（</w:t>
            </w:r>
            <w:r>
              <w:rPr>
                <w:rFonts w:hint="eastAsia" w:ascii="宋体" w:hAnsi="宋体" w:eastAsia="宋体" w:cs="Times New Roman"/>
                <w:color w:val="auto"/>
                <w:highlight w:val="none"/>
              </w:rPr>
              <w:t>小写</w:t>
            </w:r>
            <w:r>
              <w:rPr>
                <w:rFonts w:hint="eastAsia" w:ascii="宋体" w:hAnsi="宋体" w:cs="Times New Roman"/>
                <w:color w:val="auto"/>
                <w:highlight w:val="none"/>
                <w:lang w:eastAsia="zh-CN"/>
              </w:rPr>
              <w:t>）</w:t>
            </w:r>
            <w:r>
              <w:rPr>
                <w:rFonts w:hint="default" w:ascii="Times New Roman" w:hAnsi="Times New Roman" w:eastAsia="宋体" w:cs="Times New Roman"/>
                <w:color w:val="auto"/>
                <w:highlight w:val="none"/>
                <w:u w:val="single"/>
              </w:rPr>
              <w:t xml:space="preserve">         </w:t>
            </w:r>
            <w:r>
              <w:rPr>
                <w:rFonts w:hint="eastAsia" w:ascii="宋体" w:hAnsi="宋体" w:eastAsia="宋体" w:cs="Times New Roman"/>
                <w:color w:val="auto"/>
                <w:highlight w:val="none"/>
              </w:rPr>
              <w:t>元，请予核准。</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738"/>
              <w:gridCol w:w="4656"/>
              <w:gridCol w:w="1328"/>
              <w:gridCol w:w="1291"/>
              <w:gridCol w:w="572"/>
            </w:tblGrid>
            <w:tr w14:paraId="0B369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699" w:type="dxa"/>
                  <w:tcBorders>
                    <w:top w:val="single" w:color="auto" w:sz="4" w:space="0"/>
                    <w:left w:val="single" w:color="auto" w:sz="4" w:space="0"/>
                    <w:bottom w:val="single" w:color="auto" w:sz="4" w:space="0"/>
                    <w:right w:val="single" w:color="auto" w:sz="4" w:space="0"/>
                  </w:tcBorders>
                  <w:noWrap w:val="0"/>
                  <w:vAlign w:val="center"/>
                </w:tcPr>
                <w:p w14:paraId="46983AD5">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序号</w:t>
                  </w:r>
                </w:p>
              </w:tc>
              <w:tc>
                <w:tcPr>
                  <w:tcW w:w="5394" w:type="dxa"/>
                  <w:gridSpan w:val="2"/>
                  <w:tcBorders>
                    <w:top w:val="single" w:color="auto" w:sz="4" w:space="0"/>
                    <w:left w:val="single" w:color="auto" w:sz="4" w:space="0"/>
                    <w:bottom w:val="single" w:color="auto" w:sz="4" w:space="0"/>
                    <w:right w:val="single" w:color="auto" w:sz="4" w:space="0"/>
                  </w:tcBorders>
                  <w:noWrap w:val="0"/>
                  <w:vAlign w:val="center"/>
                </w:tcPr>
                <w:p w14:paraId="5000C52A">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 xml:space="preserve">名 </w:t>
                  </w:r>
                  <w:r>
                    <w:rPr>
                      <w:rFonts w:hint="default" w:ascii="Times New Roman" w:hAnsi="Times New Roman" w:eastAsia="宋体" w:cs="Times New Roman"/>
                      <w:color w:val="auto"/>
                      <w:highlight w:val="none"/>
                    </w:rPr>
                    <w:t xml:space="preserve">     </w:t>
                  </w:r>
                  <w:r>
                    <w:rPr>
                      <w:rFonts w:hint="eastAsia" w:ascii="宋体" w:hAnsi="宋体" w:eastAsia="宋体" w:cs="Times New Roman"/>
                      <w:color w:val="auto"/>
                      <w:highlight w:val="none"/>
                    </w:rPr>
                    <w:t>称</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0A20A31D">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sz w:val="18"/>
                      <w:szCs w:val="18"/>
                      <w:highlight w:val="none"/>
                    </w:rPr>
                  </w:pPr>
                  <w:r>
                    <w:rPr>
                      <w:rFonts w:hint="eastAsia" w:ascii="宋体" w:hAnsi="宋体" w:eastAsia="宋体" w:cs="Times New Roman"/>
                      <w:color w:val="auto"/>
                      <w:sz w:val="18"/>
                      <w:szCs w:val="18"/>
                      <w:highlight w:val="none"/>
                    </w:rPr>
                    <w:t>申请金额（元）</w:t>
                  </w:r>
                </w:p>
              </w:tc>
              <w:tc>
                <w:tcPr>
                  <w:tcW w:w="1291" w:type="dxa"/>
                  <w:tcBorders>
                    <w:top w:val="single" w:color="auto" w:sz="4" w:space="0"/>
                    <w:left w:val="single" w:color="auto" w:sz="4" w:space="0"/>
                    <w:bottom w:val="single" w:color="auto" w:sz="4" w:space="0"/>
                    <w:right w:val="single" w:color="auto" w:sz="4" w:space="0"/>
                  </w:tcBorders>
                  <w:noWrap w:val="0"/>
                  <w:vAlign w:val="center"/>
                </w:tcPr>
                <w:p w14:paraId="5C33720A">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sz w:val="18"/>
                      <w:szCs w:val="18"/>
                      <w:highlight w:val="none"/>
                    </w:rPr>
                  </w:pPr>
                  <w:r>
                    <w:rPr>
                      <w:rFonts w:hint="eastAsia" w:ascii="宋体" w:hAnsi="宋体" w:eastAsia="宋体" w:cs="Times New Roman"/>
                      <w:color w:val="auto"/>
                      <w:sz w:val="18"/>
                      <w:szCs w:val="18"/>
                      <w:highlight w:val="none"/>
                    </w:rPr>
                    <w:t>核定金额（元）</w:t>
                  </w:r>
                </w:p>
              </w:tc>
              <w:tc>
                <w:tcPr>
                  <w:tcW w:w="572" w:type="dxa"/>
                  <w:tcBorders>
                    <w:top w:val="single" w:color="auto" w:sz="4" w:space="0"/>
                    <w:left w:val="single" w:color="auto" w:sz="4" w:space="0"/>
                    <w:bottom w:val="single" w:color="auto" w:sz="4" w:space="0"/>
                    <w:right w:val="single" w:color="auto" w:sz="4" w:space="0"/>
                  </w:tcBorders>
                  <w:noWrap w:val="0"/>
                  <w:vAlign w:val="center"/>
                </w:tcPr>
                <w:p w14:paraId="7D637659">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sz w:val="18"/>
                      <w:szCs w:val="18"/>
                      <w:highlight w:val="none"/>
                    </w:rPr>
                  </w:pPr>
                  <w:r>
                    <w:rPr>
                      <w:rFonts w:hint="eastAsia" w:ascii="宋体" w:hAnsi="宋体" w:eastAsia="宋体" w:cs="Times New Roman"/>
                      <w:color w:val="auto"/>
                      <w:sz w:val="18"/>
                      <w:szCs w:val="18"/>
                      <w:highlight w:val="none"/>
                    </w:rPr>
                    <w:t>备注</w:t>
                  </w:r>
                </w:p>
              </w:tc>
            </w:tr>
            <w:tr w14:paraId="680A5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99" w:type="dxa"/>
                  <w:tcBorders>
                    <w:top w:val="single" w:color="auto" w:sz="4" w:space="0"/>
                    <w:left w:val="single" w:color="auto" w:sz="4" w:space="0"/>
                    <w:bottom w:val="single" w:color="auto" w:sz="4" w:space="0"/>
                    <w:right w:val="single" w:color="auto" w:sz="4" w:space="0"/>
                  </w:tcBorders>
                  <w:noWrap w:val="0"/>
                  <w:vAlign w:val="top"/>
                </w:tcPr>
                <w:p w14:paraId="68C21918">
                  <w:pPr>
                    <w:keepNext w:val="0"/>
                    <w:keepLines w:val="0"/>
                    <w:suppressLineNumbers w:val="0"/>
                    <w:spacing w:before="0" w:beforeAutospacing="0" w:after="0" w:afterAutospacing="0" w:line="360" w:lineRule="auto"/>
                    <w:ind w:left="0" w:right="0"/>
                    <w:jc w:val="center"/>
                    <w:rPr>
                      <w:rFonts w:hint="default" w:ascii="宋体" w:hAnsi="宋体" w:eastAsia="宋体" w:cs="Times New Roman"/>
                      <w:color w:val="auto"/>
                      <w:highlight w:val="none"/>
                    </w:rPr>
                  </w:pPr>
                  <w:r>
                    <w:rPr>
                      <w:rFonts w:hint="eastAsia" w:ascii="宋体" w:hAnsi="宋体" w:eastAsia="宋体" w:cs="Times New Roman"/>
                      <w:color w:val="auto"/>
                      <w:highlight w:val="none"/>
                    </w:rPr>
                    <w:t>1</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393724D4">
                  <w:pPr>
                    <w:keepNext w:val="0"/>
                    <w:keepLines w:val="0"/>
                    <w:suppressLineNumbers w:val="0"/>
                    <w:spacing w:before="0" w:beforeAutospacing="0" w:after="0" w:afterAutospacing="0" w:line="360" w:lineRule="auto"/>
                    <w:ind w:left="0" w:right="0"/>
                    <w:rPr>
                      <w:rFonts w:hint="default" w:ascii="宋体" w:hAnsi="宋体" w:eastAsia="宋体" w:cs="Times New Roman"/>
                      <w:color w:val="auto"/>
                      <w:highlight w:val="none"/>
                    </w:rPr>
                  </w:pPr>
                  <w:r>
                    <w:rPr>
                      <w:rFonts w:hint="eastAsia" w:ascii="宋体" w:hAnsi="宋体" w:eastAsia="宋体" w:cs="Times New Roman"/>
                      <w:color w:val="auto"/>
                      <w:highlight w:val="none"/>
                    </w:rPr>
                    <w:t>累计已完成的工程价款（不含本期）</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4E1A4D00">
                  <w:pPr>
                    <w:keepNext w:val="0"/>
                    <w:keepLines w:val="0"/>
                    <w:suppressLineNumbers w:val="0"/>
                    <w:spacing w:before="0" w:beforeAutospacing="0" w:after="0" w:afterAutospacing="0" w:line="360" w:lineRule="auto"/>
                    <w:ind w:left="0" w:right="0"/>
                    <w:jc w:val="center"/>
                    <w:rPr>
                      <w:rFonts w:hint="default" w:ascii="宋体" w:hAnsi="宋体" w:eastAsia="宋体" w:cs="Times New Roman"/>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51F1B314">
                  <w:pPr>
                    <w:keepNext w:val="0"/>
                    <w:keepLines w:val="0"/>
                    <w:suppressLineNumbers w:val="0"/>
                    <w:spacing w:before="0" w:beforeAutospacing="0" w:after="0" w:afterAutospacing="0" w:line="360" w:lineRule="auto"/>
                    <w:ind w:left="0" w:right="0"/>
                    <w:jc w:val="center"/>
                    <w:rPr>
                      <w:rFonts w:hint="default" w:ascii="宋体" w:hAnsi="宋体" w:eastAsia="宋体" w:cs="Times New Roman"/>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571BD63F">
                  <w:pPr>
                    <w:keepNext w:val="0"/>
                    <w:keepLines w:val="0"/>
                    <w:suppressLineNumbers w:val="0"/>
                    <w:spacing w:before="0" w:beforeAutospacing="0" w:after="0" w:afterAutospacing="0" w:line="360" w:lineRule="auto"/>
                    <w:ind w:left="0" w:right="0"/>
                    <w:rPr>
                      <w:rFonts w:hint="default" w:ascii="宋体" w:hAnsi="宋体" w:eastAsia="宋体" w:cs="Times New Roman"/>
                      <w:color w:val="auto"/>
                      <w:highlight w:val="none"/>
                    </w:rPr>
                  </w:pPr>
                </w:p>
              </w:tc>
            </w:tr>
            <w:tr w14:paraId="3B0B4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10C20716">
                  <w:pPr>
                    <w:keepNext w:val="0"/>
                    <w:keepLines w:val="0"/>
                    <w:suppressLineNumbers w:val="0"/>
                    <w:spacing w:before="0" w:beforeAutospacing="0" w:after="0" w:afterAutospacing="0" w:line="360" w:lineRule="auto"/>
                    <w:ind w:left="0" w:right="0"/>
                    <w:jc w:val="center"/>
                    <w:rPr>
                      <w:rFonts w:hint="default" w:ascii="宋体" w:hAnsi="宋体" w:eastAsia="宋体" w:cs="Times New Roman"/>
                      <w:color w:val="auto"/>
                      <w:highlight w:val="none"/>
                    </w:rPr>
                  </w:pPr>
                  <w:r>
                    <w:rPr>
                      <w:rFonts w:hint="eastAsia" w:ascii="宋体" w:hAnsi="宋体" w:eastAsia="宋体" w:cs="Times New Roman"/>
                      <w:color w:val="auto"/>
                      <w:highlight w:val="none"/>
                    </w:rPr>
                    <w:t>2</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387A8E34">
                  <w:pPr>
                    <w:keepNext w:val="0"/>
                    <w:keepLines w:val="0"/>
                    <w:suppressLineNumbers w:val="0"/>
                    <w:spacing w:before="0" w:beforeAutospacing="0" w:after="0" w:afterAutospacing="0" w:line="360" w:lineRule="auto"/>
                    <w:ind w:left="0" w:right="0"/>
                    <w:rPr>
                      <w:rFonts w:hint="eastAsia" w:ascii="宋体" w:hAnsi="宋体" w:eastAsia="宋体" w:cs="Times New Roman"/>
                      <w:color w:val="auto"/>
                      <w:highlight w:val="none"/>
                      <w:lang w:eastAsia="zh-CN"/>
                    </w:rPr>
                  </w:pPr>
                  <w:r>
                    <w:rPr>
                      <w:rFonts w:hint="eastAsia" w:ascii="宋体" w:hAnsi="宋体" w:eastAsia="宋体" w:cs="Times New Roman"/>
                      <w:color w:val="auto"/>
                      <w:highlight w:val="none"/>
                    </w:rPr>
                    <w:t>累计已实际支付的工程价款</w:t>
                  </w:r>
                  <w:r>
                    <w:rPr>
                      <w:rFonts w:hint="eastAsia" w:ascii="宋体" w:hAnsi="宋体" w:cs="Times New Roman"/>
                      <w:color w:val="auto"/>
                      <w:highlight w:val="none"/>
                      <w:lang w:eastAsia="zh-CN"/>
                    </w:rPr>
                    <w:t>（含预付款）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3D3CC700">
                  <w:pPr>
                    <w:keepNext w:val="0"/>
                    <w:keepLines w:val="0"/>
                    <w:suppressLineNumbers w:val="0"/>
                    <w:spacing w:before="0" w:beforeAutospacing="0" w:after="0" w:afterAutospacing="0" w:line="360" w:lineRule="auto"/>
                    <w:ind w:left="0" w:right="0"/>
                    <w:jc w:val="center"/>
                    <w:rPr>
                      <w:rFonts w:hint="default" w:ascii="宋体" w:hAnsi="宋体" w:eastAsia="宋体" w:cs="Times New Roman"/>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26149A11">
                  <w:pPr>
                    <w:keepNext w:val="0"/>
                    <w:keepLines w:val="0"/>
                    <w:suppressLineNumbers w:val="0"/>
                    <w:spacing w:before="0" w:beforeAutospacing="0" w:after="0" w:afterAutospacing="0" w:line="360" w:lineRule="auto"/>
                    <w:ind w:left="0" w:right="0"/>
                    <w:jc w:val="center"/>
                    <w:rPr>
                      <w:rFonts w:hint="default" w:ascii="宋体" w:hAnsi="宋体" w:eastAsia="宋体" w:cs="Times New Roman"/>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1DF0D75F">
                  <w:pPr>
                    <w:keepNext w:val="0"/>
                    <w:keepLines w:val="0"/>
                    <w:suppressLineNumbers w:val="0"/>
                    <w:spacing w:before="0" w:beforeAutospacing="0" w:after="0" w:afterAutospacing="0" w:line="360" w:lineRule="auto"/>
                    <w:ind w:left="0" w:right="0"/>
                    <w:rPr>
                      <w:rFonts w:hint="default" w:ascii="宋体" w:hAnsi="宋体" w:eastAsia="宋体" w:cs="Times New Roman"/>
                      <w:color w:val="auto"/>
                      <w:highlight w:val="none"/>
                    </w:rPr>
                  </w:pPr>
                </w:p>
              </w:tc>
            </w:tr>
            <w:tr w14:paraId="2AA75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0A65A026">
                  <w:pPr>
                    <w:keepNext w:val="0"/>
                    <w:keepLines w:val="0"/>
                    <w:suppressLineNumbers w:val="0"/>
                    <w:spacing w:before="0" w:beforeAutospacing="0" w:after="0" w:afterAutospacing="0" w:line="360" w:lineRule="auto"/>
                    <w:ind w:left="0" w:right="0"/>
                    <w:jc w:val="center"/>
                    <w:rPr>
                      <w:rFonts w:hint="default" w:ascii="宋体" w:hAnsi="宋体" w:eastAsia="宋体" w:cs="Times New Roman"/>
                      <w:color w:val="auto"/>
                      <w:highlight w:val="none"/>
                    </w:rPr>
                  </w:pPr>
                  <w:r>
                    <w:rPr>
                      <w:rFonts w:hint="eastAsia" w:ascii="宋体" w:hAnsi="宋体" w:eastAsia="宋体" w:cs="Times New Roman"/>
                      <w:color w:val="auto"/>
                      <w:highlight w:val="none"/>
                    </w:rPr>
                    <w:t>2.1</w:t>
                  </w:r>
                </w:p>
              </w:tc>
              <w:tc>
                <w:tcPr>
                  <w:tcW w:w="738" w:type="dxa"/>
                  <w:tcBorders>
                    <w:top w:val="nil"/>
                    <w:left w:val="single" w:color="auto" w:sz="4" w:space="0"/>
                    <w:bottom w:val="single" w:color="auto" w:sz="4" w:space="0"/>
                    <w:right w:val="single" w:color="auto" w:sz="4" w:space="0"/>
                  </w:tcBorders>
                  <w:noWrap w:val="0"/>
                  <w:vAlign w:val="center"/>
                </w:tcPr>
                <w:p w14:paraId="46246D48">
                  <w:pPr>
                    <w:keepNext w:val="0"/>
                    <w:keepLines w:val="0"/>
                    <w:suppressLineNumbers w:val="0"/>
                    <w:spacing w:before="0" w:beforeAutospacing="0" w:after="0" w:afterAutospacing="0" w:line="360" w:lineRule="auto"/>
                    <w:ind w:left="0" w:right="0"/>
                    <w:jc w:val="center"/>
                    <w:rPr>
                      <w:rFonts w:hint="default" w:ascii="宋体" w:hAnsi="宋体" w:eastAsia="宋体" w:cs="Times New Roman"/>
                      <w:color w:val="auto"/>
                      <w:highlight w:val="none"/>
                    </w:rPr>
                  </w:pPr>
                  <w:r>
                    <w:rPr>
                      <w:rFonts w:hint="eastAsia" w:ascii="宋体" w:hAnsi="宋体" w:eastAsia="宋体" w:cs="Times New Roman"/>
                      <w:color w:val="auto"/>
                      <w:highlight w:val="none"/>
                    </w:rPr>
                    <w:t>其中</w:t>
                  </w:r>
                </w:p>
              </w:tc>
              <w:tc>
                <w:tcPr>
                  <w:tcW w:w="4656" w:type="dxa"/>
                  <w:tcBorders>
                    <w:top w:val="single" w:color="auto" w:sz="4" w:space="0"/>
                    <w:left w:val="single" w:color="auto" w:sz="4" w:space="0"/>
                    <w:bottom w:val="single" w:color="auto" w:sz="4" w:space="0"/>
                    <w:right w:val="single" w:color="auto" w:sz="4" w:space="0"/>
                  </w:tcBorders>
                  <w:noWrap w:val="0"/>
                  <w:vAlign w:val="top"/>
                </w:tcPr>
                <w:p w14:paraId="3C5754D7">
                  <w:pPr>
                    <w:keepNext w:val="0"/>
                    <w:keepLines w:val="0"/>
                    <w:suppressLineNumbers w:val="0"/>
                    <w:spacing w:before="0" w:beforeAutospacing="0" w:after="0" w:afterAutospacing="0" w:line="360" w:lineRule="auto"/>
                    <w:ind w:left="0" w:right="0"/>
                    <w:rPr>
                      <w:rFonts w:hint="default" w:ascii="宋体" w:hAnsi="宋体" w:eastAsia="宋体" w:cs="Times New Roman"/>
                      <w:color w:val="auto"/>
                      <w:highlight w:val="none"/>
                    </w:rPr>
                  </w:pPr>
                  <w:r>
                    <w:rPr>
                      <w:rFonts w:hint="eastAsia" w:ascii="宋体" w:hAnsi="宋体" w:eastAsia="宋体" w:cs="Times New Roman"/>
                      <w:color w:val="auto"/>
                      <w:highlight w:val="none"/>
                    </w:rPr>
                    <w:t>预付款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0BF45448">
                  <w:pPr>
                    <w:keepNext w:val="0"/>
                    <w:keepLines w:val="0"/>
                    <w:suppressLineNumbers w:val="0"/>
                    <w:spacing w:before="0" w:beforeAutospacing="0" w:after="0" w:afterAutospacing="0" w:line="360" w:lineRule="auto"/>
                    <w:ind w:left="0" w:right="0"/>
                    <w:jc w:val="center"/>
                    <w:rPr>
                      <w:rFonts w:hint="default" w:ascii="宋体" w:hAnsi="宋体" w:eastAsia="宋体" w:cs="Times New Roman"/>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26524211">
                  <w:pPr>
                    <w:keepNext w:val="0"/>
                    <w:keepLines w:val="0"/>
                    <w:suppressLineNumbers w:val="0"/>
                    <w:spacing w:before="0" w:beforeAutospacing="0" w:after="0" w:afterAutospacing="0" w:line="360" w:lineRule="auto"/>
                    <w:ind w:left="0" w:right="0"/>
                    <w:jc w:val="center"/>
                    <w:rPr>
                      <w:rFonts w:hint="default" w:ascii="宋体" w:hAnsi="宋体" w:eastAsia="宋体" w:cs="Times New Roman"/>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2C4D4D16">
                  <w:pPr>
                    <w:keepNext w:val="0"/>
                    <w:keepLines w:val="0"/>
                    <w:suppressLineNumbers w:val="0"/>
                    <w:spacing w:before="0" w:beforeAutospacing="0" w:after="0" w:afterAutospacing="0" w:line="360" w:lineRule="auto"/>
                    <w:ind w:left="0" w:right="0"/>
                    <w:rPr>
                      <w:rFonts w:hint="default" w:ascii="宋体" w:hAnsi="宋体" w:eastAsia="宋体" w:cs="Times New Roman"/>
                      <w:color w:val="auto"/>
                      <w:highlight w:val="none"/>
                    </w:rPr>
                  </w:pPr>
                </w:p>
              </w:tc>
            </w:tr>
            <w:tr w14:paraId="2A606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62880FA7">
                  <w:pPr>
                    <w:keepNext w:val="0"/>
                    <w:keepLines w:val="0"/>
                    <w:suppressLineNumbers w:val="0"/>
                    <w:spacing w:before="0" w:beforeAutospacing="0" w:after="0" w:afterAutospacing="0" w:line="360" w:lineRule="auto"/>
                    <w:ind w:left="0" w:right="0"/>
                    <w:jc w:val="center"/>
                    <w:rPr>
                      <w:rFonts w:hint="default" w:ascii="宋体" w:hAnsi="宋体" w:eastAsia="宋体" w:cs="Times New Roman"/>
                      <w:color w:val="auto"/>
                      <w:highlight w:val="none"/>
                    </w:rPr>
                  </w:pPr>
                  <w:r>
                    <w:rPr>
                      <w:rFonts w:hint="eastAsia" w:ascii="宋体" w:hAnsi="宋体" w:eastAsia="宋体" w:cs="Times New Roman"/>
                      <w:color w:val="auto"/>
                      <w:highlight w:val="none"/>
                    </w:rPr>
                    <w:t>3</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342A54E4">
                  <w:pPr>
                    <w:keepNext w:val="0"/>
                    <w:keepLines w:val="0"/>
                    <w:suppressLineNumbers w:val="0"/>
                    <w:spacing w:before="0" w:beforeAutospacing="0" w:after="0" w:afterAutospacing="0" w:line="360" w:lineRule="auto"/>
                    <w:ind w:left="0" w:right="0"/>
                    <w:rPr>
                      <w:rFonts w:hint="default" w:ascii="宋体" w:hAnsi="宋体" w:eastAsia="宋体" w:cs="Times New Roman"/>
                      <w:color w:val="auto"/>
                      <w:highlight w:val="none"/>
                    </w:rPr>
                  </w:pPr>
                  <w:r>
                    <w:rPr>
                      <w:rFonts w:hint="eastAsia" w:ascii="宋体" w:hAnsi="宋体" w:eastAsia="宋体" w:cs="Times New Roman"/>
                      <w:color w:val="auto"/>
                      <w:highlight w:val="none"/>
                      <w:lang w:eastAsia="zh-CN"/>
                    </w:rPr>
                    <w:t>本</w:t>
                  </w:r>
                  <w:r>
                    <w:rPr>
                      <w:rFonts w:hint="eastAsia" w:ascii="宋体" w:hAnsi="宋体" w:eastAsia="宋体" w:cs="Times New Roman"/>
                      <w:color w:val="auto"/>
                      <w:highlight w:val="none"/>
                    </w:rPr>
                    <w:t>期完成的工程价款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56BC3952">
                  <w:pPr>
                    <w:keepNext w:val="0"/>
                    <w:keepLines w:val="0"/>
                    <w:suppressLineNumbers w:val="0"/>
                    <w:spacing w:before="0" w:beforeAutospacing="0" w:after="0" w:afterAutospacing="0" w:line="360" w:lineRule="auto"/>
                    <w:ind w:left="0" w:right="0"/>
                    <w:jc w:val="center"/>
                    <w:rPr>
                      <w:rFonts w:hint="default" w:ascii="宋体" w:hAnsi="宋体" w:eastAsia="宋体" w:cs="Times New Roman"/>
                      <w:b/>
                      <w:bCs/>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06D13CEC">
                  <w:pPr>
                    <w:keepNext w:val="0"/>
                    <w:keepLines w:val="0"/>
                    <w:suppressLineNumbers w:val="0"/>
                    <w:spacing w:before="0" w:beforeAutospacing="0" w:after="0" w:afterAutospacing="0" w:line="360" w:lineRule="auto"/>
                    <w:ind w:left="0" w:right="0"/>
                    <w:jc w:val="center"/>
                    <w:rPr>
                      <w:rFonts w:hint="default" w:ascii="宋体" w:hAnsi="宋体" w:eastAsia="宋体" w:cs="Times New Roman"/>
                      <w:b/>
                      <w:bCs/>
                      <w:color w:val="auto"/>
                      <w:highlight w:val="none"/>
                      <w:lang w:val="en-US" w:eastAsia="zh-CN"/>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74484E0A">
                  <w:pPr>
                    <w:keepNext w:val="0"/>
                    <w:keepLines w:val="0"/>
                    <w:suppressLineNumbers w:val="0"/>
                    <w:spacing w:before="0" w:beforeAutospacing="0" w:after="0" w:afterAutospacing="0" w:line="360" w:lineRule="auto"/>
                    <w:ind w:left="0" w:right="0"/>
                    <w:rPr>
                      <w:rFonts w:hint="default" w:ascii="宋体" w:hAnsi="宋体" w:eastAsia="宋体" w:cs="Times New Roman"/>
                      <w:color w:val="auto"/>
                      <w:highlight w:val="none"/>
                    </w:rPr>
                  </w:pPr>
                </w:p>
              </w:tc>
            </w:tr>
            <w:tr w14:paraId="68F3A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center"/>
                </w:tcPr>
                <w:p w14:paraId="5023C817">
                  <w:pPr>
                    <w:keepNext w:val="0"/>
                    <w:keepLines w:val="0"/>
                    <w:suppressLineNumbers w:val="0"/>
                    <w:spacing w:before="0" w:beforeAutospacing="0" w:after="0" w:afterAutospacing="0" w:line="360" w:lineRule="auto"/>
                    <w:ind w:left="0" w:right="0"/>
                    <w:jc w:val="center"/>
                    <w:rPr>
                      <w:rFonts w:hint="default" w:ascii="宋体" w:hAnsi="宋体" w:eastAsia="宋体" w:cs="Times New Roman"/>
                      <w:color w:val="auto"/>
                      <w:highlight w:val="none"/>
                    </w:rPr>
                  </w:pPr>
                  <w:r>
                    <w:rPr>
                      <w:rFonts w:hint="eastAsia" w:ascii="宋体" w:hAnsi="宋体" w:eastAsia="宋体" w:cs="Times New Roman"/>
                      <w:color w:val="auto"/>
                      <w:highlight w:val="none"/>
                    </w:rPr>
                    <w:t>3.1</w:t>
                  </w:r>
                </w:p>
              </w:tc>
              <w:tc>
                <w:tcPr>
                  <w:tcW w:w="738" w:type="dxa"/>
                  <w:tcBorders>
                    <w:top w:val="nil"/>
                    <w:left w:val="single" w:color="auto" w:sz="4" w:space="0"/>
                    <w:bottom w:val="single" w:color="auto" w:sz="4" w:space="0"/>
                    <w:right w:val="single" w:color="auto" w:sz="4" w:space="0"/>
                  </w:tcBorders>
                  <w:noWrap w:val="0"/>
                  <w:vAlign w:val="center"/>
                </w:tcPr>
                <w:p w14:paraId="244B66DD">
                  <w:pPr>
                    <w:keepNext w:val="0"/>
                    <w:keepLines w:val="0"/>
                    <w:suppressLineNumbers w:val="0"/>
                    <w:spacing w:before="0" w:beforeAutospacing="0" w:after="0" w:afterAutospacing="0" w:line="360" w:lineRule="auto"/>
                    <w:ind w:left="0" w:right="0"/>
                    <w:jc w:val="center"/>
                    <w:rPr>
                      <w:rFonts w:hint="default" w:ascii="宋体" w:hAnsi="宋体" w:eastAsia="宋体" w:cs="Times New Roman"/>
                      <w:color w:val="auto"/>
                      <w:highlight w:val="none"/>
                    </w:rPr>
                  </w:pPr>
                  <w:r>
                    <w:rPr>
                      <w:rFonts w:hint="eastAsia" w:ascii="宋体" w:hAnsi="宋体" w:eastAsia="宋体" w:cs="Times New Roman"/>
                      <w:color w:val="auto"/>
                      <w:highlight w:val="none"/>
                    </w:rPr>
                    <w:t>其中</w:t>
                  </w:r>
                </w:p>
              </w:tc>
              <w:tc>
                <w:tcPr>
                  <w:tcW w:w="4656" w:type="dxa"/>
                  <w:tcBorders>
                    <w:top w:val="single" w:color="auto" w:sz="4" w:space="0"/>
                    <w:left w:val="single" w:color="auto" w:sz="4" w:space="0"/>
                    <w:bottom w:val="single" w:color="auto" w:sz="4" w:space="0"/>
                    <w:right w:val="single" w:color="auto" w:sz="4" w:space="0"/>
                  </w:tcBorders>
                  <w:noWrap w:val="0"/>
                  <w:vAlign w:val="top"/>
                </w:tcPr>
                <w:p w14:paraId="55092917">
                  <w:pPr>
                    <w:keepNext w:val="0"/>
                    <w:keepLines w:val="0"/>
                    <w:suppressLineNumbers w:val="0"/>
                    <w:spacing w:before="0" w:beforeAutospacing="0" w:after="0" w:afterAutospacing="0" w:line="360" w:lineRule="auto"/>
                    <w:ind w:left="0" w:right="0"/>
                    <w:rPr>
                      <w:rFonts w:hint="default" w:ascii="宋体" w:hAnsi="宋体" w:eastAsia="宋体" w:cs="Times New Roman"/>
                      <w:color w:val="auto"/>
                      <w:highlight w:val="none"/>
                    </w:rPr>
                  </w:pPr>
                  <w:r>
                    <w:rPr>
                      <w:rFonts w:hint="eastAsia" w:ascii="宋体" w:hAnsi="宋体" w:eastAsia="宋体" w:cs="Times New Roman"/>
                      <w:color w:val="auto"/>
                      <w:highlight w:val="none"/>
                    </w:rPr>
                    <w:t>人工费</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5BBB2FCC">
                  <w:pPr>
                    <w:keepNext w:val="0"/>
                    <w:keepLines w:val="0"/>
                    <w:suppressLineNumbers w:val="0"/>
                    <w:spacing w:before="0" w:beforeAutospacing="0" w:after="0" w:afterAutospacing="0" w:line="360" w:lineRule="auto"/>
                    <w:ind w:left="0" w:right="0"/>
                    <w:jc w:val="center"/>
                    <w:rPr>
                      <w:rFonts w:hint="default" w:ascii="宋体" w:hAnsi="宋体" w:eastAsia="宋体" w:cs="Times New Roman"/>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382F3864">
                  <w:pPr>
                    <w:keepNext w:val="0"/>
                    <w:keepLines w:val="0"/>
                    <w:suppressLineNumbers w:val="0"/>
                    <w:spacing w:before="0" w:beforeAutospacing="0" w:after="0" w:afterAutospacing="0" w:line="360" w:lineRule="auto"/>
                    <w:ind w:left="0" w:right="0"/>
                    <w:jc w:val="center"/>
                    <w:rPr>
                      <w:rFonts w:hint="default" w:ascii="宋体" w:hAnsi="宋体" w:eastAsia="宋体" w:cs="Times New Roman"/>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261478C6">
                  <w:pPr>
                    <w:keepNext w:val="0"/>
                    <w:keepLines w:val="0"/>
                    <w:suppressLineNumbers w:val="0"/>
                    <w:spacing w:before="0" w:beforeAutospacing="0" w:after="0" w:afterAutospacing="0" w:line="360" w:lineRule="auto"/>
                    <w:ind w:left="0" w:right="0"/>
                    <w:rPr>
                      <w:rFonts w:hint="default" w:ascii="宋体" w:hAnsi="宋体" w:eastAsia="宋体" w:cs="Times New Roman"/>
                      <w:color w:val="auto"/>
                      <w:highlight w:val="none"/>
                    </w:rPr>
                  </w:pPr>
                </w:p>
              </w:tc>
            </w:tr>
            <w:tr w14:paraId="2E915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19B62F6B">
                  <w:pPr>
                    <w:keepNext w:val="0"/>
                    <w:keepLines w:val="0"/>
                    <w:suppressLineNumbers w:val="0"/>
                    <w:spacing w:before="0" w:beforeAutospacing="0" w:after="0" w:afterAutospacing="0" w:line="360" w:lineRule="auto"/>
                    <w:ind w:left="0" w:right="0"/>
                    <w:jc w:val="center"/>
                    <w:rPr>
                      <w:rFonts w:hint="default" w:ascii="宋体" w:hAnsi="宋体" w:eastAsia="宋体" w:cs="Times New Roman"/>
                      <w:color w:val="auto"/>
                      <w:highlight w:val="none"/>
                    </w:rPr>
                  </w:pPr>
                  <w:r>
                    <w:rPr>
                      <w:rFonts w:hint="eastAsia" w:ascii="宋体" w:hAnsi="宋体" w:eastAsia="宋体" w:cs="Times New Roman"/>
                      <w:color w:val="auto"/>
                      <w:highlight w:val="none"/>
                    </w:rPr>
                    <w:t>4</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2326964D">
                  <w:pPr>
                    <w:keepNext w:val="0"/>
                    <w:keepLines w:val="0"/>
                    <w:suppressLineNumbers w:val="0"/>
                    <w:spacing w:before="0" w:beforeAutospacing="0" w:after="0" w:afterAutospacing="0" w:line="360" w:lineRule="auto"/>
                    <w:ind w:left="0" w:right="0"/>
                    <w:rPr>
                      <w:rFonts w:hint="default" w:ascii="宋体" w:hAnsi="宋体" w:eastAsia="宋体" w:cs="Times New Roman"/>
                      <w:color w:val="auto"/>
                      <w:highlight w:val="none"/>
                    </w:rPr>
                  </w:pPr>
                  <w:r>
                    <w:rPr>
                      <w:rFonts w:hint="eastAsia" w:ascii="宋体" w:hAnsi="宋体" w:eastAsia="宋体" w:cs="Times New Roman"/>
                      <w:color w:val="auto"/>
                      <w:highlight w:val="none"/>
                      <w:lang w:eastAsia="zh-CN"/>
                    </w:rPr>
                    <w:t>本</w:t>
                  </w:r>
                  <w:r>
                    <w:rPr>
                      <w:rFonts w:hint="eastAsia" w:ascii="宋体" w:hAnsi="宋体" w:eastAsia="宋体" w:cs="Times New Roman"/>
                      <w:color w:val="auto"/>
                      <w:highlight w:val="none"/>
                    </w:rPr>
                    <w:t>期应扣除的工程价款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3B54C904">
                  <w:pPr>
                    <w:keepNext w:val="0"/>
                    <w:keepLines w:val="0"/>
                    <w:suppressLineNumbers w:val="0"/>
                    <w:spacing w:before="0" w:beforeAutospacing="0" w:after="0" w:afterAutospacing="0" w:line="360" w:lineRule="auto"/>
                    <w:ind w:left="0" w:right="0"/>
                    <w:jc w:val="center"/>
                    <w:rPr>
                      <w:rFonts w:hint="default" w:ascii="宋体" w:hAnsi="宋体" w:eastAsia="宋体" w:cs="Times New Roman"/>
                      <w:b/>
                      <w:bCs/>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16E90387">
                  <w:pPr>
                    <w:keepNext w:val="0"/>
                    <w:keepLines w:val="0"/>
                    <w:suppressLineNumbers w:val="0"/>
                    <w:spacing w:before="0" w:beforeAutospacing="0" w:after="0" w:afterAutospacing="0" w:line="360" w:lineRule="auto"/>
                    <w:ind w:left="0" w:right="0"/>
                    <w:jc w:val="center"/>
                    <w:rPr>
                      <w:rFonts w:hint="default" w:ascii="宋体" w:hAnsi="宋体" w:eastAsia="宋体" w:cs="Times New Roman"/>
                      <w:b/>
                      <w:bCs/>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7B98F16F">
                  <w:pPr>
                    <w:keepNext w:val="0"/>
                    <w:keepLines w:val="0"/>
                    <w:suppressLineNumbers w:val="0"/>
                    <w:spacing w:before="0" w:beforeAutospacing="0" w:after="0" w:afterAutospacing="0" w:line="360" w:lineRule="auto"/>
                    <w:ind w:left="0" w:right="0"/>
                    <w:rPr>
                      <w:rFonts w:hint="default" w:ascii="宋体" w:hAnsi="宋体" w:eastAsia="宋体" w:cs="Times New Roman"/>
                      <w:color w:val="auto"/>
                      <w:highlight w:val="none"/>
                    </w:rPr>
                  </w:pPr>
                </w:p>
              </w:tc>
            </w:tr>
            <w:tr w14:paraId="0BF7A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699" w:type="dxa"/>
                  <w:tcBorders>
                    <w:top w:val="single" w:color="auto" w:sz="4" w:space="0"/>
                    <w:left w:val="single" w:color="auto" w:sz="4" w:space="0"/>
                    <w:bottom w:val="single" w:color="auto" w:sz="4" w:space="0"/>
                    <w:right w:val="single" w:color="auto" w:sz="4" w:space="0"/>
                  </w:tcBorders>
                  <w:noWrap w:val="0"/>
                  <w:vAlign w:val="top"/>
                </w:tcPr>
                <w:p w14:paraId="2C370FD9">
                  <w:pPr>
                    <w:keepNext w:val="0"/>
                    <w:keepLines w:val="0"/>
                    <w:suppressLineNumbers w:val="0"/>
                    <w:spacing w:before="0" w:beforeAutospacing="0" w:after="0" w:afterAutospacing="0" w:line="360" w:lineRule="auto"/>
                    <w:ind w:left="0" w:right="0"/>
                    <w:jc w:val="center"/>
                    <w:rPr>
                      <w:rFonts w:hint="eastAsia" w:ascii="宋体" w:hAnsi="宋体" w:eastAsia="宋体" w:cs="Times New Roman"/>
                      <w:color w:val="auto"/>
                      <w:highlight w:val="none"/>
                      <w:lang w:eastAsia="zh-CN"/>
                    </w:rPr>
                  </w:pPr>
                  <w:r>
                    <w:rPr>
                      <w:rFonts w:hint="eastAsia" w:ascii="宋体" w:hAnsi="宋体" w:eastAsia="宋体" w:cs="Times New Roman"/>
                      <w:color w:val="auto"/>
                      <w:highlight w:val="none"/>
                    </w:rPr>
                    <w:t>4.</w:t>
                  </w:r>
                  <w:r>
                    <w:rPr>
                      <w:rFonts w:hint="eastAsia" w:ascii="宋体" w:hAnsi="宋体" w:eastAsia="宋体" w:cs="Times New Roman"/>
                      <w:color w:val="auto"/>
                      <w:highlight w:val="none"/>
                      <w:lang w:val="en-US" w:eastAsia="zh-CN"/>
                    </w:rPr>
                    <w:t>1</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7BC41EC2">
                  <w:pPr>
                    <w:keepNext w:val="0"/>
                    <w:keepLines w:val="0"/>
                    <w:suppressLineNumbers w:val="0"/>
                    <w:spacing w:before="0" w:beforeAutospacing="0" w:after="0" w:afterAutospacing="0" w:line="360" w:lineRule="auto"/>
                    <w:ind w:left="0" w:right="0"/>
                    <w:rPr>
                      <w:rFonts w:hint="default" w:ascii="宋体" w:hAnsi="宋体" w:eastAsia="宋体" w:cs="Times New Roman"/>
                      <w:color w:val="auto"/>
                      <w:highlight w:val="none"/>
                    </w:rPr>
                  </w:pPr>
                  <w:r>
                    <w:rPr>
                      <w:rFonts w:hint="eastAsia" w:ascii="宋体" w:hAnsi="宋体" w:eastAsia="宋体" w:cs="Times New Roman"/>
                      <w:color w:val="auto"/>
                      <w:highlight w:val="none"/>
                    </w:rPr>
                    <w:t>扣除</w:t>
                  </w:r>
                  <w:r>
                    <w:rPr>
                      <w:rFonts w:hint="eastAsia" w:ascii="宋体" w:hAnsi="宋体" w:eastAsia="宋体" w:cs="Times New Roman"/>
                      <w:color w:val="auto"/>
                      <w:highlight w:val="none"/>
                      <w:lang w:eastAsia="zh-CN"/>
                    </w:rPr>
                    <w:t>本</w:t>
                  </w:r>
                  <w:r>
                    <w:rPr>
                      <w:rFonts w:hint="eastAsia" w:ascii="宋体" w:hAnsi="宋体" w:eastAsia="宋体" w:cs="Times New Roman"/>
                      <w:color w:val="auto"/>
                      <w:highlight w:val="none"/>
                    </w:rPr>
                    <w:t>期应抵扣的预付款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34D0BB4D">
                  <w:pPr>
                    <w:keepNext w:val="0"/>
                    <w:keepLines w:val="0"/>
                    <w:suppressLineNumbers w:val="0"/>
                    <w:spacing w:before="0" w:beforeAutospacing="0" w:after="0" w:afterAutospacing="0" w:line="360" w:lineRule="auto"/>
                    <w:ind w:left="0" w:right="0"/>
                    <w:jc w:val="center"/>
                    <w:rPr>
                      <w:rFonts w:hint="default" w:ascii="宋体" w:hAnsi="宋体" w:eastAsia="宋体" w:cs="Times New Roman"/>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31E639EC">
                  <w:pPr>
                    <w:keepNext w:val="0"/>
                    <w:keepLines w:val="0"/>
                    <w:suppressLineNumbers w:val="0"/>
                    <w:spacing w:before="0" w:beforeAutospacing="0" w:after="0" w:afterAutospacing="0" w:line="360" w:lineRule="auto"/>
                    <w:ind w:left="0" w:right="0"/>
                    <w:jc w:val="center"/>
                    <w:rPr>
                      <w:rFonts w:hint="default" w:ascii="宋体" w:hAnsi="宋体" w:eastAsia="宋体" w:cs="Times New Roman"/>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6F6DB27F">
                  <w:pPr>
                    <w:keepNext w:val="0"/>
                    <w:keepLines w:val="0"/>
                    <w:suppressLineNumbers w:val="0"/>
                    <w:spacing w:before="0" w:beforeAutospacing="0" w:after="0" w:afterAutospacing="0" w:line="360" w:lineRule="auto"/>
                    <w:ind w:left="0" w:right="0"/>
                    <w:rPr>
                      <w:rFonts w:hint="default" w:ascii="宋体" w:hAnsi="宋体" w:eastAsia="宋体" w:cs="Times New Roman"/>
                      <w:color w:val="auto"/>
                      <w:highlight w:val="none"/>
                    </w:rPr>
                  </w:pPr>
                </w:p>
              </w:tc>
            </w:tr>
            <w:tr w14:paraId="68EAD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6290BF3E">
                  <w:pPr>
                    <w:keepNext w:val="0"/>
                    <w:keepLines w:val="0"/>
                    <w:suppressLineNumbers w:val="0"/>
                    <w:spacing w:before="0" w:beforeAutospacing="0" w:after="0" w:afterAutospacing="0" w:line="360" w:lineRule="auto"/>
                    <w:ind w:left="0" w:right="0"/>
                    <w:jc w:val="center"/>
                    <w:rPr>
                      <w:rFonts w:hint="eastAsia" w:ascii="宋体" w:hAnsi="宋体" w:eastAsia="宋体" w:cs="Times New Roman"/>
                      <w:color w:val="auto"/>
                      <w:highlight w:val="none"/>
                      <w:lang w:eastAsia="zh-CN"/>
                    </w:rPr>
                  </w:pPr>
                  <w:r>
                    <w:rPr>
                      <w:rFonts w:hint="eastAsia" w:ascii="宋体" w:hAnsi="宋体" w:eastAsia="宋体" w:cs="Times New Roman"/>
                      <w:color w:val="auto"/>
                      <w:highlight w:val="none"/>
                    </w:rPr>
                    <w:t>4.</w:t>
                  </w:r>
                  <w:r>
                    <w:rPr>
                      <w:rFonts w:hint="eastAsia" w:ascii="宋体" w:hAnsi="宋体" w:eastAsia="宋体" w:cs="Times New Roman"/>
                      <w:color w:val="auto"/>
                      <w:highlight w:val="none"/>
                      <w:lang w:val="en-US" w:eastAsia="zh-CN"/>
                    </w:rPr>
                    <w:t>2</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0ADC401B">
                  <w:pPr>
                    <w:keepNext w:val="0"/>
                    <w:keepLines w:val="0"/>
                    <w:suppressLineNumbers w:val="0"/>
                    <w:spacing w:before="0" w:beforeAutospacing="0" w:after="0" w:afterAutospacing="0" w:line="360" w:lineRule="auto"/>
                    <w:ind w:left="0" w:right="0"/>
                    <w:rPr>
                      <w:rFonts w:hint="default" w:ascii="宋体" w:hAnsi="宋体" w:eastAsia="宋体" w:cs="Times New Roman"/>
                      <w:color w:val="auto"/>
                      <w:highlight w:val="none"/>
                    </w:rPr>
                  </w:pPr>
                  <w:r>
                    <w:rPr>
                      <w:rFonts w:hint="eastAsia" w:ascii="宋体" w:hAnsi="宋体" w:eastAsia="宋体" w:cs="Times New Roman"/>
                      <w:color w:val="auto"/>
                      <w:highlight w:val="none"/>
                    </w:rPr>
                    <w:t>扣除</w:t>
                  </w:r>
                  <w:r>
                    <w:rPr>
                      <w:rFonts w:hint="eastAsia" w:ascii="宋体" w:hAnsi="宋体" w:eastAsia="宋体" w:cs="Times New Roman"/>
                      <w:color w:val="auto"/>
                      <w:highlight w:val="none"/>
                      <w:lang w:eastAsia="zh-CN"/>
                    </w:rPr>
                    <w:t>本</w:t>
                  </w:r>
                  <w:r>
                    <w:rPr>
                      <w:rFonts w:hint="eastAsia" w:ascii="宋体" w:hAnsi="宋体" w:eastAsia="宋体" w:cs="Times New Roman"/>
                      <w:color w:val="auto"/>
                      <w:highlight w:val="none"/>
                    </w:rPr>
                    <w:t>期应预留的质量保证金（如有）</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370AEAEF">
                  <w:pPr>
                    <w:keepNext w:val="0"/>
                    <w:keepLines w:val="0"/>
                    <w:suppressLineNumbers w:val="0"/>
                    <w:spacing w:before="0" w:beforeAutospacing="0" w:after="0" w:afterAutospacing="0" w:line="360" w:lineRule="auto"/>
                    <w:ind w:left="0" w:right="0"/>
                    <w:jc w:val="center"/>
                    <w:rPr>
                      <w:rFonts w:hint="default" w:ascii="宋体" w:hAnsi="宋体" w:eastAsia="宋体" w:cs="Times New Roman"/>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23C34866">
                  <w:pPr>
                    <w:keepNext w:val="0"/>
                    <w:keepLines w:val="0"/>
                    <w:suppressLineNumbers w:val="0"/>
                    <w:spacing w:before="0" w:beforeAutospacing="0" w:after="0" w:afterAutospacing="0" w:line="360" w:lineRule="auto"/>
                    <w:ind w:left="0" w:right="0"/>
                    <w:jc w:val="center"/>
                    <w:rPr>
                      <w:rFonts w:hint="default" w:ascii="宋体" w:hAnsi="宋体" w:eastAsia="宋体" w:cs="Times New Roman"/>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335455B5">
                  <w:pPr>
                    <w:keepNext w:val="0"/>
                    <w:keepLines w:val="0"/>
                    <w:suppressLineNumbers w:val="0"/>
                    <w:spacing w:before="0" w:beforeAutospacing="0" w:after="0" w:afterAutospacing="0" w:line="360" w:lineRule="auto"/>
                    <w:ind w:left="0" w:right="0"/>
                    <w:rPr>
                      <w:rFonts w:hint="default" w:ascii="宋体" w:hAnsi="宋体" w:eastAsia="宋体" w:cs="Times New Roman"/>
                      <w:color w:val="auto"/>
                      <w:highlight w:val="none"/>
                    </w:rPr>
                  </w:pPr>
                </w:p>
              </w:tc>
            </w:tr>
            <w:tr w14:paraId="33C12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9" w:type="dxa"/>
                  <w:tcBorders>
                    <w:top w:val="single" w:color="auto" w:sz="4" w:space="0"/>
                    <w:left w:val="single" w:color="auto" w:sz="4" w:space="0"/>
                    <w:bottom w:val="single" w:color="auto" w:sz="4" w:space="0"/>
                    <w:right w:val="single" w:color="auto" w:sz="4" w:space="0"/>
                  </w:tcBorders>
                  <w:noWrap w:val="0"/>
                  <w:vAlign w:val="center"/>
                </w:tcPr>
                <w:p w14:paraId="32332EA5">
                  <w:pPr>
                    <w:keepNext w:val="0"/>
                    <w:keepLines w:val="0"/>
                    <w:suppressLineNumbers w:val="0"/>
                    <w:spacing w:before="0" w:beforeAutospacing="0" w:after="0" w:afterAutospacing="0" w:line="360" w:lineRule="auto"/>
                    <w:ind w:left="0" w:right="0"/>
                    <w:jc w:val="center"/>
                    <w:rPr>
                      <w:rFonts w:hint="default" w:ascii="宋体" w:hAnsi="宋体" w:eastAsia="宋体" w:cs="Times New Roman"/>
                      <w:color w:val="auto"/>
                      <w:highlight w:val="none"/>
                    </w:rPr>
                  </w:pPr>
                  <w:r>
                    <w:rPr>
                      <w:rFonts w:hint="eastAsia" w:ascii="宋体" w:hAnsi="宋体" w:eastAsia="宋体" w:cs="Times New Roman"/>
                      <w:color w:val="auto"/>
                      <w:highlight w:val="none"/>
                    </w:rPr>
                    <w:t>5</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33C1B089">
                  <w:pPr>
                    <w:keepNext w:val="0"/>
                    <w:keepLines w:val="0"/>
                    <w:suppressLineNumbers w:val="0"/>
                    <w:spacing w:before="0" w:beforeAutospacing="0" w:after="0" w:afterAutospacing="0" w:line="360" w:lineRule="auto"/>
                    <w:ind w:left="0" w:right="0"/>
                    <w:rPr>
                      <w:rFonts w:hint="default" w:ascii="宋体" w:hAnsi="宋体" w:eastAsia="宋体" w:cs="Times New Roman"/>
                      <w:color w:val="auto"/>
                      <w:highlight w:val="none"/>
                    </w:rPr>
                  </w:pPr>
                  <w:r>
                    <w:rPr>
                      <w:rFonts w:hint="eastAsia" w:ascii="宋体" w:hAnsi="宋体" w:eastAsia="宋体" w:cs="Times New Roman"/>
                      <w:color w:val="auto"/>
                      <w:highlight w:val="none"/>
                    </w:rPr>
                    <w:t>已签发的进度款支付证书中出现错误需在当期中支付或扣除的工程价款；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4250246A">
                  <w:pPr>
                    <w:keepNext w:val="0"/>
                    <w:keepLines w:val="0"/>
                    <w:suppressLineNumbers w:val="0"/>
                    <w:spacing w:before="0" w:beforeAutospacing="0" w:after="0" w:afterAutospacing="0" w:line="360" w:lineRule="auto"/>
                    <w:ind w:left="0" w:right="0"/>
                    <w:jc w:val="center"/>
                    <w:rPr>
                      <w:rFonts w:hint="eastAsia" w:ascii="宋体" w:hAnsi="宋体" w:eastAsia="宋体" w:cs="Times New Roman"/>
                      <w:color w:val="auto"/>
                      <w:highlight w:val="none"/>
                      <w:lang w:val="en-US" w:eastAsia="zh-CN"/>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7FF747B2">
                  <w:pPr>
                    <w:keepNext w:val="0"/>
                    <w:keepLines w:val="0"/>
                    <w:suppressLineNumbers w:val="0"/>
                    <w:spacing w:before="0" w:beforeAutospacing="0" w:after="0" w:afterAutospacing="0" w:line="360" w:lineRule="auto"/>
                    <w:ind w:left="0" w:right="0"/>
                    <w:jc w:val="center"/>
                    <w:rPr>
                      <w:rFonts w:hint="default" w:ascii="宋体" w:hAnsi="宋体" w:eastAsia="宋体" w:cs="Times New Roman"/>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0B0840C2">
                  <w:pPr>
                    <w:keepNext w:val="0"/>
                    <w:keepLines w:val="0"/>
                    <w:suppressLineNumbers w:val="0"/>
                    <w:spacing w:before="0" w:beforeAutospacing="0" w:after="0" w:afterAutospacing="0" w:line="360" w:lineRule="auto"/>
                    <w:ind w:left="0" w:right="0"/>
                    <w:rPr>
                      <w:rFonts w:hint="default" w:ascii="宋体" w:hAnsi="宋体" w:eastAsia="宋体" w:cs="Times New Roman"/>
                      <w:color w:val="auto"/>
                      <w:highlight w:val="none"/>
                    </w:rPr>
                  </w:pPr>
                </w:p>
              </w:tc>
            </w:tr>
            <w:tr w14:paraId="20CB7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center"/>
                </w:tcPr>
                <w:p w14:paraId="18DB3EE5">
                  <w:pPr>
                    <w:keepNext w:val="0"/>
                    <w:keepLines w:val="0"/>
                    <w:suppressLineNumbers w:val="0"/>
                    <w:spacing w:before="0" w:beforeAutospacing="0" w:after="0" w:afterAutospacing="0" w:line="360" w:lineRule="auto"/>
                    <w:ind w:left="0" w:right="0"/>
                    <w:jc w:val="center"/>
                    <w:rPr>
                      <w:rFonts w:hint="default" w:ascii="宋体" w:hAnsi="宋体" w:eastAsia="宋体" w:cs="Times New Roman"/>
                      <w:color w:val="auto"/>
                      <w:highlight w:val="none"/>
                    </w:rPr>
                  </w:pPr>
                  <w:r>
                    <w:rPr>
                      <w:rFonts w:hint="eastAsia" w:ascii="宋体" w:hAnsi="宋体" w:eastAsia="宋体" w:cs="Times New Roman"/>
                      <w:color w:val="auto"/>
                      <w:highlight w:val="none"/>
                    </w:rPr>
                    <w:t>6</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68A92DA8">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lang w:eastAsia="zh-CN"/>
                    </w:rPr>
                    <w:t>本</w:t>
                  </w:r>
                  <w:r>
                    <w:rPr>
                      <w:rFonts w:hint="eastAsia" w:ascii="宋体" w:hAnsi="宋体" w:eastAsia="宋体" w:cs="Times New Roman"/>
                      <w:color w:val="auto"/>
                      <w:highlight w:val="none"/>
                    </w:rPr>
                    <w:t>期应支付工程价款</w:t>
                  </w:r>
                  <w:r>
                    <w:rPr>
                      <w:rFonts w:hint="eastAsia" w:ascii="宋体" w:hAnsi="宋体" w:eastAsia="宋体" w:cs="Times New Roman"/>
                      <w:strike w:val="0"/>
                      <w:color w:val="auto"/>
                      <w:highlight w:val="none"/>
                    </w:rPr>
                    <w:t>=&lt;3&gt;</w:t>
                  </w:r>
                </w:p>
                <w:p w14:paraId="6D7A9738">
                  <w:pPr>
                    <w:keepNext w:val="0"/>
                    <w:keepLines w:val="0"/>
                    <w:suppressLineNumbers w:val="0"/>
                    <w:spacing w:before="0" w:beforeAutospacing="0" w:after="0" w:afterAutospacing="0" w:line="360" w:lineRule="auto"/>
                    <w:ind w:left="0" w:right="0" w:firstLine="210"/>
                    <w:rPr>
                      <w:rFonts w:hint="default" w:ascii="宋体" w:hAnsi="宋体" w:eastAsia="宋体" w:cs="Times New Roman"/>
                      <w:color w:val="auto"/>
                      <w:highlight w:val="none"/>
                    </w:rPr>
                  </w:pPr>
                  <w:r>
                    <w:rPr>
                      <w:rFonts w:hint="eastAsia" w:ascii="宋体" w:hAnsi="宋体" w:eastAsia="宋体" w:cs="Times New Roman"/>
                      <w:strike w:val="0"/>
                      <w:color w:val="auto"/>
                      <w:highlight w:val="none"/>
                    </w:rPr>
                    <w:t>×支付比例</w:t>
                  </w:r>
                  <w:r>
                    <w:rPr>
                      <w:rFonts w:hint="eastAsia" w:ascii="宋体" w:hAnsi="宋体" w:cs="Times New Roman"/>
                      <w:strike w:val="0"/>
                      <w:color w:val="auto"/>
                      <w:highlight w:val="none"/>
                      <w:lang w:eastAsia="zh-CN"/>
                    </w:rPr>
                    <w:t>－</w:t>
                  </w:r>
                  <w:r>
                    <w:rPr>
                      <w:rFonts w:hint="eastAsia" w:ascii="宋体" w:hAnsi="宋体" w:eastAsia="宋体" w:cs="Times New Roman"/>
                      <w:strike w:val="0"/>
                      <w:color w:val="auto"/>
                      <w:highlight w:val="none"/>
                      <w:lang w:val="en-US" w:eastAsia="zh-CN"/>
                    </w:rPr>
                    <w:t>&lt;4&gt;</w:t>
                  </w:r>
                  <w:r>
                    <w:rPr>
                      <w:rFonts w:hint="eastAsia" w:ascii="宋体" w:hAnsi="宋体" w:eastAsia="宋体" w:cs="Times New Roman"/>
                      <w:strike w:val="0"/>
                      <w:color w:val="auto"/>
                      <w:highlight w:val="none"/>
                    </w:rPr>
                    <w:t>＋&lt;5&gt;</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4FB0D855">
                  <w:pPr>
                    <w:keepNext w:val="0"/>
                    <w:keepLines w:val="0"/>
                    <w:suppressLineNumbers w:val="0"/>
                    <w:spacing w:before="0" w:beforeAutospacing="0" w:after="0" w:afterAutospacing="0" w:line="360" w:lineRule="auto"/>
                    <w:ind w:left="0" w:right="0"/>
                    <w:jc w:val="center"/>
                    <w:rPr>
                      <w:rFonts w:hint="default" w:ascii="宋体" w:hAnsi="宋体" w:eastAsia="宋体" w:cs="Times New Roman"/>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5E49ABE3">
                  <w:pPr>
                    <w:keepNext w:val="0"/>
                    <w:keepLines w:val="0"/>
                    <w:suppressLineNumbers w:val="0"/>
                    <w:spacing w:before="0" w:beforeAutospacing="0" w:after="0" w:afterAutospacing="0" w:line="360" w:lineRule="auto"/>
                    <w:ind w:left="0" w:right="0"/>
                    <w:jc w:val="center"/>
                    <w:rPr>
                      <w:rFonts w:hint="default" w:ascii="宋体" w:hAnsi="宋体" w:eastAsia="宋体" w:cs="Times New Roman"/>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2A5E8A8F">
                  <w:pPr>
                    <w:keepNext w:val="0"/>
                    <w:keepLines w:val="0"/>
                    <w:suppressLineNumbers w:val="0"/>
                    <w:spacing w:before="0" w:beforeAutospacing="0" w:after="0" w:afterAutospacing="0" w:line="360" w:lineRule="auto"/>
                    <w:ind w:left="0" w:right="0"/>
                    <w:rPr>
                      <w:rFonts w:hint="default" w:ascii="宋体" w:hAnsi="宋体" w:eastAsia="宋体" w:cs="Times New Roman"/>
                      <w:color w:val="auto"/>
                      <w:highlight w:val="none"/>
                    </w:rPr>
                  </w:pPr>
                </w:p>
              </w:tc>
            </w:tr>
            <w:tr w14:paraId="47A9C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99" w:type="dxa"/>
                  <w:tcBorders>
                    <w:top w:val="single" w:color="auto" w:sz="4" w:space="0"/>
                    <w:left w:val="single" w:color="auto" w:sz="4" w:space="0"/>
                    <w:bottom w:val="single" w:color="auto" w:sz="4" w:space="0"/>
                    <w:right w:val="single" w:color="auto" w:sz="4" w:space="0"/>
                  </w:tcBorders>
                  <w:noWrap w:val="0"/>
                  <w:vAlign w:val="center"/>
                </w:tcPr>
                <w:p w14:paraId="6494B905">
                  <w:pPr>
                    <w:keepNext w:val="0"/>
                    <w:keepLines w:val="0"/>
                    <w:suppressLineNumbers w:val="0"/>
                    <w:spacing w:before="0" w:beforeAutospacing="0" w:after="0" w:afterAutospacing="0" w:line="360" w:lineRule="auto"/>
                    <w:ind w:left="0" w:right="0"/>
                    <w:jc w:val="center"/>
                    <w:rPr>
                      <w:rFonts w:hint="eastAsia" w:ascii="宋体" w:hAnsi="宋体" w:eastAsia="宋体" w:cs="Times New Roman"/>
                      <w:color w:val="auto"/>
                      <w:highlight w:val="none"/>
                      <w:lang w:eastAsia="zh-CN"/>
                    </w:rPr>
                  </w:pPr>
                  <w:r>
                    <w:rPr>
                      <w:rFonts w:hint="eastAsia" w:ascii="宋体" w:hAnsi="宋体" w:eastAsia="宋体" w:cs="Times New Roman"/>
                      <w:color w:val="auto"/>
                      <w:highlight w:val="none"/>
                      <w:lang w:val="en-US" w:eastAsia="zh-CN"/>
                    </w:rPr>
                    <w:t>6.1</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57E4C7AC">
                  <w:pPr>
                    <w:keepNext w:val="0"/>
                    <w:keepLines w:val="0"/>
                    <w:suppressLineNumbers w:val="0"/>
                    <w:spacing w:before="0" w:beforeAutospacing="0" w:after="0" w:afterAutospacing="0" w:line="360" w:lineRule="auto"/>
                    <w:ind w:left="0" w:right="0"/>
                    <w:rPr>
                      <w:rFonts w:hint="default" w:ascii="宋体" w:hAnsi="宋体" w:eastAsia="宋体" w:cs="Times New Roman"/>
                      <w:color w:val="auto"/>
                      <w:highlight w:val="none"/>
                    </w:rPr>
                  </w:pPr>
                  <w:r>
                    <w:rPr>
                      <w:rFonts w:hint="eastAsia" w:ascii="宋体" w:hAnsi="宋体" w:eastAsia="宋体" w:cs="Times New Roman"/>
                      <w:color w:val="auto"/>
                      <w:highlight w:val="none"/>
                      <w:lang w:val="en-US" w:eastAsia="zh-CN"/>
                    </w:rPr>
                    <w:t>其中：本期应支付</w:t>
                  </w:r>
                  <w:r>
                    <w:rPr>
                      <w:rFonts w:hint="eastAsia" w:ascii="宋体" w:hAnsi="宋体" w:eastAsia="宋体" w:cs="Times New Roman"/>
                      <w:color w:val="auto"/>
                      <w:highlight w:val="none"/>
                    </w:rPr>
                    <w:t>人工费=&lt;3.1&gt;×支付比例</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126132E2">
                  <w:pPr>
                    <w:keepNext w:val="0"/>
                    <w:keepLines w:val="0"/>
                    <w:suppressLineNumbers w:val="0"/>
                    <w:spacing w:before="0" w:beforeAutospacing="0" w:after="0" w:afterAutospacing="0" w:line="360" w:lineRule="auto"/>
                    <w:ind w:left="0" w:right="0"/>
                    <w:jc w:val="center"/>
                    <w:rPr>
                      <w:rFonts w:hint="default" w:ascii="宋体" w:hAnsi="宋体" w:eastAsia="宋体" w:cs="Times New Roman"/>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02891CF3">
                  <w:pPr>
                    <w:keepNext w:val="0"/>
                    <w:keepLines w:val="0"/>
                    <w:suppressLineNumbers w:val="0"/>
                    <w:spacing w:before="0" w:beforeAutospacing="0" w:after="0" w:afterAutospacing="0" w:line="360" w:lineRule="auto"/>
                    <w:ind w:left="0" w:right="0"/>
                    <w:jc w:val="center"/>
                    <w:rPr>
                      <w:rFonts w:hint="default" w:ascii="宋体" w:hAnsi="宋体" w:eastAsia="宋体" w:cs="Times New Roman"/>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56D6FDF1">
                  <w:pPr>
                    <w:keepNext w:val="0"/>
                    <w:keepLines w:val="0"/>
                    <w:suppressLineNumbers w:val="0"/>
                    <w:spacing w:before="0" w:beforeAutospacing="0" w:after="0" w:afterAutospacing="0" w:line="360" w:lineRule="auto"/>
                    <w:ind w:left="0" w:right="0"/>
                    <w:rPr>
                      <w:rFonts w:hint="default" w:ascii="宋体" w:hAnsi="宋体" w:eastAsia="宋体" w:cs="Times New Roman"/>
                      <w:color w:val="auto"/>
                      <w:highlight w:val="none"/>
                    </w:rPr>
                  </w:pPr>
                </w:p>
              </w:tc>
            </w:tr>
            <w:tr w14:paraId="6AFFD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6E67D8CA">
                  <w:pPr>
                    <w:keepNext w:val="0"/>
                    <w:keepLines w:val="0"/>
                    <w:suppressLineNumbers w:val="0"/>
                    <w:spacing w:before="0" w:beforeAutospacing="0" w:after="0" w:afterAutospacing="0" w:line="360" w:lineRule="auto"/>
                    <w:ind w:left="0" w:right="0"/>
                    <w:jc w:val="center"/>
                    <w:rPr>
                      <w:rFonts w:hint="eastAsia" w:ascii="宋体" w:hAnsi="宋体" w:eastAsia="宋体" w:cs="Times New Roman"/>
                      <w:color w:val="auto"/>
                      <w:highlight w:val="none"/>
                      <w:lang w:eastAsia="zh-CN"/>
                    </w:rPr>
                  </w:pPr>
                  <w:r>
                    <w:rPr>
                      <w:rFonts w:hint="eastAsia" w:ascii="宋体" w:hAnsi="宋体" w:eastAsia="宋体" w:cs="Times New Roman"/>
                      <w:color w:val="auto"/>
                      <w:highlight w:val="none"/>
                      <w:lang w:val="en-US" w:eastAsia="zh-CN"/>
                    </w:rPr>
                    <w:t>7</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7AECF937">
                  <w:pPr>
                    <w:keepNext w:val="0"/>
                    <w:keepLines w:val="0"/>
                    <w:suppressLineNumbers w:val="0"/>
                    <w:spacing w:before="0" w:beforeAutospacing="0" w:after="0" w:afterAutospacing="0" w:line="360" w:lineRule="auto"/>
                    <w:ind w:left="0" w:right="0"/>
                    <w:rPr>
                      <w:rFonts w:hint="default" w:ascii="宋体" w:hAnsi="宋体" w:eastAsia="宋体" w:cs="Times New Roman"/>
                      <w:color w:val="auto"/>
                      <w:highlight w:val="none"/>
                    </w:rPr>
                  </w:pPr>
                  <w:r>
                    <w:rPr>
                      <w:rFonts w:hint="eastAsia" w:ascii="宋体" w:hAnsi="宋体" w:eastAsia="宋体" w:cs="Times New Roman"/>
                      <w:color w:val="auto"/>
                      <w:highlight w:val="none"/>
                    </w:rPr>
                    <w:t>累计已完成的工程价款（含本期）=&lt;1&gt;＋&lt;3&gt;</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5EC07AD2">
                  <w:pPr>
                    <w:keepNext w:val="0"/>
                    <w:keepLines w:val="0"/>
                    <w:suppressLineNumbers w:val="0"/>
                    <w:spacing w:before="0" w:beforeAutospacing="0" w:after="0" w:afterAutospacing="0" w:line="360" w:lineRule="auto"/>
                    <w:ind w:left="0" w:right="0"/>
                    <w:jc w:val="center"/>
                    <w:rPr>
                      <w:rFonts w:hint="default" w:ascii="宋体" w:hAnsi="宋体" w:eastAsia="宋体" w:cs="Times New Roman"/>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16FC70E9">
                  <w:pPr>
                    <w:keepNext w:val="0"/>
                    <w:keepLines w:val="0"/>
                    <w:suppressLineNumbers w:val="0"/>
                    <w:spacing w:before="0" w:beforeAutospacing="0" w:after="0" w:afterAutospacing="0" w:line="360" w:lineRule="auto"/>
                    <w:ind w:left="0" w:right="0"/>
                    <w:jc w:val="center"/>
                    <w:rPr>
                      <w:rFonts w:hint="default" w:ascii="宋体" w:hAnsi="宋体" w:eastAsia="宋体" w:cs="Times New Roman"/>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3ECEEB3D">
                  <w:pPr>
                    <w:keepNext w:val="0"/>
                    <w:keepLines w:val="0"/>
                    <w:suppressLineNumbers w:val="0"/>
                    <w:spacing w:before="0" w:beforeAutospacing="0" w:after="0" w:afterAutospacing="0" w:line="360" w:lineRule="auto"/>
                    <w:ind w:left="0" w:right="0"/>
                    <w:rPr>
                      <w:rFonts w:hint="default" w:ascii="宋体" w:hAnsi="宋体" w:eastAsia="宋体" w:cs="Times New Roman"/>
                      <w:color w:val="auto"/>
                      <w:highlight w:val="none"/>
                    </w:rPr>
                  </w:pPr>
                </w:p>
              </w:tc>
            </w:tr>
          </w:tbl>
          <w:p w14:paraId="05028A28">
            <w:pPr>
              <w:keepNext w:val="0"/>
              <w:keepLines w:val="0"/>
              <w:suppressLineNumbers w:val="0"/>
              <w:wordWrap w:val="0"/>
              <w:spacing w:before="0" w:beforeAutospacing="0" w:after="0" w:afterAutospacing="0" w:line="360" w:lineRule="auto"/>
              <w:ind w:left="0" w:right="420"/>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附：上述</w:t>
            </w:r>
            <w:r>
              <w:rPr>
                <w:rFonts w:hint="eastAsia" w:ascii="Times New Roman" w:hAnsi="Times New Roman" w:eastAsia="宋体" w:cs="Times New Roman"/>
                <w:color w:val="auto"/>
                <w:highlight w:val="none"/>
                <w:lang w:val="en-US" w:eastAsia="zh-CN"/>
              </w:rPr>
              <w:t xml:space="preserve">    </w:t>
            </w:r>
            <w:r>
              <w:rPr>
                <w:rFonts w:hint="eastAsia" w:ascii="宋体" w:hAnsi="宋体" w:eastAsia="宋体" w:cs="Times New Roman"/>
                <w:color w:val="auto"/>
                <w:highlight w:val="none"/>
              </w:rPr>
              <w:t>详见附件清单。</w:t>
            </w:r>
          </w:p>
          <w:p w14:paraId="53449334">
            <w:pPr>
              <w:keepNext w:val="0"/>
              <w:keepLines w:val="0"/>
              <w:suppressLineNumbers w:val="0"/>
              <w:wordWrap w:val="0"/>
              <w:spacing w:before="0" w:beforeAutospacing="0" w:after="0" w:afterAutospacing="0" w:line="360" w:lineRule="auto"/>
              <w:ind w:left="0" w:right="42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                                            </w:t>
            </w:r>
            <w:r>
              <w:rPr>
                <w:rFonts w:hint="eastAsia" w:ascii="宋体" w:hAnsi="宋体" w:eastAsia="宋体" w:cs="Times New Roman"/>
                <w:color w:val="auto"/>
                <w:highlight w:val="none"/>
              </w:rPr>
              <w:t xml:space="preserve">承包人（章） </w:t>
            </w:r>
            <w:r>
              <w:rPr>
                <w:rFonts w:hint="default" w:ascii="Times New Roman" w:hAnsi="Times New Roman" w:eastAsia="宋体" w:cs="Times New Roman"/>
                <w:color w:val="auto"/>
                <w:highlight w:val="none"/>
              </w:rPr>
              <w:t xml:space="preserve">            </w:t>
            </w:r>
          </w:p>
          <w:p w14:paraId="0C6DFCD3">
            <w:pPr>
              <w:keepNext w:val="0"/>
              <w:keepLines w:val="0"/>
              <w:suppressLineNumbers w:val="0"/>
              <w:spacing w:before="0" w:beforeAutospacing="0" w:after="0" w:afterAutospacing="0" w:line="360" w:lineRule="auto"/>
              <w:ind w:left="0" w:right="420" w:firstLine="435"/>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造价人员</w:t>
            </w:r>
            <w:r>
              <w:rPr>
                <w:rFonts w:hint="default" w:ascii="Times New Roman" w:hAnsi="Times New Roman" w:eastAsia="宋体" w:cs="Times New Roman"/>
                <w:color w:val="auto"/>
                <w:highlight w:val="none"/>
                <w:u w:val="single"/>
              </w:rPr>
              <w:t xml:space="preserve">               </w:t>
            </w:r>
            <w:r>
              <w:rPr>
                <w:rFonts w:hint="eastAsia" w:ascii="宋体" w:hAnsi="宋体" w:eastAsia="宋体" w:cs="Times New Roman"/>
                <w:color w:val="auto"/>
                <w:highlight w:val="none"/>
              </w:rPr>
              <w:t>承包人代表</w:t>
            </w:r>
            <w:r>
              <w:rPr>
                <w:rFonts w:hint="default" w:ascii="Times New Roman" w:hAnsi="Times New Roman" w:eastAsia="宋体" w:cs="Times New Roman"/>
                <w:color w:val="auto"/>
                <w:highlight w:val="none"/>
                <w:u w:val="single"/>
              </w:rPr>
              <w:t xml:space="preserve">               </w:t>
            </w:r>
            <w:r>
              <w:rPr>
                <w:rFonts w:hint="eastAsia" w:ascii="宋体" w:hAnsi="宋体" w:eastAsia="宋体" w:cs="Times New Roman"/>
                <w:color w:val="auto"/>
                <w:highlight w:val="none"/>
              </w:rPr>
              <w:t xml:space="preserve">日 </w:t>
            </w:r>
            <w:r>
              <w:rPr>
                <w:rFonts w:hint="default" w:ascii="Times New Roman" w:hAnsi="Times New Roman" w:eastAsia="宋体" w:cs="Times New Roman"/>
                <w:color w:val="auto"/>
                <w:highlight w:val="none"/>
              </w:rPr>
              <w:t xml:space="preserve">     </w:t>
            </w:r>
            <w:r>
              <w:rPr>
                <w:rFonts w:hint="eastAsia" w:ascii="宋体" w:hAnsi="宋体" w:eastAsia="宋体" w:cs="Times New Roman"/>
                <w:color w:val="auto"/>
                <w:highlight w:val="none"/>
              </w:rPr>
              <w:t>期</w:t>
            </w:r>
            <w:r>
              <w:rPr>
                <w:rFonts w:hint="default" w:ascii="Times New Roman" w:hAnsi="Times New Roman" w:eastAsia="宋体" w:cs="Times New Roman"/>
                <w:color w:val="auto"/>
                <w:highlight w:val="none"/>
                <w:u w:val="single"/>
              </w:rPr>
              <w:t xml:space="preserve">               </w:t>
            </w:r>
          </w:p>
        </w:tc>
      </w:tr>
      <w:tr w14:paraId="080ED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8" w:hRule="atLeast"/>
          <w:jc w:val="center"/>
        </w:trPr>
        <w:tc>
          <w:tcPr>
            <w:tcW w:w="4959" w:type="dxa"/>
            <w:tcBorders>
              <w:top w:val="single" w:color="auto" w:sz="4" w:space="0"/>
              <w:left w:val="single" w:color="auto" w:sz="4" w:space="0"/>
              <w:bottom w:val="single" w:color="auto" w:sz="4" w:space="0"/>
              <w:right w:val="single" w:color="auto" w:sz="4" w:space="0"/>
            </w:tcBorders>
            <w:noWrap w:val="0"/>
            <w:vAlign w:val="top"/>
          </w:tcPr>
          <w:p w14:paraId="29C9F29E">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复核意见：</w:t>
            </w:r>
          </w:p>
          <w:p w14:paraId="5809A183">
            <w:pPr>
              <w:keepNext w:val="0"/>
              <w:keepLines w:val="0"/>
              <w:suppressLineNumbers w:val="0"/>
              <w:spacing w:before="0" w:beforeAutospacing="0" w:after="0" w:afterAutospacing="0" w:line="360" w:lineRule="auto"/>
              <w:ind w:left="0" w:right="0" w:firstLine="312"/>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□与实际施工情况不相符，修改意见见附件。</w:t>
            </w:r>
          </w:p>
          <w:p w14:paraId="38F83A04">
            <w:pPr>
              <w:keepNext w:val="0"/>
              <w:keepLines w:val="0"/>
              <w:suppressLineNumbers w:val="0"/>
              <w:spacing w:before="0" w:beforeAutospacing="0" w:after="0" w:afterAutospacing="0" w:line="360" w:lineRule="auto"/>
              <w:ind w:left="0" w:right="0" w:firstLine="312"/>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□与实际施工情况相符，具体金额由造价工程师复核。</w:t>
            </w:r>
          </w:p>
          <w:p w14:paraId="229B6069">
            <w:pPr>
              <w:keepNext w:val="0"/>
              <w:keepLines w:val="0"/>
              <w:suppressLineNumbers w:val="0"/>
              <w:spacing w:before="0" w:beforeAutospacing="0" w:after="0" w:afterAutospacing="0" w:line="360" w:lineRule="auto"/>
              <w:ind w:left="0" w:right="0" w:firstLine="435"/>
              <w:jc w:val="right"/>
              <w:rPr>
                <w:rFonts w:hint="default" w:ascii="Times New Roman" w:hAnsi="Times New Roman" w:eastAsia="宋体" w:cs="Times New Roman"/>
                <w:color w:val="auto"/>
                <w:highlight w:val="none"/>
              </w:rPr>
            </w:pPr>
          </w:p>
          <w:p w14:paraId="333B7AC1">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auto"/>
                <w:highlight w:val="none"/>
                <w:u w:val="single"/>
              </w:rPr>
            </w:pPr>
            <w:r>
              <w:rPr>
                <w:rFonts w:hint="eastAsia" w:ascii="Times New Roman" w:hAnsi="Times New Roman" w:eastAsia="宋体" w:cs="Times New Roman"/>
                <w:color w:val="auto"/>
                <w:highlight w:val="none"/>
                <w:lang w:eastAsia="zh-CN"/>
              </w:rPr>
              <w:t>监理</w:t>
            </w:r>
            <w:r>
              <w:rPr>
                <w:rFonts w:hint="eastAsia" w:ascii="宋体" w:hAnsi="宋体" w:eastAsia="宋体" w:cs="Times New Roman"/>
                <w:color w:val="auto"/>
                <w:highlight w:val="none"/>
              </w:rPr>
              <w:t>工程师</w:t>
            </w:r>
            <w:r>
              <w:rPr>
                <w:rFonts w:hint="default" w:ascii="Times New Roman" w:hAnsi="Times New Roman" w:eastAsia="宋体" w:cs="Times New Roman"/>
                <w:color w:val="auto"/>
                <w:highlight w:val="none"/>
                <w:u w:val="single"/>
              </w:rPr>
              <w:t xml:space="preserve">           </w:t>
            </w:r>
            <w:r>
              <w:rPr>
                <w:rFonts w:hint="default" w:ascii="Times New Roman" w:hAnsi="Times New Roman" w:eastAsia="宋体" w:cs="Times New Roman"/>
                <w:color w:val="auto"/>
                <w:highlight w:val="none"/>
              </w:rPr>
              <w:t xml:space="preserve">        </w:t>
            </w:r>
            <w:r>
              <w:rPr>
                <w:rFonts w:hint="eastAsia" w:ascii="宋体" w:hAnsi="宋体" w:eastAsia="宋体" w:cs="Times New Roman"/>
                <w:color w:val="auto"/>
                <w:highlight w:val="none"/>
              </w:rPr>
              <w:t xml:space="preserve">日 </w:t>
            </w:r>
            <w:r>
              <w:rPr>
                <w:rFonts w:hint="default" w:ascii="Times New Roman" w:hAnsi="Times New Roman" w:eastAsia="宋体" w:cs="Times New Roman"/>
                <w:color w:val="auto"/>
                <w:highlight w:val="none"/>
              </w:rPr>
              <w:t xml:space="preserve">     </w:t>
            </w:r>
            <w:r>
              <w:rPr>
                <w:rFonts w:hint="eastAsia" w:ascii="宋体" w:hAnsi="宋体" w:eastAsia="宋体" w:cs="Times New Roman"/>
                <w:color w:val="auto"/>
                <w:highlight w:val="none"/>
              </w:rPr>
              <w:t>期</w:t>
            </w:r>
            <w:r>
              <w:rPr>
                <w:rFonts w:hint="default" w:ascii="Times New Roman" w:hAnsi="Times New Roman" w:eastAsia="宋体" w:cs="Times New Roman"/>
                <w:color w:val="auto"/>
                <w:highlight w:val="none"/>
                <w:u w:val="single"/>
              </w:rPr>
              <w:t xml:space="preserve">           </w:t>
            </w:r>
          </w:p>
        </w:tc>
        <w:tc>
          <w:tcPr>
            <w:tcW w:w="4552" w:type="dxa"/>
            <w:tcBorders>
              <w:top w:val="single" w:color="auto" w:sz="4" w:space="0"/>
              <w:left w:val="single" w:color="auto" w:sz="4" w:space="0"/>
              <w:bottom w:val="single" w:color="auto" w:sz="4" w:space="0"/>
              <w:right w:val="single" w:color="auto" w:sz="4" w:space="0"/>
            </w:tcBorders>
            <w:noWrap w:val="0"/>
            <w:vAlign w:val="top"/>
          </w:tcPr>
          <w:p w14:paraId="0FACEAF7">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复核意见：</w:t>
            </w:r>
          </w:p>
          <w:p w14:paraId="4C061983">
            <w:pPr>
              <w:keepNext w:val="0"/>
              <w:keepLines w:val="0"/>
              <w:suppressLineNumbers w:val="0"/>
              <w:spacing w:before="0" w:beforeAutospacing="0" w:after="0" w:afterAutospacing="0" w:line="360" w:lineRule="auto"/>
              <w:ind w:left="0" w:right="0" w:firstLine="435"/>
              <w:rPr>
                <w:rFonts w:hint="default" w:ascii="Times New Roman" w:hAnsi="Times New Roman" w:eastAsia="宋体" w:cs="Times New Roman"/>
                <w:color w:val="auto"/>
                <w:highlight w:val="none"/>
                <w:u w:val="single"/>
              </w:rPr>
            </w:pPr>
            <w:r>
              <w:rPr>
                <w:rFonts w:hint="eastAsia" w:ascii="宋体" w:hAnsi="宋体" w:eastAsia="宋体" w:cs="Times New Roman"/>
                <w:color w:val="auto"/>
                <w:highlight w:val="none"/>
              </w:rPr>
              <w:t>你方提出的支付申请经复核，本周期已完成工程价款为</w:t>
            </w:r>
            <w:r>
              <w:rPr>
                <w:rFonts w:hint="eastAsia" w:ascii="宋体" w:hAnsi="宋体" w:cs="Times New Roman"/>
                <w:color w:val="auto"/>
                <w:highlight w:val="none"/>
                <w:lang w:eastAsia="zh-CN"/>
              </w:rPr>
              <w:t>（</w:t>
            </w:r>
            <w:r>
              <w:rPr>
                <w:rFonts w:hint="eastAsia" w:ascii="宋体" w:hAnsi="宋体" w:eastAsia="宋体" w:cs="Times New Roman"/>
                <w:color w:val="auto"/>
                <w:highlight w:val="none"/>
              </w:rPr>
              <w:t>大写</w:t>
            </w:r>
            <w:r>
              <w:rPr>
                <w:rFonts w:hint="eastAsia" w:ascii="宋体" w:hAnsi="宋体" w:cs="Times New Roman"/>
                <w:color w:val="auto"/>
                <w:highlight w:val="none"/>
                <w:lang w:eastAsia="zh-CN"/>
              </w:rPr>
              <w:t>）</w:t>
            </w:r>
            <w:r>
              <w:rPr>
                <w:rFonts w:hint="default" w:ascii="Times New Roman" w:hAnsi="Times New Roman" w:eastAsia="宋体" w:cs="Times New Roman"/>
                <w:color w:val="auto"/>
                <w:highlight w:val="none"/>
                <w:u w:val="single"/>
              </w:rPr>
              <w:t xml:space="preserve">                </w:t>
            </w:r>
            <w:r>
              <w:rPr>
                <w:rFonts w:hint="eastAsia" w:ascii="宋体" w:hAnsi="宋体" w:eastAsia="宋体" w:cs="Times New Roman"/>
                <w:color w:val="auto"/>
                <w:highlight w:val="none"/>
              </w:rPr>
              <w:t>元，（小写）</w:t>
            </w:r>
            <w:r>
              <w:rPr>
                <w:rFonts w:hint="default" w:ascii="Times New Roman" w:hAnsi="Times New Roman" w:eastAsia="宋体" w:cs="Times New Roman"/>
                <w:color w:val="auto"/>
                <w:highlight w:val="none"/>
                <w:u w:val="single"/>
              </w:rPr>
              <w:t xml:space="preserve">          </w:t>
            </w:r>
            <w:r>
              <w:rPr>
                <w:rFonts w:hint="default" w:ascii="Times New Roman" w:hAnsi="Times New Roman" w:eastAsia="宋体" w:cs="Times New Roman"/>
                <w:color w:val="auto"/>
                <w:highlight w:val="none"/>
              </w:rPr>
              <w:t xml:space="preserve"> </w:t>
            </w:r>
            <w:r>
              <w:rPr>
                <w:rFonts w:hint="eastAsia" w:ascii="宋体" w:hAnsi="宋体" w:eastAsia="宋体" w:cs="Times New Roman"/>
                <w:color w:val="auto"/>
                <w:highlight w:val="none"/>
              </w:rPr>
              <w:t>元，本期间应支付金额为（大写）</w:t>
            </w:r>
            <w:r>
              <w:rPr>
                <w:rFonts w:hint="default" w:ascii="Times New Roman" w:hAnsi="Times New Roman" w:eastAsia="宋体" w:cs="Times New Roman"/>
                <w:color w:val="auto"/>
                <w:highlight w:val="none"/>
                <w:u w:val="single"/>
              </w:rPr>
              <w:t xml:space="preserve">                 </w:t>
            </w:r>
            <w:r>
              <w:rPr>
                <w:rFonts w:hint="eastAsia" w:ascii="宋体" w:hAnsi="宋体" w:eastAsia="宋体" w:cs="Times New Roman"/>
                <w:color w:val="auto"/>
                <w:highlight w:val="none"/>
              </w:rPr>
              <w:t>元，（小写）</w:t>
            </w:r>
            <w:r>
              <w:rPr>
                <w:rFonts w:hint="default" w:ascii="Times New Roman" w:hAnsi="Times New Roman" w:eastAsia="宋体" w:cs="Times New Roman"/>
                <w:color w:val="auto"/>
                <w:highlight w:val="none"/>
                <w:u w:val="single"/>
              </w:rPr>
              <w:t xml:space="preserve">         </w:t>
            </w:r>
            <w:r>
              <w:rPr>
                <w:rFonts w:hint="eastAsia" w:ascii="宋体" w:hAnsi="宋体" w:eastAsia="宋体" w:cs="Times New Roman"/>
                <w:color w:val="auto"/>
                <w:highlight w:val="none"/>
              </w:rPr>
              <w:t>元。</w:t>
            </w:r>
          </w:p>
          <w:p w14:paraId="69BADB5E">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auto"/>
                <w:highlight w:val="none"/>
                <w:u w:val="single"/>
              </w:rPr>
            </w:pPr>
            <w:r>
              <w:rPr>
                <w:rFonts w:hint="eastAsia" w:ascii="宋体" w:hAnsi="宋体" w:eastAsia="宋体" w:cs="Times New Roman"/>
                <w:color w:val="auto"/>
                <w:highlight w:val="none"/>
              </w:rPr>
              <w:t>造价工程师</w:t>
            </w:r>
            <w:r>
              <w:rPr>
                <w:rFonts w:hint="default" w:ascii="Times New Roman" w:hAnsi="Times New Roman" w:eastAsia="宋体" w:cs="Times New Roman"/>
                <w:color w:val="auto"/>
                <w:highlight w:val="none"/>
                <w:u w:val="single"/>
              </w:rPr>
              <w:t xml:space="preserve">           </w:t>
            </w:r>
            <w:r>
              <w:rPr>
                <w:rFonts w:hint="default" w:ascii="Times New Roman" w:hAnsi="Times New Roman" w:eastAsia="宋体" w:cs="Times New Roman"/>
                <w:color w:val="auto"/>
                <w:highlight w:val="none"/>
              </w:rPr>
              <w:t xml:space="preserve">    </w:t>
            </w:r>
            <w:r>
              <w:rPr>
                <w:rFonts w:hint="eastAsia" w:ascii="宋体" w:hAnsi="宋体" w:eastAsia="宋体" w:cs="Times New Roman"/>
                <w:color w:val="auto"/>
                <w:highlight w:val="none"/>
              </w:rPr>
              <w:t xml:space="preserve">日 </w:t>
            </w:r>
            <w:r>
              <w:rPr>
                <w:rFonts w:hint="default" w:ascii="Times New Roman" w:hAnsi="Times New Roman" w:eastAsia="宋体" w:cs="Times New Roman"/>
                <w:color w:val="auto"/>
                <w:highlight w:val="none"/>
              </w:rPr>
              <w:t xml:space="preserve">     </w:t>
            </w:r>
            <w:r>
              <w:rPr>
                <w:rFonts w:hint="eastAsia" w:ascii="宋体" w:hAnsi="宋体" w:eastAsia="宋体" w:cs="Times New Roman"/>
                <w:color w:val="auto"/>
                <w:highlight w:val="none"/>
              </w:rPr>
              <w:t>期</w:t>
            </w:r>
            <w:r>
              <w:rPr>
                <w:rFonts w:hint="default" w:ascii="Times New Roman" w:hAnsi="Times New Roman" w:eastAsia="宋体" w:cs="Times New Roman"/>
                <w:color w:val="auto"/>
                <w:highlight w:val="none"/>
                <w:u w:val="single"/>
              </w:rPr>
              <w:t xml:space="preserve">           </w:t>
            </w:r>
          </w:p>
        </w:tc>
      </w:tr>
      <w:tr w14:paraId="0F5D7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1" w:hRule="atLeast"/>
          <w:jc w:val="center"/>
        </w:trPr>
        <w:tc>
          <w:tcPr>
            <w:tcW w:w="9511" w:type="dxa"/>
            <w:gridSpan w:val="2"/>
            <w:tcBorders>
              <w:top w:val="single" w:color="auto" w:sz="4" w:space="0"/>
              <w:left w:val="single" w:color="auto" w:sz="4" w:space="0"/>
              <w:bottom w:val="single" w:color="auto" w:sz="4" w:space="0"/>
              <w:right w:val="single" w:color="auto" w:sz="4" w:space="0"/>
            </w:tcBorders>
            <w:noWrap w:val="0"/>
            <w:vAlign w:val="top"/>
          </w:tcPr>
          <w:p w14:paraId="5838C26B">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审核意见：</w:t>
            </w:r>
          </w:p>
          <w:p w14:paraId="1293C54A">
            <w:pPr>
              <w:keepNext w:val="0"/>
              <w:keepLines w:val="0"/>
              <w:suppressLineNumbers w:val="0"/>
              <w:spacing w:before="0" w:beforeAutospacing="0" w:after="0" w:afterAutospacing="0" w:line="360" w:lineRule="auto"/>
              <w:ind w:left="0" w:right="0" w:firstLine="435"/>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□不同意。</w:t>
            </w:r>
          </w:p>
          <w:p w14:paraId="04B520F9">
            <w:pPr>
              <w:keepNext w:val="0"/>
              <w:keepLines w:val="0"/>
              <w:suppressLineNumbers w:val="0"/>
              <w:spacing w:before="0" w:beforeAutospacing="0" w:after="0" w:afterAutospacing="0" w:line="360" w:lineRule="auto"/>
              <w:ind w:left="0" w:right="0" w:firstLine="420" w:firstLineChars="200"/>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□同意，支付时间为本表签发后的</w:t>
            </w:r>
            <w:r>
              <w:rPr>
                <w:rFonts w:hint="eastAsia" w:ascii="Times New Roman" w:hAnsi="Times New Roman" w:eastAsia="宋体" w:cs="Times New Roman"/>
                <w:color w:val="auto"/>
                <w:highlight w:val="none"/>
              </w:rPr>
              <w:t>15</w:t>
            </w:r>
            <w:r>
              <w:rPr>
                <w:rFonts w:hint="eastAsia" w:ascii="宋体" w:hAnsi="宋体" w:eastAsia="宋体" w:cs="Times New Roman"/>
                <w:color w:val="auto"/>
                <w:highlight w:val="none"/>
              </w:rPr>
              <w:t>天内。</w:t>
            </w:r>
          </w:p>
          <w:p w14:paraId="50DACC5C">
            <w:pPr>
              <w:keepNext w:val="0"/>
              <w:keepLines w:val="0"/>
              <w:suppressLineNumbers w:val="0"/>
              <w:wordWrap w:val="0"/>
              <w:spacing w:before="0" w:beforeAutospacing="0" w:after="0" w:afterAutospacing="0" w:line="360" w:lineRule="auto"/>
              <w:ind w:left="0" w:right="0" w:firstLine="420" w:firstLineChars="200"/>
              <w:jc w:val="right"/>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 xml:space="preserve">发包人（章） </w:t>
            </w:r>
            <w:r>
              <w:rPr>
                <w:rFonts w:hint="default" w:ascii="Times New Roman" w:hAnsi="Times New Roman" w:eastAsia="宋体" w:cs="Times New Roman"/>
                <w:color w:val="auto"/>
                <w:highlight w:val="none"/>
              </w:rPr>
              <w:t xml:space="preserve">          </w:t>
            </w:r>
          </w:p>
          <w:p w14:paraId="7C90CB17">
            <w:pPr>
              <w:keepNext w:val="0"/>
              <w:keepLines w:val="0"/>
              <w:suppressLineNumbers w:val="0"/>
              <w:wordWrap w:val="0"/>
              <w:spacing w:before="0" w:beforeAutospacing="0" w:after="0" w:afterAutospacing="0" w:line="360" w:lineRule="auto"/>
              <w:ind w:left="0" w:right="0" w:firstLine="420" w:firstLineChars="200"/>
              <w:jc w:val="right"/>
              <w:rPr>
                <w:rFonts w:hint="default" w:ascii="Times New Roman" w:hAnsi="Times New Roman" w:eastAsia="宋体" w:cs="Times New Roman"/>
                <w:color w:val="auto"/>
                <w:highlight w:val="none"/>
                <w:u w:val="single"/>
              </w:rPr>
            </w:pPr>
            <w:r>
              <w:rPr>
                <w:rFonts w:hint="eastAsia" w:ascii="宋体" w:hAnsi="宋体" w:eastAsia="宋体" w:cs="Times New Roman"/>
                <w:color w:val="auto"/>
                <w:highlight w:val="none"/>
              </w:rPr>
              <w:t>发包人代表</w:t>
            </w:r>
            <w:r>
              <w:rPr>
                <w:rFonts w:hint="default" w:ascii="Times New Roman" w:hAnsi="Times New Roman" w:eastAsia="宋体" w:cs="Times New Roman"/>
                <w:color w:val="auto"/>
                <w:highlight w:val="none"/>
                <w:u w:val="single"/>
              </w:rPr>
              <w:t xml:space="preserve">             </w:t>
            </w:r>
          </w:p>
          <w:p w14:paraId="3C406CA5">
            <w:pPr>
              <w:keepNext w:val="0"/>
              <w:keepLines w:val="0"/>
              <w:suppressLineNumbers w:val="0"/>
              <w:wordWrap w:val="0"/>
              <w:spacing w:before="0" w:beforeAutospacing="0" w:after="0" w:afterAutospacing="0" w:line="360" w:lineRule="auto"/>
              <w:ind w:left="0" w:right="0" w:firstLine="420" w:firstLineChars="200"/>
              <w:jc w:val="right"/>
              <w:rPr>
                <w:rFonts w:hint="default" w:ascii="Times New Roman" w:hAnsi="Times New Roman" w:eastAsia="宋体" w:cs="Times New Roman"/>
                <w:color w:val="auto"/>
                <w:highlight w:val="none"/>
                <w:u w:val="single"/>
              </w:rPr>
            </w:pPr>
            <w:r>
              <w:rPr>
                <w:rFonts w:hint="eastAsia" w:ascii="宋体" w:hAnsi="宋体" w:eastAsia="宋体" w:cs="Times New Roman"/>
                <w:color w:val="auto"/>
                <w:highlight w:val="none"/>
              </w:rPr>
              <w:t xml:space="preserve">日 </w:t>
            </w:r>
            <w:r>
              <w:rPr>
                <w:rFonts w:hint="default" w:ascii="Times New Roman" w:hAnsi="Times New Roman" w:eastAsia="宋体" w:cs="Times New Roman"/>
                <w:color w:val="auto"/>
                <w:highlight w:val="none"/>
              </w:rPr>
              <w:t xml:space="preserve">     </w:t>
            </w:r>
            <w:r>
              <w:rPr>
                <w:rFonts w:hint="eastAsia" w:ascii="宋体" w:hAnsi="宋体" w:eastAsia="宋体" w:cs="Times New Roman"/>
                <w:color w:val="auto"/>
                <w:highlight w:val="none"/>
              </w:rPr>
              <w:t>期</w:t>
            </w:r>
            <w:r>
              <w:rPr>
                <w:rFonts w:hint="default" w:ascii="Times New Roman" w:hAnsi="Times New Roman" w:eastAsia="宋体" w:cs="Times New Roman"/>
                <w:color w:val="auto"/>
                <w:highlight w:val="none"/>
                <w:u w:val="single"/>
              </w:rPr>
              <w:t xml:space="preserve">             </w:t>
            </w:r>
          </w:p>
        </w:tc>
      </w:tr>
    </w:tbl>
    <w:p w14:paraId="25213975">
      <w:pPr>
        <w:spacing w:beforeLines="50" w:line="360" w:lineRule="auto"/>
        <w:ind w:firstLine="360" w:firstLineChars="200"/>
        <w:rPr>
          <w:color w:val="auto"/>
          <w:sz w:val="18"/>
          <w:szCs w:val="18"/>
          <w:highlight w:val="none"/>
        </w:rPr>
      </w:pPr>
      <w:r>
        <w:rPr>
          <w:rFonts w:hint="eastAsia" w:ascii="宋体" w:hAnsi="宋体"/>
          <w:color w:val="auto"/>
          <w:sz w:val="18"/>
          <w:szCs w:val="18"/>
          <w:highlight w:val="none"/>
        </w:rPr>
        <w:t>注：</w:t>
      </w:r>
      <w:r>
        <w:rPr>
          <w:rFonts w:hint="eastAsia"/>
          <w:color w:val="auto"/>
          <w:sz w:val="18"/>
          <w:szCs w:val="18"/>
          <w:highlight w:val="none"/>
        </w:rPr>
        <w:t>1.</w:t>
      </w:r>
      <w:r>
        <w:rPr>
          <w:rFonts w:hint="eastAsia" w:ascii="宋体" w:hAnsi="宋体"/>
          <w:color w:val="auto"/>
          <w:sz w:val="18"/>
          <w:szCs w:val="18"/>
          <w:highlight w:val="none"/>
        </w:rPr>
        <w:t>在选择栏中的</w:t>
      </w:r>
      <w:r>
        <w:rPr>
          <w:rFonts w:hint="eastAsia" w:ascii="宋体" w:hAnsi="宋体"/>
          <w:color w:val="auto"/>
          <w:sz w:val="18"/>
          <w:szCs w:val="18"/>
          <w:highlight w:val="none"/>
          <w:lang w:eastAsia="zh-CN"/>
        </w:rPr>
        <w:t>“</w:t>
      </w:r>
      <w:r>
        <w:rPr>
          <w:rFonts w:hint="eastAsia" w:ascii="宋体" w:hAnsi="宋体"/>
          <w:color w:val="auto"/>
          <w:sz w:val="18"/>
          <w:szCs w:val="18"/>
          <w:highlight w:val="none"/>
        </w:rPr>
        <w:t>□</w:t>
      </w:r>
      <w:r>
        <w:rPr>
          <w:rFonts w:hint="eastAsia" w:ascii="宋体" w:hAnsi="宋体"/>
          <w:color w:val="auto"/>
          <w:sz w:val="18"/>
          <w:szCs w:val="18"/>
          <w:highlight w:val="none"/>
          <w:lang w:eastAsia="zh-CN"/>
        </w:rPr>
        <w:t>”</w:t>
      </w:r>
      <w:r>
        <w:rPr>
          <w:rFonts w:hint="eastAsia" w:ascii="宋体" w:hAnsi="宋体"/>
          <w:color w:val="auto"/>
          <w:sz w:val="18"/>
          <w:szCs w:val="18"/>
          <w:highlight w:val="none"/>
        </w:rPr>
        <w:t>内作标识</w:t>
      </w:r>
      <w:r>
        <w:rPr>
          <w:rFonts w:hint="eastAsia" w:ascii="宋体" w:hAnsi="宋体"/>
          <w:color w:val="auto"/>
          <w:sz w:val="18"/>
          <w:szCs w:val="18"/>
          <w:highlight w:val="none"/>
          <w:lang w:eastAsia="zh-CN"/>
        </w:rPr>
        <w:t>“</w:t>
      </w:r>
      <w:r>
        <w:rPr>
          <w:rFonts w:hint="eastAsia" w:ascii="宋体" w:hAnsi="宋体"/>
          <w:color w:val="auto"/>
          <w:sz w:val="18"/>
          <w:szCs w:val="18"/>
          <w:highlight w:val="none"/>
        </w:rPr>
        <w:t>√</w:t>
      </w:r>
      <w:r>
        <w:rPr>
          <w:rFonts w:hint="eastAsia" w:ascii="宋体" w:hAnsi="宋体"/>
          <w:color w:val="auto"/>
          <w:sz w:val="18"/>
          <w:szCs w:val="18"/>
          <w:highlight w:val="none"/>
          <w:lang w:eastAsia="zh-CN"/>
        </w:rPr>
        <w:t>”</w:t>
      </w:r>
      <w:r>
        <w:rPr>
          <w:rFonts w:hint="eastAsia" w:ascii="宋体" w:hAnsi="宋体"/>
          <w:color w:val="auto"/>
          <w:sz w:val="18"/>
          <w:szCs w:val="18"/>
          <w:highlight w:val="none"/>
        </w:rPr>
        <w:t xml:space="preserve">。 </w:t>
      </w:r>
    </w:p>
    <w:p w14:paraId="305325FB">
      <w:pPr>
        <w:spacing w:beforeLines="50" w:line="360" w:lineRule="auto"/>
        <w:ind w:firstLine="720" w:firstLineChars="400"/>
        <w:rPr>
          <w:rFonts w:ascii="宋体" w:hAnsi="宋体"/>
          <w:color w:val="auto"/>
          <w:sz w:val="18"/>
          <w:szCs w:val="18"/>
          <w:highlight w:val="none"/>
        </w:rPr>
      </w:pPr>
      <w:r>
        <w:rPr>
          <w:rFonts w:hint="eastAsia"/>
          <w:color w:val="auto"/>
          <w:sz w:val="18"/>
          <w:szCs w:val="18"/>
          <w:highlight w:val="none"/>
        </w:rPr>
        <w:t>2.</w:t>
      </w:r>
      <w:r>
        <w:rPr>
          <w:rFonts w:hint="eastAsia" w:ascii="宋体" w:hAnsi="宋体"/>
          <w:color w:val="auto"/>
          <w:sz w:val="18"/>
          <w:szCs w:val="18"/>
          <w:highlight w:val="none"/>
        </w:rPr>
        <w:t>本表一式四份，由承包人填报，发包人、监理人、造价咨询人、承包人各存一份。</w:t>
      </w:r>
    </w:p>
    <w:p w14:paraId="06709F64">
      <w:pPr>
        <w:spacing w:before="120" w:beforeLines="50" w:after="120" w:afterLines="50" w:line="360" w:lineRule="auto"/>
        <w:jc w:val="left"/>
        <w:rPr>
          <w:rFonts w:hint="eastAsia" w:ascii="仿宋_GB2312" w:eastAsia="仿宋_GB2312" w:cs="仿宋_GB2312"/>
          <w:color w:val="auto"/>
          <w:sz w:val="30"/>
          <w:szCs w:val="30"/>
          <w:highlight w:val="none"/>
        </w:rPr>
      </w:pPr>
    </w:p>
    <w:p w14:paraId="343F5C87">
      <w:pPr>
        <w:spacing w:before="120" w:beforeLines="50" w:after="120" w:afterLines="50" w:line="360" w:lineRule="auto"/>
        <w:jc w:val="left"/>
        <w:rPr>
          <w:rFonts w:hint="eastAsia" w:ascii="仿宋_GB2312" w:eastAsia="仿宋_GB2312" w:cs="仿宋_GB2312"/>
          <w:color w:val="auto"/>
          <w:sz w:val="30"/>
          <w:szCs w:val="30"/>
          <w:highlight w:val="none"/>
        </w:rPr>
      </w:pPr>
    </w:p>
    <w:p w14:paraId="171E8F45">
      <w:pPr>
        <w:spacing w:before="120" w:beforeLines="50" w:after="120" w:afterLines="50" w:line="360" w:lineRule="auto"/>
        <w:jc w:val="left"/>
        <w:rPr>
          <w:rFonts w:hint="eastAsia" w:ascii="仿宋_GB2312" w:eastAsia="仿宋_GB2312" w:cs="仿宋_GB2312"/>
          <w:color w:val="auto"/>
          <w:sz w:val="30"/>
          <w:szCs w:val="30"/>
          <w:highlight w:val="none"/>
        </w:rPr>
      </w:pPr>
    </w:p>
    <w:p w14:paraId="4ABD611B">
      <w:pPr>
        <w:spacing w:before="120" w:beforeLines="50" w:after="120" w:afterLines="50" w:line="360" w:lineRule="auto"/>
        <w:jc w:val="left"/>
        <w:rPr>
          <w:rFonts w:hint="eastAsia" w:ascii="仿宋_GB2312" w:eastAsia="仿宋_GB2312" w:cs="仿宋_GB2312"/>
          <w:color w:val="auto"/>
          <w:sz w:val="30"/>
          <w:szCs w:val="30"/>
          <w:highlight w:val="none"/>
        </w:rPr>
      </w:pPr>
    </w:p>
    <w:p w14:paraId="1FEFB02C">
      <w:pPr>
        <w:spacing w:before="120" w:beforeLines="50" w:after="120" w:afterLines="50" w:line="360" w:lineRule="auto"/>
        <w:jc w:val="left"/>
        <w:rPr>
          <w:rFonts w:hint="eastAsia" w:ascii="仿宋_GB2312" w:eastAsia="仿宋_GB2312" w:cs="仿宋_GB2312"/>
          <w:color w:val="auto"/>
          <w:sz w:val="30"/>
          <w:szCs w:val="30"/>
          <w:highlight w:val="none"/>
        </w:rPr>
      </w:pPr>
    </w:p>
    <w:p w14:paraId="61AF34B2">
      <w:pPr>
        <w:spacing w:before="120" w:beforeLines="50" w:after="120" w:afterLines="50" w:line="360" w:lineRule="auto"/>
        <w:jc w:val="left"/>
        <w:rPr>
          <w:rFonts w:hint="eastAsia" w:ascii="仿宋_GB2312" w:eastAsia="仿宋_GB2312" w:cs="仿宋_GB2312"/>
          <w:color w:val="auto"/>
          <w:sz w:val="30"/>
          <w:szCs w:val="30"/>
          <w:highlight w:val="none"/>
        </w:rPr>
      </w:pPr>
    </w:p>
    <w:p w14:paraId="3AD1ED2C">
      <w:pPr>
        <w:spacing w:before="120" w:beforeLines="50" w:after="120" w:afterLines="50" w:line="360" w:lineRule="auto"/>
        <w:jc w:val="left"/>
        <w:rPr>
          <w:rFonts w:hint="eastAsia" w:ascii="仿宋_GB2312" w:eastAsia="仿宋_GB2312" w:cs="仿宋_GB2312"/>
          <w:color w:val="auto"/>
          <w:sz w:val="30"/>
          <w:szCs w:val="30"/>
          <w:highlight w:val="none"/>
        </w:rPr>
      </w:pPr>
    </w:p>
    <w:p w14:paraId="567D8BA5">
      <w:pPr>
        <w:spacing w:before="120" w:beforeLines="50" w:after="120" w:afterLines="50" w:line="360" w:lineRule="auto"/>
        <w:jc w:val="left"/>
        <w:rPr>
          <w:rFonts w:hint="eastAsia" w:ascii="仿宋_GB2312" w:eastAsia="仿宋_GB2312" w:cs="仿宋_GB2312"/>
          <w:color w:val="auto"/>
          <w:sz w:val="30"/>
          <w:szCs w:val="30"/>
          <w:highlight w:val="none"/>
        </w:rPr>
      </w:pPr>
    </w:p>
    <w:p w14:paraId="7729E2A5">
      <w:pPr>
        <w:spacing w:before="120" w:beforeLines="50" w:after="120" w:afterLines="50" w:line="360" w:lineRule="auto"/>
        <w:jc w:val="left"/>
        <w:rPr>
          <w:rFonts w:hint="eastAsia" w:ascii="仿宋_GB2312" w:eastAsia="仿宋_GB2312" w:cs="仿宋_GB2312"/>
          <w:color w:val="auto"/>
          <w:sz w:val="30"/>
          <w:szCs w:val="30"/>
          <w:highlight w:val="none"/>
        </w:rPr>
      </w:pPr>
    </w:p>
    <w:p w14:paraId="3DD8C986">
      <w:pPr>
        <w:spacing w:before="120" w:beforeLines="50" w:after="120" w:afterLines="50" w:line="360" w:lineRule="auto"/>
        <w:jc w:val="left"/>
        <w:rPr>
          <w:rFonts w:hint="eastAsia" w:ascii="仿宋_GB2312" w:eastAsia="仿宋_GB2312" w:cs="仿宋_GB2312"/>
          <w:color w:val="auto"/>
          <w:sz w:val="30"/>
          <w:szCs w:val="30"/>
          <w:highlight w:val="none"/>
        </w:rPr>
      </w:pPr>
    </w:p>
    <w:p w14:paraId="6C6DE5C2">
      <w:pPr>
        <w:spacing w:before="120" w:beforeLines="50" w:after="120" w:afterLines="50" w:line="360" w:lineRule="auto"/>
        <w:jc w:val="left"/>
        <w:rPr>
          <w:rFonts w:hint="eastAsia" w:ascii="仿宋_GB2312" w:eastAsia="仿宋_GB2312" w:cs="仿宋_GB2312"/>
          <w:color w:val="auto"/>
          <w:sz w:val="30"/>
          <w:szCs w:val="30"/>
          <w:highlight w:val="none"/>
        </w:rPr>
      </w:pPr>
    </w:p>
    <w:p w14:paraId="75AEB07E">
      <w:pPr>
        <w:spacing w:before="120" w:beforeLines="50" w:after="120" w:afterLines="50" w:line="360" w:lineRule="auto"/>
        <w:jc w:val="left"/>
        <w:rPr>
          <w:rFonts w:hint="eastAsia" w:ascii="仿宋_GB2312" w:eastAsia="仿宋_GB2312" w:cs="仿宋_GB2312"/>
          <w:color w:val="auto"/>
          <w:sz w:val="30"/>
          <w:szCs w:val="30"/>
          <w:highlight w:val="none"/>
        </w:rPr>
      </w:pPr>
    </w:p>
    <w:p w14:paraId="07F9B830">
      <w:pPr>
        <w:spacing w:before="120" w:beforeLines="50" w:after="120" w:afterLines="50" w:line="360" w:lineRule="auto"/>
        <w:jc w:val="left"/>
        <w:rPr>
          <w:rFonts w:hint="eastAsia" w:ascii="仿宋_GB2312" w:eastAsia="仿宋_GB2312" w:cs="仿宋_GB2312"/>
          <w:color w:val="auto"/>
          <w:sz w:val="30"/>
          <w:szCs w:val="30"/>
          <w:highlight w:val="none"/>
        </w:rPr>
      </w:pPr>
    </w:p>
    <w:p w14:paraId="2ADAA7C9">
      <w:pPr>
        <w:spacing w:before="120" w:beforeLines="50" w:after="120" w:afterLines="50" w:line="360" w:lineRule="auto"/>
        <w:jc w:val="left"/>
        <w:rPr>
          <w:rFonts w:hint="eastAsia" w:ascii="仿宋_GB2312" w:eastAsia="仿宋_GB2312" w:cs="仿宋_GB2312"/>
          <w:color w:val="auto"/>
          <w:sz w:val="30"/>
          <w:szCs w:val="30"/>
          <w:highlight w:val="none"/>
        </w:rPr>
      </w:pPr>
    </w:p>
    <w:p w14:paraId="61244B0B">
      <w:pPr>
        <w:spacing w:before="120" w:beforeLines="50" w:after="120" w:afterLines="50" w:line="360" w:lineRule="auto"/>
        <w:jc w:val="left"/>
        <w:rPr>
          <w:rFonts w:hint="eastAsia" w:ascii="仿宋_GB2312" w:eastAsia="仿宋_GB2312" w:cs="仿宋_GB2312"/>
          <w:color w:val="auto"/>
          <w:sz w:val="30"/>
          <w:szCs w:val="30"/>
          <w:highlight w:val="none"/>
        </w:rPr>
      </w:pPr>
    </w:p>
    <w:p w14:paraId="1B0A5664">
      <w:pPr>
        <w:spacing w:before="120" w:beforeLines="50" w:after="120" w:afterLines="50" w:line="360" w:lineRule="auto"/>
        <w:rPr>
          <w:rFonts w:hint="default"/>
          <w:color w:val="auto"/>
          <w:highlight w:val="none"/>
          <w:lang w:val="en"/>
        </w:rPr>
      </w:pPr>
      <w:r>
        <w:rPr>
          <w:rFonts w:hint="eastAsia" w:ascii="仿宋_GB2312" w:eastAsia="仿宋_GB2312" w:cs="仿宋_GB2312"/>
          <w:color w:val="auto"/>
          <w:sz w:val="30"/>
          <w:szCs w:val="30"/>
          <w:highlight w:val="none"/>
        </w:rPr>
        <w:t>附件12</w:t>
      </w:r>
      <w:r>
        <w:rPr>
          <w:rFonts w:hint="eastAsia" w:ascii="仿宋_GB2312" w:eastAsia="仿宋_GB2312" w:cs="仿宋_GB2312"/>
          <w:color w:val="auto"/>
          <w:sz w:val="30"/>
          <w:szCs w:val="30"/>
          <w:highlight w:val="none"/>
          <w:lang w:eastAsia="zh-CN"/>
        </w:rPr>
        <w:t>：竣工（施工过程）结算款支付申请（核准）表</w:t>
      </w:r>
    </w:p>
    <w:p w14:paraId="7209F809">
      <w:pPr>
        <w:wordWrap w:val="0"/>
        <w:spacing w:line="360" w:lineRule="auto"/>
        <w:jc w:val="center"/>
        <w:outlineLvl w:val="9"/>
        <w:rPr>
          <w:b/>
          <w:color w:val="auto"/>
          <w:sz w:val="36"/>
          <w:szCs w:val="36"/>
          <w:highlight w:val="none"/>
        </w:rPr>
      </w:pPr>
      <w:r>
        <w:rPr>
          <w:rFonts w:hint="default" w:ascii="宋体" w:hAnsi="宋体"/>
          <w:b/>
          <w:color w:val="auto"/>
          <w:sz w:val="30"/>
          <w:szCs w:val="30"/>
          <w:highlight w:val="none"/>
          <w:lang w:val="en"/>
        </w:rPr>
        <w:t>竣工</w:t>
      </w:r>
      <w:r>
        <w:rPr>
          <w:rFonts w:hint="default" w:ascii="宋体" w:hAnsi="宋体"/>
          <w:b/>
          <w:color w:val="auto"/>
          <w:sz w:val="30"/>
          <w:szCs w:val="30"/>
          <w:highlight w:val="none"/>
          <w:lang w:val="en" w:eastAsia="zh-CN"/>
        </w:rPr>
        <w:t>（施工过程）</w:t>
      </w:r>
      <w:r>
        <w:rPr>
          <w:rFonts w:hint="default" w:ascii="宋体" w:hAnsi="宋体"/>
          <w:b/>
          <w:color w:val="auto"/>
          <w:sz w:val="30"/>
          <w:szCs w:val="30"/>
          <w:highlight w:val="none"/>
          <w:lang w:val="en"/>
        </w:rPr>
        <w:t>结算款支付申请（核准）表</w:t>
      </w:r>
    </w:p>
    <w:p w14:paraId="7A31BB09">
      <w:pPr>
        <w:spacing w:line="360" w:lineRule="auto"/>
        <w:ind w:firstLine="420" w:firstLineChars="200"/>
        <w:rPr>
          <w:color w:val="auto"/>
          <w:sz w:val="24"/>
          <w:szCs w:val="24"/>
          <w:highlight w:val="none"/>
        </w:rPr>
      </w:pPr>
      <w:r>
        <w:rPr>
          <w:rFonts w:hint="eastAsia" w:ascii="宋体" w:hAnsi="宋体"/>
          <w:color w:val="auto"/>
          <w:sz w:val="21"/>
          <w:szCs w:val="21"/>
          <w:highlight w:val="none"/>
        </w:rPr>
        <w:t xml:space="preserve">工程名称：                                    </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编号：</w:t>
      </w:r>
    </w:p>
    <w:tbl>
      <w:tblPr>
        <w:tblStyle w:val="75"/>
        <w:tblW w:w="92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49"/>
        <w:gridCol w:w="4280"/>
      </w:tblGrid>
      <w:tr w14:paraId="52C81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98" w:hRule="atLeast"/>
          <w:jc w:val="center"/>
        </w:trPr>
        <w:tc>
          <w:tcPr>
            <w:tcW w:w="9229" w:type="dxa"/>
            <w:gridSpan w:val="2"/>
            <w:noWrap w:val="0"/>
            <w:vAlign w:val="top"/>
          </w:tcPr>
          <w:p w14:paraId="75574DB2">
            <w:pPr>
              <w:pStyle w:val="77"/>
              <w:spacing w:before="234" w:line="360" w:lineRule="auto"/>
              <w:ind w:left="85"/>
              <w:rPr>
                <w:rFonts w:hint="eastAsia" w:eastAsia="宋体"/>
                <w:color w:val="auto"/>
                <w:sz w:val="21"/>
                <w:szCs w:val="21"/>
                <w:highlight w:val="none"/>
                <w:lang w:eastAsia="zh-CN"/>
              </w:rPr>
            </w:pPr>
            <w:r>
              <w:rPr>
                <w:color w:val="auto"/>
                <w:spacing w:val="1"/>
                <w:sz w:val="21"/>
                <w:szCs w:val="21"/>
                <w:highlight w:val="none"/>
              </w:rPr>
              <w:t>致</w:t>
            </w:r>
            <w:r>
              <w:rPr>
                <w:color w:val="auto"/>
                <w:spacing w:val="-26"/>
                <w:sz w:val="21"/>
                <w:szCs w:val="21"/>
                <w:highlight w:val="none"/>
              </w:rPr>
              <w:t xml:space="preserve"> </w:t>
            </w:r>
            <w:r>
              <w:rPr>
                <w:color w:val="auto"/>
                <w:spacing w:val="1"/>
                <w:sz w:val="21"/>
                <w:szCs w:val="21"/>
                <w:highlight w:val="none"/>
              </w:rPr>
              <w:t>：</w:t>
            </w:r>
            <w:r>
              <w:rPr>
                <w:color w:val="auto"/>
                <w:spacing w:val="3"/>
                <w:sz w:val="21"/>
                <w:szCs w:val="21"/>
                <w:highlight w:val="none"/>
                <w:u w:val="single"/>
              </w:rPr>
              <w:t xml:space="preserve">                   </w:t>
            </w:r>
            <w:r>
              <w:rPr>
                <w:rFonts w:hint="eastAsia" w:eastAsia="宋体"/>
                <w:color w:val="auto"/>
                <w:spacing w:val="1"/>
                <w:sz w:val="21"/>
                <w:szCs w:val="21"/>
                <w:highlight w:val="none"/>
                <w:lang w:eastAsia="zh-CN"/>
              </w:rPr>
              <w:t>（</w:t>
            </w:r>
            <w:r>
              <w:rPr>
                <w:color w:val="auto"/>
                <w:spacing w:val="1"/>
                <w:sz w:val="21"/>
                <w:szCs w:val="21"/>
                <w:highlight w:val="none"/>
              </w:rPr>
              <w:t>发包人全称</w:t>
            </w:r>
            <w:r>
              <w:rPr>
                <w:rFonts w:hint="eastAsia" w:eastAsia="宋体"/>
                <w:color w:val="auto"/>
                <w:spacing w:val="1"/>
                <w:sz w:val="21"/>
                <w:szCs w:val="21"/>
                <w:highlight w:val="none"/>
                <w:lang w:eastAsia="zh-CN"/>
              </w:rPr>
              <w:t>）</w:t>
            </w:r>
          </w:p>
          <w:p w14:paraId="2059E908">
            <w:pPr>
              <w:pStyle w:val="77"/>
              <w:spacing w:before="59" w:line="360" w:lineRule="auto"/>
              <w:ind w:left="124" w:firstLine="399"/>
              <w:rPr>
                <w:color w:val="auto"/>
                <w:sz w:val="21"/>
                <w:szCs w:val="21"/>
                <w:highlight w:val="none"/>
              </w:rPr>
            </w:pPr>
            <w:r>
              <w:rPr>
                <w:color w:val="auto"/>
                <w:spacing w:val="-5"/>
                <w:sz w:val="21"/>
                <w:szCs w:val="21"/>
                <w:highlight w:val="none"/>
              </w:rPr>
              <w:t>我方于</w:t>
            </w:r>
            <w:r>
              <w:rPr>
                <w:color w:val="auto"/>
                <w:spacing w:val="11"/>
                <w:sz w:val="21"/>
                <w:szCs w:val="21"/>
                <w:highlight w:val="none"/>
                <w:u w:val="single" w:color="auto"/>
              </w:rPr>
              <w:t xml:space="preserve">      </w:t>
            </w:r>
            <w:r>
              <w:rPr>
                <w:color w:val="auto"/>
                <w:spacing w:val="-5"/>
                <w:sz w:val="21"/>
                <w:szCs w:val="21"/>
                <w:highlight w:val="none"/>
              </w:rPr>
              <w:t>至</w:t>
            </w:r>
            <w:r>
              <w:rPr>
                <w:color w:val="auto"/>
                <w:spacing w:val="-93"/>
                <w:sz w:val="21"/>
                <w:szCs w:val="21"/>
                <w:highlight w:val="none"/>
              </w:rPr>
              <w:t xml:space="preserve"> </w:t>
            </w:r>
            <w:r>
              <w:rPr>
                <w:color w:val="auto"/>
                <w:spacing w:val="16"/>
                <w:sz w:val="21"/>
                <w:szCs w:val="21"/>
                <w:highlight w:val="none"/>
                <w:u w:val="single" w:color="auto"/>
              </w:rPr>
              <w:t xml:space="preserve">     </w:t>
            </w:r>
            <w:r>
              <w:rPr>
                <w:color w:val="auto"/>
                <w:spacing w:val="-101"/>
                <w:sz w:val="21"/>
                <w:szCs w:val="21"/>
                <w:highlight w:val="none"/>
              </w:rPr>
              <w:t xml:space="preserve"> </w:t>
            </w:r>
            <w:r>
              <w:rPr>
                <w:color w:val="auto"/>
                <w:spacing w:val="-5"/>
                <w:sz w:val="21"/>
                <w:szCs w:val="21"/>
                <w:highlight w:val="none"/>
              </w:rPr>
              <w:t>期间已完成合同约定的工作</w:t>
            </w:r>
            <w:r>
              <w:rPr>
                <w:rFonts w:hint="eastAsia" w:eastAsia="宋体"/>
                <w:color w:val="auto"/>
                <w:spacing w:val="-5"/>
                <w:sz w:val="21"/>
                <w:szCs w:val="21"/>
                <w:highlight w:val="none"/>
                <w:lang w:eastAsia="zh-CN"/>
              </w:rPr>
              <w:t>，</w:t>
            </w:r>
            <w:r>
              <w:rPr>
                <w:color w:val="auto"/>
                <w:spacing w:val="-5"/>
                <w:sz w:val="21"/>
                <w:szCs w:val="21"/>
                <w:highlight w:val="none"/>
              </w:rPr>
              <w:t>工程已经完工</w:t>
            </w:r>
            <w:r>
              <w:rPr>
                <w:rFonts w:hint="eastAsia" w:eastAsia="宋体"/>
                <w:color w:val="auto"/>
                <w:spacing w:val="-5"/>
                <w:sz w:val="21"/>
                <w:szCs w:val="21"/>
                <w:highlight w:val="none"/>
                <w:lang w:eastAsia="zh-CN"/>
              </w:rPr>
              <w:t>，</w:t>
            </w:r>
            <w:r>
              <w:rPr>
                <w:color w:val="auto"/>
                <w:spacing w:val="-5"/>
                <w:sz w:val="21"/>
                <w:szCs w:val="21"/>
                <w:highlight w:val="none"/>
              </w:rPr>
              <w:t>根据施工合同的约</w:t>
            </w:r>
            <w:r>
              <w:rPr>
                <w:color w:val="auto"/>
                <w:spacing w:val="-6"/>
                <w:sz w:val="21"/>
                <w:szCs w:val="21"/>
                <w:highlight w:val="none"/>
              </w:rPr>
              <w:t>定</w:t>
            </w:r>
            <w:r>
              <w:rPr>
                <w:rFonts w:hint="eastAsia" w:eastAsia="宋体"/>
                <w:color w:val="auto"/>
                <w:spacing w:val="-6"/>
                <w:sz w:val="21"/>
                <w:szCs w:val="21"/>
                <w:highlight w:val="none"/>
                <w:lang w:eastAsia="zh-CN"/>
              </w:rPr>
              <w:t>，</w:t>
            </w:r>
            <w:r>
              <w:rPr>
                <w:color w:val="auto"/>
                <w:spacing w:val="-6"/>
                <w:sz w:val="21"/>
                <w:szCs w:val="21"/>
                <w:highlight w:val="none"/>
              </w:rPr>
              <w:t>现申</w:t>
            </w:r>
            <w:r>
              <w:rPr>
                <w:color w:val="auto"/>
                <w:sz w:val="21"/>
                <w:szCs w:val="21"/>
                <w:highlight w:val="none"/>
              </w:rPr>
              <w:t xml:space="preserve"> </w:t>
            </w:r>
            <w:r>
              <w:rPr>
                <w:color w:val="auto"/>
                <w:spacing w:val="3"/>
                <w:sz w:val="21"/>
                <w:szCs w:val="21"/>
                <w:highlight w:val="none"/>
              </w:rPr>
              <w:t>请支付竣工结算合同款额为</w:t>
            </w:r>
            <w:r>
              <w:rPr>
                <w:rFonts w:hint="eastAsia" w:eastAsia="宋体"/>
                <w:color w:val="auto"/>
                <w:spacing w:val="3"/>
                <w:sz w:val="21"/>
                <w:szCs w:val="21"/>
                <w:highlight w:val="none"/>
                <w:lang w:eastAsia="zh-CN"/>
              </w:rPr>
              <w:t>（</w:t>
            </w:r>
            <w:r>
              <w:rPr>
                <w:color w:val="auto"/>
                <w:spacing w:val="3"/>
                <w:sz w:val="21"/>
                <w:szCs w:val="21"/>
                <w:highlight w:val="none"/>
              </w:rPr>
              <w:t>大写</w:t>
            </w:r>
            <w:r>
              <w:rPr>
                <w:rFonts w:hint="eastAsia" w:eastAsia="宋体"/>
                <w:color w:val="auto"/>
                <w:spacing w:val="3"/>
                <w:sz w:val="21"/>
                <w:szCs w:val="21"/>
                <w:highlight w:val="none"/>
                <w:lang w:eastAsia="zh-CN"/>
              </w:rPr>
              <w:t>）</w:t>
            </w:r>
            <w:r>
              <w:rPr>
                <w:color w:val="auto"/>
                <w:spacing w:val="6"/>
                <w:sz w:val="21"/>
                <w:szCs w:val="21"/>
                <w:highlight w:val="none"/>
                <w:u w:val="single" w:color="auto"/>
              </w:rPr>
              <w:t xml:space="preserve">                </w:t>
            </w:r>
            <w:r>
              <w:rPr>
                <w:rFonts w:hint="eastAsia" w:eastAsia="宋体"/>
                <w:color w:val="auto"/>
                <w:spacing w:val="3"/>
                <w:sz w:val="21"/>
                <w:szCs w:val="21"/>
                <w:highlight w:val="none"/>
                <w:u w:val="single" w:color="auto"/>
                <w:lang w:eastAsia="zh-CN"/>
              </w:rPr>
              <w:t>（</w:t>
            </w:r>
            <w:r>
              <w:rPr>
                <w:color w:val="auto"/>
                <w:spacing w:val="3"/>
                <w:sz w:val="21"/>
                <w:szCs w:val="21"/>
                <w:highlight w:val="none"/>
                <w:u w:val="single" w:color="auto"/>
              </w:rPr>
              <w:t>小</w:t>
            </w:r>
            <w:r>
              <w:rPr>
                <w:color w:val="auto"/>
                <w:spacing w:val="3"/>
                <w:sz w:val="21"/>
                <w:szCs w:val="21"/>
                <w:highlight w:val="none"/>
              </w:rPr>
              <w:t xml:space="preserve">写  </w:t>
            </w:r>
            <w:r>
              <w:rPr>
                <w:color w:val="auto"/>
                <w:spacing w:val="3"/>
                <w:sz w:val="21"/>
                <w:szCs w:val="21"/>
                <w:highlight w:val="none"/>
                <w:u w:val="single" w:color="auto"/>
              </w:rPr>
              <w:t xml:space="preserve">             </w:t>
            </w:r>
            <w:r>
              <w:rPr>
                <w:rFonts w:hint="eastAsia" w:eastAsia="宋体"/>
                <w:color w:val="auto"/>
                <w:spacing w:val="3"/>
                <w:sz w:val="21"/>
                <w:szCs w:val="21"/>
                <w:highlight w:val="none"/>
                <w:lang w:eastAsia="zh-CN"/>
              </w:rPr>
              <w:t>），</w:t>
            </w:r>
            <w:r>
              <w:rPr>
                <w:color w:val="auto"/>
                <w:spacing w:val="3"/>
                <w:sz w:val="21"/>
                <w:szCs w:val="21"/>
                <w:highlight w:val="none"/>
              </w:rPr>
              <w:t>请予核准。</w:t>
            </w:r>
          </w:p>
          <w:p w14:paraId="5C54E279">
            <w:pPr>
              <w:spacing w:line="360" w:lineRule="auto"/>
              <w:rPr>
                <w:color w:val="auto"/>
                <w:highlight w:val="none"/>
              </w:rPr>
            </w:pPr>
          </w:p>
          <w:tbl>
            <w:tblPr>
              <w:tblStyle w:val="75"/>
              <w:tblW w:w="8710" w:type="dxa"/>
              <w:tblInd w:w="2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5"/>
              <w:gridCol w:w="3396"/>
              <w:gridCol w:w="1588"/>
              <w:gridCol w:w="1558"/>
              <w:gridCol w:w="1593"/>
            </w:tblGrid>
            <w:tr w14:paraId="24A52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75" w:type="dxa"/>
                  <w:noWrap w:val="0"/>
                  <w:vAlign w:val="top"/>
                </w:tcPr>
                <w:p w14:paraId="4B46FBD8">
                  <w:pPr>
                    <w:pStyle w:val="77"/>
                    <w:spacing w:before="73" w:line="360" w:lineRule="auto"/>
                    <w:ind w:left="85"/>
                    <w:rPr>
                      <w:color w:val="auto"/>
                      <w:sz w:val="21"/>
                      <w:szCs w:val="21"/>
                      <w:highlight w:val="none"/>
                    </w:rPr>
                  </w:pPr>
                  <w:r>
                    <w:rPr>
                      <w:color w:val="auto"/>
                      <w:spacing w:val="-2"/>
                      <w:sz w:val="21"/>
                      <w:szCs w:val="21"/>
                      <w:highlight w:val="none"/>
                    </w:rPr>
                    <w:t>序号</w:t>
                  </w:r>
                </w:p>
              </w:tc>
              <w:tc>
                <w:tcPr>
                  <w:tcW w:w="3396" w:type="dxa"/>
                  <w:noWrap w:val="0"/>
                  <w:vAlign w:val="top"/>
                </w:tcPr>
                <w:p w14:paraId="0FAB28F2">
                  <w:pPr>
                    <w:pStyle w:val="77"/>
                    <w:spacing w:before="75" w:line="360" w:lineRule="auto"/>
                    <w:ind w:left="1490"/>
                    <w:rPr>
                      <w:color w:val="auto"/>
                      <w:sz w:val="21"/>
                      <w:szCs w:val="21"/>
                      <w:highlight w:val="none"/>
                    </w:rPr>
                  </w:pPr>
                  <w:r>
                    <w:rPr>
                      <w:color w:val="auto"/>
                      <w:spacing w:val="-3"/>
                      <w:sz w:val="21"/>
                      <w:szCs w:val="21"/>
                      <w:highlight w:val="none"/>
                    </w:rPr>
                    <w:t>名称</w:t>
                  </w:r>
                </w:p>
              </w:tc>
              <w:tc>
                <w:tcPr>
                  <w:tcW w:w="1588" w:type="dxa"/>
                  <w:noWrap w:val="0"/>
                  <w:vAlign w:val="top"/>
                </w:tcPr>
                <w:p w14:paraId="05709BDB">
                  <w:pPr>
                    <w:pStyle w:val="77"/>
                    <w:spacing w:before="72" w:line="360" w:lineRule="auto"/>
                    <w:ind w:left="204"/>
                    <w:jc w:val="center"/>
                    <w:rPr>
                      <w:rFonts w:hint="eastAsia" w:eastAsia="宋体"/>
                      <w:color w:val="auto"/>
                      <w:sz w:val="21"/>
                      <w:szCs w:val="21"/>
                      <w:highlight w:val="none"/>
                      <w:lang w:eastAsia="zh-CN"/>
                    </w:rPr>
                  </w:pPr>
                  <w:r>
                    <w:rPr>
                      <w:color w:val="auto"/>
                      <w:spacing w:val="5"/>
                      <w:sz w:val="21"/>
                      <w:szCs w:val="21"/>
                      <w:highlight w:val="none"/>
                    </w:rPr>
                    <w:t>申请金额</w:t>
                  </w:r>
                  <w:r>
                    <w:rPr>
                      <w:rFonts w:hint="eastAsia" w:eastAsia="宋体"/>
                      <w:color w:val="auto"/>
                      <w:spacing w:val="5"/>
                      <w:sz w:val="21"/>
                      <w:szCs w:val="21"/>
                      <w:highlight w:val="none"/>
                      <w:lang w:eastAsia="zh-CN"/>
                    </w:rPr>
                    <w:t>（</w:t>
                  </w:r>
                  <w:r>
                    <w:rPr>
                      <w:color w:val="auto"/>
                      <w:spacing w:val="5"/>
                      <w:sz w:val="21"/>
                      <w:szCs w:val="21"/>
                      <w:highlight w:val="none"/>
                    </w:rPr>
                    <w:t>元</w:t>
                  </w:r>
                  <w:r>
                    <w:rPr>
                      <w:rFonts w:hint="eastAsia" w:eastAsia="宋体"/>
                      <w:color w:val="auto"/>
                      <w:spacing w:val="5"/>
                      <w:sz w:val="21"/>
                      <w:szCs w:val="21"/>
                      <w:highlight w:val="none"/>
                      <w:lang w:eastAsia="zh-CN"/>
                    </w:rPr>
                    <w:t>）</w:t>
                  </w:r>
                </w:p>
              </w:tc>
              <w:tc>
                <w:tcPr>
                  <w:tcW w:w="1558" w:type="dxa"/>
                  <w:noWrap w:val="0"/>
                  <w:vAlign w:val="top"/>
                </w:tcPr>
                <w:p w14:paraId="1DD99739">
                  <w:pPr>
                    <w:pStyle w:val="77"/>
                    <w:spacing w:before="72" w:line="360" w:lineRule="auto"/>
                    <w:ind w:left="205"/>
                    <w:jc w:val="center"/>
                    <w:rPr>
                      <w:rFonts w:hint="eastAsia" w:eastAsia="宋体"/>
                      <w:color w:val="auto"/>
                      <w:sz w:val="21"/>
                      <w:szCs w:val="21"/>
                      <w:highlight w:val="none"/>
                      <w:lang w:eastAsia="zh-CN"/>
                    </w:rPr>
                  </w:pPr>
                  <w:r>
                    <w:rPr>
                      <w:color w:val="auto"/>
                      <w:spacing w:val="5"/>
                      <w:sz w:val="21"/>
                      <w:szCs w:val="21"/>
                      <w:highlight w:val="none"/>
                    </w:rPr>
                    <w:t>复核金额</w:t>
                  </w:r>
                  <w:r>
                    <w:rPr>
                      <w:rFonts w:hint="eastAsia" w:eastAsia="宋体"/>
                      <w:color w:val="auto"/>
                      <w:spacing w:val="5"/>
                      <w:sz w:val="21"/>
                      <w:szCs w:val="21"/>
                      <w:highlight w:val="none"/>
                      <w:lang w:eastAsia="zh-CN"/>
                    </w:rPr>
                    <w:t>（</w:t>
                  </w:r>
                  <w:r>
                    <w:rPr>
                      <w:color w:val="auto"/>
                      <w:spacing w:val="5"/>
                      <w:sz w:val="21"/>
                      <w:szCs w:val="21"/>
                      <w:highlight w:val="none"/>
                    </w:rPr>
                    <w:t>元</w:t>
                  </w:r>
                  <w:r>
                    <w:rPr>
                      <w:rFonts w:hint="eastAsia" w:eastAsia="宋体"/>
                      <w:color w:val="auto"/>
                      <w:spacing w:val="5"/>
                      <w:sz w:val="21"/>
                      <w:szCs w:val="21"/>
                      <w:highlight w:val="none"/>
                      <w:lang w:eastAsia="zh-CN"/>
                    </w:rPr>
                    <w:t>）</w:t>
                  </w:r>
                </w:p>
              </w:tc>
              <w:tc>
                <w:tcPr>
                  <w:tcW w:w="1593" w:type="dxa"/>
                  <w:noWrap w:val="0"/>
                  <w:vAlign w:val="top"/>
                </w:tcPr>
                <w:p w14:paraId="3BF1F51C">
                  <w:pPr>
                    <w:pStyle w:val="77"/>
                    <w:spacing w:before="73" w:line="360" w:lineRule="auto"/>
                    <w:ind w:left="628"/>
                    <w:rPr>
                      <w:color w:val="auto"/>
                      <w:sz w:val="21"/>
                      <w:szCs w:val="21"/>
                      <w:highlight w:val="none"/>
                    </w:rPr>
                  </w:pPr>
                  <w:r>
                    <w:rPr>
                      <w:color w:val="auto"/>
                      <w:spacing w:val="-3"/>
                      <w:sz w:val="21"/>
                      <w:szCs w:val="21"/>
                      <w:highlight w:val="none"/>
                    </w:rPr>
                    <w:t>备注</w:t>
                  </w:r>
                </w:p>
              </w:tc>
            </w:tr>
            <w:tr w14:paraId="6F9DC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75" w:type="dxa"/>
                  <w:noWrap w:val="0"/>
                  <w:vAlign w:val="top"/>
                </w:tcPr>
                <w:p w14:paraId="2D142113">
                  <w:pPr>
                    <w:pStyle w:val="77"/>
                    <w:spacing w:before="117" w:line="360" w:lineRule="auto"/>
                    <w:ind w:left="225"/>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w:t>
                  </w:r>
                </w:p>
              </w:tc>
              <w:tc>
                <w:tcPr>
                  <w:tcW w:w="3396" w:type="dxa"/>
                  <w:noWrap w:val="0"/>
                  <w:vAlign w:val="top"/>
                </w:tcPr>
                <w:p w14:paraId="503816BF">
                  <w:pPr>
                    <w:pStyle w:val="77"/>
                    <w:spacing w:before="68" w:line="360" w:lineRule="auto"/>
                    <w:ind w:left="0"/>
                    <w:rPr>
                      <w:color w:val="auto"/>
                      <w:sz w:val="21"/>
                      <w:szCs w:val="21"/>
                      <w:highlight w:val="none"/>
                    </w:rPr>
                  </w:pPr>
                  <w:r>
                    <w:rPr>
                      <w:color w:val="auto"/>
                      <w:spacing w:val="-1"/>
                      <w:sz w:val="21"/>
                      <w:szCs w:val="21"/>
                      <w:highlight w:val="none"/>
                    </w:rPr>
                    <w:t>工程竣工</w:t>
                  </w:r>
                  <w:r>
                    <w:rPr>
                      <w:rFonts w:hint="eastAsia" w:eastAsia="宋体"/>
                      <w:color w:val="auto"/>
                      <w:spacing w:val="-1"/>
                      <w:sz w:val="21"/>
                      <w:szCs w:val="21"/>
                      <w:highlight w:val="none"/>
                      <w:lang w:eastAsia="zh-CN"/>
                    </w:rPr>
                    <w:t>（施工过程）</w:t>
                  </w:r>
                  <w:r>
                    <w:rPr>
                      <w:color w:val="auto"/>
                      <w:spacing w:val="-1"/>
                      <w:sz w:val="21"/>
                      <w:szCs w:val="21"/>
                      <w:highlight w:val="none"/>
                    </w:rPr>
                    <w:t>结算价款总额</w:t>
                  </w:r>
                </w:p>
              </w:tc>
              <w:tc>
                <w:tcPr>
                  <w:tcW w:w="1588" w:type="dxa"/>
                  <w:noWrap w:val="0"/>
                  <w:vAlign w:val="top"/>
                </w:tcPr>
                <w:p w14:paraId="3D8A1169">
                  <w:pPr>
                    <w:spacing w:line="360" w:lineRule="auto"/>
                    <w:rPr>
                      <w:rFonts w:ascii="Arial"/>
                      <w:color w:val="auto"/>
                      <w:sz w:val="21"/>
                      <w:highlight w:val="none"/>
                    </w:rPr>
                  </w:pPr>
                </w:p>
              </w:tc>
              <w:tc>
                <w:tcPr>
                  <w:tcW w:w="1558" w:type="dxa"/>
                  <w:noWrap w:val="0"/>
                  <w:vAlign w:val="top"/>
                </w:tcPr>
                <w:p w14:paraId="7388CB51">
                  <w:pPr>
                    <w:spacing w:line="360" w:lineRule="auto"/>
                    <w:rPr>
                      <w:rFonts w:ascii="Arial"/>
                      <w:color w:val="auto"/>
                      <w:sz w:val="21"/>
                      <w:highlight w:val="none"/>
                    </w:rPr>
                  </w:pPr>
                </w:p>
              </w:tc>
              <w:tc>
                <w:tcPr>
                  <w:tcW w:w="1593" w:type="dxa"/>
                  <w:noWrap w:val="0"/>
                  <w:vAlign w:val="top"/>
                </w:tcPr>
                <w:p w14:paraId="092EF0A5">
                  <w:pPr>
                    <w:spacing w:line="360" w:lineRule="auto"/>
                    <w:rPr>
                      <w:rFonts w:ascii="Arial"/>
                      <w:color w:val="auto"/>
                      <w:sz w:val="21"/>
                      <w:highlight w:val="none"/>
                    </w:rPr>
                  </w:pPr>
                </w:p>
              </w:tc>
            </w:tr>
            <w:tr w14:paraId="3EEF5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575" w:type="dxa"/>
                  <w:noWrap w:val="0"/>
                  <w:vAlign w:val="top"/>
                </w:tcPr>
                <w:p w14:paraId="010A9059">
                  <w:pPr>
                    <w:pStyle w:val="77"/>
                    <w:spacing w:before="130" w:line="360" w:lineRule="auto"/>
                    <w:ind w:left="225"/>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2</w:t>
                  </w:r>
                </w:p>
              </w:tc>
              <w:tc>
                <w:tcPr>
                  <w:tcW w:w="3396" w:type="dxa"/>
                  <w:noWrap w:val="0"/>
                  <w:vAlign w:val="top"/>
                </w:tcPr>
                <w:p w14:paraId="4A32B72C">
                  <w:pPr>
                    <w:pStyle w:val="77"/>
                    <w:spacing w:before="80" w:line="360" w:lineRule="auto"/>
                    <w:ind w:left="0"/>
                    <w:rPr>
                      <w:color w:val="auto"/>
                      <w:sz w:val="21"/>
                      <w:szCs w:val="21"/>
                      <w:highlight w:val="none"/>
                    </w:rPr>
                  </w:pPr>
                  <w:r>
                    <w:rPr>
                      <w:color w:val="auto"/>
                      <w:sz w:val="21"/>
                      <w:szCs w:val="21"/>
                      <w:highlight w:val="none"/>
                    </w:rPr>
                    <w:t>累计已实际支付的价款</w:t>
                  </w:r>
                </w:p>
              </w:tc>
              <w:tc>
                <w:tcPr>
                  <w:tcW w:w="1588" w:type="dxa"/>
                  <w:noWrap w:val="0"/>
                  <w:vAlign w:val="top"/>
                </w:tcPr>
                <w:p w14:paraId="102A70E2">
                  <w:pPr>
                    <w:spacing w:line="360" w:lineRule="auto"/>
                    <w:rPr>
                      <w:rFonts w:ascii="Arial"/>
                      <w:color w:val="auto"/>
                      <w:sz w:val="21"/>
                      <w:highlight w:val="none"/>
                    </w:rPr>
                  </w:pPr>
                </w:p>
              </w:tc>
              <w:tc>
                <w:tcPr>
                  <w:tcW w:w="1558" w:type="dxa"/>
                  <w:noWrap w:val="0"/>
                  <w:vAlign w:val="top"/>
                </w:tcPr>
                <w:p w14:paraId="6EFA304C">
                  <w:pPr>
                    <w:spacing w:line="360" w:lineRule="auto"/>
                    <w:rPr>
                      <w:rFonts w:ascii="Arial"/>
                      <w:color w:val="auto"/>
                      <w:sz w:val="21"/>
                      <w:highlight w:val="none"/>
                    </w:rPr>
                  </w:pPr>
                </w:p>
              </w:tc>
              <w:tc>
                <w:tcPr>
                  <w:tcW w:w="1593" w:type="dxa"/>
                  <w:noWrap w:val="0"/>
                  <w:vAlign w:val="top"/>
                </w:tcPr>
                <w:p w14:paraId="2DE9B255">
                  <w:pPr>
                    <w:spacing w:line="360" w:lineRule="auto"/>
                    <w:rPr>
                      <w:rFonts w:ascii="Arial"/>
                      <w:color w:val="auto"/>
                      <w:sz w:val="21"/>
                      <w:highlight w:val="none"/>
                    </w:rPr>
                  </w:pPr>
                </w:p>
              </w:tc>
            </w:tr>
            <w:tr w14:paraId="5375B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575" w:type="dxa"/>
                  <w:noWrap w:val="0"/>
                  <w:vAlign w:val="top"/>
                </w:tcPr>
                <w:p w14:paraId="283287D1">
                  <w:pPr>
                    <w:pStyle w:val="77"/>
                    <w:spacing w:before="123" w:line="360" w:lineRule="auto"/>
                    <w:ind w:left="225"/>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3</w:t>
                  </w:r>
                </w:p>
              </w:tc>
              <w:tc>
                <w:tcPr>
                  <w:tcW w:w="3396" w:type="dxa"/>
                  <w:noWrap w:val="0"/>
                  <w:vAlign w:val="top"/>
                </w:tcPr>
                <w:p w14:paraId="7F3B9FEA">
                  <w:pPr>
                    <w:pStyle w:val="77"/>
                    <w:spacing w:before="75" w:line="360" w:lineRule="auto"/>
                    <w:ind w:left="0"/>
                    <w:rPr>
                      <w:color w:val="auto"/>
                      <w:sz w:val="21"/>
                      <w:szCs w:val="21"/>
                      <w:highlight w:val="none"/>
                    </w:rPr>
                  </w:pPr>
                  <w:r>
                    <w:rPr>
                      <w:color w:val="auto"/>
                      <w:spacing w:val="-1"/>
                      <w:sz w:val="21"/>
                      <w:szCs w:val="21"/>
                      <w:highlight w:val="none"/>
                    </w:rPr>
                    <w:t>应预留的质量保证金</w:t>
                  </w:r>
                </w:p>
              </w:tc>
              <w:tc>
                <w:tcPr>
                  <w:tcW w:w="1588" w:type="dxa"/>
                  <w:noWrap w:val="0"/>
                  <w:vAlign w:val="top"/>
                </w:tcPr>
                <w:p w14:paraId="4193229D">
                  <w:pPr>
                    <w:spacing w:line="360" w:lineRule="auto"/>
                    <w:rPr>
                      <w:rFonts w:ascii="Arial"/>
                      <w:color w:val="auto"/>
                      <w:sz w:val="21"/>
                      <w:highlight w:val="none"/>
                    </w:rPr>
                  </w:pPr>
                </w:p>
              </w:tc>
              <w:tc>
                <w:tcPr>
                  <w:tcW w:w="1558" w:type="dxa"/>
                  <w:noWrap w:val="0"/>
                  <w:vAlign w:val="top"/>
                </w:tcPr>
                <w:p w14:paraId="661AE636">
                  <w:pPr>
                    <w:spacing w:line="360" w:lineRule="auto"/>
                    <w:rPr>
                      <w:rFonts w:ascii="Arial"/>
                      <w:color w:val="auto"/>
                      <w:sz w:val="21"/>
                      <w:highlight w:val="none"/>
                    </w:rPr>
                  </w:pPr>
                </w:p>
              </w:tc>
              <w:tc>
                <w:tcPr>
                  <w:tcW w:w="1593" w:type="dxa"/>
                  <w:noWrap w:val="0"/>
                  <w:vAlign w:val="top"/>
                </w:tcPr>
                <w:p w14:paraId="4ED6E251">
                  <w:pPr>
                    <w:spacing w:line="360" w:lineRule="auto"/>
                    <w:rPr>
                      <w:rFonts w:ascii="Arial"/>
                      <w:color w:val="auto"/>
                      <w:sz w:val="21"/>
                      <w:highlight w:val="none"/>
                    </w:rPr>
                  </w:pPr>
                </w:p>
              </w:tc>
            </w:tr>
            <w:tr w14:paraId="2057A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75" w:type="dxa"/>
                  <w:noWrap w:val="0"/>
                  <w:vAlign w:val="top"/>
                </w:tcPr>
                <w:p w14:paraId="5F3DD539">
                  <w:pPr>
                    <w:pStyle w:val="77"/>
                    <w:spacing w:before="125" w:line="360" w:lineRule="auto"/>
                    <w:ind w:left="225"/>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4</w:t>
                  </w:r>
                </w:p>
              </w:tc>
              <w:tc>
                <w:tcPr>
                  <w:tcW w:w="3396" w:type="dxa"/>
                  <w:noWrap w:val="0"/>
                  <w:vAlign w:val="top"/>
                </w:tcPr>
                <w:p w14:paraId="111985FF">
                  <w:pPr>
                    <w:pStyle w:val="77"/>
                    <w:spacing w:before="76" w:line="360" w:lineRule="auto"/>
                    <w:ind w:left="0"/>
                    <w:rPr>
                      <w:color w:val="auto"/>
                      <w:sz w:val="21"/>
                      <w:szCs w:val="21"/>
                      <w:highlight w:val="none"/>
                    </w:rPr>
                  </w:pPr>
                  <w:r>
                    <w:rPr>
                      <w:color w:val="auto"/>
                      <w:spacing w:val="-1"/>
                      <w:sz w:val="21"/>
                      <w:szCs w:val="21"/>
                      <w:highlight w:val="none"/>
                    </w:rPr>
                    <w:t>实际应支付的竣工</w:t>
                  </w:r>
                  <w:r>
                    <w:rPr>
                      <w:rFonts w:hint="eastAsia" w:eastAsia="宋体"/>
                      <w:color w:val="auto"/>
                      <w:spacing w:val="-1"/>
                      <w:sz w:val="21"/>
                      <w:szCs w:val="21"/>
                      <w:highlight w:val="none"/>
                      <w:lang w:eastAsia="zh-CN"/>
                    </w:rPr>
                    <w:t>（施工过程）</w:t>
                  </w:r>
                  <w:r>
                    <w:rPr>
                      <w:color w:val="auto"/>
                      <w:spacing w:val="-1"/>
                      <w:sz w:val="21"/>
                      <w:szCs w:val="21"/>
                      <w:highlight w:val="none"/>
                    </w:rPr>
                    <w:t>结算款金额</w:t>
                  </w:r>
                </w:p>
              </w:tc>
              <w:tc>
                <w:tcPr>
                  <w:tcW w:w="1588" w:type="dxa"/>
                  <w:noWrap w:val="0"/>
                  <w:vAlign w:val="top"/>
                </w:tcPr>
                <w:p w14:paraId="3266B714">
                  <w:pPr>
                    <w:spacing w:line="360" w:lineRule="auto"/>
                    <w:rPr>
                      <w:rFonts w:ascii="Arial"/>
                      <w:color w:val="auto"/>
                      <w:sz w:val="21"/>
                      <w:highlight w:val="none"/>
                    </w:rPr>
                  </w:pPr>
                </w:p>
              </w:tc>
              <w:tc>
                <w:tcPr>
                  <w:tcW w:w="1558" w:type="dxa"/>
                  <w:noWrap w:val="0"/>
                  <w:vAlign w:val="top"/>
                </w:tcPr>
                <w:p w14:paraId="49D5029A">
                  <w:pPr>
                    <w:spacing w:line="360" w:lineRule="auto"/>
                    <w:rPr>
                      <w:rFonts w:ascii="Arial"/>
                      <w:color w:val="auto"/>
                      <w:sz w:val="21"/>
                      <w:highlight w:val="none"/>
                    </w:rPr>
                  </w:pPr>
                </w:p>
              </w:tc>
              <w:tc>
                <w:tcPr>
                  <w:tcW w:w="1593" w:type="dxa"/>
                  <w:noWrap w:val="0"/>
                  <w:vAlign w:val="top"/>
                </w:tcPr>
                <w:p w14:paraId="304EC470">
                  <w:pPr>
                    <w:spacing w:line="360" w:lineRule="auto"/>
                    <w:rPr>
                      <w:rFonts w:ascii="Arial"/>
                      <w:color w:val="auto"/>
                      <w:sz w:val="21"/>
                      <w:highlight w:val="none"/>
                    </w:rPr>
                  </w:pPr>
                </w:p>
              </w:tc>
            </w:tr>
          </w:tbl>
          <w:p w14:paraId="17D56C6B">
            <w:pPr>
              <w:spacing w:line="360" w:lineRule="auto"/>
              <w:rPr>
                <w:rFonts w:ascii="Arial"/>
                <w:color w:val="auto"/>
                <w:sz w:val="21"/>
                <w:highlight w:val="none"/>
              </w:rPr>
            </w:pPr>
          </w:p>
          <w:p w14:paraId="6ED51D2A">
            <w:pPr>
              <w:spacing w:line="360" w:lineRule="auto"/>
              <w:rPr>
                <w:rFonts w:ascii="Arial"/>
                <w:color w:val="auto"/>
                <w:sz w:val="21"/>
                <w:highlight w:val="none"/>
              </w:rPr>
            </w:pPr>
          </w:p>
          <w:p w14:paraId="21A7DD16">
            <w:pPr>
              <w:pStyle w:val="77"/>
              <w:spacing w:before="68" w:line="360" w:lineRule="auto"/>
              <w:ind w:left="6824"/>
              <w:rPr>
                <w:rFonts w:hint="eastAsia" w:eastAsia="宋体"/>
                <w:color w:val="auto"/>
                <w:spacing w:val="7"/>
                <w:sz w:val="21"/>
                <w:szCs w:val="21"/>
                <w:highlight w:val="none"/>
                <w:lang w:eastAsia="zh-CN"/>
              </w:rPr>
            </w:pPr>
            <w:r>
              <w:rPr>
                <w:color w:val="auto"/>
                <w:spacing w:val="7"/>
                <w:sz w:val="21"/>
                <w:szCs w:val="21"/>
                <w:highlight w:val="none"/>
              </w:rPr>
              <w:t>承包人</w:t>
            </w:r>
            <w:r>
              <w:rPr>
                <w:rFonts w:hint="eastAsia" w:eastAsia="宋体"/>
                <w:color w:val="auto"/>
                <w:spacing w:val="7"/>
                <w:sz w:val="21"/>
                <w:szCs w:val="21"/>
                <w:highlight w:val="none"/>
                <w:lang w:eastAsia="zh-CN"/>
              </w:rPr>
              <w:t>（</w:t>
            </w:r>
            <w:r>
              <w:rPr>
                <w:color w:val="auto"/>
                <w:spacing w:val="7"/>
                <w:sz w:val="21"/>
                <w:szCs w:val="21"/>
                <w:highlight w:val="none"/>
              </w:rPr>
              <w:t>章</w:t>
            </w:r>
            <w:r>
              <w:rPr>
                <w:rFonts w:hint="eastAsia" w:eastAsia="宋体"/>
                <w:color w:val="auto"/>
                <w:spacing w:val="7"/>
                <w:sz w:val="21"/>
                <w:szCs w:val="21"/>
                <w:highlight w:val="none"/>
                <w:lang w:eastAsia="zh-CN"/>
              </w:rPr>
              <w:t>）</w:t>
            </w:r>
          </w:p>
          <w:p w14:paraId="4F1D275B">
            <w:pPr>
              <w:pStyle w:val="77"/>
              <w:spacing w:before="142" w:line="360" w:lineRule="auto"/>
              <w:ind w:left="104"/>
              <w:rPr>
                <w:color w:val="auto"/>
                <w:sz w:val="21"/>
                <w:szCs w:val="21"/>
                <w:highlight w:val="none"/>
              </w:rPr>
            </w:pPr>
            <w:r>
              <w:rPr>
                <w:color w:val="auto"/>
                <w:spacing w:val="-3"/>
                <w:sz w:val="21"/>
                <w:szCs w:val="21"/>
                <w:highlight w:val="none"/>
                <w:u w:val="none"/>
              </w:rPr>
              <w:t>编制人员</w:t>
            </w:r>
            <w:r>
              <w:rPr>
                <w:color w:val="auto"/>
                <w:spacing w:val="3"/>
                <w:sz w:val="21"/>
                <w:szCs w:val="21"/>
                <w:highlight w:val="none"/>
                <w:u w:val="none"/>
              </w:rPr>
              <w:t xml:space="preserve">                 </w:t>
            </w:r>
            <w:r>
              <w:rPr>
                <w:color w:val="auto"/>
                <w:spacing w:val="-3"/>
                <w:sz w:val="21"/>
                <w:szCs w:val="21"/>
                <w:highlight w:val="none"/>
                <w:u w:val="none"/>
              </w:rPr>
              <w:t>承包人代表</w:t>
            </w:r>
            <w:r>
              <w:rPr>
                <w:color w:val="auto"/>
                <w:spacing w:val="3"/>
                <w:sz w:val="21"/>
                <w:szCs w:val="21"/>
                <w:highlight w:val="none"/>
                <w:u w:val="none"/>
              </w:rPr>
              <w:t xml:space="preserve">                      </w:t>
            </w:r>
            <w:r>
              <w:rPr>
                <w:color w:val="auto"/>
                <w:spacing w:val="-3"/>
                <w:position w:val="1"/>
                <w:sz w:val="21"/>
                <w:szCs w:val="21"/>
                <w:highlight w:val="none"/>
                <w:u w:val="none"/>
              </w:rPr>
              <w:t>日</w:t>
            </w:r>
            <w:r>
              <w:rPr>
                <w:color w:val="auto"/>
                <w:spacing w:val="-31"/>
                <w:position w:val="1"/>
                <w:sz w:val="21"/>
                <w:szCs w:val="21"/>
                <w:highlight w:val="none"/>
                <w:u w:val="none"/>
              </w:rPr>
              <w:t xml:space="preserve"> </w:t>
            </w:r>
            <w:r>
              <w:rPr>
                <w:color w:val="auto"/>
                <w:spacing w:val="-3"/>
                <w:position w:val="1"/>
                <w:sz w:val="21"/>
                <w:szCs w:val="21"/>
                <w:highlight w:val="none"/>
                <w:u w:val="none"/>
              </w:rPr>
              <w:t>期</w:t>
            </w:r>
          </w:p>
        </w:tc>
      </w:tr>
      <w:tr w14:paraId="5C498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9" w:hRule="atLeast"/>
          <w:jc w:val="center"/>
        </w:trPr>
        <w:tc>
          <w:tcPr>
            <w:tcW w:w="4949" w:type="dxa"/>
            <w:noWrap w:val="0"/>
            <w:vAlign w:val="top"/>
          </w:tcPr>
          <w:p w14:paraId="5194DF11">
            <w:pPr>
              <w:spacing w:line="360" w:lineRule="auto"/>
              <w:jc w:val="left"/>
              <w:rPr>
                <w:color w:val="auto"/>
                <w:sz w:val="21"/>
                <w:szCs w:val="21"/>
                <w:highlight w:val="none"/>
              </w:rPr>
            </w:pPr>
            <w:r>
              <w:rPr>
                <w:color w:val="auto"/>
                <w:spacing w:val="-1"/>
                <w:sz w:val="21"/>
                <w:szCs w:val="21"/>
                <w:highlight w:val="none"/>
              </w:rPr>
              <w:t>复核意见：</w:t>
            </w:r>
          </w:p>
          <w:p w14:paraId="0B781BE4">
            <w:pPr>
              <w:spacing w:line="360" w:lineRule="auto"/>
              <w:jc w:val="left"/>
              <w:rPr>
                <w:color w:val="auto"/>
                <w:sz w:val="21"/>
                <w:szCs w:val="21"/>
                <w:highlight w:val="none"/>
              </w:rPr>
            </w:pPr>
            <w:r>
              <w:rPr>
                <w:color w:val="auto"/>
                <w:sz w:val="32"/>
                <w:szCs w:val="32"/>
                <w:highlight w:val="none"/>
              </w:rPr>
              <w:t>□</w:t>
            </w:r>
            <w:r>
              <w:rPr>
                <w:color w:val="auto"/>
                <w:sz w:val="21"/>
                <w:szCs w:val="21"/>
                <w:highlight w:val="none"/>
              </w:rPr>
              <w:t>与实际施工情况不相符</w:t>
            </w:r>
            <w:r>
              <w:rPr>
                <w:rFonts w:hint="eastAsia"/>
                <w:color w:val="auto"/>
                <w:sz w:val="21"/>
                <w:szCs w:val="21"/>
                <w:highlight w:val="none"/>
                <w:lang w:eastAsia="zh-CN"/>
              </w:rPr>
              <w:t>，</w:t>
            </w:r>
            <w:r>
              <w:rPr>
                <w:color w:val="auto"/>
                <w:sz w:val="21"/>
                <w:szCs w:val="21"/>
                <w:highlight w:val="none"/>
              </w:rPr>
              <w:t>修改意见见附件</w:t>
            </w:r>
          </w:p>
          <w:p w14:paraId="312527A2">
            <w:pPr>
              <w:spacing w:line="360" w:lineRule="auto"/>
              <w:jc w:val="left"/>
              <w:rPr>
                <w:color w:val="auto"/>
                <w:sz w:val="21"/>
                <w:szCs w:val="21"/>
                <w:highlight w:val="none"/>
              </w:rPr>
            </w:pPr>
            <w:r>
              <w:rPr>
                <w:color w:val="auto"/>
                <w:sz w:val="32"/>
                <w:szCs w:val="32"/>
                <w:highlight w:val="none"/>
              </w:rPr>
              <w:t>□</w:t>
            </w:r>
            <w:r>
              <w:rPr>
                <w:color w:val="auto"/>
                <w:spacing w:val="-8"/>
                <w:sz w:val="21"/>
                <w:szCs w:val="21"/>
                <w:highlight w:val="none"/>
              </w:rPr>
              <w:t>与实际施工情况相符</w:t>
            </w:r>
            <w:r>
              <w:rPr>
                <w:rFonts w:hint="eastAsia"/>
                <w:color w:val="auto"/>
                <w:spacing w:val="-8"/>
                <w:sz w:val="21"/>
                <w:szCs w:val="21"/>
                <w:highlight w:val="none"/>
                <w:lang w:eastAsia="zh-CN"/>
              </w:rPr>
              <w:t>，</w:t>
            </w:r>
            <w:r>
              <w:rPr>
                <w:color w:val="auto"/>
                <w:spacing w:val="-8"/>
                <w:sz w:val="21"/>
                <w:szCs w:val="21"/>
                <w:highlight w:val="none"/>
              </w:rPr>
              <w:t>具体金额应由造价工程师复核</w:t>
            </w:r>
          </w:p>
          <w:p w14:paraId="3F058187">
            <w:pPr>
              <w:spacing w:line="360" w:lineRule="auto"/>
              <w:jc w:val="left"/>
              <w:rPr>
                <w:rFonts w:ascii="Arial"/>
                <w:color w:val="auto"/>
                <w:sz w:val="21"/>
                <w:highlight w:val="none"/>
              </w:rPr>
            </w:pPr>
          </w:p>
          <w:p w14:paraId="25874408">
            <w:pPr>
              <w:spacing w:line="360" w:lineRule="auto"/>
              <w:jc w:val="left"/>
              <w:rPr>
                <w:rFonts w:ascii="Arial"/>
                <w:color w:val="auto"/>
                <w:sz w:val="21"/>
                <w:highlight w:val="none"/>
              </w:rPr>
            </w:pPr>
          </w:p>
          <w:p w14:paraId="48010442">
            <w:pPr>
              <w:spacing w:line="360" w:lineRule="auto"/>
              <w:jc w:val="left"/>
              <w:rPr>
                <w:rFonts w:ascii="Arial"/>
                <w:color w:val="auto"/>
                <w:sz w:val="21"/>
                <w:highlight w:val="none"/>
              </w:rPr>
            </w:pPr>
          </w:p>
          <w:p w14:paraId="55F854AB">
            <w:pPr>
              <w:spacing w:line="360" w:lineRule="auto"/>
              <w:jc w:val="left"/>
              <w:rPr>
                <w:rFonts w:ascii="Arial"/>
                <w:color w:val="auto"/>
                <w:sz w:val="21"/>
                <w:highlight w:val="none"/>
              </w:rPr>
            </w:pPr>
          </w:p>
          <w:p w14:paraId="28189E04">
            <w:pPr>
              <w:spacing w:line="360" w:lineRule="auto"/>
              <w:ind w:firstLine="0"/>
              <w:jc w:val="left"/>
              <w:rPr>
                <w:rFonts w:hint="eastAsia" w:ascii="宋体" w:hAnsi="宋体"/>
                <w:color w:val="auto"/>
                <w:highlight w:val="none"/>
              </w:rPr>
            </w:pPr>
          </w:p>
          <w:p w14:paraId="6CEDF532">
            <w:pPr>
              <w:spacing w:line="360" w:lineRule="auto"/>
              <w:ind w:firstLine="2310" w:firstLineChars="1100"/>
              <w:jc w:val="left"/>
              <w:rPr>
                <w:color w:val="auto"/>
                <w:highlight w:val="none"/>
                <w:u w:val="single"/>
              </w:rPr>
            </w:pPr>
            <w:r>
              <w:rPr>
                <w:rFonts w:hint="eastAsia" w:ascii="宋体" w:hAnsi="宋体" w:eastAsia="宋体"/>
                <w:color w:val="auto"/>
                <w:highlight w:val="none"/>
                <w:lang w:eastAsia="zh-CN"/>
              </w:rPr>
              <w:t>监理</w:t>
            </w:r>
            <w:r>
              <w:rPr>
                <w:rFonts w:hint="eastAsia" w:ascii="宋体" w:hAnsi="宋体" w:eastAsia="宋体"/>
                <w:color w:val="auto"/>
                <w:highlight w:val="none"/>
              </w:rPr>
              <w:t>工程师</w:t>
            </w:r>
            <w:r>
              <w:rPr>
                <w:color w:val="auto"/>
                <w:highlight w:val="none"/>
                <w:u w:val="single"/>
              </w:rPr>
              <w:t xml:space="preserve">           </w:t>
            </w:r>
          </w:p>
          <w:p w14:paraId="3A0C1BD7">
            <w:pPr>
              <w:spacing w:line="360" w:lineRule="auto"/>
              <w:jc w:val="left"/>
              <w:rPr>
                <w:color w:val="auto"/>
                <w:sz w:val="21"/>
                <w:szCs w:val="21"/>
                <w:highlight w:val="none"/>
              </w:rPr>
            </w:pPr>
            <w:r>
              <w:rPr>
                <w:color w:val="auto"/>
                <w:highlight w:val="none"/>
              </w:rPr>
              <w:t xml:space="preserve">       </w:t>
            </w:r>
            <w:r>
              <w:rPr>
                <w:rFonts w:hint="eastAsia"/>
                <w:color w:val="auto"/>
                <w:highlight w:val="none"/>
                <w:lang w:val="en-US" w:eastAsia="zh-CN"/>
              </w:rPr>
              <w:t xml:space="preserve"> </w:t>
            </w:r>
            <w:r>
              <w:rPr>
                <w:color w:val="auto"/>
                <w:highlight w:val="none"/>
              </w:rPr>
              <w:t xml:space="preserve"> </w:t>
            </w:r>
            <w:r>
              <w:rPr>
                <w:rFonts w:hint="eastAsia"/>
                <w:color w:val="auto"/>
                <w:highlight w:val="none"/>
                <w:lang w:val="en-US" w:eastAsia="zh-CN"/>
              </w:rPr>
              <w:t xml:space="preserve">            </w:t>
            </w:r>
            <w:r>
              <w:rPr>
                <w:rFonts w:hint="eastAsia" w:ascii="宋体" w:hAnsi="宋体"/>
                <w:color w:val="auto"/>
                <w:highlight w:val="none"/>
              </w:rPr>
              <w:t>日</w:t>
            </w:r>
            <w:r>
              <w:rPr>
                <w:rFonts w:hint="eastAsia" w:ascii="宋体" w:hAnsi="宋体"/>
                <w:color w:val="auto"/>
                <w:highlight w:val="none"/>
                <w:lang w:val="en-US" w:eastAsia="zh-CN"/>
              </w:rPr>
              <w:t xml:space="preserve">   </w:t>
            </w:r>
            <w:r>
              <w:rPr>
                <w:color w:val="auto"/>
                <w:highlight w:val="none"/>
              </w:rPr>
              <w:t xml:space="preserve">  </w:t>
            </w:r>
            <w:r>
              <w:rPr>
                <w:rFonts w:hint="eastAsia" w:ascii="宋体" w:hAnsi="宋体"/>
                <w:color w:val="auto"/>
                <w:highlight w:val="none"/>
              </w:rPr>
              <w:t>期</w:t>
            </w:r>
            <w:r>
              <w:rPr>
                <w:color w:val="auto"/>
                <w:highlight w:val="none"/>
                <w:u w:val="single"/>
              </w:rPr>
              <w:t xml:space="preserve">           </w:t>
            </w:r>
          </w:p>
        </w:tc>
        <w:tc>
          <w:tcPr>
            <w:tcW w:w="4280" w:type="dxa"/>
            <w:noWrap w:val="0"/>
            <w:vAlign w:val="top"/>
          </w:tcPr>
          <w:p w14:paraId="42CE73C6">
            <w:pPr>
              <w:pStyle w:val="77"/>
              <w:spacing w:before="68" w:line="360" w:lineRule="auto"/>
              <w:ind w:left="115"/>
              <w:rPr>
                <w:color w:val="auto"/>
                <w:sz w:val="21"/>
                <w:szCs w:val="21"/>
                <w:highlight w:val="none"/>
              </w:rPr>
            </w:pPr>
            <w:r>
              <w:rPr>
                <w:color w:val="auto"/>
                <w:spacing w:val="-1"/>
                <w:sz w:val="21"/>
                <w:szCs w:val="21"/>
                <w:highlight w:val="none"/>
              </w:rPr>
              <w:t>复核意见：</w:t>
            </w:r>
          </w:p>
          <w:p w14:paraId="73F46287">
            <w:pPr>
              <w:pStyle w:val="77"/>
              <w:spacing w:before="60" w:line="360" w:lineRule="auto"/>
              <w:ind w:left="115" w:firstLine="415"/>
              <w:rPr>
                <w:color w:val="auto"/>
                <w:sz w:val="21"/>
                <w:szCs w:val="21"/>
                <w:highlight w:val="none"/>
              </w:rPr>
            </w:pPr>
            <w:r>
              <w:rPr>
                <w:color w:val="auto"/>
                <w:spacing w:val="-3"/>
                <w:sz w:val="21"/>
                <w:szCs w:val="21"/>
                <w:highlight w:val="none"/>
              </w:rPr>
              <w:t>你方提出的竣工</w:t>
            </w:r>
            <w:r>
              <w:rPr>
                <w:rFonts w:hint="eastAsia"/>
                <w:color w:val="auto"/>
                <w:spacing w:val="-3"/>
                <w:sz w:val="21"/>
                <w:szCs w:val="21"/>
                <w:highlight w:val="none"/>
              </w:rPr>
              <w:t>（施工过程）</w:t>
            </w:r>
            <w:r>
              <w:rPr>
                <w:color w:val="auto"/>
                <w:spacing w:val="-3"/>
                <w:sz w:val="21"/>
                <w:szCs w:val="21"/>
                <w:highlight w:val="none"/>
              </w:rPr>
              <w:t>结算款支付申请经复核</w:t>
            </w:r>
            <w:r>
              <w:rPr>
                <w:rFonts w:hint="eastAsia" w:eastAsia="宋体"/>
                <w:color w:val="auto"/>
                <w:spacing w:val="-3"/>
                <w:sz w:val="21"/>
                <w:szCs w:val="21"/>
                <w:highlight w:val="none"/>
                <w:lang w:eastAsia="zh-CN"/>
              </w:rPr>
              <w:t>，</w:t>
            </w:r>
            <w:r>
              <w:rPr>
                <w:color w:val="auto"/>
                <w:spacing w:val="11"/>
                <w:sz w:val="21"/>
                <w:szCs w:val="21"/>
                <w:highlight w:val="none"/>
              </w:rPr>
              <w:t xml:space="preserve"> </w:t>
            </w:r>
            <w:r>
              <w:rPr>
                <w:color w:val="auto"/>
                <w:spacing w:val="1"/>
                <w:sz w:val="21"/>
                <w:szCs w:val="21"/>
                <w:highlight w:val="none"/>
              </w:rPr>
              <w:t>竣工</w:t>
            </w:r>
            <w:r>
              <w:rPr>
                <w:rFonts w:hint="eastAsia"/>
                <w:color w:val="auto"/>
                <w:spacing w:val="1"/>
                <w:sz w:val="21"/>
                <w:szCs w:val="21"/>
                <w:highlight w:val="none"/>
              </w:rPr>
              <w:t>（施工过程）</w:t>
            </w:r>
            <w:r>
              <w:rPr>
                <w:color w:val="auto"/>
                <w:spacing w:val="1"/>
                <w:sz w:val="21"/>
                <w:szCs w:val="21"/>
                <w:highlight w:val="none"/>
              </w:rPr>
              <w:t>结算款总额为</w:t>
            </w:r>
            <w:r>
              <w:rPr>
                <w:rFonts w:hint="eastAsia" w:eastAsia="宋体"/>
                <w:color w:val="auto"/>
                <w:spacing w:val="1"/>
                <w:sz w:val="21"/>
                <w:szCs w:val="21"/>
                <w:highlight w:val="none"/>
                <w:lang w:eastAsia="zh-CN"/>
              </w:rPr>
              <w:t>（</w:t>
            </w:r>
            <w:r>
              <w:rPr>
                <w:color w:val="auto"/>
                <w:spacing w:val="1"/>
                <w:sz w:val="21"/>
                <w:szCs w:val="21"/>
                <w:highlight w:val="none"/>
              </w:rPr>
              <w:t>大写</w:t>
            </w:r>
            <w:r>
              <w:rPr>
                <w:rFonts w:hint="eastAsia" w:eastAsia="宋体"/>
                <w:color w:val="auto"/>
                <w:spacing w:val="1"/>
                <w:sz w:val="21"/>
                <w:szCs w:val="21"/>
                <w:highlight w:val="none"/>
                <w:u w:val="single" w:color="auto"/>
                <w:lang w:eastAsia="zh-CN"/>
              </w:rPr>
              <w:t>）</w:t>
            </w:r>
            <w:r>
              <w:rPr>
                <w:color w:val="auto"/>
                <w:spacing w:val="28"/>
                <w:sz w:val="21"/>
                <w:szCs w:val="21"/>
                <w:highlight w:val="none"/>
                <w:u w:val="single" w:color="auto"/>
              </w:rPr>
              <w:t xml:space="preserve">  </w:t>
            </w:r>
            <w:r>
              <w:rPr>
                <w:color w:val="auto"/>
                <w:sz w:val="21"/>
                <w:szCs w:val="21"/>
                <w:highlight w:val="none"/>
                <w:u w:val="single" w:color="auto"/>
              </w:rPr>
              <w:t xml:space="preserve">    </w:t>
            </w:r>
            <w:r>
              <w:rPr>
                <w:rFonts w:hint="eastAsia" w:eastAsia="宋体"/>
                <w:color w:val="auto"/>
                <w:sz w:val="21"/>
                <w:szCs w:val="21"/>
                <w:highlight w:val="none"/>
                <w:lang w:eastAsia="zh-CN"/>
              </w:rPr>
              <w:t>（</w:t>
            </w:r>
            <w:r>
              <w:rPr>
                <w:color w:val="auto"/>
                <w:sz w:val="21"/>
                <w:szCs w:val="21"/>
                <w:highlight w:val="none"/>
              </w:rPr>
              <w:t>小写</w:t>
            </w:r>
            <w:r>
              <w:rPr>
                <w:color w:val="auto"/>
                <w:spacing w:val="11"/>
                <w:sz w:val="21"/>
                <w:szCs w:val="21"/>
                <w:highlight w:val="none"/>
                <w:u w:val="single" w:color="auto"/>
              </w:rPr>
              <w:t xml:space="preserve">        </w:t>
            </w:r>
            <w:r>
              <w:rPr>
                <w:color w:val="auto"/>
                <w:spacing w:val="-98"/>
                <w:sz w:val="21"/>
                <w:szCs w:val="21"/>
                <w:highlight w:val="none"/>
              </w:rPr>
              <w:t xml:space="preserve"> </w:t>
            </w:r>
            <w:r>
              <w:rPr>
                <w:rFonts w:hint="eastAsia" w:eastAsia="宋体"/>
                <w:color w:val="auto"/>
                <w:sz w:val="21"/>
                <w:szCs w:val="21"/>
                <w:highlight w:val="none"/>
                <w:lang w:eastAsia="zh-CN"/>
              </w:rPr>
              <w:t>），</w:t>
            </w:r>
          </w:p>
          <w:p w14:paraId="5802D5EA">
            <w:pPr>
              <w:pStyle w:val="77"/>
              <w:spacing w:before="67" w:line="360" w:lineRule="auto"/>
              <w:ind w:left="115"/>
              <w:rPr>
                <w:rFonts w:ascii="Arial"/>
                <w:color w:val="auto"/>
                <w:sz w:val="21"/>
                <w:highlight w:val="none"/>
              </w:rPr>
            </w:pPr>
            <w:r>
              <w:rPr>
                <w:color w:val="auto"/>
                <w:sz w:val="21"/>
                <w:szCs w:val="21"/>
                <w:highlight w:val="none"/>
              </w:rPr>
              <w:t>扣除前期支付以及质量</w:t>
            </w:r>
            <w:r>
              <w:rPr>
                <w:color w:val="auto"/>
                <w:spacing w:val="2"/>
                <w:sz w:val="21"/>
                <w:szCs w:val="21"/>
                <w:highlight w:val="none"/>
              </w:rPr>
              <w:t>保证金后应支付金额为</w:t>
            </w:r>
            <w:r>
              <w:rPr>
                <w:rFonts w:hint="eastAsia" w:eastAsia="宋体"/>
                <w:color w:val="auto"/>
                <w:spacing w:val="2"/>
                <w:sz w:val="21"/>
                <w:szCs w:val="21"/>
                <w:highlight w:val="none"/>
                <w:lang w:eastAsia="zh-CN"/>
              </w:rPr>
              <w:t>（</w:t>
            </w:r>
            <w:r>
              <w:rPr>
                <w:color w:val="auto"/>
                <w:spacing w:val="2"/>
                <w:sz w:val="21"/>
                <w:szCs w:val="21"/>
                <w:highlight w:val="none"/>
              </w:rPr>
              <w:t>大写</w:t>
            </w:r>
            <w:r>
              <w:rPr>
                <w:rFonts w:hint="eastAsia" w:eastAsia="宋体"/>
                <w:color w:val="auto"/>
                <w:spacing w:val="7"/>
                <w:sz w:val="21"/>
                <w:szCs w:val="21"/>
                <w:highlight w:val="none"/>
                <w:lang w:eastAsia="zh-CN"/>
              </w:rPr>
              <w:t>）</w:t>
            </w:r>
            <w:r>
              <w:rPr>
                <w:rFonts w:hint="eastAsia" w:eastAsia="宋体"/>
                <w:color w:val="auto"/>
                <w:spacing w:val="2"/>
                <w:sz w:val="21"/>
                <w:szCs w:val="21"/>
                <w:highlight w:val="none"/>
                <w:u w:val="single"/>
                <w:lang w:val="en-US" w:eastAsia="zh-CN"/>
              </w:rPr>
              <w:t xml:space="preserve">       </w:t>
            </w:r>
            <w:r>
              <w:rPr>
                <w:color w:val="auto"/>
                <w:spacing w:val="-39"/>
                <w:sz w:val="21"/>
                <w:szCs w:val="21"/>
                <w:highlight w:val="none"/>
                <w:u w:val="single" w:color="auto"/>
              </w:rPr>
              <w:t xml:space="preserve"> </w:t>
            </w:r>
            <w:r>
              <w:rPr>
                <w:color w:val="auto"/>
                <w:spacing w:val="-100"/>
                <w:sz w:val="21"/>
                <w:szCs w:val="21"/>
                <w:highlight w:val="none"/>
              </w:rPr>
              <w:t xml:space="preserve"> </w:t>
            </w:r>
            <w:r>
              <w:rPr>
                <w:color w:val="auto"/>
                <w:spacing w:val="8"/>
                <w:sz w:val="21"/>
                <w:szCs w:val="21"/>
                <w:highlight w:val="none"/>
                <w:u w:val="single" w:color="auto"/>
              </w:rPr>
              <w:t xml:space="preserve">           </w:t>
            </w:r>
            <w:r>
              <w:rPr>
                <w:color w:val="auto"/>
                <w:spacing w:val="7"/>
                <w:sz w:val="21"/>
                <w:szCs w:val="21"/>
                <w:highlight w:val="none"/>
              </w:rPr>
              <w:t xml:space="preserve"> </w:t>
            </w:r>
            <w:r>
              <w:rPr>
                <w:rFonts w:hint="eastAsia" w:eastAsia="宋体"/>
                <w:color w:val="auto"/>
                <w:spacing w:val="-18"/>
                <w:sz w:val="21"/>
                <w:szCs w:val="21"/>
                <w:highlight w:val="none"/>
                <w:lang w:eastAsia="zh-CN"/>
              </w:rPr>
              <w:t>（</w:t>
            </w:r>
            <w:r>
              <w:rPr>
                <w:color w:val="auto"/>
                <w:spacing w:val="4"/>
                <w:sz w:val="21"/>
                <w:szCs w:val="21"/>
                <w:highlight w:val="none"/>
              </w:rPr>
              <w:t xml:space="preserve"> </w:t>
            </w:r>
            <w:r>
              <w:rPr>
                <w:color w:val="auto"/>
                <w:spacing w:val="-18"/>
                <w:sz w:val="21"/>
                <w:szCs w:val="21"/>
                <w:highlight w:val="none"/>
              </w:rPr>
              <w:t>小</w:t>
            </w:r>
            <w:r>
              <w:rPr>
                <w:color w:val="auto"/>
                <w:spacing w:val="2"/>
                <w:sz w:val="21"/>
                <w:szCs w:val="21"/>
                <w:highlight w:val="none"/>
              </w:rPr>
              <w:t xml:space="preserve"> </w:t>
            </w:r>
            <w:r>
              <w:rPr>
                <w:color w:val="auto"/>
                <w:spacing w:val="-18"/>
                <w:sz w:val="21"/>
                <w:szCs w:val="21"/>
                <w:highlight w:val="none"/>
              </w:rPr>
              <w:t>写</w:t>
            </w:r>
            <w:r>
              <w:rPr>
                <w:color w:val="auto"/>
                <w:spacing w:val="3"/>
                <w:sz w:val="21"/>
                <w:szCs w:val="21"/>
                <w:highlight w:val="none"/>
                <w:u w:val="single" w:color="auto"/>
              </w:rPr>
              <w:t xml:space="preserve">                   </w:t>
            </w:r>
            <w:r>
              <w:rPr>
                <w:rFonts w:hint="eastAsia" w:eastAsia="宋体"/>
                <w:color w:val="auto"/>
                <w:spacing w:val="-18"/>
                <w:sz w:val="21"/>
                <w:szCs w:val="21"/>
                <w:highlight w:val="none"/>
                <w:lang w:eastAsia="zh-CN"/>
              </w:rPr>
              <w:t>）</w:t>
            </w:r>
            <w:r>
              <w:rPr>
                <w:color w:val="auto"/>
                <w:spacing w:val="-18"/>
                <w:sz w:val="21"/>
                <w:szCs w:val="21"/>
                <w:highlight w:val="none"/>
              </w:rPr>
              <w:t>。</w:t>
            </w:r>
          </w:p>
          <w:p w14:paraId="3D8FF5AD">
            <w:pPr>
              <w:spacing w:line="360" w:lineRule="auto"/>
              <w:ind w:firstLine="435"/>
              <w:jc w:val="center"/>
              <w:rPr>
                <w:color w:val="auto"/>
                <w:highlight w:val="none"/>
                <w:u w:val="single"/>
              </w:rPr>
            </w:pPr>
            <w:r>
              <w:rPr>
                <w:color w:val="auto"/>
                <w:highlight w:val="none"/>
              </w:rPr>
              <w:t xml:space="preserve"> </w:t>
            </w:r>
            <w:r>
              <w:rPr>
                <w:rFonts w:hint="eastAsia" w:ascii="宋体" w:hAnsi="宋体"/>
                <w:color w:val="auto"/>
                <w:highlight w:val="none"/>
              </w:rPr>
              <w:t>造价工程师</w:t>
            </w:r>
            <w:r>
              <w:rPr>
                <w:color w:val="auto"/>
                <w:highlight w:val="none"/>
                <w:u w:val="single"/>
              </w:rPr>
              <w:t xml:space="preserve">           </w:t>
            </w:r>
          </w:p>
          <w:p w14:paraId="6E0D6295">
            <w:pPr>
              <w:pStyle w:val="77"/>
              <w:spacing w:before="69" w:line="360" w:lineRule="auto"/>
              <w:ind w:left="2792" w:hanging="1387"/>
              <w:rPr>
                <w:color w:val="auto"/>
                <w:sz w:val="21"/>
                <w:szCs w:val="21"/>
                <w:highlight w:val="none"/>
              </w:rPr>
            </w:pPr>
            <w:r>
              <w:rPr>
                <w:rFonts w:hint="eastAsia" w:ascii="宋体" w:hAnsi="宋体" w:eastAsia="宋体" w:cs="Times New Roman"/>
                <w:color w:val="auto"/>
                <w:kern w:val="2"/>
                <w:sz w:val="21"/>
                <w:szCs w:val="24"/>
                <w:highlight w:val="none"/>
                <w:lang w:val="en-US" w:eastAsia="zh-CN" w:bidi="ar-SA"/>
              </w:rPr>
              <w:t xml:space="preserve">     日     期</w:t>
            </w:r>
            <w:r>
              <w:rPr>
                <w:rFonts w:ascii="Times New Roman" w:hAnsi="Times New Roman" w:eastAsia="宋体" w:cs="Times New Roman"/>
                <w:color w:val="auto"/>
                <w:kern w:val="2"/>
                <w:sz w:val="21"/>
                <w:szCs w:val="24"/>
                <w:highlight w:val="none"/>
                <w:u w:val="single"/>
                <w:lang w:val="en-US" w:eastAsia="zh-CN" w:bidi="ar-SA"/>
              </w:rPr>
              <w:t xml:space="preserve">          </w:t>
            </w:r>
          </w:p>
        </w:tc>
      </w:tr>
      <w:tr w14:paraId="6C5334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28" w:hRule="atLeast"/>
          <w:jc w:val="center"/>
        </w:trPr>
        <w:tc>
          <w:tcPr>
            <w:tcW w:w="9229" w:type="dxa"/>
            <w:gridSpan w:val="2"/>
            <w:noWrap w:val="0"/>
            <w:vAlign w:val="top"/>
          </w:tcPr>
          <w:p w14:paraId="62D2B4CC">
            <w:pPr>
              <w:pStyle w:val="77"/>
              <w:spacing w:before="264" w:line="360" w:lineRule="auto"/>
              <w:ind w:left="14" w:right="8058" w:firstLine="99"/>
              <w:rPr>
                <w:rFonts w:ascii="Arial"/>
                <w:color w:val="auto"/>
                <w:sz w:val="21"/>
                <w:highlight w:val="none"/>
              </w:rPr>
            </w:pPr>
            <w:r>
              <w:rPr>
                <w:color w:val="auto"/>
                <w:spacing w:val="-1"/>
                <w:sz w:val="21"/>
                <w:szCs w:val="21"/>
                <w:highlight w:val="none"/>
              </w:rPr>
              <w:t>审核意见：</w:t>
            </w:r>
            <w:r>
              <w:rPr>
                <w:color w:val="auto"/>
                <w:sz w:val="21"/>
                <w:szCs w:val="21"/>
                <w:highlight w:val="none"/>
              </w:rPr>
              <w:t xml:space="preserve"> </w:t>
            </w:r>
            <w:r>
              <w:rPr>
                <w:rFonts w:hint="eastAsia" w:eastAsia="宋体"/>
                <w:color w:val="auto"/>
                <w:sz w:val="21"/>
                <w:szCs w:val="21"/>
                <w:highlight w:val="none"/>
                <w:lang w:val="en-US" w:eastAsia="zh-CN"/>
              </w:rPr>
              <w:t xml:space="preserve">  </w:t>
            </w:r>
            <w:r>
              <w:rPr>
                <w:color w:val="auto"/>
                <w:spacing w:val="4"/>
                <w:sz w:val="21"/>
                <w:szCs w:val="21"/>
                <w:highlight w:val="none"/>
              </w:rPr>
              <w:t>口</w:t>
            </w:r>
            <w:r>
              <w:rPr>
                <w:rFonts w:hint="eastAsia" w:ascii="Arial" w:hAnsi="Arial" w:eastAsia="Arial" w:cs="Arial"/>
                <w:color w:val="auto"/>
                <w:spacing w:val="4"/>
                <w:sz w:val="21"/>
                <w:szCs w:val="21"/>
                <w:highlight w:val="none"/>
                <w:lang w:eastAsia="zh-CN"/>
              </w:rPr>
              <w:t>不同意</w:t>
            </w:r>
            <w:r>
              <w:rPr>
                <w:color w:val="auto"/>
                <w:sz w:val="21"/>
                <w:szCs w:val="21"/>
                <w:highlight w:val="none"/>
              </w:rPr>
              <w:t xml:space="preserve"> </w:t>
            </w:r>
            <w:r>
              <w:rPr>
                <w:color w:val="auto"/>
                <w:spacing w:val="4"/>
                <w:sz w:val="21"/>
                <w:szCs w:val="21"/>
                <w:highlight w:val="none"/>
              </w:rPr>
              <w:t>口同意</w:t>
            </w:r>
          </w:p>
          <w:p w14:paraId="7C6E483E">
            <w:pPr>
              <w:pStyle w:val="77"/>
              <w:spacing w:before="68" w:line="360" w:lineRule="auto"/>
              <w:ind w:left="0" w:firstLine="6379" w:firstLineChars="2848"/>
              <w:rPr>
                <w:rFonts w:hint="eastAsia" w:eastAsia="宋体"/>
                <w:color w:val="auto"/>
                <w:sz w:val="21"/>
                <w:szCs w:val="21"/>
                <w:highlight w:val="none"/>
                <w:lang w:eastAsia="zh-CN"/>
              </w:rPr>
            </w:pPr>
            <w:r>
              <w:rPr>
                <w:color w:val="auto"/>
                <w:spacing w:val="7"/>
                <w:sz w:val="21"/>
                <w:szCs w:val="21"/>
                <w:highlight w:val="none"/>
              </w:rPr>
              <w:t>发包人</w:t>
            </w:r>
            <w:r>
              <w:rPr>
                <w:rFonts w:hint="eastAsia" w:eastAsia="宋体"/>
                <w:color w:val="auto"/>
                <w:spacing w:val="7"/>
                <w:sz w:val="21"/>
                <w:szCs w:val="21"/>
                <w:highlight w:val="none"/>
                <w:lang w:eastAsia="zh-CN"/>
              </w:rPr>
              <w:t>（</w:t>
            </w:r>
            <w:r>
              <w:rPr>
                <w:color w:val="auto"/>
                <w:spacing w:val="7"/>
                <w:sz w:val="21"/>
                <w:szCs w:val="21"/>
                <w:highlight w:val="none"/>
              </w:rPr>
              <w:t>章</w:t>
            </w:r>
            <w:r>
              <w:rPr>
                <w:rFonts w:hint="eastAsia" w:eastAsia="宋体"/>
                <w:color w:val="auto"/>
                <w:spacing w:val="7"/>
                <w:sz w:val="21"/>
                <w:szCs w:val="21"/>
                <w:highlight w:val="none"/>
                <w:lang w:eastAsia="zh-CN"/>
              </w:rPr>
              <w:t>）</w:t>
            </w:r>
          </w:p>
          <w:p w14:paraId="252CB9E0">
            <w:pPr>
              <w:wordWrap w:val="0"/>
              <w:spacing w:line="360" w:lineRule="auto"/>
              <w:ind w:firstLine="420" w:firstLineChars="200"/>
              <w:jc w:val="center"/>
              <w:rPr>
                <w:color w:val="auto"/>
                <w:highlight w:val="none"/>
                <w:u w:val="single"/>
              </w:rPr>
            </w:pPr>
            <w:r>
              <w:rPr>
                <w:rFonts w:hint="eastAsia" w:ascii="宋体" w:hAnsi="宋体"/>
                <w:color w:val="auto"/>
                <w:highlight w:val="none"/>
                <w:lang w:val="en-US" w:eastAsia="zh-CN"/>
              </w:rPr>
              <w:t xml:space="preserve">                                                      </w:t>
            </w:r>
            <w:r>
              <w:rPr>
                <w:rFonts w:hint="eastAsia" w:ascii="Arial" w:hAnsi="Arial" w:eastAsia="Arial" w:cs="Arial"/>
                <w:color w:val="auto"/>
                <w:spacing w:val="7"/>
                <w:kern w:val="2"/>
                <w:sz w:val="21"/>
                <w:szCs w:val="21"/>
                <w:highlight w:val="none"/>
                <w:lang w:val="en-US" w:eastAsia="en-US" w:bidi="ar-SA"/>
              </w:rPr>
              <w:t>发包人代表</w:t>
            </w:r>
            <w:r>
              <w:rPr>
                <w:color w:val="auto"/>
                <w:highlight w:val="none"/>
                <w:u w:val="single"/>
              </w:rPr>
              <w:t xml:space="preserve">          </w:t>
            </w:r>
          </w:p>
          <w:p w14:paraId="22FC4BF4">
            <w:pPr>
              <w:pStyle w:val="77"/>
              <w:spacing w:before="51" w:line="360" w:lineRule="auto"/>
              <w:ind w:left="0" w:firstLine="5700" w:firstLineChars="2500"/>
              <w:rPr>
                <w:color w:val="auto"/>
                <w:sz w:val="21"/>
                <w:szCs w:val="21"/>
                <w:highlight w:val="none"/>
              </w:rPr>
            </w:pPr>
            <w:r>
              <w:rPr>
                <w:color w:val="auto"/>
                <w:spacing w:val="9"/>
                <w:sz w:val="21"/>
                <w:szCs w:val="21"/>
                <w:highlight w:val="none"/>
                <w:u w:val="single" w:color="auto"/>
              </w:rPr>
              <w:t xml:space="preserve">         </w:t>
            </w:r>
            <w:r>
              <w:rPr>
                <w:color w:val="auto"/>
                <w:sz w:val="21"/>
                <w:szCs w:val="21"/>
                <w:highlight w:val="none"/>
              </w:rPr>
              <w:t xml:space="preserve">  </w:t>
            </w:r>
            <w:r>
              <w:rPr>
                <w:color w:val="auto"/>
                <w:spacing w:val="-15"/>
                <w:sz w:val="21"/>
                <w:szCs w:val="21"/>
                <w:highlight w:val="none"/>
                <w:u w:val="single" w:color="auto"/>
              </w:rPr>
              <w:t>日期</w:t>
            </w:r>
            <w:r>
              <w:rPr>
                <w:color w:val="auto"/>
                <w:spacing w:val="-21"/>
                <w:sz w:val="21"/>
                <w:szCs w:val="21"/>
                <w:highlight w:val="none"/>
                <w:u w:val="single" w:color="auto"/>
              </w:rPr>
              <w:t xml:space="preserve"> </w:t>
            </w:r>
            <w:r>
              <w:rPr>
                <w:color w:val="auto"/>
                <w:spacing w:val="-100"/>
                <w:sz w:val="21"/>
                <w:szCs w:val="21"/>
                <w:highlight w:val="none"/>
              </w:rPr>
              <w:t xml:space="preserve"> </w:t>
            </w:r>
            <w:r>
              <w:rPr>
                <w:color w:val="auto"/>
                <w:sz w:val="21"/>
                <w:szCs w:val="21"/>
                <w:highlight w:val="none"/>
                <w:u w:val="single" w:color="auto"/>
              </w:rPr>
              <w:t xml:space="preserve">            </w:t>
            </w:r>
          </w:p>
        </w:tc>
      </w:tr>
    </w:tbl>
    <w:p w14:paraId="2786D417">
      <w:pPr>
        <w:pStyle w:val="12"/>
        <w:spacing w:before="153" w:line="360" w:lineRule="auto"/>
        <w:ind w:left="424"/>
        <w:jc w:val="left"/>
        <w:rPr>
          <w:color w:val="auto"/>
          <w:sz w:val="19"/>
          <w:szCs w:val="19"/>
          <w:highlight w:val="none"/>
        </w:rPr>
      </w:pPr>
      <w:r>
        <w:rPr>
          <w:color w:val="auto"/>
          <w:spacing w:val="-13"/>
          <w:sz w:val="19"/>
          <w:szCs w:val="19"/>
          <w:highlight w:val="none"/>
        </w:rPr>
        <w:t>注：1</w:t>
      </w:r>
      <w:r>
        <w:rPr>
          <w:rFonts w:hint="eastAsia"/>
          <w:color w:val="auto"/>
          <w:spacing w:val="70"/>
          <w:sz w:val="19"/>
          <w:szCs w:val="19"/>
          <w:highlight w:val="none"/>
          <w:lang w:val="en-US" w:eastAsia="zh-CN"/>
        </w:rPr>
        <w:t>.</w:t>
      </w:r>
      <w:r>
        <w:rPr>
          <w:color w:val="auto"/>
          <w:spacing w:val="-13"/>
          <w:sz w:val="19"/>
          <w:szCs w:val="19"/>
          <w:highlight w:val="none"/>
        </w:rPr>
        <w:t>应在选择栏中的</w:t>
      </w:r>
      <w:r>
        <w:rPr>
          <w:rFonts w:hint="eastAsia"/>
          <w:color w:val="auto"/>
          <w:spacing w:val="-13"/>
          <w:sz w:val="19"/>
          <w:szCs w:val="19"/>
          <w:highlight w:val="none"/>
          <w:lang w:eastAsia="zh-CN"/>
        </w:rPr>
        <w:t>“</w:t>
      </w:r>
      <w:r>
        <w:rPr>
          <w:color w:val="auto"/>
          <w:spacing w:val="-13"/>
          <w:sz w:val="19"/>
          <w:szCs w:val="19"/>
          <w:highlight w:val="none"/>
        </w:rPr>
        <w:t>□</w:t>
      </w:r>
      <w:r>
        <w:rPr>
          <w:rFonts w:hint="eastAsia"/>
          <w:color w:val="auto"/>
          <w:spacing w:val="-13"/>
          <w:sz w:val="19"/>
          <w:szCs w:val="19"/>
          <w:highlight w:val="none"/>
          <w:lang w:eastAsia="zh-CN"/>
        </w:rPr>
        <w:t>”</w:t>
      </w:r>
      <w:r>
        <w:rPr>
          <w:color w:val="auto"/>
          <w:spacing w:val="-13"/>
          <w:sz w:val="19"/>
          <w:szCs w:val="19"/>
          <w:highlight w:val="none"/>
        </w:rPr>
        <w:t>内作标识</w:t>
      </w:r>
      <w:r>
        <w:rPr>
          <w:rFonts w:hint="eastAsia"/>
          <w:color w:val="auto"/>
          <w:spacing w:val="-13"/>
          <w:sz w:val="19"/>
          <w:szCs w:val="19"/>
          <w:highlight w:val="none"/>
          <w:lang w:eastAsia="zh-CN"/>
        </w:rPr>
        <w:t>“</w:t>
      </w:r>
      <w:r>
        <w:rPr>
          <w:color w:val="auto"/>
          <w:spacing w:val="-70"/>
          <w:sz w:val="19"/>
          <w:szCs w:val="19"/>
          <w:highlight w:val="none"/>
        </w:rPr>
        <w:t xml:space="preserve"> </w:t>
      </w:r>
      <w:r>
        <w:rPr>
          <w:color w:val="auto"/>
          <w:spacing w:val="-13"/>
          <w:sz w:val="19"/>
          <w:szCs w:val="19"/>
          <w:highlight w:val="none"/>
        </w:rPr>
        <w:t>√</w:t>
      </w:r>
      <w:r>
        <w:rPr>
          <w:rFonts w:hint="eastAsia"/>
          <w:color w:val="auto"/>
          <w:spacing w:val="-13"/>
          <w:sz w:val="19"/>
          <w:szCs w:val="19"/>
          <w:highlight w:val="none"/>
          <w:lang w:eastAsia="zh-CN"/>
        </w:rPr>
        <w:t>”；</w:t>
      </w:r>
    </w:p>
    <w:p w14:paraId="728FCA2B">
      <w:pPr>
        <w:spacing w:line="360" w:lineRule="auto"/>
        <w:ind w:firstLine="372" w:firstLineChars="200"/>
        <w:jc w:val="both"/>
        <w:outlineLvl w:val="9"/>
        <w:rPr>
          <w:rFonts w:hint="eastAsia"/>
          <w:color w:val="auto"/>
          <w:spacing w:val="-3"/>
          <w:sz w:val="19"/>
          <w:szCs w:val="19"/>
          <w:highlight w:val="none"/>
          <w:lang w:eastAsia="zh-CN"/>
        </w:rPr>
      </w:pPr>
      <w:r>
        <w:rPr>
          <w:color w:val="auto"/>
          <w:spacing w:val="-2"/>
          <w:sz w:val="19"/>
          <w:szCs w:val="19"/>
          <w:highlight w:val="none"/>
        </w:rPr>
        <w:t>2</w:t>
      </w:r>
      <w:r>
        <w:rPr>
          <w:rFonts w:hint="eastAsia"/>
          <w:color w:val="auto"/>
          <w:spacing w:val="-2"/>
          <w:sz w:val="19"/>
          <w:szCs w:val="19"/>
          <w:highlight w:val="none"/>
          <w:lang w:val="en-US" w:eastAsia="zh-CN"/>
        </w:rPr>
        <w:t>.</w:t>
      </w:r>
      <w:r>
        <w:rPr>
          <w:color w:val="auto"/>
          <w:spacing w:val="-2"/>
          <w:sz w:val="19"/>
          <w:szCs w:val="19"/>
          <w:highlight w:val="none"/>
        </w:rPr>
        <w:t>本表应一式四份</w:t>
      </w:r>
      <w:r>
        <w:rPr>
          <w:rFonts w:hint="eastAsia"/>
          <w:color w:val="auto"/>
          <w:spacing w:val="-2"/>
          <w:sz w:val="19"/>
          <w:szCs w:val="19"/>
          <w:highlight w:val="none"/>
          <w:lang w:eastAsia="zh-CN"/>
        </w:rPr>
        <w:t>，</w:t>
      </w:r>
      <w:r>
        <w:rPr>
          <w:color w:val="auto"/>
          <w:spacing w:val="-2"/>
          <w:sz w:val="19"/>
          <w:szCs w:val="19"/>
          <w:highlight w:val="none"/>
        </w:rPr>
        <w:t>由承包人填报</w:t>
      </w:r>
      <w:r>
        <w:rPr>
          <w:rFonts w:hint="eastAsia"/>
          <w:color w:val="auto"/>
          <w:spacing w:val="-2"/>
          <w:sz w:val="19"/>
          <w:szCs w:val="19"/>
          <w:highlight w:val="none"/>
          <w:lang w:eastAsia="zh-CN"/>
        </w:rPr>
        <w:t>，</w:t>
      </w:r>
      <w:r>
        <w:rPr>
          <w:color w:val="auto"/>
          <w:spacing w:val="-2"/>
          <w:sz w:val="19"/>
          <w:szCs w:val="19"/>
          <w:highlight w:val="none"/>
        </w:rPr>
        <w:t>发包人、监理人、工程</w:t>
      </w:r>
      <w:r>
        <w:rPr>
          <w:color w:val="auto"/>
          <w:spacing w:val="-3"/>
          <w:sz w:val="19"/>
          <w:szCs w:val="19"/>
          <w:highlight w:val="none"/>
        </w:rPr>
        <w:t>造价咨询人、承包人各存一份</w:t>
      </w:r>
      <w:r>
        <w:rPr>
          <w:rFonts w:hint="eastAsia"/>
          <w:color w:val="auto"/>
          <w:spacing w:val="-3"/>
          <w:sz w:val="19"/>
          <w:szCs w:val="19"/>
          <w:highlight w:val="none"/>
          <w:lang w:eastAsia="zh-CN"/>
        </w:rPr>
        <w:t>。</w:t>
      </w:r>
    </w:p>
    <w:p w14:paraId="31392DB5">
      <w:pPr>
        <w:pStyle w:val="21"/>
        <w:spacing w:line="360" w:lineRule="auto"/>
        <w:rPr>
          <w:color w:val="auto"/>
          <w:highlight w:val="none"/>
        </w:rPr>
      </w:pPr>
    </w:p>
    <w:p w14:paraId="474AEE60">
      <w:pPr>
        <w:spacing w:line="360" w:lineRule="auto"/>
        <w:jc w:val="left"/>
        <w:rPr>
          <w:rFonts w:hint="eastAsia" w:ascii="仿宋_GB2312" w:eastAsia="仿宋_GB2312" w:cs="仿宋_GB2312"/>
          <w:color w:val="auto"/>
          <w:sz w:val="30"/>
          <w:szCs w:val="30"/>
          <w:highlight w:val="none"/>
        </w:rPr>
      </w:pPr>
    </w:p>
    <w:p w14:paraId="0DA578CD">
      <w:pPr>
        <w:spacing w:line="360" w:lineRule="auto"/>
        <w:jc w:val="left"/>
        <w:rPr>
          <w:rFonts w:hint="eastAsia" w:ascii="仿宋_GB2312" w:eastAsia="仿宋_GB2312" w:cs="仿宋_GB2312"/>
          <w:color w:val="auto"/>
          <w:sz w:val="30"/>
          <w:szCs w:val="30"/>
          <w:highlight w:val="none"/>
        </w:rPr>
      </w:pPr>
    </w:p>
    <w:p w14:paraId="42AF5940">
      <w:pPr>
        <w:spacing w:line="360" w:lineRule="auto"/>
        <w:jc w:val="left"/>
        <w:rPr>
          <w:rFonts w:hint="eastAsia" w:ascii="仿宋_GB2312" w:eastAsia="仿宋_GB2312" w:cs="仿宋_GB2312"/>
          <w:color w:val="auto"/>
          <w:sz w:val="30"/>
          <w:szCs w:val="30"/>
          <w:highlight w:val="none"/>
        </w:rPr>
      </w:pPr>
    </w:p>
    <w:p w14:paraId="54A7B10C">
      <w:pPr>
        <w:spacing w:line="360" w:lineRule="auto"/>
        <w:jc w:val="left"/>
        <w:rPr>
          <w:rFonts w:hint="eastAsia" w:ascii="仿宋_GB2312" w:eastAsia="仿宋_GB2312" w:cs="仿宋_GB2312"/>
          <w:color w:val="auto"/>
          <w:sz w:val="30"/>
          <w:szCs w:val="30"/>
          <w:highlight w:val="none"/>
        </w:rPr>
      </w:pPr>
    </w:p>
    <w:p w14:paraId="30D0CF9D">
      <w:pPr>
        <w:spacing w:line="360" w:lineRule="auto"/>
        <w:jc w:val="left"/>
        <w:rPr>
          <w:rFonts w:hint="eastAsia" w:ascii="仿宋_GB2312" w:eastAsia="仿宋_GB2312" w:cs="仿宋_GB2312"/>
          <w:color w:val="auto"/>
          <w:sz w:val="30"/>
          <w:szCs w:val="30"/>
          <w:highlight w:val="none"/>
        </w:rPr>
      </w:pPr>
    </w:p>
    <w:p w14:paraId="5364E6D3">
      <w:pPr>
        <w:spacing w:line="360" w:lineRule="auto"/>
        <w:jc w:val="left"/>
        <w:rPr>
          <w:rFonts w:hint="eastAsia" w:ascii="仿宋_GB2312" w:eastAsia="仿宋_GB2312" w:cs="仿宋_GB2312"/>
          <w:color w:val="auto"/>
          <w:sz w:val="30"/>
          <w:szCs w:val="30"/>
          <w:highlight w:val="none"/>
        </w:rPr>
      </w:pPr>
    </w:p>
    <w:p w14:paraId="2852ED86">
      <w:pPr>
        <w:spacing w:line="360" w:lineRule="auto"/>
        <w:jc w:val="left"/>
        <w:rPr>
          <w:rFonts w:hint="eastAsia" w:ascii="仿宋_GB2312" w:eastAsia="仿宋_GB2312" w:cs="仿宋_GB2312"/>
          <w:color w:val="auto"/>
          <w:sz w:val="30"/>
          <w:szCs w:val="30"/>
          <w:highlight w:val="none"/>
        </w:rPr>
      </w:pPr>
    </w:p>
    <w:p w14:paraId="0038A6B3">
      <w:pPr>
        <w:spacing w:line="360" w:lineRule="auto"/>
        <w:jc w:val="left"/>
        <w:rPr>
          <w:rFonts w:hint="eastAsia" w:ascii="仿宋_GB2312" w:eastAsia="仿宋_GB2312" w:cs="仿宋_GB2312"/>
          <w:color w:val="auto"/>
          <w:sz w:val="30"/>
          <w:szCs w:val="30"/>
          <w:highlight w:val="none"/>
        </w:rPr>
      </w:pPr>
    </w:p>
    <w:p w14:paraId="5AB4D03A">
      <w:pPr>
        <w:spacing w:line="360" w:lineRule="auto"/>
        <w:jc w:val="left"/>
        <w:rPr>
          <w:rFonts w:hint="eastAsia" w:ascii="仿宋_GB2312" w:eastAsia="仿宋_GB2312" w:cs="仿宋_GB2312"/>
          <w:color w:val="auto"/>
          <w:sz w:val="30"/>
          <w:szCs w:val="30"/>
          <w:highlight w:val="none"/>
        </w:rPr>
      </w:pPr>
    </w:p>
    <w:p w14:paraId="54FA8B2C">
      <w:pPr>
        <w:spacing w:line="360" w:lineRule="auto"/>
        <w:jc w:val="left"/>
        <w:rPr>
          <w:rFonts w:hint="eastAsia" w:ascii="仿宋_GB2312" w:eastAsia="仿宋_GB2312" w:cs="仿宋_GB2312"/>
          <w:color w:val="auto"/>
          <w:sz w:val="30"/>
          <w:szCs w:val="30"/>
          <w:highlight w:val="none"/>
        </w:rPr>
      </w:pPr>
    </w:p>
    <w:p w14:paraId="0DC5F92E">
      <w:pPr>
        <w:spacing w:line="360" w:lineRule="auto"/>
        <w:jc w:val="left"/>
        <w:rPr>
          <w:rFonts w:hint="eastAsia" w:ascii="仿宋_GB2312" w:eastAsia="仿宋_GB2312" w:cs="仿宋_GB2312"/>
          <w:color w:val="auto"/>
          <w:sz w:val="30"/>
          <w:szCs w:val="30"/>
          <w:highlight w:val="none"/>
        </w:rPr>
      </w:pPr>
    </w:p>
    <w:p w14:paraId="2D5A1732">
      <w:pPr>
        <w:spacing w:line="360" w:lineRule="auto"/>
        <w:jc w:val="left"/>
        <w:rPr>
          <w:rFonts w:hint="eastAsia" w:ascii="仿宋_GB2312" w:eastAsia="仿宋_GB2312" w:cs="仿宋_GB2312"/>
          <w:color w:val="auto"/>
          <w:sz w:val="30"/>
          <w:szCs w:val="30"/>
          <w:highlight w:val="none"/>
        </w:rPr>
      </w:pPr>
    </w:p>
    <w:p w14:paraId="78FD5860">
      <w:pPr>
        <w:spacing w:line="360" w:lineRule="auto"/>
        <w:jc w:val="left"/>
        <w:rPr>
          <w:rFonts w:hint="eastAsia" w:ascii="仿宋_GB2312" w:eastAsia="仿宋_GB2312" w:cs="仿宋_GB2312"/>
          <w:color w:val="auto"/>
          <w:sz w:val="30"/>
          <w:szCs w:val="30"/>
          <w:highlight w:val="none"/>
        </w:rPr>
      </w:pPr>
    </w:p>
    <w:p w14:paraId="4DA60235">
      <w:pPr>
        <w:spacing w:line="360" w:lineRule="auto"/>
        <w:jc w:val="left"/>
        <w:rPr>
          <w:rFonts w:hint="eastAsia" w:ascii="仿宋_GB2312" w:eastAsia="仿宋_GB2312" w:cs="仿宋_GB2312"/>
          <w:color w:val="auto"/>
          <w:sz w:val="30"/>
          <w:szCs w:val="30"/>
          <w:highlight w:val="none"/>
        </w:rPr>
      </w:pPr>
    </w:p>
    <w:p w14:paraId="7F6B2713">
      <w:pPr>
        <w:spacing w:line="360" w:lineRule="auto"/>
        <w:jc w:val="left"/>
        <w:rPr>
          <w:rFonts w:hint="eastAsia" w:ascii="仿宋_GB2312" w:eastAsia="仿宋_GB2312" w:cs="仿宋_GB2312"/>
          <w:color w:val="auto"/>
          <w:sz w:val="30"/>
          <w:szCs w:val="30"/>
          <w:highlight w:val="none"/>
        </w:rPr>
      </w:pPr>
    </w:p>
    <w:p w14:paraId="290A778F">
      <w:pPr>
        <w:spacing w:line="360" w:lineRule="auto"/>
        <w:jc w:val="left"/>
        <w:rPr>
          <w:rFonts w:hint="eastAsia" w:ascii="仿宋_GB2312" w:eastAsia="仿宋_GB2312" w:cs="仿宋_GB2312"/>
          <w:color w:val="auto"/>
          <w:sz w:val="30"/>
          <w:szCs w:val="30"/>
          <w:highlight w:val="none"/>
        </w:rPr>
      </w:pPr>
    </w:p>
    <w:p w14:paraId="5E684F0D">
      <w:pPr>
        <w:spacing w:line="360" w:lineRule="auto"/>
        <w:jc w:val="left"/>
        <w:rPr>
          <w:rFonts w:hint="eastAsia" w:ascii="仿宋_GB2312" w:eastAsia="仿宋_GB2312" w:cs="仿宋_GB2312"/>
          <w:color w:val="auto"/>
          <w:sz w:val="30"/>
          <w:szCs w:val="30"/>
          <w:highlight w:val="none"/>
        </w:rPr>
      </w:pPr>
    </w:p>
    <w:p w14:paraId="1CE4F0B9">
      <w:pPr>
        <w:spacing w:line="360" w:lineRule="auto"/>
        <w:jc w:val="left"/>
        <w:rPr>
          <w:rFonts w:hint="eastAsia"/>
          <w:b/>
          <w:color w:val="auto"/>
          <w:sz w:val="30"/>
          <w:szCs w:val="30"/>
          <w:highlight w:val="none"/>
        </w:rPr>
      </w:pPr>
      <w:r>
        <w:rPr>
          <w:rFonts w:hint="eastAsia" w:ascii="仿宋_GB2312" w:eastAsia="仿宋_GB2312" w:cs="仿宋_GB2312"/>
          <w:color w:val="auto"/>
          <w:sz w:val="30"/>
          <w:szCs w:val="30"/>
          <w:highlight w:val="none"/>
        </w:rPr>
        <w:t>附件13：工程保修与结清结算支付申请（核准）表</w:t>
      </w:r>
    </w:p>
    <w:p w14:paraId="1C93763A">
      <w:pPr>
        <w:wordWrap w:val="0"/>
        <w:spacing w:before="0" w:after="0" w:line="360" w:lineRule="auto"/>
        <w:jc w:val="center"/>
        <w:outlineLvl w:val="9"/>
        <w:rPr>
          <w:rFonts w:ascii="宋体" w:hAnsi="宋体"/>
          <w:b/>
          <w:color w:val="auto"/>
          <w:sz w:val="30"/>
          <w:szCs w:val="30"/>
          <w:highlight w:val="none"/>
          <w:lang w:val="en"/>
        </w:rPr>
      </w:pPr>
      <w:r>
        <w:rPr>
          <w:rFonts w:hint="default" w:ascii="宋体" w:hAnsi="宋体" w:eastAsia="宋体" w:cs="Times New Roman"/>
          <w:b/>
          <w:bCs w:val="0"/>
          <w:color w:val="auto"/>
          <w:kern w:val="2"/>
          <w:sz w:val="30"/>
          <w:szCs w:val="30"/>
          <w:highlight w:val="none"/>
          <w:lang w:val="en"/>
        </w:rPr>
        <w:t>工程保修与结清结算支付申请</w:t>
      </w:r>
      <w:r>
        <w:rPr>
          <w:rFonts w:hint="eastAsia" w:ascii="宋体" w:hAnsi="宋体" w:cs="Times New Roman"/>
          <w:b/>
          <w:bCs w:val="0"/>
          <w:color w:val="auto"/>
          <w:kern w:val="2"/>
          <w:sz w:val="30"/>
          <w:szCs w:val="30"/>
          <w:highlight w:val="none"/>
          <w:lang w:val="en" w:eastAsia="zh-CN"/>
        </w:rPr>
        <w:t>（</w:t>
      </w:r>
      <w:r>
        <w:rPr>
          <w:rFonts w:hint="default" w:ascii="宋体" w:hAnsi="宋体" w:eastAsia="宋体" w:cs="Times New Roman"/>
          <w:b/>
          <w:bCs w:val="0"/>
          <w:color w:val="auto"/>
          <w:kern w:val="2"/>
          <w:sz w:val="30"/>
          <w:szCs w:val="30"/>
          <w:highlight w:val="none"/>
          <w:lang w:val="en"/>
        </w:rPr>
        <w:t>核准</w:t>
      </w:r>
      <w:r>
        <w:rPr>
          <w:rFonts w:hint="eastAsia" w:ascii="宋体" w:hAnsi="宋体" w:cs="Times New Roman"/>
          <w:b/>
          <w:bCs w:val="0"/>
          <w:color w:val="auto"/>
          <w:kern w:val="2"/>
          <w:sz w:val="30"/>
          <w:szCs w:val="30"/>
          <w:highlight w:val="none"/>
          <w:lang w:val="en" w:eastAsia="zh-CN"/>
        </w:rPr>
        <w:t>）</w:t>
      </w:r>
      <w:r>
        <w:rPr>
          <w:rFonts w:hint="default" w:ascii="宋体" w:hAnsi="宋体" w:eastAsia="宋体" w:cs="Times New Roman"/>
          <w:b/>
          <w:bCs w:val="0"/>
          <w:color w:val="auto"/>
          <w:kern w:val="2"/>
          <w:sz w:val="30"/>
          <w:szCs w:val="30"/>
          <w:highlight w:val="none"/>
          <w:lang w:val="en"/>
        </w:rPr>
        <w:t>表</w:t>
      </w:r>
    </w:p>
    <w:p w14:paraId="163B63FF">
      <w:pPr>
        <w:spacing w:line="360" w:lineRule="auto"/>
        <w:rPr>
          <w:rFonts w:ascii="宋体" w:hAnsi="宋体"/>
          <w:color w:val="auto"/>
          <w:kern w:val="0"/>
          <w:highlight w:val="none"/>
        </w:rPr>
      </w:pPr>
      <w:r>
        <w:rPr>
          <w:rFonts w:hint="eastAsia" w:ascii="宋体" w:hAnsi="宋体"/>
          <w:color w:val="auto"/>
          <w:kern w:val="0"/>
          <w:highlight w:val="none"/>
        </w:rPr>
        <w:t>工程</w:t>
      </w:r>
      <w:r>
        <w:rPr>
          <w:rFonts w:hint="eastAsia" w:ascii="宋体" w:hAnsi="宋体"/>
          <w:color w:val="auto"/>
          <w:spacing w:val="-3"/>
          <w:kern w:val="0"/>
          <w:highlight w:val="none"/>
        </w:rPr>
        <w:t>名</w:t>
      </w:r>
      <w:r>
        <w:rPr>
          <w:rFonts w:hint="eastAsia" w:ascii="宋体" w:hAnsi="宋体"/>
          <w:color w:val="auto"/>
          <w:kern w:val="0"/>
          <w:highlight w:val="none"/>
        </w:rPr>
        <w:t>称：</w:t>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标</w:t>
      </w:r>
      <w:r>
        <w:rPr>
          <w:rFonts w:hint="eastAsia" w:ascii="宋体" w:hAnsi="宋体"/>
          <w:color w:val="auto"/>
          <w:spacing w:val="-3"/>
          <w:kern w:val="0"/>
          <w:highlight w:val="none"/>
        </w:rPr>
        <w:t>段</w:t>
      </w:r>
      <w:r>
        <w:rPr>
          <w:rFonts w:hint="eastAsia" w:ascii="宋体" w:hAnsi="宋体"/>
          <w:color w:val="auto"/>
          <w:kern w:val="0"/>
          <w:highlight w:val="none"/>
        </w:rPr>
        <w:t>：</w:t>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spacing w:val="-3"/>
          <w:kern w:val="0"/>
          <w:highlight w:val="none"/>
        </w:rPr>
        <w:t>编</w:t>
      </w:r>
      <w:r>
        <w:rPr>
          <w:rFonts w:hint="eastAsia" w:ascii="宋体" w:hAnsi="宋体"/>
          <w:color w:val="auto"/>
          <w:kern w:val="0"/>
          <w:highlight w:val="none"/>
        </w:rPr>
        <w:t>号：</w:t>
      </w:r>
    </w:p>
    <w:p w14:paraId="5C3AD02C">
      <w:pPr>
        <w:spacing w:before="9" w:line="360" w:lineRule="auto"/>
        <w:rPr>
          <w:rFonts w:ascii="宋体" w:hAnsi="宋体"/>
          <w:color w:val="auto"/>
          <w:sz w:val="4"/>
          <w:szCs w:val="4"/>
          <w:highlight w:val="none"/>
        </w:rPr>
      </w:pPr>
      <w:r>
        <w:rPr>
          <w:rFonts w:hint="eastAsia" w:ascii="宋体" w:hAnsi="宋体"/>
          <w:color w:val="auto"/>
          <w:sz w:val="4"/>
          <w:szCs w:val="4"/>
          <w:highlight w:val="none"/>
        </w:rPr>
        <w:t xml:space="preserve"> </w:t>
      </w:r>
    </w:p>
    <w:tbl>
      <w:tblPr>
        <w:tblStyle w:val="22"/>
        <w:tblW w:w="9602" w:type="dxa"/>
        <w:jc w:val="center"/>
        <w:tblLayout w:type="fixed"/>
        <w:tblCellMar>
          <w:top w:w="0" w:type="dxa"/>
          <w:left w:w="0" w:type="dxa"/>
          <w:bottom w:w="0" w:type="dxa"/>
          <w:right w:w="0" w:type="dxa"/>
        </w:tblCellMar>
      </w:tblPr>
      <w:tblGrid>
        <w:gridCol w:w="2524"/>
        <w:gridCol w:w="2414"/>
        <w:gridCol w:w="983"/>
        <w:gridCol w:w="3681"/>
      </w:tblGrid>
      <w:tr w14:paraId="440250D1">
        <w:tblPrEx>
          <w:tblCellMar>
            <w:top w:w="0" w:type="dxa"/>
            <w:left w:w="0" w:type="dxa"/>
            <w:bottom w:w="0" w:type="dxa"/>
            <w:right w:w="0" w:type="dxa"/>
          </w:tblCellMar>
        </w:tblPrEx>
        <w:trPr>
          <w:trHeight w:val="401" w:hRule="atLeast"/>
          <w:jc w:val="center"/>
        </w:trPr>
        <w:tc>
          <w:tcPr>
            <w:tcW w:w="9602" w:type="dxa"/>
            <w:gridSpan w:val="4"/>
            <w:tcBorders>
              <w:top w:val="single" w:color="000000" w:sz="4" w:space="0"/>
              <w:left w:val="single" w:color="000000" w:sz="4" w:space="0"/>
              <w:bottom w:val="nil"/>
              <w:right w:val="single" w:color="000000" w:sz="4" w:space="0"/>
            </w:tcBorders>
            <w:noWrap w:val="0"/>
            <w:vAlign w:val="top"/>
          </w:tcPr>
          <w:p w14:paraId="78503705">
            <w:pPr>
              <w:keepNext w:val="0"/>
              <w:keepLines w:val="0"/>
              <w:suppressLineNumbers w:val="0"/>
              <w:spacing w:before="54" w:beforeAutospacing="0" w:after="0" w:afterAutospacing="0" w:line="360" w:lineRule="auto"/>
              <w:ind w:left="0" w:right="0"/>
              <w:rPr>
                <w:rFonts w:hint="default" w:ascii="宋体" w:hAnsi="宋体"/>
                <w:color w:val="auto"/>
                <w:kern w:val="0"/>
                <w:highlight w:val="none"/>
              </w:rPr>
            </w:pPr>
            <w:r>
              <w:rPr>
                <w:rFonts w:hint="eastAsia" w:ascii="宋体" w:hAnsi="宋体"/>
                <w:color w:val="auto"/>
                <w:kern w:val="0"/>
                <w:highlight w:val="none"/>
              </w:rPr>
              <w:t>致：</w:t>
            </w:r>
            <w:r>
              <w:rPr>
                <w:rFonts w:hint="eastAsia" w:ascii="宋体" w:hAnsi="宋体"/>
                <w:color w:val="auto"/>
                <w:kern w:val="0"/>
                <w:highlight w:val="none"/>
                <w:u w:val="single" w:color="000000"/>
              </w:rPr>
              <w:tab/>
            </w:r>
            <w:r>
              <w:rPr>
                <w:rFonts w:hint="eastAsia" w:ascii="宋体" w:hAnsi="宋体"/>
                <w:color w:val="auto"/>
                <w:kern w:val="0"/>
                <w:highlight w:val="none"/>
                <w:u w:val="single" w:color="000000"/>
              </w:rPr>
              <w:t xml:space="preserve">     （发包人全称）</w:t>
            </w:r>
          </w:p>
        </w:tc>
      </w:tr>
      <w:tr w14:paraId="4F29AC2E">
        <w:tblPrEx>
          <w:tblCellMar>
            <w:top w:w="0" w:type="dxa"/>
            <w:left w:w="0" w:type="dxa"/>
            <w:bottom w:w="0" w:type="dxa"/>
            <w:right w:w="0" w:type="dxa"/>
          </w:tblCellMar>
        </w:tblPrEx>
        <w:trPr>
          <w:trHeight w:val="631" w:hRule="atLeast"/>
          <w:jc w:val="center"/>
        </w:trPr>
        <w:tc>
          <w:tcPr>
            <w:tcW w:w="9602" w:type="dxa"/>
            <w:gridSpan w:val="4"/>
            <w:tcBorders>
              <w:top w:val="nil"/>
              <w:left w:val="single" w:color="000000" w:sz="4" w:space="0"/>
              <w:bottom w:val="nil"/>
              <w:right w:val="single" w:color="000000" w:sz="4" w:space="0"/>
            </w:tcBorders>
            <w:noWrap w:val="0"/>
            <w:vAlign w:val="top"/>
          </w:tcPr>
          <w:p w14:paraId="57B2B5C8">
            <w:pPr>
              <w:keepNext w:val="0"/>
              <w:keepLines w:val="0"/>
              <w:suppressLineNumbers w:val="0"/>
              <w:spacing w:before="0" w:beforeAutospacing="0" w:after="0" w:afterAutospacing="0" w:line="360" w:lineRule="auto"/>
              <w:ind w:left="0" w:right="0" w:firstLine="428" w:firstLineChars="200"/>
              <w:rPr>
                <w:rFonts w:hint="default" w:ascii="宋体" w:hAnsi="宋体"/>
                <w:color w:val="auto"/>
                <w:kern w:val="0"/>
                <w:highlight w:val="none"/>
              </w:rPr>
            </w:pPr>
            <w:r>
              <w:rPr>
                <w:rFonts w:hint="eastAsia" w:ascii="宋体" w:hAnsi="宋体"/>
                <w:color w:val="auto"/>
                <w:spacing w:val="2"/>
                <w:kern w:val="0"/>
                <w:highlight w:val="none"/>
              </w:rPr>
              <w:t>我方</w:t>
            </w:r>
            <w:r>
              <w:rPr>
                <w:rFonts w:hint="eastAsia" w:ascii="宋体" w:hAnsi="宋体"/>
                <w:color w:val="auto"/>
                <w:spacing w:val="-1"/>
                <w:kern w:val="0"/>
                <w:highlight w:val="none"/>
              </w:rPr>
              <w:t>于</w:t>
            </w:r>
            <w:r>
              <w:rPr>
                <w:rFonts w:hint="eastAsia" w:ascii="宋体" w:hAnsi="宋体"/>
                <w:color w:val="auto"/>
                <w:spacing w:val="-1"/>
                <w:kern w:val="0"/>
                <w:highlight w:val="none"/>
                <w:u w:val="single" w:color="000000"/>
              </w:rPr>
              <w:tab/>
            </w:r>
            <w:r>
              <w:rPr>
                <w:rFonts w:hint="eastAsia" w:ascii="宋体" w:hAnsi="宋体"/>
                <w:color w:val="auto"/>
                <w:spacing w:val="-1"/>
                <w:kern w:val="0"/>
                <w:highlight w:val="none"/>
                <w:u w:val="single" w:color="000000"/>
              </w:rPr>
              <w:t xml:space="preserve">      </w:t>
            </w:r>
            <w:r>
              <w:rPr>
                <w:rFonts w:hint="eastAsia" w:ascii="宋体" w:hAnsi="宋体"/>
                <w:color w:val="auto"/>
                <w:kern w:val="0"/>
                <w:highlight w:val="none"/>
              </w:rPr>
              <w:t>至</w:t>
            </w:r>
            <w:r>
              <w:rPr>
                <w:rFonts w:hint="eastAsia" w:ascii="宋体" w:hAnsi="宋体"/>
                <w:color w:val="auto"/>
                <w:kern w:val="0"/>
                <w:highlight w:val="none"/>
                <w:u w:val="single" w:color="000000"/>
              </w:rPr>
              <w:tab/>
            </w:r>
            <w:r>
              <w:rPr>
                <w:rFonts w:hint="eastAsia" w:ascii="宋体" w:hAnsi="宋体"/>
                <w:color w:val="auto"/>
                <w:kern w:val="0"/>
                <w:highlight w:val="none"/>
                <w:u w:val="single" w:color="000000"/>
              </w:rPr>
              <w:t xml:space="preserve">       </w:t>
            </w:r>
            <w:r>
              <w:rPr>
                <w:rFonts w:hint="eastAsia" w:ascii="宋体" w:hAnsi="宋体"/>
                <w:color w:val="auto"/>
                <w:spacing w:val="2"/>
                <w:kern w:val="0"/>
                <w:highlight w:val="none"/>
              </w:rPr>
              <w:t>期间</w:t>
            </w:r>
            <w:r>
              <w:rPr>
                <w:rFonts w:hint="eastAsia" w:ascii="宋体" w:hAnsi="宋体"/>
                <w:color w:val="auto"/>
                <w:kern w:val="0"/>
                <w:highlight w:val="none"/>
              </w:rPr>
              <w:t>已</w:t>
            </w:r>
            <w:r>
              <w:rPr>
                <w:rFonts w:hint="eastAsia" w:ascii="宋体" w:hAnsi="宋体"/>
                <w:color w:val="auto"/>
                <w:spacing w:val="2"/>
                <w:kern w:val="0"/>
                <w:highlight w:val="none"/>
              </w:rPr>
              <w:t>完</w:t>
            </w:r>
            <w:r>
              <w:rPr>
                <w:rFonts w:hint="eastAsia" w:ascii="宋体" w:hAnsi="宋体"/>
                <w:color w:val="auto"/>
                <w:kern w:val="0"/>
                <w:highlight w:val="none"/>
              </w:rPr>
              <w:t>成了缺陷修复</w:t>
            </w:r>
            <w:r>
              <w:rPr>
                <w:rFonts w:hint="eastAsia" w:ascii="宋体" w:hAnsi="宋体"/>
                <w:color w:val="auto"/>
                <w:spacing w:val="2"/>
                <w:kern w:val="0"/>
                <w:highlight w:val="none"/>
              </w:rPr>
              <w:t>工作</w:t>
            </w:r>
            <w:r>
              <w:rPr>
                <w:rFonts w:hint="eastAsia" w:ascii="宋体" w:hAnsi="宋体"/>
                <w:color w:val="auto"/>
                <w:kern w:val="0"/>
                <w:highlight w:val="none"/>
                <w:lang w:eastAsia="zh-CN"/>
              </w:rPr>
              <w:t>，</w:t>
            </w:r>
            <w:r>
              <w:rPr>
                <w:rFonts w:hint="eastAsia" w:ascii="宋体" w:hAnsi="宋体"/>
                <w:color w:val="auto"/>
                <w:spacing w:val="2"/>
                <w:kern w:val="0"/>
                <w:highlight w:val="none"/>
              </w:rPr>
              <w:t>根</w:t>
            </w:r>
            <w:r>
              <w:rPr>
                <w:rFonts w:hint="eastAsia" w:ascii="宋体" w:hAnsi="宋体"/>
                <w:color w:val="auto"/>
                <w:kern w:val="0"/>
                <w:highlight w:val="none"/>
              </w:rPr>
              <w:t>据</w:t>
            </w:r>
            <w:r>
              <w:rPr>
                <w:rFonts w:hint="eastAsia" w:ascii="宋体" w:hAnsi="宋体"/>
                <w:color w:val="auto"/>
                <w:spacing w:val="2"/>
                <w:kern w:val="0"/>
                <w:highlight w:val="none"/>
              </w:rPr>
              <w:t>施</w:t>
            </w:r>
            <w:r>
              <w:rPr>
                <w:rFonts w:hint="eastAsia" w:ascii="宋体" w:hAnsi="宋体"/>
                <w:color w:val="auto"/>
                <w:kern w:val="0"/>
                <w:highlight w:val="none"/>
              </w:rPr>
              <w:t>工</w:t>
            </w:r>
            <w:r>
              <w:rPr>
                <w:rFonts w:hint="eastAsia" w:ascii="宋体" w:hAnsi="宋体"/>
                <w:color w:val="auto"/>
                <w:spacing w:val="2"/>
                <w:kern w:val="0"/>
                <w:highlight w:val="none"/>
              </w:rPr>
              <w:t>合</w:t>
            </w:r>
            <w:r>
              <w:rPr>
                <w:rFonts w:hint="eastAsia" w:ascii="宋体" w:hAnsi="宋体"/>
                <w:color w:val="auto"/>
                <w:kern w:val="0"/>
                <w:highlight w:val="none"/>
              </w:rPr>
              <w:t>同</w:t>
            </w:r>
            <w:r>
              <w:rPr>
                <w:rFonts w:hint="eastAsia" w:ascii="宋体" w:hAnsi="宋体"/>
                <w:color w:val="auto"/>
                <w:spacing w:val="2"/>
                <w:kern w:val="0"/>
                <w:highlight w:val="none"/>
              </w:rPr>
              <w:t>的约</w:t>
            </w:r>
            <w:r>
              <w:rPr>
                <w:rFonts w:hint="eastAsia" w:ascii="宋体" w:hAnsi="宋体"/>
                <w:color w:val="auto"/>
                <w:kern w:val="0"/>
                <w:highlight w:val="none"/>
              </w:rPr>
              <w:t>定</w:t>
            </w:r>
            <w:r>
              <w:rPr>
                <w:rFonts w:hint="eastAsia" w:ascii="宋体" w:hAnsi="宋体"/>
                <w:color w:val="auto"/>
                <w:kern w:val="0"/>
                <w:highlight w:val="none"/>
                <w:lang w:eastAsia="zh-CN"/>
              </w:rPr>
              <w:t>，</w:t>
            </w:r>
            <w:r>
              <w:rPr>
                <w:rFonts w:hint="eastAsia" w:ascii="宋体" w:hAnsi="宋体"/>
                <w:color w:val="auto"/>
                <w:spacing w:val="2"/>
                <w:kern w:val="0"/>
                <w:highlight w:val="none"/>
              </w:rPr>
              <w:t>现申</w:t>
            </w:r>
            <w:r>
              <w:rPr>
                <w:rFonts w:hint="eastAsia" w:ascii="宋体" w:hAnsi="宋体"/>
                <w:color w:val="auto"/>
                <w:kern w:val="0"/>
                <w:highlight w:val="none"/>
              </w:rPr>
              <w:t>请</w:t>
            </w:r>
            <w:r>
              <w:rPr>
                <w:rFonts w:hint="eastAsia" w:ascii="宋体" w:hAnsi="宋体"/>
                <w:color w:val="auto"/>
                <w:spacing w:val="2"/>
                <w:kern w:val="0"/>
                <w:highlight w:val="none"/>
              </w:rPr>
              <w:t>支</w:t>
            </w:r>
            <w:r>
              <w:rPr>
                <w:rFonts w:hint="eastAsia" w:ascii="宋体" w:hAnsi="宋体"/>
                <w:color w:val="auto"/>
                <w:kern w:val="0"/>
                <w:highlight w:val="none"/>
              </w:rPr>
              <w:t>付工程保修结算</w:t>
            </w:r>
            <w:r>
              <w:rPr>
                <w:rFonts w:hint="eastAsia" w:ascii="宋体" w:hAnsi="宋体"/>
                <w:color w:val="auto"/>
                <w:spacing w:val="2"/>
                <w:kern w:val="0"/>
                <w:highlight w:val="none"/>
              </w:rPr>
              <w:t>的</w:t>
            </w:r>
            <w:r>
              <w:rPr>
                <w:rFonts w:hint="eastAsia" w:ascii="宋体" w:hAnsi="宋体"/>
                <w:color w:val="auto"/>
                <w:kern w:val="0"/>
                <w:highlight w:val="none"/>
              </w:rPr>
              <w:t>合同款额为（大写）</w:t>
            </w:r>
            <w:r>
              <w:rPr>
                <w:rFonts w:hint="eastAsia" w:ascii="宋体" w:hAnsi="宋体"/>
                <w:color w:val="auto"/>
                <w:kern w:val="0"/>
                <w:highlight w:val="none"/>
                <w:u w:val="single" w:color="000000"/>
              </w:rPr>
              <w:tab/>
            </w:r>
            <w:r>
              <w:rPr>
                <w:rFonts w:hint="eastAsia" w:ascii="宋体" w:hAnsi="宋体"/>
                <w:color w:val="auto"/>
                <w:kern w:val="0"/>
                <w:highlight w:val="none"/>
                <w:u w:val="single" w:color="000000"/>
              </w:rPr>
              <w:t xml:space="preserve">         </w:t>
            </w:r>
            <w:r>
              <w:rPr>
                <w:rFonts w:hint="eastAsia" w:ascii="宋体" w:hAnsi="宋体"/>
                <w:color w:val="auto"/>
                <w:kern w:val="0"/>
                <w:highlight w:val="none"/>
              </w:rPr>
              <w:t>（小写</w:t>
            </w:r>
            <w:r>
              <w:rPr>
                <w:rFonts w:hint="eastAsia" w:ascii="宋体" w:hAnsi="宋体"/>
                <w:color w:val="auto"/>
                <w:kern w:val="0"/>
                <w:highlight w:val="none"/>
                <w:u w:val="single"/>
              </w:rPr>
              <w:t xml:space="preserve">           </w:t>
            </w:r>
            <w:r>
              <w:rPr>
                <w:rFonts w:hint="eastAsia" w:ascii="宋体" w:hAnsi="宋体"/>
                <w:color w:val="auto"/>
                <w:kern w:val="0"/>
                <w:highlight w:val="none"/>
              </w:rPr>
              <w:t>）</w:t>
            </w:r>
            <w:r>
              <w:rPr>
                <w:rFonts w:hint="eastAsia" w:ascii="宋体" w:hAnsi="宋体"/>
                <w:color w:val="auto"/>
                <w:kern w:val="0"/>
                <w:highlight w:val="none"/>
                <w:lang w:eastAsia="zh-CN"/>
              </w:rPr>
              <w:t>，</w:t>
            </w:r>
            <w:r>
              <w:rPr>
                <w:rFonts w:hint="eastAsia" w:ascii="宋体" w:hAnsi="宋体"/>
                <w:color w:val="auto"/>
                <w:kern w:val="0"/>
                <w:highlight w:val="none"/>
              </w:rPr>
              <w:t>请予核准。</w:t>
            </w:r>
          </w:p>
        </w:tc>
      </w:tr>
      <w:tr w14:paraId="38EC4C16">
        <w:tblPrEx>
          <w:tblCellMar>
            <w:top w:w="0" w:type="dxa"/>
            <w:left w:w="0" w:type="dxa"/>
            <w:bottom w:w="0" w:type="dxa"/>
            <w:right w:w="0" w:type="dxa"/>
          </w:tblCellMar>
        </w:tblPrEx>
        <w:trPr>
          <w:trHeight w:val="3352" w:hRule="atLeast"/>
          <w:jc w:val="center"/>
        </w:trPr>
        <w:tc>
          <w:tcPr>
            <w:tcW w:w="9602" w:type="dxa"/>
            <w:gridSpan w:val="4"/>
            <w:tcBorders>
              <w:top w:val="nil"/>
              <w:left w:val="single" w:color="000000" w:sz="4" w:space="0"/>
              <w:bottom w:val="nil"/>
              <w:right w:val="single" w:color="000000" w:sz="4" w:space="0"/>
            </w:tcBorders>
            <w:noWrap w:val="0"/>
            <w:vAlign w:val="top"/>
          </w:tcPr>
          <w:p w14:paraId="3D4CFBD6">
            <w:pPr>
              <w:keepNext w:val="0"/>
              <w:keepLines w:val="0"/>
              <w:suppressLineNumbers w:val="0"/>
              <w:spacing w:before="0" w:beforeAutospacing="0" w:after="0" w:afterAutospacing="0" w:line="360" w:lineRule="auto"/>
              <w:ind w:left="0" w:right="0"/>
              <w:rPr>
                <w:rFonts w:hint="default" w:ascii="宋体" w:hAnsi="宋体"/>
                <w:color w:val="auto"/>
                <w:kern w:val="0"/>
                <w:highlight w:val="none"/>
              </w:rPr>
            </w:pPr>
          </w:p>
          <w:p w14:paraId="78378E6A">
            <w:pPr>
              <w:keepNext w:val="0"/>
              <w:keepLines w:val="0"/>
              <w:suppressLineNumbers w:val="0"/>
              <w:spacing w:before="0" w:beforeAutospacing="0" w:after="120" w:afterAutospacing="0" w:line="360" w:lineRule="auto"/>
              <w:ind w:left="0" w:right="0"/>
              <w:rPr>
                <w:rFonts w:hint="default"/>
                <w:color w:val="auto"/>
                <w:highlight w:val="none"/>
              </w:rPr>
            </w:pPr>
          </w:p>
          <w:tbl>
            <w:tblPr>
              <w:tblStyle w:val="22"/>
              <w:tblW w:w="863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336"/>
              <w:gridCol w:w="3060"/>
              <w:gridCol w:w="1676"/>
              <w:gridCol w:w="1676"/>
              <w:gridCol w:w="890"/>
            </w:tblGrid>
            <w:tr w14:paraId="76B071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90"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11DCC8B0">
                  <w:pPr>
                    <w:keepNext w:val="0"/>
                    <w:keepLines w:val="0"/>
                    <w:suppressLineNumbers w:val="0"/>
                    <w:spacing w:before="0" w:beforeAutospacing="0" w:after="0" w:afterAutospacing="0" w:line="360" w:lineRule="auto"/>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序号</w:t>
                  </w:r>
                </w:p>
              </w:tc>
              <w:tc>
                <w:tcPr>
                  <w:tcW w:w="3060" w:type="dxa"/>
                  <w:tcBorders>
                    <w:top w:val="single" w:color="000000" w:sz="6" w:space="0"/>
                    <w:left w:val="nil"/>
                    <w:bottom w:val="single" w:color="000000" w:sz="6" w:space="0"/>
                    <w:right w:val="single" w:color="000000" w:sz="6" w:space="0"/>
                  </w:tcBorders>
                  <w:noWrap w:val="0"/>
                  <w:vAlign w:val="center"/>
                </w:tcPr>
                <w:p w14:paraId="50AF891C">
                  <w:pPr>
                    <w:keepNext w:val="0"/>
                    <w:keepLines w:val="0"/>
                    <w:suppressLineNumbers w:val="0"/>
                    <w:spacing w:before="0" w:beforeAutospacing="0" w:after="0" w:afterAutospacing="0" w:line="360" w:lineRule="auto"/>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名称</w:t>
                  </w:r>
                </w:p>
              </w:tc>
              <w:tc>
                <w:tcPr>
                  <w:tcW w:w="1676" w:type="dxa"/>
                  <w:tcBorders>
                    <w:top w:val="single" w:color="000000" w:sz="6" w:space="0"/>
                    <w:left w:val="nil"/>
                    <w:bottom w:val="single" w:color="000000" w:sz="6" w:space="0"/>
                    <w:right w:val="single" w:color="000000" w:sz="6" w:space="0"/>
                  </w:tcBorders>
                  <w:noWrap w:val="0"/>
                  <w:vAlign w:val="center"/>
                </w:tcPr>
                <w:p w14:paraId="3CBEB7B6">
                  <w:pPr>
                    <w:keepNext w:val="0"/>
                    <w:keepLines w:val="0"/>
                    <w:suppressLineNumbers w:val="0"/>
                    <w:spacing w:before="0" w:beforeAutospacing="0" w:after="0" w:afterAutospacing="0" w:line="360" w:lineRule="auto"/>
                    <w:ind w:left="0" w:right="0"/>
                    <w:jc w:val="center"/>
                    <w:rPr>
                      <w:rFonts w:hint="eastAsia" w:ascii="宋体" w:hAnsi="宋体" w:eastAsia="宋体"/>
                      <w:color w:val="auto"/>
                      <w:kern w:val="0"/>
                      <w:sz w:val="21"/>
                      <w:szCs w:val="21"/>
                      <w:highlight w:val="none"/>
                      <w:lang w:eastAsia="zh-CN"/>
                    </w:rPr>
                  </w:pPr>
                  <w:r>
                    <w:rPr>
                      <w:rFonts w:hint="eastAsia" w:ascii="宋体" w:hAnsi="宋体"/>
                      <w:color w:val="auto"/>
                      <w:kern w:val="0"/>
                      <w:sz w:val="21"/>
                      <w:szCs w:val="21"/>
                      <w:highlight w:val="none"/>
                    </w:rPr>
                    <w:t>申请金额</w:t>
                  </w:r>
                  <w:r>
                    <w:rPr>
                      <w:rFonts w:hint="eastAsia" w:ascii="宋体" w:hAnsi="宋体"/>
                      <w:color w:val="auto"/>
                      <w:kern w:val="0"/>
                      <w:sz w:val="21"/>
                      <w:szCs w:val="21"/>
                      <w:highlight w:val="none"/>
                      <w:lang w:eastAsia="zh-CN"/>
                    </w:rPr>
                    <w:t>（</w:t>
                  </w:r>
                  <w:r>
                    <w:rPr>
                      <w:rFonts w:hint="eastAsia" w:ascii="宋体" w:hAnsi="宋体"/>
                      <w:color w:val="auto"/>
                      <w:kern w:val="0"/>
                      <w:sz w:val="21"/>
                      <w:szCs w:val="21"/>
                      <w:highlight w:val="none"/>
                    </w:rPr>
                    <w:t>元</w:t>
                  </w:r>
                  <w:r>
                    <w:rPr>
                      <w:rFonts w:hint="eastAsia" w:ascii="宋体" w:hAnsi="宋体"/>
                      <w:color w:val="auto"/>
                      <w:kern w:val="0"/>
                      <w:sz w:val="21"/>
                      <w:szCs w:val="21"/>
                      <w:highlight w:val="none"/>
                      <w:lang w:eastAsia="zh-CN"/>
                    </w:rPr>
                    <w:t>）</w:t>
                  </w:r>
                </w:p>
              </w:tc>
              <w:tc>
                <w:tcPr>
                  <w:tcW w:w="1676" w:type="dxa"/>
                  <w:tcBorders>
                    <w:top w:val="single" w:color="000000" w:sz="6" w:space="0"/>
                    <w:left w:val="nil"/>
                    <w:bottom w:val="single" w:color="000000" w:sz="6" w:space="0"/>
                    <w:right w:val="single" w:color="000000" w:sz="6" w:space="0"/>
                  </w:tcBorders>
                  <w:noWrap w:val="0"/>
                  <w:vAlign w:val="center"/>
                </w:tcPr>
                <w:p w14:paraId="4B769AF4">
                  <w:pPr>
                    <w:keepNext w:val="0"/>
                    <w:keepLines w:val="0"/>
                    <w:suppressLineNumbers w:val="0"/>
                    <w:spacing w:before="0" w:beforeAutospacing="0" w:after="0" w:afterAutospacing="0" w:line="360" w:lineRule="auto"/>
                    <w:ind w:left="0" w:right="0"/>
                    <w:jc w:val="center"/>
                    <w:rPr>
                      <w:rFonts w:hint="eastAsia" w:ascii="宋体" w:hAnsi="宋体" w:eastAsia="宋体"/>
                      <w:color w:val="auto"/>
                      <w:kern w:val="0"/>
                      <w:sz w:val="21"/>
                      <w:szCs w:val="21"/>
                      <w:highlight w:val="none"/>
                      <w:lang w:eastAsia="zh-CN"/>
                    </w:rPr>
                  </w:pPr>
                  <w:r>
                    <w:rPr>
                      <w:rFonts w:hint="eastAsia" w:ascii="宋体" w:hAnsi="宋体"/>
                      <w:color w:val="auto"/>
                      <w:kern w:val="0"/>
                      <w:sz w:val="21"/>
                      <w:szCs w:val="21"/>
                      <w:highlight w:val="none"/>
                    </w:rPr>
                    <w:t>复核金额</w:t>
                  </w:r>
                  <w:r>
                    <w:rPr>
                      <w:rFonts w:hint="eastAsia" w:ascii="宋体" w:hAnsi="宋体"/>
                      <w:color w:val="auto"/>
                      <w:kern w:val="0"/>
                      <w:sz w:val="21"/>
                      <w:szCs w:val="21"/>
                      <w:highlight w:val="none"/>
                      <w:lang w:eastAsia="zh-CN"/>
                    </w:rPr>
                    <w:t>（</w:t>
                  </w:r>
                  <w:r>
                    <w:rPr>
                      <w:rFonts w:hint="eastAsia" w:ascii="宋体" w:hAnsi="宋体"/>
                      <w:color w:val="auto"/>
                      <w:kern w:val="0"/>
                      <w:sz w:val="21"/>
                      <w:szCs w:val="21"/>
                      <w:highlight w:val="none"/>
                    </w:rPr>
                    <w:t>元</w:t>
                  </w:r>
                  <w:r>
                    <w:rPr>
                      <w:rFonts w:hint="eastAsia" w:ascii="宋体" w:hAnsi="宋体"/>
                      <w:color w:val="auto"/>
                      <w:kern w:val="0"/>
                      <w:sz w:val="21"/>
                      <w:szCs w:val="21"/>
                      <w:highlight w:val="none"/>
                      <w:lang w:eastAsia="zh-CN"/>
                    </w:rPr>
                    <w:t>）</w:t>
                  </w:r>
                </w:p>
              </w:tc>
              <w:tc>
                <w:tcPr>
                  <w:tcW w:w="890" w:type="dxa"/>
                  <w:tcBorders>
                    <w:top w:val="single" w:color="000000" w:sz="6" w:space="0"/>
                    <w:left w:val="nil"/>
                    <w:bottom w:val="single" w:color="000000" w:sz="6" w:space="0"/>
                    <w:right w:val="single" w:color="000000" w:sz="6" w:space="0"/>
                  </w:tcBorders>
                  <w:noWrap w:val="0"/>
                  <w:vAlign w:val="center"/>
                </w:tcPr>
                <w:p w14:paraId="5420D118">
                  <w:pPr>
                    <w:keepNext w:val="0"/>
                    <w:keepLines w:val="0"/>
                    <w:suppressLineNumbers w:val="0"/>
                    <w:spacing w:before="0" w:beforeAutospacing="0" w:after="0" w:afterAutospacing="0" w:line="360" w:lineRule="auto"/>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备注</w:t>
                  </w:r>
                </w:p>
              </w:tc>
            </w:tr>
            <w:tr w14:paraId="49E4AD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7"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1438A75D">
                  <w:pPr>
                    <w:keepNext w:val="0"/>
                    <w:keepLines w:val="0"/>
                    <w:suppressLineNumbers w:val="0"/>
                    <w:spacing w:before="0" w:beforeAutospacing="0" w:after="0" w:afterAutospacing="0" w:line="360" w:lineRule="auto"/>
                    <w:ind w:left="0" w:right="0"/>
                    <w:jc w:val="both"/>
                    <w:rPr>
                      <w:rFonts w:hint="default" w:ascii="宋体" w:hAnsi="宋体"/>
                      <w:color w:val="auto"/>
                      <w:kern w:val="0"/>
                      <w:sz w:val="21"/>
                      <w:szCs w:val="21"/>
                      <w:highlight w:val="none"/>
                    </w:rPr>
                  </w:pPr>
                  <w:r>
                    <w:rPr>
                      <w:rFonts w:hint="eastAsia" w:ascii="宋体" w:hAnsi="宋体"/>
                      <w:color w:val="auto"/>
                      <w:kern w:val="0"/>
                      <w:sz w:val="21"/>
                      <w:szCs w:val="21"/>
                      <w:highlight w:val="none"/>
                    </w:rPr>
                    <w:t>1</w:t>
                  </w:r>
                </w:p>
              </w:tc>
              <w:tc>
                <w:tcPr>
                  <w:tcW w:w="3060" w:type="dxa"/>
                  <w:tcBorders>
                    <w:top w:val="single" w:color="000000" w:sz="6" w:space="0"/>
                    <w:left w:val="nil"/>
                    <w:bottom w:val="single" w:color="000000" w:sz="6" w:space="0"/>
                    <w:right w:val="single" w:color="000000" w:sz="6" w:space="0"/>
                  </w:tcBorders>
                  <w:noWrap w:val="0"/>
                  <w:vAlign w:val="center"/>
                </w:tcPr>
                <w:p w14:paraId="2C0F7136">
                  <w:pPr>
                    <w:keepNext w:val="0"/>
                    <w:keepLines w:val="0"/>
                    <w:suppressLineNumbers w:val="0"/>
                    <w:spacing w:before="0" w:beforeAutospacing="0" w:after="0" w:afterAutospacing="0" w:line="360" w:lineRule="auto"/>
                    <w:ind w:left="0" w:right="0"/>
                    <w:rPr>
                      <w:rFonts w:hint="default" w:ascii="宋体" w:hAnsi="宋体"/>
                      <w:color w:val="auto"/>
                      <w:kern w:val="0"/>
                      <w:sz w:val="21"/>
                      <w:szCs w:val="21"/>
                      <w:highlight w:val="none"/>
                    </w:rPr>
                  </w:pPr>
                  <w:r>
                    <w:rPr>
                      <w:rFonts w:hint="eastAsia" w:ascii="宋体" w:hAnsi="宋体"/>
                      <w:color w:val="auto"/>
                      <w:kern w:val="0"/>
                      <w:sz w:val="21"/>
                      <w:szCs w:val="21"/>
                      <w:highlight w:val="none"/>
                    </w:rPr>
                    <w:t>已预留的质量保证金</w:t>
                  </w:r>
                </w:p>
              </w:tc>
              <w:tc>
                <w:tcPr>
                  <w:tcW w:w="1676" w:type="dxa"/>
                  <w:tcBorders>
                    <w:top w:val="single" w:color="000000" w:sz="6" w:space="0"/>
                    <w:left w:val="nil"/>
                    <w:bottom w:val="single" w:color="000000" w:sz="6" w:space="0"/>
                    <w:right w:val="single" w:color="000000" w:sz="6" w:space="0"/>
                  </w:tcBorders>
                  <w:noWrap w:val="0"/>
                  <w:vAlign w:val="center"/>
                </w:tcPr>
                <w:p w14:paraId="1032832A">
                  <w:pPr>
                    <w:keepNext w:val="0"/>
                    <w:keepLines w:val="0"/>
                    <w:suppressLineNumbers w:val="0"/>
                    <w:spacing w:before="0" w:beforeAutospacing="0" w:after="0" w:afterAutospacing="0" w:line="360" w:lineRule="auto"/>
                    <w:ind w:left="0" w:right="0"/>
                    <w:jc w:val="center"/>
                    <w:rPr>
                      <w:rFonts w:hint="default" w:ascii="宋体" w:hAnsi="宋体"/>
                      <w:color w:val="auto"/>
                      <w:kern w:val="0"/>
                      <w:sz w:val="21"/>
                      <w:szCs w:val="21"/>
                      <w:highlight w:val="none"/>
                    </w:rPr>
                  </w:pPr>
                </w:p>
              </w:tc>
              <w:tc>
                <w:tcPr>
                  <w:tcW w:w="1676" w:type="dxa"/>
                  <w:tcBorders>
                    <w:top w:val="single" w:color="000000" w:sz="6" w:space="0"/>
                    <w:left w:val="nil"/>
                    <w:bottom w:val="single" w:color="000000" w:sz="6" w:space="0"/>
                    <w:right w:val="single" w:color="000000" w:sz="6" w:space="0"/>
                  </w:tcBorders>
                  <w:noWrap w:val="0"/>
                  <w:vAlign w:val="center"/>
                </w:tcPr>
                <w:p w14:paraId="6818A480">
                  <w:pPr>
                    <w:keepNext w:val="0"/>
                    <w:keepLines w:val="0"/>
                    <w:suppressLineNumbers w:val="0"/>
                    <w:spacing w:before="0" w:beforeAutospacing="0" w:after="0" w:afterAutospacing="0" w:line="360" w:lineRule="auto"/>
                    <w:ind w:left="0" w:right="0"/>
                    <w:jc w:val="center"/>
                    <w:rPr>
                      <w:rFonts w:hint="default" w:ascii="宋体" w:hAnsi="宋体"/>
                      <w:color w:val="auto"/>
                      <w:kern w:val="0"/>
                      <w:sz w:val="21"/>
                      <w:szCs w:val="21"/>
                      <w:highlight w:val="none"/>
                    </w:rPr>
                  </w:pPr>
                </w:p>
              </w:tc>
              <w:tc>
                <w:tcPr>
                  <w:tcW w:w="890" w:type="dxa"/>
                  <w:tcBorders>
                    <w:top w:val="single" w:color="000000" w:sz="6" w:space="0"/>
                    <w:left w:val="nil"/>
                    <w:bottom w:val="single" w:color="000000" w:sz="6" w:space="0"/>
                    <w:right w:val="single" w:color="000000" w:sz="6" w:space="0"/>
                  </w:tcBorders>
                  <w:noWrap w:val="0"/>
                  <w:vAlign w:val="center"/>
                </w:tcPr>
                <w:p w14:paraId="6FF9DD62">
                  <w:pPr>
                    <w:keepNext w:val="0"/>
                    <w:keepLines w:val="0"/>
                    <w:suppressLineNumbers w:val="0"/>
                    <w:spacing w:before="0" w:beforeAutospacing="0" w:after="0" w:afterAutospacing="0" w:line="360" w:lineRule="auto"/>
                    <w:ind w:left="0" w:right="0"/>
                    <w:jc w:val="center"/>
                    <w:rPr>
                      <w:rFonts w:hint="default" w:ascii="宋体" w:hAnsi="宋体"/>
                      <w:color w:val="auto"/>
                      <w:kern w:val="0"/>
                      <w:sz w:val="21"/>
                      <w:szCs w:val="21"/>
                      <w:highlight w:val="none"/>
                    </w:rPr>
                  </w:pPr>
                </w:p>
              </w:tc>
            </w:tr>
            <w:tr w14:paraId="5A9726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8"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36CFD424">
                  <w:pPr>
                    <w:keepNext w:val="0"/>
                    <w:keepLines w:val="0"/>
                    <w:suppressLineNumbers w:val="0"/>
                    <w:spacing w:before="0" w:beforeAutospacing="0" w:after="0" w:afterAutospacing="0" w:line="360" w:lineRule="auto"/>
                    <w:ind w:left="0" w:right="0"/>
                    <w:jc w:val="both"/>
                    <w:rPr>
                      <w:rFonts w:hint="default" w:ascii="宋体" w:hAnsi="宋体"/>
                      <w:color w:val="auto"/>
                      <w:kern w:val="0"/>
                      <w:sz w:val="21"/>
                      <w:szCs w:val="21"/>
                      <w:highlight w:val="none"/>
                    </w:rPr>
                  </w:pPr>
                  <w:r>
                    <w:rPr>
                      <w:rFonts w:hint="eastAsia" w:ascii="宋体" w:hAnsi="宋体"/>
                      <w:color w:val="auto"/>
                      <w:kern w:val="0"/>
                      <w:sz w:val="21"/>
                      <w:szCs w:val="21"/>
                      <w:highlight w:val="none"/>
                    </w:rPr>
                    <w:t>2</w:t>
                  </w:r>
                </w:p>
              </w:tc>
              <w:tc>
                <w:tcPr>
                  <w:tcW w:w="3060" w:type="dxa"/>
                  <w:tcBorders>
                    <w:top w:val="single" w:color="000000" w:sz="6" w:space="0"/>
                    <w:left w:val="nil"/>
                    <w:bottom w:val="single" w:color="000000" w:sz="6" w:space="0"/>
                    <w:right w:val="single" w:color="000000" w:sz="6" w:space="0"/>
                  </w:tcBorders>
                  <w:noWrap w:val="0"/>
                  <w:vAlign w:val="center"/>
                </w:tcPr>
                <w:p w14:paraId="410654D7">
                  <w:pPr>
                    <w:keepNext w:val="0"/>
                    <w:keepLines w:val="0"/>
                    <w:suppressLineNumbers w:val="0"/>
                    <w:spacing w:before="0" w:beforeAutospacing="0" w:after="0" w:afterAutospacing="0" w:line="360" w:lineRule="auto"/>
                    <w:ind w:left="0" w:right="0"/>
                    <w:rPr>
                      <w:rFonts w:hint="default" w:ascii="宋体" w:hAnsi="宋体"/>
                      <w:color w:val="auto"/>
                      <w:kern w:val="0"/>
                      <w:sz w:val="21"/>
                      <w:szCs w:val="21"/>
                      <w:highlight w:val="none"/>
                    </w:rPr>
                  </w:pPr>
                  <w:r>
                    <w:rPr>
                      <w:rFonts w:hint="eastAsia" w:ascii="宋体" w:hAnsi="宋体"/>
                      <w:color w:val="auto"/>
                      <w:kern w:val="0"/>
                      <w:sz w:val="21"/>
                      <w:szCs w:val="21"/>
                      <w:highlight w:val="none"/>
                    </w:rPr>
                    <w:t>应增加因发包人原因造成缺陷的修复金额</w:t>
                  </w:r>
                </w:p>
              </w:tc>
              <w:tc>
                <w:tcPr>
                  <w:tcW w:w="1676" w:type="dxa"/>
                  <w:tcBorders>
                    <w:top w:val="single" w:color="000000" w:sz="6" w:space="0"/>
                    <w:left w:val="nil"/>
                    <w:bottom w:val="single" w:color="000000" w:sz="6" w:space="0"/>
                    <w:right w:val="single" w:color="000000" w:sz="6" w:space="0"/>
                  </w:tcBorders>
                  <w:noWrap w:val="0"/>
                  <w:vAlign w:val="center"/>
                </w:tcPr>
                <w:p w14:paraId="278C77BB">
                  <w:pPr>
                    <w:keepNext w:val="0"/>
                    <w:keepLines w:val="0"/>
                    <w:suppressLineNumbers w:val="0"/>
                    <w:spacing w:before="0" w:beforeAutospacing="0" w:after="0" w:afterAutospacing="0" w:line="360" w:lineRule="auto"/>
                    <w:ind w:left="0" w:right="0"/>
                    <w:jc w:val="center"/>
                    <w:rPr>
                      <w:rFonts w:hint="default" w:ascii="宋体" w:hAnsi="宋体"/>
                      <w:color w:val="auto"/>
                      <w:kern w:val="0"/>
                      <w:sz w:val="21"/>
                      <w:szCs w:val="21"/>
                      <w:highlight w:val="none"/>
                    </w:rPr>
                  </w:pPr>
                </w:p>
              </w:tc>
              <w:tc>
                <w:tcPr>
                  <w:tcW w:w="1676" w:type="dxa"/>
                  <w:tcBorders>
                    <w:top w:val="single" w:color="000000" w:sz="6" w:space="0"/>
                    <w:left w:val="nil"/>
                    <w:bottom w:val="single" w:color="000000" w:sz="6" w:space="0"/>
                    <w:right w:val="single" w:color="000000" w:sz="6" w:space="0"/>
                  </w:tcBorders>
                  <w:noWrap w:val="0"/>
                  <w:vAlign w:val="center"/>
                </w:tcPr>
                <w:p w14:paraId="12D5DB9B">
                  <w:pPr>
                    <w:keepNext w:val="0"/>
                    <w:keepLines w:val="0"/>
                    <w:suppressLineNumbers w:val="0"/>
                    <w:spacing w:before="0" w:beforeAutospacing="0" w:after="0" w:afterAutospacing="0" w:line="360" w:lineRule="auto"/>
                    <w:ind w:left="0" w:right="0"/>
                    <w:jc w:val="center"/>
                    <w:rPr>
                      <w:rFonts w:hint="default" w:ascii="宋体" w:hAnsi="宋体"/>
                      <w:color w:val="auto"/>
                      <w:kern w:val="0"/>
                      <w:sz w:val="21"/>
                      <w:szCs w:val="21"/>
                      <w:highlight w:val="none"/>
                    </w:rPr>
                  </w:pPr>
                </w:p>
              </w:tc>
              <w:tc>
                <w:tcPr>
                  <w:tcW w:w="890" w:type="dxa"/>
                  <w:tcBorders>
                    <w:top w:val="single" w:color="000000" w:sz="6" w:space="0"/>
                    <w:left w:val="nil"/>
                    <w:bottom w:val="single" w:color="000000" w:sz="6" w:space="0"/>
                    <w:right w:val="single" w:color="000000" w:sz="6" w:space="0"/>
                  </w:tcBorders>
                  <w:noWrap w:val="0"/>
                  <w:vAlign w:val="center"/>
                </w:tcPr>
                <w:p w14:paraId="14A4CCB1">
                  <w:pPr>
                    <w:keepNext w:val="0"/>
                    <w:keepLines w:val="0"/>
                    <w:suppressLineNumbers w:val="0"/>
                    <w:spacing w:before="0" w:beforeAutospacing="0" w:after="0" w:afterAutospacing="0" w:line="360" w:lineRule="auto"/>
                    <w:ind w:left="0" w:right="0"/>
                    <w:jc w:val="center"/>
                    <w:rPr>
                      <w:rFonts w:hint="default" w:ascii="宋体" w:hAnsi="宋体"/>
                      <w:color w:val="auto"/>
                      <w:kern w:val="0"/>
                      <w:sz w:val="21"/>
                      <w:szCs w:val="21"/>
                      <w:highlight w:val="none"/>
                    </w:rPr>
                  </w:pPr>
                </w:p>
              </w:tc>
            </w:tr>
            <w:tr w14:paraId="08E084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3"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04055709">
                  <w:pPr>
                    <w:keepNext w:val="0"/>
                    <w:keepLines w:val="0"/>
                    <w:suppressLineNumbers w:val="0"/>
                    <w:spacing w:before="0" w:beforeAutospacing="0" w:after="0" w:afterAutospacing="0" w:line="360" w:lineRule="auto"/>
                    <w:ind w:left="0" w:right="0"/>
                    <w:jc w:val="both"/>
                    <w:rPr>
                      <w:rFonts w:hint="default" w:ascii="宋体" w:hAnsi="宋体"/>
                      <w:color w:val="auto"/>
                      <w:kern w:val="0"/>
                      <w:sz w:val="21"/>
                      <w:szCs w:val="21"/>
                      <w:highlight w:val="none"/>
                    </w:rPr>
                  </w:pPr>
                  <w:r>
                    <w:rPr>
                      <w:rFonts w:hint="eastAsia" w:ascii="宋体" w:hAnsi="宋体"/>
                      <w:color w:val="auto"/>
                      <w:kern w:val="0"/>
                      <w:sz w:val="21"/>
                      <w:szCs w:val="21"/>
                      <w:highlight w:val="none"/>
                    </w:rPr>
                    <w:t>3</w:t>
                  </w:r>
                </w:p>
              </w:tc>
              <w:tc>
                <w:tcPr>
                  <w:tcW w:w="3060" w:type="dxa"/>
                  <w:tcBorders>
                    <w:top w:val="single" w:color="000000" w:sz="6" w:space="0"/>
                    <w:left w:val="nil"/>
                    <w:bottom w:val="single" w:color="000000" w:sz="6" w:space="0"/>
                    <w:right w:val="single" w:color="000000" w:sz="6" w:space="0"/>
                  </w:tcBorders>
                  <w:noWrap w:val="0"/>
                  <w:vAlign w:val="center"/>
                </w:tcPr>
                <w:p w14:paraId="4DDB1DCE">
                  <w:pPr>
                    <w:keepNext w:val="0"/>
                    <w:keepLines w:val="0"/>
                    <w:suppressLineNumbers w:val="0"/>
                    <w:spacing w:before="0" w:beforeAutospacing="0" w:after="0" w:afterAutospacing="0" w:line="360" w:lineRule="auto"/>
                    <w:ind w:left="0" w:right="0"/>
                    <w:rPr>
                      <w:rFonts w:hint="default" w:ascii="宋体" w:hAnsi="宋体"/>
                      <w:color w:val="auto"/>
                      <w:kern w:val="0"/>
                      <w:sz w:val="21"/>
                      <w:szCs w:val="21"/>
                      <w:highlight w:val="none"/>
                    </w:rPr>
                  </w:pPr>
                  <w:r>
                    <w:rPr>
                      <w:rFonts w:hint="eastAsia" w:ascii="宋体" w:hAnsi="宋体"/>
                      <w:color w:val="auto"/>
                      <w:kern w:val="0"/>
                      <w:sz w:val="21"/>
                      <w:szCs w:val="21"/>
                      <w:highlight w:val="none"/>
                    </w:rPr>
                    <w:t>应扣减承包人不修复缺陷、发包人组织修复的金额</w:t>
                  </w:r>
                </w:p>
              </w:tc>
              <w:tc>
                <w:tcPr>
                  <w:tcW w:w="1676" w:type="dxa"/>
                  <w:tcBorders>
                    <w:top w:val="single" w:color="000000" w:sz="6" w:space="0"/>
                    <w:left w:val="nil"/>
                    <w:bottom w:val="single" w:color="000000" w:sz="6" w:space="0"/>
                    <w:right w:val="single" w:color="000000" w:sz="6" w:space="0"/>
                  </w:tcBorders>
                  <w:noWrap w:val="0"/>
                  <w:vAlign w:val="center"/>
                </w:tcPr>
                <w:p w14:paraId="1A8661BB">
                  <w:pPr>
                    <w:keepNext w:val="0"/>
                    <w:keepLines w:val="0"/>
                    <w:suppressLineNumbers w:val="0"/>
                    <w:spacing w:before="0" w:beforeAutospacing="0" w:after="0" w:afterAutospacing="0" w:line="360" w:lineRule="auto"/>
                    <w:ind w:left="0" w:right="0"/>
                    <w:jc w:val="center"/>
                    <w:rPr>
                      <w:rFonts w:hint="default" w:ascii="宋体" w:hAnsi="宋体"/>
                      <w:color w:val="auto"/>
                      <w:kern w:val="0"/>
                      <w:sz w:val="21"/>
                      <w:szCs w:val="21"/>
                      <w:highlight w:val="none"/>
                    </w:rPr>
                  </w:pPr>
                </w:p>
              </w:tc>
              <w:tc>
                <w:tcPr>
                  <w:tcW w:w="1676" w:type="dxa"/>
                  <w:tcBorders>
                    <w:top w:val="single" w:color="000000" w:sz="6" w:space="0"/>
                    <w:left w:val="nil"/>
                    <w:bottom w:val="single" w:color="000000" w:sz="6" w:space="0"/>
                    <w:right w:val="single" w:color="000000" w:sz="6" w:space="0"/>
                  </w:tcBorders>
                  <w:noWrap w:val="0"/>
                  <w:vAlign w:val="center"/>
                </w:tcPr>
                <w:p w14:paraId="4D9044D5">
                  <w:pPr>
                    <w:keepNext w:val="0"/>
                    <w:keepLines w:val="0"/>
                    <w:suppressLineNumbers w:val="0"/>
                    <w:spacing w:before="0" w:beforeAutospacing="0" w:after="0" w:afterAutospacing="0" w:line="360" w:lineRule="auto"/>
                    <w:ind w:left="0" w:right="0"/>
                    <w:jc w:val="center"/>
                    <w:rPr>
                      <w:rFonts w:hint="default" w:ascii="宋体" w:hAnsi="宋体"/>
                      <w:color w:val="auto"/>
                      <w:kern w:val="0"/>
                      <w:sz w:val="21"/>
                      <w:szCs w:val="21"/>
                      <w:highlight w:val="none"/>
                    </w:rPr>
                  </w:pPr>
                </w:p>
              </w:tc>
              <w:tc>
                <w:tcPr>
                  <w:tcW w:w="890" w:type="dxa"/>
                  <w:tcBorders>
                    <w:top w:val="single" w:color="000000" w:sz="6" w:space="0"/>
                    <w:left w:val="nil"/>
                    <w:bottom w:val="single" w:color="000000" w:sz="6" w:space="0"/>
                    <w:right w:val="single" w:color="000000" w:sz="6" w:space="0"/>
                  </w:tcBorders>
                  <w:noWrap w:val="0"/>
                  <w:vAlign w:val="center"/>
                </w:tcPr>
                <w:p w14:paraId="6356ABD6">
                  <w:pPr>
                    <w:keepNext w:val="0"/>
                    <w:keepLines w:val="0"/>
                    <w:suppressLineNumbers w:val="0"/>
                    <w:spacing w:before="0" w:beforeAutospacing="0" w:after="0" w:afterAutospacing="0" w:line="360" w:lineRule="auto"/>
                    <w:ind w:left="0" w:right="0"/>
                    <w:jc w:val="center"/>
                    <w:rPr>
                      <w:rFonts w:hint="default" w:ascii="宋体" w:hAnsi="宋体"/>
                      <w:color w:val="auto"/>
                      <w:kern w:val="0"/>
                      <w:sz w:val="21"/>
                      <w:szCs w:val="21"/>
                      <w:highlight w:val="none"/>
                    </w:rPr>
                  </w:pPr>
                </w:p>
              </w:tc>
            </w:tr>
            <w:tr w14:paraId="585A17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02D3E269">
                  <w:pPr>
                    <w:keepNext w:val="0"/>
                    <w:keepLines w:val="0"/>
                    <w:suppressLineNumbers w:val="0"/>
                    <w:spacing w:before="0" w:beforeAutospacing="0" w:after="0" w:afterAutospacing="0" w:line="360" w:lineRule="auto"/>
                    <w:ind w:left="0" w:right="0"/>
                    <w:jc w:val="both"/>
                    <w:rPr>
                      <w:rFonts w:hint="default" w:ascii="宋体" w:hAnsi="宋体"/>
                      <w:color w:val="auto"/>
                      <w:kern w:val="0"/>
                      <w:sz w:val="21"/>
                      <w:szCs w:val="21"/>
                      <w:highlight w:val="none"/>
                    </w:rPr>
                  </w:pPr>
                  <w:r>
                    <w:rPr>
                      <w:rFonts w:hint="eastAsia" w:ascii="宋体" w:hAnsi="宋体"/>
                      <w:color w:val="auto"/>
                      <w:kern w:val="0"/>
                      <w:sz w:val="21"/>
                      <w:szCs w:val="21"/>
                      <w:highlight w:val="none"/>
                    </w:rPr>
                    <w:t>4</w:t>
                  </w:r>
                </w:p>
              </w:tc>
              <w:tc>
                <w:tcPr>
                  <w:tcW w:w="3060" w:type="dxa"/>
                  <w:tcBorders>
                    <w:top w:val="single" w:color="000000" w:sz="6" w:space="0"/>
                    <w:left w:val="nil"/>
                    <w:bottom w:val="single" w:color="000000" w:sz="6" w:space="0"/>
                    <w:right w:val="single" w:color="000000" w:sz="6" w:space="0"/>
                  </w:tcBorders>
                  <w:noWrap w:val="0"/>
                  <w:vAlign w:val="center"/>
                </w:tcPr>
                <w:p w14:paraId="1D6EA6DB">
                  <w:pPr>
                    <w:keepNext w:val="0"/>
                    <w:keepLines w:val="0"/>
                    <w:suppressLineNumbers w:val="0"/>
                    <w:spacing w:before="0" w:beforeAutospacing="0" w:after="0" w:afterAutospacing="0" w:line="360" w:lineRule="auto"/>
                    <w:ind w:left="0" w:right="0"/>
                    <w:rPr>
                      <w:rFonts w:hint="default" w:ascii="宋体" w:hAnsi="宋体"/>
                      <w:color w:val="auto"/>
                      <w:kern w:val="0"/>
                      <w:sz w:val="21"/>
                      <w:szCs w:val="21"/>
                      <w:highlight w:val="none"/>
                    </w:rPr>
                  </w:pPr>
                  <w:r>
                    <w:rPr>
                      <w:rFonts w:hint="eastAsia" w:ascii="宋体" w:hAnsi="宋体"/>
                      <w:color w:val="auto"/>
                      <w:kern w:val="0"/>
                      <w:sz w:val="21"/>
                      <w:szCs w:val="21"/>
                      <w:highlight w:val="none"/>
                    </w:rPr>
                    <w:t>最终应支付的合同价款</w:t>
                  </w:r>
                </w:p>
              </w:tc>
              <w:tc>
                <w:tcPr>
                  <w:tcW w:w="1676" w:type="dxa"/>
                  <w:tcBorders>
                    <w:top w:val="single" w:color="000000" w:sz="6" w:space="0"/>
                    <w:left w:val="nil"/>
                    <w:bottom w:val="single" w:color="000000" w:sz="6" w:space="0"/>
                    <w:right w:val="single" w:color="000000" w:sz="6" w:space="0"/>
                  </w:tcBorders>
                  <w:noWrap w:val="0"/>
                  <w:vAlign w:val="center"/>
                </w:tcPr>
                <w:p w14:paraId="721BDA2C">
                  <w:pPr>
                    <w:keepNext w:val="0"/>
                    <w:keepLines w:val="0"/>
                    <w:suppressLineNumbers w:val="0"/>
                    <w:spacing w:before="0" w:beforeAutospacing="0" w:after="0" w:afterAutospacing="0" w:line="360" w:lineRule="auto"/>
                    <w:ind w:left="0" w:right="0"/>
                    <w:jc w:val="center"/>
                    <w:rPr>
                      <w:rFonts w:hint="default" w:ascii="宋体" w:hAnsi="宋体"/>
                      <w:color w:val="auto"/>
                      <w:kern w:val="0"/>
                      <w:sz w:val="21"/>
                      <w:szCs w:val="21"/>
                      <w:highlight w:val="none"/>
                    </w:rPr>
                  </w:pPr>
                </w:p>
              </w:tc>
              <w:tc>
                <w:tcPr>
                  <w:tcW w:w="1676" w:type="dxa"/>
                  <w:tcBorders>
                    <w:top w:val="single" w:color="000000" w:sz="6" w:space="0"/>
                    <w:left w:val="nil"/>
                    <w:bottom w:val="single" w:color="000000" w:sz="6" w:space="0"/>
                    <w:right w:val="single" w:color="000000" w:sz="6" w:space="0"/>
                  </w:tcBorders>
                  <w:noWrap w:val="0"/>
                  <w:vAlign w:val="center"/>
                </w:tcPr>
                <w:p w14:paraId="1795B10E">
                  <w:pPr>
                    <w:keepNext w:val="0"/>
                    <w:keepLines w:val="0"/>
                    <w:suppressLineNumbers w:val="0"/>
                    <w:spacing w:before="0" w:beforeAutospacing="0" w:after="0" w:afterAutospacing="0" w:line="360" w:lineRule="auto"/>
                    <w:ind w:left="0" w:right="0"/>
                    <w:jc w:val="center"/>
                    <w:rPr>
                      <w:rFonts w:hint="default" w:ascii="宋体" w:hAnsi="宋体"/>
                      <w:color w:val="auto"/>
                      <w:kern w:val="0"/>
                      <w:sz w:val="21"/>
                      <w:szCs w:val="21"/>
                      <w:highlight w:val="none"/>
                    </w:rPr>
                  </w:pPr>
                </w:p>
              </w:tc>
              <w:tc>
                <w:tcPr>
                  <w:tcW w:w="890" w:type="dxa"/>
                  <w:tcBorders>
                    <w:top w:val="single" w:color="000000" w:sz="6" w:space="0"/>
                    <w:left w:val="nil"/>
                    <w:bottom w:val="single" w:color="000000" w:sz="6" w:space="0"/>
                    <w:right w:val="single" w:color="000000" w:sz="6" w:space="0"/>
                  </w:tcBorders>
                  <w:noWrap w:val="0"/>
                  <w:vAlign w:val="center"/>
                </w:tcPr>
                <w:p w14:paraId="211AFD92">
                  <w:pPr>
                    <w:keepNext w:val="0"/>
                    <w:keepLines w:val="0"/>
                    <w:suppressLineNumbers w:val="0"/>
                    <w:spacing w:before="0" w:beforeAutospacing="0" w:after="0" w:afterAutospacing="0" w:line="360" w:lineRule="auto"/>
                    <w:ind w:left="0" w:right="0"/>
                    <w:jc w:val="center"/>
                    <w:rPr>
                      <w:rFonts w:hint="default" w:ascii="宋体" w:hAnsi="宋体"/>
                      <w:color w:val="auto"/>
                      <w:kern w:val="0"/>
                      <w:sz w:val="21"/>
                      <w:szCs w:val="21"/>
                      <w:highlight w:val="none"/>
                    </w:rPr>
                  </w:pPr>
                </w:p>
              </w:tc>
            </w:tr>
          </w:tbl>
          <w:p w14:paraId="146028E8">
            <w:pPr>
              <w:keepNext w:val="0"/>
              <w:keepLines w:val="0"/>
              <w:suppressLineNumbers w:val="0"/>
              <w:spacing w:before="10" w:beforeAutospacing="0" w:after="0" w:afterAutospacing="0" w:line="360" w:lineRule="auto"/>
              <w:ind w:left="0" w:right="0"/>
              <w:rPr>
                <w:rFonts w:hint="default" w:ascii="宋体" w:hAnsi="宋体"/>
                <w:color w:val="auto"/>
                <w:kern w:val="0"/>
                <w:highlight w:val="none"/>
              </w:rPr>
            </w:pPr>
          </w:p>
          <w:p w14:paraId="4A367829">
            <w:pPr>
              <w:keepNext w:val="0"/>
              <w:keepLines w:val="0"/>
              <w:suppressLineNumbers w:val="0"/>
              <w:spacing w:before="10" w:beforeAutospacing="0" w:after="0" w:afterAutospacing="0" w:line="360" w:lineRule="auto"/>
              <w:ind w:left="0" w:right="0"/>
              <w:rPr>
                <w:rFonts w:hint="default" w:ascii="宋体" w:hAnsi="宋体"/>
                <w:color w:val="auto"/>
                <w:kern w:val="0"/>
                <w:highlight w:val="none"/>
              </w:rPr>
            </w:pPr>
            <w:r>
              <w:rPr>
                <w:rFonts w:hint="eastAsia" w:ascii="宋体" w:hAnsi="宋体"/>
                <w:color w:val="auto"/>
                <w:kern w:val="0"/>
                <w:highlight w:val="none"/>
              </w:rPr>
              <w:t>附：上述3、4详见附件清单。</w:t>
            </w:r>
          </w:p>
          <w:p w14:paraId="5B3E8761">
            <w:pPr>
              <w:keepNext w:val="0"/>
              <w:keepLines w:val="0"/>
              <w:suppressLineNumbers w:val="0"/>
              <w:spacing w:before="0" w:beforeAutospacing="0" w:after="0" w:afterAutospacing="0" w:line="360" w:lineRule="auto"/>
              <w:ind w:left="0" w:right="0"/>
              <w:jc w:val="center"/>
              <w:rPr>
                <w:rFonts w:hint="default" w:ascii="宋体" w:hAnsi="宋体"/>
                <w:color w:val="auto"/>
                <w:kern w:val="0"/>
                <w:highlight w:val="none"/>
              </w:rPr>
            </w:pPr>
          </w:p>
        </w:tc>
      </w:tr>
      <w:tr w14:paraId="11509D63">
        <w:tblPrEx>
          <w:tblCellMar>
            <w:top w:w="0" w:type="dxa"/>
            <w:left w:w="0" w:type="dxa"/>
            <w:bottom w:w="0" w:type="dxa"/>
            <w:right w:w="0" w:type="dxa"/>
          </w:tblCellMar>
        </w:tblPrEx>
        <w:trPr>
          <w:trHeight w:val="239" w:hRule="atLeast"/>
          <w:jc w:val="center"/>
        </w:trPr>
        <w:tc>
          <w:tcPr>
            <w:tcW w:w="9602" w:type="dxa"/>
            <w:gridSpan w:val="4"/>
            <w:tcBorders>
              <w:top w:val="nil"/>
              <w:left w:val="single" w:color="000000" w:sz="4" w:space="0"/>
              <w:bottom w:val="nil"/>
              <w:right w:val="single" w:color="000000" w:sz="4" w:space="0"/>
            </w:tcBorders>
            <w:noWrap w:val="0"/>
            <w:vAlign w:val="top"/>
          </w:tcPr>
          <w:p w14:paraId="7C2D0A56">
            <w:pPr>
              <w:keepNext w:val="0"/>
              <w:keepLines w:val="0"/>
              <w:suppressLineNumbers w:val="0"/>
              <w:wordWrap w:val="0"/>
              <w:spacing w:before="0" w:beforeAutospacing="0" w:after="0" w:afterAutospacing="0" w:line="360" w:lineRule="auto"/>
              <w:ind w:left="0" w:right="360"/>
              <w:jc w:val="right"/>
              <w:rPr>
                <w:rFonts w:hint="default" w:ascii="宋体" w:hAnsi="宋体"/>
                <w:color w:val="auto"/>
                <w:kern w:val="0"/>
                <w:highlight w:val="none"/>
              </w:rPr>
            </w:pPr>
            <w:r>
              <w:rPr>
                <w:rFonts w:hint="eastAsia" w:ascii="宋体" w:hAnsi="宋体"/>
                <w:color w:val="auto"/>
                <w:kern w:val="0"/>
                <w:highlight w:val="none"/>
              </w:rPr>
              <w:t>承包人</w:t>
            </w:r>
            <w:r>
              <w:rPr>
                <w:rFonts w:hint="eastAsia" w:ascii="宋体" w:hAnsi="宋体"/>
                <w:color w:val="auto"/>
                <w:kern w:val="0"/>
                <w:highlight w:val="none"/>
                <w:lang w:eastAsia="zh-CN"/>
              </w:rPr>
              <w:t>（</w:t>
            </w:r>
            <w:r>
              <w:rPr>
                <w:rFonts w:hint="eastAsia" w:ascii="宋体" w:hAnsi="宋体"/>
                <w:color w:val="auto"/>
                <w:kern w:val="0"/>
                <w:highlight w:val="none"/>
              </w:rPr>
              <w:t>章</w:t>
            </w:r>
            <w:r>
              <w:rPr>
                <w:rFonts w:hint="eastAsia" w:ascii="宋体" w:hAnsi="宋体"/>
                <w:color w:val="auto"/>
                <w:kern w:val="0"/>
                <w:highlight w:val="none"/>
                <w:lang w:eastAsia="zh-CN"/>
              </w:rPr>
              <w:t>）</w:t>
            </w:r>
            <w:r>
              <w:rPr>
                <w:rFonts w:hint="eastAsia" w:ascii="宋体" w:hAnsi="宋体"/>
                <w:color w:val="auto"/>
                <w:kern w:val="0"/>
                <w:highlight w:val="none"/>
              </w:rPr>
              <w:t xml:space="preserve">           </w:t>
            </w:r>
          </w:p>
        </w:tc>
      </w:tr>
      <w:tr w14:paraId="3C03B780">
        <w:tblPrEx>
          <w:tblCellMar>
            <w:top w:w="0" w:type="dxa"/>
            <w:left w:w="0" w:type="dxa"/>
            <w:bottom w:w="0" w:type="dxa"/>
            <w:right w:w="0" w:type="dxa"/>
          </w:tblCellMar>
        </w:tblPrEx>
        <w:trPr>
          <w:trHeight w:val="645" w:hRule="atLeast"/>
          <w:jc w:val="center"/>
        </w:trPr>
        <w:tc>
          <w:tcPr>
            <w:tcW w:w="2524" w:type="dxa"/>
            <w:tcBorders>
              <w:top w:val="nil"/>
              <w:left w:val="single" w:color="auto" w:sz="4" w:space="0"/>
              <w:bottom w:val="nil"/>
              <w:right w:val="nil"/>
            </w:tcBorders>
            <w:noWrap w:val="0"/>
            <w:vAlign w:val="top"/>
          </w:tcPr>
          <w:p w14:paraId="0C44E12D">
            <w:pPr>
              <w:keepNext w:val="0"/>
              <w:keepLines w:val="0"/>
              <w:suppressLineNumbers w:val="0"/>
              <w:spacing w:before="0" w:beforeAutospacing="0" w:after="0" w:afterAutospacing="0" w:line="360" w:lineRule="auto"/>
              <w:ind w:left="0" w:right="0"/>
              <w:rPr>
                <w:rFonts w:hint="eastAsia" w:ascii="宋体" w:hAnsi="宋体"/>
                <w:color w:val="auto"/>
                <w:kern w:val="0"/>
                <w:highlight w:val="none"/>
              </w:rPr>
            </w:pPr>
          </w:p>
          <w:p w14:paraId="54864743">
            <w:pPr>
              <w:keepNext w:val="0"/>
              <w:keepLines w:val="0"/>
              <w:suppressLineNumbers w:val="0"/>
              <w:spacing w:before="0" w:beforeAutospacing="0" w:after="0" w:afterAutospacing="0" w:line="360" w:lineRule="auto"/>
              <w:ind w:left="0" w:right="0"/>
              <w:rPr>
                <w:rFonts w:hint="default" w:ascii="宋体" w:hAnsi="宋体"/>
                <w:color w:val="auto"/>
                <w:kern w:val="0"/>
                <w:highlight w:val="none"/>
              </w:rPr>
            </w:pPr>
            <w:r>
              <w:rPr>
                <w:rFonts w:hint="eastAsia" w:ascii="宋体" w:hAnsi="宋体"/>
                <w:color w:val="auto"/>
                <w:kern w:val="0"/>
                <w:highlight w:val="none"/>
              </w:rPr>
              <w:t>编制人员</w:t>
            </w:r>
            <w:r>
              <w:rPr>
                <w:rFonts w:hint="eastAsia" w:ascii="宋体" w:hAnsi="宋体"/>
                <w:color w:val="auto"/>
                <w:kern w:val="0"/>
                <w:highlight w:val="none"/>
                <w:u w:val="single"/>
              </w:rPr>
              <w:t xml:space="preserve">            </w:t>
            </w:r>
          </w:p>
        </w:tc>
        <w:tc>
          <w:tcPr>
            <w:tcW w:w="3397" w:type="dxa"/>
            <w:gridSpan w:val="2"/>
            <w:tcBorders>
              <w:top w:val="nil"/>
              <w:left w:val="nil"/>
              <w:bottom w:val="nil"/>
              <w:right w:val="nil"/>
            </w:tcBorders>
            <w:noWrap w:val="0"/>
            <w:vAlign w:val="top"/>
          </w:tcPr>
          <w:p w14:paraId="46C9E524">
            <w:pPr>
              <w:keepNext w:val="0"/>
              <w:keepLines w:val="0"/>
              <w:suppressLineNumbers w:val="0"/>
              <w:spacing w:before="0" w:beforeAutospacing="0" w:after="0" w:afterAutospacing="0" w:line="360" w:lineRule="auto"/>
              <w:ind w:left="0" w:right="0"/>
              <w:rPr>
                <w:rFonts w:hint="eastAsia" w:ascii="宋体" w:hAnsi="宋体"/>
                <w:color w:val="auto"/>
                <w:kern w:val="0"/>
                <w:highlight w:val="none"/>
              </w:rPr>
            </w:pPr>
          </w:p>
          <w:p w14:paraId="62429A30">
            <w:pPr>
              <w:keepNext w:val="0"/>
              <w:keepLines w:val="0"/>
              <w:suppressLineNumbers w:val="0"/>
              <w:spacing w:before="0" w:beforeAutospacing="0" w:after="0" w:afterAutospacing="0" w:line="360" w:lineRule="auto"/>
              <w:ind w:left="0" w:right="0"/>
              <w:rPr>
                <w:rFonts w:hint="default" w:ascii="宋体" w:hAnsi="宋体"/>
                <w:color w:val="auto"/>
                <w:kern w:val="0"/>
                <w:highlight w:val="none"/>
              </w:rPr>
            </w:pPr>
            <w:r>
              <w:rPr>
                <w:rFonts w:hint="eastAsia" w:ascii="宋体" w:hAnsi="宋体"/>
                <w:color w:val="auto"/>
                <w:kern w:val="0"/>
                <w:highlight w:val="none"/>
              </w:rPr>
              <w:t>承包人代表</w:t>
            </w:r>
            <w:r>
              <w:rPr>
                <w:rFonts w:hint="eastAsia" w:ascii="宋体" w:hAnsi="宋体"/>
                <w:color w:val="auto"/>
                <w:kern w:val="0"/>
                <w:highlight w:val="none"/>
                <w:u w:val="single"/>
              </w:rPr>
              <w:t xml:space="preserve">            </w:t>
            </w:r>
          </w:p>
        </w:tc>
        <w:tc>
          <w:tcPr>
            <w:tcW w:w="3681" w:type="dxa"/>
            <w:tcBorders>
              <w:top w:val="nil"/>
              <w:left w:val="nil"/>
              <w:bottom w:val="nil"/>
              <w:right w:val="single" w:color="auto" w:sz="4" w:space="0"/>
            </w:tcBorders>
            <w:noWrap w:val="0"/>
            <w:vAlign w:val="top"/>
          </w:tcPr>
          <w:p w14:paraId="2F28F61C">
            <w:pPr>
              <w:keepNext w:val="0"/>
              <w:keepLines w:val="0"/>
              <w:suppressLineNumbers w:val="0"/>
              <w:spacing w:before="0" w:beforeAutospacing="0" w:after="0" w:afterAutospacing="0" w:line="360" w:lineRule="auto"/>
              <w:ind w:left="0" w:right="0"/>
              <w:rPr>
                <w:rFonts w:hint="eastAsia" w:ascii="宋体" w:hAnsi="宋体"/>
                <w:color w:val="auto"/>
                <w:kern w:val="0"/>
                <w:highlight w:val="none"/>
              </w:rPr>
            </w:pPr>
          </w:p>
          <w:p w14:paraId="78FE158D">
            <w:pPr>
              <w:keepNext w:val="0"/>
              <w:keepLines w:val="0"/>
              <w:suppressLineNumbers w:val="0"/>
              <w:spacing w:before="0" w:beforeAutospacing="0" w:after="0" w:afterAutospacing="0" w:line="360" w:lineRule="auto"/>
              <w:ind w:left="0" w:right="0"/>
              <w:rPr>
                <w:rFonts w:hint="default" w:ascii="宋体" w:hAnsi="宋体"/>
                <w:color w:val="auto"/>
                <w:kern w:val="0"/>
                <w:highlight w:val="none"/>
              </w:rPr>
            </w:pPr>
            <w:r>
              <w:rPr>
                <w:rFonts w:hint="eastAsia" w:ascii="宋体" w:hAnsi="宋体"/>
                <w:color w:val="auto"/>
                <w:kern w:val="0"/>
                <w:highlight w:val="none"/>
              </w:rPr>
              <w:t>日期</w:t>
            </w:r>
            <w:r>
              <w:rPr>
                <w:rFonts w:hint="eastAsia" w:ascii="宋体" w:hAnsi="宋体"/>
                <w:color w:val="auto"/>
                <w:kern w:val="0"/>
                <w:highlight w:val="none"/>
                <w:u w:val="single"/>
              </w:rPr>
              <w:t xml:space="preserve">            </w:t>
            </w:r>
          </w:p>
        </w:tc>
      </w:tr>
      <w:tr w14:paraId="7B2FD976">
        <w:tblPrEx>
          <w:tblCellMar>
            <w:top w:w="0" w:type="dxa"/>
            <w:left w:w="0" w:type="dxa"/>
            <w:bottom w:w="0" w:type="dxa"/>
            <w:right w:w="0" w:type="dxa"/>
          </w:tblCellMar>
        </w:tblPrEx>
        <w:trPr>
          <w:trHeight w:val="479" w:hRule="atLeast"/>
          <w:jc w:val="center"/>
        </w:trPr>
        <w:tc>
          <w:tcPr>
            <w:tcW w:w="4938" w:type="dxa"/>
            <w:gridSpan w:val="2"/>
            <w:tcBorders>
              <w:top w:val="single" w:color="000000" w:sz="4" w:space="0"/>
              <w:left w:val="single" w:color="000000" w:sz="4" w:space="0"/>
              <w:bottom w:val="nil"/>
              <w:right w:val="single" w:color="000000" w:sz="4" w:space="0"/>
            </w:tcBorders>
            <w:noWrap w:val="0"/>
            <w:vAlign w:val="center"/>
          </w:tcPr>
          <w:p w14:paraId="00411501">
            <w:pPr>
              <w:keepNext w:val="0"/>
              <w:keepLines w:val="0"/>
              <w:suppressLineNumbers w:val="0"/>
              <w:spacing w:before="0" w:beforeAutospacing="0" w:after="0" w:afterAutospacing="0" w:line="360" w:lineRule="auto"/>
              <w:ind w:left="0" w:right="0"/>
              <w:rPr>
                <w:rFonts w:hint="default" w:ascii="宋体" w:hAnsi="宋体"/>
                <w:color w:val="auto"/>
                <w:kern w:val="0"/>
                <w:highlight w:val="none"/>
              </w:rPr>
            </w:pPr>
            <w:r>
              <w:rPr>
                <w:rFonts w:hint="eastAsia" w:ascii="宋体" w:hAnsi="宋体"/>
                <w:color w:val="auto"/>
                <w:kern w:val="0"/>
                <w:highlight w:val="none"/>
              </w:rPr>
              <w:t>复核意见：</w:t>
            </w:r>
          </w:p>
        </w:tc>
        <w:tc>
          <w:tcPr>
            <w:tcW w:w="4664" w:type="dxa"/>
            <w:gridSpan w:val="2"/>
            <w:tcBorders>
              <w:top w:val="single" w:color="000000" w:sz="4" w:space="0"/>
              <w:left w:val="nil"/>
              <w:bottom w:val="nil"/>
              <w:right w:val="single" w:color="000000" w:sz="4" w:space="0"/>
            </w:tcBorders>
            <w:noWrap w:val="0"/>
            <w:vAlign w:val="center"/>
          </w:tcPr>
          <w:p w14:paraId="0B5393A8">
            <w:pPr>
              <w:keepNext w:val="0"/>
              <w:keepLines w:val="0"/>
              <w:suppressLineNumbers w:val="0"/>
              <w:spacing w:before="0" w:beforeAutospacing="0" w:after="0" w:afterAutospacing="0" w:line="360" w:lineRule="auto"/>
              <w:ind w:left="0" w:right="0"/>
              <w:rPr>
                <w:rFonts w:hint="default" w:ascii="宋体" w:hAnsi="宋体"/>
                <w:color w:val="auto"/>
                <w:kern w:val="0"/>
                <w:highlight w:val="none"/>
              </w:rPr>
            </w:pPr>
            <w:r>
              <w:rPr>
                <w:rFonts w:hint="eastAsia" w:ascii="宋体" w:hAnsi="宋体"/>
                <w:color w:val="auto"/>
                <w:kern w:val="0"/>
                <w:highlight w:val="none"/>
              </w:rPr>
              <w:t>复核意见：</w:t>
            </w:r>
          </w:p>
        </w:tc>
      </w:tr>
      <w:tr w14:paraId="03C26257">
        <w:tblPrEx>
          <w:tblCellMar>
            <w:top w:w="0" w:type="dxa"/>
            <w:left w:w="0" w:type="dxa"/>
            <w:bottom w:w="0" w:type="dxa"/>
            <w:right w:w="0" w:type="dxa"/>
          </w:tblCellMar>
        </w:tblPrEx>
        <w:trPr>
          <w:trHeight w:val="601" w:hRule="atLeast"/>
          <w:jc w:val="center"/>
        </w:trPr>
        <w:tc>
          <w:tcPr>
            <w:tcW w:w="4938" w:type="dxa"/>
            <w:gridSpan w:val="2"/>
            <w:tcBorders>
              <w:top w:val="nil"/>
              <w:left w:val="single" w:color="000000" w:sz="4" w:space="0"/>
              <w:bottom w:val="nil"/>
              <w:right w:val="single" w:color="000000" w:sz="4" w:space="0"/>
            </w:tcBorders>
            <w:noWrap w:val="0"/>
            <w:vAlign w:val="center"/>
          </w:tcPr>
          <w:p w14:paraId="048E59C5">
            <w:pPr>
              <w:keepNext w:val="0"/>
              <w:keepLines w:val="0"/>
              <w:suppressLineNumbers w:val="0"/>
              <w:spacing w:before="0" w:beforeAutospacing="0" w:after="0" w:afterAutospacing="0" w:line="360" w:lineRule="auto"/>
              <w:ind w:left="0" w:right="0"/>
              <w:rPr>
                <w:rFonts w:hint="default" w:ascii="宋体" w:hAnsi="宋体"/>
                <w:color w:val="auto"/>
                <w:kern w:val="0"/>
                <w:highlight w:val="none"/>
              </w:rPr>
            </w:pPr>
            <w:r>
              <w:rPr>
                <w:rFonts w:hint="eastAsia" w:ascii="宋体" w:hAnsi="宋体"/>
                <w:color w:val="auto"/>
                <w:kern w:val="0"/>
                <w:highlight w:val="none"/>
              </w:rPr>
              <w:t>□与实际施工情况不相符</w:t>
            </w:r>
            <w:r>
              <w:rPr>
                <w:rFonts w:hint="eastAsia" w:ascii="宋体" w:hAnsi="宋体"/>
                <w:color w:val="auto"/>
                <w:kern w:val="0"/>
                <w:highlight w:val="none"/>
                <w:lang w:eastAsia="zh-CN"/>
              </w:rPr>
              <w:t>，</w:t>
            </w:r>
            <w:r>
              <w:rPr>
                <w:rFonts w:hint="eastAsia" w:ascii="宋体" w:hAnsi="宋体"/>
                <w:color w:val="auto"/>
                <w:kern w:val="0"/>
                <w:highlight w:val="none"/>
              </w:rPr>
              <w:t>修改意见见附件</w:t>
            </w:r>
          </w:p>
        </w:tc>
        <w:tc>
          <w:tcPr>
            <w:tcW w:w="4664" w:type="dxa"/>
            <w:gridSpan w:val="2"/>
            <w:vMerge w:val="restart"/>
            <w:tcBorders>
              <w:top w:val="nil"/>
              <w:left w:val="nil"/>
              <w:bottom w:val="nil"/>
              <w:right w:val="single" w:color="000000" w:sz="4" w:space="0"/>
            </w:tcBorders>
            <w:noWrap w:val="0"/>
            <w:vAlign w:val="top"/>
          </w:tcPr>
          <w:p w14:paraId="07EB1D21">
            <w:pPr>
              <w:keepNext w:val="0"/>
              <w:keepLines w:val="0"/>
              <w:suppressLineNumbers w:val="0"/>
              <w:spacing w:before="0" w:beforeAutospacing="0" w:after="0" w:afterAutospacing="0" w:line="360" w:lineRule="auto"/>
              <w:ind w:left="0" w:right="0" w:firstLine="428" w:firstLineChars="200"/>
              <w:rPr>
                <w:rFonts w:hint="default" w:ascii="宋体" w:hAnsi="宋体"/>
                <w:color w:val="auto"/>
                <w:kern w:val="0"/>
                <w:highlight w:val="none"/>
              </w:rPr>
            </w:pPr>
            <w:r>
              <w:rPr>
                <w:rFonts w:hint="eastAsia" w:ascii="宋体" w:hAnsi="宋体"/>
                <w:color w:val="auto"/>
                <w:spacing w:val="2"/>
                <w:kern w:val="0"/>
                <w:highlight w:val="none"/>
              </w:rPr>
              <w:t>你方提出的支付申请经复核</w:t>
            </w:r>
            <w:r>
              <w:rPr>
                <w:rFonts w:hint="eastAsia" w:ascii="宋体" w:hAnsi="宋体"/>
                <w:color w:val="auto"/>
                <w:spacing w:val="2"/>
                <w:kern w:val="0"/>
                <w:highlight w:val="none"/>
                <w:lang w:eastAsia="zh-CN"/>
              </w:rPr>
              <w:t>，</w:t>
            </w:r>
            <w:r>
              <w:rPr>
                <w:rFonts w:hint="eastAsia" w:ascii="宋体" w:hAnsi="宋体"/>
                <w:color w:val="auto"/>
                <w:spacing w:val="2"/>
                <w:kern w:val="0"/>
                <w:highlight w:val="none"/>
              </w:rPr>
              <w:t>本期间应支付金额为（大写）</w:t>
            </w:r>
            <w:r>
              <w:rPr>
                <w:rFonts w:hint="eastAsia" w:ascii="宋体" w:hAnsi="宋体"/>
                <w:color w:val="auto"/>
                <w:spacing w:val="2"/>
                <w:kern w:val="0"/>
                <w:highlight w:val="none"/>
                <w:u w:val="single"/>
              </w:rPr>
              <w:tab/>
            </w:r>
            <w:r>
              <w:rPr>
                <w:rFonts w:hint="eastAsia" w:ascii="宋体" w:hAnsi="宋体"/>
                <w:color w:val="auto"/>
                <w:spacing w:val="2"/>
                <w:kern w:val="0"/>
                <w:highlight w:val="none"/>
                <w:u w:val="single"/>
              </w:rPr>
              <w:tab/>
            </w:r>
            <w:r>
              <w:rPr>
                <w:rFonts w:hint="eastAsia" w:ascii="宋体" w:hAnsi="宋体"/>
                <w:color w:val="auto"/>
                <w:spacing w:val="2"/>
                <w:kern w:val="0"/>
                <w:highlight w:val="none"/>
                <w:u w:val="single"/>
              </w:rPr>
              <w:t xml:space="preserve"> </w:t>
            </w:r>
            <w:r>
              <w:rPr>
                <w:rFonts w:hint="eastAsia" w:ascii="宋体" w:hAnsi="宋体"/>
                <w:color w:val="auto"/>
                <w:spacing w:val="2"/>
                <w:kern w:val="0"/>
                <w:highlight w:val="none"/>
              </w:rPr>
              <w:t>（小写</w:t>
            </w:r>
            <w:r>
              <w:rPr>
                <w:rFonts w:hint="eastAsia" w:ascii="宋体" w:hAnsi="宋体"/>
                <w:color w:val="auto"/>
                <w:spacing w:val="2"/>
                <w:kern w:val="0"/>
                <w:highlight w:val="none"/>
                <w:u w:val="single"/>
              </w:rPr>
              <w:tab/>
            </w:r>
            <w:r>
              <w:rPr>
                <w:rFonts w:hint="eastAsia" w:ascii="宋体" w:hAnsi="宋体"/>
                <w:color w:val="auto"/>
                <w:spacing w:val="2"/>
                <w:kern w:val="0"/>
                <w:highlight w:val="none"/>
                <w:u w:val="single"/>
              </w:rPr>
              <w:tab/>
            </w:r>
            <w:r>
              <w:rPr>
                <w:rFonts w:hint="eastAsia" w:ascii="宋体" w:hAnsi="宋体"/>
                <w:color w:val="auto"/>
                <w:spacing w:val="2"/>
                <w:kern w:val="0"/>
                <w:highlight w:val="none"/>
                <w:u w:val="single"/>
              </w:rPr>
              <w:t xml:space="preserve">      </w:t>
            </w:r>
            <w:r>
              <w:rPr>
                <w:rFonts w:hint="eastAsia" w:ascii="宋体" w:hAnsi="宋体"/>
                <w:color w:val="auto"/>
                <w:spacing w:val="2"/>
                <w:kern w:val="0"/>
                <w:highlight w:val="none"/>
                <w:u w:val="single"/>
              </w:rPr>
              <w:tab/>
            </w:r>
            <w:r>
              <w:rPr>
                <w:rFonts w:hint="eastAsia" w:ascii="宋体" w:hAnsi="宋体"/>
                <w:color w:val="auto"/>
                <w:spacing w:val="2"/>
                <w:kern w:val="0"/>
                <w:highlight w:val="none"/>
              </w:rPr>
              <w:t>）。</w:t>
            </w:r>
          </w:p>
        </w:tc>
      </w:tr>
      <w:tr w14:paraId="27A1DBE5">
        <w:tblPrEx>
          <w:tblCellMar>
            <w:top w:w="0" w:type="dxa"/>
            <w:left w:w="0" w:type="dxa"/>
            <w:bottom w:w="0" w:type="dxa"/>
            <w:right w:w="0" w:type="dxa"/>
          </w:tblCellMar>
        </w:tblPrEx>
        <w:trPr>
          <w:trHeight w:val="623" w:hRule="atLeast"/>
          <w:jc w:val="center"/>
        </w:trPr>
        <w:tc>
          <w:tcPr>
            <w:tcW w:w="4938" w:type="dxa"/>
            <w:gridSpan w:val="2"/>
            <w:tcBorders>
              <w:top w:val="nil"/>
              <w:left w:val="single" w:color="000000" w:sz="4" w:space="0"/>
              <w:bottom w:val="nil"/>
              <w:right w:val="single" w:color="000000" w:sz="4" w:space="0"/>
            </w:tcBorders>
            <w:noWrap w:val="0"/>
            <w:vAlign w:val="center"/>
          </w:tcPr>
          <w:p w14:paraId="41217DAC">
            <w:pPr>
              <w:keepNext w:val="0"/>
              <w:keepLines w:val="0"/>
              <w:suppressLineNumbers w:val="0"/>
              <w:spacing w:before="0" w:beforeAutospacing="0" w:after="0" w:afterAutospacing="0" w:line="360" w:lineRule="auto"/>
              <w:ind w:left="0" w:right="0"/>
              <w:rPr>
                <w:rFonts w:hint="default" w:ascii="宋体" w:hAnsi="宋体"/>
                <w:color w:val="auto"/>
                <w:kern w:val="0"/>
                <w:highlight w:val="none"/>
              </w:rPr>
            </w:pPr>
            <w:r>
              <w:rPr>
                <w:rFonts w:hint="eastAsia" w:ascii="宋体" w:hAnsi="宋体"/>
                <w:color w:val="auto"/>
                <w:spacing w:val="7"/>
                <w:kern w:val="0"/>
                <w:highlight w:val="none"/>
              </w:rPr>
              <w:t>□与实际施工</w:t>
            </w:r>
            <w:r>
              <w:rPr>
                <w:rFonts w:hint="eastAsia" w:ascii="宋体" w:hAnsi="宋体"/>
                <w:color w:val="auto"/>
                <w:spacing w:val="4"/>
                <w:kern w:val="0"/>
                <w:highlight w:val="none"/>
              </w:rPr>
              <w:t>情</w:t>
            </w:r>
            <w:r>
              <w:rPr>
                <w:rFonts w:hint="eastAsia" w:ascii="宋体" w:hAnsi="宋体"/>
                <w:color w:val="auto"/>
                <w:spacing w:val="7"/>
                <w:kern w:val="0"/>
                <w:highlight w:val="none"/>
              </w:rPr>
              <w:t>况相符</w:t>
            </w:r>
            <w:r>
              <w:rPr>
                <w:rFonts w:hint="eastAsia" w:ascii="宋体" w:hAnsi="宋体"/>
                <w:color w:val="auto"/>
                <w:spacing w:val="7"/>
                <w:kern w:val="0"/>
                <w:highlight w:val="none"/>
                <w:lang w:eastAsia="zh-CN"/>
              </w:rPr>
              <w:t>，</w:t>
            </w:r>
            <w:r>
              <w:rPr>
                <w:rFonts w:hint="eastAsia" w:ascii="宋体" w:hAnsi="宋体"/>
                <w:color w:val="auto"/>
                <w:spacing w:val="4"/>
                <w:kern w:val="0"/>
                <w:highlight w:val="none"/>
              </w:rPr>
              <w:t>具体</w:t>
            </w:r>
            <w:r>
              <w:rPr>
                <w:rFonts w:hint="eastAsia" w:ascii="宋体" w:hAnsi="宋体"/>
                <w:color w:val="auto"/>
                <w:spacing w:val="7"/>
                <w:kern w:val="0"/>
                <w:highlight w:val="none"/>
              </w:rPr>
              <w:t>金额应由造价工</w:t>
            </w:r>
            <w:r>
              <w:rPr>
                <w:rFonts w:hint="eastAsia" w:ascii="宋体" w:hAnsi="宋体"/>
                <w:color w:val="auto"/>
                <w:spacing w:val="4"/>
                <w:kern w:val="0"/>
                <w:highlight w:val="none"/>
              </w:rPr>
              <w:t>程</w:t>
            </w:r>
            <w:r>
              <w:rPr>
                <w:rFonts w:hint="eastAsia" w:ascii="宋体" w:hAnsi="宋体"/>
                <w:color w:val="auto"/>
                <w:spacing w:val="7"/>
                <w:kern w:val="0"/>
                <w:highlight w:val="none"/>
              </w:rPr>
              <w:t>师</w:t>
            </w:r>
            <w:r>
              <w:rPr>
                <w:rFonts w:hint="eastAsia" w:ascii="宋体" w:hAnsi="宋体"/>
                <w:color w:val="auto"/>
                <w:kern w:val="0"/>
                <w:highlight w:val="none"/>
              </w:rPr>
              <w:t>复核</w:t>
            </w:r>
          </w:p>
        </w:tc>
        <w:tc>
          <w:tcPr>
            <w:tcW w:w="4664" w:type="dxa"/>
            <w:gridSpan w:val="2"/>
            <w:vMerge w:val="continue"/>
            <w:tcBorders>
              <w:top w:val="nil"/>
              <w:left w:val="nil"/>
              <w:bottom w:val="nil"/>
              <w:right w:val="single" w:color="000000" w:sz="4" w:space="0"/>
            </w:tcBorders>
            <w:noWrap w:val="0"/>
            <w:vAlign w:val="center"/>
          </w:tcPr>
          <w:p w14:paraId="123A25CE">
            <w:pPr>
              <w:keepNext w:val="0"/>
              <w:keepLines w:val="0"/>
              <w:widowControl/>
              <w:suppressLineNumbers w:val="0"/>
              <w:spacing w:before="0" w:beforeAutospacing="0" w:after="0" w:afterAutospacing="0" w:line="360" w:lineRule="auto"/>
              <w:ind w:left="0" w:right="0"/>
              <w:jc w:val="left"/>
              <w:rPr>
                <w:rFonts w:hint="default" w:ascii="宋体" w:hAnsi="宋体"/>
                <w:color w:val="auto"/>
                <w:kern w:val="0"/>
                <w:highlight w:val="none"/>
              </w:rPr>
            </w:pPr>
          </w:p>
        </w:tc>
      </w:tr>
      <w:tr w14:paraId="026753B8">
        <w:tblPrEx>
          <w:tblCellMar>
            <w:top w:w="0" w:type="dxa"/>
            <w:left w:w="0" w:type="dxa"/>
            <w:bottom w:w="0" w:type="dxa"/>
            <w:right w:w="0" w:type="dxa"/>
          </w:tblCellMar>
        </w:tblPrEx>
        <w:trPr>
          <w:trHeight w:val="70" w:hRule="atLeast"/>
          <w:jc w:val="center"/>
        </w:trPr>
        <w:tc>
          <w:tcPr>
            <w:tcW w:w="4938" w:type="dxa"/>
            <w:gridSpan w:val="2"/>
            <w:tcBorders>
              <w:top w:val="nil"/>
              <w:left w:val="single" w:color="000000" w:sz="4" w:space="0"/>
              <w:bottom w:val="nil"/>
              <w:right w:val="single" w:color="000000" w:sz="4" w:space="0"/>
            </w:tcBorders>
            <w:noWrap w:val="0"/>
            <w:vAlign w:val="center"/>
          </w:tcPr>
          <w:p w14:paraId="7871ABDE">
            <w:pPr>
              <w:keepNext w:val="0"/>
              <w:keepLines w:val="0"/>
              <w:suppressLineNumbers w:val="0"/>
              <w:spacing w:before="0" w:beforeAutospacing="0" w:after="0" w:afterAutospacing="0" w:line="360" w:lineRule="auto"/>
              <w:ind w:left="0" w:right="0"/>
              <w:rPr>
                <w:rFonts w:hint="default" w:ascii="宋体" w:hAnsi="宋体"/>
                <w:color w:val="auto"/>
                <w:kern w:val="0"/>
                <w:highlight w:val="none"/>
              </w:rPr>
            </w:pPr>
          </w:p>
        </w:tc>
        <w:tc>
          <w:tcPr>
            <w:tcW w:w="4664" w:type="dxa"/>
            <w:gridSpan w:val="2"/>
            <w:tcBorders>
              <w:top w:val="nil"/>
              <w:left w:val="nil"/>
              <w:bottom w:val="nil"/>
              <w:right w:val="single" w:color="000000" w:sz="4" w:space="0"/>
            </w:tcBorders>
            <w:noWrap w:val="0"/>
            <w:vAlign w:val="center"/>
          </w:tcPr>
          <w:p w14:paraId="7C2806FA">
            <w:pPr>
              <w:keepNext w:val="0"/>
              <w:keepLines w:val="0"/>
              <w:suppressLineNumbers w:val="0"/>
              <w:spacing w:before="0" w:beforeAutospacing="0" w:after="0" w:afterAutospacing="0" w:line="360" w:lineRule="auto"/>
              <w:ind w:left="0" w:right="0"/>
              <w:rPr>
                <w:rFonts w:hint="default" w:ascii="宋体" w:hAnsi="宋体"/>
                <w:color w:val="auto"/>
                <w:kern w:val="0"/>
                <w:highlight w:val="none"/>
              </w:rPr>
            </w:pPr>
          </w:p>
        </w:tc>
      </w:tr>
      <w:tr w14:paraId="134947AE">
        <w:tblPrEx>
          <w:tblCellMar>
            <w:top w:w="0" w:type="dxa"/>
            <w:left w:w="0" w:type="dxa"/>
            <w:bottom w:w="0" w:type="dxa"/>
            <w:right w:w="0" w:type="dxa"/>
          </w:tblCellMar>
        </w:tblPrEx>
        <w:trPr>
          <w:trHeight w:val="899" w:hRule="atLeast"/>
          <w:jc w:val="center"/>
        </w:trPr>
        <w:tc>
          <w:tcPr>
            <w:tcW w:w="4938" w:type="dxa"/>
            <w:gridSpan w:val="2"/>
            <w:tcBorders>
              <w:top w:val="nil"/>
              <w:left w:val="single" w:color="000000" w:sz="4" w:space="0"/>
              <w:bottom w:val="single" w:color="000000" w:sz="4" w:space="0"/>
              <w:right w:val="single" w:color="000000" w:sz="4" w:space="0"/>
            </w:tcBorders>
            <w:noWrap w:val="0"/>
            <w:vAlign w:val="center"/>
          </w:tcPr>
          <w:p w14:paraId="32BAE2CC">
            <w:pPr>
              <w:keepNext w:val="0"/>
              <w:keepLines w:val="0"/>
              <w:suppressLineNumbers w:val="0"/>
              <w:wordWrap w:val="0"/>
              <w:spacing w:before="0" w:beforeAutospacing="0" w:after="0" w:afterAutospacing="0" w:line="360" w:lineRule="auto"/>
              <w:ind w:left="0" w:right="0"/>
              <w:jc w:val="right"/>
              <w:rPr>
                <w:rFonts w:hint="default" w:ascii="宋体" w:hAnsi="宋体"/>
                <w:color w:val="auto"/>
                <w:kern w:val="0"/>
                <w:highlight w:val="none"/>
                <w:u w:val="single" w:color="000000"/>
              </w:rPr>
            </w:pPr>
            <w:r>
              <w:rPr>
                <w:rFonts w:hint="eastAsia" w:ascii="宋体" w:hAnsi="宋体"/>
                <w:color w:val="auto"/>
                <w:kern w:val="0"/>
                <w:highlight w:val="none"/>
              </w:rPr>
              <w:t>监理工程师</w:t>
            </w:r>
            <w:r>
              <w:rPr>
                <w:rFonts w:hint="eastAsia" w:ascii="宋体" w:hAnsi="宋体"/>
                <w:color w:val="auto"/>
                <w:kern w:val="0"/>
                <w:highlight w:val="none"/>
                <w:u w:val="single"/>
              </w:rPr>
              <w:t xml:space="preserve">         </w:t>
            </w:r>
          </w:p>
          <w:p w14:paraId="0FF7B75B">
            <w:pPr>
              <w:keepNext w:val="0"/>
              <w:keepLines w:val="0"/>
              <w:suppressLineNumbers w:val="0"/>
              <w:wordWrap w:val="0"/>
              <w:spacing w:before="0" w:beforeAutospacing="0" w:after="0" w:afterAutospacing="0" w:line="360" w:lineRule="auto"/>
              <w:ind w:left="0" w:right="0"/>
              <w:jc w:val="right"/>
              <w:rPr>
                <w:rFonts w:hint="default" w:ascii="宋体" w:hAnsi="宋体"/>
                <w:color w:val="auto"/>
                <w:kern w:val="0"/>
                <w:highlight w:val="none"/>
              </w:rPr>
            </w:pPr>
            <w:r>
              <w:rPr>
                <w:rFonts w:hint="eastAsia" w:ascii="宋体" w:hAnsi="宋体"/>
                <w:color w:val="auto"/>
                <w:kern w:val="0"/>
                <w:highlight w:val="none"/>
              </w:rPr>
              <w:t>日期</w:t>
            </w:r>
            <w:r>
              <w:rPr>
                <w:rFonts w:hint="eastAsia" w:ascii="宋体" w:hAnsi="宋体"/>
                <w:color w:val="auto"/>
                <w:kern w:val="0"/>
                <w:highlight w:val="none"/>
                <w:u w:val="single"/>
              </w:rPr>
              <w:t xml:space="preserve">         </w:t>
            </w:r>
          </w:p>
        </w:tc>
        <w:tc>
          <w:tcPr>
            <w:tcW w:w="4664" w:type="dxa"/>
            <w:gridSpan w:val="2"/>
            <w:tcBorders>
              <w:top w:val="nil"/>
              <w:left w:val="nil"/>
              <w:bottom w:val="single" w:color="000000" w:sz="4" w:space="0"/>
              <w:right w:val="single" w:color="000000" w:sz="4" w:space="0"/>
            </w:tcBorders>
            <w:noWrap w:val="0"/>
            <w:vAlign w:val="center"/>
          </w:tcPr>
          <w:p w14:paraId="1AF7E8BB">
            <w:pPr>
              <w:keepNext w:val="0"/>
              <w:keepLines w:val="0"/>
              <w:suppressLineNumbers w:val="0"/>
              <w:wordWrap w:val="0"/>
              <w:spacing w:before="0" w:beforeAutospacing="0" w:after="0" w:afterAutospacing="0" w:line="360" w:lineRule="auto"/>
              <w:ind w:left="0" w:right="0"/>
              <w:jc w:val="right"/>
              <w:rPr>
                <w:rFonts w:hint="default" w:ascii="宋体" w:hAnsi="宋体"/>
                <w:color w:val="auto"/>
                <w:kern w:val="0"/>
                <w:highlight w:val="none"/>
                <w:u w:val="single" w:color="000000"/>
              </w:rPr>
            </w:pPr>
            <w:r>
              <w:rPr>
                <w:rFonts w:hint="eastAsia" w:ascii="宋体" w:hAnsi="宋体"/>
                <w:color w:val="auto"/>
                <w:kern w:val="0"/>
                <w:highlight w:val="none"/>
              </w:rPr>
              <w:t>一级注册造价工程师</w:t>
            </w:r>
            <w:r>
              <w:rPr>
                <w:rFonts w:hint="eastAsia" w:ascii="宋体" w:hAnsi="宋体"/>
                <w:color w:val="auto"/>
                <w:kern w:val="0"/>
                <w:highlight w:val="none"/>
                <w:u w:val="single"/>
              </w:rPr>
              <w:t xml:space="preserve">         </w:t>
            </w:r>
          </w:p>
          <w:p w14:paraId="6F546669">
            <w:pPr>
              <w:keepNext w:val="0"/>
              <w:keepLines w:val="0"/>
              <w:suppressLineNumbers w:val="0"/>
              <w:wordWrap w:val="0"/>
              <w:spacing w:before="0" w:beforeAutospacing="0" w:after="0" w:afterAutospacing="0" w:line="360" w:lineRule="auto"/>
              <w:ind w:left="0" w:right="0"/>
              <w:jc w:val="right"/>
              <w:rPr>
                <w:rFonts w:hint="default" w:ascii="宋体" w:hAnsi="宋体"/>
                <w:color w:val="auto"/>
                <w:kern w:val="0"/>
                <w:highlight w:val="none"/>
              </w:rPr>
            </w:pPr>
            <w:r>
              <w:rPr>
                <w:rFonts w:hint="eastAsia" w:ascii="宋体" w:hAnsi="宋体"/>
                <w:color w:val="auto"/>
                <w:kern w:val="0"/>
                <w:highlight w:val="none"/>
              </w:rPr>
              <w:t>日期</w:t>
            </w:r>
            <w:r>
              <w:rPr>
                <w:rFonts w:hint="eastAsia" w:ascii="宋体" w:hAnsi="宋体"/>
                <w:color w:val="auto"/>
                <w:kern w:val="0"/>
                <w:highlight w:val="none"/>
                <w:u w:val="single"/>
              </w:rPr>
              <w:t xml:space="preserve">         </w:t>
            </w:r>
          </w:p>
        </w:tc>
      </w:tr>
      <w:tr w14:paraId="53998930">
        <w:tblPrEx>
          <w:tblCellMar>
            <w:top w:w="0" w:type="dxa"/>
            <w:left w:w="0" w:type="dxa"/>
            <w:bottom w:w="0" w:type="dxa"/>
            <w:right w:w="0" w:type="dxa"/>
          </w:tblCellMar>
        </w:tblPrEx>
        <w:trPr>
          <w:trHeight w:val="403" w:hRule="atLeast"/>
          <w:jc w:val="center"/>
        </w:trPr>
        <w:tc>
          <w:tcPr>
            <w:tcW w:w="9602" w:type="dxa"/>
            <w:gridSpan w:val="4"/>
            <w:tcBorders>
              <w:top w:val="single" w:color="000000" w:sz="4" w:space="0"/>
              <w:left w:val="single" w:color="000000" w:sz="4" w:space="0"/>
              <w:bottom w:val="nil"/>
              <w:right w:val="single" w:color="000000" w:sz="4" w:space="0"/>
            </w:tcBorders>
            <w:noWrap w:val="0"/>
            <w:vAlign w:val="center"/>
          </w:tcPr>
          <w:p w14:paraId="1D683067">
            <w:pPr>
              <w:keepNext w:val="0"/>
              <w:keepLines w:val="0"/>
              <w:suppressLineNumbers w:val="0"/>
              <w:spacing w:before="56" w:beforeAutospacing="0" w:after="0" w:afterAutospacing="0" w:line="360" w:lineRule="auto"/>
              <w:ind w:left="0" w:right="0"/>
              <w:rPr>
                <w:rFonts w:hint="default" w:ascii="宋体" w:hAnsi="宋体"/>
                <w:color w:val="auto"/>
                <w:kern w:val="0"/>
                <w:highlight w:val="none"/>
              </w:rPr>
            </w:pPr>
            <w:r>
              <w:rPr>
                <w:rFonts w:hint="eastAsia" w:ascii="宋体" w:hAnsi="宋体"/>
                <w:color w:val="auto"/>
                <w:kern w:val="0"/>
                <w:highlight w:val="none"/>
              </w:rPr>
              <w:t>审核意见：</w:t>
            </w:r>
          </w:p>
        </w:tc>
      </w:tr>
      <w:tr w14:paraId="43CF99BF">
        <w:tblPrEx>
          <w:tblCellMar>
            <w:top w:w="0" w:type="dxa"/>
            <w:left w:w="0" w:type="dxa"/>
            <w:bottom w:w="0" w:type="dxa"/>
            <w:right w:w="0" w:type="dxa"/>
          </w:tblCellMar>
        </w:tblPrEx>
        <w:trPr>
          <w:trHeight w:val="319" w:hRule="atLeast"/>
          <w:jc w:val="center"/>
        </w:trPr>
        <w:tc>
          <w:tcPr>
            <w:tcW w:w="9602" w:type="dxa"/>
            <w:gridSpan w:val="4"/>
            <w:tcBorders>
              <w:top w:val="nil"/>
              <w:left w:val="single" w:color="000000" w:sz="4" w:space="0"/>
              <w:bottom w:val="nil"/>
              <w:right w:val="single" w:color="000000" w:sz="4" w:space="0"/>
            </w:tcBorders>
            <w:noWrap w:val="0"/>
            <w:vAlign w:val="center"/>
          </w:tcPr>
          <w:p w14:paraId="1C08C6D0">
            <w:pPr>
              <w:keepNext w:val="0"/>
              <w:keepLines w:val="0"/>
              <w:suppressLineNumbers w:val="0"/>
              <w:spacing w:before="0" w:beforeAutospacing="0" w:after="0" w:afterAutospacing="0" w:line="360" w:lineRule="auto"/>
              <w:ind w:left="0" w:right="0"/>
              <w:rPr>
                <w:rFonts w:hint="default" w:ascii="宋体" w:hAnsi="宋体"/>
                <w:color w:val="auto"/>
                <w:kern w:val="0"/>
                <w:highlight w:val="none"/>
              </w:rPr>
            </w:pPr>
            <w:r>
              <w:rPr>
                <w:rFonts w:hint="eastAsia" w:ascii="宋体" w:hAnsi="宋体"/>
                <w:color w:val="auto"/>
                <w:kern w:val="0"/>
                <w:highlight w:val="none"/>
              </w:rPr>
              <w:t>□不同意</w:t>
            </w:r>
          </w:p>
        </w:tc>
      </w:tr>
      <w:tr w14:paraId="0ABD38A1">
        <w:tblPrEx>
          <w:tblCellMar>
            <w:top w:w="0" w:type="dxa"/>
            <w:left w:w="0" w:type="dxa"/>
            <w:bottom w:w="0" w:type="dxa"/>
            <w:right w:w="0" w:type="dxa"/>
          </w:tblCellMar>
        </w:tblPrEx>
        <w:trPr>
          <w:trHeight w:val="319" w:hRule="atLeast"/>
          <w:jc w:val="center"/>
        </w:trPr>
        <w:tc>
          <w:tcPr>
            <w:tcW w:w="9602" w:type="dxa"/>
            <w:gridSpan w:val="4"/>
            <w:tcBorders>
              <w:top w:val="nil"/>
              <w:left w:val="single" w:color="000000" w:sz="4" w:space="0"/>
              <w:bottom w:val="nil"/>
              <w:right w:val="single" w:color="000000" w:sz="4" w:space="0"/>
            </w:tcBorders>
            <w:noWrap w:val="0"/>
            <w:vAlign w:val="center"/>
          </w:tcPr>
          <w:p w14:paraId="14FD13D9">
            <w:pPr>
              <w:keepNext w:val="0"/>
              <w:keepLines w:val="0"/>
              <w:suppressLineNumbers w:val="0"/>
              <w:spacing w:before="0" w:beforeAutospacing="0" w:after="0" w:afterAutospacing="0" w:line="360" w:lineRule="auto"/>
              <w:ind w:left="0" w:right="0"/>
              <w:rPr>
                <w:rFonts w:hint="default" w:ascii="宋体" w:hAnsi="宋体"/>
                <w:color w:val="auto"/>
                <w:kern w:val="0"/>
                <w:highlight w:val="none"/>
              </w:rPr>
            </w:pPr>
            <w:r>
              <w:rPr>
                <w:rFonts w:hint="eastAsia" w:ascii="宋体" w:hAnsi="宋体"/>
                <w:color w:val="auto"/>
                <w:kern w:val="0"/>
                <w:highlight w:val="none"/>
              </w:rPr>
              <w:t>□同意</w:t>
            </w:r>
          </w:p>
        </w:tc>
      </w:tr>
      <w:tr w14:paraId="33B702DE">
        <w:tblPrEx>
          <w:tblCellMar>
            <w:top w:w="0" w:type="dxa"/>
            <w:left w:w="0" w:type="dxa"/>
            <w:bottom w:w="0" w:type="dxa"/>
            <w:right w:w="0" w:type="dxa"/>
          </w:tblCellMar>
        </w:tblPrEx>
        <w:trPr>
          <w:trHeight w:val="319" w:hRule="atLeast"/>
          <w:jc w:val="center"/>
        </w:trPr>
        <w:tc>
          <w:tcPr>
            <w:tcW w:w="9602" w:type="dxa"/>
            <w:gridSpan w:val="4"/>
            <w:tcBorders>
              <w:top w:val="nil"/>
              <w:left w:val="single" w:color="000000" w:sz="4" w:space="0"/>
              <w:bottom w:val="nil"/>
              <w:right w:val="single" w:color="000000" w:sz="4" w:space="0"/>
            </w:tcBorders>
            <w:noWrap w:val="0"/>
            <w:vAlign w:val="top"/>
          </w:tcPr>
          <w:p w14:paraId="056036F2">
            <w:pPr>
              <w:keepNext w:val="0"/>
              <w:keepLines w:val="0"/>
              <w:suppressLineNumbers w:val="0"/>
              <w:wordWrap w:val="0"/>
              <w:spacing w:before="0" w:beforeAutospacing="0" w:after="0" w:afterAutospacing="0" w:line="360" w:lineRule="auto"/>
              <w:ind w:left="0" w:right="360"/>
              <w:jc w:val="right"/>
              <w:rPr>
                <w:rFonts w:hint="default" w:ascii="宋体" w:hAnsi="宋体"/>
                <w:color w:val="auto"/>
                <w:kern w:val="0"/>
                <w:highlight w:val="none"/>
              </w:rPr>
            </w:pPr>
            <w:r>
              <w:rPr>
                <w:rFonts w:hint="eastAsia" w:ascii="宋体" w:hAnsi="宋体"/>
                <w:color w:val="auto"/>
                <w:kern w:val="0"/>
                <w:highlight w:val="none"/>
              </w:rPr>
              <w:t xml:space="preserve">发包人（章）     </w:t>
            </w:r>
          </w:p>
        </w:tc>
      </w:tr>
      <w:tr w14:paraId="6162E2D7">
        <w:tblPrEx>
          <w:tblCellMar>
            <w:top w:w="0" w:type="dxa"/>
            <w:left w:w="0" w:type="dxa"/>
            <w:bottom w:w="0" w:type="dxa"/>
            <w:right w:w="0" w:type="dxa"/>
          </w:tblCellMar>
        </w:tblPrEx>
        <w:trPr>
          <w:trHeight w:val="319" w:hRule="atLeast"/>
          <w:jc w:val="center"/>
        </w:trPr>
        <w:tc>
          <w:tcPr>
            <w:tcW w:w="9602" w:type="dxa"/>
            <w:gridSpan w:val="4"/>
            <w:tcBorders>
              <w:top w:val="nil"/>
              <w:left w:val="single" w:color="000000" w:sz="4" w:space="0"/>
              <w:bottom w:val="nil"/>
              <w:right w:val="single" w:color="000000" w:sz="4" w:space="0"/>
            </w:tcBorders>
            <w:noWrap w:val="0"/>
            <w:vAlign w:val="top"/>
          </w:tcPr>
          <w:p w14:paraId="3090106F">
            <w:pPr>
              <w:keepNext w:val="0"/>
              <w:keepLines w:val="0"/>
              <w:suppressLineNumbers w:val="0"/>
              <w:spacing w:before="0" w:beforeAutospacing="0" w:after="0" w:afterAutospacing="0" w:line="360" w:lineRule="auto"/>
              <w:ind w:left="0" w:right="0"/>
              <w:jc w:val="right"/>
              <w:rPr>
                <w:rFonts w:hint="default" w:ascii="宋体" w:hAnsi="宋体"/>
                <w:color w:val="auto"/>
                <w:kern w:val="0"/>
                <w:highlight w:val="none"/>
              </w:rPr>
            </w:pPr>
            <w:r>
              <w:rPr>
                <w:rFonts w:hint="eastAsia" w:ascii="宋体" w:hAnsi="宋体"/>
                <w:color w:val="auto"/>
                <w:kern w:val="0"/>
                <w:highlight w:val="none"/>
              </w:rPr>
              <w:t>发包人代表</w:t>
            </w:r>
            <w:r>
              <w:rPr>
                <w:rFonts w:hint="eastAsia" w:ascii="宋体" w:hAnsi="宋体"/>
                <w:color w:val="auto"/>
                <w:kern w:val="0"/>
                <w:highlight w:val="none"/>
                <w:u w:val="single"/>
              </w:rPr>
              <w:tab/>
            </w:r>
            <w:r>
              <w:rPr>
                <w:rFonts w:hint="eastAsia" w:ascii="宋体" w:hAnsi="宋体"/>
                <w:color w:val="auto"/>
                <w:kern w:val="0"/>
                <w:highlight w:val="none"/>
                <w:u w:val="single"/>
              </w:rPr>
              <w:t xml:space="preserve">    </w:t>
            </w:r>
            <w:r>
              <w:rPr>
                <w:rFonts w:hint="eastAsia" w:ascii="宋体" w:hAnsi="宋体"/>
                <w:color w:val="auto"/>
                <w:kern w:val="0"/>
                <w:highlight w:val="none"/>
                <w:u w:val="single" w:color="000000"/>
              </w:rPr>
              <w:tab/>
            </w:r>
          </w:p>
        </w:tc>
      </w:tr>
      <w:tr w14:paraId="41E121EB">
        <w:tblPrEx>
          <w:tblCellMar>
            <w:top w:w="0" w:type="dxa"/>
            <w:left w:w="0" w:type="dxa"/>
            <w:bottom w:w="0" w:type="dxa"/>
            <w:right w:w="0" w:type="dxa"/>
          </w:tblCellMar>
        </w:tblPrEx>
        <w:trPr>
          <w:trHeight w:val="489" w:hRule="atLeast"/>
          <w:jc w:val="center"/>
        </w:trPr>
        <w:tc>
          <w:tcPr>
            <w:tcW w:w="9602" w:type="dxa"/>
            <w:gridSpan w:val="4"/>
            <w:tcBorders>
              <w:top w:val="nil"/>
              <w:left w:val="single" w:color="000000" w:sz="4" w:space="0"/>
              <w:bottom w:val="single" w:color="000000" w:sz="4" w:space="0"/>
              <w:right w:val="single" w:color="000000" w:sz="4" w:space="0"/>
            </w:tcBorders>
            <w:noWrap w:val="0"/>
            <w:vAlign w:val="top"/>
          </w:tcPr>
          <w:p w14:paraId="757F5C27">
            <w:pPr>
              <w:keepNext w:val="0"/>
              <w:keepLines w:val="0"/>
              <w:suppressLineNumbers w:val="0"/>
              <w:wordWrap w:val="0"/>
              <w:spacing w:before="0" w:beforeAutospacing="0" w:after="0" w:afterAutospacing="0" w:line="360" w:lineRule="auto"/>
              <w:ind w:left="0" w:right="0"/>
              <w:jc w:val="right"/>
              <w:rPr>
                <w:rFonts w:hint="default" w:ascii="宋体" w:hAnsi="宋体"/>
                <w:color w:val="auto"/>
                <w:kern w:val="0"/>
                <w:highlight w:val="none"/>
              </w:rPr>
            </w:pPr>
            <w:r>
              <w:rPr>
                <w:rFonts w:hint="eastAsia" w:ascii="宋体" w:hAnsi="宋体"/>
                <w:color w:val="auto"/>
                <w:kern w:val="0"/>
                <w:highlight w:val="none"/>
              </w:rPr>
              <w:t>日期</w:t>
            </w:r>
            <w:r>
              <w:rPr>
                <w:rFonts w:hint="eastAsia" w:ascii="宋体" w:hAnsi="宋体"/>
                <w:color w:val="auto"/>
                <w:kern w:val="0"/>
                <w:highlight w:val="none"/>
                <w:u w:val="single" w:color="000000"/>
              </w:rPr>
              <w:tab/>
            </w:r>
            <w:r>
              <w:rPr>
                <w:rFonts w:hint="eastAsia" w:ascii="宋体" w:hAnsi="宋体"/>
                <w:color w:val="auto"/>
                <w:kern w:val="0"/>
                <w:highlight w:val="none"/>
                <w:u w:val="single" w:color="000000"/>
              </w:rPr>
              <w:t xml:space="preserve">      </w:t>
            </w:r>
          </w:p>
        </w:tc>
      </w:tr>
    </w:tbl>
    <w:p w14:paraId="0C0B995C">
      <w:pPr>
        <w:spacing w:line="36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注：</w:t>
      </w:r>
      <w:r>
        <w:rPr>
          <w:rFonts w:hint="eastAsia" w:ascii="宋体" w:hAnsi="宋体"/>
          <w:color w:val="auto"/>
          <w:spacing w:val="1"/>
          <w:sz w:val="18"/>
          <w:szCs w:val="18"/>
          <w:highlight w:val="none"/>
        </w:rPr>
        <w:t>1  应</w:t>
      </w:r>
      <w:r>
        <w:rPr>
          <w:rFonts w:hint="eastAsia" w:ascii="宋体" w:hAnsi="宋体"/>
          <w:color w:val="auto"/>
          <w:sz w:val="18"/>
          <w:szCs w:val="18"/>
          <w:highlight w:val="none"/>
        </w:rPr>
        <w:t>在选择栏中的</w:t>
      </w:r>
      <w:r>
        <w:rPr>
          <w:rFonts w:hint="eastAsia" w:ascii="宋体" w:hAnsi="宋体"/>
          <w:color w:val="auto"/>
          <w:sz w:val="18"/>
          <w:szCs w:val="18"/>
          <w:highlight w:val="none"/>
          <w:lang w:eastAsia="zh-CN"/>
        </w:rPr>
        <w:t>“</w:t>
      </w:r>
      <w:r>
        <w:rPr>
          <w:rFonts w:hint="eastAsia" w:ascii="宋体" w:hAnsi="宋体"/>
          <w:color w:val="auto"/>
          <w:sz w:val="18"/>
          <w:szCs w:val="18"/>
          <w:highlight w:val="none"/>
        </w:rPr>
        <w:t>□</w:t>
      </w:r>
      <w:r>
        <w:rPr>
          <w:rFonts w:hint="eastAsia" w:ascii="宋体" w:hAnsi="宋体"/>
          <w:color w:val="auto"/>
          <w:sz w:val="18"/>
          <w:szCs w:val="18"/>
          <w:highlight w:val="none"/>
          <w:lang w:eastAsia="zh-CN"/>
        </w:rPr>
        <w:t>”</w:t>
      </w:r>
      <w:r>
        <w:rPr>
          <w:rFonts w:hint="eastAsia" w:ascii="宋体" w:hAnsi="宋体"/>
          <w:color w:val="auto"/>
          <w:sz w:val="18"/>
          <w:szCs w:val="18"/>
          <w:highlight w:val="none"/>
        </w:rPr>
        <w:t>内作标识</w:t>
      </w:r>
      <w:r>
        <w:rPr>
          <w:rFonts w:hint="eastAsia" w:ascii="宋体" w:hAnsi="宋体"/>
          <w:color w:val="auto"/>
          <w:sz w:val="18"/>
          <w:szCs w:val="18"/>
          <w:highlight w:val="none"/>
          <w:lang w:eastAsia="zh-CN"/>
        </w:rPr>
        <w:t>“</w:t>
      </w:r>
      <w:r>
        <w:rPr>
          <w:rFonts w:hint="eastAsia" w:ascii="宋体" w:hAnsi="宋体"/>
          <w:color w:val="auto"/>
          <w:sz w:val="18"/>
          <w:szCs w:val="18"/>
          <w:highlight w:val="none"/>
        </w:rPr>
        <w:t>√</w:t>
      </w:r>
      <w:r>
        <w:rPr>
          <w:rFonts w:hint="eastAsia" w:ascii="宋体" w:hAnsi="宋体"/>
          <w:color w:val="auto"/>
          <w:spacing w:val="-92"/>
          <w:sz w:val="18"/>
          <w:szCs w:val="18"/>
          <w:highlight w:val="none"/>
          <w:lang w:eastAsia="zh-CN"/>
        </w:rPr>
        <w:t>”</w:t>
      </w:r>
      <w:r>
        <w:rPr>
          <w:rFonts w:hint="eastAsia" w:ascii="宋体" w:hAnsi="宋体"/>
          <w:color w:val="auto"/>
          <w:sz w:val="18"/>
          <w:szCs w:val="18"/>
          <w:highlight w:val="none"/>
        </w:rPr>
        <w:t>。如监理人已退场</w:t>
      </w:r>
      <w:r>
        <w:rPr>
          <w:rFonts w:hint="eastAsia" w:ascii="宋体" w:hAnsi="宋体"/>
          <w:color w:val="auto"/>
          <w:sz w:val="18"/>
          <w:szCs w:val="18"/>
          <w:highlight w:val="none"/>
          <w:lang w:eastAsia="zh-CN"/>
        </w:rPr>
        <w:t>，</w:t>
      </w:r>
      <w:r>
        <w:rPr>
          <w:rFonts w:hint="eastAsia" w:ascii="宋体" w:hAnsi="宋体"/>
          <w:color w:val="auto"/>
          <w:sz w:val="18"/>
          <w:szCs w:val="18"/>
          <w:highlight w:val="none"/>
        </w:rPr>
        <w:t>监理工程师栏可空缺；</w:t>
      </w:r>
    </w:p>
    <w:p w14:paraId="7B6D5D14">
      <w:pPr>
        <w:spacing w:before="46" w:line="360" w:lineRule="auto"/>
        <w:ind w:firstLine="364" w:firstLineChars="200"/>
        <w:jc w:val="left"/>
        <w:rPr>
          <w:rFonts w:hint="eastAsia" w:ascii="宋体" w:hAnsi="宋体"/>
          <w:color w:val="auto"/>
          <w:sz w:val="18"/>
          <w:szCs w:val="18"/>
          <w:highlight w:val="none"/>
        </w:rPr>
      </w:pPr>
      <w:r>
        <w:rPr>
          <w:rFonts w:hint="eastAsia" w:ascii="宋体" w:hAnsi="宋体"/>
          <w:color w:val="auto"/>
          <w:spacing w:val="1"/>
          <w:sz w:val="18"/>
          <w:szCs w:val="18"/>
          <w:highlight w:val="none"/>
        </w:rPr>
        <w:t xml:space="preserve">2  </w:t>
      </w:r>
      <w:r>
        <w:rPr>
          <w:rFonts w:hint="eastAsia" w:ascii="宋体" w:hAnsi="宋体"/>
          <w:color w:val="auto"/>
          <w:sz w:val="18"/>
          <w:szCs w:val="18"/>
          <w:highlight w:val="none"/>
        </w:rPr>
        <w:t>本表一式四份</w:t>
      </w:r>
      <w:r>
        <w:rPr>
          <w:rFonts w:hint="eastAsia" w:ascii="宋体" w:hAnsi="宋体"/>
          <w:color w:val="auto"/>
          <w:sz w:val="18"/>
          <w:szCs w:val="18"/>
          <w:highlight w:val="none"/>
          <w:lang w:eastAsia="zh-CN"/>
        </w:rPr>
        <w:t>，</w:t>
      </w:r>
      <w:r>
        <w:rPr>
          <w:rFonts w:hint="eastAsia" w:ascii="宋体" w:hAnsi="宋体"/>
          <w:color w:val="auto"/>
          <w:sz w:val="18"/>
          <w:szCs w:val="18"/>
          <w:highlight w:val="none"/>
        </w:rPr>
        <w:t>应由承包人填报</w:t>
      </w:r>
      <w:r>
        <w:rPr>
          <w:rFonts w:hint="eastAsia" w:ascii="宋体" w:hAnsi="宋体"/>
          <w:color w:val="auto"/>
          <w:sz w:val="18"/>
          <w:szCs w:val="18"/>
          <w:highlight w:val="none"/>
          <w:lang w:eastAsia="zh-CN"/>
        </w:rPr>
        <w:t>，</w:t>
      </w:r>
      <w:r>
        <w:rPr>
          <w:rFonts w:hint="eastAsia" w:ascii="宋体" w:hAnsi="宋体"/>
          <w:color w:val="auto"/>
          <w:sz w:val="18"/>
          <w:szCs w:val="18"/>
          <w:highlight w:val="none"/>
        </w:rPr>
        <w:t>发包人、监理人、工程造价咨询人、承包人各存一份；</w:t>
      </w:r>
    </w:p>
    <w:p w14:paraId="76A9DE62">
      <w:pPr>
        <w:spacing w:before="46" w:beforeLines="-2147483648" w:line="360" w:lineRule="auto"/>
        <w:ind w:left="0" w:firstLine="364" w:firstLineChars="200"/>
        <w:rPr>
          <w:rFonts w:ascii="宋体"/>
          <w:color w:val="auto"/>
          <w:sz w:val="30"/>
          <w:szCs w:val="30"/>
          <w:highlight w:val="none"/>
        </w:rPr>
      </w:pPr>
      <w:r>
        <w:rPr>
          <w:rFonts w:hint="eastAsia" w:ascii="宋体" w:hAnsi="宋体"/>
          <w:color w:val="auto"/>
          <w:spacing w:val="1"/>
          <w:sz w:val="18"/>
          <w:szCs w:val="18"/>
          <w:highlight w:val="none"/>
        </w:rPr>
        <w:t xml:space="preserve">3  </w:t>
      </w:r>
      <w:r>
        <w:rPr>
          <w:rFonts w:hint="eastAsia" w:ascii="宋体" w:hAnsi="宋体"/>
          <w:color w:val="auto"/>
          <w:sz w:val="18"/>
          <w:szCs w:val="18"/>
          <w:highlight w:val="none"/>
        </w:rPr>
        <w:t>编制人员、一级注册造价工程师应签字和盖章</w:t>
      </w:r>
      <w:r>
        <w:rPr>
          <w:rFonts w:hint="eastAsia" w:ascii="宋体" w:hAnsi="宋体"/>
          <w:color w:val="auto"/>
          <w:sz w:val="18"/>
          <w:szCs w:val="18"/>
          <w:highlight w:val="none"/>
          <w:lang w:eastAsia="zh-CN"/>
        </w:rPr>
        <w:t>，</w:t>
      </w:r>
      <w:r>
        <w:rPr>
          <w:rFonts w:hint="eastAsia" w:ascii="宋体" w:hAnsi="宋体"/>
          <w:color w:val="auto"/>
          <w:sz w:val="18"/>
          <w:szCs w:val="18"/>
          <w:highlight w:val="none"/>
        </w:rPr>
        <w:t>承包人代表、监理工程师、发包人代表应签字或盖章。</w:t>
      </w:r>
    </w:p>
    <w:p w14:paraId="792257BB">
      <w:pPr>
        <w:spacing w:before="46" w:beforeLines="-2147483648" w:line="360" w:lineRule="auto"/>
        <w:ind w:left="0" w:firstLine="300" w:firstLineChars="100"/>
        <w:rPr>
          <w:rFonts w:ascii="宋体"/>
          <w:color w:val="auto"/>
          <w:sz w:val="30"/>
          <w:szCs w:val="30"/>
          <w:highlight w:val="none"/>
        </w:rPr>
      </w:pPr>
    </w:p>
    <w:p w14:paraId="0F0B1C5A">
      <w:pPr>
        <w:spacing w:before="46" w:beforeLines="-2147483648" w:line="360" w:lineRule="auto"/>
        <w:ind w:left="0" w:firstLine="300" w:firstLineChars="100"/>
        <w:rPr>
          <w:rFonts w:ascii="宋体"/>
          <w:color w:val="auto"/>
          <w:sz w:val="30"/>
          <w:szCs w:val="30"/>
          <w:highlight w:val="none"/>
        </w:rPr>
      </w:pPr>
    </w:p>
    <w:p w14:paraId="59031FB3">
      <w:pPr>
        <w:spacing w:before="120" w:beforeLines="50" w:after="120" w:afterLines="50" w:line="360" w:lineRule="auto"/>
        <w:jc w:val="left"/>
        <w:rPr>
          <w:rFonts w:hint="eastAsia" w:ascii="仿宋_GB2312" w:eastAsia="仿宋_GB2312" w:cs="仿宋_GB2312"/>
          <w:color w:val="auto"/>
          <w:sz w:val="30"/>
          <w:szCs w:val="30"/>
          <w:highlight w:val="none"/>
        </w:rPr>
      </w:pPr>
    </w:p>
    <w:p w14:paraId="7FD6E0F5">
      <w:pPr>
        <w:spacing w:before="120" w:beforeLines="50" w:after="120" w:afterLines="50" w:line="360" w:lineRule="auto"/>
        <w:jc w:val="left"/>
        <w:rPr>
          <w:rFonts w:hint="eastAsia" w:ascii="仿宋_GB2312" w:eastAsia="仿宋_GB2312" w:cs="仿宋_GB2312"/>
          <w:color w:val="auto"/>
          <w:sz w:val="30"/>
          <w:szCs w:val="30"/>
          <w:highlight w:val="none"/>
        </w:rPr>
      </w:pPr>
    </w:p>
    <w:p w14:paraId="288489DA">
      <w:pPr>
        <w:spacing w:before="120" w:beforeLines="50" w:after="120" w:afterLines="50" w:line="360" w:lineRule="auto"/>
        <w:jc w:val="left"/>
        <w:rPr>
          <w:rFonts w:hint="eastAsia" w:ascii="仿宋_GB2312" w:eastAsia="仿宋_GB2312" w:cs="仿宋_GB2312"/>
          <w:color w:val="auto"/>
          <w:sz w:val="30"/>
          <w:szCs w:val="30"/>
          <w:highlight w:val="none"/>
        </w:rPr>
      </w:pPr>
    </w:p>
    <w:p w14:paraId="4656A530">
      <w:pPr>
        <w:spacing w:before="120" w:beforeLines="50" w:after="120" w:afterLines="50" w:line="360" w:lineRule="auto"/>
        <w:jc w:val="left"/>
        <w:rPr>
          <w:rFonts w:hint="eastAsia" w:ascii="仿宋_GB2312" w:eastAsia="仿宋_GB2312" w:cs="仿宋_GB2312"/>
          <w:color w:val="auto"/>
          <w:sz w:val="30"/>
          <w:szCs w:val="30"/>
          <w:highlight w:val="none"/>
        </w:rPr>
      </w:pPr>
    </w:p>
    <w:p w14:paraId="7F8B1E9D">
      <w:pPr>
        <w:spacing w:before="120" w:beforeLines="50" w:after="120" w:afterLines="50" w:line="360" w:lineRule="auto"/>
        <w:jc w:val="left"/>
        <w:rPr>
          <w:rFonts w:hint="eastAsia" w:ascii="仿宋_GB2312" w:eastAsia="仿宋_GB2312" w:cs="仿宋_GB2312"/>
          <w:color w:val="auto"/>
          <w:sz w:val="30"/>
          <w:szCs w:val="30"/>
          <w:highlight w:val="none"/>
        </w:rPr>
      </w:pPr>
    </w:p>
    <w:p w14:paraId="4E399D41">
      <w:pPr>
        <w:spacing w:before="120" w:beforeLines="50" w:after="120" w:afterLines="50" w:line="360" w:lineRule="auto"/>
        <w:jc w:val="left"/>
        <w:rPr>
          <w:rFonts w:hint="eastAsia" w:ascii="仿宋_GB2312" w:eastAsia="仿宋_GB2312" w:cs="仿宋_GB2312"/>
          <w:color w:val="auto"/>
          <w:sz w:val="30"/>
          <w:szCs w:val="30"/>
          <w:highlight w:val="none"/>
        </w:rPr>
      </w:pPr>
    </w:p>
    <w:p w14:paraId="2692C3B2">
      <w:pPr>
        <w:spacing w:before="120" w:beforeLines="50" w:after="120" w:afterLines="50" w:line="360" w:lineRule="auto"/>
        <w:jc w:val="left"/>
        <w:rPr>
          <w:rFonts w:hint="eastAsia" w:ascii="仿宋_GB2312" w:eastAsia="仿宋_GB2312" w:cs="仿宋_GB2312"/>
          <w:color w:val="auto"/>
          <w:sz w:val="30"/>
          <w:szCs w:val="30"/>
          <w:highlight w:val="none"/>
        </w:rPr>
      </w:pPr>
    </w:p>
    <w:p w14:paraId="192847CC">
      <w:pPr>
        <w:spacing w:before="120" w:beforeLines="50" w:after="120" w:afterLines="50" w:line="360" w:lineRule="auto"/>
        <w:jc w:val="left"/>
        <w:rPr>
          <w:rFonts w:hint="eastAsia" w:ascii="仿宋_GB2312" w:eastAsia="仿宋_GB2312" w:cs="仿宋_GB2312"/>
          <w:color w:val="auto"/>
          <w:sz w:val="30"/>
          <w:szCs w:val="30"/>
          <w:highlight w:val="none"/>
        </w:rPr>
      </w:pPr>
    </w:p>
    <w:p w14:paraId="774F0037">
      <w:pPr>
        <w:spacing w:before="120" w:beforeLines="50" w:after="120" w:afterLines="50" w:line="360" w:lineRule="auto"/>
        <w:jc w:val="left"/>
        <w:rPr>
          <w:rFonts w:hint="eastAsia" w:ascii="仿宋_GB2312" w:eastAsia="仿宋_GB2312" w:cs="仿宋_GB2312"/>
          <w:color w:val="auto"/>
          <w:sz w:val="30"/>
          <w:szCs w:val="30"/>
          <w:highlight w:val="none"/>
        </w:rPr>
      </w:pPr>
    </w:p>
    <w:p w14:paraId="5F831974">
      <w:pPr>
        <w:spacing w:before="120" w:beforeLines="50" w:after="120" w:afterLines="50" w:line="360" w:lineRule="auto"/>
        <w:jc w:val="left"/>
        <w:rPr>
          <w:rFonts w:hint="eastAsia" w:ascii="仿宋_GB2312" w:eastAsia="仿宋_GB2312" w:cs="仿宋_GB2312"/>
          <w:color w:val="auto"/>
          <w:sz w:val="30"/>
          <w:szCs w:val="30"/>
          <w:highlight w:val="none"/>
        </w:rPr>
      </w:pPr>
    </w:p>
    <w:p w14:paraId="413BB22A">
      <w:pPr>
        <w:spacing w:before="120" w:beforeLines="50" w:after="120" w:afterLines="50" w:line="360" w:lineRule="auto"/>
        <w:jc w:val="left"/>
        <w:rPr>
          <w:rFonts w:hint="eastAsia" w:ascii="仿宋_GB2312" w:eastAsia="仿宋_GB2312" w:cs="仿宋_GB2312"/>
          <w:color w:val="auto"/>
          <w:sz w:val="30"/>
          <w:szCs w:val="30"/>
          <w:highlight w:val="none"/>
        </w:rPr>
      </w:pPr>
    </w:p>
    <w:p w14:paraId="0C8EFDF2">
      <w:pPr>
        <w:spacing w:before="120" w:beforeLines="50" w:after="120" w:afterLines="50" w:line="360" w:lineRule="auto"/>
        <w:jc w:val="left"/>
        <w:rPr>
          <w:rFonts w:hint="eastAsia" w:ascii="仿宋_GB2312" w:eastAsia="仿宋_GB2312" w:cs="仿宋_GB2312"/>
          <w:color w:val="auto"/>
          <w:sz w:val="30"/>
          <w:szCs w:val="30"/>
          <w:highlight w:val="none"/>
        </w:rPr>
      </w:pPr>
    </w:p>
    <w:p w14:paraId="0D3842D5">
      <w:pPr>
        <w:spacing w:before="120" w:beforeLines="50" w:after="120" w:afterLines="50" w:line="360" w:lineRule="auto"/>
        <w:jc w:val="left"/>
        <w:rPr>
          <w:rFonts w:hint="eastAsia" w:ascii="仿宋_GB2312" w:eastAsia="仿宋_GB2312" w:cs="仿宋_GB2312"/>
          <w:color w:val="auto"/>
          <w:sz w:val="30"/>
          <w:szCs w:val="30"/>
          <w:highlight w:val="none"/>
        </w:rPr>
      </w:pPr>
    </w:p>
    <w:p w14:paraId="12A8D0CA">
      <w:pPr>
        <w:spacing w:before="120" w:beforeLines="50" w:after="120" w:afterLines="50" w:line="360" w:lineRule="auto"/>
        <w:jc w:val="left"/>
        <w:rPr>
          <w:rFonts w:hint="eastAsia" w:ascii="仿宋_GB2312" w:eastAsia="仿宋_GB2312" w:cs="仿宋_GB2312"/>
          <w:color w:val="auto"/>
          <w:sz w:val="30"/>
          <w:szCs w:val="30"/>
          <w:highlight w:val="none"/>
        </w:rPr>
      </w:pPr>
    </w:p>
    <w:p w14:paraId="2F1AA24F">
      <w:pPr>
        <w:spacing w:before="120" w:beforeLines="50" w:after="120" w:afterLines="50" w:line="360" w:lineRule="auto"/>
        <w:jc w:val="left"/>
        <w:rPr>
          <w:rFonts w:hint="eastAsia"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附件14：进度款支付分解表</w:t>
      </w:r>
    </w:p>
    <w:p w14:paraId="28289039">
      <w:pPr>
        <w:spacing w:line="360" w:lineRule="auto"/>
        <w:ind w:firstLine="1807" w:firstLineChars="600"/>
        <w:outlineLvl w:val="9"/>
        <w:rPr>
          <w:rFonts w:ascii="宋体" w:hAnsi="宋体"/>
          <w:b/>
          <w:color w:val="auto"/>
          <w:kern w:val="2"/>
          <w:sz w:val="30"/>
          <w:szCs w:val="30"/>
          <w:highlight w:val="none"/>
          <w:lang w:val="en"/>
        </w:rPr>
      </w:pPr>
      <w:r>
        <w:rPr>
          <w:rFonts w:hint="default" w:ascii="宋体" w:hAnsi="宋体"/>
          <w:b/>
          <w:color w:val="auto"/>
          <w:sz w:val="30"/>
          <w:szCs w:val="30"/>
          <w:highlight w:val="none"/>
          <w:lang w:val="en"/>
        </w:rPr>
        <w:t>进度款支付分解表</w:t>
      </w:r>
      <w:r>
        <w:rPr>
          <w:rFonts w:hint="default" w:ascii="宋体" w:hAnsi="宋体"/>
          <w:b/>
          <w:color w:val="auto"/>
          <w:sz w:val="30"/>
          <w:szCs w:val="30"/>
          <w:highlight w:val="none"/>
          <w:lang w:val="en" w:eastAsia="zh-CN"/>
        </w:rPr>
        <w:t>（适用于</w:t>
      </w:r>
      <w:r>
        <w:rPr>
          <w:rFonts w:hint="default" w:ascii="宋体" w:hAnsi="宋体"/>
          <w:b/>
          <w:color w:val="auto"/>
          <w:sz w:val="30"/>
          <w:szCs w:val="30"/>
          <w:highlight w:val="none"/>
          <w:lang w:val="en"/>
        </w:rPr>
        <w:t>总价合同</w:t>
      </w:r>
      <w:r>
        <w:rPr>
          <w:rFonts w:hint="default" w:ascii="宋体" w:hAnsi="宋体"/>
          <w:b/>
          <w:color w:val="auto"/>
          <w:sz w:val="30"/>
          <w:szCs w:val="30"/>
          <w:highlight w:val="none"/>
          <w:lang w:val="en" w:eastAsia="zh-CN"/>
        </w:rPr>
        <w:t>）</w:t>
      </w:r>
    </w:p>
    <w:p w14:paraId="60776D78">
      <w:pPr>
        <w:spacing w:line="360" w:lineRule="auto"/>
        <w:rPr>
          <w:rFonts w:hint="eastAsia" w:ascii="宋体" w:hAnsi="宋体" w:cs="宋体"/>
          <w:color w:val="auto"/>
          <w:kern w:val="0"/>
          <w:highlight w:val="none"/>
        </w:rPr>
      </w:pPr>
      <w:r>
        <w:rPr>
          <w:rFonts w:hint="eastAsia" w:ascii="宋体" w:hAnsi="宋体" w:cs="宋体"/>
          <w:color w:val="auto"/>
          <w:kern w:val="0"/>
          <w:highlight w:val="none"/>
        </w:rPr>
        <w:t>工程名称：</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3119"/>
        <w:gridCol w:w="675"/>
        <w:gridCol w:w="2268"/>
        <w:gridCol w:w="1276"/>
      </w:tblGrid>
      <w:tr w14:paraId="5D942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63BB0225">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进度款期次</w:t>
            </w:r>
          </w:p>
        </w:tc>
        <w:tc>
          <w:tcPr>
            <w:tcW w:w="3794" w:type="dxa"/>
            <w:gridSpan w:val="2"/>
            <w:noWrap w:val="0"/>
            <w:vAlign w:val="top"/>
          </w:tcPr>
          <w:p w14:paraId="4B1404E5">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形象进度</w:t>
            </w:r>
          </w:p>
        </w:tc>
        <w:tc>
          <w:tcPr>
            <w:tcW w:w="2268" w:type="dxa"/>
            <w:noWrap w:val="0"/>
            <w:vAlign w:val="top"/>
          </w:tcPr>
          <w:p w14:paraId="62C181DC">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进度款付款金额（元）</w:t>
            </w:r>
          </w:p>
        </w:tc>
        <w:tc>
          <w:tcPr>
            <w:tcW w:w="1276" w:type="dxa"/>
            <w:noWrap w:val="0"/>
            <w:vAlign w:val="top"/>
          </w:tcPr>
          <w:p w14:paraId="05102296">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备注</w:t>
            </w:r>
          </w:p>
        </w:tc>
      </w:tr>
      <w:tr w14:paraId="56ED9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015C995D">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第一期</w:t>
            </w:r>
          </w:p>
        </w:tc>
        <w:tc>
          <w:tcPr>
            <w:tcW w:w="3794" w:type="dxa"/>
            <w:gridSpan w:val="2"/>
            <w:noWrap w:val="0"/>
            <w:vAlign w:val="top"/>
          </w:tcPr>
          <w:p w14:paraId="680D73C0">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c>
          <w:tcPr>
            <w:tcW w:w="2268" w:type="dxa"/>
            <w:noWrap w:val="0"/>
            <w:vAlign w:val="top"/>
          </w:tcPr>
          <w:p w14:paraId="147B676C">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c>
          <w:tcPr>
            <w:tcW w:w="1276" w:type="dxa"/>
            <w:noWrap w:val="0"/>
            <w:vAlign w:val="top"/>
          </w:tcPr>
          <w:p w14:paraId="63BDBFBD">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r>
      <w:tr w14:paraId="61D2C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14000806">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第二期</w:t>
            </w:r>
          </w:p>
        </w:tc>
        <w:tc>
          <w:tcPr>
            <w:tcW w:w="3794" w:type="dxa"/>
            <w:gridSpan w:val="2"/>
            <w:noWrap w:val="0"/>
            <w:vAlign w:val="top"/>
          </w:tcPr>
          <w:p w14:paraId="0F82D685">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c>
          <w:tcPr>
            <w:tcW w:w="2268" w:type="dxa"/>
            <w:noWrap w:val="0"/>
            <w:vAlign w:val="top"/>
          </w:tcPr>
          <w:p w14:paraId="34F96397">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c>
          <w:tcPr>
            <w:tcW w:w="1276" w:type="dxa"/>
            <w:noWrap w:val="0"/>
            <w:vAlign w:val="top"/>
          </w:tcPr>
          <w:p w14:paraId="531AE996">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r>
      <w:tr w14:paraId="30DC3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0323042E">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第三期</w:t>
            </w:r>
          </w:p>
        </w:tc>
        <w:tc>
          <w:tcPr>
            <w:tcW w:w="3794" w:type="dxa"/>
            <w:gridSpan w:val="2"/>
            <w:noWrap w:val="0"/>
            <w:vAlign w:val="top"/>
          </w:tcPr>
          <w:p w14:paraId="3E4CCF1F">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c>
          <w:tcPr>
            <w:tcW w:w="2268" w:type="dxa"/>
            <w:noWrap w:val="0"/>
            <w:vAlign w:val="top"/>
          </w:tcPr>
          <w:p w14:paraId="62761479">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c>
          <w:tcPr>
            <w:tcW w:w="1276" w:type="dxa"/>
            <w:noWrap w:val="0"/>
            <w:vAlign w:val="top"/>
          </w:tcPr>
          <w:p w14:paraId="6F35560D">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r>
      <w:tr w14:paraId="6B4A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0C344104">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r>
              <w:rPr>
                <w:rFonts w:hint="default" w:ascii="宋体" w:hAnsi="宋体" w:eastAsia="宋体" w:cs="宋体"/>
                <w:color w:val="auto"/>
                <w:kern w:val="0"/>
                <w:highlight w:val="none"/>
              </w:rPr>
              <w:t>……</w:t>
            </w:r>
          </w:p>
        </w:tc>
        <w:tc>
          <w:tcPr>
            <w:tcW w:w="3794" w:type="dxa"/>
            <w:gridSpan w:val="2"/>
            <w:noWrap w:val="0"/>
            <w:vAlign w:val="top"/>
          </w:tcPr>
          <w:p w14:paraId="09CBE4BD">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c>
          <w:tcPr>
            <w:tcW w:w="2268" w:type="dxa"/>
            <w:noWrap w:val="0"/>
            <w:vAlign w:val="top"/>
          </w:tcPr>
          <w:p w14:paraId="38997B9C">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c>
          <w:tcPr>
            <w:tcW w:w="1276" w:type="dxa"/>
            <w:noWrap w:val="0"/>
            <w:vAlign w:val="top"/>
          </w:tcPr>
          <w:p w14:paraId="6E694591">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r>
      <w:tr w14:paraId="09913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trPr>
        <w:tc>
          <w:tcPr>
            <w:tcW w:w="4536" w:type="dxa"/>
            <w:gridSpan w:val="2"/>
            <w:noWrap w:val="0"/>
            <w:vAlign w:val="top"/>
          </w:tcPr>
          <w:p w14:paraId="0A845A00">
            <w:pPr>
              <w:keepNext w:val="0"/>
              <w:keepLines w:val="0"/>
              <w:suppressLineNumbers w:val="0"/>
              <w:spacing w:before="0" w:beforeAutospacing="0" w:after="0" w:afterAutospacing="0" w:line="360" w:lineRule="auto"/>
              <w:ind w:left="0" w:right="0" w:firstLine="435"/>
              <w:jc w:val="right"/>
              <w:rPr>
                <w:rFonts w:hint="eastAsia" w:ascii="Calibri" w:hAnsi="Calibri" w:eastAsia="宋体" w:cs="Times New Roman"/>
                <w:color w:val="auto"/>
                <w:highlight w:val="none"/>
              </w:rPr>
            </w:pPr>
          </w:p>
          <w:p w14:paraId="6E10D4C7">
            <w:pPr>
              <w:keepNext w:val="0"/>
              <w:keepLines w:val="0"/>
              <w:suppressLineNumbers w:val="0"/>
              <w:spacing w:before="0" w:beforeAutospacing="0" w:after="0" w:afterAutospacing="0" w:line="360" w:lineRule="auto"/>
              <w:ind w:left="0" w:right="0" w:firstLine="435"/>
              <w:jc w:val="center"/>
              <w:rPr>
                <w:rFonts w:hint="eastAsia" w:ascii="Calibri" w:hAnsi="Calibri" w:eastAsia="宋体" w:cs="Times New Roman"/>
                <w:color w:val="auto"/>
                <w:highlight w:val="none"/>
              </w:rPr>
            </w:pPr>
          </w:p>
          <w:p w14:paraId="30A518F2">
            <w:pPr>
              <w:keepNext w:val="0"/>
              <w:keepLines w:val="0"/>
              <w:suppressLineNumbers w:val="0"/>
              <w:spacing w:before="0" w:beforeAutospacing="0" w:after="0" w:afterAutospacing="0" w:line="360" w:lineRule="auto"/>
              <w:ind w:left="0" w:right="0" w:firstLine="435"/>
              <w:jc w:val="center"/>
              <w:rPr>
                <w:rFonts w:hint="eastAsia" w:ascii="Calibri" w:hAnsi="Calibri" w:eastAsia="宋体" w:cs="Times New Roman"/>
                <w:color w:val="auto"/>
                <w:highlight w:val="none"/>
              </w:rPr>
            </w:pPr>
            <w:r>
              <w:rPr>
                <w:rFonts w:hint="eastAsia" w:ascii="Calibri" w:hAnsi="Calibri" w:eastAsia="宋体" w:cs="Times New Roman"/>
                <w:color w:val="auto"/>
                <w:highlight w:val="none"/>
              </w:rPr>
              <w:t>发包人代表签字：</w:t>
            </w:r>
          </w:p>
          <w:p w14:paraId="4126F7C6">
            <w:pPr>
              <w:keepNext w:val="0"/>
              <w:keepLines w:val="0"/>
              <w:suppressLineNumbers w:val="0"/>
              <w:spacing w:before="0" w:beforeAutospacing="0" w:after="0" w:afterAutospacing="0" w:line="360" w:lineRule="auto"/>
              <w:ind w:left="0" w:right="0" w:firstLine="435"/>
              <w:jc w:val="center"/>
              <w:rPr>
                <w:rFonts w:hint="eastAsia" w:ascii="Calibri" w:hAnsi="Calibri" w:eastAsia="宋体" w:cs="Times New Roman"/>
                <w:color w:val="auto"/>
                <w:highlight w:val="none"/>
              </w:rPr>
            </w:pPr>
          </w:p>
          <w:p w14:paraId="610C9C81">
            <w:pPr>
              <w:keepNext w:val="0"/>
              <w:keepLines w:val="0"/>
              <w:suppressLineNumbers w:val="0"/>
              <w:spacing w:before="0" w:beforeAutospacing="0" w:after="0" w:afterAutospacing="0" w:line="360" w:lineRule="auto"/>
              <w:ind w:left="0" w:right="0" w:firstLine="435"/>
              <w:jc w:val="center"/>
              <w:rPr>
                <w:rFonts w:hint="eastAsia" w:ascii="Calibri" w:hAnsi="Calibri" w:eastAsia="宋体" w:cs="Times New Roman"/>
                <w:color w:val="auto"/>
                <w:highlight w:val="none"/>
              </w:rPr>
            </w:pPr>
            <w:r>
              <w:rPr>
                <w:rFonts w:hint="eastAsia" w:ascii="Calibri" w:hAnsi="Calibri" w:eastAsia="宋体" w:cs="Times New Roman"/>
                <w:color w:val="auto"/>
                <w:highlight w:val="none"/>
              </w:rPr>
              <w:t>发包人（盖公章）</w:t>
            </w:r>
          </w:p>
          <w:p w14:paraId="4CC28AD8">
            <w:pPr>
              <w:keepNext w:val="0"/>
              <w:keepLines w:val="0"/>
              <w:suppressLineNumbers w:val="0"/>
              <w:spacing w:before="0" w:beforeAutospacing="0" w:after="0" w:afterAutospacing="0" w:line="360" w:lineRule="auto"/>
              <w:ind w:left="0" w:right="0" w:firstLine="435"/>
              <w:jc w:val="center"/>
              <w:rPr>
                <w:rFonts w:hint="eastAsia" w:ascii="Calibri" w:hAnsi="Calibri" w:eastAsia="宋体" w:cs="Times New Roman"/>
                <w:color w:val="auto"/>
                <w:highlight w:val="none"/>
              </w:rPr>
            </w:pPr>
          </w:p>
          <w:p w14:paraId="6A710F12">
            <w:pPr>
              <w:keepNext w:val="0"/>
              <w:keepLines w:val="0"/>
              <w:suppressLineNumbers w:val="0"/>
              <w:spacing w:before="0" w:beforeAutospacing="0" w:after="0" w:afterAutospacing="0" w:line="360" w:lineRule="auto"/>
              <w:ind w:left="0" w:right="0" w:firstLine="435"/>
              <w:jc w:val="center"/>
              <w:rPr>
                <w:rFonts w:hint="eastAsia" w:ascii="Calibri" w:hAnsi="Calibri" w:eastAsia="宋体" w:cs="Times New Roman"/>
                <w:color w:val="auto"/>
                <w:highlight w:val="none"/>
                <w:u w:val="single"/>
              </w:rPr>
            </w:pPr>
            <w:r>
              <w:rPr>
                <w:rFonts w:hint="default" w:ascii="Calibri" w:hAnsi="Calibri" w:eastAsia="宋体" w:cs="Times New Roman"/>
                <w:color w:val="auto"/>
                <w:highlight w:val="none"/>
              </w:rPr>
              <w:t xml:space="preserve">    </w:t>
            </w:r>
            <w:r>
              <w:rPr>
                <w:rFonts w:hint="eastAsia" w:ascii="Calibri" w:hAnsi="Calibri" w:eastAsia="宋体" w:cs="Times New Roman"/>
                <w:color w:val="auto"/>
                <w:highlight w:val="none"/>
              </w:rPr>
              <w:t xml:space="preserve">    日      期        </w:t>
            </w:r>
            <w:r>
              <w:rPr>
                <w:rFonts w:hint="eastAsia" w:ascii="Calibri" w:hAnsi="Calibri" w:eastAsia="宋体" w:cs="Times New Roman"/>
                <w:color w:val="auto"/>
                <w:highlight w:val="none"/>
                <w:u w:val="single"/>
              </w:rPr>
              <w:t xml:space="preserve">   </w:t>
            </w:r>
          </w:p>
        </w:tc>
        <w:tc>
          <w:tcPr>
            <w:tcW w:w="4219" w:type="dxa"/>
            <w:gridSpan w:val="3"/>
            <w:noWrap w:val="0"/>
            <w:vAlign w:val="top"/>
          </w:tcPr>
          <w:p w14:paraId="44457FB6">
            <w:pPr>
              <w:keepNext w:val="0"/>
              <w:keepLines w:val="0"/>
              <w:suppressLineNumbers w:val="0"/>
              <w:spacing w:before="0" w:beforeAutospacing="0" w:after="0" w:afterAutospacing="0" w:line="360" w:lineRule="auto"/>
              <w:ind w:left="0" w:right="0" w:firstLine="435"/>
              <w:jc w:val="center"/>
              <w:rPr>
                <w:rFonts w:hint="eastAsia" w:ascii="Calibri" w:hAnsi="Calibri" w:eastAsia="宋体" w:cs="Times New Roman"/>
                <w:color w:val="auto"/>
                <w:highlight w:val="none"/>
              </w:rPr>
            </w:pPr>
          </w:p>
          <w:p w14:paraId="513006C2">
            <w:pPr>
              <w:keepNext w:val="0"/>
              <w:keepLines w:val="0"/>
              <w:suppressLineNumbers w:val="0"/>
              <w:spacing w:before="0" w:beforeAutospacing="0" w:after="0" w:afterAutospacing="0" w:line="360" w:lineRule="auto"/>
              <w:ind w:left="0" w:right="0" w:firstLine="435"/>
              <w:jc w:val="center"/>
              <w:rPr>
                <w:rFonts w:hint="eastAsia" w:ascii="Calibri" w:hAnsi="Calibri" w:eastAsia="宋体" w:cs="Times New Roman"/>
                <w:color w:val="auto"/>
                <w:highlight w:val="none"/>
                <w:u w:val="single"/>
              </w:rPr>
            </w:pPr>
          </w:p>
          <w:p w14:paraId="61B9D25D">
            <w:pPr>
              <w:keepNext w:val="0"/>
              <w:keepLines w:val="0"/>
              <w:suppressLineNumbers w:val="0"/>
              <w:spacing w:before="0" w:beforeAutospacing="0" w:after="0" w:afterAutospacing="0" w:line="360" w:lineRule="auto"/>
              <w:ind w:left="0" w:right="0" w:firstLine="435"/>
              <w:jc w:val="center"/>
              <w:rPr>
                <w:rFonts w:hint="eastAsia" w:ascii="Calibri" w:hAnsi="Calibri" w:eastAsia="宋体" w:cs="Times New Roman"/>
                <w:color w:val="auto"/>
                <w:highlight w:val="none"/>
              </w:rPr>
            </w:pPr>
            <w:r>
              <w:rPr>
                <w:rFonts w:hint="eastAsia" w:ascii="Calibri" w:hAnsi="Calibri" w:eastAsia="宋体" w:cs="Times New Roman"/>
                <w:color w:val="auto"/>
                <w:highlight w:val="none"/>
              </w:rPr>
              <w:t>承包人代表签字：</w:t>
            </w:r>
          </w:p>
          <w:p w14:paraId="6FCAA7B4">
            <w:pPr>
              <w:keepNext w:val="0"/>
              <w:keepLines w:val="0"/>
              <w:suppressLineNumbers w:val="0"/>
              <w:spacing w:before="0" w:beforeAutospacing="0" w:after="0" w:afterAutospacing="0" w:line="360" w:lineRule="auto"/>
              <w:ind w:left="0" w:right="0" w:firstLine="435"/>
              <w:jc w:val="center"/>
              <w:rPr>
                <w:rFonts w:hint="eastAsia" w:ascii="Calibri" w:hAnsi="Calibri" w:eastAsia="宋体" w:cs="Times New Roman"/>
                <w:color w:val="auto"/>
                <w:highlight w:val="none"/>
              </w:rPr>
            </w:pPr>
          </w:p>
          <w:p w14:paraId="64D8AA71">
            <w:pPr>
              <w:keepNext w:val="0"/>
              <w:keepLines w:val="0"/>
              <w:suppressLineNumbers w:val="0"/>
              <w:spacing w:before="0" w:beforeAutospacing="0" w:after="0" w:afterAutospacing="0" w:line="360" w:lineRule="auto"/>
              <w:ind w:left="0" w:right="0" w:firstLine="435"/>
              <w:jc w:val="center"/>
              <w:rPr>
                <w:rFonts w:hint="eastAsia" w:ascii="Calibri" w:hAnsi="Calibri" w:eastAsia="宋体" w:cs="Times New Roman"/>
                <w:color w:val="auto"/>
                <w:highlight w:val="none"/>
              </w:rPr>
            </w:pPr>
            <w:r>
              <w:rPr>
                <w:rFonts w:hint="eastAsia" w:ascii="Calibri" w:hAnsi="Calibri" w:eastAsia="宋体" w:cs="Times New Roman"/>
                <w:color w:val="auto"/>
                <w:highlight w:val="none"/>
              </w:rPr>
              <w:t>承包人（盖公章）</w:t>
            </w:r>
          </w:p>
          <w:p w14:paraId="57CFA9E8">
            <w:pPr>
              <w:keepNext w:val="0"/>
              <w:keepLines w:val="0"/>
              <w:suppressLineNumbers w:val="0"/>
              <w:spacing w:before="0" w:beforeAutospacing="0" w:after="0" w:afterAutospacing="0" w:line="360" w:lineRule="auto"/>
              <w:ind w:left="0" w:right="0" w:firstLine="435"/>
              <w:jc w:val="center"/>
              <w:rPr>
                <w:rFonts w:hint="eastAsia" w:ascii="Calibri" w:hAnsi="Calibri" w:eastAsia="宋体" w:cs="Times New Roman"/>
                <w:color w:val="auto"/>
                <w:highlight w:val="none"/>
              </w:rPr>
            </w:pPr>
          </w:p>
          <w:p w14:paraId="66C60F91">
            <w:pPr>
              <w:keepNext w:val="0"/>
              <w:keepLines w:val="0"/>
              <w:suppressLineNumbers w:val="0"/>
              <w:spacing w:before="0" w:beforeAutospacing="0" w:after="0" w:afterAutospacing="0" w:line="360" w:lineRule="auto"/>
              <w:ind w:left="0" w:right="0" w:firstLine="435"/>
              <w:jc w:val="center"/>
              <w:rPr>
                <w:rFonts w:hint="eastAsia" w:ascii="Calibri" w:hAnsi="Calibri" w:eastAsia="宋体" w:cs="Times New Roman"/>
                <w:color w:val="auto"/>
                <w:highlight w:val="none"/>
                <w:u w:val="single"/>
              </w:rPr>
            </w:pPr>
            <w:r>
              <w:rPr>
                <w:rFonts w:hint="default" w:ascii="Calibri" w:hAnsi="Calibri" w:eastAsia="宋体" w:cs="Times New Roman"/>
                <w:color w:val="auto"/>
                <w:highlight w:val="none"/>
              </w:rPr>
              <w:t xml:space="preserve">    </w:t>
            </w:r>
            <w:r>
              <w:rPr>
                <w:rFonts w:hint="eastAsia" w:ascii="Calibri" w:hAnsi="Calibri" w:eastAsia="宋体" w:cs="Times New Roman"/>
                <w:color w:val="auto"/>
                <w:highlight w:val="none"/>
              </w:rPr>
              <w:t xml:space="preserve">    日      期</w:t>
            </w:r>
            <w:r>
              <w:rPr>
                <w:rFonts w:hint="eastAsia" w:ascii="Calibri" w:hAnsi="Calibri" w:eastAsia="宋体" w:cs="Times New Roman"/>
                <w:color w:val="auto"/>
                <w:highlight w:val="none"/>
                <w:u w:val="single"/>
              </w:rPr>
              <w:t xml:space="preserve">        </w:t>
            </w:r>
          </w:p>
        </w:tc>
      </w:tr>
    </w:tbl>
    <w:p w14:paraId="3DD4920E">
      <w:pPr>
        <w:spacing w:line="360" w:lineRule="auto"/>
        <w:rPr>
          <w:rFonts w:ascii="宋体"/>
          <w:color w:val="auto"/>
          <w:highlight w:val="none"/>
        </w:rPr>
      </w:pPr>
    </w:p>
    <w:p w14:paraId="7EFA6A16">
      <w:pPr>
        <w:spacing w:line="360" w:lineRule="auto"/>
        <w:rPr>
          <w:rFonts w:ascii="宋体"/>
          <w:color w:val="auto"/>
          <w:highlight w:val="none"/>
        </w:rPr>
      </w:pPr>
    </w:p>
    <w:p w14:paraId="5940FE34">
      <w:pPr>
        <w:spacing w:line="360" w:lineRule="auto"/>
        <w:rPr>
          <w:rFonts w:ascii="宋体"/>
          <w:color w:val="auto"/>
          <w:highlight w:val="none"/>
        </w:rPr>
      </w:pPr>
    </w:p>
    <w:p w14:paraId="43F84ED2">
      <w:pPr>
        <w:spacing w:line="360" w:lineRule="auto"/>
        <w:rPr>
          <w:rFonts w:ascii="宋体"/>
          <w:color w:val="auto"/>
          <w:highlight w:val="none"/>
        </w:rPr>
      </w:pPr>
    </w:p>
    <w:p w14:paraId="33162014">
      <w:pPr>
        <w:spacing w:line="360" w:lineRule="auto"/>
        <w:rPr>
          <w:rFonts w:ascii="宋体"/>
          <w:color w:val="auto"/>
          <w:highlight w:val="none"/>
        </w:rPr>
      </w:pPr>
    </w:p>
    <w:p w14:paraId="4A58A5A6">
      <w:pPr>
        <w:spacing w:line="360" w:lineRule="auto"/>
        <w:rPr>
          <w:rFonts w:ascii="宋体"/>
          <w:color w:val="auto"/>
          <w:highlight w:val="none"/>
        </w:rPr>
      </w:pPr>
    </w:p>
    <w:p w14:paraId="5162C1E3">
      <w:pPr>
        <w:pStyle w:val="21"/>
        <w:spacing w:line="360" w:lineRule="auto"/>
        <w:rPr>
          <w:rFonts w:ascii="宋体"/>
          <w:color w:val="auto"/>
          <w:highlight w:val="none"/>
        </w:rPr>
      </w:pPr>
    </w:p>
    <w:p w14:paraId="1BAF9183">
      <w:pPr>
        <w:pStyle w:val="21"/>
        <w:spacing w:line="360" w:lineRule="auto"/>
        <w:rPr>
          <w:rFonts w:ascii="宋体"/>
          <w:color w:val="auto"/>
          <w:highlight w:val="none"/>
        </w:rPr>
      </w:pPr>
    </w:p>
    <w:p w14:paraId="76025737">
      <w:pPr>
        <w:pStyle w:val="21"/>
        <w:spacing w:line="360" w:lineRule="auto"/>
        <w:rPr>
          <w:rFonts w:ascii="宋体"/>
          <w:color w:val="auto"/>
          <w:highlight w:val="none"/>
        </w:rPr>
      </w:pPr>
    </w:p>
    <w:p w14:paraId="5531C996">
      <w:pPr>
        <w:pStyle w:val="21"/>
        <w:spacing w:line="360" w:lineRule="auto"/>
        <w:rPr>
          <w:rFonts w:ascii="宋体"/>
          <w:color w:val="auto"/>
          <w:highlight w:val="none"/>
        </w:rPr>
      </w:pPr>
    </w:p>
    <w:p w14:paraId="771F4163">
      <w:pPr>
        <w:pStyle w:val="21"/>
        <w:spacing w:line="360" w:lineRule="auto"/>
        <w:rPr>
          <w:rFonts w:ascii="宋体"/>
          <w:color w:val="auto"/>
          <w:highlight w:val="none"/>
        </w:rPr>
      </w:pPr>
    </w:p>
    <w:p w14:paraId="07C0760B">
      <w:pPr>
        <w:pStyle w:val="21"/>
        <w:spacing w:line="360" w:lineRule="auto"/>
        <w:rPr>
          <w:rFonts w:ascii="宋体"/>
          <w:color w:val="auto"/>
          <w:highlight w:val="none"/>
        </w:rPr>
      </w:pPr>
    </w:p>
    <w:p w14:paraId="0166F339">
      <w:pPr>
        <w:pStyle w:val="21"/>
        <w:spacing w:line="360" w:lineRule="auto"/>
        <w:rPr>
          <w:rFonts w:ascii="宋体"/>
          <w:color w:val="auto"/>
          <w:highlight w:val="none"/>
        </w:rPr>
      </w:pPr>
    </w:p>
    <w:p w14:paraId="07FCAA5A">
      <w:pPr>
        <w:spacing w:before="120" w:beforeLines="50" w:after="120" w:afterLines="50" w:line="360" w:lineRule="auto"/>
        <w:jc w:val="left"/>
        <w:rPr>
          <w:rFonts w:hint="eastAsia" w:ascii="仿宋_GB2312" w:eastAsia="仿宋_GB2312" w:cs="仿宋_GB2312"/>
          <w:color w:val="auto"/>
          <w:sz w:val="30"/>
          <w:szCs w:val="30"/>
          <w:highlight w:val="none"/>
          <w:lang w:val="en-US" w:eastAsia="zh-CN"/>
        </w:rPr>
      </w:pPr>
      <w:bookmarkStart w:id="1374" w:name="_Toc1316360315"/>
      <w:bookmarkStart w:id="1375" w:name="_Toc1827315382"/>
      <w:bookmarkStart w:id="1376" w:name="_Toc12824"/>
      <w:bookmarkStart w:id="1377" w:name="_Toc1300612461"/>
      <w:bookmarkStart w:id="1378" w:name="_Toc564658636"/>
      <w:bookmarkStart w:id="1379" w:name="_Toc1130643390"/>
      <w:bookmarkStart w:id="1380" w:name="_Toc1731322991"/>
      <w:bookmarkStart w:id="1381" w:name="_Toc441683618"/>
      <w:bookmarkStart w:id="1382" w:name="_Toc475060052"/>
      <w:bookmarkStart w:id="1383" w:name="_Toc633689172"/>
      <w:bookmarkStart w:id="1384" w:name="_Toc5300"/>
      <w:bookmarkStart w:id="1385" w:name="_Toc1909664075"/>
      <w:bookmarkStart w:id="1386" w:name="_Toc1993706012"/>
      <w:bookmarkStart w:id="1387" w:name="_Toc1842771986"/>
      <w:bookmarkStart w:id="1388" w:name="_Toc173801266"/>
      <w:r>
        <w:rPr>
          <w:rFonts w:hint="eastAsia" w:ascii="仿宋_GB2312" w:eastAsia="仿宋_GB2312" w:cs="仿宋_GB2312"/>
          <w:color w:val="auto"/>
          <w:sz w:val="30"/>
          <w:szCs w:val="30"/>
          <w:highlight w:val="none"/>
          <w:lang w:val="en" w:eastAsia="zh-CN"/>
        </w:rPr>
        <w:t>附件</w:t>
      </w:r>
      <w:r>
        <w:rPr>
          <w:rFonts w:hint="eastAsia" w:ascii="仿宋_GB2312" w:eastAsia="仿宋_GB2312" w:cs="仿宋_GB2312"/>
          <w:color w:val="auto"/>
          <w:sz w:val="30"/>
          <w:szCs w:val="30"/>
          <w:highlight w:val="none"/>
          <w:lang w:val="en-US" w:eastAsia="zh-CN"/>
        </w:rPr>
        <w:t>15：措施项目费用分拆表</w:t>
      </w:r>
    </w:p>
    <w:p w14:paraId="3EC4981B">
      <w:pPr>
        <w:wordWrap w:val="0"/>
        <w:spacing w:line="360" w:lineRule="auto"/>
        <w:jc w:val="center"/>
        <w:outlineLvl w:val="1"/>
        <w:rPr>
          <w:rFonts w:ascii="宋体" w:hAnsi="宋体"/>
          <w:b/>
          <w:color w:val="auto"/>
          <w:sz w:val="32"/>
          <w:szCs w:val="32"/>
          <w:highlight w:val="none"/>
        </w:rPr>
      </w:pPr>
      <w:r>
        <w:rPr>
          <w:rFonts w:hint="default" w:ascii="宋体" w:hAnsi="宋体"/>
          <w:b/>
          <w:color w:val="auto"/>
          <w:sz w:val="30"/>
          <w:szCs w:val="30"/>
          <w:highlight w:val="none"/>
          <w:lang w:val="en"/>
        </w:rPr>
        <w:t xml:space="preserve"> 措施项目费用分拆表</w:t>
      </w:r>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p>
    <w:p w14:paraId="0EF232F9">
      <w:pPr>
        <w:pStyle w:val="21"/>
        <w:spacing w:line="360" w:lineRule="auto"/>
        <w:ind w:firstLine="210"/>
        <w:rPr>
          <w:rFonts w:ascii="宋体" w:hAnsi="宋体"/>
          <w:b/>
          <w:color w:val="auto"/>
          <w:sz w:val="32"/>
          <w:szCs w:val="32"/>
          <w:highlight w:val="none"/>
        </w:rPr>
      </w:pPr>
      <w:r>
        <w:rPr>
          <w:rFonts w:hint="eastAsia" w:ascii="宋体" w:hAnsi="宋体"/>
          <w:color w:val="auto"/>
          <w:highlight w:val="none"/>
        </w:rPr>
        <w:t>工程</w:t>
      </w:r>
      <w:r>
        <w:rPr>
          <w:rFonts w:hint="eastAsia" w:ascii="宋体" w:hAnsi="宋体"/>
          <w:color w:val="auto"/>
          <w:spacing w:val="-3"/>
          <w:highlight w:val="none"/>
        </w:rPr>
        <w:t>名</w:t>
      </w:r>
      <w:r>
        <w:rPr>
          <w:rFonts w:hint="eastAsia" w:ascii="宋体" w:hAnsi="宋体"/>
          <w:color w:val="auto"/>
          <w:highlight w:val="none"/>
        </w:rPr>
        <w:t>称：</w:t>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 xml:space="preserve">  第   </w:t>
      </w:r>
      <w:r>
        <w:rPr>
          <w:rFonts w:hint="eastAsia" w:ascii="宋体" w:hAnsi="宋体"/>
          <w:color w:val="auto"/>
          <w:spacing w:val="-3"/>
          <w:highlight w:val="none"/>
        </w:rPr>
        <w:t xml:space="preserve">页 </w:t>
      </w:r>
      <w:r>
        <w:rPr>
          <w:rFonts w:hint="eastAsia" w:ascii="宋体" w:hAnsi="宋体"/>
          <w:color w:val="auto"/>
          <w:highlight w:val="none"/>
        </w:rPr>
        <w:t>共   页</w:t>
      </w:r>
    </w:p>
    <w:tbl>
      <w:tblPr>
        <w:tblStyle w:val="22"/>
        <w:tblW w:w="5035"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95"/>
        <w:gridCol w:w="709"/>
        <w:gridCol w:w="1151"/>
        <w:gridCol w:w="756"/>
        <w:gridCol w:w="907"/>
        <w:gridCol w:w="1096"/>
        <w:gridCol w:w="693"/>
        <w:gridCol w:w="856"/>
        <w:gridCol w:w="936"/>
        <w:gridCol w:w="1142"/>
      </w:tblGrid>
      <w:tr w14:paraId="625B1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1" w:hRule="atLeast"/>
        </w:trPr>
        <w:tc>
          <w:tcPr>
            <w:tcW w:w="564" w:type="dxa"/>
            <w:vMerge w:val="restart"/>
            <w:tcBorders>
              <w:top w:val="single" w:color="auto" w:sz="4" w:space="0"/>
              <w:left w:val="single" w:color="auto" w:sz="4" w:space="0"/>
              <w:bottom w:val="single" w:color="auto" w:sz="4" w:space="0"/>
              <w:right w:val="single" w:color="auto" w:sz="4" w:space="0"/>
            </w:tcBorders>
            <w:noWrap w:val="0"/>
            <w:vAlign w:val="center"/>
          </w:tcPr>
          <w:p w14:paraId="01B1D2D3">
            <w:pPr>
              <w:keepNext w:val="0"/>
              <w:keepLines w:val="0"/>
              <w:suppressLineNumbers w:val="0"/>
              <w:snapToGrid w:val="0"/>
              <w:spacing w:before="0" w:beforeAutospacing="0" w:after="0" w:afterAutospacing="0" w:line="360" w:lineRule="auto"/>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序号</w:t>
            </w:r>
          </w:p>
        </w:tc>
        <w:tc>
          <w:tcPr>
            <w:tcW w:w="829" w:type="dxa"/>
            <w:vMerge w:val="restart"/>
            <w:tcBorders>
              <w:top w:val="single" w:color="auto" w:sz="4" w:space="0"/>
              <w:left w:val="nil"/>
              <w:bottom w:val="single" w:color="auto" w:sz="4" w:space="0"/>
              <w:right w:val="single" w:color="auto" w:sz="4" w:space="0"/>
            </w:tcBorders>
            <w:noWrap w:val="0"/>
            <w:vAlign w:val="center"/>
          </w:tcPr>
          <w:p w14:paraId="452E6B5F">
            <w:pPr>
              <w:keepNext w:val="0"/>
              <w:keepLines w:val="0"/>
              <w:widowControl/>
              <w:suppressLineNumbers w:val="0"/>
              <w:snapToGrid w:val="0"/>
              <w:spacing w:before="0" w:beforeAutospacing="0" w:after="0" w:afterAutospacing="0" w:line="360" w:lineRule="auto"/>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项目</w:t>
            </w:r>
          </w:p>
          <w:p w14:paraId="584BCFBA">
            <w:pPr>
              <w:keepNext w:val="0"/>
              <w:keepLines w:val="0"/>
              <w:suppressLineNumbers w:val="0"/>
              <w:snapToGrid w:val="0"/>
              <w:spacing w:before="0" w:beforeAutospacing="0" w:after="0" w:afterAutospacing="0" w:line="360" w:lineRule="auto"/>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编码</w:t>
            </w:r>
          </w:p>
        </w:tc>
        <w:tc>
          <w:tcPr>
            <w:tcW w:w="1380" w:type="dxa"/>
            <w:vMerge w:val="restart"/>
            <w:tcBorders>
              <w:top w:val="single" w:color="auto" w:sz="4" w:space="0"/>
              <w:left w:val="nil"/>
              <w:bottom w:val="single" w:color="auto" w:sz="4" w:space="0"/>
              <w:right w:val="single" w:color="auto" w:sz="4" w:space="0"/>
            </w:tcBorders>
            <w:noWrap w:val="0"/>
            <w:vAlign w:val="center"/>
          </w:tcPr>
          <w:p w14:paraId="7DED30D1">
            <w:pPr>
              <w:keepNext w:val="0"/>
              <w:keepLines w:val="0"/>
              <w:suppressLineNumbers w:val="0"/>
              <w:snapToGrid w:val="0"/>
              <w:spacing w:before="0" w:beforeAutospacing="0" w:after="0" w:afterAutospacing="0" w:line="360" w:lineRule="auto"/>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措施项目名称</w:t>
            </w:r>
          </w:p>
        </w:tc>
        <w:tc>
          <w:tcPr>
            <w:tcW w:w="785" w:type="dxa"/>
            <w:vMerge w:val="restart"/>
            <w:tcBorders>
              <w:top w:val="single" w:color="auto" w:sz="4" w:space="0"/>
              <w:left w:val="nil"/>
              <w:bottom w:val="single" w:color="auto" w:sz="4" w:space="0"/>
              <w:right w:val="single" w:color="auto" w:sz="4" w:space="0"/>
            </w:tcBorders>
            <w:noWrap w:val="0"/>
            <w:vAlign w:val="center"/>
          </w:tcPr>
          <w:p w14:paraId="514C4E64">
            <w:pPr>
              <w:keepNext w:val="0"/>
              <w:keepLines w:val="0"/>
              <w:widowControl/>
              <w:suppressLineNumbers w:val="0"/>
              <w:snapToGrid w:val="0"/>
              <w:spacing w:before="0" w:beforeAutospacing="0" w:after="0" w:afterAutospacing="0" w:line="360" w:lineRule="auto"/>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价格</w:t>
            </w:r>
          </w:p>
          <w:p w14:paraId="7C7F33CE">
            <w:pPr>
              <w:keepNext w:val="0"/>
              <w:keepLines w:val="0"/>
              <w:suppressLineNumbers w:val="0"/>
              <w:snapToGrid w:val="0"/>
              <w:spacing w:before="0" w:beforeAutospacing="0" w:after="0" w:afterAutospacing="0" w:line="360" w:lineRule="auto"/>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（元）</w:t>
            </w:r>
          </w:p>
        </w:tc>
        <w:tc>
          <w:tcPr>
            <w:tcW w:w="2206" w:type="dxa"/>
            <w:gridSpan w:val="2"/>
            <w:tcBorders>
              <w:top w:val="single" w:color="auto" w:sz="4" w:space="0"/>
              <w:left w:val="nil"/>
              <w:bottom w:val="single" w:color="auto" w:sz="4" w:space="0"/>
              <w:right w:val="single" w:color="auto" w:sz="4" w:space="0"/>
            </w:tcBorders>
            <w:noWrap w:val="0"/>
            <w:vAlign w:val="center"/>
          </w:tcPr>
          <w:p w14:paraId="79C441F1">
            <w:pPr>
              <w:keepNext w:val="0"/>
              <w:keepLines w:val="0"/>
              <w:suppressLineNumbers w:val="0"/>
              <w:snapToGrid w:val="0"/>
              <w:spacing w:before="0" w:beforeAutospacing="0" w:after="0" w:afterAutospacing="0" w:line="360" w:lineRule="auto"/>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1.初始设立费用</w:t>
            </w:r>
          </w:p>
        </w:tc>
        <w:tc>
          <w:tcPr>
            <w:tcW w:w="1641" w:type="dxa"/>
            <w:gridSpan w:val="2"/>
            <w:tcBorders>
              <w:top w:val="single" w:color="auto" w:sz="4" w:space="0"/>
              <w:left w:val="nil"/>
              <w:bottom w:val="single" w:color="auto" w:sz="4" w:space="0"/>
              <w:right w:val="single" w:color="auto" w:sz="4" w:space="0"/>
            </w:tcBorders>
            <w:noWrap w:val="0"/>
            <w:vAlign w:val="center"/>
          </w:tcPr>
          <w:p w14:paraId="5918C17F">
            <w:pPr>
              <w:keepNext w:val="0"/>
              <w:keepLines w:val="0"/>
              <w:suppressLineNumbers w:val="0"/>
              <w:snapToGrid w:val="0"/>
              <w:spacing w:before="0" w:beforeAutospacing="0" w:after="0" w:afterAutospacing="0" w:line="360" w:lineRule="auto"/>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2.中期运行费用</w:t>
            </w:r>
          </w:p>
        </w:tc>
        <w:tc>
          <w:tcPr>
            <w:tcW w:w="2300" w:type="dxa"/>
            <w:gridSpan w:val="2"/>
            <w:tcBorders>
              <w:top w:val="single" w:color="auto" w:sz="4" w:space="0"/>
              <w:left w:val="nil"/>
              <w:bottom w:val="single" w:color="auto" w:sz="4" w:space="0"/>
              <w:right w:val="single" w:color="auto" w:sz="4" w:space="0"/>
            </w:tcBorders>
            <w:noWrap w:val="0"/>
            <w:vAlign w:val="center"/>
          </w:tcPr>
          <w:p w14:paraId="3C9C8020">
            <w:pPr>
              <w:keepNext w:val="0"/>
              <w:keepLines w:val="0"/>
              <w:suppressLineNumbers w:val="0"/>
              <w:snapToGrid w:val="0"/>
              <w:spacing w:before="0" w:beforeAutospacing="0" w:after="0" w:afterAutospacing="0" w:line="360" w:lineRule="auto"/>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3.后期拆除费用</w:t>
            </w:r>
          </w:p>
        </w:tc>
      </w:tr>
      <w:tr w14:paraId="1C9C6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 w:hRule="atLeast"/>
        </w:trPr>
        <w:tc>
          <w:tcPr>
            <w:tcW w:w="564" w:type="dxa"/>
            <w:vMerge w:val="continue"/>
            <w:tcBorders>
              <w:top w:val="single" w:color="auto" w:sz="4" w:space="0"/>
              <w:left w:val="single" w:color="auto" w:sz="4" w:space="0"/>
              <w:bottom w:val="single" w:color="auto" w:sz="4" w:space="0"/>
              <w:right w:val="single" w:color="auto" w:sz="4" w:space="0"/>
            </w:tcBorders>
            <w:noWrap w:val="0"/>
            <w:vAlign w:val="center"/>
          </w:tcPr>
          <w:p w14:paraId="258B7416">
            <w:pPr>
              <w:keepNext w:val="0"/>
              <w:keepLines w:val="0"/>
              <w:widowControl/>
              <w:suppressLineNumbers w:val="0"/>
              <w:spacing w:before="0" w:beforeAutospacing="0" w:after="0" w:afterAutospacing="0" w:line="360" w:lineRule="auto"/>
              <w:ind w:left="0" w:right="0"/>
              <w:jc w:val="left"/>
              <w:rPr>
                <w:rFonts w:hint="default" w:ascii="宋体" w:hAnsi="宋体"/>
                <w:color w:val="auto"/>
                <w:kern w:val="0"/>
                <w:sz w:val="21"/>
                <w:szCs w:val="21"/>
                <w:highlight w:val="none"/>
              </w:rPr>
            </w:pPr>
          </w:p>
        </w:tc>
        <w:tc>
          <w:tcPr>
            <w:tcW w:w="829" w:type="dxa"/>
            <w:vMerge w:val="continue"/>
            <w:tcBorders>
              <w:top w:val="single" w:color="auto" w:sz="4" w:space="0"/>
              <w:left w:val="nil"/>
              <w:bottom w:val="single" w:color="auto" w:sz="4" w:space="0"/>
              <w:right w:val="single" w:color="auto" w:sz="4" w:space="0"/>
            </w:tcBorders>
            <w:noWrap w:val="0"/>
            <w:vAlign w:val="center"/>
          </w:tcPr>
          <w:p w14:paraId="0005DF08">
            <w:pPr>
              <w:keepNext w:val="0"/>
              <w:keepLines w:val="0"/>
              <w:widowControl/>
              <w:suppressLineNumbers w:val="0"/>
              <w:spacing w:before="0" w:beforeAutospacing="0" w:after="0" w:afterAutospacing="0" w:line="360" w:lineRule="auto"/>
              <w:ind w:left="0" w:right="0"/>
              <w:jc w:val="left"/>
              <w:rPr>
                <w:rFonts w:hint="default" w:ascii="宋体" w:hAnsi="宋体"/>
                <w:color w:val="auto"/>
                <w:kern w:val="0"/>
                <w:sz w:val="21"/>
                <w:szCs w:val="21"/>
                <w:highlight w:val="none"/>
              </w:rPr>
            </w:pPr>
          </w:p>
        </w:tc>
        <w:tc>
          <w:tcPr>
            <w:tcW w:w="1380" w:type="dxa"/>
            <w:vMerge w:val="continue"/>
            <w:tcBorders>
              <w:top w:val="single" w:color="auto" w:sz="4" w:space="0"/>
              <w:left w:val="nil"/>
              <w:bottom w:val="single" w:color="auto" w:sz="4" w:space="0"/>
              <w:right w:val="single" w:color="auto" w:sz="4" w:space="0"/>
            </w:tcBorders>
            <w:noWrap w:val="0"/>
            <w:vAlign w:val="center"/>
          </w:tcPr>
          <w:p w14:paraId="492BA334">
            <w:pPr>
              <w:keepNext w:val="0"/>
              <w:keepLines w:val="0"/>
              <w:widowControl/>
              <w:suppressLineNumbers w:val="0"/>
              <w:spacing w:before="0" w:beforeAutospacing="0" w:after="0" w:afterAutospacing="0" w:line="360" w:lineRule="auto"/>
              <w:ind w:left="0" w:right="0"/>
              <w:jc w:val="left"/>
              <w:rPr>
                <w:rFonts w:hint="default" w:ascii="宋体" w:hAnsi="宋体"/>
                <w:color w:val="auto"/>
                <w:kern w:val="0"/>
                <w:sz w:val="21"/>
                <w:szCs w:val="21"/>
                <w:highlight w:val="none"/>
              </w:rPr>
            </w:pPr>
          </w:p>
        </w:tc>
        <w:tc>
          <w:tcPr>
            <w:tcW w:w="785" w:type="dxa"/>
            <w:vMerge w:val="continue"/>
            <w:tcBorders>
              <w:top w:val="single" w:color="auto" w:sz="4" w:space="0"/>
              <w:left w:val="nil"/>
              <w:bottom w:val="single" w:color="auto" w:sz="4" w:space="0"/>
              <w:right w:val="single" w:color="auto" w:sz="4" w:space="0"/>
            </w:tcBorders>
            <w:noWrap w:val="0"/>
            <w:vAlign w:val="center"/>
          </w:tcPr>
          <w:p w14:paraId="5245A5F5">
            <w:pPr>
              <w:keepNext w:val="0"/>
              <w:keepLines w:val="0"/>
              <w:widowControl/>
              <w:suppressLineNumbers w:val="0"/>
              <w:spacing w:before="0" w:beforeAutospacing="0" w:after="0" w:afterAutospacing="0" w:line="360" w:lineRule="auto"/>
              <w:ind w:left="0" w:right="0"/>
              <w:jc w:val="left"/>
              <w:rPr>
                <w:rFonts w:hint="default" w:ascii="宋体" w:hAnsi="宋体"/>
                <w:color w:val="auto"/>
                <w:kern w:val="0"/>
                <w:sz w:val="21"/>
                <w:szCs w:val="21"/>
                <w:highlight w:val="none"/>
              </w:rPr>
            </w:pPr>
          </w:p>
        </w:tc>
        <w:tc>
          <w:tcPr>
            <w:tcW w:w="998" w:type="dxa"/>
            <w:tcBorders>
              <w:top w:val="single" w:color="auto" w:sz="4" w:space="0"/>
              <w:left w:val="nil"/>
              <w:bottom w:val="single" w:color="auto" w:sz="4" w:space="0"/>
              <w:right w:val="single" w:color="auto" w:sz="4" w:space="0"/>
            </w:tcBorders>
            <w:noWrap w:val="0"/>
            <w:vAlign w:val="center"/>
          </w:tcPr>
          <w:p w14:paraId="43253C9C">
            <w:pPr>
              <w:keepNext w:val="0"/>
              <w:keepLines w:val="0"/>
              <w:suppressLineNumbers w:val="0"/>
              <w:snapToGrid w:val="0"/>
              <w:spacing w:before="0" w:beforeAutospacing="0" w:after="0" w:afterAutospacing="0" w:line="360" w:lineRule="auto"/>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占比</w:t>
            </w:r>
          </w:p>
          <w:p w14:paraId="375C9DD6">
            <w:pPr>
              <w:keepNext w:val="0"/>
              <w:keepLines w:val="0"/>
              <w:suppressLineNumbers w:val="0"/>
              <w:snapToGrid w:val="0"/>
              <w:spacing w:before="0" w:beforeAutospacing="0" w:after="0" w:afterAutospacing="0" w:line="360" w:lineRule="auto"/>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w:t>
            </w:r>
          </w:p>
        </w:tc>
        <w:tc>
          <w:tcPr>
            <w:tcW w:w="1208" w:type="dxa"/>
            <w:tcBorders>
              <w:top w:val="single" w:color="auto" w:sz="4" w:space="0"/>
              <w:left w:val="nil"/>
              <w:bottom w:val="single" w:color="auto" w:sz="4" w:space="0"/>
              <w:right w:val="single" w:color="auto" w:sz="4" w:space="0"/>
            </w:tcBorders>
            <w:noWrap w:val="0"/>
            <w:vAlign w:val="center"/>
          </w:tcPr>
          <w:p w14:paraId="0F1C5D81">
            <w:pPr>
              <w:keepNext w:val="0"/>
              <w:keepLines w:val="0"/>
              <w:suppressLineNumbers w:val="0"/>
              <w:snapToGrid w:val="0"/>
              <w:spacing w:before="0" w:beforeAutospacing="0" w:after="0" w:afterAutospacing="0" w:line="360" w:lineRule="auto"/>
              <w:ind w:left="0" w:right="0"/>
              <w:jc w:val="center"/>
              <w:rPr>
                <w:rFonts w:hint="default" w:ascii="宋体" w:hAnsi="宋体" w:cs="Calibri"/>
                <w:color w:val="auto"/>
                <w:kern w:val="0"/>
                <w:sz w:val="21"/>
                <w:szCs w:val="21"/>
                <w:highlight w:val="none"/>
              </w:rPr>
            </w:pPr>
            <w:r>
              <w:rPr>
                <w:rFonts w:hint="eastAsia" w:ascii="宋体" w:hAnsi="宋体" w:cs="Calibri"/>
                <w:color w:val="auto"/>
                <w:kern w:val="0"/>
                <w:sz w:val="21"/>
                <w:szCs w:val="21"/>
                <w:highlight w:val="none"/>
              </w:rPr>
              <w:t>金额</w:t>
            </w:r>
          </w:p>
          <w:p w14:paraId="735AAFCB">
            <w:pPr>
              <w:keepNext w:val="0"/>
              <w:keepLines w:val="0"/>
              <w:suppressLineNumbers w:val="0"/>
              <w:snapToGrid w:val="0"/>
              <w:spacing w:before="0" w:beforeAutospacing="0" w:after="0" w:afterAutospacing="0" w:line="360" w:lineRule="auto"/>
              <w:ind w:left="0" w:right="0"/>
              <w:jc w:val="center"/>
              <w:rPr>
                <w:rFonts w:hint="eastAsia" w:ascii="宋体" w:hAnsi="宋体" w:eastAsia="宋体"/>
                <w:color w:val="auto"/>
                <w:kern w:val="0"/>
                <w:sz w:val="21"/>
                <w:szCs w:val="21"/>
                <w:highlight w:val="none"/>
                <w:lang w:eastAsia="zh-CN"/>
              </w:rPr>
            </w:pPr>
            <w:r>
              <w:rPr>
                <w:rFonts w:hint="eastAsia" w:ascii="宋体" w:hAnsi="宋体" w:cs="Calibri"/>
                <w:color w:val="auto"/>
                <w:kern w:val="0"/>
                <w:sz w:val="21"/>
                <w:szCs w:val="21"/>
                <w:highlight w:val="none"/>
                <w:lang w:eastAsia="zh-CN"/>
              </w:rPr>
              <w:t>（</w:t>
            </w:r>
            <w:r>
              <w:rPr>
                <w:rFonts w:hint="eastAsia" w:ascii="宋体" w:hAnsi="宋体" w:cs="Calibri"/>
                <w:color w:val="auto"/>
                <w:kern w:val="0"/>
                <w:sz w:val="21"/>
                <w:szCs w:val="21"/>
                <w:highlight w:val="none"/>
              </w:rPr>
              <w:t>元</w:t>
            </w:r>
            <w:r>
              <w:rPr>
                <w:rFonts w:hint="eastAsia" w:ascii="宋体" w:hAnsi="宋体" w:cs="Calibri"/>
                <w:color w:val="auto"/>
                <w:kern w:val="0"/>
                <w:sz w:val="21"/>
                <w:szCs w:val="21"/>
                <w:highlight w:val="none"/>
                <w:lang w:eastAsia="zh-CN"/>
              </w:rPr>
              <w:t>）</w:t>
            </w:r>
          </w:p>
        </w:tc>
        <w:tc>
          <w:tcPr>
            <w:tcW w:w="732" w:type="dxa"/>
            <w:tcBorders>
              <w:top w:val="single" w:color="auto" w:sz="4" w:space="0"/>
              <w:left w:val="nil"/>
              <w:bottom w:val="single" w:color="auto" w:sz="4" w:space="0"/>
              <w:right w:val="single" w:color="auto" w:sz="4" w:space="0"/>
            </w:tcBorders>
            <w:noWrap w:val="0"/>
            <w:vAlign w:val="center"/>
          </w:tcPr>
          <w:p w14:paraId="76809CB8">
            <w:pPr>
              <w:keepNext w:val="0"/>
              <w:keepLines w:val="0"/>
              <w:suppressLineNumbers w:val="0"/>
              <w:snapToGrid w:val="0"/>
              <w:spacing w:before="0" w:beforeAutospacing="0" w:after="0" w:afterAutospacing="0" w:line="360" w:lineRule="auto"/>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占比</w:t>
            </w:r>
          </w:p>
          <w:p w14:paraId="2B1AD01E">
            <w:pPr>
              <w:keepNext w:val="0"/>
              <w:keepLines w:val="0"/>
              <w:suppressLineNumbers w:val="0"/>
              <w:snapToGrid w:val="0"/>
              <w:spacing w:before="0" w:beforeAutospacing="0" w:after="0" w:afterAutospacing="0" w:line="360" w:lineRule="auto"/>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w:t>
            </w:r>
          </w:p>
        </w:tc>
        <w:tc>
          <w:tcPr>
            <w:tcW w:w="909" w:type="dxa"/>
            <w:tcBorders>
              <w:top w:val="single" w:color="auto" w:sz="4" w:space="0"/>
              <w:left w:val="nil"/>
              <w:bottom w:val="single" w:color="auto" w:sz="4" w:space="0"/>
              <w:right w:val="single" w:color="auto" w:sz="4" w:space="0"/>
            </w:tcBorders>
            <w:noWrap w:val="0"/>
            <w:vAlign w:val="center"/>
          </w:tcPr>
          <w:p w14:paraId="0E504EF0">
            <w:pPr>
              <w:keepNext w:val="0"/>
              <w:keepLines w:val="0"/>
              <w:suppressLineNumbers w:val="0"/>
              <w:snapToGrid w:val="0"/>
              <w:spacing w:before="0" w:beforeAutospacing="0" w:after="0" w:afterAutospacing="0" w:line="360" w:lineRule="auto"/>
              <w:ind w:left="0" w:right="0"/>
              <w:jc w:val="center"/>
              <w:rPr>
                <w:rFonts w:hint="default" w:ascii="宋体" w:hAnsi="宋体" w:cs="Calibri"/>
                <w:color w:val="auto"/>
                <w:kern w:val="0"/>
                <w:sz w:val="21"/>
                <w:szCs w:val="21"/>
                <w:highlight w:val="none"/>
              </w:rPr>
            </w:pPr>
            <w:r>
              <w:rPr>
                <w:rFonts w:hint="eastAsia" w:ascii="宋体" w:hAnsi="宋体" w:cs="Calibri"/>
                <w:color w:val="auto"/>
                <w:kern w:val="0"/>
                <w:sz w:val="21"/>
                <w:szCs w:val="21"/>
                <w:highlight w:val="none"/>
              </w:rPr>
              <w:t>金额</w:t>
            </w:r>
          </w:p>
          <w:p w14:paraId="062F2EA9">
            <w:pPr>
              <w:keepNext w:val="0"/>
              <w:keepLines w:val="0"/>
              <w:suppressLineNumbers w:val="0"/>
              <w:snapToGrid w:val="0"/>
              <w:spacing w:before="0" w:beforeAutospacing="0" w:after="0" w:afterAutospacing="0" w:line="360" w:lineRule="auto"/>
              <w:ind w:left="0" w:right="0"/>
              <w:jc w:val="center"/>
              <w:rPr>
                <w:rFonts w:hint="eastAsia" w:ascii="宋体" w:hAnsi="宋体" w:eastAsia="宋体"/>
                <w:color w:val="auto"/>
                <w:kern w:val="0"/>
                <w:sz w:val="21"/>
                <w:szCs w:val="21"/>
                <w:highlight w:val="none"/>
                <w:lang w:eastAsia="zh-CN"/>
              </w:rPr>
            </w:pPr>
            <w:r>
              <w:rPr>
                <w:rFonts w:hint="eastAsia" w:ascii="宋体" w:hAnsi="宋体" w:cs="Calibri"/>
                <w:color w:val="auto"/>
                <w:kern w:val="0"/>
                <w:sz w:val="21"/>
                <w:szCs w:val="21"/>
                <w:highlight w:val="none"/>
                <w:lang w:eastAsia="zh-CN"/>
              </w:rPr>
              <w:t>（</w:t>
            </w:r>
            <w:r>
              <w:rPr>
                <w:rFonts w:hint="eastAsia" w:ascii="宋体" w:hAnsi="宋体" w:cs="Calibri"/>
                <w:color w:val="auto"/>
                <w:kern w:val="0"/>
                <w:sz w:val="21"/>
                <w:szCs w:val="21"/>
                <w:highlight w:val="none"/>
              </w:rPr>
              <w:t>元</w:t>
            </w:r>
            <w:r>
              <w:rPr>
                <w:rFonts w:hint="eastAsia" w:ascii="宋体" w:hAnsi="宋体" w:cs="Calibri"/>
                <w:color w:val="auto"/>
                <w:kern w:val="0"/>
                <w:sz w:val="21"/>
                <w:szCs w:val="21"/>
                <w:highlight w:val="none"/>
                <w:lang w:eastAsia="zh-CN"/>
              </w:rPr>
              <w:t>）</w:t>
            </w:r>
          </w:p>
        </w:tc>
        <w:tc>
          <w:tcPr>
            <w:tcW w:w="1035" w:type="dxa"/>
            <w:tcBorders>
              <w:top w:val="single" w:color="auto" w:sz="4" w:space="0"/>
              <w:left w:val="nil"/>
              <w:bottom w:val="single" w:color="auto" w:sz="4" w:space="0"/>
              <w:right w:val="single" w:color="auto" w:sz="4" w:space="0"/>
            </w:tcBorders>
            <w:noWrap w:val="0"/>
            <w:vAlign w:val="center"/>
          </w:tcPr>
          <w:p w14:paraId="046FED33">
            <w:pPr>
              <w:keepNext w:val="0"/>
              <w:keepLines w:val="0"/>
              <w:suppressLineNumbers w:val="0"/>
              <w:snapToGrid w:val="0"/>
              <w:spacing w:before="0" w:beforeAutospacing="0" w:after="0" w:afterAutospacing="0" w:line="360" w:lineRule="auto"/>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占比</w:t>
            </w:r>
          </w:p>
          <w:p w14:paraId="4B1E721C">
            <w:pPr>
              <w:keepNext w:val="0"/>
              <w:keepLines w:val="0"/>
              <w:suppressLineNumbers w:val="0"/>
              <w:snapToGrid w:val="0"/>
              <w:spacing w:before="0" w:beforeAutospacing="0" w:after="0" w:afterAutospacing="0" w:line="360" w:lineRule="auto"/>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w:t>
            </w:r>
          </w:p>
        </w:tc>
        <w:tc>
          <w:tcPr>
            <w:tcW w:w="1265" w:type="dxa"/>
            <w:tcBorders>
              <w:top w:val="single" w:color="auto" w:sz="4" w:space="0"/>
              <w:left w:val="nil"/>
              <w:bottom w:val="single" w:color="auto" w:sz="4" w:space="0"/>
              <w:right w:val="single" w:color="auto" w:sz="4" w:space="0"/>
            </w:tcBorders>
            <w:noWrap w:val="0"/>
            <w:vAlign w:val="center"/>
          </w:tcPr>
          <w:p w14:paraId="5E66E42A">
            <w:pPr>
              <w:keepNext w:val="0"/>
              <w:keepLines w:val="0"/>
              <w:suppressLineNumbers w:val="0"/>
              <w:snapToGrid w:val="0"/>
              <w:spacing w:before="0" w:beforeAutospacing="0" w:after="0" w:afterAutospacing="0" w:line="360" w:lineRule="auto"/>
              <w:ind w:left="0" w:right="0"/>
              <w:jc w:val="center"/>
              <w:rPr>
                <w:rFonts w:hint="default" w:ascii="宋体" w:hAnsi="宋体" w:cs="Calibri"/>
                <w:color w:val="auto"/>
                <w:kern w:val="0"/>
                <w:sz w:val="21"/>
                <w:szCs w:val="21"/>
                <w:highlight w:val="none"/>
              </w:rPr>
            </w:pPr>
            <w:r>
              <w:rPr>
                <w:rFonts w:hint="eastAsia" w:ascii="宋体" w:hAnsi="宋体" w:cs="Calibri"/>
                <w:color w:val="auto"/>
                <w:kern w:val="0"/>
                <w:sz w:val="21"/>
                <w:szCs w:val="21"/>
                <w:highlight w:val="none"/>
              </w:rPr>
              <w:t>金额</w:t>
            </w:r>
          </w:p>
          <w:p w14:paraId="4B507763">
            <w:pPr>
              <w:keepNext w:val="0"/>
              <w:keepLines w:val="0"/>
              <w:suppressLineNumbers w:val="0"/>
              <w:snapToGrid w:val="0"/>
              <w:spacing w:before="0" w:beforeAutospacing="0" w:after="0" w:afterAutospacing="0" w:line="360" w:lineRule="auto"/>
              <w:ind w:left="0" w:right="0"/>
              <w:jc w:val="center"/>
              <w:rPr>
                <w:rFonts w:hint="eastAsia" w:ascii="宋体" w:hAnsi="宋体" w:eastAsia="宋体"/>
                <w:color w:val="auto"/>
                <w:kern w:val="0"/>
                <w:sz w:val="21"/>
                <w:szCs w:val="21"/>
                <w:highlight w:val="none"/>
                <w:lang w:eastAsia="zh-CN"/>
              </w:rPr>
            </w:pPr>
            <w:r>
              <w:rPr>
                <w:rFonts w:hint="eastAsia" w:ascii="宋体" w:hAnsi="宋体" w:cs="Calibri"/>
                <w:color w:val="auto"/>
                <w:kern w:val="0"/>
                <w:sz w:val="21"/>
                <w:szCs w:val="21"/>
                <w:highlight w:val="none"/>
                <w:lang w:eastAsia="zh-CN"/>
              </w:rPr>
              <w:t>（</w:t>
            </w:r>
            <w:r>
              <w:rPr>
                <w:rFonts w:hint="eastAsia" w:ascii="宋体" w:hAnsi="宋体" w:cs="Calibri"/>
                <w:color w:val="auto"/>
                <w:kern w:val="0"/>
                <w:sz w:val="21"/>
                <w:szCs w:val="21"/>
                <w:highlight w:val="none"/>
              </w:rPr>
              <w:t>元</w:t>
            </w:r>
            <w:r>
              <w:rPr>
                <w:rFonts w:hint="eastAsia" w:ascii="宋体" w:hAnsi="宋体" w:cs="Calibri"/>
                <w:color w:val="auto"/>
                <w:kern w:val="0"/>
                <w:sz w:val="21"/>
                <w:szCs w:val="21"/>
                <w:highlight w:val="none"/>
                <w:lang w:eastAsia="zh-CN"/>
              </w:rPr>
              <w:t>）</w:t>
            </w:r>
          </w:p>
        </w:tc>
      </w:tr>
      <w:tr w14:paraId="7DD75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24C7CDB8">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5BF50370">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2F566F84">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20C1D1BC">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1C15DA60">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4BDFB7C8">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583DD7E1">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16B6F74B">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076E37B7">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13BA0582">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r>
      <w:tr w14:paraId="2FBA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37813E55">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6188D11E">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4041B757">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56C984BA">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77F241D3">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61E422E6">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7ECD1EEC">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1EF4AD00">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0E923B62">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0C7EF8B5">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r>
      <w:tr w14:paraId="45B4F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A9F3082">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5E3A987C">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3F1843A9">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6452509D">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60762E0C">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1F86D746">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609EB052">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6896D97F">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59C11C72">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675C1549">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r>
      <w:tr w14:paraId="1FA48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233B36BF">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05530B74">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519A4AEF">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05637EB8">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4CE8F71A">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15BE5312">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3DA532E2">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3A0CA2D9">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4F0EFD55">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1977F829">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r>
      <w:tr w14:paraId="0BB37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697EEB6">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12BB36BF">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3CC87B61">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4E66D53B">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59C4B01A">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0704D91E">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53671983">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680FB405">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68E120DA">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35805868">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r>
      <w:tr w14:paraId="7A594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3DA4E6E7">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0D3B5E42">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45EB2BA2">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2EA07CA2">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416C23D0">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5809B685">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0EB7AB32">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0438B52C">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7457F0CF">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048E1E9C">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r>
      <w:tr w14:paraId="742D3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A8B6542">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6A0765B0">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045FBE68">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61B0957C">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7F5729A1">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6BB0D64F">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463549D2">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62E616D5">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7D0ED26C">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76D1D0AE">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r>
      <w:tr w14:paraId="0945B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0AF2B578">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3B442693">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1CD4DDC7">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7B18D77D">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7D73BB4F">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05B89A93">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5007F2D1">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2D47AC5F">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2206A1FC">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1CFF87EA">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r>
      <w:tr w14:paraId="6BF26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592FED8">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65B27678">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29B50676">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245F3F2E">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36D17AB4">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6A4C687C">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7E6AD167">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16312D08">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5BBB5F49">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3FADFC7D">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r>
      <w:tr w14:paraId="7AABF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3A772790">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3EDD5547">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3B56B207">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6B83AD91">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72E6A232">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20900456">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32783A01">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69BCC3B8">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52C39902">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4D50A659">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r>
      <w:tr w14:paraId="7AC84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0FAB9473">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540ECFF7">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47E05BEF">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21C33C40">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6F7C53A5">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55F4B402">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2B7C8890">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64E334DA">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05804923">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496D85F6">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r>
      <w:tr w14:paraId="1185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3A6A20D7">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37B1287E">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1CB87B56">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3035EA00">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6BEE2087">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2592BECA">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04A9F260">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6D988671">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68CAFAEA">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5145E40C">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r>
      <w:tr w14:paraId="07B32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5BE2EBE1">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28868D41">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4691D5F3">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70B5A39F">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0FB2D29A">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3432C977">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2F7F8D9C">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7FEC258C">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687DB5D0">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3AD9BDE4">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r>
      <w:tr w14:paraId="1EFA2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05DE17B">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068EDF27">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4372CB13">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5EB78B8E">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575C41BD">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3705DE96">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2EC3E456">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768D70B3">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750D5AFF">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0B69382B">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r>
      <w:tr w14:paraId="60FF3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84F2943">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0CE9CEA3">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145C7F05">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6E1A8665">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43B3F9C7">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28F5D57C">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6744CCA2">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73198F87">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175BEAD4">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5B098202">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r>
      <w:tr w14:paraId="4A74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0124BFA1">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3273132A">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1B851CEA">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45CE5752">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25C1E8A3">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31F9A015">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2E4E96B6">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13F88ABC">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18FB78DB">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098D42DA">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r>
      <w:tr w14:paraId="391D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2B0784D1">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2E5A0985">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65D85DFD">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03819E33">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4BCF92AE">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432E051E">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6D8C763F">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032E31BD">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52EB0C9B">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18F2568D">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r>
      <w:tr w14:paraId="59C05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0006019B">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420636DD">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6581936A">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3F4F3CDF">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3A94CA61">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4295B9D7">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1140C8E1">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2BEFC0D4">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6548C66C">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65911898">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r>
      <w:tr w14:paraId="24926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057104CC">
            <w:pPr>
              <w:keepNext w:val="0"/>
              <w:keepLines w:val="0"/>
              <w:suppressLineNumbers w:val="0"/>
              <w:spacing w:before="0" w:beforeAutospacing="0" w:after="120" w:afterAutospacing="0" w:line="360" w:lineRule="auto"/>
              <w:ind w:left="0" w:right="0"/>
              <w:jc w:val="center"/>
              <w:rPr>
                <w:rFonts w:hint="default" w:ascii="宋体" w:hAnsi="宋体"/>
                <w:color w:val="auto"/>
                <w:kern w:val="0"/>
                <w:sz w:val="18"/>
                <w:szCs w:val="18"/>
                <w:highlight w:val="none"/>
              </w:rPr>
            </w:pPr>
            <w:r>
              <w:rPr>
                <w:rFonts w:hint="eastAsia" w:ascii="宋体" w:hAnsi="宋体"/>
                <w:color w:val="auto"/>
                <w:kern w:val="0"/>
                <w:sz w:val="18"/>
                <w:szCs w:val="18"/>
                <w:highlight w:val="none"/>
              </w:rPr>
              <w:t>—</w:t>
            </w:r>
          </w:p>
        </w:tc>
        <w:tc>
          <w:tcPr>
            <w:tcW w:w="829" w:type="dxa"/>
            <w:tcBorders>
              <w:top w:val="single" w:color="auto" w:sz="4" w:space="0"/>
              <w:left w:val="nil"/>
              <w:bottom w:val="single" w:color="auto" w:sz="4" w:space="0"/>
              <w:right w:val="single" w:color="auto" w:sz="4" w:space="0"/>
            </w:tcBorders>
            <w:noWrap w:val="0"/>
            <w:vAlign w:val="top"/>
          </w:tcPr>
          <w:p w14:paraId="263228C2">
            <w:pPr>
              <w:keepNext w:val="0"/>
              <w:keepLines w:val="0"/>
              <w:suppressLineNumbers w:val="0"/>
              <w:spacing w:before="0" w:beforeAutospacing="0" w:after="120" w:afterAutospacing="0" w:line="360" w:lineRule="auto"/>
              <w:ind w:left="0" w:right="0"/>
              <w:jc w:val="center"/>
              <w:rPr>
                <w:rFonts w:hint="default" w:ascii="宋体" w:hAnsi="宋体"/>
                <w:color w:val="auto"/>
                <w:kern w:val="0"/>
                <w:sz w:val="18"/>
                <w:szCs w:val="18"/>
                <w:highlight w:val="none"/>
              </w:rPr>
            </w:pPr>
            <w:r>
              <w:rPr>
                <w:rFonts w:hint="eastAsia" w:ascii="宋体" w:hAnsi="宋体"/>
                <w:color w:val="auto"/>
                <w:kern w:val="0"/>
                <w:sz w:val="18"/>
                <w:szCs w:val="18"/>
                <w:highlight w:val="none"/>
              </w:rPr>
              <w:t>—</w:t>
            </w:r>
          </w:p>
        </w:tc>
        <w:tc>
          <w:tcPr>
            <w:tcW w:w="1380" w:type="dxa"/>
            <w:tcBorders>
              <w:top w:val="single" w:color="auto" w:sz="4" w:space="0"/>
              <w:left w:val="nil"/>
              <w:bottom w:val="single" w:color="auto" w:sz="4" w:space="0"/>
              <w:right w:val="single" w:color="auto" w:sz="4" w:space="0"/>
            </w:tcBorders>
            <w:noWrap w:val="0"/>
            <w:vAlign w:val="center"/>
          </w:tcPr>
          <w:p w14:paraId="1E7B5D61">
            <w:pPr>
              <w:keepNext w:val="0"/>
              <w:keepLines w:val="0"/>
              <w:suppressLineNumbers w:val="0"/>
              <w:spacing w:before="0" w:beforeAutospacing="0" w:after="120" w:afterAutospacing="0" w:line="360" w:lineRule="auto"/>
              <w:ind w:left="0" w:right="0"/>
              <w:jc w:val="center"/>
              <w:rPr>
                <w:rFonts w:hint="default" w:ascii="宋体" w:hAnsi="宋体"/>
                <w:color w:val="auto"/>
                <w:kern w:val="0"/>
                <w:sz w:val="18"/>
                <w:szCs w:val="18"/>
                <w:highlight w:val="none"/>
              </w:rPr>
            </w:pPr>
            <w:r>
              <w:rPr>
                <w:rFonts w:hint="eastAsia" w:ascii="宋体" w:hAnsi="宋体"/>
                <w:color w:val="auto"/>
                <w:kern w:val="0"/>
                <w:sz w:val="18"/>
                <w:szCs w:val="18"/>
                <w:highlight w:val="none"/>
              </w:rPr>
              <w:t>合计</w:t>
            </w:r>
          </w:p>
        </w:tc>
        <w:tc>
          <w:tcPr>
            <w:tcW w:w="785" w:type="dxa"/>
            <w:tcBorders>
              <w:top w:val="single" w:color="auto" w:sz="4" w:space="0"/>
              <w:left w:val="nil"/>
              <w:bottom w:val="single" w:color="auto" w:sz="4" w:space="0"/>
              <w:right w:val="single" w:color="auto" w:sz="4" w:space="0"/>
            </w:tcBorders>
            <w:noWrap w:val="0"/>
            <w:vAlign w:val="top"/>
          </w:tcPr>
          <w:p w14:paraId="17AB5C0F">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center"/>
          </w:tcPr>
          <w:p w14:paraId="2C7C7EB7">
            <w:pPr>
              <w:keepNext w:val="0"/>
              <w:keepLines w:val="0"/>
              <w:suppressLineNumbers w:val="0"/>
              <w:spacing w:before="0" w:beforeAutospacing="0" w:after="120" w:afterAutospacing="0" w:line="360" w:lineRule="auto"/>
              <w:ind w:left="0" w:leftChars="0" w:right="0" w:rightChars="0"/>
              <w:jc w:val="center"/>
              <w:rPr>
                <w:rFonts w:hint="default" w:ascii="宋体" w:hAnsi="宋体" w:eastAsia="宋体" w:cs="Times New Roman"/>
                <w:color w:val="auto"/>
                <w:kern w:val="0"/>
                <w:sz w:val="18"/>
                <w:szCs w:val="18"/>
                <w:highlight w:val="none"/>
                <w:lang w:val="en-US" w:eastAsia="zh-CN" w:bidi="ar-SA"/>
              </w:rPr>
            </w:pPr>
            <w:r>
              <w:rPr>
                <w:rFonts w:hint="eastAsia" w:ascii="宋体" w:hAnsi="宋体"/>
                <w:color w:val="auto"/>
                <w:kern w:val="0"/>
                <w:sz w:val="18"/>
                <w:szCs w:val="18"/>
                <w:highlight w:val="none"/>
              </w:rPr>
              <w:t>—</w:t>
            </w:r>
          </w:p>
        </w:tc>
        <w:tc>
          <w:tcPr>
            <w:tcW w:w="1208" w:type="dxa"/>
            <w:tcBorders>
              <w:top w:val="single" w:color="auto" w:sz="4" w:space="0"/>
              <w:left w:val="nil"/>
              <w:bottom w:val="single" w:color="auto" w:sz="4" w:space="0"/>
              <w:right w:val="single" w:color="auto" w:sz="4" w:space="0"/>
            </w:tcBorders>
            <w:noWrap w:val="0"/>
            <w:vAlign w:val="center"/>
          </w:tcPr>
          <w:p w14:paraId="75457DCE">
            <w:pPr>
              <w:keepNext w:val="0"/>
              <w:keepLines w:val="0"/>
              <w:suppressLineNumbers w:val="0"/>
              <w:spacing w:before="0" w:beforeAutospacing="0" w:after="120" w:afterAutospacing="0" w:line="360" w:lineRule="auto"/>
              <w:ind w:left="0" w:leftChars="0" w:right="0" w:rightChars="0"/>
              <w:jc w:val="center"/>
              <w:rPr>
                <w:rFonts w:hint="default" w:ascii="宋体" w:hAnsi="宋体" w:eastAsia="宋体" w:cs="Times New Roman"/>
                <w:color w:val="auto"/>
                <w:kern w:val="0"/>
                <w:sz w:val="18"/>
                <w:szCs w:val="18"/>
                <w:highlight w:val="none"/>
                <w:lang w:val="en-US" w:eastAsia="zh-CN" w:bidi="ar-SA"/>
              </w:rPr>
            </w:pPr>
          </w:p>
        </w:tc>
        <w:tc>
          <w:tcPr>
            <w:tcW w:w="732" w:type="dxa"/>
            <w:tcBorders>
              <w:top w:val="single" w:color="auto" w:sz="4" w:space="0"/>
              <w:left w:val="nil"/>
              <w:bottom w:val="single" w:color="auto" w:sz="4" w:space="0"/>
              <w:right w:val="single" w:color="auto" w:sz="4" w:space="0"/>
            </w:tcBorders>
            <w:noWrap w:val="0"/>
            <w:vAlign w:val="center"/>
          </w:tcPr>
          <w:p w14:paraId="7D86E558">
            <w:pPr>
              <w:keepNext w:val="0"/>
              <w:keepLines w:val="0"/>
              <w:suppressLineNumbers w:val="0"/>
              <w:spacing w:before="0" w:beforeAutospacing="0" w:after="120" w:afterAutospacing="0" w:line="360" w:lineRule="auto"/>
              <w:ind w:left="0" w:leftChars="0" w:right="0" w:rightChars="0"/>
              <w:jc w:val="center"/>
              <w:rPr>
                <w:rFonts w:hint="default" w:ascii="宋体" w:hAnsi="宋体" w:eastAsia="宋体" w:cs="Times New Roman"/>
                <w:color w:val="auto"/>
                <w:kern w:val="0"/>
                <w:sz w:val="18"/>
                <w:szCs w:val="18"/>
                <w:highlight w:val="none"/>
                <w:lang w:val="en-US" w:eastAsia="zh-CN" w:bidi="ar-SA"/>
              </w:rPr>
            </w:pPr>
            <w:r>
              <w:rPr>
                <w:rFonts w:hint="eastAsia" w:ascii="宋体" w:hAnsi="宋体"/>
                <w:color w:val="auto"/>
                <w:kern w:val="0"/>
                <w:sz w:val="18"/>
                <w:szCs w:val="18"/>
                <w:highlight w:val="none"/>
              </w:rPr>
              <w:t>—</w:t>
            </w:r>
          </w:p>
        </w:tc>
        <w:tc>
          <w:tcPr>
            <w:tcW w:w="909" w:type="dxa"/>
            <w:tcBorders>
              <w:top w:val="single" w:color="auto" w:sz="4" w:space="0"/>
              <w:left w:val="nil"/>
              <w:bottom w:val="single" w:color="auto" w:sz="4" w:space="0"/>
              <w:right w:val="single" w:color="auto" w:sz="4" w:space="0"/>
            </w:tcBorders>
            <w:noWrap w:val="0"/>
            <w:vAlign w:val="center"/>
          </w:tcPr>
          <w:p w14:paraId="34FCD894">
            <w:pPr>
              <w:keepNext w:val="0"/>
              <w:keepLines w:val="0"/>
              <w:suppressLineNumbers w:val="0"/>
              <w:spacing w:before="0" w:beforeAutospacing="0" w:after="120" w:afterAutospacing="0" w:line="360" w:lineRule="auto"/>
              <w:ind w:left="0" w:leftChars="0" w:right="0" w:rightChars="0"/>
              <w:jc w:val="center"/>
              <w:rPr>
                <w:rFonts w:hint="default" w:ascii="宋体" w:hAnsi="宋体" w:eastAsia="宋体" w:cs="Times New Roman"/>
                <w:color w:val="auto"/>
                <w:kern w:val="0"/>
                <w:sz w:val="18"/>
                <w:szCs w:val="18"/>
                <w:highlight w:val="none"/>
                <w:lang w:val="en-US" w:eastAsia="zh-CN" w:bidi="ar-SA"/>
              </w:rPr>
            </w:pPr>
          </w:p>
        </w:tc>
        <w:tc>
          <w:tcPr>
            <w:tcW w:w="1035" w:type="dxa"/>
            <w:tcBorders>
              <w:top w:val="single" w:color="auto" w:sz="4" w:space="0"/>
              <w:left w:val="nil"/>
              <w:bottom w:val="single" w:color="auto" w:sz="4" w:space="0"/>
              <w:right w:val="single" w:color="auto" w:sz="4" w:space="0"/>
            </w:tcBorders>
            <w:noWrap w:val="0"/>
            <w:vAlign w:val="center"/>
          </w:tcPr>
          <w:p w14:paraId="52C560D7">
            <w:pPr>
              <w:keepNext w:val="0"/>
              <w:keepLines w:val="0"/>
              <w:suppressLineNumbers w:val="0"/>
              <w:spacing w:before="0" w:beforeAutospacing="0" w:after="120" w:afterAutospacing="0" w:line="360" w:lineRule="auto"/>
              <w:ind w:left="0" w:leftChars="0" w:right="0" w:rightChars="0"/>
              <w:jc w:val="center"/>
              <w:rPr>
                <w:rFonts w:hint="default" w:ascii="宋体" w:hAnsi="宋体" w:eastAsia="宋体" w:cs="Times New Roman"/>
                <w:color w:val="auto"/>
                <w:kern w:val="0"/>
                <w:sz w:val="18"/>
                <w:szCs w:val="18"/>
                <w:highlight w:val="none"/>
                <w:lang w:val="en-US" w:eastAsia="zh-CN" w:bidi="ar-SA"/>
              </w:rPr>
            </w:pPr>
            <w:r>
              <w:rPr>
                <w:rFonts w:hint="eastAsia" w:ascii="宋体" w:hAnsi="宋体"/>
                <w:color w:val="auto"/>
                <w:kern w:val="0"/>
                <w:sz w:val="18"/>
                <w:szCs w:val="18"/>
                <w:highlight w:val="none"/>
              </w:rPr>
              <w:t>—</w:t>
            </w:r>
          </w:p>
        </w:tc>
        <w:tc>
          <w:tcPr>
            <w:tcW w:w="1265" w:type="dxa"/>
            <w:tcBorders>
              <w:top w:val="single" w:color="auto" w:sz="4" w:space="0"/>
              <w:left w:val="nil"/>
              <w:bottom w:val="single" w:color="auto" w:sz="4" w:space="0"/>
              <w:right w:val="single" w:color="auto" w:sz="4" w:space="0"/>
            </w:tcBorders>
            <w:noWrap w:val="0"/>
            <w:vAlign w:val="top"/>
          </w:tcPr>
          <w:p w14:paraId="4E55DF19">
            <w:pPr>
              <w:keepNext w:val="0"/>
              <w:keepLines w:val="0"/>
              <w:suppressLineNumbers w:val="0"/>
              <w:spacing w:before="0" w:beforeAutospacing="0" w:after="120" w:afterAutospacing="0" w:line="360" w:lineRule="auto"/>
              <w:ind w:left="0" w:right="0"/>
              <w:rPr>
                <w:rFonts w:hint="default" w:ascii="宋体" w:hAnsi="宋体"/>
                <w:color w:val="auto"/>
                <w:kern w:val="0"/>
                <w:sz w:val="18"/>
                <w:szCs w:val="18"/>
                <w:highlight w:val="none"/>
              </w:rPr>
            </w:pPr>
          </w:p>
        </w:tc>
      </w:tr>
    </w:tbl>
    <w:p w14:paraId="668674A3">
      <w:pPr>
        <w:pStyle w:val="21"/>
        <w:spacing w:line="360" w:lineRule="auto"/>
        <w:rPr>
          <w:rFonts w:hint="eastAsia"/>
          <w:color w:val="auto"/>
          <w:highlight w:val="none"/>
        </w:rPr>
        <w:sectPr>
          <w:pgSz w:w="11907" w:h="16840"/>
          <w:pgMar w:top="1440" w:right="1440" w:bottom="1440" w:left="1797" w:header="851" w:footer="851" w:gutter="0"/>
          <w:cols w:space="720" w:num="1"/>
          <w:docGrid w:linePitch="312" w:charSpace="0"/>
        </w:sectPr>
      </w:pPr>
    </w:p>
    <w:p w14:paraId="4A1A704B">
      <w:pPr>
        <w:spacing w:before="120" w:beforeLines="50" w:after="120" w:afterLines="50" w:line="360" w:lineRule="auto"/>
        <w:jc w:val="left"/>
        <w:rPr>
          <w:rFonts w:hint="default" w:ascii="仿宋_GB2312" w:eastAsia="仿宋_GB2312" w:cs="仿宋_GB2312"/>
          <w:color w:val="auto"/>
          <w:sz w:val="30"/>
          <w:szCs w:val="30"/>
          <w:highlight w:val="none"/>
          <w:lang w:val="en-US" w:eastAsia="zh-CN"/>
        </w:rPr>
      </w:pPr>
      <w:r>
        <w:rPr>
          <w:rFonts w:hint="eastAsia" w:ascii="仿宋_GB2312" w:eastAsia="仿宋_GB2312" w:cs="仿宋_GB2312"/>
          <w:color w:val="auto"/>
          <w:sz w:val="30"/>
          <w:szCs w:val="30"/>
          <w:highlight w:val="none"/>
          <w:lang w:eastAsia="zh-CN"/>
        </w:rPr>
        <w:t>附件</w:t>
      </w:r>
      <w:r>
        <w:rPr>
          <w:rFonts w:hint="eastAsia" w:ascii="仿宋_GB2312" w:eastAsia="仿宋_GB2312" w:cs="仿宋_GB2312"/>
          <w:color w:val="auto"/>
          <w:sz w:val="30"/>
          <w:szCs w:val="30"/>
          <w:highlight w:val="none"/>
          <w:lang w:val="en-US" w:eastAsia="zh-CN"/>
        </w:rPr>
        <w:t>16：零星签证费用确认单</w:t>
      </w:r>
    </w:p>
    <w:p w14:paraId="3AAF80C4">
      <w:pPr>
        <w:spacing w:line="360" w:lineRule="auto"/>
        <w:jc w:val="center"/>
        <w:outlineLvl w:val="1"/>
        <w:rPr>
          <w:b/>
          <w:color w:val="auto"/>
          <w:sz w:val="36"/>
          <w:szCs w:val="36"/>
          <w:highlight w:val="none"/>
        </w:rPr>
      </w:pPr>
      <w:r>
        <w:rPr>
          <w:rFonts w:hint="eastAsia" w:ascii="宋体" w:hAnsi="宋体"/>
          <w:b/>
          <w:color w:val="auto"/>
          <w:sz w:val="36"/>
          <w:szCs w:val="36"/>
          <w:highlight w:val="none"/>
          <w:lang w:eastAsia="zh-CN"/>
        </w:rPr>
        <w:t>零星签证费用确认单</w:t>
      </w:r>
    </w:p>
    <w:p w14:paraId="12E67AD2">
      <w:pPr>
        <w:spacing w:line="360" w:lineRule="auto"/>
        <w:ind w:firstLine="420" w:firstLineChars="200"/>
        <w:rPr>
          <w:rFonts w:hint="eastAsia" w:ascii="宋体" w:hAnsi="宋体"/>
          <w:color w:val="auto"/>
          <w:sz w:val="21"/>
          <w:szCs w:val="21"/>
          <w:highlight w:val="none"/>
        </w:rPr>
      </w:pPr>
    </w:p>
    <w:p w14:paraId="43A72AF7">
      <w:pPr>
        <w:spacing w:line="360" w:lineRule="auto"/>
        <w:ind w:firstLine="420" w:firstLineChars="200"/>
        <w:rPr>
          <w:color w:val="auto"/>
          <w:sz w:val="21"/>
          <w:szCs w:val="21"/>
          <w:highlight w:val="none"/>
        </w:rPr>
      </w:pPr>
      <w:r>
        <w:rPr>
          <w:rFonts w:hint="eastAsia" w:ascii="宋体" w:hAnsi="宋体"/>
          <w:color w:val="auto"/>
          <w:sz w:val="21"/>
          <w:szCs w:val="21"/>
          <w:highlight w:val="none"/>
        </w:rPr>
        <w:t xml:space="preserve">工程名称：                                             </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编号：</w:t>
      </w:r>
    </w:p>
    <w:tbl>
      <w:tblPr>
        <w:tblStyle w:val="2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0"/>
        <w:gridCol w:w="4552"/>
      </w:tblGrid>
      <w:tr w14:paraId="0E7BA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99"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5A717B10">
            <w:pPr>
              <w:keepNext w:val="0"/>
              <w:keepLines w:val="0"/>
              <w:suppressLineNumbers w:val="0"/>
              <w:spacing w:before="0" w:beforeAutospacing="0" w:after="0" w:afterAutospacing="0" w:line="360" w:lineRule="auto"/>
              <w:ind w:left="0" w:right="0"/>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致：</w:t>
            </w:r>
            <w:r>
              <w:rPr>
                <w:rFonts w:hint="default"/>
                <w:color w:val="auto"/>
                <w:highlight w:val="none"/>
                <w:u w:val="single"/>
              </w:rPr>
              <w:t xml:space="preserve">                                      </w:t>
            </w:r>
            <w:r>
              <w:rPr>
                <w:rFonts w:hint="eastAsia" w:ascii="宋体" w:hAnsi="宋体"/>
                <w:color w:val="auto"/>
                <w:highlight w:val="none"/>
                <w:u w:val="single"/>
              </w:rPr>
              <w:t xml:space="preserve">（发包人全称） </w:t>
            </w:r>
          </w:p>
          <w:p w14:paraId="196917F3">
            <w:pPr>
              <w:keepNext w:val="0"/>
              <w:keepLines w:val="0"/>
              <w:suppressLineNumbers w:val="0"/>
              <w:spacing w:before="0" w:beforeAutospacing="0" w:after="0" w:afterAutospacing="0" w:line="360" w:lineRule="auto"/>
              <w:ind w:left="1333" w:leftChars="285" w:right="0" w:hanging="735" w:hangingChars="350"/>
              <w:rPr>
                <w:rFonts w:hint="default"/>
                <w:color w:val="auto"/>
                <w:highlight w:val="none"/>
              </w:rPr>
            </w:pPr>
            <w:r>
              <w:rPr>
                <w:rFonts w:hint="eastAsia" w:ascii="宋体" w:hAnsi="宋体"/>
                <w:color w:val="auto"/>
                <w:highlight w:val="none"/>
                <w:lang w:val="en-US" w:eastAsia="zh-CN"/>
              </w:rPr>
              <w:t xml:space="preserve">   年   月   日</w:t>
            </w:r>
            <w:r>
              <w:rPr>
                <w:rFonts w:hint="eastAsia" w:ascii="宋体" w:hAnsi="宋体"/>
                <w:color w:val="auto"/>
                <w:highlight w:val="none"/>
                <w:lang w:eastAsia="zh-CN"/>
              </w:rPr>
              <w:t>，</w:t>
            </w:r>
            <w:r>
              <w:rPr>
                <w:rFonts w:hint="eastAsia" w:ascii="宋体" w:hAnsi="宋体"/>
                <w:color w:val="auto"/>
                <w:highlight w:val="none"/>
              </w:rPr>
              <w:t>由于</w:t>
            </w:r>
            <w:r>
              <w:rPr>
                <w:rFonts w:hint="default"/>
                <w:color w:val="auto"/>
                <w:highlight w:val="none"/>
                <w:u w:val="single"/>
              </w:rPr>
              <w:t xml:space="preserve">                   </w:t>
            </w:r>
            <w:r>
              <w:rPr>
                <w:rFonts w:hint="eastAsia" w:ascii="宋体" w:hAnsi="宋体"/>
                <w:color w:val="auto"/>
                <w:highlight w:val="none"/>
              </w:rPr>
              <w:t>原因</w:t>
            </w:r>
            <w:r>
              <w:rPr>
                <w:rFonts w:hint="eastAsia" w:ascii="宋体" w:hAnsi="宋体"/>
                <w:color w:val="auto"/>
                <w:highlight w:val="none"/>
                <w:lang w:eastAsia="zh-CN"/>
              </w:rPr>
              <w:t>，</w:t>
            </w:r>
            <w:r>
              <w:rPr>
                <w:rFonts w:hint="eastAsia" w:ascii="宋体" w:hAnsi="宋体"/>
                <w:color w:val="auto"/>
                <w:highlight w:val="none"/>
              </w:rPr>
              <w:t>我方</w:t>
            </w:r>
            <w:r>
              <w:rPr>
                <w:rFonts w:hint="eastAsia" w:ascii="宋体" w:hAnsi="宋体"/>
                <w:color w:val="auto"/>
                <w:highlight w:val="none"/>
                <w:lang w:eastAsia="zh-CN"/>
              </w:rPr>
              <w:t>发生零星签证不含税</w:t>
            </w:r>
            <w:r>
              <w:rPr>
                <w:rFonts w:hint="eastAsia" w:ascii="宋体" w:hAnsi="宋体"/>
                <w:color w:val="auto"/>
                <w:highlight w:val="none"/>
              </w:rPr>
              <w:t>金额（大写）</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（小写）</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请予核准。</w:t>
            </w:r>
          </w:p>
          <w:p w14:paraId="09DB1929">
            <w:pPr>
              <w:keepNext w:val="0"/>
              <w:keepLines w:val="0"/>
              <w:suppressLineNumbers w:val="0"/>
              <w:spacing w:before="0" w:beforeAutospacing="0" w:after="0" w:afterAutospacing="0" w:line="360" w:lineRule="auto"/>
              <w:ind w:left="0" w:right="0"/>
              <w:rPr>
                <w:rFonts w:hint="default"/>
                <w:color w:val="auto"/>
                <w:highlight w:val="none"/>
              </w:rPr>
            </w:pPr>
            <w:r>
              <w:rPr>
                <w:rFonts w:hint="eastAsia" w:ascii="宋体" w:hAnsi="宋体"/>
                <w:color w:val="auto"/>
                <w:highlight w:val="none"/>
              </w:rPr>
              <w:t>附：</w:t>
            </w:r>
            <w:r>
              <w:rPr>
                <w:rFonts w:hint="eastAsia"/>
                <w:color w:val="auto"/>
                <w:highlight w:val="none"/>
              </w:rPr>
              <w:t>1.</w:t>
            </w:r>
            <w:r>
              <w:rPr>
                <w:rFonts w:hint="eastAsia" w:ascii="宋体" w:hAnsi="宋体"/>
                <w:color w:val="auto"/>
                <w:highlight w:val="none"/>
                <w:lang w:eastAsia="zh-CN"/>
              </w:rPr>
              <w:t>零星签证</w:t>
            </w:r>
            <w:r>
              <w:rPr>
                <w:rFonts w:hint="eastAsia" w:ascii="宋体" w:hAnsi="宋体"/>
                <w:color w:val="auto"/>
                <w:highlight w:val="none"/>
              </w:rPr>
              <w:t>的详细</w:t>
            </w:r>
            <w:r>
              <w:rPr>
                <w:rFonts w:hint="eastAsia" w:ascii="宋体" w:hAnsi="宋体"/>
                <w:color w:val="auto"/>
                <w:highlight w:val="none"/>
                <w:lang w:eastAsia="zh-CN"/>
              </w:rPr>
              <w:t>计算清单</w:t>
            </w:r>
            <w:r>
              <w:rPr>
                <w:rFonts w:hint="eastAsia" w:ascii="宋体" w:hAnsi="宋体"/>
                <w:color w:val="auto"/>
                <w:highlight w:val="none"/>
              </w:rPr>
              <w:t>：</w:t>
            </w:r>
          </w:p>
          <w:p w14:paraId="6CDEA8C9">
            <w:pPr>
              <w:keepNext w:val="0"/>
              <w:keepLines w:val="0"/>
              <w:suppressLineNumbers w:val="0"/>
              <w:spacing w:before="0" w:beforeAutospacing="0" w:after="0" w:afterAutospacing="0" w:line="360" w:lineRule="auto"/>
              <w:ind w:left="0" w:right="0" w:firstLine="435"/>
              <w:rPr>
                <w:rFonts w:hint="default"/>
                <w:color w:val="auto"/>
                <w:highlight w:val="none"/>
              </w:rPr>
            </w:pPr>
            <w:r>
              <w:rPr>
                <w:rFonts w:hint="eastAsia"/>
                <w:color w:val="auto"/>
                <w:highlight w:val="none"/>
                <w:lang w:val="en-US" w:eastAsia="zh-CN"/>
              </w:rPr>
              <w:t>2</w:t>
            </w:r>
            <w:r>
              <w:rPr>
                <w:rFonts w:hint="eastAsia"/>
                <w:color w:val="auto"/>
                <w:highlight w:val="none"/>
              </w:rPr>
              <w:t>.</w:t>
            </w:r>
            <w:r>
              <w:rPr>
                <w:rFonts w:hint="eastAsia" w:ascii="宋体" w:hAnsi="宋体"/>
                <w:color w:val="auto"/>
                <w:highlight w:val="none"/>
              </w:rPr>
              <w:t>证明材料：</w:t>
            </w:r>
          </w:p>
          <w:p w14:paraId="2F753816">
            <w:pPr>
              <w:keepNext w:val="0"/>
              <w:keepLines w:val="0"/>
              <w:suppressLineNumbers w:val="0"/>
              <w:spacing w:before="0" w:beforeAutospacing="0" w:after="0" w:afterAutospacing="0" w:line="360" w:lineRule="auto"/>
              <w:ind w:left="0" w:right="0" w:firstLine="435"/>
              <w:rPr>
                <w:rFonts w:hint="default"/>
                <w:color w:val="auto"/>
                <w:highlight w:val="none"/>
              </w:rPr>
            </w:pPr>
          </w:p>
          <w:p w14:paraId="674D049E">
            <w:pPr>
              <w:keepNext w:val="0"/>
              <w:keepLines w:val="0"/>
              <w:suppressLineNumbers w:val="0"/>
              <w:spacing w:before="0" w:beforeAutospacing="0" w:after="0" w:afterAutospacing="0" w:line="360" w:lineRule="auto"/>
              <w:ind w:left="0" w:right="0"/>
              <w:jc w:val="center"/>
              <w:rPr>
                <w:rFonts w:hint="default"/>
                <w:color w:val="auto"/>
                <w:highlight w:val="none"/>
              </w:rPr>
            </w:pPr>
            <w:r>
              <w:rPr>
                <w:rFonts w:hint="default"/>
                <w:color w:val="auto"/>
                <w:highlight w:val="none"/>
              </w:rPr>
              <w:t xml:space="preserve">                                                                                               </w:t>
            </w:r>
            <w:r>
              <w:rPr>
                <w:rFonts w:hint="eastAsia" w:ascii="宋体" w:hAnsi="宋体"/>
                <w:color w:val="auto"/>
                <w:highlight w:val="none"/>
              </w:rPr>
              <w:t>承包人（章）</w:t>
            </w:r>
            <w:r>
              <w:rPr>
                <w:rFonts w:hint="default"/>
                <w:color w:val="auto"/>
                <w:highlight w:val="none"/>
              </w:rPr>
              <w:t xml:space="preserve">            </w:t>
            </w:r>
          </w:p>
          <w:p w14:paraId="21DBC38A">
            <w:pPr>
              <w:keepNext w:val="0"/>
              <w:keepLines w:val="0"/>
              <w:suppressLineNumbers w:val="0"/>
              <w:spacing w:before="0" w:beforeAutospacing="0" w:after="0" w:afterAutospacing="0" w:line="360" w:lineRule="auto"/>
              <w:ind w:left="0" w:right="0"/>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造价人员</w:t>
            </w:r>
            <w:r>
              <w:rPr>
                <w:rFonts w:hint="eastAsia"/>
                <w:color w:val="auto"/>
                <w:highlight w:val="none"/>
              </w:rPr>
              <w:t xml:space="preserve">____________ </w:t>
            </w:r>
            <w:r>
              <w:rPr>
                <w:rFonts w:hint="default"/>
                <w:color w:val="auto"/>
                <w:highlight w:val="none"/>
              </w:rPr>
              <w:t xml:space="preserve">  </w:t>
            </w:r>
            <w:r>
              <w:rPr>
                <w:rFonts w:hint="eastAsia" w:ascii="宋体" w:hAnsi="宋体"/>
                <w:color w:val="auto"/>
                <w:highlight w:val="none"/>
              </w:rPr>
              <w:t>承包人代表</w:t>
            </w:r>
            <w:r>
              <w:rPr>
                <w:rFonts w:hint="default"/>
                <w:color w:val="auto"/>
                <w:highlight w:val="none"/>
                <w:u w:val="single"/>
              </w:rPr>
              <w:t xml:space="preserve">              </w:t>
            </w:r>
            <w:r>
              <w:rPr>
                <w:rFonts w:hint="default"/>
                <w:color w:val="auto"/>
                <w:highlight w:val="non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p w14:paraId="702A425D">
            <w:pPr>
              <w:keepNext w:val="0"/>
              <w:keepLines w:val="0"/>
              <w:suppressLineNumbers w:val="0"/>
              <w:spacing w:before="0" w:beforeAutospacing="0" w:after="0" w:afterAutospacing="0" w:line="360" w:lineRule="auto"/>
              <w:ind w:left="0" w:right="0"/>
              <w:rPr>
                <w:rFonts w:hint="default"/>
                <w:color w:val="auto"/>
                <w:highlight w:val="none"/>
                <w:u w:val="single"/>
              </w:rPr>
            </w:pPr>
          </w:p>
        </w:tc>
      </w:tr>
      <w:tr w14:paraId="68D65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jc w:val="center"/>
        </w:trPr>
        <w:tc>
          <w:tcPr>
            <w:tcW w:w="4520" w:type="dxa"/>
            <w:tcBorders>
              <w:top w:val="single" w:color="auto" w:sz="4" w:space="0"/>
              <w:left w:val="single" w:color="auto" w:sz="4" w:space="0"/>
              <w:bottom w:val="single" w:color="auto" w:sz="4" w:space="0"/>
              <w:right w:val="single" w:color="auto" w:sz="4" w:space="0"/>
            </w:tcBorders>
            <w:noWrap w:val="0"/>
            <w:vAlign w:val="top"/>
          </w:tcPr>
          <w:p w14:paraId="25CF5849">
            <w:pPr>
              <w:keepNext w:val="0"/>
              <w:keepLines w:val="0"/>
              <w:suppressLineNumbers w:val="0"/>
              <w:spacing w:before="0" w:beforeAutospacing="0" w:after="0" w:afterAutospacing="0" w:line="360" w:lineRule="auto"/>
              <w:ind w:left="0" w:right="0"/>
              <w:rPr>
                <w:rFonts w:hint="default"/>
                <w:color w:val="auto"/>
                <w:highlight w:val="none"/>
              </w:rPr>
            </w:pPr>
            <w:r>
              <w:rPr>
                <w:rFonts w:hint="eastAsia" w:ascii="宋体" w:hAnsi="宋体"/>
                <w:color w:val="auto"/>
                <w:highlight w:val="none"/>
              </w:rPr>
              <w:t>复核意见：</w:t>
            </w:r>
          </w:p>
          <w:p w14:paraId="669F020C">
            <w:pPr>
              <w:keepNext w:val="0"/>
              <w:keepLines w:val="0"/>
              <w:suppressLineNumbers w:val="0"/>
              <w:spacing w:before="0" w:beforeAutospacing="0" w:after="0" w:afterAutospacing="0" w:line="360" w:lineRule="auto"/>
              <w:ind w:left="0" w:right="0" w:firstLine="435"/>
              <w:rPr>
                <w:rFonts w:hint="default"/>
                <w:color w:val="auto"/>
                <w:highlight w:val="none"/>
              </w:rPr>
            </w:pPr>
            <w:r>
              <w:rPr>
                <w:rFonts w:hint="eastAsia" w:ascii="宋体" w:hAnsi="宋体"/>
                <w:color w:val="auto"/>
                <w:highlight w:val="none"/>
              </w:rPr>
              <w:t>根据施工合同条款第</w:t>
            </w:r>
            <w:r>
              <w:rPr>
                <w:rFonts w:hint="default"/>
                <w:color w:val="auto"/>
                <w:highlight w:val="none"/>
                <w:u w:val="single"/>
              </w:rPr>
              <w:t xml:space="preserve">     </w:t>
            </w:r>
            <w:r>
              <w:rPr>
                <w:rFonts w:hint="eastAsia" w:ascii="宋体" w:hAnsi="宋体"/>
                <w:color w:val="auto"/>
                <w:highlight w:val="none"/>
              </w:rPr>
              <w:t>条的约定</w:t>
            </w:r>
            <w:r>
              <w:rPr>
                <w:rFonts w:hint="eastAsia" w:ascii="宋体" w:hAnsi="宋体"/>
                <w:color w:val="auto"/>
                <w:highlight w:val="none"/>
                <w:lang w:eastAsia="zh-CN"/>
              </w:rPr>
              <w:t>，</w:t>
            </w:r>
            <w:r>
              <w:rPr>
                <w:rFonts w:hint="eastAsia" w:ascii="宋体" w:hAnsi="宋体"/>
                <w:color w:val="auto"/>
                <w:highlight w:val="none"/>
              </w:rPr>
              <w:t>你方提出的</w:t>
            </w:r>
            <w:r>
              <w:rPr>
                <w:rFonts w:hint="eastAsia" w:ascii="宋体" w:hAnsi="宋体"/>
                <w:color w:val="auto"/>
                <w:highlight w:val="none"/>
                <w:lang w:eastAsia="zh-CN"/>
              </w:rPr>
              <w:t>零星签证</w:t>
            </w:r>
            <w:r>
              <w:rPr>
                <w:rFonts w:hint="eastAsia" w:ascii="宋体" w:hAnsi="宋体"/>
                <w:color w:val="auto"/>
                <w:highlight w:val="none"/>
              </w:rPr>
              <w:t>申请经复核：</w:t>
            </w:r>
          </w:p>
          <w:p w14:paraId="2C0EBB9B">
            <w:pPr>
              <w:keepNext w:val="0"/>
              <w:keepLines w:val="0"/>
              <w:suppressLineNumbers w:val="0"/>
              <w:spacing w:before="0" w:beforeAutospacing="0" w:after="0" w:afterAutospacing="0" w:line="360" w:lineRule="auto"/>
              <w:ind w:left="0" w:right="0" w:firstLine="435"/>
              <w:rPr>
                <w:rFonts w:hint="default"/>
                <w:color w:val="auto"/>
                <w:highlight w:val="none"/>
              </w:rPr>
            </w:pPr>
            <w:r>
              <w:rPr>
                <w:rFonts w:hint="eastAsia" w:ascii="宋体" w:hAnsi="宋体"/>
                <w:color w:val="auto"/>
                <w:highlight w:val="none"/>
              </w:rPr>
              <w:t>□不同意此项</w:t>
            </w:r>
            <w:r>
              <w:rPr>
                <w:rFonts w:hint="eastAsia" w:ascii="宋体" w:hAnsi="宋体"/>
                <w:color w:val="auto"/>
                <w:highlight w:val="none"/>
                <w:lang w:eastAsia="zh-CN"/>
              </w:rPr>
              <w:t>签证，</w:t>
            </w:r>
            <w:r>
              <w:rPr>
                <w:rFonts w:hint="eastAsia" w:ascii="宋体" w:hAnsi="宋体"/>
                <w:color w:val="auto"/>
                <w:highlight w:val="none"/>
              </w:rPr>
              <w:t>具体意见见附件。</w:t>
            </w:r>
          </w:p>
          <w:p w14:paraId="52564061">
            <w:pPr>
              <w:keepNext w:val="0"/>
              <w:keepLines w:val="0"/>
              <w:suppressLineNumbers w:val="0"/>
              <w:spacing w:before="0" w:beforeAutospacing="0" w:after="0" w:afterAutospacing="0" w:line="360" w:lineRule="auto"/>
              <w:ind w:left="0" w:right="0" w:firstLine="435"/>
              <w:rPr>
                <w:rFonts w:hint="default"/>
                <w:color w:val="auto"/>
                <w:highlight w:val="none"/>
              </w:rPr>
            </w:pPr>
            <w:r>
              <w:rPr>
                <w:rFonts w:hint="eastAsia" w:ascii="宋体" w:hAnsi="宋体"/>
                <w:color w:val="auto"/>
                <w:highlight w:val="none"/>
              </w:rPr>
              <w:t>□同意此项</w:t>
            </w:r>
            <w:r>
              <w:rPr>
                <w:rFonts w:hint="eastAsia" w:ascii="宋体" w:hAnsi="宋体"/>
                <w:color w:val="auto"/>
                <w:highlight w:val="none"/>
                <w:lang w:eastAsia="zh-CN"/>
              </w:rPr>
              <w:t>签证，签证</w:t>
            </w:r>
            <w:r>
              <w:rPr>
                <w:rFonts w:hint="eastAsia" w:ascii="宋体" w:hAnsi="宋体"/>
                <w:color w:val="auto"/>
                <w:highlight w:val="none"/>
              </w:rPr>
              <w:t>金额的计算</w:t>
            </w:r>
            <w:r>
              <w:rPr>
                <w:rFonts w:hint="eastAsia" w:ascii="宋体" w:hAnsi="宋体"/>
                <w:color w:val="auto"/>
                <w:highlight w:val="none"/>
                <w:lang w:eastAsia="zh-CN"/>
              </w:rPr>
              <w:t>，</w:t>
            </w:r>
            <w:r>
              <w:rPr>
                <w:rFonts w:hint="eastAsia" w:ascii="宋体" w:hAnsi="宋体"/>
                <w:color w:val="auto"/>
                <w:highlight w:val="none"/>
              </w:rPr>
              <w:t>由造价工程师复核。</w:t>
            </w:r>
          </w:p>
          <w:p w14:paraId="1AD54172">
            <w:pPr>
              <w:keepNext w:val="0"/>
              <w:keepLines w:val="0"/>
              <w:suppressLineNumbers w:val="0"/>
              <w:spacing w:before="0" w:beforeAutospacing="0" w:after="0" w:afterAutospacing="0" w:line="360" w:lineRule="auto"/>
              <w:ind w:left="0" w:right="0" w:firstLine="435"/>
              <w:rPr>
                <w:rFonts w:hint="default"/>
                <w:color w:val="auto"/>
                <w:highlight w:val="none"/>
              </w:rPr>
            </w:pPr>
          </w:p>
          <w:p w14:paraId="2C7EA61A">
            <w:pPr>
              <w:keepNext w:val="0"/>
              <w:keepLines w:val="0"/>
              <w:suppressLineNumbers w:val="0"/>
              <w:spacing w:before="0" w:beforeAutospacing="0" w:after="0" w:afterAutospacing="0" w:line="360" w:lineRule="auto"/>
              <w:ind w:left="0" w:right="0" w:firstLine="435"/>
              <w:rPr>
                <w:rFonts w:hint="default"/>
                <w:color w:val="auto"/>
                <w:highlight w:val="none"/>
              </w:rPr>
            </w:pPr>
          </w:p>
          <w:p w14:paraId="310E41BE">
            <w:pPr>
              <w:keepNext w:val="0"/>
              <w:keepLines w:val="0"/>
              <w:suppressLineNumbers w:val="0"/>
              <w:wordWrap w:val="0"/>
              <w:spacing w:before="0" w:beforeAutospacing="0" w:after="0" w:afterAutospacing="0" w:line="360" w:lineRule="auto"/>
              <w:ind w:left="0" w:right="0"/>
              <w:jc w:val="right"/>
              <w:rPr>
                <w:rFonts w:hint="default"/>
                <w:color w:val="auto"/>
                <w:highlight w:val="none"/>
                <w:u w:val="single"/>
              </w:rPr>
            </w:pPr>
            <w:r>
              <w:rPr>
                <w:rFonts w:hint="eastAsia" w:ascii="宋体" w:hAnsi="宋体"/>
                <w:color w:val="auto"/>
                <w:highlight w:val="none"/>
              </w:rPr>
              <w:t>监理工程师</w:t>
            </w:r>
            <w:r>
              <w:rPr>
                <w:rFonts w:hint="default"/>
                <w:color w:val="auto"/>
                <w:highlight w:val="none"/>
              </w:rPr>
              <w:t xml:space="preserve"> </w:t>
            </w:r>
            <w:r>
              <w:rPr>
                <w:rFonts w:hint="default"/>
                <w:color w:val="auto"/>
                <w:highlight w:val="none"/>
                <w:u w:val="single"/>
              </w:rPr>
              <w:t xml:space="preserve">           </w:t>
            </w:r>
          </w:p>
          <w:p w14:paraId="08F590AB">
            <w:pPr>
              <w:keepNext w:val="0"/>
              <w:keepLines w:val="0"/>
              <w:suppressLineNumbers w:val="0"/>
              <w:wordWrap w:val="0"/>
              <w:spacing w:before="0" w:beforeAutospacing="0" w:after="0" w:afterAutospacing="0" w:line="360" w:lineRule="auto"/>
              <w:ind w:left="0" w:right="0"/>
              <w:jc w:val="right"/>
              <w:rPr>
                <w:rFonts w:hint="default"/>
                <w:color w:val="auto"/>
                <w:highlight w:val="none"/>
                <w:u w:val="single"/>
              </w:rPr>
            </w:pP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rPr>
              <w:t xml:space="preserve"> </w:t>
            </w:r>
            <w:r>
              <w:rPr>
                <w:rFonts w:hint="default"/>
                <w:color w:val="auto"/>
                <w:highlight w:val="none"/>
                <w:u w:val="single"/>
              </w:rPr>
              <w:t xml:space="preserve">           </w:t>
            </w:r>
          </w:p>
        </w:tc>
        <w:tc>
          <w:tcPr>
            <w:tcW w:w="4552" w:type="dxa"/>
            <w:tcBorders>
              <w:top w:val="single" w:color="auto" w:sz="4" w:space="0"/>
              <w:left w:val="single" w:color="auto" w:sz="4" w:space="0"/>
              <w:bottom w:val="single" w:color="auto" w:sz="4" w:space="0"/>
              <w:right w:val="single" w:color="auto" w:sz="4" w:space="0"/>
            </w:tcBorders>
            <w:noWrap w:val="0"/>
            <w:vAlign w:val="top"/>
          </w:tcPr>
          <w:p w14:paraId="18BE3F8C">
            <w:pPr>
              <w:keepNext w:val="0"/>
              <w:keepLines w:val="0"/>
              <w:suppressLineNumbers w:val="0"/>
              <w:spacing w:before="0" w:beforeAutospacing="0" w:after="0" w:afterAutospacing="0" w:line="360" w:lineRule="auto"/>
              <w:ind w:left="0" w:right="0"/>
              <w:rPr>
                <w:rFonts w:hint="default"/>
                <w:color w:val="auto"/>
                <w:highlight w:val="none"/>
              </w:rPr>
            </w:pPr>
            <w:r>
              <w:rPr>
                <w:rFonts w:hint="eastAsia" w:ascii="宋体" w:hAnsi="宋体"/>
                <w:color w:val="auto"/>
                <w:highlight w:val="none"/>
              </w:rPr>
              <w:t>复核意见：</w:t>
            </w:r>
          </w:p>
          <w:p w14:paraId="66900345">
            <w:pPr>
              <w:keepNext w:val="0"/>
              <w:keepLines w:val="0"/>
              <w:suppressLineNumbers w:val="0"/>
              <w:spacing w:before="0" w:beforeAutospacing="0" w:after="0" w:afterAutospacing="0" w:line="360" w:lineRule="auto"/>
              <w:ind w:left="0" w:right="0" w:firstLine="435"/>
              <w:rPr>
                <w:rFonts w:hint="default"/>
                <w:color w:val="auto"/>
                <w:highlight w:val="none"/>
              </w:rPr>
            </w:pPr>
            <w:r>
              <w:rPr>
                <w:rFonts w:hint="eastAsia" w:ascii="宋体" w:hAnsi="宋体"/>
                <w:color w:val="auto"/>
                <w:highlight w:val="none"/>
              </w:rPr>
              <w:t>根据施工合同条款第</w:t>
            </w:r>
            <w:r>
              <w:rPr>
                <w:rFonts w:hint="default"/>
                <w:color w:val="auto"/>
                <w:highlight w:val="none"/>
                <w:u w:val="single"/>
              </w:rPr>
              <w:t xml:space="preserve">     </w:t>
            </w:r>
            <w:r>
              <w:rPr>
                <w:rFonts w:hint="eastAsia" w:ascii="宋体" w:hAnsi="宋体"/>
                <w:color w:val="auto"/>
                <w:highlight w:val="none"/>
              </w:rPr>
              <w:t>条的约定</w:t>
            </w:r>
            <w:r>
              <w:rPr>
                <w:rFonts w:hint="eastAsia" w:ascii="宋体" w:hAnsi="宋体"/>
                <w:color w:val="auto"/>
                <w:highlight w:val="none"/>
                <w:lang w:eastAsia="zh-CN"/>
              </w:rPr>
              <w:t>，</w:t>
            </w:r>
            <w:r>
              <w:rPr>
                <w:rFonts w:hint="eastAsia" w:ascii="宋体" w:hAnsi="宋体"/>
                <w:color w:val="auto"/>
                <w:highlight w:val="none"/>
              </w:rPr>
              <w:t>你方提出的</w:t>
            </w:r>
            <w:r>
              <w:rPr>
                <w:rFonts w:hint="eastAsia" w:ascii="宋体" w:hAnsi="宋体"/>
                <w:color w:val="auto"/>
                <w:highlight w:val="none"/>
                <w:lang w:eastAsia="zh-CN"/>
              </w:rPr>
              <w:t>零星签证</w:t>
            </w:r>
            <w:r>
              <w:rPr>
                <w:rFonts w:hint="eastAsia" w:ascii="宋体" w:hAnsi="宋体"/>
                <w:color w:val="auto"/>
                <w:highlight w:val="none"/>
              </w:rPr>
              <w:t>申请经复核</w:t>
            </w:r>
            <w:r>
              <w:rPr>
                <w:rFonts w:hint="eastAsia" w:ascii="宋体" w:hAnsi="宋体"/>
                <w:color w:val="auto"/>
                <w:highlight w:val="none"/>
                <w:lang w:eastAsia="zh-CN"/>
              </w:rPr>
              <w:t>，签证不含税</w:t>
            </w:r>
            <w:r>
              <w:rPr>
                <w:rFonts w:hint="eastAsia" w:ascii="宋体" w:hAnsi="宋体"/>
                <w:color w:val="auto"/>
                <w:highlight w:val="none"/>
              </w:rPr>
              <w:t>金额为</w:t>
            </w:r>
          </w:p>
          <w:p w14:paraId="49CA97C0">
            <w:pPr>
              <w:keepNext w:val="0"/>
              <w:keepLines w:val="0"/>
              <w:suppressLineNumbers w:val="0"/>
              <w:spacing w:before="0" w:beforeAutospacing="0" w:after="0" w:afterAutospacing="0" w:line="360" w:lineRule="auto"/>
              <w:ind w:left="0" w:right="0"/>
              <w:rPr>
                <w:rFonts w:hint="default"/>
                <w:color w:val="auto"/>
                <w:highlight w:val="none"/>
                <w:u w:val="single"/>
              </w:rPr>
            </w:pPr>
            <w:r>
              <w:rPr>
                <w:rFonts w:hint="eastAsia" w:ascii="宋体" w:hAnsi="宋体"/>
                <w:color w:val="auto"/>
                <w:highlight w:val="none"/>
              </w:rPr>
              <w:t>（大写）</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（小写）</w:t>
            </w:r>
            <w:r>
              <w:rPr>
                <w:rFonts w:hint="default"/>
                <w:color w:val="auto"/>
                <w:highlight w:val="none"/>
                <w:u w:val="single"/>
              </w:rPr>
              <w:t xml:space="preserve">            </w:t>
            </w:r>
            <w:r>
              <w:rPr>
                <w:rFonts w:hint="eastAsia" w:ascii="宋体" w:hAnsi="宋体"/>
                <w:color w:val="auto"/>
                <w:highlight w:val="none"/>
              </w:rPr>
              <w:t>元。</w:t>
            </w:r>
          </w:p>
          <w:p w14:paraId="12EE37B8">
            <w:pPr>
              <w:keepNext w:val="0"/>
              <w:keepLines w:val="0"/>
              <w:suppressLineNumbers w:val="0"/>
              <w:spacing w:before="0" w:beforeAutospacing="0" w:after="0" w:afterAutospacing="0" w:line="360" w:lineRule="auto"/>
              <w:ind w:left="0" w:right="0" w:firstLine="435"/>
              <w:jc w:val="right"/>
              <w:rPr>
                <w:rFonts w:hint="default"/>
                <w:color w:val="auto"/>
                <w:highlight w:val="none"/>
              </w:rPr>
            </w:pPr>
          </w:p>
          <w:p w14:paraId="23B30C96">
            <w:pPr>
              <w:keepNext w:val="0"/>
              <w:keepLines w:val="0"/>
              <w:suppressLineNumbers w:val="0"/>
              <w:spacing w:before="0" w:beforeAutospacing="0" w:after="0" w:afterAutospacing="0" w:line="360" w:lineRule="auto"/>
              <w:ind w:left="0" w:right="0" w:firstLine="435"/>
              <w:jc w:val="center"/>
              <w:rPr>
                <w:rFonts w:hint="default"/>
                <w:color w:val="auto"/>
                <w:highlight w:val="none"/>
              </w:rPr>
            </w:pPr>
            <w:r>
              <w:rPr>
                <w:rFonts w:hint="default"/>
                <w:color w:val="auto"/>
                <w:highlight w:val="none"/>
              </w:rPr>
              <w:t xml:space="preserve">                                 </w:t>
            </w:r>
          </w:p>
          <w:p w14:paraId="1BAAEE22">
            <w:pPr>
              <w:keepNext w:val="0"/>
              <w:keepLines w:val="0"/>
              <w:suppressLineNumbers w:val="0"/>
              <w:spacing w:before="0" w:beforeAutospacing="0" w:after="0" w:afterAutospacing="0" w:line="360" w:lineRule="auto"/>
              <w:ind w:left="0" w:right="0" w:firstLine="435"/>
              <w:jc w:val="center"/>
              <w:rPr>
                <w:rFonts w:hint="default"/>
                <w:color w:val="auto"/>
                <w:highlight w:val="none"/>
              </w:rPr>
            </w:pPr>
          </w:p>
          <w:p w14:paraId="1BE71B83">
            <w:pPr>
              <w:keepNext w:val="0"/>
              <w:keepLines w:val="0"/>
              <w:suppressLineNumbers w:val="0"/>
              <w:spacing w:before="0" w:beforeAutospacing="0" w:after="0" w:afterAutospacing="0" w:line="360" w:lineRule="auto"/>
              <w:ind w:left="0" w:right="0" w:firstLine="435"/>
              <w:jc w:val="center"/>
              <w:rPr>
                <w:rFonts w:hint="default"/>
                <w:color w:val="auto"/>
                <w:highlight w:val="none"/>
              </w:rPr>
            </w:pPr>
          </w:p>
          <w:p w14:paraId="719F7478">
            <w:pPr>
              <w:keepNext w:val="0"/>
              <w:keepLines w:val="0"/>
              <w:suppressLineNumbers w:val="0"/>
              <w:spacing w:before="0" w:beforeAutospacing="0" w:after="0" w:afterAutospacing="0" w:line="360" w:lineRule="auto"/>
              <w:ind w:left="0" w:right="0" w:firstLine="435"/>
              <w:jc w:val="center"/>
              <w:rPr>
                <w:rFonts w:hint="default"/>
                <w:color w:val="auto"/>
                <w:highlight w:val="none"/>
              </w:rPr>
            </w:pPr>
            <w:r>
              <w:rPr>
                <w:rFonts w:hint="eastAsia" w:ascii="宋体" w:hAnsi="宋体"/>
                <w:color w:val="auto"/>
                <w:highlight w:val="none"/>
              </w:rPr>
              <w:t>造价工程师</w:t>
            </w:r>
            <w:r>
              <w:rPr>
                <w:rFonts w:hint="default"/>
                <w:color w:val="auto"/>
                <w:highlight w:val="none"/>
                <w:u w:val="single"/>
              </w:rPr>
              <w:t xml:space="preserve">           </w:t>
            </w:r>
            <w:r>
              <w:rPr>
                <w:rFonts w:hint="default"/>
                <w:color w:val="auto"/>
                <w:highlight w:val="none"/>
              </w:rPr>
              <w:t xml:space="preserve">                               </w:t>
            </w:r>
          </w:p>
          <w:p w14:paraId="77375FB4">
            <w:pPr>
              <w:keepNext w:val="0"/>
              <w:keepLines w:val="0"/>
              <w:suppressLineNumbers w:val="0"/>
              <w:spacing w:before="0" w:beforeAutospacing="0" w:after="0" w:afterAutospacing="0" w:line="360" w:lineRule="auto"/>
              <w:ind w:left="0" w:right="0" w:firstLine="435"/>
              <w:jc w:val="center"/>
              <w:rPr>
                <w:rFonts w:hint="default"/>
                <w:color w:val="auto"/>
                <w:highlight w:val="none"/>
                <w:u w:val="single"/>
              </w:rPr>
            </w:pP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r w14:paraId="5281E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1"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1BDFF1D2">
            <w:pPr>
              <w:keepNext w:val="0"/>
              <w:keepLines w:val="0"/>
              <w:suppressLineNumbers w:val="0"/>
              <w:spacing w:before="0" w:beforeAutospacing="0" w:after="0" w:afterAutospacing="0" w:line="360" w:lineRule="auto"/>
              <w:ind w:left="0" w:right="0"/>
              <w:rPr>
                <w:rFonts w:hint="default"/>
                <w:color w:val="auto"/>
                <w:highlight w:val="none"/>
              </w:rPr>
            </w:pPr>
            <w:r>
              <w:rPr>
                <w:rFonts w:hint="eastAsia" w:ascii="宋体" w:hAnsi="宋体"/>
                <w:color w:val="auto"/>
                <w:highlight w:val="none"/>
              </w:rPr>
              <w:t>审核意见：</w:t>
            </w:r>
          </w:p>
          <w:p w14:paraId="6F399515">
            <w:pPr>
              <w:keepNext w:val="0"/>
              <w:keepLines w:val="0"/>
              <w:suppressLineNumbers w:val="0"/>
              <w:spacing w:before="0" w:beforeAutospacing="0" w:after="0" w:afterAutospacing="0" w:line="360" w:lineRule="auto"/>
              <w:ind w:left="0" w:right="0" w:firstLine="435"/>
              <w:rPr>
                <w:rFonts w:hint="default"/>
                <w:color w:val="auto"/>
                <w:highlight w:val="none"/>
              </w:rPr>
            </w:pPr>
            <w:r>
              <w:rPr>
                <w:rFonts w:hint="eastAsia" w:ascii="宋体" w:hAnsi="宋体"/>
                <w:color w:val="auto"/>
                <w:highlight w:val="none"/>
              </w:rPr>
              <w:t>□不同意此项</w:t>
            </w:r>
            <w:r>
              <w:rPr>
                <w:rFonts w:hint="eastAsia" w:ascii="宋体" w:hAnsi="宋体"/>
                <w:color w:val="auto"/>
                <w:highlight w:val="none"/>
                <w:lang w:eastAsia="zh-CN"/>
              </w:rPr>
              <w:t>签证</w:t>
            </w:r>
            <w:r>
              <w:rPr>
                <w:rFonts w:hint="eastAsia" w:ascii="宋体" w:hAnsi="宋体"/>
                <w:color w:val="auto"/>
                <w:highlight w:val="none"/>
              </w:rPr>
              <w:t>。</w:t>
            </w:r>
          </w:p>
          <w:p w14:paraId="78228B0A">
            <w:pPr>
              <w:keepNext w:val="0"/>
              <w:keepLines w:val="0"/>
              <w:suppressLineNumbers w:val="0"/>
              <w:spacing w:before="0" w:beforeAutospacing="0" w:after="0" w:afterAutospacing="0" w:line="360" w:lineRule="auto"/>
              <w:ind w:left="0" w:right="0" w:firstLine="420" w:firstLineChars="200"/>
              <w:rPr>
                <w:rFonts w:hint="default"/>
                <w:color w:val="auto"/>
                <w:highlight w:val="none"/>
              </w:rPr>
            </w:pPr>
            <w:r>
              <w:rPr>
                <w:rFonts w:hint="eastAsia" w:ascii="宋体" w:hAnsi="宋体"/>
                <w:color w:val="auto"/>
                <w:highlight w:val="none"/>
              </w:rPr>
              <w:t>□同意此项</w:t>
            </w:r>
            <w:r>
              <w:rPr>
                <w:rFonts w:hint="eastAsia" w:ascii="宋体" w:hAnsi="宋体"/>
                <w:color w:val="auto"/>
                <w:highlight w:val="none"/>
                <w:lang w:eastAsia="zh-CN"/>
              </w:rPr>
              <w:t>签证，</w:t>
            </w:r>
            <w:r>
              <w:rPr>
                <w:rFonts w:hint="eastAsia" w:ascii="宋体" w:hAnsi="宋体"/>
                <w:color w:val="auto"/>
                <w:highlight w:val="none"/>
              </w:rPr>
              <w:t>与本期进度款同期支付。</w:t>
            </w:r>
          </w:p>
          <w:p w14:paraId="118F1357">
            <w:pPr>
              <w:keepNext w:val="0"/>
              <w:keepLines w:val="0"/>
              <w:suppressLineNumbers w:val="0"/>
              <w:spacing w:before="0" w:beforeAutospacing="0" w:after="0" w:afterAutospacing="0" w:line="360" w:lineRule="auto"/>
              <w:ind w:left="0" w:right="0"/>
              <w:rPr>
                <w:rFonts w:hint="default"/>
                <w:color w:val="auto"/>
                <w:highlight w:val="none"/>
              </w:rPr>
            </w:pPr>
          </w:p>
          <w:p w14:paraId="580D560A">
            <w:pPr>
              <w:keepNext w:val="0"/>
              <w:keepLines w:val="0"/>
              <w:suppressLineNumbers w:val="0"/>
              <w:spacing w:before="0" w:beforeAutospacing="0" w:after="0" w:afterAutospacing="0" w:line="360" w:lineRule="auto"/>
              <w:ind w:left="0" w:right="0" w:firstLine="0" w:firstLineChars="0"/>
              <w:jc w:val="both"/>
              <w:rPr>
                <w:rFonts w:hint="default"/>
                <w:color w:val="auto"/>
                <w:highlight w:val="none"/>
              </w:rPr>
            </w:pPr>
          </w:p>
          <w:p w14:paraId="10BE880D">
            <w:pPr>
              <w:keepNext w:val="0"/>
              <w:keepLines w:val="0"/>
              <w:suppressLineNumbers w:val="0"/>
              <w:spacing w:before="0" w:beforeAutospacing="0" w:after="0" w:afterAutospacing="0" w:line="360" w:lineRule="auto"/>
              <w:ind w:left="0" w:right="0" w:firstLine="420" w:firstLineChars="200"/>
              <w:jc w:val="center"/>
              <w:rPr>
                <w:rFonts w:hint="default"/>
                <w:color w:val="auto"/>
                <w:highlight w:val="none"/>
              </w:rPr>
            </w:pPr>
          </w:p>
          <w:p w14:paraId="5394FDE1">
            <w:pPr>
              <w:keepNext w:val="0"/>
              <w:keepLines w:val="0"/>
              <w:suppressLineNumbers w:val="0"/>
              <w:spacing w:before="0" w:beforeAutospacing="0" w:after="0" w:afterLines="50" w:afterAutospacing="0" w:line="360" w:lineRule="auto"/>
              <w:ind w:left="0" w:right="0" w:firstLine="420" w:firstLineChars="200"/>
              <w:jc w:val="center"/>
              <w:rPr>
                <w:rFonts w:hint="default"/>
                <w:color w:val="auto"/>
                <w:highlight w:val="none"/>
                <w:u w:val="single"/>
              </w:rPr>
            </w:pPr>
            <w:r>
              <w:rPr>
                <w:rFonts w:hint="eastAsia" w:ascii="宋体" w:hAnsi="宋体"/>
                <w:color w:val="auto"/>
                <w:highlight w:val="none"/>
              </w:rPr>
              <w:t xml:space="preserve">发包人（章） </w:t>
            </w:r>
            <w:r>
              <w:rPr>
                <w:rFonts w:hint="default"/>
                <w:color w:val="auto"/>
                <w:highlight w:val="none"/>
              </w:rPr>
              <w:t xml:space="preserve">                                                                                                     </w:t>
            </w:r>
            <w:r>
              <w:rPr>
                <w:rFonts w:hint="eastAsia" w:ascii="宋体" w:hAnsi="宋体"/>
                <w:color w:val="auto"/>
                <w:highlight w:val="none"/>
              </w:rPr>
              <w:t>发包人代表</w:t>
            </w:r>
            <w:r>
              <w:rPr>
                <w:rFonts w:hint="default"/>
                <w:color w:val="auto"/>
                <w:highlight w:val="none"/>
                <w:u w:val="single"/>
              </w:rPr>
              <w:t xml:space="preserve">             </w:t>
            </w:r>
            <w:r>
              <w:rPr>
                <w:rFonts w:hint="default"/>
                <w:color w:val="auto"/>
                <w:highlight w:val="non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bl>
    <w:p w14:paraId="00B13A99">
      <w:pPr>
        <w:spacing w:line="360" w:lineRule="auto"/>
        <w:ind w:firstLine="360" w:firstLineChars="200"/>
        <w:rPr>
          <w:color w:val="auto"/>
          <w:sz w:val="18"/>
          <w:szCs w:val="18"/>
          <w:highlight w:val="none"/>
        </w:rPr>
      </w:pPr>
      <w:r>
        <w:rPr>
          <w:rFonts w:hint="eastAsia" w:ascii="宋体" w:hAnsi="宋体"/>
          <w:color w:val="auto"/>
          <w:sz w:val="18"/>
          <w:szCs w:val="18"/>
          <w:highlight w:val="none"/>
        </w:rPr>
        <w:t>注：</w:t>
      </w:r>
      <w:r>
        <w:rPr>
          <w:rFonts w:hint="eastAsia"/>
          <w:color w:val="auto"/>
          <w:sz w:val="18"/>
          <w:szCs w:val="18"/>
          <w:highlight w:val="none"/>
        </w:rPr>
        <w:t xml:space="preserve">1. </w:t>
      </w:r>
      <w:r>
        <w:rPr>
          <w:rFonts w:hint="eastAsia" w:ascii="宋体" w:hAnsi="宋体"/>
          <w:color w:val="auto"/>
          <w:sz w:val="18"/>
          <w:szCs w:val="18"/>
          <w:highlight w:val="none"/>
        </w:rPr>
        <w:t>在选择栏中的</w:t>
      </w:r>
      <w:r>
        <w:rPr>
          <w:rFonts w:hint="eastAsia" w:ascii="宋体" w:hAnsi="宋体"/>
          <w:color w:val="auto"/>
          <w:sz w:val="18"/>
          <w:szCs w:val="18"/>
          <w:highlight w:val="none"/>
          <w:lang w:eastAsia="zh-CN"/>
        </w:rPr>
        <w:t>“</w:t>
      </w:r>
      <w:r>
        <w:rPr>
          <w:rFonts w:hint="eastAsia" w:ascii="宋体" w:hAnsi="宋体"/>
          <w:color w:val="auto"/>
          <w:sz w:val="18"/>
          <w:szCs w:val="18"/>
          <w:highlight w:val="none"/>
        </w:rPr>
        <w:t>□</w:t>
      </w:r>
      <w:r>
        <w:rPr>
          <w:rFonts w:hint="eastAsia" w:ascii="宋体" w:hAnsi="宋体"/>
          <w:color w:val="auto"/>
          <w:sz w:val="18"/>
          <w:szCs w:val="18"/>
          <w:highlight w:val="none"/>
          <w:lang w:eastAsia="zh-CN"/>
        </w:rPr>
        <w:t>”</w:t>
      </w:r>
      <w:r>
        <w:rPr>
          <w:rFonts w:hint="eastAsia" w:ascii="宋体" w:hAnsi="宋体"/>
          <w:color w:val="auto"/>
          <w:sz w:val="18"/>
          <w:szCs w:val="18"/>
          <w:highlight w:val="none"/>
        </w:rPr>
        <w:t>内作标识</w:t>
      </w:r>
      <w:r>
        <w:rPr>
          <w:rFonts w:hint="eastAsia" w:ascii="宋体" w:hAnsi="宋体"/>
          <w:color w:val="auto"/>
          <w:sz w:val="18"/>
          <w:szCs w:val="18"/>
          <w:highlight w:val="none"/>
          <w:lang w:eastAsia="zh-CN"/>
        </w:rPr>
        <w:t>“</w:t>
      </w:r>
      <w:r>
        <w:rPr>
          <w:rFonts w:hint="eastAsia" w:ascii="宋体" w:hAnsi="宋体"/>
          <w:color w:val="auto"/>
          <w:sz w:val="18"/>
          <w:szCs w:val="18"/>
          <w:highlight w:val="none"/>
        </w:rPr>
        <w:t>√</w:t>
      </w:r>
      <w:r>
        <w:rPr>
          <w:rFonts w:hint="eastAsia" w:ascii="宋体" w:hAnsi="宋体"/>
          <w:color w:val="auto"/>
          <w:sz w:val="18"/>
          <w:szCs w:val="18"/>
          <w:highlight w:val="none"/>
          <w:lang w:eastAsia="zh-CN"/>
        </w:rPr>
        <w:t>”</w:t>
      </w:r>
      <w:r>
        <w:rPr>
          <w:rFonts w:hint="eastAsia" w:ascii="宋体" w:hAnsi="宋体"/>
          <w:color w:val="auto"/>
          <w:sz w:val="18"/>
          <w:szCs w:val="18"/>
          <w:highlight w:val="none"/>
        </w:rPr>
        <w:t xml:space="preserve">。 </w:t>
      </w:r>
    </w:p>
    <w:p w14:paraId="63F13EDA">
      <w:pPr>
        <w:numPr>
          <w:ilvl w:val="0"/>
          <w:numId w:val="8"/>
        </w:numPr>
        <w:spacing w:line="360" w:lineRule="auto"/>
        <w:ind w:left="720"/>
        <w:rPr>
          <w:rFonts w:hint="eastAsia" w:ascii="宋体" w:hAnsi="宋体"/>
          <w:color w:val="auto"/>
          <w:sz w:val="18"/>
          <w:szCs w:val="18"/>
          <w:highlight w:val="none"/>
        </w:rPr>
      </w:pPr>
      <w:r>
        <w:rPr>
          <w:rFonts w:hint="eastAsia" w:ascii="宋体" w:hAnsi="宋体"/>
          <w:color w:val="auto"/>
          <w:sz w:val="18"/>
          <w:szCs w:val="18"/>
          <w:highlight w:val="none"/>
        </w:rPr>
        <w:t>本表一式四份</w:t>
      </w:r>
      <w:r>
        <w:rPr>
          <w:rFonts w:hint="eastAsia" w:ascii="宋体" w:hAnsi="宋体"/>
          <w:color w:val="auto"/>
          <w:sz w:val="18"/>
          <w:szCs w:val="18"/>
          <w:highlight w:val="none"/>
          <w:lang w:eastAsia="zh-CN"/>
        </w:rPr>
        <w:t>，</w:t>
      </w:r>
      <w:r>
        <w:rPr>
          <w:rFonts w:hint="eastAsia" w:ascii="宋体" w:hAnsi="宋体"/>
          <w:color w:val="auto"/>
          <w:sz w:val="18"/>
          <w:szCs w:val="18"/>
          <w:highlight w:val="none"/>
        </w:rPr>
        <w:t>由承包人填报</w:t>
      </w:r>
      <w:r>
        <w:rPr>
          <w:rFonts w:hint="eastAsia" w:ascii="宋体" w:hAnsi="宋体"/>
          <w:color w:val="auto"/>
          <w:sz w:val="18"/>
          <w:szCs w:val="18"/>
          <w:highlight w:val="none"/>
          <w:lang w:eastAsia="zh-CN"/>
        </w:rPr>
        <w:t>，</w:t>
      </w:r>
      <w:r>
        <w:rPr>
          <w:rFonts w:hint="eastAsia" w:ascii="宋体" w:hAnsi="宋体"/>
          <w:color w:val="auto"/>
          <w:sz w:val="18"/>
          <w:szCs w:val="18"/>
          <w:highlight w:val="none"/>
        </w:rPr>
        <w:t>发包人、监理人、造价咨询人、承包人各存一份。</w:t>
      </w:r>
    </w:p>
    <w:p w14:paraId="2FA553A3">
      <w:pPr>
        <w:pStyle w:val="21"/>
        <w:spacing w:line="360" w:lineRule="auto"/>
        <w:ind w:leftChars="0" w:firstLine="0" w:firstLineChars="0"/>
        <w:rPr>
          <w:rFonts w:hint="eastAsia"/>
          <w:color w:val="auto"/>
          <w:highlight w:val="none"/>
        </w:rPr>
      </w:pPr>
    </w:p>
    <w:p w14:paraId="67C5DD2D">
      <w:pPr>
        <w:wordWrap w:val="0"/>
        <w:spacing w:line="360" w:lineRule="auto"/>
        <w:jc w:val="left"/>
        <w:outlineLvl w:val="1"/>
        <w:rPr>
          <w:rFonts w:hint="eastAsia" w:ascii="宋体" w:hAnsi="宋体"/>
          <w:b/>
          <w:color w:val="auto"/>
          <w:sz w:val="30"/>
          <w:szCs w:val="30"/>
          <w:highlight w:val="none"/>
          <w:lang w:val="en" w:eastAsia="zh-CN"/>
        </w:rPr>
      </w:pPr>
    </w:p>
    <w:p w14:paraId="63241A2A">
      <w:pPr>
        <w:wordWrap/>
        <w:spacing w:before="120" w:beforeLines="50" w:after="120" w:afterLines="50" w:line="360" w:lineRule="auto"/>
        <w:jc w:val="left"/>
        <w:outlineLvl w:val="9"/>
        <w:rPr>
          <w:rFonts w:hint="eastAsia" w:ascii="仿宋_GB2312" w:hAnsi="Times New Roman" w:eastAsia="仿宋_GB2312" w:cs="仿宋_GB2312"/>
          <w:b w:val="0"/>
          <w:color w:val="auto"/>
          <w:sz w:val="30"/>
          <w:szCs w:val="30"/>
          <w:highlight w:val="none"/>
          <w:lang w:val="en-US" w:eastAsia="zh-CN"/>
        </w:rPr>
      </w:pPr>
    </w:p>
    <w:p w14:paraId="2E0CF290">
      <w:pPr>
        <w:wordWrap/>
        <w:spacing w:before="120" w:beforeLines="50" w:after="120" w:afterLines="50" w:line="360" w:lineRule="auto"/>
        <w:jc w:val="left"/>
        <w:outlineLvl w:val="9"/>
        <w:rPr>
          <w:rFonts w:hint="eastAsia" w:ascii="仿宋_GB2312" w:hAnsi="Times New Roman" w:eastAsia="仿宋_GB2312" w:cs="仿宋_GB2312"/>
          <w:b w:val="0"/>
          <w:color w:val="auto"/>
          <w:sz w:val="30"/>
          <w:szCs w:val="30"/>
          <w:highlight w:val="none"/>
          <w:lang w:val="en-US" w:eastAsia="zh-CN"/>
        </w:rPr>
      </w:pPr>
    </w:p>
    <w:p w14:paraId="25B1F490">
      <w:pPr>
        <w:wordWrap/>
        <w:spacing w:before="120" w:beforeLines="50" w:after="120" w:afterLines="50" w:line="360" w:lineRule="auto"/>
        <w:jc w:val="left"/>
        <w:outlineLvl w:val="9"/>
        <w:rPr>
          <w:rFonts w:hint="eastAsia" w:ascii="仿宋_GB2312" w:hAnsi="Times New Roman" w:eastAsia="仿宋_GB2312" w:cs="仿宋_GB2312"/>
          <w:b w:val="0"/>
          <w:color w:val="auto"/>
          <w:sz w:val="30"/>
          <w:szCs w:val="30"/>
          <w:highlight w:val="none"/>
          <w:lang w:val="en-US" w:eastAsia="zh-CN"/>
        </w:rPr>
      </w:pPr>
    </w:p>
    <w:p w14:paraId="57C1AB20">
      <w:pPr>
        <w:wordWrap/>
        <w:spacing w:before="120" w:beforeLines="50" w:after="120" w:afterLines="50" w:line="360" w:lineRule="auto"/>
        <w:jc w:val="left"/>
        <w:outlineLvl w:val="9"/>
        <w:rPr>
          <w:rFonts w:hint="eastAsia" w:ascii="仿宋_GB2312" w:hAnsi="Times New Roman" w:eastAsia="仿宋_GB2312" w:cs="仿宋_GB2312"/>
          <w:b w:val="0"/>
          <w:color w:val="auto"/>
          <w:sz w:val="30"/>
          <w:szCs w:val="30"/>
          <w:highlight w:val="none"/>
          <w:lang w:val="en-US" w:eastAsia="zh-CN"/>
        </w:rPr>
      </w:pPr>
    </w:p>
    <w:p w14:paraId="661DC5A1">
      <w:pPr>
        <w:wordWrap/>
        <w:spacing w:before="120" w:beforeLines="50" w:after="120" w:afterLines="50" w:line="360" w:lineRule="auto"/>
        <w:jc w:val="left"/>
        <w:outlineLvl w:val="9"/>
        <w:rPr>
          <w:rFonts w:hint="eastAsia" w:ascii="仿宋_GB2312" w:hAnsi="Times New Roman" w:eastAsia="仿宋_GB2312" w:cs="仿宋_GB2312"/>
          <w:b w:val="0"/>
          <w:color w:val="auto"/>
          <w:sz w:val="30"/>
          <w:szCs w:val="30"/>
          <w:highlight w:val="none"/>
          <w:lang w:val="en-US" w:eastAsia="zh-CN"/>
        </w:rPr>
      </w:pPr>
    </w:p>
    <w:p w14:paraId="09D1E94F">
      <w:pPr>
        <w:wordWrap/>
        <w:spacing w:before="120" w:beforeLines="50" w:after="120" w:afterLines="50" w:line="360" w:lineRule="auto"/>
        <w:jc w:val="left"/>
        <w:outlineLvl w:val="9"/>
        <w:rPr>
          <w:rFonts w:hint="eastAsia" w:ascii="仿宋_GB2312" w:hAnsi="Times New Roman" w:eastAsia="仿宋_GB2312" w:cs="仿宋_GB2312"/>
          <w:b w:val="0"/>
          <w:color w:val="auto"/>
          <w:sz w:val="30"/>
          <w:szCs w:val="30"/>
          <w:highlight w:val="none"/>
          <w:lang w:val="en-US" w:eastAsia="zh-CN"/>
        </w:rPr>
      </w:pPr>
    </w:p>
    <w:p w14:paraId="502D9457">
      <w:pPr>
        <w:wordWrap/>
        <w:spacing w:before="120" w:beforeLines="50" w:after="120" w:afterLines="50" w:line="360" w:lineRule="auto"/>
        <w:jc w:val="left"/>
        <w:outlineLvl w:val="9"/>
        <w:rPr>
          <w:rFonts w:hint="eastAsia" w:ascii="仿宋_GB2312" w:hAnsi="Times New Roman" w:eastAsia="仿宋_GB2312" w:cs="仿宋_GB2312"/>
          <w:b w:val="0"/>
          <w:color w:val="auto"/>
          <w:sz w:val="30"/>
          <w:szCs w:val="30"/>
          <w:highlight w:val="none"/>
          <w:lang w:val="en-US" w:eastAsia="zh-CN"/>
        </w:rPr>
      </w:pPr>
    </w:p>
    <w:p w14:paraId="16F25919">
      <w:pPr>
        <w:wordWrap/>
        <w:spacing w:before="120" w:beforeLines="50" w:after="120" w:afterLines="50" w:line="360" w:lineRule="auto"/>
        <w:jc w:val="left"/>
        <w:outlineLvl w:val="9"/>
        <w:rPr>
          <w:rFonts w:hint="eastAsia" w:ascii="仿宋_GB2312" w:hAnsi="Times New Roman" w:eastAsia="仿宋_GB2312" w:cs="仿宋_GB2312"/>
          <w:b w:val="0"/>
          <w:color w:val="auto"/>
          <w:sz w:val="30"/>
          <w:szCs w:val="30"/>
          <w:highlight w:val="none"/>
          <w:lang w:val="en-US" w:eastAsia="zh-CN"/>
        </w:rPr>
      </w:pPr>
    </w:p>
    <w:p w14:paraId="71233B6A">
      <w:pPr>
        <w:wordWrap/>
        <w:spacing w:before="120" w:beforeLines="50" w:after="120" w:afterLines="50" w:line="360" w:lineRule="auto"/>
        <w:jc w:val="left"/>
        <w:outlineLvl w:val="9"/>
        <w:rPr>
          <w:rFonts w:hint="eastAsia" w:ascii="仿宋_GB2312" w:hAnsi="Times New Roman" w:eastAsia="仿宋_GB2312" w:cs="仿宋_GB2312"/>
          <w:b w:val="0"/>
          <w:color w:val="auto"/>
          <w:sz w:val="30"/>
          <w:szCs w:val="30"/>
          <w:highlight w:val="none"/>
          <w:lang w:val="en-US" w:eastAsia="zh-CN"/>
        </w:rPr>
      </w:pPr>
    </w:p>
    <w:p w14:paraId="230C6F2E">
      <w:pPr>
        <w:wordWrap/>
        <w:spacing w:before="120" w:beforeLines="50" w:after="120" w:afterLines="50" w:line="360" w:lineRule="auto"/>
        <w:jc w:val="left"/>
        <w:outlineLvl w:val="9"/>
        <w:rPr>
          <w:rFonts w:hint="eastAsia" w:ascii="仿宋_GB2312" w:hAnsi="Times New Roman" w:eastAsia="仿宋_GB2312" w:cs="仿宋_GB2312"/>
          <w:b w:val="0"/>
          <w:color w:val="auto"/>
          <w:sz w:val="30"/>
          <w:szCs w:val="30"/>
          <w:highlight w:val="none"/>
          <w:lang w:val="en-US" w:eastAsia="zh-CN"/>
        </w:rPr>
      </w:pPr>
    </w:p>
    <w:p w14:paraId="2059BB51">
      <w:pPr>
        <w:wordWrap/>
        <w:spacing w:before="120" w:beforeLines="50" w:after="120" w:afterLines="50" w:line="360" w:lineRule="auto"/>
        <w:jc w:val="left"/>
        <w:outlineLvl w:val="9"/>
        <w:rPr>
          <w:rFonts w:hint="eastAsia" w:ascii="仿宋_GB2312" w:hAnsi="Times New Roman" w:eastAsia="仿宋_GB2312" w:cs="仿宋_GB2312"/>
          <w:b w:val="0"/>
          <w:color w:val="auto"/>
          <w:sz w:val="30"/>
          <w:szCs w:val="30"/>
          <w:highlight w:val="none"/>
          <w:lang w:val="en-US" w:eastAsia="zh-CN"/>
        </w:rPr>
      </w:pPr>
    </w:p>
    <w:p w14:paraId="3A7C258E">
      <w:pPr>
        <w:wordWrap/>
        <w:spacing w:before="120" w:beforeLines="50" w:after="120" w:afterLines="50" w:line="360" w:lineRule="auto"/>
        <w:jc w:val="left"/>
        <w:outlineLvl w:val="9"/>
        <w:rPr>
          <w:rFonts w:hint="eastAsia" w:ascii="仿宋_GB2312" w:hAnsi="Times New Roman" w:eastAsia="仿宋_GB2312" w:cs="仿宋_GB2312"/>
          <w:b w:val="0"/>
          <w:color w:val="auto"/>
          <w:sz w:val="30"/>
          <w:szCs w:val="30"/>
          <w:highlight w:val="none"/>
          <w:lang w:val="en-US" w:eastAsia="zh-CN"/>
        </w:rPr>
      </w:pPr>
    </w:p>
    <w:p w14:paraId="06454890">
      <w:pPr>
        <w:wordWrap/>
        <w:spacing w:before="120" w:beforeLines="50" w:after="120" w:afterLines="50" w:line="360" w:lineRule="auto"/>
        <w:jc w:val="left"/>
        <w:outlineLvl w:val="9"/>
        <w:rPr>
          <w:rFonts w:hint="eastAsia" w:ascii="仿宋_GB2312" w:hAnsi="Times New Roman" w:eastAsia="仿宋_GB2312" w:cs="仿宋_GB2312"/>
          <w:b w:val="0"/>
          <w:color w:val="auto"/>
          <w:sz w:val="30"/>
          <w:szCs w:val="30"/>
          <w:highlight w:val="none"/>
          <w:lang w:val="en-US" w:eastAsia="zh-CN"/>
        </w:rPr>
      </w:pPr>
    </w:p>
    <w:p w14:paraId="0E7399E8">
      <w:pPr>
        <w:wordWrap/>
        <w:spacing w:before="120" w:beforeLines="50" w:after="120" w:afterLines="50" w:line="360" w:lineRule="auto"/>
        <w:jc w:val="left"/>
        <w:outlineLvl w:val="9"/>
        <w:rPr>
          <w:rFonts w:hint="eastAsia" w:ascii="仿宋_GB2312" w:hAnsi="Times New Roman" w:eastAsia="仿宋_GB2312" w:cs="仿宋_GB2312"/>
          <w:b w:val="0"/>
          <w:color w:val="auto"/>
          <w:sz w:val="30"/>
          <w:szCs w:val="30"/>
          <w:highlight w:val="none"/>
          <w:lang w:val="en-US" w:eastAsia="zh-CN"/>
        </w:rPr>
      </w:pPr>
      <w:r>
        <w:rPr>
          <w:rFonts w:hint="eastAsia" w:ascii="仿宋_GB2312" w:hAnsi="Times New Roman" w:eastAsia="仿宋_GB2312" w:cs="仿宋_GB2312"/>
          <w:b w:val="0"/>
          <w:color w:val="auto"/>
          <w:sz w:val="30"/>
          <w:szCs w:val="30"/>
          <w:highlight w:val="none"/>
          <w:lang w:val="en-US" w:eastAsia="zh-CN"/>
        </w:rPr>
        <w:t>附件17：</w:t>
      </w:r>
      <w:r>
        <w:rPr>
          <w:rFonts w:hint="eastAsia" w:ascii="仿宋_GB2312" w:hAnsi="Times New Roman" w:eastAsia="仿宋_GB2312" w:cs="仿宋_GB2312"/>
          <w:b w:val="0"/>
          <w:color w:val="auto"/>
          <w:sz w:val="30"/>
          <w:szCs w:val="30"/>
          <w:highlight w:val="none"/>
          <w:lang w:val="en-US"/>
        </w:rPr>
        <w:t>索赔费用申请（核准）表</w:t>
      </w:r>
    </w:p>
    <w:p w14:paraId="2DE776EE">
      <w:pPr>
        <w:spacing w:line="360" w:lineRule="auto"/>
        <w:jc w:val="center"/>
        <w:outlineLvl w:val="9"/>
        <w:rPr>
          <w:b/>
          <w:color w:val="auto"/>
          <w:sz w:val="36"/>
          <w:szCs w:val="36"/>
          <w:highlight w:val="none"/>
        </w:rPr>
      </w:pPr>
      <w:r>
        <w:rPr>
          <w:rFonts w:hint="eastAsia" w:ascii="宋体" w:hAnsi="宋体"/>
          <w:b/>
          <w:color w:val="auto"/>
          <w:sz w:val="36"/>
          <w:szCs w:val="36"/>
          <w:highlight w:val="none"/>
        </w:rPr>
        <w:t>索赔费用申请（核准）表</w:t>
      </w:r>
    </w:p>
    <w:p w14:paraId="1C05D27E">
      <w:pPr>
        <w:spacing w:line="360" w:lineRule="auto"/>
        <w:ind w:firstLine="420" w:firstLineChars="200"/>
        <w:rPr>
          <w:rFonts w:hint="eastAsia" w:ascii="宋体" w:hAnsi="宋体"/>
          <w:color w:val="auto"/>
          <w:sz w:val="21"/>
          <w:szCs w:val="21"/>
          <w:highlight w:val="none"/>
        </w:rPr>
      </w:pPr>
    </w:p>
    <w:p w14:paraId="03218B9C">
      <w:pPr>
        <w:spacing w:line="360" w:lineRule="auto"/>
        <w:ind w:firstLine="420" w:firstLineChars="200"/>
        <w:rPr>
          <w:color w:val="auto"/>
          <w:sz w:val="21"/>
          <w:szCs w:val="21"/>
          <w:highlight w:val="none"/>
        </w:rPr>
      </w:pPr>
      <w:r>
        <w:rPr>
          <w:rFonts w:hint="eastAsia" w:ascii="宋体" w:hAnsi="宋体"/>
          <w:color w:val="auto"/>
          <w:sz w:val="21"/>
          <w:szCs w:val="21"/>
          <w:highlight w:val="none"/>
        </w:rPr>
        <w:t xml:space="preserve">工程名称：                                    </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 xml:space="preserve">         编号：</w:t>
      </w:r>
    </w:p>
    <w:tbl>
      <w:tblPr>
        <w:tblStyle w:val="2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0"/>
        <w:gridCol w:w="4552"/>
      </w:tblGrid>
      <w:tr w14:paraId="72E16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9"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50B2BDD7">
            <w:pPr>
              <w:keepNext w:val="0"/>
              <w:keepLines w:val="0"/>
              <w:suppressLineNumbers w:val="0"/>
              <w:spacing w:before="0" w:beforeAutospacing="0" w:after="0" w:afterAutospacing="0" w:line="360" w:lineRule="auto"/>
              <w:ind w:left="0" w:right="0"/>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致：</w:t>
            </w:r>
            <w:r>
              <w:rPr>
                <w:rFonts w:hint="default"/>
                <w:color w:val="auto"/>
                <w:highlight w:val="none"/>
                <w:u w:val="single"/>
              </w:rPr>
              <w:t xml:space="preserve">                                      </w:t>
            </w:r>
            <w:r>
              <w:rPr>
                <w:rFonts w:hint="eastAsia" w:ascii="宋体" w:hAnsi="宋体"/>
                <w:color w:val="auto"/>
                <w:highlight w:val="none"/>
                <w:u w:val="single"/>
              </w:rPr>
              <w:t xml:space="preserve">（发包人全称） </w:t>
            </w:r>
          </w:p>
          <w:p w14:paraId="64A31BFF">
            <w:pPr>
              <w:keepNext w:val="0"/>
              <w:keepLines w:val="0"/>
              <w:suppressLineNumbers w:val="0"/>
              <w:spacing w:before="0" w:beforeAutospacing="0" w:after="0" w:afterAutospacing="0" w:line="360" w:lineRule="auto"/>
              <w:ind w:left="0" w:right="0" w:firstLine="525" w:firstLineChars="250"/>
              <w:rPr>
                <w:rFonts w:hint="default"/>
                <w:color w:val="auto"/>
                <w:highlight w:val="none"/>
              </w:rPr>
            </w:pPr>
            <w:r>
              <w:rPr>
                <w:rFonts w:hint="eastAsia" w:ascii="宋体" w:hAnsi="宋体"/>
                <w:color w:val="auto"/>
                <w:highlight w:val="none"/>
              </w:rPr>
              <w:t>根据施工合同条款第</w:t>
            </w:r>
            <w:r>
              <w:rPr>
                <w:rFonts w:hint="default"/>
                <w:color w:val="auto"/>
                <w:highlight w:val="none"/>
                <w:u w:val="single"/>
              </w:rPr>
              <w:t xml:space="preserve">         </w:t>
            </w:r>
            <w:r>
              <w:rPr>
                <w:rFonts w:hint="eastAsia" w:ascii="宋体" w:hAnsi="宋体"/>
                <w:color w:val="auto"/>
                <w:highlight w:val="none"/>
              </w:rPr>
              <w:t>条的约定</w:t>
            </w:r>
            <w:r>
              <w:rPr>
                <w:rFonts w:hint="eastAsia" w:ascii="宋体" w:hAnsi="宋体"/>
                <w:color w:val="auto"/>
                <w:highlight w:val="none"/>
                <w:lang w:eastAsia="zh-CN"/>
              </w:rPr>
              <w:t>，</w:t>
            </w:r>
            <w:r>
              <w:rPr>
                <w:rFonts w:hint="eastAsia" w:ascii="宋体" w:hAnsi="宋体"/>
                <w:color w:val="auto"/>
                <w:highlight w:val="none"/>
              </w:rPr>
              <w:t>由于</w:t>
            </w:r>
            <w:r>
              <w:rPr>
                <w:rFonts w:hint="default"/>
                <w:color w:val="auto"/>
                <w:highlight w:val="none"/>
                <w:u w:val="single"/>
              </w:rPr>
              <w:t xml:space="preserve">                   </w:t>
            </w:r>
            <w:r>
              <w:rPr>
                <w:rFonts w:hint="eastAsia" w:ascii="宋体" w:hAnsi="宋体"/>
                <w:color w:val="auto"/>
                <w:highlight w:val="none"/>
              </w:rPr>
              <w:t>原因</w:t>
            </w:r>
            <w:r>
              <w:rPr>
                <w:rFonts w:hint="eastAsia" w:ascii="宋体" w:hAnsi="宋体"/>
                <w:color w:val="auto"/>
                <w:highlight w:val="none"/>
                <w:lang w:eastAsia="zh-CN"/>
              </w:rPr>
              <w:t>，</w:t>
            </w:r>
            <w:r>
              <w:rPr>
                <w:rFonts w:hint="eastAsia" w:ascii="宋体" w:hAnsi="宋体"/>
                <w:color w:val="auto"/>
                <w:highlight w:val="none"/>
              </w:rPr>
              <w:t>我方要求索赔</w:t>
            </w:r>
            <w:r>
              <w:rPr>
                <w:rFonts w:hint="eastAsia" w:ascii="宋体" w:hAnsi="宋体"/>
                <w:color w:val="auto"/>
                <w:highlight w:val="none"/>
                <w:lang w:eastAsia="zh-CN"/>
              </w:rPr>
              <w:t>不含税</w:t>
            </w:r>
            <w:r>
              <w:rPr>
                <w:rFonts w:hint="eastAsia" w:ascii="宋体" w:hAnsi="宋体"/>
                <w:color w:val="auto"/>
                <w:highlight w:val="none"/>
              </w:rPr>
              <w:t>金额（大写）</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（小写）</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请予核准。</w:t>
            </w:r>
          </w:p>
          <w:p w14:paraId="2D1431DF">
            <w:pPr>
              <w:keepNext w:val="0"/>
              <w:keepLines w:val="0"/>
              <w:suppressLineNumbers w:val="0"/>
              <w:spacing w:before="0" w:beforeAutospacing="0" w:after="0" w:afterAutospacing="0" w:line="360" w:lineRule="auto"/>
              <w:ind w:left="0" w:right="0"/>
              <w:rPr>
                <w:rFonts w:hint="default"/>
                <w:color w:val="auto"/>
                <w:highlight w:val="none"/>
              </w:rPr>
            </w:pPr>
            <w:r>
              <w:rPr>
                <w:rFonts w:hint="eastAsia" w:ascii="宋体" w:hAnsi="宋体"/>
                <w:color w:val="auto"/>
                <w:highlight w:val="none"/>
              </w:rPr>
              <w:t>附：</w:t>
            </w:r>
            <w:r>
              <w:rPr>
                <w:rFonts w:hint="eastAsia"/>
                <w:color w:val="auto"/>
                <w:highlight w:val="none"/>
              </w:rPr>
              <w:t>1.</w:t>
            </w:r>
            <w:r>
              <w:rPr>
                <w:rFonts w:hint="eastAsia" w:ascii="宋体" w:hAnsi="宋体"/>
                <w:color w:val="auto"/>
                <w:highlight w:val="none"/>
              </w:rPr>
              <w:t>索赔费用的详细理由和依据：</w:t>
            </w:r>
          </w:p>
          <w:p w14:paraId="63612920">
            <w:pPr>
              <w:keepNext w:val="0"/>
              <w:keepLines w:val="0"/>
              <w:suppressLineNumbers w:val="0"/>
              <w:spacing w:before="0" w:beforeAutospacing="0" w:after="0" w:afterAutospacing="0" w:line="360" w:lineRule="auto"/>
              <w:ind w:left="0" w:right="0" w:firstLine="435"/>
              <w:rPr>
                <w:rFonts w:hint="default"/>
                <w:color w:val="auto"/>
                <w:highlight w:val="none"/>
              </w:rPr>
            </w:pPr>
            <w:r>
              <w:rPr>
                <w:rFonts w:hint="eastAsia"/>
                <w:color w:val="auto"/>
                <w:highlight w:val="none"/>
              </w:rPr>
              <w:t>2.</w:t>
            </w:r>
            <w:r>
              <w:rPr>
                <w:rFonts w:hint="eastAsia" w:ascii="宋体" w:hAnsi="宋体"/>
                <w:color w:val="auto"/>
                <w:highlight w:val="none"/>
              </w:rPr>
              <w:t>索赔金额的计算：</w:t>
            </w:r>
          </w:p>
          <w:p w14:paraId="3E47AC56">
            <w:pPr>
              <w:keepNext w:val="0"/>
              <w:keepLines w:val="0"/>
              <w:suppressLineNumbers w:val="0"/>
              <w:spacing w:before="0" w:beforeAutospacing="0" w:after="0" w:afterAutospacing="0" w:line="360" w:lineRule="auto"/>
              <w:ind w:left="0" w:right="0" w:firstLine="435"/>
              <w:rPr>
                <w:rFonts w:hint="default"/>
                <w:color w:val="auto"/>
                <w:highlight w:val="none"/>
              </w:rPr>
            </w:pPr>
            <w:r>
              <w:rPr>
                <w:rFonts w:hint="eastAsia"/>
                <w:color w:val="auto"/>
                <w:highlight w:val="none"/>
              </w:rPr>
              <w:t>3.</w:t>
            </w:r>
            <w:r>
              <w:rPr>
                <w:rFonts w:hint="eastAsia" w:ascii="宋体" w:hAnsi="宋体"/>
                <w:color w:val="auto"/>
                <w:highlight w:val="none"/>
              </w:rPr>
              <w:t>证明材料：</w:t>
            </w:r>
          </w:p>
          <w:p w14:paraId="2942FD62">
            <w:pPr>
              <w:keepNext w:val="0"/>
              <w:keepLines w:val="0"/>
              <w:suppressLineNumbers w:val="0"/>
              <w:spacing w:before="0" w:beforeAutospacing="0" w:after="0" w:afterAutospacing="0" w:line="360" w:lineRule="auto"/>
              <w:ind w:left="0" w:right="0" w:firstLine="435"/>
              <w:rPr>
                <w:rFonts w:hint="default"/>
                <w:color w:val="auto"/>
                <w:highlight w:val="none"/>
              </w:rPr>
            </w:pPr>
          </w:p>
          <w:p w14:paraId="283C01E5">
            <w:pPr>
              <w:keepNext w:val="0"/>
              <w:keepLines w:val="0"/>
              <w:suppressLineNumbers w:val="0"/>
              <w:spacing w:before="0" w:beforeAutospacing="0" w:after="0" w:afterAutospacing="0" w:line="360" w:lineRule="auto"/>
              <w:ind w:left="0" w:right="0"/>
              <w:jc w:val="center"/>
              <w:rPr>
                <w:rFonts w:hint="default"/>
                <w:color w:val="auto"/>
                <w:highlight w:val="none"/>
              </w:rPr>
            </w:pPr>
            <w:r>
              <w:rPr>
                <w:rFonts w:hint="default"/>
                <w:color w:val="auto"/>
                <w:highlight w:val="none"/>
              </w:rPr>
              <w:t xml:space="preserve">                                                                                               </w:t>
            </w:r>
            <w:r>
              <w:rPr>
                <w:rFonts w:hint="eastAsia" w:ascii="宋体" w:hAnsi="宋体"/>
                <w:color w:val="auto"/>
                <w:highlight w:val="none"/>
              </w:rPr>
              <w:t>承包人（章）</w:t>
            </w:r>
            <w:r>
              <w:rPr>
                <w:rFonts w:hint="default"/>
                <w:color w:val="auto"/>
                <w:highlight w:val="none"/>
              </w:rPr>
              <w:t xml:space="preserve">            </w:t>
            </w:r>
          </w:p>
          <w:p w14:paraId="78EEF1A5">
            <w:pPr>
              <w:keepNext w:val="0"/>
              <w:keepLines w:val="0"/>
              <w:suppressLineNumbers w:val="0"/>
              <w:spacing w:before="0" w:beforeAutospacing="0" w:after="0" w:afterAutospacing="0" w:line="360" w:lineRule="auto"/>
              <w:ind w:left="0" w:right="0"/>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造价人员</w:t>
            </w:r>
            <w:r>
              <w:rPr>
                <w:rFonts w:hint="eastAsia"/>
                <w:color w:val="auto"/>
                <w:highlight w:val="none"/>
              </w:rPr>
              <w:t xml:space="preserve">____________ </w:t>
            </w:r>
            <w:r>
              <w:rPr>
                <w:rFonts w:hint="default"/>
                <w:color w:val="auto"/>
                <w:highlight w:val="none"/>
              </w:rPr>
              <w:t xml:space="preserve">  </w:t>
            </w:r>
            <w:r>
              <w:rPr>
                <w:rFonts w:hint="eastAsia" w:ascii="宋体" w:hAnsi="宋体"/>
                <w:color w:val="auto"/>
                <w:highlight w:val="none"/>
              </w:rPr>
              <w:t>承包人代表</w:t>
            </w:r>
            <w:r>
              <w:rPr>
                <w:rFonts w:hint="default"/>
                <w:color w:val="auto"/>
                <w:highlight w:val="none"/>
                <w:u w:val="single"/>
              </w:rPr>
              <w:t xml:space="preserve">              </w:t>
            </w:r>
            <w:r>
              <w:rPr>
                <w:rFonts w:hint="default"/>
                <w:color w:val="auto"/>
                <w:highlight w:val="non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p w14:paraId="5A9AA58D">
            <w:pPr>
              <w:keepNext w:val="0"/>
              <w:keepLines w:val="0"/>
              <w:suppressLineNumbers w:val="0"/>
              <w:spacing w:before="0" w:beforeAutospacing="0" w:after="0" w:afterAutospacing="0" w:line="360" w:lineRule="auto"/>
              <w:ind w:left="0" w:right="0"/>
              <w:rPr>
                <w:rFonts w:hint="default"/>
                <w:color w:val="auto"/>
                <w:highlight w:val="none"/>
                <w:u w:val="single"/>
              </w:rPr>
            </w:pPr>
          </w:p>
        </w:tc>
      </w:tr>
      <w:tr w14:paraId="282DC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jc w:val="center"/>
        </w:trPr>
        <w:tc>
          <w:tcPr>
            <w:tcW w:w="4520" w:type="dxa"/>
            <w:tcBorders>
              <w:top w:val="single" w:color="auto" w:sz="4" w:space="0"/>
              <w:left w:val="single" w:color="auto" w:sz="4" w:space="0"/>
              <w:bottom w:val="single" w:color="auto" w:sz="4" w:space="0"/>
              <w:right w:val="single" w:color="auto" w:sz="4" w:space="0"/>
            </w:tcBorders>
            <w:noWrap w:val="0"/>
            <w:vAlign w:val="top"/>
          </w:tcPr>
          <w:p w14:paraId="7D506D06">
            <w:pPr>
              <w:keepNext w:val="0"/>
              <w:keepLines w:val="0"/>
              <w:suppressLineNumbers w:val="0"/>
              <w:spacing w:before="0" w:beforeAutospacing="0" w:after="0" w:afterAutospacing="0" w:line="360" w:lineRule="auto"/>
              <w:ind w:left="0" w:right="0"/>
              <w:rPr>
                <w:rFonts w:hint="default"/>
                <w:color w:val="auto"/>
                <w:highlight w:val="none"/>
              </w:rPr>
            </w:pPr>
            <w:r>
              <w:rPr>
                <w:rFonts w:hint="eastAsia" w:ascii="宋体" w:hAnsi="宋体"/>
                <w:color w:val="auto"/>
                <w:highlight w:val="none"/>
              </w:rPr>
              <w:t>复核意见：</w:t>
            </w:r>
          </w:p>
          <w:p w14:paraId="5B0B4A48">
            <w:pPr>
              <w:keepNext w:val="0"/>
              <w:keepLines w:val="0"/>
              <w:suppressLineNumbers w:val="0"/>
              <w:spacing w:before="0" w:beforeAutospacing="0" w:after="0" w:afterAutospacing="0" w:line="360" w:lineRule="auto"/>
              <w:ind w:left="0" w:right="0" w:firstLine="435"/>
              <w:rPr>
                <w:rFonts w:hint="default"/>
                <w:color w:val="auto"/>
                <w:highlight w:val="none"/>
              </w:rPr>
            </w:pPr>
            <w:r>
              <w:rPr>
                <w:rFonts w:hint="eastAsia" w:ascii="宋体" w:hAnsi="宋体"/>
                <w:color w:val="auto"/>
                <w:highlight w:val="none"/>
              </w:rPr>
              <w:t>根据施工合同条款第</w:t>
            </w:r>
            <w:r>
              <w:rPr>
                <w:rFonts w:hint="default"/>
                <w:color w:val="auto"/>
                <w:highlight w:val="none"/>
                <w:u w:val="single"/>
              </w:rPr>
              <w:t xml:space="preserve">     </w:t>
            </w:r>
            <w:r>
              <w:rPr>
                <w:rFonts w:hint="eastAsia" w:ascii="宋体" w:hAnsi="宋体"/>
                <w:color w:val="auto"/>
                <w:highlight w:val="none"/>
              </w:rPr>
              <w:t>条的约定</w:t>
            </w:r>
            <w:r>
              <w:rPr>
                <w:rFonts w:hint="eastAsia" w:ascii="宋体" w:hAnsi="宋体"/>
                <w:color w:val="auto"/>
                <w:highlight w:val="none"/>
                <w:lang w:eastAsia="zh-CN"/>
              </w:rPr>
              <w:t>，</w:t>
            </w:r>
            <w:r>
              <w:rPr>
                <w:rFonts w:hint="eastAsia" w:ascii="宋体" w:hAnsi="宋体"/>
                <w:color w:val="auto"/>
                <w:highlight w:val="none"/>
              </w:rPr>
              <w:t>你方提出的索赔费用申请经复核：</w:t>
            </w:r>
          </w:p>
          <w:p w14:paraId="14A4B6D7">
            <w:pPr>
              <w:keepNext w:val="0"/>
              <w:keepLines w:val="0"/>
              <w:suppressLineNumbers w:val="0"/>
              <w:spacing w:before="0" w:beforeAutospacing="0" w:after="0" w:afterAutospacing="0" w:line="360" w:lineRule="auto"/>
              <w:ind w:left="0" w:right="0" w:firstLine="435"/>
              <w:rPr>
                <w:rFonts w:hint="default"/>
                <w:color w:val="auto"/>
                <w:highlight w:val="none"/>
              </w:rPr>
            </w:pPr>
            <w:r>
              <w:rPr>
                <w:rFonts w:hint="eastAsia" w:ascii="宋体" w:hAnsi="宋体"/>
                <w:color w:val="auto"/>
                <w:highlight w:val="none"/>
              </w:rPr>
              <w:t>□不同意此项索赔</w:t>
            </w:r>
            <w:r>
              <w:rPr>
                <w:rFonts w:hint="eastAsia" w:ascii="宋体" w:hAnsi="宋体"/>
                <w:color w:val="auto"/>
                <w:highlight w:val="none"/>
                <w:lang w:eastAsia="zh-CN"/>
              </w:rPr>
              <w:t>，</w:t>
            </w:r>
            <w:r>
              <w:rPr>
                <w:rFonts w:hint="eastAsia" w:ascii="宋体" w:hAnsi="宋体"/>
                <w:color w:val="auto"/>
                <w:highlight w:val="none"/>
              </w:rPr>
              <w:t>具体意见见附件。</w:t>
            </w:r>
          </w:p>
          <w:p w14:paraId="1B7D49BD">
            <w:pPr>
              <w:keepNext w:val="0"/>
              <w:keepLines w:val="0"/>
              <w:suppressLineNumbers w:val="0"/>
              <w:spacing w:before="0" w:beforeAutospacing="0" w:after="0" w:afterAutospacing="0" w:line="360" w:lineRule="auto"/>
              <w:ind w:left="0" w:right="0" w:firstLine="435"/>
              <w:rPr>
                <w:rFonts w:hint="default"/>
                <w:color w:val="auto"/>
                <w:highlight w:val="none"/>
              </w:rPr>
            </w:pPr>
            <w:r>
              <w:rPr>
                <w:rFonts w:hint="eastAsia" w:ascii="宋体" w:hAnsi="宋体"/>
                <w:color w:val="auto"/>
                <w:highlight w:val="none"/>
              </w:rPr>
              <w:t>□同意此项索赔</w:t>
            </w:r>
            <w:r>
              <w:rPr>
                <w:rFonts w:hint="eastAsia" w:ascii="宋体" w:hAnsi="宋体"/>
                <w:color w:val="auto"/>
                <w:highlight w:val="none"/>
                <w:lang w:eastAsia="zh-CN"/>
              </w:rPr>
              <w:t>，</w:t>
            </w:r>
            <w:r>
              <w:rPr>
                <w:rFonts w:hint="eastAsia" w:ascii="宋体" w:hAnsi="宋体"/>
                <w:color w:val="auto"/>
                <w:highlight w:val="none"/>
              </w:rPr>
              <w:t>索赔金额的计算</w:t>
            </w:r>
            <w:r>
              <w:rPr>
                <w:rFonts w:hint="eastAsia" w:ascii="宋体" w:hAnsi="宋体"/>
                <w:color w:val="auto"/>
                <w:highlight w:val="none"/>
                <w:lang w:eastAsia="zh-CN"/>
              </w:rPr>
              <w:t>，</w:t>
            </w:r>
            <w:r>
              <w:rPr>
                <w:rFonts w:hint="eastAsia" w:ascii="宋体" w:hAnsi="宋体"/>
                <w:color w:val="auto"/>
                <w:highlight w:val="none"/>
              </w:rPr>
              <w:t>由造价工程师复核。</w:t>
            </w:r>
          </w:p>
          <w:p w14:paraId="2C21AF4D">
            <w:pPr>
              <w:keepNext w:val="0"/>
              <w:keepLines w:val="0"/>
              <w:suppressLineNumbers w:val="0"/>
              <w:spacing w:before="0" w:beforeAutospacing="0" w:after="0" w:afterAutospacing="0" w:line="360" w:lineRule="auto"/>
              <w:ind w:left="0" w:right="0" w:firstLine="435"/>
              <w:rPr>
                <w:rFonts w:hint="default"/>
                <w:color w:val="auto"/>
                <w:highlight w:val="none"/>
              </w:rPr>
            </w:pPr>
          </w:p>
          <w:p w14:paraId="67214809">
            <w:pPr>
              <w:keepNext w:val="0"/>
              <w:keepLines w:val="0"/>
              <w:suppressLineNumbers w:val="0"/>
              <w:spacing w:before="0" w:beforeAutospacing="0" w:after="0" w:afterAutospacing="0" w:line="360" w:lineRule="auto"/>
              <w:ind w:left="0" w:right="0" w:firstLine="435"/>
              <w:rPr>
                <w:rFonts w:hint="default"/>
                <w:color w:val="auto"/>
                <w:highlight w:val="none"/>
              </w:rPr>
            </w:pPr>
          </w:p>
          <w:p w14:paraId="01973BE4">
            <w:pPr>
              <w:keepNext w:val="0"/>
              <w:keepLines w:val="0"/>
              <w:suppressLineNumbers w:val="0"/>
              <w:wordWrap w:val="0"/>
              <w:spacing w:before="0" w:beforeAutospacing="0" w:after="0" w:afterAutospacing="0" w:line="360" w:lineRule="auto"/>
              <w:ind w:left="0" w:right="0"/>
              <w:jc w:val="right"/>
              <w:rPr>
                <w:rFonts w:hint="default"/>
                <w:color w:val="auto"/>
                <w:highlight w:val="none"/>
                <w:u w:val="single"/>
              </w:rPr>
            </w:pPr>
            <w:r>
              <w:rPr>
                <w:rFonts w:hint="eastAsia" w:ascii="宋体" w:hAnsi="宋体"/>
                <w:color w:val="auto"/>
                <w:highlight w:val="none"/>
              </w:rPr>
              <w:t>监理工程师</w:t>
            </w:r>
            <w:r>
              <w:rPr>
                <w:rFonts w:hint="default"/>
                <w:color w:val="auto"/>
                <w:highlight w:val="none"/>
              </w:rPr>
              <w:t xml:space="preserve"> </w:t>
            </w:r>
            <w:r>
              <w:rPr>
                <w:rFonts w:hint="default"/>
                <w:color w:val="auto"/>
                <w:highlight w:val="none"/>
                <w:u w:val="single"/>
              </w:rPr>
              <w:t xml:space="preserve">           </w:t>
            </w:r>
          </w:p>
          <w:p w14:paraId="21E270DA">
            <w:pPr>
              <w:keepNext w:val="0"/>
              <w:keepLines w:val="0"/>
              <w:suppressLineNumbers w:val="0"/>
              <w:wordWrap w:val="0"/>
              <w:spacing w:before="0" w:beforeAutospacing="0" w:after="0" w:afterAutospacing="0" w:line="360" w:lineRule="auto"/>
              <w:ind w:left="0" w:right="0"/>
              <w:jc w:val="right"/>
              <w:rPr>
                <w:rFonts w:hint="default"/>
                <w:color w:val="auto"/>
                <w:highlight w:val="none"/>
                <w:u w:val="single"/>
              </w:rPr>
            </w:pP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rPr>
              <w:t xml:space="preserve"> </w:t>
            </w:r>
            <w:r>
              <w:rPr>
                <w:rFonts w:hint="default"/>
                <w:color w:val="auto"/>
                <w:highlight w:val="none"/>
                <w:u w:val="single"/>
              </w:rPr>
              <w:t xml:space="preserve">           </w:t>
            </w:r>
          </w:p>
        </w:tc>
        <w:tc>
          <w:tcPr>
            <w:tcW w:w="4552" w:type="dxa"/>
            <w:tcBorders>
              <w:top w:val="single" w:color="auto" w:sz="4" w:space="0"/>
              <w:left w:val="single" w:color="auto" w:sz="4" w:space="0"/>
              <w:bottom w:val="single" w:color="auto" w:sz="4" w:space="0"/>
              <w:right w:val="single" w:color="auto" w:sz="4" w:space="0"/>
            </w:tcBorders>
            <w:noWrap w:val="0"/>
            <w:vAlign w:val="top"/>
          </w:tcPr>
          <w:p w14:paraId="554DE6B1">
            <w:pPr>
              <w:keepNext w:val="0"/>
              <w:keepLines w:val="0"/>
              <w:suppressLineNumbers w:val="0"/>
              <w:spacing w:before="0" w:beforeAutospacing="0" w:after="0" w:afterAutospacing="0" w:line="360" w:lineRule="auto"/>
              <w:ind w:left="0" w:right="0"/>
              <w:rPr>
                <w:rFonts w:hint="default"/>
                <w:color w:val="auto"/>
                <w:highlight w:val="none"/>
              </w:rPr>
            </w:pPr>
            <w:r>
              <w:rPr>
                <w:rFonts w:hint="eastAsia" w:ascii="宋体" w:hAnsi="宋体"/>
                <w:color w:val="auto"/>
                <w:highlight w:val="none"/>
              </w:rPr>
              <w:t>复核意见：</w:t>
            </w:r>
          </w:p>
          <w:p w14:paraId="4484E5FB">
            <w:pPr>
              <w:keepNext w:val="0"/>
              <w:keepLines w:val="0"/>
              <w:suppressLineNumbers w:val="0"/>
              <w:spacing w:before="0" w:beforeAutospacing="0" w:after="0" w:afterAutospacing="0" w:line="360" w:lineRule="auto"/>
              <w:ind w:left="0" w:right="0" w:firstLine="435"/>
              <w:rPr>
                <w:rFonts w:hint="default"/>
                <w:color w:val="auto"/>
                <w:highlight w:val="none"/>
              </w:rPr>
            </w:pPr>
            <w:r>
              <w:rPr>
                <w:rFonts w:hint="eastAsia" w:ascii="宋体" w:hAnsi="宋体"/>
                <w:color w:val="auto"/>
                <w:highlight w:val="none"/>
              </w:rPr>
              <w:t>根据施工合同条款第</w:t>
            </w:r>
            <w:r>
              <w:rPr>
                <w:rFonts w:hint="default"/>
                <w:color w:val="auto"/>
                <w:highlight w:val="none"/>
                <w:u w:val="single"/>
              </w:rPr>
              <w:t xml:space="preserve">     </w:t>
            </w:r>
            <w:r>
              <w:rPr>
                <w:rFonts w:hint="eastAsia" w:ascii="宋体" w:hAnsi="宋体"/>
                <w:color w:val="auto"/>
                <w:highlight w:val="none"/>
              </w:rPr>
              <w:t>条的约定</w:t>
            </w:r>
            <w:r>
              <w:rPr>
                <w:rFonts w:hint="eastAsia" w:ascii="宋体" w:hAnsi="宋体"/>
                <w:color w:val="auto"/>
                <w:highlight w:val="none"/>
                <w:lang w:eastAsia="zh-CN"/>
              </w:rPr>
              <w:t>，</w:t>
            </w:r>
            <w:r>
              <w:rPr>
                <w:rFonts w:hint="eastAsia" w:ascii="宋体" w:hAnsi="宋体"/>
                <w:color w:val="auto"/>
                <w:highlight w:val="none"/>
              </w:rPr>
              <w:t>你方提出的索赔费用申请经复核</w:t>
            </w:r>
            <w:r>
              <w:rPr>
                <w:rFonts w:hint="eastAsia" w:ascii="宋体" w:hAnsi="宋体"/>
                <w:color w:val="auto"/>
                <w:highlight w:val="none"/>
                <w:lang w:eastAsia="zh-CN"/>
              </w:rPr>
              <w:t>，</w:t>
            </w:r>
            <w:r>
              <w:rPr>
                <w:rFonts w:hint="eastAsia" w:ascii="宋体" w:hAnsi="宋体"/>
                <w:color w:val="auto"/>
                <w:highlight w:val="none"/>
              </w:rPr>
              <w:t>索赔</w:t>
            </w:r>
            <w:r>
              <w:rPr>
                <w:rFonts w:hint="eastAsia" w:ascii="宋体" w:hAnsi="宋体"/>
                <w:color w:val="auto"/>
                <w:highlight w:val="none"/>
                <w:lang w:eastAsia="zh-CN"/>
              </w:rPr>
              <w:t>不含税</w:t>
            </w:r>
            <w:r>
              <w:rPr>
                <w:rFonts w:hint="eastAsia" w:ascii="宋体" w:hAnsi="宋体"/>
                <w:color w:val="auto"/>
                <w:highlight w:val="none"/>
              </w:rPr>
              <w:t>金额为</w:t>
            </w:r>
          </w:p>
          <w:p w14:paraId="6FFC2E6B">
            <w:pPr>
              <w:keepNext w:val="0"/>
              <w:keepLines w:val="0"/>
              <w:suppressLineNumbers w:val="0"/>
              <w:spacing w:before="0" w:beforeAutospacing="0" w:after="0" w:afterAutospacing="0" w:line="360" w:lineRule="auto"/>
              <w:ind w:left="0" w:right="0"/>
              <w:rPr>
                <w:rFonts w:hint="default"/>
                <w:color w:val="auto"/>
                <w:highlight w:val="none"/>
                <w:u w:val="single"/>
              </w:rPr>
            </w:pPr>
            <w:r>
              <w:rPr>
                <w:rFonts w:hint="eastAsia" w:ascii="宋体" w:hAnsi="宋体"/>
                <w:color w:val="auto"/>
                <w:highlight w:val="none"/>
              </w:rPr>
              <w:t>（大写）</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（小写）</w:t>
            </w:r>
            <w:r>
              <w:rPr>
                <w:rFonts w:hint="default"/>
                <w:color w:val="auto"/>
                <w:highlight w:val="none"/>
                <w:u w:val="single"/>
              </w:rPr>
              <w:t xml:space="preserve">            </w:t>
            </w:r>
            <w:r>
              <w:rPr>
                <w:rFonts w:hint="eastAsia" w:ascii="宋体" w:hAnsi="宋体"/>
                <w:color w:val="auto"/>
                <w:highlight w:val="none"/>
              </w:rPr>
              <w:t>元。</w:t>
            </w:r>
          </w:p>
          <w:p w14:paraId="5F40329F">
            <w:pPr>
              <w:keepNext w:val="0"/>
              <w:keepLines w:val="0"/>
              <w:suppressLineNumbers w:val="0"/>
              <w:spacing w:before="0" w:beforeAutospacing="0" w:after="0" w:afterAutospacing="0" w:line="360" w:lineRule="auto"/>
              <w:ind w:left="0" w:right="0" w:firstLine="435"/>
              <w:jc w:val="right"/>
              <w:rPr>
                <w:rFonts w:hint="default"/>
                <w:color w:val="auto"/>
                <w:highlight w:val="none"/>
              </w:rPr>
            </w:pPr>
          </w:p>
          <w:p w14:paraId="1BF3DE42">
            <w:pPr>
              <w:keepNext w:val="0"/>
              <w:keepLines w:val="0"/>
              <w:suppressLineNumbers w:val="0"/>
              <w:spacing w:before="0" w:beforeAutospacing="0" w:after="0" w:afterAutospacing="0" w:line="360" w:lineRule="auto"/>
              <w:ind w:left="0" w:right="0" w:firstLine="435"/>
              <w:jc w:val="center"/>
              <w:rPr>
                <w:rFonts w:hint="default"/>
                <w:color w:val="auto"/>
                <w:highlight w:val="none"/>
              </w:rPr>
            </w:pPr>
            <w:r>
              <w:rPr>
                <w:rFonts w:hint="default"/>
                <w:color w:val="auto"/>
                <w:highlight w:val="none"/>
              </w:rPr>
              <w:t xml:space="preserve">                                 </w:t>
            </w:r>
          </w:p>
          <w:p w14:paraId="7616C36C">
            <w:pPr>
              <w:keepNext w:val="0"/>
              <w:keepLines w:val="0"/>
              <w:suppressLineNumbers w:val="0"/>
              <w:spacing w:before="0" w:beforeAutospacing="0" w:after="0" w:afterAutospacing="0" w:line="360" w:lineRule="auto"/>
              <w:ind w:left="0" w:right="0" w:firstLine="435"/>
              <w:jc w:val="center"/>
              <w:rPr>
                <w:rFonts w:hint="default"/>
                <w:color w:val="auto"/>
                <w:highlight w:val="none"/>
              </w:rPr>
            </w:pPr>
          </w:p>
          <w:p w14:paraId="7F520BFF">
            <w:pPr>
              <w:keepNext w:val="0"/>
              <w:keepLines w:val="0"/>
              <w:suppressLineNumbers w:val="0"/>
              <w:spacing w:before="0" w:beforeAutospacing="0" w:after="0" w:afterAutospacing="0" w:line="360" w:lineRule="auto"/>
              <w:ind w:left="0" w:right="0" w:firstLine="435"/>
              <w:jc w:val="center"/>
              <w:rPr>
                <w:rFonts w:hint="default"/>
                <w:color w:val="auto"/>
                <w:highlight w:val="none"/>
              </w:rPr>
            </w:pPr>
          </w:p>
          <w:p w14:paraId="6107F7B7">
            <w:pPr>
              <w:keepNext w:val="0"/>
              <w:keepLines w:val="0"/>
              <w:suppressLineNumbers w:val="0"/>
              <w:spacing w:before="0" w:beforeAutospacing="0" w:after="0" w:afterAutospacing="0" w:line="360" w:lineRule="auto"/>
              <w:ind w:left="0" w:right="0" w:firstLine="435"/>
              <w:jc w:val="center"/>
              <w:rPr>
                <w:rFonts w:hint="default"/>
                <w:color w:val="auto"/>
                <w:highlight w:val="none"/>
              </w:rPr>
            </w:pPr>
            <w:r>
              <w:rPr>
                <w:rFonts w:hint="eastAsia" w:ascii="宋体" w:hAnsi="宋体"/>
                <w:color w:val="auto"/>
                <w:highlight w:val="none"/>
              </w:rPr>
              <w:t>造价工程师</w:t>
            </w:r>
            <w:r>
              <w:rPr>
                <w:rFonts w:hint="default"/>
                <w:color w:val="auto"/>
                <w:highlight w:val="none"/>
                <w:u w:val="single"/>
              </w:rPr>
              <w:t xml:space="preserve">           </w:t>
            </w:r>
            <w:r>
              <w:rPr>
                <w:rFonts w:hint="default"/>
                <w:color w:val="auto"/>
                <w:highlight w:val="none"/>
              </w:rPr>
              <w:t xml:space="preserve">                               </w:t>
            </w:r>
          </w:p>
          <w:p w14:paraId="21E8A8A9">
            <w:pPr>
              <w:keepNext w:val="0"/>
              <w:keepLines w:val="0"/>
              <w:suppressLineNumbers w:val="0"/>
              <w:spacing w:before="0" w:beforeAutospacing="0" w:after="0" w:afterAutospacing="0" w:line="360" w:lineRule="auto"/>
              <w:ind w:left="0" w:right="0" w:firstLine="435"/>
              <w:jc w:val="center"/>
              <w:rPr>
                <w:rFonts w:hint="default"/>
                <w:color w:val="auto"/>
                <w:highlight w:val="none"/>
                <w:u w:val="single"/>
              </w:rPr>
            </w:pP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r w14:paraId="783B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1"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2301F4F0">
            <w:pPr>
              <w:keepNext w:val="0"/>
              <w:keepLines w:val="0"/>
              <w:suppressLineNumbers w:val="0"/>
              <w:spacing w:before="0" w:beforeAutospacing="0" w:after="0" w:afterAutospacing="0" w:line="360" w:lineRule="auto"/>
              <w:ind w:left="0" w:right="0"/>
              <w:rPr>
                <w:rFonts w:hint="default"/>
                <w:color w:val="auto"/>
                <w:highlight w:val="none"/>
              </w:rPr>
            </w:pPr>
            <w:r>
              <w:rPr>
                <w:rFonts w:hint="eastAsia" w:ascii="宋体" w:hAnsi="宋体"/>
                <w:color w:val="auto"/>
                <w:highlight w:val="none"/>
              </w:rPr>
              <w:t>审核意见：</w:t>
            </w:r>
          </w:p>
          <w:p w14:paraId="3D4B3A28">
            <w:pPr>
              <w:keepNext w:val="0"/>
              <w:keepLines w:val="0"/>
              <w:suppressLineNumbers w:val="0"/>
              <w:spacing w:before="0" w:beforeAutospacing="0" w:after="0" w:afterAutospacing="0" w:line="360" w:lineRule="auto"/>
              <w:ind w:left="0" w:right="0" w:firstLine="435"/>
              <w:rPr>
                <w:rFonts w:hint="default"/>
                <w:color w:val="auto"/>
                <w:highlight w:val="none"/>
              </w:rPr>
            </w:pPr>
            <w:r>
              <w:rPr>
                <w:rFonts w:hint="eastAsia" w:ascii="宋体" w:hAnsi="宋体"/>
                <w:color w:val="auto"/>
                <w:highlight w:val="none"/>
              </w:rPr>
              <w:t>□不同意此项索赔。</w:t>
            </w:r>
          </w:p>
          <w:p w14:paraId="44D99296">
            <w:pPr>
              <w:keepNext w:val="0"/>
              <w:keepLines w:val="0"/>
              <w:suppressLineNumbers w:val="0"/>
              <w:spacing w:before="0" w:beforeAutospacing="0" w:after="0" w:afterAutospacing="0" w:line="360" w:lineRule="auto"/>
              <w:ind w:left="0" w:right="0" w:firstLine="420" w:firstLineChars="200"/>
              <w:rPr>
                <w:rFonts w:hint="default"/>
                <w:color w:val="auto"/>
                <w:highlight w:val="none"/>
              </w:rPr>
            </w:pPr>
            <w:r>
              <w:rPr>
                <w:rFonts w:hint="eastAsia" w:ascii="宋体" w:hAnsi="宋体"/>
                <w:color w:val="auto"/>
                <w:highlight w:val="none"/>
              </w:rPr>
              <w:t>□同意此项索赔</w:t>
            </w:r>
            <w:r>
              <w:rPr>
                <w:rFonts w:hint="eastAsia" w:ascii="宋体" w:hAnsi="宋体"/>
                <w:color w:val="auto"/>
                <w:highlight w:val="none"/>
                <w:lang w:eastAsia="zh-CN"/>
              </w:rPr>
              <w:t>，</w:t>
            </w:r>
            <w:r>
              <w:rPr>
                <w:rFonts w:hint="eastAsia" w:ascii="宋体" w:hAnsi="宋体"/>
                <w:color w:val="auto"/>
                <w:highlight w:val="none"/>
              </w:rPr>
              <w:t>与本期进度款同期支付。</w:t>
            </w:r>
          </w:p>
          <w:p w14:paraId="5FF6CB96">
            <w:pPr>
              <w:keepNext w:val="0"/>
              <w:keepLines w:val="0"/>
              <w:suppressLineNumbers w:val="0"/>
              <w:spacing w:before="0" w:beforeAutospacing="0" w:after="0" w:afterAutospacing="0" w:line="360" w:lineRule="auto"/>
              <w:ind w:left="0" w:right="0" w:firstLine="0" w:firstLineChars="0"/>
              <w:jc w:val="both"/>
              <w:rPr>
                <w:rFonts w:hint="default"/>
                <w:color w:val="auto"/>
                <w:highlight w:val="none"/>
              </w:rPr>
            </w:pPr>
          </w:p>
          <w:p w14:paraId="6A93578C">
            <w:pPr>
              <w:keepNext w:val="0"/>
              <w:keepLines w:val="0"/>
              <w:suppressLineNumbers w:val="0"/>
              <w:spacing w:before="0" w:beforeAutospacing="0" w:after="0" w:afterAutospacing="0" w:line="360" w:lineRule="auto"/>
              <w:ind w:left="0" w:right="0" w:firstLine="420" w:firstLineChars="200"/>
              <w:jc w:val="center"/>
              <w:rPr>
                <w:rFonts w:hint="default"/>
                <w:color w:val="auto"/>
                <w:highlight w:val="none"/>
              </w:rPr>
            </w:pPr>
          </w:p>
          <w:p w14:paraId="6FE527F4">
            <w:pPr>
              <w:keepNext w:val="0"/>
              <w:keepLines w:val="0"/>
              <w:suppressLineNumbers w:val="0"/>
              <w:spacing w:before="0" w:beforeAutospacing="0" w:after="0" w:afterLines="50" w:afterAutospacing="0" w:line="360" w:lineRule="auto"/>
              <w:ind w:left="0" w:right="0" w:firstLine="420" w:firstLineChars="200"/>
              <w:jc w:val="center"/>
              <w:rPr>
                <w:rFonts w:hint="default"/>
                <w:color w:val="auto"/>
                <w:highlight w:val="none"/>
                <w:u w:val="single"/>
              </w:rPr>
            </w:pPr>
            <w:r>
              <w:rPr>
                <w:rFonts w:hint="eastAsia" w:ascii="宋体" w:hAnsi="宋体"/>
                <w:color w:val="auto"/>
                <w:highlight w:val="none"/>
              </w:rPr>
              <w:t xml:space="preserve">发包人（章） </w:t>
            </w:r>
            <w:r>
              <w:rPr>
                <w:rFonts w:hint="default"/>
                <w:color w:val="auto"/>
                <w:highlight w:val="none"/>
              </w:rPr>
              <w:t xml:space="preserve">                                                                                                     </w:t>
            </w:r>
            <w:r>
              <w:rPr>
                <w:rFonts w:hint="eastAsia"/>
                <w:color w:val="auto"/>
                <w:highlight w:val="none"/>
                <w:lang w:val="en-US" w:eastAsia="zh-CN"/>
              </w:rPr>
              <w:t xml:space="preserve"> </w:t>
            </w:r>
            <w:r>
              <w:rPr>
                <w:rFonts w:hint="eastAsia" w:ascii="宋体" w:hAnsi="宋体"/>
                <w:color w:val="auto"/>
                <w:highlight w:val="none"/>
              </w:rPr>
              <w:t>发包人代表</w:t>
            </w:r>
            <w:r>
              <w:rPr>
                <w:rFonts w:hint="default"/>
                <w:color w:val="auto"/>
                <w:highlight w:val="none"/>
                <w:u w:val="single"/>
              </w:rPr>
              <w:t xml:space="preserve">             </w:t>
            </w:r>
            <w:r>
              <w:rPr>
                <w:rFonts w:hint="default"/>
                <w:color w:val="auto"/>
                <w:highlight w:val="non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bl>
    <w:p w14:paraId="1FA67F21">
      <w:pPr>
        <w:spacing w:line="360" w:lineRule="auto"/>
        <w:ind w:firstLine="360" w:firstLineChars="200"/>
        <w:rPr>
          <w:color w:val="auto"/>
          <w:sz w:val="18"/>
          <w:szCs w:val="18"/>
          <w:highlight w:val="none"/>
        </w:rPr>
      </w:pPr>
      <w:r>
        <w:rPr>
          <w:rFonts w:hint="eastAsia" w:ascii="宋体" w:hAnsi="宋体"/>
          <w:color w:val="auto"/>
          <w:sz w:val="18"/>
          <w:szCs w:val="18"/>
          <w:highlight w:val="none"/>
        </w:rPr>
        <w:t>注：</w:t>
      </w:r>
      <w:r>
        <w:rPr>
          <w:rFonts w:hint="eastAsia"/>
          <w:color w:val="auto"/>
          <w:sz w:val="18"/>
          <w:szCs w:val="18"/>
          <w:highlight w:val="none"/>
        </w:rPr>
        <w:t>1</w:t>
      </w:r>
      <w:r>
        <w:rPr>
          <w:rFonts w:hint="eastAsia"/>
          <w:color w:val="auto"/>
          <w:sz w:val="18"/>
          <w:szCs w:val="18"/>
          <w:highlight w:val="none"/>
          <w:lang w:val="en-US" w:eastAsia="zh-CN"/>
        </w:rPr>
        <w:t>.</w:t>
      </w:r>
      <w:r>
        <w:rPr>
          <w:rFonts w:hint="eastAsia" w:ascii="宋体" w:hAnsi="宋体"/>
          <w:color w:val="auto"/>
          <w:sz w:val="18"/>
          <w:szCs w:val="18"/>
          <w:highlight w:val="none"/>
        </w:rPr>
        <w:t xml:space="preserve">在选择栏中的“□”内作标识“√”。 </w:t>
      </w:r>
    </w:p>
    <w:p w14:paraId="51C90EB2">
      <w:pPr>
        <w:numPr>
          <w:ilvl w:val="0"/>
          <w:numId w:val="0"/>
        </w:numPr>
        <w:spacing w:line="360" w:lineRule="auto"/>
        <w:ind w:left="720"/>
        <w:rPr>
          <w:rFonts w:hint="eastAsia" w:ascii="宋体" w:hAnsi="宋体"/>
          <w:color w:val="auto"/>
          <w:sz w:val="18"/>
          <w:szCs w:val="18"/>
          <w:highlight w:val="none"/>
        </w:rPr>
      </w:pPr>
      <w:r>
        <w:rPr>
          <w:rFonts w:hint="eastAsia" w:ascii="宋体" w:hAnsi="宋体"/>
          <w:color w:val="auto"/>
          <w:sz w:val="18"/>
          <w:szCs w:val="18"/>
          <w:highlight w:val="none"/>
          <w:lang w:val="en-US" w:eastAsia="zh-CN"/>
        </w:rPr>
        <w:t>2.</w:t>
      </w:r>
      <w:r>
        <w:rPr>
          <w:rFonts w:hint="eastAsia" w:ascii="宋体" w:hAnsi="宋体"/>
          <w:color w:val="auto"/>
          <w:sz w:val="18"/>
          <w:szCs w:val="18"/>
          <w:highlight w:val="none"/>
        </w:rPr>
        <w:t>本表一式四份</w:t>
      </w:r>
      <w:r>
        <w:rPr>
          <w:rFonts w:hint="eastAsia" w:ascii="宋体" w:hAnsi="宋体"/>
          <w:color w:val="auto"/>
          <w:sz w:val="18"/>
          <w:szCs w:val="18"/>
          <w:highlight w:val="none"/>
          <w:lang w:eastAsia="zh-CN"/>
        </w:rPr>
        <w:t>，</w:t>
      </w:r>
      <w:r>
        <w:rPr>
          <w:rFonts w:hint="eastAsia" w:ascii="宋体" w:hAnsi="宋体"/>
          <w:color w:val="auto"/>
          <w:sz w:val="18"/>
          <w:szCs w:val="18"/>
          <w:highlight w:val="none"/>
        </w:rPr>
        <w:t>由承包人填报</w:t>
      </w:r>
      <w:r>
        <w:rPr>
          <w:rFonts w:hint="eastAsia" w:ascii="宋体" w:hAnsi="宋体"/>
          <w:color w:val="auto"/>
          <w:sz w:val="18"/>
          <w:szCs w:val="18"/>
          <w:highlight w:val="none"/>
          <w:lang w:eastAsia="zh-CN"/>
        </w:rPr>
        <w:t>，</w:t>
      </w:r>
      <w:r>
        <w:rPr>
          <w:rFonts w:hint="eastAsia" w:ascii="宋体" w:hAnsi="宋体"/>
          <w:color w:val="auto"/>
          <w:sz w:val="18"/>
          <w:szCs w:val="18"/>
          <w:highlight w:val="none"/>
        </w:rPr>
        <w:t>发包人、监理人、造价咨询人、承包人各存一份。</w:t>
      </w:r>
    </w:p>
    <w:p w14:paraId="182CBDC1">
      <w:pPr>
        <w:pStyle w:val="21"/>
        <w:spacing w:line="360" w:lineRule="auto"/>
        <w:ind w:leftChars="0" w:firstLine="0" w:firstLineChars="0"/>
        <w:rPr>
          <w:rFonts w:hint="eastAsia"/>
          <w:color w:val="auto"/>
          <w:highlight w:val="none"/>
        </w:rPr>
        <w:sectPr>
          <w:pgSz w:w="11907" w:h="16840"/>
          <w:pgMar w:top="1440" w:right="1440" w:bottom="1440" w:left="1797" w:header="851" w:footer="851" w:gutter="0"/>
          <w:cols w:space="720" w:num="1"/>
          <w:docGrid w:linePitch="312" w:charSpace="0"/>
        </w:sectPr>
      </w:pPr>
    </w:p>
    <w:p w14:paraId="67E35169">
      <w:pPr>
        <w:wordWrap/>
        <w:spacing w:before="120" w:beforeLines="50" w:after="120" w:afterLines="50" w:line="360" w:lineRule="auto"/>
        <w:jc w:val="left"/>
        <w:outlineLvl w:val="9"/>
        <w:rPr>
          <w:rFonts w:hint="eastAsia" w:ascii="仿宋_GB2312" w:hAnsi="Times New Roman" w:eastAsia="仿宋_GB2312" w:cs="仿宋_GB2312"/>
          <w:b w:val="0"/>
          <w:color w:val="auto"/>
          <w:sz w:val="30"/>
          <w:szCs w:val="30"/>
          <w:highlight w:val="none"/>
          <w:lang w:val="en-US" w:eastAsia="zh-CN"/>
        </w:rPr>
      </w:pPr>
      <w:r>
        <w:rPr>
          <w:rFonts w:hint="eastAsia" w:ascii="仿宋_GB2312" w:hAnsi="Times New Roman" w:eastAsia="仿宋_GB2312" w:cs="仿宋_GB2312"/>
          <w:b w:val="0"/>
          <w:color w:val="auto"/>
          <w:sz w:val="30"/>
          <w:szCs w:val="30"/>
          <w:highlight w:val="none"/>
          <w:lang w:val="en-US" w:eastAsia="zh-CN"/>
        </w:rPr>
        <w:t>附件18：</w:t>
      </w:r>
      <w:r>
        <w:rPr>
          <w:rFonts w:hint="eastAsia" w:ascii="仿宋_GB2312" w:hAnsi="Times New Roman" w:eastAsia="仿宋_GB2312" w:cs="仿宋_GB2312"/>
          <w:b w:val="0"/>
          <w:color w:val="auto"/>
          <w:sz w:val="30"/>
          <w:szCs w:val="30"/>
          <w:highlight w:val="none"/>
          <w:lang w:val="en-US"/>
        </w:rPr>
        <w:t>安全生产费支付申请（核准）表</w:t>
      </w:r>
    </w:p>
    <w:p w14:paraId="74807D65">
      <w:pPr>
        <w:spacing w:line="360" w:lineRule="auto"/>
        <w:jc w:val="center"/>
        <w:outlineLvl w:val="9"/>
        <w:rPr>
          <w:b/>
          <w:color w:val="auto"/>
          <w:sz w:val="36"/>
          <w:szCs w:val="36"/>
          <w:highlight w:val="none"/>
        </w:rPr>
      </w:pPr>
      <w:r>
        <w:rPr>
          <w:rFonts w:hint="default" w:ascii="宋体" w:hAnsi="宋体"/>
          <w:b/>
          <w:color w:val="auto"/>
          <w:sz w:val="30"/>
          <w:szCs w:val="30"/>
          <w:highlight w:val="none"/>
          <w:lang w:val="en"/>
        </w:rPr>
        <w:t>安全生产费</w:t>
      </w:r>
      <w:r>
        <w:rPr>
          <w:rFonts w:hint="eastAsia" w:ascii="宋体" w:hAnsi="宋体"/>
          <w:b/>
          <w:color w:val="auto"/>
          <w:sz w:val="30"/>
          <w:szCs w:val="30"/>
          <w:highlight w:val="none"/>
        </w:rPr>
        <w:t>支付申请（核准）表</w:t>
      </w:r>
    </w:p>
    <w:p w14:paraId="1134B59B">
      <w:pPr>
        <w:spacing w:line="360" w:lineRule="auto"/>
        <w:ind w:firstLine="214" w:firstLineChars="100"/>
        <w:rPr>
          <w:color w:val="auto"/>
          <w:sz w:val="21"/>
          <w:szCs w:val="21"/>
          <w:highlight w:val="none"/>
        </w:rPr>
      </w:pPr>
      <w:r>
        <w:rPr>
          <w:rFonts w:hint="eastAsia" w:ascii="宋体" w:hAnsi="宋体"/>
          <w:color w:val="auto"/>
          <w:sz w:val="21"/>
          <w:szCs w:val="21"/>
          <w:highlight w:val="none"/>
        </w:rPr>
        <w:t xml:space="preserve">工程名称：                                   </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 xml:space="preserve">          编号：</w:t>
      </w:r>
    </w:p>
    <w:tbl>
      <w:tblPr>
        <w:tblStyle w:val="2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0"/>
        <w:gridCol w:w="4552"/>
      </w:tblGrid>
      <w:tr w14:paraId="395D3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8"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3EBDD699">
            <w:pPr>
              <w:keepNext w:val="0"/>
              <w:keepLines w:val="0"/>
              <w:suppressLineNumbers w:val="0"/>
              <w:spacing w:before="0" w:beforeAutospacing="0" w:after="0" w:afterAutospacing="0" w:line="360" w:lineRule="auto"/>
              <w:ind w:left="534" w:leftChars="149" w:right="0" w:hanging="216" w:hangingChars="101"/>
              <w:rPr>
                <w:rFonts w:hint="default"/>
                <w:color w:val="auto"/>
                <w:highlight w:val="none"/>
                <w:u w:val="single"/>
              </w:rPr>
            </w:pPr>
            <w:r>
              <w:rPr>
                <w:rFonts w:hint="eastAsia" w:ascii="宋体" w:hAnsi="宋体"/>
                <w:color w:val="auto"/>
                <w:highlight w:val="none"/>
              </w:rPr>
              <w:t>致：</w:t>
            </w:r>
            <w:r>
              <w:rPr>
                <w:rFonts w:hint="default"/>
                <w:color w:val="auto"/>
                <w:highlight w:val="none"/>
                <w:u w:val="single"/>
              </w:rPr>
              <w:t xml:space="preserve">                                   </w:t>
            </w:r>
            <w:r>
              <w:rPr>
                <w:rFonts w:hint="eastAsia" w:ascii="宋体" w:hAnsi="宋体"/>
                <w:color w:val="auto"/>
                <w:highlight w:val="none"/>
                <w:u w:val="single"/>
              </w:rPr>
              <w:t>（发包人全称）</w:t>
            </w:r>
          </w:p>
          <w:p w14:paraId="273ACB71">
            <w:pPr>
              <w:keepNext w:val="0"/>
              <w:keepLines w:val="0"/>
              <w:suppressLineNumbers w:val="0"/>
              <w:spacing w:before="0" w:beforeAutospacing="0" w:after="0" w:afterAutospacing="0" w:line="360" w:lineRule="auto"/>
              <w:ind w:left="-4" w:leftChars="-2" w:right="0" w:firstLine="321" w:firstLineChars="150"/>
              <w:rPr>
                <w:rFonts w:hint="eastAsia" w:eastAsia="宋体"/>
                <w:color w:val="auto"/>
                <w:highlight w:val="none"/>
                <w:lang w:eastAsia="zh-CN"/>
              </w:rPr>
            </w:pPr>
            <w:r>
              <w:rPr>
                <w:rFonts w:hint="eastAsia" w:ascii="宋体" w:hAnsi="宋体"/>
                <w:color w:val="auto"/>
                <w:highlight w:val="none"/>
              </w:rPr>
              <w:t>我方根据施工合同的约定</w:t>
            </w:r>
            <w:r>
              <w:rPr>
                <w:rFonts w:hint="eastAsia" w:ascii="宋体" w:hAnsi="宋体"/>
                <w:color w:val="auto"/>
                <w:highlight w:val="none"/>
                <w:lang w:eastAsia="zh-CN"/>
              </w:rPr>
              <w:t>，</w:t>
            </w:r>
            <w:r>
              <w:rPr>
                <w:rFonts w:hint="eastAsia" w:ascii="宋体" w:hAnsi="宋体"/>
                <w:color w:val="auto"/>
                <w:highlight w:val="none"/>
              </w:rPr>
              <w:t>现申请支付</w:t>
            </w:r>
            <w:r>
              <w:rPr>
                <w:rFonts w:hint="default" w:ascii="宋体" w:hAnsi="宋体"/>
                <w:color w:val="auto"/>
                <w:highlight w:val="none"/>
                <w:lang w:val="en"/>
              </w:rPr>
              <w:t>安全生产费</w:t>
            </w:r>
            <w:r>
              <w:rPr>
                <w:rFonts w:hint="eastAsia" w:ascii="宋体" w:hAnsi="宋体"/>
                <w:color w:val="auto"/>
                <w:highlight w:val="none"/>
              </w:rPr>
              <w:t>为</w:t>
            </w:r>
            <w:r>
              <w:rPr>
                <w:rFonts w:hint="eastAsia"/>
                <w:color w:val="auto"/>
                <w:highlight w:val="none"/>
                <w:lang w:eastAsia="zh-CN"/>
              </w:rPr>
              <w:t>（</w:t>
            </w:r>
            <w:r>
              <w:rPr>
                <w:rFonts w:hint="eastAsia" w:ascii="宋体" w:hAnsi="宋体"/>
                <w:color w:val="auto"/>
                <w:highlight w:val="none"/>
              </w:rPr>
              <w:t>大写</w:t>
            </w:r>
            <w:r>
              <w:rPr>
                <w:rFonts w:hint="eastAsia"/>
                <w:color w:val="auto"/>
                <w:highlight w:val="none"/>
                <w:lang w:eastAsia="zh-CN"/>
              </w:rPr>
              <w:t>）</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color w:val="auto"/>
                <w:highlight w:val="none"/>
                <w:lang w:eastAsia="zh-CN"/>
              </w:rPr>
              <w:t>（</w:t>
            </w:r>
            <w:r>
              <w:rPr>
                <w:rFonts w:hint="eastAsia" w:ascii="宋体" w:hAnsi="宋体"/>
                <w:color w:val="auto"/>
                <w:highlight w:val="none"/>
              </w:rPr>
              <w:t>小写</w:t>
            </w:r>
            <w:r>
              <w:rPr>
                <w:rFonts w:hint="eastAsia"/>
                <w:color w:val="auto"/>
                <w:highlight w:val="none"/>
                <w:lang w:eastAsia="zh-CN"/>
              </w:rPr>
              <w:t>）</w:t>
            </w:r>
          </w:p>
          <w:p w14:paraId="7C320566">
            <w:pPr>
              <w:keepNext w:val="0"/>
              <w:keepLines w:val="0"/>
              <w:suppressLineNumbers w:val="0"/>
              <w:spacing w:before="0" w:beforeAutospacing="0" w:after="0" w:afterAutospacing="0" w:line="360" w:lineRule="auto"/>
              <w:ind w:left="0" w:right="0"/>
              <w:rPr>
                <w:rFonts w:hint="default"/>
                <w:color w:val="auto"/>
                <w:highlight w:val="none"/>
              </w:rPr>
            </w:pP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请予核准。</w:t>
            </w:r>
          </w:p>
          <w:tbl>
            <w:tblPr>
              <w:tblStyle w:val="22"/>
              <w:tblW w:w="8859"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3286"/>
              <w:gridCol w:w="1571"/>
              <w:gridCol w:w="1671"/>
              <w:gridCol w:w="1500"/>
            </w:tblGrid>
            <w:tr w14:paraId="0F607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31" w:type="dxa"/>
                  <w:tcBorders>
                    <w:top w:val="single" w:color="auto" w:sz="4" w:space="0"/>
                    <w:left w:val="single" w:color="auto" w:sz="4" w:space="0"/>
                    <w:bottom w:val="single" w:color="auto" w:sz="4" w:space="0"/>
                    <w:right w:val="single" w:color="auto" w:sz="4" w:space="0"/>
                  </w:tcBorders>
                  <w:noWrap w:val="0"/>
                  <w:vAlign w:val="center"/>
                </w:tcPr>
                <w:p w14:paraId="4B9DC288">
                  <w:pPr>
                    <w:keepNext w:val="0"/>
                    <w:keepLines w:val="0"/>
                    <w:suppressLineNumbers w:val="0"/>
                    <w:spacing w:before="0" w:beforeAutospacing="0" w:after="0" w:afterAutospacing="0" w:line="360" w:lineRule="auto"/>
                    <w:ind w:left="0" w:right="0"/>
                    <w:jc w:val="center"/>
                    <w:rPr>
                      <w:rFonts w:hint="default"/>
                      <w:color w:val="auto"/>
                      <w:highlight w:val="none"/>
                    </w:rPr>
                  </w:pPr>
                  <w:r>
                    <w:rPr>
                      <w:rFonts w:hint="eastAsia" w:ascii="宋体" w:hAnsi="宋体"/>
                      <w:color w:val="auto"/>
                      <w:highlight w:val="none"/>
                    </w:rPr>
                    <w:t>序号</w:t>
                  </w:r>
                </w:p>
              </w:tc>
              <w:tc>
                <w:tcPr>
                  <w:tcW w:w="3286" w:type="dxa"/>
                  <w:tcBorders>
                    <w:top w:val="single" w:color="auto" w:sz="4" w:space="0"/>
                    <w:left w:val="single" w:color="auto" w:sz="4" w:space="0"/>
                    <w:bottom w:val="single" w:color="auto" w:sz="4" w:space="0"/>
                    <w:right w:val="single" w:color="auto" w:sz="4" w:space="0"/>
                  </w:tcBorders>
                  <w:noWrap w:val="0"/>
                  <w:vAlign w:val="center"/>
                </w:tcPr>
                <w:p w14:paraId="6A8CC721">
                  <w:pPr>
                    <w:keepNext w:val="0"/>
                    <w:keepLines w:val="0"/>
                    <w:suppressLineNumbers w:val="0"/>
                    <w:spacing w:before="0" w:beforeAutospacing="0" w:after="0" w:afterAutospacing="0" w:line="360" w:lineRule="auto"/>
                    <w:ind w:left="0" w:right="0"/>
                    <w:jc w:val="center"/>
                    <w:rPr>
                      <w:rFonts w:hint="default"/>
                      <w:color w:val="auto"/>
                      <w:highlight w:val="none"/>
                    </w:rPr>
                  </w:pPr>
                  <w:r>
                    <w:rPr>
                      <w:rFonts w:hint="eastAsia" w:ascii="宋体" w:hAnsi="宋体"/>
                      <w:color w:val="auto"/>
                      <w:highlight w:val="none"/>
                    </w:rPr>
                    <w:t xml:space="preserve">名 </w:t>
                  </w:r>
                  <w:r>
                    <w:rPr>
                      <w:rFonts w:hint="default"/>
                      <w:color w:val="auto"/>
                      <w:highlight w:val="none"/>
                    </w:rPr>
                    <w:t xml:space="preserve">     </w:t>
                  </w:r>
                  <w:r>
                    <w:rPr>
                      <w:rFonts w:hint="eastAsia" w:ascii="宋体" w:hAnsi="宋体"/>
                      <w:color w:val="auto"/>
                      <w:highlight w:val="none"/>
                    </w:rPr>
                    <w:t>称</w:t>
                  </w:r>
                </w:p>
              </w:tc>
              <w:tc>
                <w:tcPr>
                  <w:tcW w:w="1571" w:type="dxa"/>
                  <w:tcBorders>
                    <w:top w:val="single" w:color="auto" w:sz="4" w:space="0"/>
                    <w:left w:val="single" w:color="auto" w:sz="4" w:space="0"/>
                    <w:bottom w:val="single" w:color="auto" w:sz="4" w:space="0"/>
                    <w:right w:val="single" w:color="auto" w:sz="4" w:space="0"/>
                  </w:tcBorders>
                  <w:noWrap w:val="0"/>
                  <w:vAlign w:val="center"/>
                </w:tcPr>
                <w:p w14:paraId="14242809">
                  <w:pPr>
                    <w:keepNext w:val="0"/>
                    <w:keepLines w:val="0"/>
                    <w:suppressLineNumbers w:val="0"/>
                    <w:spacing w:before="0" w:beforeAutospacing="0" w:after="0" w:afterAutospacing="0" w:line="360" w:lineRule="auto"/>
                    <w:ind w:left="0" w:right="0"/>
                    <w:jc w:val="center"/>
                    <w:rPr>
                      <w:rFonts w:hint="default"/>
                      <w:color w:val="auto"/>
                      <w:highlight w:val="none"/>
                    </w:rPr>
                  </w:pPr>
                  <w:r>
                    <w:rPr>
                      <w:rFonts w:hint="eastAsia" w:ascii="宋体" w:hAnsi="宋体"/>
                      <w:color w:val="auto"/>
                      <w:highlight w:val="none"/>
                    </w:rPr>
                    <w:t>申请金额（元）</w:t>
                  </w:r>
                </w:p>
              </w:tc>
              <w:tc>
                <w:tcPr>
                  <w:tcW w:w="1671" w:type="dxa"/>
                  <w:tcBorders>
                    <w:top w:val="single" w:color="auto" w:sz="4" w:space="0"/>
                    <w:left w:val="single" w:color="auto" w:sz="4" w:space="0"/>
                    <w:bottom w:val="single" w:color="auto" w:sz="4" w:space="0"/>
                    <w:right w:val="single" w:color="auto" w:sz="4" w:space="0"/>
                  </w:tcBorders>
                  <w:noWrap w:val="0"/>
                  <w:vAlign w:val="center"/>
                </w:tcPr>
                <w:p w14:paraId="2DA59C51">
                  <w:pPr>
                    <w:keepNext w:val="0"/>
                    <w:keepLines w:val="0"/>
                    <w:suppressLineNumbers w:val="0"/>
                    <w:spacing w:before="0" w:beforeAutospacing="0" w:after="0" w:afterAutospacing="0" w:line="360" w:lineRule="auto"/>
                    <w:ind w:left="0" w:right="0"/>
                    <w:jc w:val="center"/>
                    <w:rPr>
                      <w:rFonts w:hint="default"/>
                      <w:color w:val="auto"/>
                      <w:highlight w:val="none"/>
                    </w:rPr>
                  </w:pPr>
                  <w:r>
                    <w:rPr>
                      <w:rFonts w:hint="eastAsia" w:ascii="宋体" w:hAnsi="宋体"/>
                      <w:color w:val="auto"/>
                      <w:highlight w:val="none"/>
                    </w:rPr>
                    <w:t>复核金额（元）</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D9A63E4">
                  <w:pPr>
                    <w:keepNext w:val="0"/>
                    <w:keepLines w:val="0"/>
                    <w:suppressLineNumbers w:val="0"/>
                    <w:spacing w:before="0" w:beforeAutospacing="0" w:after="0" w:afterAutospacing="0" w:line="360" w:lineRule="auto"/>
                    <w:ind w:left="0" w:right="0"/>
                    <w:jc w:val="center"/>
                    <w:rPr>
                      <w:rFonts w:hint="default"/>
                      <w:color w:val="auto"/>
                      <w:highlight w:val="none"/>
                    </w:rPr>
                  </w:pPr>
                  <w:r>
                    <w:rPr>
                      <w:rFonts w:hint="eastAsia" w:ascii="宋体" w:hAnsi="宋体"/>
                      <w:color w:val="auto"/>
                      <w:highlight w:val="none"/>
                    </w:rPr>
                    <w:t>备注</w:t>
                  </w:r>
                </w:p>
              </w:tc>
            </w:tr>
            <w:tr w14:paraId="4E8BC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1ADAA9AF">
                  <w:pPr>
                    <w:keepNext w:val="0"/>
                    <w:keepLines w:val="0"/>
                    <w:suppressLineNumbers w:val="0"/>
                    <w:spacing w:before="0" w:beforeAutospacing="0" w:after="0" w:afterAutospacing="0" w:line="360" w:lineRule="auto"/>
                    <w:ind w:left="0" w:right="0"/>
                    <w:jc w:val="center"/>
                    <w:rPr>
                      <w:rFonts w:hint="default"/>
                      <w:color w:val="auto"/>
                      <w:highlight w:val="none"/>
                    </w:rPr>
                  </w:pPr>
                  <w:r>
                    <w:rPr>
                      <w:rFonts w:hint="eastAsia"/>
                      <w:color w:val="auto"/>
                      <w:highlight w:val="none"/>
                    </w:rPr>
                    <w:t>1</w:t>
                  </w:r>
                </w:p>
              </w:tc>
              <w:tc>
                <w:tcPr>
                  <w:tcW w:w="3286" w:type="dxa"/>
                  <w:tcBorders>
                    <w:top w:val="single" w:color="auto" w:sz="4" w:space="0"/>
                    <w:left w:val="single" w:color="auto" w:sz="4" w:space="0"/>
                    <w:bottom w:val="single" w:color="auto" w:sz="4" w:space="0"/>
                    <w:right w:val="single" w:color="auto" w:sz="4" w:space="0"/>
                  </w:tcBorders>
                  <w:noWrap w:val="0"/>
                  <w:vAlign w:val="top"/>
                </w:tcPr>
                <w:p w14:paraId="54C4A43B">
                  <w:pPr>
                    <w:keepNext w:val="0"/>
                    <w:keepLines w:val="0"/>
                    <w:suppressLineNumbers w:val="0"/>
                    <w:spacing w:before="0" w:beforeAutospacing="0" w:after="0" w:afterAutospacing="0" w:line="360" w:lineRule="auto"/>
                    <w:ind w:left="0" w:right="0"/>
                    <w:rPr>
                      <w:rFonts w:hint="default"/>
                      <w:color w:val="auto"/>
                      <w:highlight w:val="none"/>
                      <w:lang w:val="en"/>
                    </w:rPr>
                  </w:pPr>
                  <w:r>
                    <w:rPr>
                      <w:rFonts w:hint="eastAsia" w:ascii="宋体" w:hAnsi="宋体"/>
                      <w:color w:val="auto"/>
                      <w:highlight w:val="none"/>
                    </w:rPr>
                    <w:t>签约合同价中的</w:t>
                  </w:r>
                  <w:r>
                    <w:rPr>
                      <w:rFonts w:hint="default" w:ascii="宋体" w:hAnsi="宋体"/>
                      <w:color w:val="auto"/>
                      <w:highlight w:val="none"/>
                      <w:lang w:val="en"/>
                    </w:rPr>
                    <w:t>安全生产费</w:t>
                  </w:r>
                </w:p>
              </w:tc>
              <w:tc>
                <w:tcPr>
                  <w:tcW w:w="1571" w:type="dxa"/>
                  <w:tcBorders>
                    <w:top w:val="single" w:color="auto" w:sz="4" w:space="0"/>
                    <w:left w:val="single" w:color="auto" w:sz="4" w:space="0"/>
                    <w:bottom w:val="single" w:color="auto" w:sz="4" w:space="0"/>
                    <w:right w:val="single" w:color="auto" w:sz="4" w:space="0"/>
                  </w:tcBorders>
                  <w:noWrap w:val="0"/>
                  <w:vAlign w:val="top"/>
                </w:tcPr>
                <w:p w14:paraId="152AC5C8">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3EFEFA11">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04ED242E">
                  <w:pPr>
                    <w:keepNext w:val="0"/>
                    <w:keepLines w:val="0"/>
                    <w:suppressLineNumbers w:val="0"/>
                    <w:spacing w:before="0" w:beforeAutospacing="0" w:after="0" w:afterAutospacing="0" w:line="360" w:lineRule="auto"/>
                    <w:ind w:left="0" w:right="0"/>
                    <w:rPr>
                      <w:rFonts w:hint="default"/>
                      <w:color w:val="auto"/>
                      <w:highlight w:val="none"/>
                    </w:rPr>
                  </w:pPr>
                </w:p>
              </w:tc>
            </w:tr>
            <w:tr w14:paraId="5667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566704A3">
                  <w:pPr>
                    <w:keepNext w:val="0"/>
                    <w:keepLines w:val="0"/>
                    <w:suppressLineNumbers w:val="0"/>
                    <w:spacing w:before="0" w:beforeAutospacing="0" w:after="0" w:afterAutospacing="0" w:line="360" w:lineRule="auto"/>
                    <w:ind w:left="0" w:right="0"/>
                    <w:jc w:val="center"/>
                    <w:rPr>
                      <w:rFonts w:hint="default"/>
                      <w:color w:val="auto"/>
                      <w:highlight w:val="none"/>
                    </w:rPr>
                  </w:pPr>
                  <w:r>
                    <w:rPr>
                      <w:rFonts w:hint="eastAsia"/>
                      <w:color w:val="auto"/>
                      <w:highlight w:val="none"/>
                    </w:rPr>
                    <w:t>2</w:t>
                  </w:r>
                </w:p>
              </w:tc>
              <w:tc>
                <w:tcPr>
                  <w:tcW w:w="3286" w:type="dxa"/>
                  <w:tcBorders>
                    <w:top w:val="single" w:color="auto" w:sz="4" w:space="0"/>
                    <w:left w:val="single" w:color="auto" w:sz="4" w:space="0"/>
                    <w:bottom w:val="single" w:color="auto" w:sz="4" w:space="0"/>
                    <w:right w:val="single" w:color="auto" w:sz="4" w:space="0"/>
                  </w:tcBorders>
                  <w:noWrap w:val="0"/>
                  <w:vAlign w:val="top"/>
                </w:tcPr>
                <w:p w14:paraId="5A870282">
                  <w:pPr>
                    <w:keepNext w:val="0"/>
                    <w:keepLines w:val="0"/>
                    <w:suppressLineNumbers w:val="0"/>
                    <w:spacing w:before="0" w:beforeAutospacing="0" w:after="0" w:afterAutospacing="0" w:line="360" w:lineRule="auto"/>
                    <w:ind w:left="0" w:right="0"/>
                    <w:rPr>
                      <w:rFonts w:hint="default"/>
                      <w:color w:val="auto"/>
                      <w:highlight w:val="none"/>
                      <w:lang w:val="en"/>
                    </w:rPr>
                  </w:pPr>
                  <w:r>
                    <w:rPr>
                      <w:rFonts w:hint="eastAsia" w:ascii="宋体" w:hAnsi="宋体"/>
                      <w:color w:val="auto"/>
                      <w:highlight w:val="none"/>
                    </w:rPr>
                    <w:t>累计已支付的</w:t>
                  </w:r>
                  <w:r>
                    <w:rPr>
                      <w:rFonts w:hint="default" w:ascii="宋体" w:hAnsi="宋体"/>
                      <w:color w:val="auto"/>
                      <w:highlight w:val="none"/>
                      <w:lang w:val="en"/>
                    </w:rPr>
                    <w:t>安全生产费</w:t>
                  </w:r>
                </w:p>
              </w:tc>
              <w:tc>
                <w:tcPr>
                  <w:tcW w:w="1571" w:type="dxa"/>
                  <w:tcBorders>
                    <w:top w:val="single" w:color="auto" w:sz="4" w:space="0"/>
                    <w:left w:val="single" w:color="auto" w:sz="4" w:space="0"/>
                    <w:bottom w:val="single" w:color="auto" w:sz="4" w:space="0"/>
                    <w:right w:val="single" w:color="auto" w:sz="4" w:space="0"/>
                  </w:tcBorders>
                  <w:noWrap w:val="0"/>
                  <w:vAlign w:val="top"/>
                </w:tcPr>
                <w:p w14:paraId="163AA02F">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33A5AB09">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64CBBFB8">
                  <w:pPr>
                    <w:keepNext w:val="0"/>
                    <w:keepLines w:val="0"/>
                    <w:suppressLineNumbers w:val="0"/>
                    <w:spacing w:before="0" w:beforeAutospacing="0" w:after="0" w:afterAutospacing="0" w:line="360" w:lineRule="auto"/>
                    <w:ind w:left="0" w:right="0"/>
                    <w:rPr>
                      <w:rFonts w:hint="default"/>
                      <w:color w:val="auto"/>
                      <w:highlight w:val="none"/>
                    </w:rPr>
                  </w:pPr>
                </w:p>
              </w:tc>
            </w:tr>
            <w:tr w14:paraId="34A9B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5AA112A3">
                  <w:pPr>
                    <w:keepNext w:val="0"/>
                    <w:keepLines w:val="0"/>
                    <w:suppressLineNumbers w:val="0"/>
                    <w:spacing w:before="0" w:beforeAutospacing="0" w:after="0" w:afterAutospacing="0" w:line="360" w:lineRule="auto"/>
                    <w:ind w:left="0" w:right="0"/>
                    <w:jc w:val="center"/>
                    <w:rPr>
                      <w:rFonts w:hint="default" w:ascii="Calibri" w:hAnsi="Calibri"/>
                      <w:color w:val="auto"/>
                      <w:highlight w:val="none"/>
                    </w:rPr>
                  </w:pPr>
                  <w:r>
                    <w:rPr>
                      <w:rFonts w:hint="eastAsia" w:ascii="Calibri" w:hAnsi="Calibri"/>
                      <w:color w:val="auto"/>
                      <w:highlight w:val="none"/>
                    </w:rPr>
                    <w:t>3</w:t>
                  </w:r>
                </w:p>
              </w:tc>
              <w:tc>
                <w:tcPr>
                  <w:tcW w:w="3286" w:type="dxa"/>
                  <w:tcBorders>
                    <w:top w:val="single" w:color="auto" w:sz="4" w:space="0"/>
                    <w:left w:val="single" w:color="auto" w:sz="4" w:space="0"/>
                    <w:bottom w:val="single" w:color="auto" w:sz="4" w:space="0"/>
                    <w:right w:val="single" w:color="auto" w:sz="4" w:space="0"/>
                  </w:tcBorders>
                  <w:noWrap w:val="0"/>
                  <w:vAlign w:val="top"/>
                </w:tcPr>
                <w:p w14:paraId="0B54904E">
                  <w:pPr>
                    <w:keepNext w:val="0"/>
                    <w:keepLines w:val="0"/>
                    <w:suppressLineNumbers w:val="0"/>
                    <w:spacing w:before="0" w:beforeAutospacing="0" w:after="0" w:afterAutospacing="0" w:line="360" w:lineRule="auto"/>
                    <w:ind w:left="0" w:right="0"/>
                    <w:rPr>
                      <w:rFonts w:hint="default" w:ascii="Calibri" w:hAnsi="Calibri"/>
                      <w:color w:val="auto"/>
                      <w:highlight w:val="none"/>
                      <w:lang w:val="en"/>
                    </w:rPr>
                  </w:pPr>
                  <w:r>
                    <w:rPr>
                      <w:rFonts w:hint="eastAsia" w:ascii="宋体" w:hAnsi="宋体"/>
                      <w:color w:val="auto"/>
                      <w:highlight w:val="none"/>
                    </w:rPr>
                    <w:t>本期应支付的</w:t>
                  </w:r>
                  <w:r>
                    <w:rPr>
                      <w:rFonts w:hint="default" w:ascii="宋体" w:hAnsi="宋体"/>
                      <w:color w:val="auto"/>
                      <w:highlight w:val="none"/>
                      <w:lang w:val="en"/>
                    </w:rPr>
                    <w:t>安全生产费</w:t>
                  </w:r>
                </w:p>
              </w:tc>
              <w:tc>
                <w:tcPr>
                  <w:tcW w:w="1571" w:type="dxa"/>
                  <w:tcBorders>
                    <w:top w:val="single" w:color="auto" w:sz="4" w:space="0"/>
                    <w:left w:val="single" w:color="auto" w:sz="4" w:space="0"/>
                    <w:bottom w:val="single" w:color="auto" w:sz="4" w:space="0"/>
                    <w:right w:val="single" w:color="auto" w:sz="4" w:space="0"/>
                  </w:tcBorders>
                  <w:noWrap w:val="0"/>
                  <w:vAlign w:val="top"/>
                </w:tcPr>
                <w:p w14:paraId="6522BDBA">
                  <w:pPr>
                    <w:keepNext w:val="0"/>
                    <w:keepLines w:val="0"/>
                    <w:suppressLineNumbers w:val="0"/>
                    <w:spacing w:before="0" w:beforeAutospacing="0" w:after="0" w:afterAutospacing="0" w:line="360" w:lineRule="auto"/>
                    <w:ind w:left="0" w:right="0"/>
                    <w:jc w:val="center"/>
                    <w:rPr>
                      <w:rFonts w:hint="default" w:ascii="Calibri" w:hAnsi="Calibri"/>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172A00D5">
                  <w:pPr>
                    <w:keepNext w:val="0"/>
                    <w:keepLines w:val="0"/>
                    <w:suppressLineNumbers w:val="0"/>
                    <w:spacing w:before="0" w:beforeAutospacing="0" w:after="0" w:afterAutospacing="0" w:line="360" w:lineRule="auto"/>
                    <w:ind w:left="0" w:right="0"/>
                    <w:jc w:val="center"/>
                    <w:rPr>
                      <w:rFonts w:hint="default" w:ascii="Calibri" w:hAnsi="Calibri"/>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4CD68E88">
                  <w:pPr>
                    <w:keepNext w:val="0"/>
                    <w:keepLines w:val="0"/>
                    <w:suppressLineNumbers w:val="0"/>
                    <w:spacing w:before="0" w:beforeAutospacing="0" w:after="0" w:afterAutospacing="0" w:line="360" w:lineRule="auto"/>
                    <w:ind w:left="0" w:right="0"/>
                    <w:rPr>
                      <w:rFonts w:hint="default"/>
                      <w:color w:val="auto"/>
                      <w:highlight w:val="none"/>
                    </w:rPr>
                  </w:pPr>
                </w:p>
              </w:tc>
            </w:tr>
            <w:tr w14:paraId="50781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233D0A61">
                  <w:pPr>
                    <w:keepNext w:val="0"/>
                    <w:keepLines w:val="0"/>
                    <w:suppressLineNumbers w:val="0"/>
                    <w:spacing w:before="0" w:beforeAutospacing="0" w:after="0" w:afterAutospacing="0" w:line="360" w:lineRule="auto"/>
                    <w:ind w:left="0" w:right="0"/>
                    <w:jc w:val="center"/>
                    <w:rPr>
                      <w:rFonts w:hint="default" w:ascii="Calibri" w:hAnsi="Calibri"/>
                      <w:color w:val="auto"/>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2FAA60D8">
                  <w:pPr>
                    <w:keepNext w:val="0"/>
                    <w:keepLines w:val="0"/>
                    <w:suppressLineNumbers w:val="0"/>
                    <w:spacing w:before="0" w:beforeAutospacing="0" w:after="0" w:afterAutospacing="0" w:line="360" w:lineRule="auto"/>
                    <w:ind w:left="0" w:right="0"/>
                    <w:rPr>
                      <w:rFonts w:hint="default" w:ascii="Calibri" w:hAnsi="Calibri"/>
                      <w:color w:val="auto"/>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0491C7ED">
                  <w:pPr>
                    <w:keepNext w:val="0"/>
                    <w:keepLines w:val="0"/>
                    <w:suppressLineNumbers w:val="0"/>
                    <w:spacing w:before="0" w:beforeAutospacing="0" w:after="0" w:afterAutospacing="0" w:line="360" w:lineRule="auto"/>
                    <w:ind w:left="0" w:right="0"/>
                    <w:jc w:val="center"/>
                    <w:rPr>
                      <w:rFonts w:hint="default" w:ascii="Calibri" w:hAnsi="Calibri"/>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2C4F0FBB">
                  <w:pPr>
                    <w:keepNext w:val="0"/>
                    <w:keepLines w:val="0"/>
                    <w:suppressLineNumbers w:val="0"/>
                    <w:spacing w:before="0" w:beforeAutospacing="0" w:after="0" w:afterAutospacing="0" w:line="360" w:lineRule="auto"/>
                    <w:ind w:left="0" w:right="0"/>
                    <w:jc w:val="center"/>
                    <w:rPr>
                      <w:rFonts w:hint="default" w:ascii="Calibri" w:hAnsi="Calibri"/>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16EFCB3B">
                  <w:pPr>
                    <w:keepNext w:val="0"/>
                    <w:keepLines w:val="0"/>
                    <w:suppressLineNumbers w:val="0"/>
                    <w:spacing w:before="0" w:beforeAutospacing="0" w:after="0" w:afterAutospacing="0" w:line="360" w:lineRule="auto"/>
                    <w:ind w:left="0" w:right="0"/>
                    <w:rPr>
                      <w:rFonts w:hint="default"/>
                      <w:color w:val="auto"/>
                      <w:highlight w:val="none"/>
                    </w:rPr>
                  </w:pPr>
                </w:p>
              </w:tc>
            </w:tr>
            <w:tr w14:paraId="34DDB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2A54B1DF">
                  <w:pPr>
                    <w:keepNext w:val="0"/>
                    <w:keepLines w:val="0"/>
                    <w:suppressLineNumbers w:val="0"/>
                    <w:spacing w:before="0" w:beforeAutospacing="0" w:after="0" w:afterAutospacing="0" w:line="360" w:lineRule="auto"/>
                    <w:ind w:left="0" w:right="0"/>
                    <w:jc w:val="center"/>
                    <w:rPr>
                      <w:rFonts w:hint="default" w:ascii="Calibri" w:hAnsi="Calibri"/>
                      <w:color w:val="auto"/>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598C2105">
                  <w:pPr>
                    <w:keepNext w:val="0"/>
                    <w:keepLines w:val="0"/>
                    <w:suppressLineNumbers w:val="0"/>
                    <w:spacing w:before="0" w:beforeAutospacing="0" w:after="0" w:afterAutospacing="0" w:line="360" w:lineRule="auto"/>
                    <w:ind w:left="0" w:right="0"/>
                    <w:rPr>
                      <w:rFonts w:hint="default" w:ascii="Calibri" w:hAnsi="Calibri"/>
                      <w:color w:val="auto"/>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089F1F83">
                  <w:pPr>
                    <w:keepNext w:val="0"/>
                    <w:keepLines w:val="0"/>
                    <w:suppressLineNumbers w:val="0"/>
                    <w:spacing w:before="0" w:beforeAutospacing="0" w:after="0" w:afterAutospacing="0" w:line="360" w:lineRule="auto"/>
                    <w:ind w:left="0" w:right="0"/>
                    <w:jc w:val="center"/>
                    <w:rPr>
                      <w:rFonts w:hint="default" w:ascii="Calibri" w:hAnsi="Calibri"/>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6A820995">
                  <w:pPr>
                    <w:keepNext w:val="0"/>
                    <w:keepLines w:val="0"/>
                    <w:suppressLineNumbers w:val="0"/>
                    <w:spacing w:before="0" w:beforeAutospacing="0" w:after="0" w:afterAutospacing="0" w:line="360" w:lineRule="auto"/>
                    <w:ind w:left="0" w:right="0"/>
                    <w:jc w:val="center"/>
                    <w:rPr>
                      <w:rFonts w:hint="default" w:ascii="Calibri" w:hAnsi="Calibri"/>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6D6F38D9">
                  <w:pPr>
                    <w:keepNext w:val="0"/>
                    <w:keepLines w:val="0"/>
                    <w:suppressLineNumbers w:val="0"/>
                    <w:spacing w:before="0" w:beforeAutospacing="0" w:after="0" w:afterAutospacing="0" w:line="360" w:lineRule="auto"/>
                    <w:ind w:left="0" w:right="0"/>
                    <w:rPr>
                      <w:rFonts w:hint="default"/>
                      <w:color w:val="auto"/>
                      <w:highlight w:val="none"/>
                    </w:rPr>
                  </w:pPr>
                </w:p>
              </w:tc>
            </w:tr>
            <w:tr w14:paraId="45D4E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6DFA1226">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7B01C6C8">
                  <w:pPr>
                    <w:keepNext w:val="0"/>
                    <w:keepLines w:val="0"/>
                    <w:suppressLineNumbers w:val="0"/>
                    <w:spacing w:before="0" w:beforeAutospacing="0" w:after="0" w:afterAutospacing="0" w:line="360" w:lineRule="auto"/>
                    <w:ind w:left="0" w:right="0"/>
                    <w:rPr>
                      <w:rFonts w:hint="default"/>
                      <w:color w:val="auto"/>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02184F06">
                  <w:pPr>
                    <w:keepNext w:val="0"/>
                    <w:keepLines w:val="0"/>
                    <w:suppressLineNumbers w:val="0"/>
                    <w:spacing w:before="0" w:beforeAutospacing="0" w:after="0" w:afterAutospacing="0" w:line="360" w:lineRule="auto"/>
                    <w:ind w:left="0" w:right="0"/>
                    <w:rPr>
                      <w:rFonts w:hint="default"/>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42EBB885">
                  <w:pPr>
                    <w:keepNext w:val="0"/>
                    <w:keepLines w:val="0"/>
                    <w:suppressLineNumbers w:val="0"/>
                    <w:spacing w:before="0" w:beforeAutospacing="0" w:after="0" w:afterAutospacing="0" w:line="360" w:lineRule="auto"/>
                    <w:ind w:left="0" w:right="0"/>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579056F9">
                  <w:pPr>
                    <w:keepNext w:val="0"/>
                    <w:keepLines w:val="0"/>
                    <w:suppressLineNumbers w:val="0"/>
                    <w:spacing w:before="0" w:beforeAutospacing="0" w:after="0" w:afterAutospacing="0" w:line="360" w:lineRule="auto"/>
                    <w:ind w:left="0" w:right="0"/>
                    <w:rPr>
                      <w:rFonts w:hint="default"/>
                      <w:color w:val="auto"/>
                      <w:highlight w:val="none"/>
                    </w:rPr>
                  </w:pPr>
                </w:p>
              </w:tc>
            </w:tr>
            <w:tr w14:paraId="7968E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799596A8">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6144D3F1">
                  <w:pPr>
                    <w:keepNext w:val="0"/>
                    <w:keepLines w:val="0"/>
                    <w:suppressLineNumbers w:val="0"/>
                    <w:spacing w:before="0" w:beforeAutospacing="0" w:after="0" w:afterAutospacing="0" w:line="360" w:lineRule="auto"/>
                    <w:ind w:left="0" w:right="0"/>
                    <w:rPr>
                      <w:rFonts w:hint="default"/>
                      <w:color w:val="auto"/>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45301F22">
                  <w:pPr>
                    <w:keepNext w:val="0"/>
                    <w:keepLines w:val="0"/>
                    <w:suppressLineNumbers w:val="0"/>
                    <w:spacing w:before="0" w:beforeAutospacing="0" w:after="0" w:afterAutospacing="0" w:line="360" w:lineRule="auto"/>
                    <w:ind w:left="0" w:right="0"/>
                    <w:rPr>
                      <w:rFonts w:hint="default"/>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34E5CF1B">
                  <w:pPr>
                    <w:keepNext w:val="0"/>
                    <w:keepLines w:val="0"/>
                    <w:suppressLineNumbers w:val="0"/>
                    <w:spacing w:before="0" w:beforeAutospacing="0" w:after="0" w:afterAutospacing="0" w:line="360" w:lineRule="auto"/>
                    <w:ind w:left="0" w:right="0"/>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1C139736">
                  <w:pPr>
                    <w:keepNext w:val="0"/>
                    <w:keepLines w:val="0"/>
                    <w:suppressLineNumbers w:val="0"/>
                    <w:spacing w:before="0" w:beforeAutospacing="0" w:after="0" w:afterAutospacing="0" w:line="360" w:lineRule="auto"/>
                    <w:ind w:left="0" w:right="0"/>
                    <w:rPr>
                      <w:rFonts w:hint="default"/>
                      <w:color w:val="auto"/>
                      <w:highlight w:val="none"/>
                    </w:rPr>
                  </w:pPr>
                </w:p>
              </w:tc>
            </w:tr>
            <w:tr w14:paraId="0D2BF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6E5AC794">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15713661">
                  <w:pPr>
                    <w:keepNext w:val="0"/>
                    <w:keepLines w:val="0"/>
                    <w:suppressLineNumbers w:val="0"/>
                    <w:spacing w:before="0" w:beforeAutospacing="0" w:after="0" w:afterAutospacing="0" w:line="360" w:lineRule="auto"/>
                    <w:ind w:left="0" w:right="0"/>
                    <w:rPr>
                      <w:rFonts w:hint="default"/>
                      <w:color w:val="auto"/>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74E280DF">
                  <w:pPr>
                    <w:keepNext w:val="0"/>
                    <w:keepLines w:val="0"/>
                    <w:suppressLineNumbers w:val="0"/>
                    <w:spacing w:before="0" w:beforeAutospacing="0" w:after="0" w:afterAutospacing="0" w:line="360" w:lineRule="auto"/>
                    <w:ind w:left="0" w:right="0"/>
                    <w:rPr>
                      <w:rFonts w:hint="default"/>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2E00DB16">
                  <w:pPr>
                    <w:keepNext w:val="0"/>
                    <w:keepLines w:val="0"/>
                    <w:suppressLineNumbers w:val="0"/>
                    <w:spacing w:before="0" w:beforeAutospacing="0" w:after="0" w:afterAutospacing="0" w:line="360" w:lineRule="auto"/>
                    <w:ind w:left="0" w:right="0"/>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4F8E722C">
                  <w:pPr>
                    <w:keepNext w:val="0"/>
                    <w:keepLines w:val="0"/>
                    <w:suppressLineNumbers w:val="0"/>
                    <w:spacing w:before="0" w:beforeAutospacing="0" w:after="0" w:afterAutospacing="0" w:line="360" w:lineRule="auto"/>
                    <w:ind w:left="0" w:right="0"/>
                    <w:rPr>
                      <w:rFonts w:hint="default"/>
                      <w:color w:val="auto"/>
                      <w:highlight w:val="none"/>
                    </w:rPr>
                  </w:pPr>
                </w:p>
              </w:tc>
            </w:tr>
            <w:tr w14:paraId="6F0E0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4A1D1170">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4BD22FD5">
                  <w:pPr>
                    <w:keepNext w:val="0"/>
                    <w:keepLines w:val="0"/>
                    <w:suppressLineNumbers w:val="0"/>
                    <w:spacing w:before="0" w:beforeAutospacing="0" w:after="0" w:afterAutospacing="0" w:line="360" w:lineRule="auto"/>
                    <w:ind w:left="0" w:right="0"/>
                    <w:rPr>
                      <w:rFonts w:hint="default"/>
                      <w:color w:val="auto"/>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461F93D3">
                  <w:pPr>
                    <w:keepNext w:val="0"/>
                    <w:keepLines w:val="0"/>
                    <w:suppressLineNumbers w:val="0"/>
                    <w:spacing w:before="0" w:beforeAutospacing="0" w:after="0" w:afterAutospacing="0" w:line="360" w:lineRule="auto"/>
                    <w:ind w:left="0" w:right="0"/>
                    <w:rPr>
                      <w:rFonts w:hint="default"/>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35CC0928">
                  <w:pPr>
                    <w:keepNext w:val="0"/>
                    <w:keepLines w:val="0"/>
                    <w:suppressLineNumbers w:val="0"/>
                    <w:spacing w:before="0" w:beforeAutospacing="0" w:after="0" w:afterAutospacing="0" w:line="360" w:lineRule="auto"/>
                    <w:ind w:left="0" w:right="0"/>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75BAC8F2">
                  <w:pPr>
                    <w:keepNext w:val="0"/>
                    <w:keepLines w:val="0"/>
                    <w:suppressLineNumbers w:val="0"/>
                    <w:spacing w:before="0" w:beforeAutospacing="0" w:after="0" w:afterAutospacing="0" w:line="360" w:lineRule="auto"/>
                    <w:ind w:left="0" w:right="0"/>
                    <w:rPr>
                      <w:rFonts w:hint="default"/>
                      <w:color w:val="auto"/>
                      <w:highlight w:val="none"/>
                    </w:rPr>
                  </w:pPr>
                </w:p>
              </w:tc>
            </w:tr>
            <w:tr w14:paraId="061BE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4A19567D">
                  <w:pPr>
                    <w:keepNext w:val="0"/>
                    <w:keepLines w:val="0"/>
                    <w:suppressLineNumbers w:val="0"/>
                    <w:spacing w:before="0" w:beforeAutospacing="0" w:after="0" w:afterAutospacing="0" w:line="360" w:lineRule="auto"/>
                    <w:ind w:left="0" w:right="0"/>
                    <w:jc w:val="center"/>
                    <w:rPr>
                      <w:rFonts w:hint="default"/>
                      <w:color w:val="auto"/>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72407999">
                  <w:pPr>
                    <w:keepNext w:val="0"/>
                    <w:keepLines w:val="0"/>
                    <w:suppressLineNumbers w:val="0"/>
                    <w:spacing w:before="0" w:beforeAutospacing="0" w:after="0" w:afterAutospacing="0" w:line="360" w:lineRule="auto"/>
                    <w:ind w:left="0" w:right="0"/>
                    <w:rPr>
                      <w:rFonts w:hint="default"/>
                      <w:color w:val="auto"/>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45F9B269">
                  <w:pPr>
                    <w:keepNext w:val="0"/>
                    <w:keepLines w:val="0"/>
                    <w:suppressLineNumbers w:val="0"/>
                    <w:spacing w:before="0" w:beforeAutospacing="0" w:after="0" w:afterAutospacing="0" w:line="360" w:lineRule="auto"/>
                    <w:ind w:left="0" w:right="0"/>
                    <w:rPr>
                      <w:rFonts w:hint="default"/>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00D33B66">
                  <w:pPr>
                    <w:keepNext w:val="0"/>
                    <w:keepLines w:val="0"/>
                    <w:suppressLineNumbers w:val="0"/>
                    <w:spacing w:before="0" w:beforeAutospacing="0" w:after="0" w:afterAutospacing="0" w:line="360" w:lineRule="auto"/>
                    <w:ind w:left="0" w:right="0"/>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518A38AC">
                  <w:pPr>
                    <w:keepNext w:val="0"/>
                    <w:keepLines w:val="0"/>
                    <w:suppressLineNumbers w:val="0"/>
                    <w:spacing w:before="0" w:beforeAutospacing="0" w:after="0" w:afterAutospacing="0" w:line="360" w:lineRule="auto"/>
                    <w:ind w:left="0" w:right="0"/>
                    <w:rPr>
                      <w:rFonts w:hint="default"/>
                      <w:color w:val="auto"/>
                      <w:highlight w:val="none"/>
                    </w:rPr>
                  </w:pPr>
                </w:p>
              </w:tc>
            </w:tr>
          </w:tbl>
          <w:p w14:paraId="64132FFA">
            <w:pPr>
              <w:keepNext w:val="0"/>
              <w:keepLines w:val="0"/>
              <w:suppressLineNumbers w:val="0"/>
              <w:wordWrap w:val="0"/>
              <w:spacing w:before="0" w:beforeAutospacing="0" w:after="0" w:afterAutospacing="0" w:line="360" w:lineRule="auto"/>
              <w:ind w:left="0" w:right="420"/>
              <w:rPr>
                <w:rFonts w:hint="default"/>
                <w:color w:val="auto"/>
                <w:highlight w:val="none"/>
              </w:rPr>
            </w:pPr>
          </w:p>
          <w:p w14:paraId="12B11A1E">
            <w:pPr>
              <w:keepNext w:val="0"/>
              <w:keepLines w:val="0"/>
              <w:suppressLineNumbers w:val="0"/>
              <w:wordWrap w:val="0"/>
              <w:spacing w:before="0" w:beforeAutospacing="0" w:after="0" w:afterAutospacing="0" w:line="360" w:lineRule="auto"/>
              <w:ind w:left="0" w:right="420"/>
              <w:rPr>
                <w:rFonts w:hint="default"/>
                <w:color w:val="auto"/>
                <w:highlight w:val="none"/>
              </w:rPr>
            </w:pPr>
            <w:r>
              <w:rPr>
                <w:rFonts w:hint="default"/>
                <w:color w:val="auto"/>
                <w:highlight w:val="none"/>
              </w:rPr>
              <w:t xml:space="preserve">                                            </w:t>
            </w:r>
            <w:r>
              <w:rPr>
                <w:rFonts w:hint="eastAsia" w:ascii="宋体" w:hAnsi="宋体"/>
                <w:color w:val="auto"/>
                <w:highlight w:val="none"/>
              </w:rPr>
              <w:t xml:space="preserve">承包人（章） </w:t>
            </w:r>
            <w:r>
              <w:rPr>
                <w:rFonts w:hint="default"/>
                <w:color w:val="auto"/>
                <w:highlight w:val="none"/>
              </w:rPr>
              <w:t xml:space="preserve">            </w:t>
            </w:r>
          </w:p>
          <w:p w14:paraId="4C7D1E4E">
            <w:pPr>
              <w:keepNext w:val="0"/>
              <w:keepLines w:val="0"/>
              <w:suppressLineNumbers w:val="0"/>
              <w:spacing w:before="0" w:beforeAutospacing="0" w:after="0" w:afterAutospacing="0" w:line="360" w:lineRule="auto"/>
              <w:ind w:left="0" w:right="420" w:firstLine="435"/>
              <w:rPr>
                <w:rFonts w:hint="default"/>
                <w:color w:val="auto"/>
                <w:highlight w:val="none"/>
              </w:rPr>
            </w:pPr>
            <w:r>
              <w:rPr>
                <w:rFonts w:hint="eastAsia" w:ascii="宋体" w:hAnsi="宋体"/>
                <w:color w:val="auto"/>
                <w:highlight w:val="none"/>
              </w:rPr>
              <w:t>造价人员</w:t>
            </w:r>
            <w:r>
              <w:rPr>
                <w:rFonts w:hint="default"/>
                <w:color w:val="auto"/>
                <w:highlight w:val="none"/>
                <w:u w:val="single"/>
              </w:rPr>
              <w:t xml:space="preserve">               </w:t>
            </w:r>
            <w:r>
              <w:rPr>
                <w:rFonts w:hint="eastAsia" w:ascii="宋体" w:hAnsi="宋体"/>
                <w:color w:val="auto"/>
                <w:highlight w:val="none"/>
              </w:rPr>
              <w:t>承包人代表</w:t>
            </w:r>
            <w:r>
              <w:rPr>
                <w:rFonts w:hint="default"/>
                <w:color w:val="auto"/>
                <w:highlight w:val="none"/>
                <w:u w:val="singl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r w14:paraId="15441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tcBorders>
              <w:top w:val="single" w:color="auto" w:sz="4" w:space="0"/>
              <w:left w:val="single" w:color="auto" w:sz="4" w:space="0"/>
              <w:bottom w:val="single" w:color="auto" w:sz="4" w:space="0"/>
              <w:right w:val="single" w:color="auto" w:sz="4" w:space="0"/>
            </w:tcBorders>
            <w:noWrap w:val="0"/>
            <w:vAlign w:val="top"/>
          </w:tcPr>
          <w:p w14:paraId="103311F2">
            <w:pPr>
              <w:keepNext w:val="0"/>
              <w:keepLines w:val="0"/>
              <w:suppressLineNumbers w:val="0"/>
              <w:spacing w:before="0" w:beforeAutospacing="0" w:after="0" w:afterAutospacing="0" w:line="360" w:lineRule="auto"/>
              <w:ind w:left="0" w:right="0"/>
              <w:rPr>
                <w:rFonts w:hint="default"/>
                <w:color w:val="auto"/>
                <w:highlight w:val="none"/>
              </w:rPr>
            </w:pPr>
            <w:r>
              <w:rPr>
                <w:rFonts w:hint="eastAsia" w:ascii="宋体" w:hAnsi="宋体"/>
                <w:color w:val="auto"/>
                <w:highlight w:val="none"/>
              </w:rPr>
              <w:t>复核意见：</w:t>
            </w:r>
          </w:p>
          <w:p w14:paraId="5CBE25A1">
            <w:pPr>
              <w:keepNext w:val="0"/>
              <w:keepLines w:val="0"/>
              <w:suppressLineNumbers w:val="0"/>
              <w:spacing w:before="0" w:beforeAutospacing="0" w:after="0" w:afterAutospacing="0" w:line="360" w:lineRule="auto"/>
              <w:ind w:left="0" w:right="0" w:firstLine="312"/>
              <w:rPr>
                <w:rFonts w:hint="default"/>
                <w:color w:val="auto"/>
                <w:highlight w:val="none"/>
              </w:rPr>
            </w:pPr>
            <w:r>
              <w:rPr>
                <w:rFonts w:hint="eastAsia" w:ascii="宋体" w:hAnsi="宋体"/>
                <w:color w:val="auto"/>
                <w:highlight w:val="none"/>
              </w:rPr>
              <w:t>□与合同约定不相符</w:t>
            </w:r>
            <w:r>
              <w:rPr>
                <w:rFonts w:hint="eastAsia" w:ascii="宋体" w:hAnsi="宋体"/>
                <w:color w:val="auto"/>
                <w:highlight w:val="none"/>
                <w:lang w:eastAsia="zh-CN"/>
              </w:rPr>
              <w:t>，</w:t>
            </w:r>
            <w:r>
              <w:rPr>
                <w:rFonts w:hint="eastAsia" w:ascii="宋体" w:hAnsi="宋体"/>
                <w:color w:val="auto"/>
                <w:highlight w:val="none"/>
              </w:rPr>
              <w:t>修改意见见附件。</w:t>
            </w:r>
          </w:p>
          <w:p w14:paraId="19E7DA31">
            <w:pPr>
              <w:keepNext w:val="0"/>
              <w:keepLines w:val="0"/>
              <w:suppressLineNumbers w:val="0"/>
              <w:spacing w:before="0" w:beforeAutospacing="0" w:after="0" w:afterAutospacing="0" w:line="360" w:lineRule="auto"/>
              <w:ind w:left="0" w:right="0" w:firstLine="312"/>
              <w:rPr>
                <w:rFonts w:hint="default"/>
                <w:color w:val="auto"/>
                <w:highlight w:val="none"/>
              </w:rPr>
            </w:pPr>
            <w:r>
              <w:rPr>
                <w:rFonts w:hint="eastAsia" w:ascii="宋体" w:hAnsi="宋体"/>
                <w:color w:val="auto"/>
                <w:highlight w:val="none"/>
              </w:rPr>
              <w:t>□与合同约定相符</w:t>
            </w:r>
            <w:r>
              <w:rPr>
                <w:rFonts w:hint="eastAsia" w:ascii="宋体" w:hAnsi="宋体"/>
                <w:color w:val="auto"/>
                <w:highlight w:val="none"/>
                <w:lang w:eastAsia="zh-CN"/>
              </w:rPr>
              <w:t>，</w:t>
            </w:r>
            <w:r>
              <w:rPr>
                <w:rFonts w:hint="eastAsia" w:ascii="宋体" w:hAnsi="宋体"/>
                <w:color w:val="auto"/>
                <w:highlight w:val="none"/>
              </w:rPr>
              <w:t>具体金额由造价工程师复核。</w:t>
            </w:r>
          </w:p>
          <w:p w14:paraId="1604E1DE">
            <w:pPr>
              <w:keepNext w:val="0"/>
              <w:keepLines w:val="0"/>
              <w:suppressLineNumbers w:val="0"/>
              <w:spacing w:before="0" w:beforeAutospacing="0" w:after="0" w:afterAutospacing="0" w:line="360" w:lineRule="auto"/>
              <w:ind w:left="0" w:right="0" w:firstLine="435"/>
              <w:jc w:val="right"/>
              <w:rPr>
                <w:rFonts w:hint="default"/>
                <w:color w:val="auto"/>
                <w:highlight w:val="none"/>
              </w:rPr>
            </w:pPr>
          </w:p>
          <w:p w14:paraId="5937D51E">
            <w:pPr>
              <w:keepNext w:val="0"/>
              <w:keepLines w:val="0"/>
              <w:suppressLineNumbers w:val="0"/>
              <w:spacing w:before="0" w:beforeAutospacing="0" w:after="0" w:afterAutospacing="0" w:line="360" w:lineRule="auto"/>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监理工程师</w:t>
            </w:r>
            <w:r>
              <w:rPr>
                <w:rFonts w:hint="default"/>
                <w:color w:val="auto"/>
                <w:highlight w:val="none"/>
                <w:u w:val="single"/>
              </w:rPr>
              <w:t xml:space="preserve">           </w:t>
            </w:r>
          </w:p>
          <w:p w14:paraId="1ECD53FA">
            <w:pPr>
              <w:keepNext w:val="0"/>
              <w:keepLines w:val="0"/>
              <w:suppressLineNumbers w:val="0"/>
              <w:spacing w:before="0" w:beforeAutospacing="0" w:after="0" w:afterAutospacing="0" w:line="360" w:lineRule="auto"/>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c>
          <w:tcPr>
            <w:tcW w:w="4552" w:type="dxa"/>
            <w:tcBorders>
              <w:top w:val="single" w:color="auto" w:sz="4" w:space="0"/>
              <w:left w:val="single" w:color="auto" w:sz="4" w:space="0"/>
              <w:bottom w:val="single" w:color="auto" w:sz="4" w:space="0"/>
              <w:right w:val="single" w:color="auto" w:sz="4" w:space="0"/>
            </w:tcBorders>
            <w:noWrap w:val="0"/>
            <w:vAlign w:val="top"/>
          </w:tcPr>
          <w:p w14:paraId="11C6AF0B">
            <w:pPr>
              <w:keepNext w:val="0"/>
              <w:keepLines w:val="0"/>
              <w:suppressLineNumbers w:val="0"/>
              <w:spacing w:before="0" w:beforeAutospacing="0" w:after="0" w:afterAutospacing="0" w:line="360" w:lineRule="auto"/>
              <w:ind w:left="0" w:right="0"/>
              <w:rPr>
                <w:rFonts w:hint="default"/>
                <w:color w:val="auto"/>
                <w:highlight w:val="none"/>
              </w:rPr>
            </w:pPr>
            <w:r>
              <w:rPr>
                <w:rFonts w:hint="eastAsia" w:ascii="宋体" w:hAnsi="宋体"/>
                <w:color w:val="auto"/>
                <w:highlight w:val="none"/>
              </w:rPr>
              <w:t>复核意见：</w:t>
            </w:r>
          </w:p>
          <w:p w14:paraId="5F1BE1E9">
            <w:pPr>
              <w:keepNext w:val="0"/>
              <w:keepLines w:val="0"/>
              <w:suppressLineNumbers w:val="0"/>
              <w:spacing w:before="0" w:beforeAutospacing="0" w:after="0" w:afterAutospacing="0" w:line="360" w:lineRule="auto"/>
              <w:ind w:left="0" w:right="0" w:firstLine="435"/>
              <w:rPr>
                <w:rFonts w:hint="default"/>
                <w:color w:val="auto"/>
                <w:highlight w:val="none"/>
              </w:rPr>
            </w:pPr>
            <w:r>
              <w:rPr>
                <w:rFonts w:hint="eastAsia" w:ascii="宋体" w:hAnsi="宋体"/>
                <w:color w:val="auto"/>
                <w:highlight w:val="none"/>
              </w:rPr>
              <w:t>你方提出的支付申请经复核</w:t>
            </w:r>
            <w:r>
              <w:rPr>
                <w:rFonts w:hint="eastAsia" w:ascii="宋体" w:hAnsi="宋体"/>
                <w:color w:val="auto"/>
                <w:highlight w:val="none"/>
                <w:lang w:eastAsia="zh-CN"/>
              </w:rPr>
              <w:t>，</w:t>
            </w:r>
            <w:r>
              <w:rPr>
                <w:rFonts w:hint="eastAsia" w:ascii="宋体" w:hAnsi="宋体"/>
                <w:color w:val="auto"/>
                <w:highlight w:val="none"/>
              </w:rPr>
              <w:t>应支付预付款金额为</w:t>
            </w:r>
            <w:r>
              <w:rPr>
                <w:rFonts w:hint="eastAsia"/>
                <w:color w:val="auto"/>
                <w:highlight w:val="none"/>
                <w:lang w:eastAsia="zh-CN"/>
              </w:rPr>
              <w:t>（</w:t>
            </w:r>
            <w:r>
              <w:rPr>
                <w:rFonts w:hint="eastAsia" w:ascii="宋体" w:hAnsi="宋体"/>
                <w:color w:val="auto"/>
                <w:highlight w:val="none"/>
              </w:rPr>
              <w:t>大写</w:t>
            </w:r>
            <w:r>
              <w:rPr>
                <w:rFonts w:hint="eastAsia"/>
                <w:color w:val="auto"/>
                <w:highlight w:val="none"/>
                <w:lang w:eastAsia="zh-CN"/>
              </w:rPr>
              <w:t>）</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（小写）</w:t>
            </w:r>
          </w:p>
          <w:p w14:paraId="100A3F62">
            <w:pPr>
              <w:keepNext w:val="0"/>
              <w:keepLines w:val="0"/>
              <w:suppressLineNumbers w:val="0"/>
              <w:spacing w:before="0" w:beforeAutospacing="0" w:after="0" w:afterAutospacing="0" w:line="360" w:lineRule="auto"/>
              <w:ind w:left="0" w:right="0"/>
              <w:rPr>
                <w:rFonts w:hint="default"/>
                <w:color w:val="auto"/>
                <w:highlight w:val="none"/>
              </w:rPr>
            </w:pPr>
            <w:r>
              <w:rPr>
                <w:rFonts w:hint="default"/>
                <w:color w:val="auto"/>
                <w:highlight w:val="none"/>
                <w:u w:val="single"/>
              </w:rPr>
              <w:t xml:space="preserve">          </w:t>
            </w:r>
            <w:r>
              <w:rPr>
                <w:rFonts w:hint="default"/>
                <w:color w:val="auto"/>
                <w:highlight w:val="none"/>
              </w:rPr>
              <w:t xml:space="preserve"> </w:t>
            </w:r>
            <w:r>
              <w:rPr>
                <w:rFonts w:hint="eastAsia" w:ascii="宋体" w:hAnsi="宋体"/>
                <w:color w:val="auto"/>
                <w:highlight w:val="none"/>
              </w:rPr>
              <w:t>元。</w:t>
            </w:r>
          </w:p>
          <w:p w14:paraId="5D3725F6">
            <w:pPr>
              <w:keepNext w:val="0"/>
              <w:keepLines w:val="0"/>
              <w:suppressLineNumbers w:val="0"/>
              <w:spacing w:before="0" w:beforeAutospacing="0" w:after="0" w:afterAutospacing="0" w:line="360" w:lineRule="auto"/>
              <w:ind w:left="0" w:right="0"/>
              <w:rPr>
                <w:rFonts w:hint="default"/>
                <w:color w:val="auto"/>
                <w:highlight w:val="none"/>
                <w:u w:val="single"/>
              </w:rPr>
            </w:pPr>
          </w:p>
          <w:p w14:paraId="56A59D49">
            <w:pPr>
              <w:keepNext w:val="0"/>
              <w:keepLines w:val="0"/>
              <w:suppressLineNumbers w:val="0"/>
              <w:spacing w:before="0" w:beforeAutospacing="0" w:after="0" w:afterAutospacing="0" w:line="360" w:lineRule="auto"/>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造价工程师</w:t>
            </w:r>
            <w:r>
              <w:rPr>
                <w:rFonts w:hint="default"/>
                <w:color w:val="auto"/>
                <w:highlight w:val="none"/>
                <w:u w:val="single"/>
              </w:rPr>
              <w:t xml:space="preserve">           </w:t>
            </w:r>
          </w:p>
          <w:p w14:paraId="52179261">
            <w:pPr>
              <w:keepNext w:val="0"/>
              <w:keepLines w:val="0"/>
              <w:suppressLineNumbers w:val="0"/>
              <w:spacing w:before="0" w:beforeAutospacing="0" w:after="0" w:afterAutospacing="0" w:line="360" w:lineRule="auto"/>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r w14:paraId="0E463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3904557F">
            <w:pPr>
              <w:keepNext w:val="0"/>
              <w:keepLines w:val="0"/>
              <w:suppressLineNumbers w:val="0"/>
              <w:spacing w:before="0" w:beforeAutospacing="0" w:after="0" w:afterAutospacing="0" w:line="360" w:lineRule="auto"/>
              <w:ind w:left="0" w:right="0"/>
              <w:rPr>
                <w:rFonts w:hint="default"/>
                <w:color w:val="auto"/>
                <w:highlight w:val="none"/>
              </w:rPr>
            </w:pPr>
            <w:r>
              <w:rPr>
                <w:rFonts w:hint="eastAsia" w:ascii="宋体" w:hAnsi="宋体"/>
                <w:color w:val="auto"/>
                <w:highlight w:val="none"/>
              </w:rPr>
              <w:t>审核意见：</w:t>
            </w:r>
          </w:p>
          <w:p w14:paraId="5ACD266B">
            <w:pPr>
              <w:keepNext w:val="0"/>
              <w:keepLines w:val="0"/>
              <w:suppressLineNumbers w:val="0"/>
              <w:spacing w:before="0" w:beforeAutospacing="0" w:after="0" w:afterAutospacing="0" w:line="360" w:lineRule="auto"/>
              <w:ind w:left="0" w:right="0" w:firstLine="435"/>
              <w:rPr>
                <w:rFonts w:hint="default"/>
                <w:color w:val="auto"/>
                <w:highlight w:val="none"/>
              </w:rPr>
            </w:pPr>
            <w:r>
              <w:rPr>
                <w:rFonts w:hint="eastAsia" w:ascii="宋体" w:hAnsi="宋体"/>
                <w:color w:val="auto"/>
                <w:highlight w:val="none"/>
              </w:rPr>
              <w:t>□不同意。</w:t>
            </w:r>
          </w:p>
          <w:p w14:paraId="5D837F19">
            <w:pPr>
              <w:keepNext w:val="0"/>
              <w:keepLines w:val="0"/>
              <w:suppressLineNumbers w:val="0"/>
              <w:spacing w:before="0" w:beforeAutospacing="0" w:after="0" w:afterAutospacing="0" w:line="360" w:lineRule="auto"/>
              <w:ind w:left="0" w:right="0" w:firstLine="428" w:firstLineChars="200"/>
              <w:rPr>
                <w:rFonts w:hint="default"/>
                <w:color w:val="auto"/>
                <w:highlight w:val="none"/>
              </w:rPr>
            </w:pPr>
            <w:r>
              <w:rPr>
                <w:rFonts w:hint="eastAsia" w:ascii="宋体" w:hAnsi="宋体"/>
                <w:color w:val="auto"/>
                <w:highlight w:val="none"/>
              </w:rPr>
              <w:t>□同意</w:t>
            </w:r>
            <w:r>
              <w:rPr>
                <w:rFonts w:hint="eastAsia" w:ascii="宋体" w:hAnsi="宋体"/>
                <w:color w:val="auto"/>
                <w:highlight w:val="none"/>
                <w:lang w:eastAsia="zh-CN"/>
              </w:rPr>
              <w:t>，</w:t>
            </w:r>
            <w:r>
              <w:rPr>
                <w:rFonts w:hint="eastAsia" w:ascii="宋体" w:hAnsi="宋体"/>
                <w:color w:val="auto"/>
                <w:highlight w:val="none"/>
              </w:rPr>
              <w:t>支付时间为本表签发后的</w:t>
            </w:r>
            <w:r>
              <w:rPr>
                <w:rFonts w:hint="eastAsia"/>
                <w:color w:val="auto"/>
                <w:highlight w:val="none"/>
              </w:rPr>
              <w:t>15</w:t>
            </w:r>
            <w:r>
              <w:rPr>
                <w:rFonts w:hint="eastAsia" w:ascii="宋体" w:hAnsi="宋体"/>
                <w:color w:val="auto"/>
                <w:highlight w:val="none"/>
              </w:rPr>
              <w:t>天内。</w:t>
            </w:r>
          </w:p>
          <w:p w14:paraId="1E26C657">
            <w:pPr>
              <w:keepNext w:val="0"/>
              <w:keepLines w:val="0"/>
              <w:suppressLineNumbers w:val="0"/>
              <w:wordWrap w:val="0"/>
              <w:spacing w:before="0" w:beforeAutospacing="0" w:after="0" w:afterAutospacing="0" w:line="360" w:lineRule="auto"/>
              <w:ind w:left="0" w:right="0" w:firstLine="428" w:firstLineChars="200"/>
              <w:jc w:val="right"/>
              <w:rPr>
                <w:rFonts w:hint="default"/>
                <w:color w:val="auto"/>
                <w:highlight w:val="none"/>
              </w:rPr>
            </w:pPr>
            <w:r>
              <w:rPr>
                <w:rFonts w:hint="eastAsia" w:ascii="宋体" w:hAnsi="宋体"/>
                <w:color w:val="auto"/>
                <w:highlight w:val="none"/>
              </w:rPr>
              <w:t xml:space="preserve">发包人（章） </w:t>
            </w:r>
            <w:r>
              <w:rPr>
                <w:rFonts w:hint="default"/>
                <w:color w:val="auto"/>
                <w:highlight w:val="none"/>
              </w:rPr>
              <w:t xml:space="preserve">          </w:t>
            </w:r>
          </w:p>
          <w:p w14:paraId="1753A758">
            <w:pPr>
              <w:keepNext w:val="0"/>
              <w:keepLines w:val="0"/>
              <w:suppressLineNumbers w:val="0"/>
              <w:wordWrap w:val="0"/>
              <w:spacing w:before="0" w:beforeAutospacing="0" w:after="0" w:afterAutospacing="0" w:line="360" w:lineRule="auto"/>
              <w:ind w:left="0" w:right="0" w:firstLine="428" w:firstLineChars="200"/>
              <w:jc w:val="right"/>
              <w:rPr>
                <w:rFonts w:hint="default"/>
                <w:color w:val="auto"/>
                <w:highlight w:val="none"/>
                <w:u w:val="single"/>
              </w:rPr>
            </w:pPr>
            <w:r>
              <w:rPr>
                <w:rFonts w:hint="eastAsia" w:ascii="宋体" w:hAnsi="宋体"/>
                <w:color w:val="auto"/>
                <w:highlight w:val="none"/>
              </w:rPr>
              <w:t>发包人代表</w:t>
            </w:r>
            <w:r>
              <w:rPr>
                <w:rFonts w:hint="default"/>
                <w:color w:val="auto"/>
                <w:highlight w:val="none"/>
                <w:u w:val="single"/>
              </w:rPr>
              <w:t xml:space="preserve">             </w:t>
            </w:r>
          </w:p>
          <w:p w14:paraId="438124B5">
            <w:pPr>
              <w:keepNext w:val="0"/>
              <w:keepLines w:val="0"/>
              <w:suppressLineNumbers w:val="0"/>
              <w:wordWrap w:val="0"/>
              <w:spacing w:before="0" w:beforeAutospacing="0" w:after="0" w:afterAutospacing="0" w:line="360" w:lineRule="auto"/>
              <w:ind w:left="0" w:right="0" w:firstLine="428" w:firstLineChars="200"/>
              <w:jc w:val="right"/>
              <w:rPr>
                <w:rFonts w:hint="default"/>
                <w:color w:val="auto"/>
                <w:highlight w:val="none"/>
                <w:u w:val="single"/>
              </w:rPr>
            </w:pP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bl>
    <w:p w14:paraId="084C2D23">
      <w:pPr>
        <w:spacing w:line="360" w:lineRule="auto"/>
        <w:ind w:firstLine="368" w:firstLineChars="200"/>
        <w:rPr>
          <w:color w:val="auto"/>
          <w:sz w:val="18"/>
          <w:szCs w:val="18"/>
          <w:highlight w:val="none"/>
        </w:rPr>
      </w:pPr>
      <w:r>
        <w:rPr>
          <w:rFonts w:hint="eastAsia" w:ascii="宋体" w:hAnsi="宋体"/>
          <w:color w:val="auto"/>
          <w:sz w:val="18"/>
          <w:szCs w:val="18"/>
          <w:highlight w:val="none"/>
        </w:rPr>
        <w:t>注：</w:t>
      </w:r>
      <w:r>
        <w:rPr>
          <w:rFonts w:hint="eastAsia"/>
          <w:color w:val="auto"/>
          <w:sz w:val="18"/>
          <w:szCs w:val="18"/>
          <w:highlight w:val="none"/>
        </w:rPr>
        <w:t>1.</w:t>
      </w:r>
      <w:r>
        <w:rPr>
          <w:rFonts w:hint="eastAsia" w:ascii="宋体" w:hAnsi="宋体"/>
          <w:color w:val="auto"/>
          <w:sz w:val="18"/>
          <w:szCs w:val="18"/>
          <w:highlight w:val="none"/>
        </w:rPr>
        <w:t xml:space="preserve">在选择栏中的“□”内作标识“√”。 </w:t>
      </w:r>
    </w:p>
    <w:p w14:paraId="0BE458A5">
      <w:pPr>
        <w:pStyle w:val="21"/>
        <w:spacing w:line="360" w:lineRule="auto"/>
        <w:ind w:leftChars="0" w:firstLine="0" w:firstLineChars="0"/>
        <w:rPr>
          <w:rFonts w:hint="eastAsia" w:ascii="宋体" w:hAnsi="宋体"/>
          <w:color w:val="auto"/>
          <w:sz w:val="18"/>
          <w:szCs w:val="18"/>
          <w:highlight w:val="none"/>
        </w:rPr>
      </w:pPr>
      <w:r>
        <w:rPr>
          <w:rFonts w:hint="eastAsia" w:ascii="宋体" w:hAnsi="宋体"/>
          <w:color w:val="auto"/>
          <w:sz w:val="18"/>
          <w:szCs w:val="18"/>
          <w:highlight w:val="none"/>
        </w:rPr>
        <w:t xml:space="preserve">    </w:t>
      </w:r>
      <w:r>
        <w:rPr>
          <w:color w:val="auto"/>
          <w:sz w:val="18"/>
          <w:szCs w:val="18"/>
          <w:highlight w:val="none"/>
        </w:rPr>
        <w:t xml:space="preserve">  </w:t>
      </w:r>
      <w:r>
        <w:rPr>
          <w:rFonts w:hint="eastAsia" w:ascii="宋体" w:hAnsi="宋体"/>
          <w:color w:val="auto"/>
          <w:sz w:val="18"/>
          <w:szCs w:val="18"/>
          <w:highlight w:val="none"/>
        </w:rPr>
        <w:t xml:space="preserve">  </w:t>
      </w:r>
      <w:r>
        <w:rPr>
          <w:rFonts w:hint="eastAsia"/>
          <w:color w:val="auto"/>
          <w:sz w:val="18"/>
          <w:szCs w:val="18"/>
          <w:highlight w:val="none"/>
        </w:rPr>
        <w:t>2.</w:t>
      </w:r>
      <w:r>
        <w:rPr>
          <w:rFonts w:hint="eastAsia" w:ascii="宋体" w:hAnsi="宋体"/>
          <w:color w:val="auto"/>
          <w:sz w:val="18"/>
          <w:szCs w:val="18"/>
          <w:highlight w:val="none"/>
        </w:rPr>
        <w:t>本表一式四份</w:t>
      </w:r>
      <w:r>
        <w:rPr>
          <w:rFonts w:hint="eastAsia" w:ascii="宋体" w:hAnsi="宋体"/>
          <w:color w:val="auto"/>
          <w:sz w:val="18"/>
          <w:szCs w:val="18"/>
          <w:highlight w:val="none"/>
          <w:lang w:eastAsia="zh-CN"/>
        </w:rPr>
        <w:t>，</w:t>
      </w:r>
      <w:r>
        <w:rPr>
          <w:rFonts w:hint="eastAsia" w:ascii="宋体" w:hAnsi="宋体"/>
          <w:color w:val="auto"/>
          <w:sz w:val="18"/>
          <w:szCs w:val="18"/>
          <w:highlight w:val="none"/>
        </w:rPr>
        <w:t>由承包人填报</w:t>
      </w:r>
      <w:r>
        <w:rPr>
          <w:rFonts w:hint="eastAsia" w:ascii="宋体" w:hAnsi="宋体"/>
          <w:color w:val="auto"/>
          <w:sz w:val="18"/>
          <w:szCs w:val="18"/>
          <w:highlight w:val="none"/>
          <w:lang w:eastAsia="zh-CN"/>
        </w:rPr>
        <w:t>，</w:t>
      </w:r>
      <w:r>
        <w:rPr>
          <w:rFonts w:hint="eastAsia" w:ascii="宋体" w:hAnsi="宋体"/>
          <w:color w:val="auto"/>
          <w:sz w:val="18"/>
          <w:szCs w:val="18"/>
          <w:highlight w:val="none"/>
        </w:rPr>
        <w:t xml:space="preserve">发包人、监理人、造价咨询人、承包人各存一份。     </w:t>
      </w:r>
    </w:p>
    <w:p w14:paraId="36F42F81">
      <w:pPr>
        <w:pStyle w:val="21"/>
        <w:spacing w:line="360" w:lineRule="auto"/>
        <w:ind w:leftChars="0" w:firstLine="0" w:firstLineChars="0"/>
        <w:rPr>
          <w:rFonts w:hint="eastAsia" w:ascii="宋体" w:hAnsi="宋体"/>
          <w:color w:val="auto"/>
          <w:sz w:val="18"/>
          <w:szCs w:val="18"/>
          <w:highlight w:val="none"/>
        </w:rPr>
      </w:pPr>
    </w:p>
    <w:p w14:paraId="6F3972E4">
      <w:pPr>
        <w:widowControl/>
        <w:wordWrap/>
        <w:spacing w:before="120" w:beforeLines="50" w:after="120" w:afterLines="50" w:line="360" w:lineRule="auto"/>
        <w:jc w:val="left"/>
        <w:outlineLvl w:val="9"/>
        <w:rPr>
          <w:rFonts w:hint="eastAsia" w:ascii="仿宋_GB2312" w:hAnsi="Times New Roman" w:eastAsia="仿宋_GB2312" w:cs="仿宋_GB2312"/>
          <w:b w:val="0"/>
          <w:color w:val="auto"/>
          <w:sz w:val="30"/>
          <w:szCs w:val="30"/>
          <w:highlight w:val="none"/>
          <w:lang w:val="en-US" w:eastAsia="zh-CN"/>
        </w:rPr>
      </w:pPr>
      <w:r>
        <w:rPr>
          <w:rFonts w:hint="eastAsia" w:ascii="仿宋_GB2312" w:hAnsi="Times New Roman" w:eastAsia="仿宋_GB2312" w:cs="仿宋_GB2312"/>
          <w:b w:val="0"/>
          <w:color w:val="auto"/>
          <w:sz w:val="30"/>
          <w:szCs w:val="30"/>
          <w:highlight w:val="none"/>
          <w:lang w:val="en-US" w:eastAsia="zh-CN"/>
        </w:rPr>
        <w:t xml:space="preserve">附件19 </w:t>
      </w:r>
      <w:r>
        <w:rPr>
          <w:rFonts w:hint="eastAsia" w:ascii="仿宋_GB2312" w:hAnsi="Times New Roman" w:eastAsia="仿宋_GB2312" w:cs="仿宋_GB2312"/>
          <w:b w:val="0"/>
          <w:color w:val="auto"/>
          <w:sz w:val="30"/>
          <w:szCs w:val="30"/>
          <w:highlight w:val="none"/>
          <w:lang w:val="en-US"/>
        </w:rPr>
        <w:t>发包人提供材料一览表</w:t>
      </w:r>
    </w:p>
    <w:p w14:paraId="60261CBA">
      <w:pPr>
        <w:widowControl/>
        <w:spacing w:line="360" w:lineRule="auto"/>
        <w:jc w:val="center"/>
        <w:rPr>
          <w:b/>
          <w:color w:val="auto"/>
          <w:sz w:val="36"/>
          <w:szCs w:val="36"/>
          <w:highlight w:val="none"/>
        </w:rPr>
      </w:pPr>
      <w:r>
        <w:rPr>
          <w:rFonts w:hint="eastAsia" w:ascii="宋体" w:hAnsi="宋体" w:cs="Times New Roman"/>
          <w:b/>
          <w:color w:val="auto"/>
          <w:sz w:val="36"/>
          <w:szCs w:val="36"/>
          <w:highlight w:val="none"/>
        </w:rPr>
        <w:t>发包人提供材料一览表</w:t>
      </w:r>
    </w:p>
    <w:p w14:paraId="4F008F45">
      <w:pPr>
        <w:spacing w:line="360" w:lineRule="auto"/>
        <w:rPr>
          <w:color w:val="auto"/>
          <w:highlight w:val="none"/>
        </w:rPr>
      </w:pPr>
      <w:r>
        <w:rPr>
          <w:color w:val="auto"/>
          <w:highlight w:val="none"/>
        </w:rPr>
        <w:t xml:space="preserve"> </w:t>
      </w:r>
    </w:p>
    <w:p w14:paraId="089035D0">
      <w:pPr>
        <w:spacing w:line="360" w:lineRule="auto"/>
        <w:ind w:firstLine="428" w:firstLineChars="200"/>
        <w:rPr>
          <w:color w:val="auto"/>
          <w:highlight w:val="none"/>
        </w:rPr>
      </w:pPr>
      <w:r>
        <w:rPr>
          <w:rFonts w:hint="eastAsia" w:ascii="宋体" w:hAnsi="宋体"/>
          <w:color w:val="auto"/>
          <w:highlight w:val="none"/>
        </w:rPr>
        <w:t xml:space="preserve">工程名称：                                                  </w:t>
      </w:r>
      <w:r>
        <w:rPr>
          <w:rFonts w:hint="eastAsia" w:ascii="宋体" w:hAnsi="宋体"/>
          <w:color w:val="auto"/>
          <w:highlight w:val="none"/>
          <w:lang w:val="en-US" w:eastAsia="zh-CN"/>
        </w:rPr>
        <w:t xml:space="preserve">       </w:t>
      </w:r>
      <w:r>
        <w:rPr>
          <w:rFonts w:hint="eastAsia" w:ascii="宋体" w:hAnsi="宋体"/>
          <w:color w:val="auto"/>
          <w:highlight w:val="none"/>
        </w:rPr>
        <w:t xml:space="preserve"> 第  页  共  页</w:t>
      </w:r>
    </w:p>
    <w:tbl>
      <w:tblPr>
        <w:tblStyle w:val="22"/>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1976"/>
        <w:gridCol w:w="744"/>
        <w:gridCol w:w="743"/>
        <w:gridCol w:w="979"/>
        <w:gridCol w:w="979"/>
        <w:gridCol w:w="1118"/>
        <w:gridCol w:w="805"/>
        <w:gridCol w:w="853"/>
      </w:tblGrid>
      <w:tr w14:paraId="69B21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3EF35E80">
            <w:pPr>
              <w:keepNext w:val="0"/>
              <w:keepLines w:val="0"/>
              <w:suppressLineNumbers w:val="0"/>
              <w:spacing w:before="0" w:beforeAutospacing="0" w:after="0" w:afterAutospacing="0" w:line="360" w:lineRule="auto"/>
              <w:ind w:left="0" w:right="0"/>
              <w:jc w:val="center"/>
              <w:rPr>
                <w:rFonts w:hint="default"/>
                <w:color w:val="auto"/>
                <w:szCs w:val="21"/>
                <w:highlight w:val="none"/>
              </w:rPr>
            </w:pPr>
            <w:r>
              <w:rPr>
                <w:rFonts w:hint="eastAsia" w:ascii="宋体" w:hAnsi="宋体"/>
                <w:color w:val="auto"/>
                <w:szCs w:val="21"/>
                <w:highlight w:val="none"/>
              </w:rPr>
              <w:t>序号</w:t>
            </w:r>
          </w:p>
        </w:tc>
        <w:tc>
          <w:tcPr>
            <w:tcW w:w="1976" w:type="dxa"/>
            <w:tcBorders>
              <w:top w:val="single" w:color="auto" w:sz="4" w:space="0"/>
              <w:left w:val="single" w:color="auto" w:sz="4" w:space="0"/>
              <w:bottom w:val="single" w:color="auto" w:sz="4" w:space="0"/>
              <w:right w:val="single" w:color="auto" w:sz="4" w:space="0"/>
            </w:tcBorders>
            <w:noWrap w:val="0"/>
            <w:vAlign w:val="center"/>
          </w:tcPr>
          <w:p w14:paraId="1AC1E7D7">
            <w:pPr>
              <w:keepNext w:val="0"/>
              <w:keepLines w:val="0"/>
              <w:suppressLineNumbers w:val="0"/>
              <w:spacing w:before="0" w:beforeAutospacing="0" w:after="0" w:afterAutospacing="0" w:line="360" w:lineRule="auto"/>
              <w:ind w:left="0" w:right="0"/>
              <w:jc w:val="center"/>
              <w:rPr>
                <w:rFonts w:hint="default"/>
                <w:color w:val="auto"/>
                <w:szCs w:val="21"/>
                <w:highlight w:val="none"/>
              </w:rPr>
            </w:pPr>
            <w:r>
              <w:rPr>
                <w:rFonts w:hint="eastAsia" w:ascii="宋体" w:hAnsi="宋体"/>
                <w:color w:val="auto"/>
                <w:szCs w:val="21"/>
                <w:highlight w:val="none"/>
              </w:rPr>
              <w:t>名称、规格、型号</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2DDE8B4B">
            <w:pPr>
              <w:keepNext w:val="0"/>
              <w:keepLines w:val="0"/>
              <w:suppressLineNumbers w:val="0"/>
              <w:spacing w:before="0" w:beforeAutospacing="0" w:after="0" w:afterAutospacing="0" w:line="360" w:lineRule="auto"/>
              <w:ind w:left="0" w:right="0"/>
              <w:jc w:val="center"/>
              <w:rPr>
                <w:rFonts w:hint="default"/>
                <w:color w:val="auto"/>
                <w:szCs w:val="21"/>
                <w:highlight w:val="none"/>
              </w:rPr>
            </w:pPr>
            <w:r>
              <w:rPr>
                <w:rFonts w:hint="eastAsia" w:ascii="宋体" w:hAnsi="宋体"/>
                <w:color w:val="auto"/>
                <w:szCs w:val="21"/>
                <w:highlight w:val="none"/>
              </w:rPr>
              <w:t>单位</w:t>
            </w:r>
          </w:p>
        </w:tc>
        <w:tc>
          <w:tcPr>
            <w:tcW w:w="743" w:type="dxa"/>
            <w:tcBorders>
              <w:top w:val="single" w:color="auto" w:sz="4" w:space="0"/>
              <w:left w:val="single" w:color="auto" w:sz="4" w:space="0"/>
              <w:bottom w:val="single" w:color="auto" w:sz="4" w:space="0"/>
              <w:right w:val="single" w:color="auto" w:sz="4" w:space="0"/>
            </w:tcBorders>
            <w:noWrap w:val="0"/>
            <w:vAlign w:val="center"/>
          </w:tcPr>
          <w:p w14:paraId="66A945E3">
            <w:pPr>
              <w:keepNext w:val="0"/>
              <w:keepLines w:val="0"/>
              <w:suppressLineNumbers w:val="0"/>
              <w:spacing w:before="0" w:beforeAutospacing="0" w:after="0" w:afterAutospacing="0" w:line="360" w:lineRule="auto"/>
              <w:ind w:left="0" w:right="0"/>
              <w:jc w:val="center"/>
              <w:rPr>
                <w:rFonts w:hint="default"/>
                <w:color w:val="auto"/>
                <w:szCs w:val="21"/>
                <w:highlight w:val="none"/>
              </w:rPr>
            </w:pPr>
            <w:r>
              <w:rPr>
                <w:rFonts w:hint="eastAsia" w:ascii="宋体" w:hAnsi="宋体"/>
                <w:color w:val="auto"/>
                <w:szCs w:val="21"/>
                <w:highlight w:val="none"/>
              </w:rPr>
              <w:t>数量</w:t>
            </w:r>
          </w:p>
        </w:tc>
        <w:tc>
          <w:tcPr>
            <w:tcW w:w="979" w:type="dxa"/>
            <w:tcBorders>
              <w:top w:val="single" w:color="auto" w:sz="4" w:space="0"/>
              <w:left w:val="single" w:color="auto" w:sz="4" w:space="0"/>
              <w:bottom w:val="single" w:color="auto" w:sz="4" w:space="0"/>
              <w:right w:val="single" w:color="auto" w:sz="4" w:space="0"/>
            </w:tcBorders>
            <w:noWrap w:val="0"/>
            <w:vAlign w:val="center"/>
          </w:tcPr>
          <w:p w14:paraId="181F1A5F">
            <w:pPr>
              <w:keepNext w:val="0"/>
              <w:keepLines w:val="0"/>
              <w:suppressLineNumbers w:val="0"/>
              <w:spacing w:before="0" w:beforeAutospacing="0" w:after="0" w:afterAutospacing="0" w:line="360" w:lineRule="auto"/>
              <w:ind w:left="0" w:right="0"/>
              <w:jc w:val="center"/>
              <w:rPr>
                <w:rFonts w:hint="default"/>
                <w:color w:val="auto"/>
                <w:szCs w:val="21"/>
                <w:highlight w:val="none"/>
              </w:rPr>
            </w:pPr>
            <w:r>
              <w:rPr>
                <w:rFonts w:hint="eastAsia" w:ascii="宋体" w:hAnsi="宋体"/>
                <w:color w:val="auto"/>
                <w:szCs w:val="21"/>
                <w:highlight w:val="none"/>
              </w:rPr>
              <w:t>单价（元）</w:t>
            </w:r>
          </w:p>
        </w:tc>
        <w:tc>
          <w:tcPr>
            <w:tcW w:w="979" w:type="dxa"/>
            <w:tcBorders>
              <w:top w:val="single" w:color="auto" w:sz="4" w:space="0"/>
              <w:left w:val="single" w:color="auto" w:sz="4" w:space="0"/>
              <w:bottom w:val="single" w:color="auto" w:sz="4" w:space="0"/>
              <w:right w:val="single" w:color="auto" w:sz="4" w:space="0"/>
            </w:tcBorders>
            <w:noWrap w:val="0"/>
            <w:vAlign w:val="center"/>
          </w:tcPr>
          <w:p w14:paraId="7134F0D8">
            <w:pPr>
              <w:keepNext w:val="0"/>
              <w:keepLines w:val="0"/>
              <w:suppressLineNumbers w:val="0"/>
              <w:spacing w:before="0" w:beforeAutospacing="0" w:after="0" w:afterAutospacing="0" w:line="360" w:lineRule="auto"/>
              <w:ind w:left="0" w:right="0"/>
              <w:jc w:val="center"/>
              <w:rPr>
                <w:rFonts w:hint="default"/>
                <w:color w:val="auto"/>
                <w:szCs w:val="21"/>
                <w:highlight w:val="none"/>
              </w:rPr>
            </w:pPr>
            <w:r>
              <w:rPr>
                <w:rFonts w:hint="eastAsia" w:ascii="宋体" w:hAnsi="宋体"/>
                <w:color w:val="auto"/>
                <w:szCs w:val="21"/>
                <w:highlight w:val="none"/>
              </w:rPr>
              <w:t>合价（元）</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492DFAE6">
            <w:pPr>
              <w:keepNext w:val="0"/>
              <w:keepLines w:val="0"/>
              <w:suppressLineNumbers w:val="0"/>
              <w:spacing w:before="0" w:beforeAutospacing="0" w:after="0" w:afterAutospacing="0" w:line="360" w:lineRule="auto"/>
              <w:ind w:left="0" w:right="0"/>
              <w:jc w:val="center"/>
              <w:rPr>
                <w:rFonts w:hint="default"/>
                <w:color w:val="auto"/>
                <w:szCs w:val="21"/>
                <w:highlight w:val="none"/>
              </w:rPr>
            </w:pPr>
            <w:r>
              <w:rPr>
                <w:rFonts w:hint="eastAsia" w:ascii="宋体" w:hAnsi="宋体"/>
                <w:color w:val="auto"/>
                <w:szCs w:val="21"/>
                <w:highlight w:val="none"/>
              </w:rPr>
              <w:t>有效损耗率（%）</w:t>
            </w:r>
          </w:p>
        </w:tc>
        <w:tc>
          <w:tcPr>
            <w:tcW w:w="805" w:type="dxa"/>
            <w:tcBorders>
              <w:top w:val="single" w:color="auto" w:sz="4" w:space="0"/>
              <w:left w:val="single" w:color="auto" w:sz="4" w:space="0"/>
              <w:bottom w:val="single" w:color="auto" w:sz="4" w:space="0"/>
              <w:right w:val="single" w:color="auto" w:sz="4" w:space="0"/>
            </w:tcBorders>
            <w:noWrap w:val="0"/>
            <w:vAlign w:val="center"/>
          </w:tcPr>
          <w:p w14:paraId="50CDAD9B">
            <w:pPr>
              <w:keepNext w:val="0"/>
              <w:keepLines w:val="0"/>
              <w:suppressLineNumbers w:val="0"/>
              <w:spacing w:before="0" w:beforeAutospacing="0" w:after="0" w:afterAutospacing="0" w:line="360" w:lineRule="auto"/>
              <w:ind w:left="0" w:right="0"/>
              <w:jc w:val="center"/>
              <w:rPr>
                <w:rFonts w:hint="default"/>
                <w:color w:val="auto"/>
                <w:szCs w:val="21"/>
                <w:highlight w:val="none"/>
              </w:rPr>
            </w:pPr>
            <w:r>
              <w:rPr>
                <w:rFonts w:hint="eastAsia" w:ascii="宋体" w:hAnsi="宋体"/>
                <w:color w:val="auto"/>
                <w:szCs w:val="21"/>
                <w:highlight w:val="none"/>
                <w:lang w:eastAsia="zh-CN"/>
              </w:rPr>
              <w:t>交货地点</w:t>
            </w:r>
          </w:p>
        </w:tc>
        <w:tc>
          <w:tcPr>
            <w:tcW w:w="853" w:type="dxa"/>
            <w:tcBorders>
              <w:top w:val="single" w:color="auto" w:sz="4" w:space="0"/>
              <w:left w:val="single" w:color="auto" w:sz="4" w:space="0"/>
              <w:bottom w:val="single" w:color="auto" w:sz="4" w:space="0"/>
              <w:right w:val="single" w:color="auto" w:sz="4" w:space="0"/>
            </w:tcBorders>
            <w:noWrap w:val="0"/>
            <w:vAlign w:val="center"/>
          </w:tcPr>
          <w:p w14:paraId="12A11459">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备注</w:t>
            </w:r>
          </w:p>
        </w:tc>
      </w:tr>
      <w:tr w14:paraId="3E355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7C58A522">
            <w:pPr>
              <w:keepNext w:val="0"/>
              <w:keepLines w:val="0"/>
              <w:suppressLineNumbers w:val="0"/>
              <w:spacing w:before="0" w:beforeAutospacing="0" w:after="0" w:afterAutospacing="0" w:line="360" w:lineRule="auto"/>
              <w:ind w:left="0" w:leftChars="0" w:right="0" w:rightChars="0"/>
              <w:jc w:val="center"/>
              <w:rPr>
                <w:rFonts w:hint="default" w:ascii="宋体" w:hAnsi="宋体"/>
                <w:b/>
                <w:bCs/>
                <w:color w:val="auto"/>
                <w:szCs w:val="21"/>
                <w:highlight w:val="none"/>
              </w:rPr>
            </w:pPr>
            <w:r>
              <w:rPr>
                <w:rFonts w:hint="eastAsia" w:ascii="宋体" w:hAnsi="宋体"/>
                <w:b/>
                <w:bCs/>
                <w:color w:val="auto"/>
                <w:szCs w:val="21"/>
                <w:highlight w:val="none"/>
                <w:lang w:val="en-US" w:eastAsia="zh-CN"/>
              </w:rPr>
              <w:t>一</w:t>
            </w:r>
          </w:p>
        </w:tc>
        <w:tc>
          <w:tcPr>
            <w:tcW w:w="1976" w:type="dxa"/>
            <w:tcBorders>
              <w:top w:val="single" w:color="auto" w:sz="4" w:space="0"/>
              <w:left w:val="single" w:color="auto" w:sz="4" w:space="0"/>
              <w:bottom w:val="single" w:color="auto" w:sz="4" w:space="0"/>
              <w:right w:val="single" w:color="auto" w:sz="4" w:space="0"/>
            </w:tcBorders>
            <w:noWrap w:val="0"/>
            <w:vAlign w:val="center"/>
          </w:tcPr>
          <w:p w14:paraId="1C7DA8D6">
            <w:pPr>
              <w:keepNext w:val="0"/>
              <w:keepLines w:val="0"/>
              <w:suppressLineNumbers w:val="0"/>
              <w:spacing w:before="0" w:beforeAutospacing="0" w:after="0" w:afterAutospacing="0" w:line="360" w:lineRule="auto"/>
              <w:ind w:left="0" w:leftChars="0" w:right="0" w:rightChars="0"/>
              <w:jc w:val="left"/>
              <w:rPr>
                <w:rFonts w:hint="eastAsia" w:ascii="宋体" w:hAnsi="宋体" w:eastAsia="宋体"/>
                <w:b/>
                <w:bCs/>
                <w:color w:val="auto"/>
                <w:szCs w:val="21"/>
                <w:highlight w:val="none"/>
              </w:rPr>
            </w:pPr>
            <w:r>
              <w:rPr>
                <w:rFonts w:hint="eastAsia" w:ascii="宋体" w:hAnsi="宋体"/>
                <w:b/>
                <w:bCs/>
                <w:color w:val="auto"/>
                <w:szCs w:val="21"/>
                <w:highlight w:val="none"/>
                <w:lang w:eastAsia="zh-CN"/>
              </w:rPr>
              <w:t>单项工程</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0A38F39B">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782794C8">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286FBC9D">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5E7DAD98">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07306EEF">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2808BD2F">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1E4AF489">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r>
      <w:tr w14:paraId="40667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6AB53A62">
            <w:pPr>
              <w:keepNext w:val="0"/>
              <w:keepLines w:val="0"/>
              <w:suppressLineNumbers w:val="0"/>
              <w:spacing w:before="0" w:beforeAutospacing="0" w:after="0" w:afterAutospacing="0" w:line="360" w:lineRule="auto"/>
              <w:ind w:left="0" w:leftChars="0" w:right="0" w:rightChars="0"/>
              <w:jc w:val="center"/>
              <w:rPr>
                <w:rFonts w:hint="default" w:ascii="宋体" w:hAnsi="宋体" w:eastAsia="宋体" w:cs="Times New Roman"/>
                <w:color w:val="auto"/>
                <w:kern w:val="2"/>
                <w:sz w:val="21"/>
                <w:szCs w:val="21"/>
                <w:highlight w:val="none"/>
                <w:lang w:val="en-US" w:eastAsia="zh-CN" w:bidi="ar-SA"/>
              </w:rPr>
            </w:pPr>
            <w:r>
              <w:rPr>
                <w:rFonts w:hint="eastAsia" w:ascii="宋体" w:hAnsi="宋体"/>
                <w:b w:val="0"/>
                <w:bCs w:val="0"/>
                <w:color w:val="auto"/>
                <w:szCs w:val="21"/>
                <w:highlight w:val="none"/>
                <w:lang w:eastAsia="zh-CN"/>
              </w:rPr>
              <w:t>（一）</w:t>
            </w:r>
          </w:p>
        </w:tc>
        <w:tc>
          <w:tcPr>
            <w:tcW w:w="1976" w:type="dxa"/>
            <w:tcBorders>
              <w:top w:val="single" w:color="auto" w:sz="4" w:space="0"/>
              <w:left w:val="single" w:color="auto" w:sz="4" w:space="0"/>
              <w:bottom w:val="single" w:color="auto" w:sz="4" w:space="0"/>
              <w:right w:val="single" w:color="auto" w:sz="4" w:space="0"/>
            </w:tcBorders>
            <w:noWrap w:val="0"/>
            <w:vAlign w:val="center"/>
          </w:tcPr>
          <w:p w14:paraId="45550621">
            <w:pPr>
              <w:keepNext w:val="0"/>
              <w:keepLines w:val="0"/>
              <w:suppressLineNumbers w:val="0"/>
              <w:spacing w:before="0" w:beforeAutospacing="0" w:after="0" w:afterAutospacing="0" w:line="360" w:lineRule="auto"/>
              <w:ind w:left="0" w:leftChars="0" w:right="0" w:rightChars="0"/>
              <w:jc w:val="left"/>
              <w:rPr>
                <w:rFonts w:hint="eastAsia" w:ascii="宋体" w:hAnsi="宋体" w:eastAsia="宋体" w:cs="Times New Roman"/>
                <w:color w:val="auto"/>
                <w:kern w:val="2"/>
                <w:sz w:val="21"/>
                <w:szCs w:val="21"/>
                <w:highlight w:val="none"/>
                <w:lang w:val="en-US" w:eastAsia="zh-CN" w:bidi="ar-SA"/>
              </w:rPr>
            </w:pPr>
            <w:r>
              <w:rPr>
                <w:rFonts w:hint="eastAsia" w:ascii="宋体" w:hAnsi="宋体"/>
                <w:b w:val="0"/>
                <w:bCs w:val="0"/>
                <w:color w:val="auto"/>
                <w:szCs w:val="21"/>
                <w:highlight w:val="none"/>
                <w:lang w:eastAsia="zh-CN"/>
              </w:rPr>
              <w:t>单位</w:t>
            </w:r>
            <w:r>
              <w:rPr>
                <w:rFonts w:hint="eastAsia" w:ascii="宋体" w:hAnsi="宋体"/>
                <w:b w:val="0"/>
                <w:bCs w:val="0"/>
                <w:color w:val="auto"/>
                <w:szCs w:val="21"/>
                <w:highlight w:val="none"/>
              </w:rPr>
              <w:t>工程</w:t>
            </w:r>
            <w:r>
              <w:rPr>
                <w:rFonts w:hint="eastAsia" w:ascii="宋体" w:hAnsi="宋体"/>
                <w:b w:val="0"/>
                <w:bCs w:val="0"/>
                <w:color w:val="auto"/>
                <w:szCs w:val="21"/>
                <w:highlight w:val="none"/>
                <w:lang w:val="en-US" w:eastAsia="zh-CN"/>
              </w:rPr>
              <w:t>1</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64399DEB">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3EFADE5C">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6EF0B4A6">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10CDA5D3">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68C156CF">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19870E08">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52AE1B44">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r>
      <w:tr w14:paraId="42F7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296013C9">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7CAD0A49">
            <w:pPr>
              <w:keepNext w:val="0"/>
              <w:keepLines w:val="0"/>
              <w:suppressLineNumbers w:val="0"/>
              <w:spacing w:before="0" w:beforeAutospacing="0" w:after="0" w:afterAutospacing="0" w:line="360" w:lineRule="auto"/>
              <w:ind w:left="0" w:right="0"/>
              <w:jc w:val="both"/>
              <w:rPr>
                <w:rFonts w:hint="default" w:ascii="宋体" w:hAnsi="宋体"/>
                <w:color w:val="auto"/>
                <w:szCs w:val="21"/>
                <w:highlight w:val="none"/>
              </w:rPr>
            </w:pPr>
            <w:r>
              <w:rPr>
                <w:rFonts w:hint="default" w:ascii="宋体" w:hAnsi="宋体"/>
                <w:color w:val="auto"/>
                <w:szCs w:val="21"/>
                <w:highlight w:val="none"/>
              </w:rPr>
              <w:t>……</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4BC3D03F">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62B01F1A">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09F3C77D">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6E86447E">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4876A3B6">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16F94317">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48EABE8C">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r>
      <w:tr w14:paraId="7238F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6E2DE6C5">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3954744C">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06B91F09">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6CA84F14">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4F64CC37">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494E753F">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5467057E">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36C2BE0C">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2F2E0ED5">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r>
      <w:tr w14:paraId="1D90E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319E1BD3">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olor w:val="auto"/>
                <w:szCs w:val="21"/>
                <w:highlight w:val="none"/>
              </w:rPr>
            </w:pPr>
            <w:r>
              <w:rPr>
                <w:rFonts w:hint="eastAsia" w:ascii="宋体" w:hAnsi="宋体"/>
                <w:b w:val="0"/>
                <w:bCs w:val="0"/>
                <w:color w:val="auto"/>
                <w:szCs w:val="21"/>
                <w:highlight w:val="none"/>
                <w:lang w:eastAsia="zh-CN"/>
              </w:rPr>
              <w:t>（二）</w:t>
            </w:r>
          </w:p>
        </w:tc>
        <w:tc>
          <w:tcPr>
            <w:tcW w:w="1976" w:type="dxa"/>
            <w:tcBorders>
              <w:top w:val="single" w:color="auto" w:sz="4" w:space="0"/>
              <w:left w:val="single" w:color="auto" w:sz="4" w:space="0"/>
              <w:bottom w:val="single" w:color="auto" w:sz="4" w:space="0"/>
              <w:right w:val="single" w:color="auto" w:sz="4" w:space="0"/>
            </w:tcBorders>
            <w:noWrap w:val="0"/>
            <w:vAlign w:val="center"/>
          </w:tcPr>
          <w:p w14:paraId="734A58BA">
            <w:pPr>
              <w:keepNext w:val="0"/>
              <w:keepLines w:val="0"/>
              <w:suppressLineNumbers w:val="0"/>
              <w:spacing w:before="0" w:beforeAutospacing="0" w:after="0" w:afterAutospacing="0" w:line="360" w:lineRule="auto"/>
              <w:ind w:left="0" w:leftChars="0" w:right="0" w:rightChars="0"/>
              <w:jc w:val="left"/>
              <w:rPr>
                <w:rFonts w:hint="eastAsia" w:ascii="宋体" w:hAnsi="宋体" w:eastAsia="宋体"/>
                <w:color w:val="auto"/>
                <w:szCs w:val="21"/>
                <w:highlight w:val="none"/>
              </w:rPr>
            </w:pPr>
            <w:r>
              <w:rPr>
                <w:rFonts w:hint="eastAsia" w:ascii="宋体" w:hAnsi="宋体"/>
                <w:b w:val="0"/>
                <w:bCs w:val="0"/>
                <w:color w:val="auto"/>
                <w:kern w:val="0"/>
                <w:sz w:val="21"/>
                <w:szCs w:val="21"/>
                <w:highlight w:val="none"/>
                <w:lang w:eastAsia="zh-CN"/>
              </w:rPr>
              <w:t>单位</w:t>
            </w:r>
            <w:r>
              <w:rPr>
                <w:rFonts w:hint="eastAsia" w:ascii="宋体" w:hAnsi="宋体"/>
                <w:b w:val="0"/>
                <w:bCs w:val="0"/>
                <w:color w:val="auto"/>
                <w:kern w:val="0"/>
                <w:sz w:val="21"/>
                <w:szCs w:val="21"/>
                <w:highlight w:val="none"/>
              </w:rPr>
              <w:t>工程</w:t>
            </w:r>
            <w:r>
              <w:rPr>
                <w:rFonts w:hint="eastAsia" w:ascii="宋体" w:hAnsi="宋体"/>
                <w:b w:val="0"/>
                <w:bCs w:val="0"/>
                <w:color w:val="auto"/>
                <w:kern w:val="0"/>
                <w:sz w:val="21"/>
                <w:szCs w:val="21"/>
                <w:highlight w:val="none"/>
                <w:lang w:val="en-US" w:eastAsia="zh-CN"/>
              </w:rPr>
              <w:t>2</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0D174B90">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70F92036">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4F85FBD0">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60F00436">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07561A2C">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09659848">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61B8E441">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r>
      <w:tr w14:paraId="2D00E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6B5E8980">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6E260B48">
            <w:pPr>
              <w:keepNext w:val="0"/>
              <w:keepLines w:val="0"/>
              <w:suppressLineNumbers w:val="0"/>
              <w:spacing w:before="0" w:beforeAutospacing="0" w:after="0" w:afterAutospacing="0" w:line="360" w:lineRule="auto"/>
              <w:ind w:left="0" w:right="0"/>
              <w:jc w:val="left"/>
              <w:rPr>
                <w:rFonts w:hint="default" w:ascii="宋体" w:hAnsi="宋体"/>
                <w:color w:val="auto"/>
                <w:szCs w:val="21"/>
                <w:highlight w:val="none"/>
              </w:rPr>
            </w:pPr>
            <w:r>
              <w:rPr>
                <w:rFonts w:hint="default" w:ascii="宋体" w:hAnsi="宋体"/>
                <w:color w:val="auto"/>
                <w:szCs w:val="21"/>
                <w:highlight w:val="none"/>
              </w:rPr>
              <w:t>……</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645EEB3F">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48D00CEC">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6F2DBB04">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00B3F5E7">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51D7AD84">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18D1AA6F">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2709B36F">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r>
      <w:tr w14:paraId="500EF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2F180BDD">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442D63B3">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5B7A62A6">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3B5DA208">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1ABBEC36">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54065314">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5D9D90DF">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06245C59">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0D725B03">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r>
      <w:tr w14:paraId="1368D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2268B921">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b/>
                <w:color w:val="auto"/>
                <w:szCs w:val="21"/>
                <w:highlight w:val="none"/>
              </w:rPr>
            </w:pPr>
            <w:r>
              <w:rPr>
                <w:rFonts w:hint="eastAsia" w:ascii="宋体" w:hAnsi="宋体"/>
                <w:b/>
                <w:color w:val="auto"/>
                <w:szCs w:val="21"/>
                <w:highlight w:val="none"/>
                <w:lang w:eastAsia="zh-CN"/>
              </w:rPr>
              <w:t>二</w:t>
            </w:r>
          </w:p>
        </w:tc>
        <w:tc>
          <w:tcPr>
            <w:tcW w:w="1976" w:type="dxa"/>
            <w:tcBorders>
              <w:top w:val="single" w:color="auto" w:sz="4" w:space="0"/>
              <w:left w:val="single" w:color="auto" w:sz="4" w:space="0"/>
              <w:bottom w:val="single" w:color="auto" w:sz="4" w:space="0"/>
              <w:right w:val="single" w:color="auto" w:sz="4" w:space="0"/>
            </w:tcBorders>
            <w:noWrap w:val="0"/>
            <w:vAlign w:val="center"/>
          </w:tcPr>
          <w:p w14:paraId="5E911D3B">
            <w:pPr>
              <w:keepNext w:val="0"/>
              <w:keepLines w:val="0"/>
              <w:suppressLineNumbers w:val="0"/>
              <w:spacing w:before="0" w:beforeAutospacing="0" w:after="0" w:afterAutospacing="0" w:line="360" w:lineRule="auto"/>
              <w:ind w:left="0" w:leftChars="0" w:right="0" w:rightChars="0"/>
              <w:jc w:val="left"/>
              <w:rPr>
                <w:rFonts w:hint="eastAsia" w:ascii="Times New Roman" w:hAnsi="Times New Roman" w:eastAsia="宋体"/>
                <w:b w:val="0"/>
                <w:bCs w:val="0"/>
                <w:color w:val="auto"/>
                <w:kern w:val="2"/>
                <w:sz w:val="21"/>
                <w:szCs w:val="21"/>
                <w:highlight w:val="none"/>
              </w:rPr>
            </w:pPr>
            <w:r>
              <w:rPr>
                <w:rFonts w:hint="eastAsia" w:ascii="宋体" w:hAnsi="宋体"/>
                <w:b/>
                <w:bCs/>
                <w:color w:val="auto"/>
                <w:kern w:val="0"/>
                <w:sz w:val="21"/>
                <w:szCs w:val="21"/>
                <w:highlight w:val="none"/>
                <w:lang w:eastAsia="zh-CN"/>
              </w:rPr>
              <w:t>单项</w:t>
            </w:r>
            <w:r>
              <w:rPr>
                <w:rFonts w:hint="eastAsia" w:ascii="宋体" w:hAnsi="宋体"/>
                <w:b/>
                <w:bCs/>
                <w:color w:val="auto"/>
                <w:kern w:val="0"/>
                <w:sz w:val="21"/>
                <w:szCs w:val="21"/>
                <w:highlight w:val="none"/>
              </w:rPr>
              <w:t>工程</w:t>
            </w:r>
            <w:r>
              <w:rPr>
                <w:rFonts w:hint="eastAsia" w:ascii="宋体" w:hAnsi="宋体"/>
                <w:b/>
                <w:bCs/>
                <w:color w:val="auto"/>
                <w:kern w:val="0"/>
                <w:sz w:val="21"/>
                <w:szCs w:val="21"/>
                <w:highlight w:val="none"/>
                <w:lang w:val="en-US" w:eastAsia="zh-CN"/>
              </w:rPr>
              <w:t>2</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0FEC4311">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009935FB">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06894231">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7389D9A7">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4900E6AA">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46E777AD">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70E0C3B6">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r>
      <w:tr w14:paraId="5DE7F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6522F343">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162B7FAE">
            <w:pPr>
              <w:keepNext w:val="0"/>
              <w:keepLines w:val="0"/>
              <w:suppressLineNumbers w:val="0"/>
              <w:spacing w:before="0" w:beforeAutospacing="0" w:after="0" w:afterAutospacing="0" w:line="360" w:lineRule="auto"/>
              <w:ind w:left="0" w:right="0"/>
              <w:jc w:val="left"/>
              <w:textAlignment w:val="center"/>
              <w:rPr>
                <w:rFonts w:hint="default" w:ascii="宋体" w:hAnsi="宋体"/>
                <w:color w:val="auto"/>
                <w:szCs w:val="21"/>
                <w:highlight w:val="none"/>
              </w:rPr>
            </w:pPr>
            <w:r>
              <w:rPr>
                <w:rFonts w:hint="default" w:ascii="宋体" w:hAnsi="宋体"/>
                <w:color w:val="auto"/>
                <w:szCs w:val="21"/>
                <w:highlight w:val="none"/>
              </w:rPr>
              <w:t>……</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0CFE90B0">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7CE1BADE">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57949D53">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4757B67D">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265C7688">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38C32304">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00F43601">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r>
      <w:tr w14:paraId="6808C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02AE41D6">
            <w:pPr>
              <w:keepNext w:val="0"/>
              <w:keepLines w:val="0"/>
              <w:suppressLineNumbers w:val="0"/>
              <w:spacing w:before="0" w:beforeAutospacing="0" w:after="0" w:afterAutospacing="0" w:line="360" w:lineRule="auto"/>
              <w:ind w:left="0" w:right="0"/>
              <w:jc w:val="center"/>
              <w:rPr>
                <w:rFonts w:hint="default" w:ascii="宋体" w:hAnsi="宋体"/>
                <w:b/>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53D4A63E">
            <w:pPr>
              <w:keepNext w:val="0"/>
              <w:keepLines w:val="0"/>
              <w:suppressLineNumbers w:val="0"/>
              <w:spacing w:before="0" w:beforeAutospacing="0" w:after="0" w:afterAutospacing="0" w:line="360" w:lineRule="auto"/>
              <w:ind w:left="0" w:right="0"/>
              <w:jc w:val="left"/>
              <w:textAlignment w:val="center"/>
              <w:rPr>
                <w:rFonts w:hint="default" w:ascii="宋体" w:hAnsi="宋体"/>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210D7FEE">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450CD38E">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6AEE1EBE">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549D08A9">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77AFBB02">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5E49E748">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06D5906D">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r>
      <w:tr w14:paraId="7CD49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529718DF">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773C6733">
            <w:pPr>
              <w:keepNext w:val="0"/>
              <w:keepLines w:val="0"/>
              <w:suppressLineNumbers w:val="0"/>
              <w:spacing w:before="0" w:beforeAutospacing="0" w:after="0" w:afterAutospacing="0" w:line="360" w:lineRule="auto"/>
              <w:ind w:left="0" w:right="0"/>
              <w:jc w:val="left"/>
              <w:textAlignment w:val="center"/>
              <w:rPr>
                <w:rFonts w:hint="default" w:ascii="宋体" w:hAnsi="宋体"/>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56C0A864">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0743C84A">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16E4373B">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3A98C3DB">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13655FD1">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58375009">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156EA18A">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r>
      <w:tr w14:paraId="158E5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5A3DE8A7">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21737093">
            <w:pPr>
              <w:keepNext w:val="0"/>
              <w:keepLines w:val="0"/>
              <w:suppressLineNumbers w:val="0"/>
              <w:spacing w:before="0" w:beforeAutospacing="0" w:after="0" w:afterAutospacing="0" w:line="360" w:lineRule="auto"/>
              <w:ind w:left="0" w:right="0"/>
              <w:jc w:val="left"/>
              <w:textAlignment w:val="center"/>
              <w:rPr>
                <w:rFonts w:hint="default" w:ascii="宋体" w:hAnsi="宋体"/>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585F453F">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710BBC15">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539CD3F1">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543F5E22">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694B5867">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16AD9907">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2059EEBC">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r>
      <w:tr w14:paraId="2B062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7F18FF94">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163786C9">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27AA9FE5">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27A5EC7E">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14FF9CAF">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764A6375">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409E6EB0">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3A09DFA2">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4D578532">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r>
      <w:tr w14:paraId="7BA71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3C8F3B06">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24F3A494">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66C49393">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3B24E957">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74F8B540">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17C65971">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53EC055B">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4AAC0686">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1D5F52B7">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r>
      <w:tr w14:paraId="6CA4B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0AEBB960">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20AE0A1D">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39A932B6">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475C773B">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7A027DAE">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055A5945">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5C37E4B7">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12EE4429">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15FC6B4C">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r>
      <w:tr w14:paraId="4EEB6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13D6B426">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5E78A800">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7EEEAC68">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269DAEB3">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4BA27394">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5E83375F">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07616728">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35A751F6">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5C27E6B9">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r>
      <w:tr w14:paraId="0F98A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1D2F56BC">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2BF7978D">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eastAsia" w:ascii="宋体" w:hAnsi="宋体"/>
                <w:color w:val="auto"/>
                <w:szCs w:val="21"/>
                <w:highlight w:val="none"/>
              </w:rPr>
              <w:t>合计</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7DB034E5">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619DF755">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226CFD81">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4BB1B6BA">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5B9454C6">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516D5493">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2F526C34">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p>
        </w:tc>
      </w:tr>
    </w:tbl>
    <w:p w14:paraId="58EDA725">
      <w:pPr>
        <w:spacing w:line="360" w:lineRule="auto"/>
        <w:rPr>
          <w:rFonts w:hint="eastAsia" w:ascii="宋体" w:hAnsi="宋体"/>
          <w:color w:val="auto"/>
          <w:sz w:val="20"/>
          <w:szCs w:val="20"/>
          <w:highlight w:val="none"/>
        </w:rPr>
      </w:pPr>
      <w:r>
        <w:rPr>
          <w:rFonts w:hint="eastAsia" w:ascii="宋体" w:hAnsi="宋体"/>
          <w:color w:val="auto"/>
          <w:sz w:val="20"/>
          <w:szCs w:val="20"/>
          <w:highlight w:val="none"/>
        </w:rPr>
        <w:t>注：</w:t>
      </w:r>
      <w:r>
        <w:rPr>
          <w:rFonts w:hint="eastAsia" w:ascii="宋体" w:hAnsi="宋体"/>
          <w:color w:val="auto"/>
          <w:sz w:val="20"/>
          <w:szCs w:val="20"/>
          <w:highlight w:val="none"/>
          <w:lang w:val="en-US" w:eastAsia="zh-CN"/>
        </w:rPr>
        <w:t>1.</w:t>
      </w:r>
      <w:r>
        <w:rPr>
          <w:rFonts w:hint="eastAsia" w:ascii="宋体" w:hAnsi="宋体"/>
          <w:color w:val="auto"/>
          <w:sz w:val="20"/>
          <w:szCs w:val="20"/>
          <w:highlight w:val="none"/>
        </w:rPr>
        <w:t>此表由招标人填写</w:t>
      </w:r>
      <w:r>
        <w:rPr>
          <w:rFonts w:hint="eastAsia" w:ascii="宋体" w:hAnsi="宋体"/>
          <w:color w:val="auto"/>
          <w:sz w:val="20"/>
          <w:szCs w:val="20"/>
          <w:highlight w:val="none"/>
          <w:lang w:eastAsia="zh-CN"/>
        </w:rPr>
        <w:t>，</w:t>
      </w:r>
      <w:r>
        <w:rPr>
          <w:rFonts w:hint="eastAsia" w:ascii="宋体" w:hAnsi="宋体"/>
          <w:color w:val="auto"/>
          <w:sz w:val="20"/>
          <w:szCs w:val="20"/>
          <w:highlight w:val="none"/>
        </w:rPr>
        <w:t>供投标人在投标报价、确定总承包服务费时参考。</w:t>
      </w:r>
    </w:p>
    <w:p w14:paraId="0A0B9FD1">
      <w:pPr>
        <w:spacing w:line="360" w:lineRule="auto"/>
        <w:rPr>
          <w:rFonts w:hint="default" w:ascii="宋体" w:hAnsi="宋体" w:eastAsia="宋体"/>
          <w:color w:val="auto"/>
          <w:sz w:val="20"/>
          <w:szCs w:val="20"/>
          <w:highlight w:val="none"/>
          <w:lang w:val="en-US" w:eastAsia="zh-CN"/>
        </w:rPr>
      </w:pPr>
      <w:r>
        <w:rPr>
          <w:rFonts w:hint="eastAsia" w:ascii="宋体" w:hAnsi="宋体"/>
          <w:color w:val="auto"/>
          <w:sz w:val="20"/>
          <w:szCs w:val="20"/>
          <w:highlight w:val="none"/>
          <w:lang w:val="en-US" w:eastAsia="zh-CN"/>
        </w:rPr>
        <w:t xml:space="preserve">    2.应用于一般计税法为除税价，应用于简易计税法为含税价。</w:t>
      </w:r>
    </w:p>
    <w:p w14:paraId="668C2AB7">
      <w:pPr>
        <w:spacing w:line="360" w:lineRule="auto"/>
        <w:rPr>
          <w:color w:val="auto"/>
          <w:sz w:val="32"/>
          <w:szCs w:val="32"/>
          <w:highlight w:val="none"/>
        </w:rPr>
      </w:pPr>
      <w:r>
        <w:rPr>
          <w:color w:val="auto"/>
          <w:sz w:val="32"/>
          <w:szCs w:val="32"/>
          <w:highlight w:val="none"/>
        </w:rPr>
        <w:t xml:space="preserve"> </w:t>
      </w:r>
    </w:p>
    <w:p w14:paraId="7746C848">
      <w:pPr>
        <w:spacing w:line="360" w:lineRule="auto"/>
        <w:rPr>
          <w:color w:val="auto"/>
          <w:sz w:val="18"/>
          <w:szCs w:val="18"/>
          <w:highlight w:val="none"/>
        </w:rPr>
      </w:pPr>
      <w:r>
        <w:rPr>
          <w:color w:val="auto"/>
          <w:sz w:val="18"/>
          <w:szCs w:val="18"/>
          <w:highlight w:val="none"/>
        </w:rPr>
        <w:t xml:space="preserve"> </w:t>
      </w:r>
    </w:p>
    <w:p w14:paraId="564AC98C">
      <w:pPr>
        <w:spacing w:line="360" w:lineRule="auto"/>
        <w:jc w:val="right"/>
        <w:rPr>
          <w:rFonts w:hint="eastAsia" w:ascii="宋体" w:hAnsi="宋体"/>
          <w:color w:val="auto"/>
          <w:sz w:val="32"/>
          <w:szCs w:val="32"/>
          <w:highlight w:val="none"/>
        </w:rPr>
        <w:sectPr>
          <w:pgSz w:w="11905" w:h="16838"/>
          <w:pgMar w:top="850" w:right="1134" w:bottom="850" w:left="1134" w:header="850" w:footer="992" w:gutter="0"/>
          <w:pgNumType w:fmt="decimal"/>
          <w:cols w:space="720" w:num="1"/>
          <w:rtlGutter w:val="0"/>
          <w:docGrid w:type="linesAndChars" w:linePitch="321" w:charSpace="851"/>
        </w:sectPr>
      </w:pPr>
      <w:r>
        <w:rPr>
          <w:rFonts w:hint="eastAsia" w:ascii="宋体" w:hAnsi="宋体"/>
          <w:color w:val="auto"/>
          <w:sz w:val="24"/>
          <w:szCs w:val="24"/>
          <w:highlight w:val="none"/>
        </w:rPr>
        <w:t xml:space="preserve"> </w:t>
      </w:r>
      <w:r>
        <w:rPr>
          <w:rFonts w:hint="eastAsia" w:ascii="宋体" w:hAnsi="宋体"/>
          <w:color w:val="auto"/>
          <w:sz w:val="21"/>
          <w:szCs w:val="21"/>
          <w:highlight w:val="none"/>
        </w:rPr>
        <w:t>表-1</w:t>
      </w:r>
      <w:r>
        <w:rPr>
          <w:rFonts w:hint="eastAsia" w:ascii="宋体" w:hAnsi="宋体"/>
          <w:color w:val="auto"/>
          <w:sz w:val="21"/>
          <w:szCs w:val="21"/>
          <w:highlight w:val="none"/>
          <w:lang w:val="en-US" w:eastAsia="zh-CN"/>
        </w:rPr>
        <w:t>5</w:t>
      </w:r>
    </w:p>
    <w:p w14:paraId="758C58D1">
      <w:pPr>
        <w:spacing w:line="360" w:lineRule="auto"/>
        <w:jc w:val="center"/>
        <w:rPr>
          <w:rFonts w:hint="eastAsia" w:ascii="宋体" w:hAnsi="宋体"/>
          <w:b/>
          <w:color w:val="auto"/>
          <w:sz w:val="36"/>
          <w:szCs w:val="36"/>
          <w:highlight w:val="none"/>
        </w:rPr>
      </w:pPr>
    </w:p>
    <w:p w14:paraId="1CF67731">
      <w:pPr>
        <w:spacing w:line="360" w:lineRule="auto"/>
        <w:jc w:val="center"/>
        <w:rPr>
          <w:rFonts w:hint="eastAsia" w:ascii="宋体" w:hAnsi="宋体"/>
          <w:b/>
          <w:color w:val="auto"/>
          <w:sz w:val="36"/>
          <w:szCs w:val="36"/>
          <w:highlight w:val="none"/>
        </w:rPr>
      </w:pPr>
    </w:p>
    <w:p w14:paraId="35632AAB">
      <w:pPr>
        <w:spacing w:line="360" w:lineRule="auto"/>
        <w:jc w:val="center"/>
        <w:rPr>
          <w:rFonts w:hint="eastAsia" w:ascii="宋体" w:hAnsi="宋体"/>
          <w:b/>
          <w:color w:val="auto"/>
          <w:sz w:val="36"/>
          <w:szCs w:val="36"/>
          <w:highlight w:val="none"/>
        </w:rPr>
      </w:pPr>
    </w:p>
    <w:p w14:paraId="2AC56BC9">
      <w:pPr>
        <w:spacing w:line="360" w:lineRule="auto"/>
        <w:jc w:val="center"/>
        <w:rPr>
          <w:rFonts w:hint="eastAsia" w:ascii="宋体" w:hAnsi="宋体"/>
          <w:b/>
          <w:color w:val="auto"/>
          <w:sz w:val="36"/>
          <w:szCs w:val="36"/>
          <w:highlight w:val="none"/>
        </w:rPr>
      </w:pPr>
    </w:p>
    <w:p w14:paraId="6466A771">
      <w:pPr>
        <w:pStyle w:val="2"/>
        <w:rPr>
          <w:rFonts w:hint="eastAsia" w:ascii="宋体" w:hAnsi="宋体"/>
          <w:b/>
          <w:color w:val="auto"/>
          <w:sz w:val="36"/>
          <w:szCs w:val="36"/>
          <w:highlight w:val="none"/>
        </w:rPr>
      </w:pPr>
    </w:p>
    <w:p w14:paraId="397F4433">
      <w:pPr>
        <w:rPr>
          <w:rFonts w:hint="eastAsia" w:ascii="宋体" w:hAnsi="宋体"/>
          <w:b/>
          <w:color w:val="auto"/>
          <w:sz w:val="36"/>
          <w:szCs w:val="36"/>
          <w:highlight w:val="none"/>
        </w:rPr>
      </w:pPr>
    </w:p>
    <w:p w14:paraId="2F8ECFA6">
      <w:pPr>
        <w:pStyle w:val="2"/>
        <w:rPr>
          <w:rFonts w:hint="eastAsia" w:ascii="宋体" w:hAnsi="宋体"/>
          <w:b/>
          <w:color w:val="auto"/>
          <w:sz w:val="36"/>
          <w:szCs w:val="36"/>
          <w:highlight w:val="none"/>
        </w:rPr>
      </w:pPr>
    </w:p>
    <w:p w14:paraId="3E1B70AB">
      <w:pPr>
        <w:rPr>
          <w:rFonts w:hint="eastAsia" w:ascii="宋体" w:hAnsi="宋体"/>
          <w:b/>
          <w:color w:val="auto"/>
          <w:sz w:val="36"/>
          <w:szCs w:val="36"/>
          <w:highlight w:val="none"/>
        </w:rPr>
      </w:pPr>
    </w:p>
    <w:p w14:paraId="00E64870">
      <w:pPr>
        <w:pStyle w:val="2"/>
        <w:rPr>
          <w:rFonts w:hint="eastAsia" w:ascii="宋体" w:hAnsi="宋体"/>
          <w:b/>
          <w:color w:val="auto"/>
          <w:sz w:val="36"/>
          <w:szCs w:val="36"/>
          <w:highlight w:val="none"/>
        </w:rPr>
      </w:pPr>
    </w:p>
    <w:p w14:paraId="3C2A2159">
      <w:pPr>
        <w:rPr>
          <w:rFonts w:hint="eastAsia" w:ascii="宋体" w:hAnsi="宋体"/>
          <w:b/>
          <w:color w:val="auto"/>
          <w:sz w:val="36"/>
          <w:szCs w:val="36"/>
          <w:highlight w:val="none"/>
        </w:rPr>
      </w:pPr>
    </w:p>
    <w:p w14:paraId="07B7876F">
      <w:pPr>
        <w:pStyle w:val="2"/>
        <w:rPr>
          <w:rFonts w:hint="eastAsia" w:ascii="宋体" w:hAnsi="宋体"/>
          <w:b/>
          <w:color w:val="auto"/>
          <w:sz w:val="36"/>
          <w:szCs w:val="36"/>
          <w:highlight w:val="none"/>
        </w:rPr>
      </w:pPr>
    </w:p>
    <w:p w14:paraId="15B244EB">
      <w:pPr>
        <w:rPr>
          <w:rFonts w:hint="eastAsia" w:ascii="宋体" w:hAnsi="宋体"/>
          <w:b/>
          <w:color w:val="auto"/>
          <w:sz w:val="36"/>
          <w:szCs w:val="36"/>
          <w:highlight w:val="none"/>
        </w:rPr>
      </w:pPr>
    </w:p>
    <w:p w14:paraId="7938A79E">
      <w:pPr>
        <w:pStyle w:val="2"/>
        <w:rPr>
          <w:rFonts w:hint="eastAsia" w:ascii="宋体" w:hAnsi="宋体"/>
          <w:b/>
          <w:color w:val="auto"/>
          <w:sz w:val="36"/>
          <w:szCs w:val="36"/>
          <w:highlight w:val="none"/>
        </w:rPr>
      </w:pPr>
    </w:p>
    <w:p w14:paraId="4D68BF2C">
      <w:pPr>
        <w:rPr>
          <w:rFonts w:hint="eastAsia" w:ascii="宋体" w:hAnsi="宋体"/>
          <w:b/>
          <w:color w:val="auto"/>
          <w:sz w:val="36"/>
          <w:szCs w:val="36"/>
          <w:highlight w:val="none"/>
        </w:rPr>
      </w:pPr>
    </w:p>
    <w:p w14:paraId="407B5910">
      <w:pPr>
        <w:pStyle w:val="2"/>
        <w:rPr>
          <w:rFonts w:hint="eastAsia" w:ascii="宋体" w:hAnsi="宋体"/>
          <w:b/>
          <w:color w:val="auto"/>
          <w:sz w:val="36"/>
          <w:szCs w:val="36"/>
          <w:highlight w:val="none"/>
        </w:rPr>
      </w:pPr>
    </w:p>
    <w:p w14:paraId="2564580C">
      <w:pPr>
        <w:rPr>
          <w:rFonts w:hint="eastAsia"/>
          <w:color w:val="auto"/>
          <w:highlight w:val="none"/>
        </w:rPr>
      </w:pPr>
    </w:p>
    <w:p w14:paraId="7EEDDF01">
      <w:pPr>
        <w:widowControl/>
        <w:wordWrap/>
        <w:spacing w:before="120" w:beforeLines="50" w:after="120" w:afterLines="50" w:line="360" w:lineRule="auto"/>
        <w:jc w:val="left"/>
        <w:outlineLvl w:val="9"/>
        <w:rPr>
          <w:rFonts w:hint="eastAsia" w:ascii="仿宋_GB2312" w:hAnsi="Times New Roman" w:eastAsia="仿宋_GB2312" w:cs="仿宋_GB2312"/>
          <w:b w:val="0"/>
          <w:color w:val="auto"/>
          <w:sz w:val="30"/>
          <w:szCs w:val="30"/>
          <w:highlight w:val="none"/>
          <w:lang w:val="en-US" w:eastAsia="zh-CN"/>
        </w:rPr>
      </w:pPr>
      <w:r>
        <w:rPr>
          <w:rFonts w:hint="eastAsia" w:ascii="仿宋_GB2312" w:hAnsi="Times New Roman" w:eastAsia="仿宋_GB2312" w:cs="仿宋_GB2312"/>
          <w:b w:val="0"/>
          <w:color w:val="auto"/>
          <w:sz w:val="30"/>
          <w:szCs w:val="30"/>
          <w:highlight w:val="none"/>
          <w:lang w:val="en-US" w:eastAsia="zh-CN"/>
        </w:rPr>
        <w:t xml:space="preserve">附件20 </w:t>
      </w:r>
      <w:r>
        <w:rPr>
          <w:rFonts w:hint="eastAsia" w:ascii="仿宋_GB2312" w:hAnsi="Times New Roman" w:eastAsia="仿宋_GB2312" w:cs="仿宋_GB2312"/>
          <w:b w:val="0"/>
          <w:color w:val="auto"/>
          <w:sz w:val="30"/>
          <w:szCs w:val="30"/>
          <w:highlight w:val="none"/>
          <w:lang w:val="en-US"/>
        </w:rPr>
        <w:t>允许调整价格的主要材料一览表</w:t>
      </w:r>
    </w:p>
    <w:p w14:paraId="2BD43F6B">
      <w:pPr>
        <w:spacing w:line="360" w:lineRule="auto"/>
        <w:jc w:val="center"/>
        <w:rPr>
          <w:b/>
          <w:color w:val="auto"/>
          <w:sz w:val="36"/>
          <w:szCs w:val="36"/>
          <w:highlight w:val="none"/>
        </w:rPr>
      </w:pPr>
      <w:r>
        <w:rPr>
          <w:rFonts w:hint="eastAsia" w:ascii="宋体" w:hAnsi="宋体"/>
          <w:b/>
          <w:color w:val="auto"/>
          <w:sz w:val="36"/>
          <w:szCs w:val="36"/>
          <w:highlight w:val="none"/>
        </w:rPr>
        <w:t>允许调整价格的主要材料一览表</w:t>
      </w:r>
    </w:p>
    <w:p w14:paraId="70792C8B">
      <w:pPr>
        <w:spacing w:line="360" w:lineRule="auto"/>
        <w:jc w:val="center"/>
        <w:rPr>
          <w:b/>
          <w:bCs/>
          <w:color w:val="auto"/>
          <w:sz w:val="28"/>
          <w:szCs w:val="28"/>
          <w:highlight w:val="none"/>
        </w:rPr>
      </w:pPr>
      <w:r>
        <w:rPr>
          <w:rFonts w:hint="eastAsia" w:ascii="宋体" w:hAnsi="宋体"/>
          <w:b/>
          <w:bCs/>
          <w:color w:val="auto"/>
          <w:sz w:val="28"/>
          <w:szCs w:val="28"/>
          <w:highlight w:val="none"/>
        </w:rPr>
        <w:t>（适用于</w:t>
      </w:r>
      <w:r>
        <w:rPr>
          <w:rFonts w:hint="eastAsia" w:ascii="宋体" w:hAnsi="宋体"/>
          <w:b/>
          <w:bCs/>
          <w:color w:val="auto"/>
          <w:sz w:val="28"/>
          <w:szCs w:val="28"/>
          <w:highlight w:val="none"/>
          <w:lang w:eastAsia="zh-CN"/>
        </w:rPr>
        <w:t>单价合同</w:t>
      </w:r>
      <w:r>
        <w:rPr>
          <w:rFonts w:hint="eastAsia" w:ascii="宋体" w:hAnsi="宋体"/>
          <w:b/>
          <w:bCs/>
          <w:color w:val="auto"/>
          <w:sz w:val="28"/>
          <w:szCs w:val="28"/>
          <w:highlight w:val="none"/>
        </w:rPr>
        <w:t>）</w:t>
      </w:r>
    </w:p>
    <w:p w14:paraId="24DAE3B2">
      <w:pPr>
        <w:spacing w:line="360" w:lineRule="auto"/>
        <w:jc w:val="left"/>
        <w:rPr>
          <w:rFonts w:ascii="宋体" w:hAnsi="宋体"/>
          <w:color w:val="auto"/>
          <w:highlight w:val="none"/>
        </w:rPr>
      </w:pPr>
      <w:r>
        <w:rPr>
          <w:rFonts w:hint="eastAsia" w:ascii="宋体" w:hAnsi="宋体"/>
          <w:color w:val="auto"/>
          <w:highlight w:val="none"/>
        </w:rPr>
        <w:t xml:space="preserve"> 工程名称：          </w:t>
      </w:r>
      <w:r>
        <w:rPr>
          <w:rFonts w:hint="eastAsia" w:ascii="宋体" w:hAnsi="宋体"/>
          <w:color w:val="auto"/>
          <w:highlight w:val="none"/>
          <w:lang w:val="en-US" w:eastAsia="zh-CN"/>
        </w:rPr>
        <w:t xml:space="preserve">                                                        </w:t>
      </w:r>
      <w:r>
        <w:rPr>
          <w:rFonts w:hint="eastAsia" w:ascii="宋体" w:hAnsi="宋体"/>
          <w:color w:val="auto"/>
          <w:highlight w:val="none"/>
        </w:rPr>
        <w:t>第  页  共  页</w:t>
      </w:r>
    </w:p>
    <w:tbl>
      <w:tblPr>
        <w:tblStyle w:val="22"/>
        <w:tblW w:w="99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4"/>
        <w:gridCol w:w="4602"/>
        <w:gridCol w:w="851"/>
        <w:gridCol w:w="1075"/>
        <w:gridCol w:w="1225"/>
        <w:gridCol w:w="1257"/>
      </w:tblGrid>
      <w:tr w14:paraId="25292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72CD3329">
            <w:pPr>
              <w:keepNext w:val="0"/>
              <w:keepLines w:val="0"/>
              <w:suppressLineNumbers w:val="0"/>
              <w:spacing w:before="0" w:beforeAutospacing="0" w:after="0" w:afterAutospacing="0" w:line="360" w:lineRule="auto"/>
              <w:ind w:left="0" w:right="0"/>
              <w:jc w:val="center"/>
              <w:rPr>
                <w:rFonts w:hint="default"/>
                <w:color w:val="auto"/>
                <w:highlight w:val="none"/>
              </w:rPr>
            </w:pPr>
            <w:r>
              <w:rPr>
                <w:rFonts w:hint="eastAsia" w:ascii="宋体" w:hAnsi="宋体"/>
                <w:color w:val="auto"/>
                <w:highlight w:val="none"/>
              </w:rPr>
              <w:t>序号</w:t>
            </w:r>
          </w:p>
        </w:tc>
        <w:tc>
          <w:tcPr>
            <w:tcW w:w="4602" w:type="dxa"/>
            <w:noWrap w:val="0"/>
            <w:vAlign w:val="center"/>
          </w:tcPr>
          <w:p w14:paraId="2ED19CB6">
            <w:pPr>
              <w:keepNext w:val="0"/>
              <w:keepLines w:val="0"/>
              <w:suppressLineNumbers w:val="0"/>
              <w:spacing w:before="0" w:beforeAutospacing="0" w:after="0" w:afterAutospacing="0" w:line="360" w:lineRule="auto"/>
              <w:ind w:left="0" w:right="0"/>
              <w:jc w:val="center"/>
              <w:rPr>
                <w:rFonts w:hint="default"/>
                <w:color w:val="auto"/>
                <w:highlight w:val="none"/>
              </w:rPr>
            </w:pPr>
            <w:r>
              <w:rPr>
                <w:rFonts w:hint="eastAsia" w:ascii="宋体" w:hAnsi="宋体"/>
                <w:color w:val="auto"/>
                <w:highlight w:val="none"/>
              </w:rPr>
              <w:t>名称、规格、型号</w:t>
            </w:r>
          </w:p>
        </w:tc>
        <w:tc>
          <w:tcPr>
            <w:tcW w:w="851" w:type="dxa"/>
            <w:noWrap w:val="0"/>
            <w:vAlign w:val="center"/>
          </w:tcPr>
          <w:p w14:paraId="04418DF9">
            <w:pPr>
              <w:keepNext w:val="0"/>
              <w:keepLines w:val="0"/>
              <w:suppressLineNumbers w:val="0"/>
              <w:spacing w:before="0" w:beforeAutospacing="0" w:after="0" w:afterAutospacing="0" w:line="360" w:lineRule="auto"/>
              <w:ind w:left="0" w:right="0"/>
              <w:jc w:val="center"/>
              <w:rPr>
                <w:rFonts w:hint="default"/>
                <w:color w:val="auto"/>
                <w:highlight w:val="none"/>
              </w:rPr>
            </w:pPr>
            <w:r>
              <w:rPr>
                <w:rFonts w:hint="eastAsia" w:ascii="宋体" w:hAnsi="宋体"/>
                <w:color w:val="auto"/>
                <w:highlight w:val="none"/>
              </w:rPr>
              <w:t>单位</w:t>
            </w:r>
          </w:p>
        </w:tc>
        <w:tc>
          <w:tcPr>
            <w:tcW w:w="1075" w:type="dxa"/>
            <w:noWrap w:val="0"/>
            <w:vAlign w:val="center"/>
          </w:tcPr>
          <w:p w14:paraId="6E358A73">
            <w:pPr>
              <w:keepNext w:val="0"/>
              <w:keepLines w:val="0"/>
              <w:widowControl/>
              <w:suppressLineNumbers w:val="0"/>
              <w:spacing w:before="0" w:beforeAutospacing="0" w:after="0" w:afterAutospacing="0" w:line="360" w:lineRule="auto"/>
              <w:ind w:left="0" w:right="0"/>
              <w:jc w:val="center"/>
              <w:rPr>
                <w:rFonts w:hint="default" w:ascii="宋体" w:hAnsi="宋体"/>
                <w:color w:val="auto"/>
                <w:highlight w:val="none"/>
              </w:rPr>
            </w:pPr>
            <w:r>
              <w:rPr>
                <w:rFonts w:hint="eastAsia" w:ascii="宋体" w:hAnsi="宋体"/>
                <w:color w:val="auto"/>
                <w:highlight w:val="none"/>
              </w:rPr>
              <w:t>基准单价（元）</w:t>
            </w:r>
          </w:p>
        </w:tc>
        <w:tc>
          <w:tcPr>
            <w:tcW w:w="1225" w:type="dxa"/>
            <w:noWrap w:val="0"/>
            <w:vAlign w:val="center"/>
          </w:tcPr>
          <w:p w14:paraId="6E865744">
            <w:pPr>
              <w:keepNext w:val="0"/>
              <w:keepLines w:val="0"/>
              <w:widowControl/>
              <w:suppressLineNumbers w:val="0"/>
              <w:spacing w:before="0" w:beforeAutospacing="0" w:after="0" w:afterAutospacing="0" w:line="360" w:lineRule="auto"/>
              <w:ind w:left="0" w:right="0"/>
              <w:jc w:val="center"/>
              <w:rPr>
                <w:rFonts w:hint="default" w:ascii="宋体" w:hAnsi="宋体"/>
                <w:color w:val="auto"/>
                <w:highlight w:val="none"/>
              </w:rPr>
            </w:pPr>
            <w:r>
              <w:rPr>
                <w:rFonts w:hint="eastAsia" w:ascii="宋体" w:hAnsi="宋体"/>
                <w:color w:val="auto"/>
                <w:highlight w:val="none"/>
              </w:rPr>
              <w:t>投标单价（元）</w:t>
            </w:r>
          </w:p>
        </w:tc>
        <w:tc>
          <w:tcPr>
            <w:tcW w:w="1257" w:type="dxa"/>
            <w:noWrap w:val="0"/>
            <w:vAlign w:val="center"/>
          </w:tcPr>
          <w:p w14:paraId="321BD3D3">
            <w:pPr>
              <w:keepNext w:val="0"/>
              <w:keepLines w:val="0"/>
              <w:suppressLineNumbers w:val="0"/>
              <w:spacing w:before="0" w:beforeAutospacing="0" w:after="0" w:afterAutospacing="0" w:line="360" w:lineRule="auto"/>
              <w:ind w:left="0" w:right="0"/>
              <w:jc w:val="center"/>
              <w:rPr>
                <w:rFonts w:hint="default"/>
                <w:color w:val="auto"/>
                <w:highlight w:val="none"/>
              </w:rPr>
            </w:pPr>
            <w:r>
              <w:rPr>
                <w:rFonts w:hint="eastAsia" w:ascii="宋体" w:hAnsi="宋体"/>
                <w:color w:val="auto"/>
                <w:highlight w:val="none"/>
              </w:rPr>
              <w:t>风险幅度（</w:t>
            </w:r>
            <w:r>
              <w:rPr>
                <w:rFonts w:hint="eastAsia"/>
                <w:color w:val="auto"/>
                <w:highlight w:val="none"/>
              </w:rPr>
              <w:t>%</w:t>
            </w:r>
            <w:r>
              <w:rPr>
                <w:rFonts w:hint="eastAsia" w:ascii="宋体" w:hAnsi="宋体"/>
                <w:color w:val="auto"/>
                <w:highlight w:val="none"/>
              </w:rPr>
              <w:t>）</w:t>
            </w:r>
          </w:p>
        </w:tc>
      </w:tr>
      <w:tr w14:paraId="4F279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6E9FCCC8">
            <w:pPr>
              <w:keepNext w:val="0"/>
              <w:keepLines w:val="0"/>
              <w:suppressLineNumbers w:val="0"/>
              <w:spacing w:before="0" w:beforeAutospacing="0" w:after="0" w:afterAutospacing="0" w:line="360" w:lineRule="auto"/>
              <w:ind w:left="0" w:leftChars="0" w:right="0" w:rightChars="0"/>
              <w:jc w:val="center"/>
              <w:rPr>
                <w:rFonts w:hint="eastAsia" w:ascii="Times New Roman" w:hAnsi="Times New Roman" w:eastAsia="宋体"/>
                <w:color w:val="auto"/>
                <w:szCs w:val="21"/>
                <w:highlight w:val="none"/>
              </w:rPr>
            </w:pPr>
            <w:r>
              <w:rPr>
                <w:rFonts w:hint="eastAsia"/>
                <w:b/>
                <w:bCs/>
                <w:color w:val="auto"/>
                <w:szCs w:val="21"/>
                <w:highlight w:val="none"/>
                <w:lang w:eastAsia="zh-CN"/>
              </w:rPr>
              <w:t>一</w:t>
            </w:r>
          </w:p>
        </w:tc>
        <w:tc>
          <w:tcPr>
            <w:tcW w:w="4602" w:type="dxa"/>
            <w:noWrap w:val="0"/>
            <w:vAlign w:val="center"/>
          </w:tcPr>
          <w:p w14:paraId="4C53D1AE">
            <w:pPr>
              <w:keepNext w:val="0"/>
              <w:keepLines w:val="0"/>
              <w:widowControl/>
              <w:suppressLineNumbers w:val="0"/>
              <w:spacing w:before="0" w:beforeAutospacing="0" w:after="0" w:afterAutospacing="0" w:line="360" w:lineRule="auto"/>
              <w:ind w:left="0" w:leftChars="0" w:right="0" w:rightChars="0"/>
              <w:jc w:val="left"/>
              <w:rPr>
                <w:rFonts w:hint="default" w:ascii="宋体" w:hAnsi="宋体"/>
                <w:color w:val="auto"/>
                <w:szCs w:val="21"/>
                <w:highlight w:val="none"/>
              </w:rPr>
            </w:pPr>
            <w:r>
              <w:rPr>
                <w:rFonts w:hint="eastAsia" w:ascii="宋体" w:hAnsi="宋体"/>
                <w:b/>
                <w:bCs w:val="0"/>
                <w:color w:val="auto"/>
                <w:szCs w:val="21"/>
                <w:highlight w:val="none"/>
                <w:lang w:eastAsia="zh-CN"/>
              </w:rPr>
              <w:t>单项工程</w:t>
            </w:r>
            <w:r>
              <w:rPr>
                <w:rFonts w:hint="eastAsia" w:ascii="宋体" w:hAnsi="宋体"/>
                <w:b/>
                <w:bCs w:val="0"/>
                <w:color w:val="auto"/>
                <w:szCs w:val="21"/>
                <w:highlight w:val="none"/>
                <w:lang w:val="en-US" w:eastAsia="zh-CN"/>
              </w:rPr>
              <w:t>1</w:t>
            </w:r>
          </w:p>
        </w:tc>
        <w:tc>
          <w:tcPr>
            <w:tcW w:w="851" w:type="dxa"/>
            <w:noWrap w:val="0"/>
            <w:vAlign w:val="center"/>
          </w:tcPr>
          <w:p w14:paraId="25CB755B">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075" w:type="dxa"/>
            <w:noWrap w:val="0"/>
            <w:vAlign w:val="center"/>
          </w:tcPr>
          <w:p w14:paraId="678CD7E1">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225" w:type="dxa"/>
            <w:noWrap w:val="0"/>
            <w:vAlign w:val="center"/>
          </w:tcPr>
          <w:p w14:paraId="31770685">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257" w:type="dxa"/>
            <w:noWrap w:val="0"/>
            <w:vAlign w:val="center"/>
          </w:tcPr>
          <w:p w14:paraId="0089D60C">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r>
      <w:tr w14:paraId="0AD36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6CD9A2B6">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Times New Roman"/>
                <w:color w:val="auto"/>
                <w:kern w:val="2"/>
                <w:sz w:val="21"/>
                <w:szCs w:val="21"/>
                <w:highlight w:val="none"/>
                <w:lang w:val="en-US" w:eastAsia="zh-CN" w:bidi="ar-SA"/>
              </w:rPr>
            </w:pPr>
            <w:r>
              <w:rPr>
                <w:rFonts w:hint="eastAsia"/>
                <w:color w:val="auto"/>
                <w:szCs w:val="21"/>
                <w:highlight w:val="none"/>
              </w:rPr>
              <w:t>（一）</w:t>
            </w:r>
          </w:p>
        </w:tc>
        <w:tc>
          <w:tcPr>
            <w:tcW w:w="4602" w:type="dxa"/>
            <w:noWrap w:val="0"/>
            <w:vAlign w:val="center"/>
          </w:tcPr>
          <w:p w14:paraId="32D10CF7">
            <w:pPr>
              <w:keepNext w:val="0"/>
              <w:keepLines w:val="0"/>
              <w:suppressLineNumbers w:val="0"/>
              <w:spacing w:before="0" w:beforeAutospacing="0" w:after="0" w:afterAutospacing="0" w:line="360" w:lineRule="auto"/>
              <w:ind w:left="0" w:leftChars="0" w:right="0" w:rightChars="0"/>
              <w:jc w:val="left"/>
              <w:rPr>
                <w:rFonts w:hint="eastAsia" w:ascii="宋体" w:hAnsi="宋体" w:eastAsia="宋体" w:cs="Times New Roman"/>
                <w:color w:val="auto"/>
                <w:kern w:val="2"/>
                <w:sz w:val="21"/>
                <w:szCs w:val="21"/>
                <w:highlight w:val="none"/>
                <w:lang w:val="en-US" w:eastAsia="zh-CN" w:bidi="ar-SA"/>
              </w:rPr>
            </w:pPr>
            <w:r>
              <w:rPr>
                <w:rFonts w:hint="eastAsia" w:ascii="宋体" w:hAnsi="宋体"/>
                <w:bCs/>
                <w:color w:val="auto"/>
                <w:szCs w:val="21"/>
                <w:highlight w:val="none"/>
                <w:lang w:eastAsia="zh-CN"/>
              </w:rPr>
              <w:t>单位工程</w:t>
            </w:r>
            <w:r>
              <w:rPr>
                <w:rFonts w:hint="eastAsia" w:ascii="宋体" w:hAnsi="宋体"/>
                <w:bCs/>
                <w:color w:val="auto"/>
                <w:szCs w:val="21"/>
                <w:highlight w:val="none"/>
                <w:lang w:val="en-US" w:eastAsia="zh-CN"/>
              </w:rPr>
              <w:t>1</w:t>
            </w:r>
          </w:p>
        </w:tc>
        <w:tc>
          <w:tcPr>
            <w:tcW w:w="851" w:type="dxa"/>
            <w:noWrap w:val="0"/>
            <w:vAlign w:val="center"/>
          </w:tcPr>
          <w:p w14:paraId="4653EF93">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075" w:type="dxa"/>
            <w:noWrap w:val="0"/>
            <w:vAlign w:val="center"/>
          </w:tcPr>
          <w:p w14:paraId="0D551B82">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225" w:type="dxa"/>
            <w:noWrap w:val="0"/>
            <w:vAlign w:val="center"/>
          </w:tcPr>
          <w:p w14:paraId="7B10E238">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257" w:type="dxa"/>
            <w:noWrap w:val="0"/>
            <w:vAlign w:val="center"/>
          </w:tcPr>
          <w:p w14:paraId="683B7230">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r>
      <w:tr w14:paraId="1C404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4F8DF590">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4602" w:type="dxa"/>
            <w:noWrap w:val="0"/>
            <w:vAlign w:val="center"/>
          </w:tcPr>
          <w:p w14:paraId="79DB1553">
            <w:pPr>
              <w:keepNext w:val="0"/>
              <w:keepLines w:val="0"/>
              <w:suppressLineNumbers w:val="0"/>
              <w:spacing w:before="0" w:beforeAutospacing="0" w:after="0" w:afterAutospacing="0" w:line="360" w:lineRule="auto"/>
              <w:ind w:left="0" w:right="0"/>
              <w:jc w:val="left"/>
              <w:rPr>
                <w:rFonts w:hint="default" w:ascii="宋体" w:hAnsi="宋体"/>
                <w:color w:val="auto"/>
                <w:szCs w:val="21"/>
                <w:highlight w:val="none"/>
              </w:rPr>
            </w:pPr>
            <w:r>
              <w:rPr>
                <w:rFonts w:hint="default" w:ascii="宋体" w:hAnsi="宋体"/>
                <w:b w:val="0"/>
                <w:bCs w:val="0"/>
                <w:color w:val="auto"/>
                <w:kern w:val="0"/>
                <w:sz w:val="21"/>
                <w:szCs w:val="21"/>
                <w:highlight w:val="none"/>
              </w:rPr>
              <w:t>……</w:t>
            </w:r>
          </w:p>
        </w:tc>
        <w:tc>
          <w:tcPr>
            <w:tcW w:w="851" w:type="dxa"/>
            <w:noWrap w:val="0"/>
            <w:vAlign w:val="center"/>
          </w:tcPr>
          <w:p w14:paraId="38BE3F08">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075" w:type="dxa"/>
            <w:noWrap w:val="0"/>
            <w:vAlign w:val="center"/>
          </w:tcPr>
          <w:p w14:paraId="2D57E0E0">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225" w:type="dxa"/>
            <w:noWrap w:val="0"/>
            <w:vAlign w:val="center"/>
          </w:tcPr>
          <w:p w14:paraId="25989FBA">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257" w:type="dxa"/>
            <w:noWrap w:val="0"/>
            <w:vAlign w:val="center"/>
          </w:tcPr>
          <w:p w14:paraId="16B820B5">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r>
      <w:tr w14:paraId="1249B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58F19CF3">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4602" w:type="dxa"/>
            <w:noWrap w:val="0"/>
            <w:vAlign w:val="center"/>
          </w:tcPr>
          <w:p w14:paraId="55679644">
            <w:pPr>
              <w:keepNext w:val="0"/>
              <w:keepLines w:val="0"/>
              <w:suppressLineNumbers w:val="0"/>
              <w:spacing w:before="0" w:beforeAutospacing="0" w:after="0" w:afterAutospacing="0" w:line="360" w:lineRule="auto"/>
              <w:ind w:left="0" w:right="0"/>
              <w:jc w:val="left"/>
              <w:rPr>
                <w:rFonts w:hint="default" w:ascii="宋体" w:hAnsi="宋体"/>
                <w:color w:val="auto"/>
                <w:szCs w:val="21"/>
                <w:highlight w:val="none"/>
              </w:rPr>
            </w:pPr>
          </w:p>
        </w:tc>
        <w:tc>
          <w:tcPr>
            <w:tcW w:w="851" w:type="dxa"/>
            <w:noWrap w:val="0"/>
            <w:vAlign w:val="center"/>
          </w:tcPr>
          <w:p w14:paraId="2CC66D5F">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075" w:type="dxa"/>
            <w:noWrap w:val="0"/>
            <w:vAlign w:val="center"/>
          </w:tcPr>
          <w:p w14:paraId="0B2D24AB">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225" w:type="dxa"/>
            <w:noWrap w:val="0"/>
            <w:vAlign w:val="center"/>
          </w:tcPr>
          <w:p w14:paraId="6F80D5EA">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257" w:type="dxa"/>
            <w:noWrap w:val="0"/>
            <w:vAlign w:val="center"/>
          </w:tcPr>
          <w:p w14:paraId="51323A3A">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r>
      <w:tr w14:paraId="7652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232A6BB6">
            <w:pPr>
              <w:keepNext w:val="0"/>
              <w:keepLines w:val="0"/>
              <w:suppressLineNumbers w:val="0"/>
              <w:spacing w:before="0" w:beforeAutospacing="0" w:after="0" w:afterAutospacing="0" w:line="360" w:lineRule="auto"/>
              <w:ind w:left="0" w:leftChars="0" w:right="0" w:rightChars="0"/>
              <w:jc w:val="center"/>
              <w:rPr>
                <w:rFonts w:hint="default" w:ascii="宋体" w:hAnsi="宋体"/>
                <w:b w:val="0"/>
                <w:color w:val="auto"/>
                <w:szCs w:val="21"/>
                <w:highlight w:val="none"/>
              </w:rPr>
            </w:pPr>
            <w:r>
              <w:rPr>
                <w:rFonts w:hint="eastAsia" w:ascii="宋体" w:hAnsi="宋体"/>
                <w:b/>
                <w:color w:val="auto"/>
                <w:szCs w:val="21"/>
                <w:highlight w:val="none"/>
              </w:rPr>
              <w:t>二</w:t>
            </w:r>
          </w:p>
        </w:tc>
        <w:tc>
          <w:tcPr>
            <w:tcW w:w="4602" w:type="dxa"/>
            <w:noWrap w:val="0"/>
            <w:vAlign w:val="center"/>
          </w:tcPr>
          <w:p w14:paraId="611FA820">
            <w:pPr>
              <w:keepNext w:val="0"/>
              <w:keepLines w:val="0"/>
              <w:widowControl/>
              <w:suppressLineNumbers w:val="0"/>
              <w:spacing w:before="0" w:beforeAutospacing="0" w:after="0" w:afterAutospacing="0" w:line="360" w:lineRule="auto"/>
              <w:ind w:left="0" w:leftChars="0" w:right="0" w:rightChars="0"/>
              <w:jc w:val="left"/>
              <w:rPr>
                <w:rFonts w:hint="default" w:ascii="宋体" w:hAnsi="宋体"/>
                <w:b w:val="0"/>
                <w:bCs w:val="0"/>
                <w:color w:val="auto"/>
                <w:kern w:val="2"/>
                <w:sz w:val="21"/>
                <w:szCs w:val="21"/>
                <w:highlight w:val="none"/>
              </w:rPr>
            </w:pPr>
            <w:r>
              <w:rPr>
                <w:rFonts w:hint="eastAsia" w:ascii="宋体" w:hAnsi="宋体"/>
                <w:b/>
                <w:bCs/>
                <w:color w:val="auto"/>
                <w:kern w:val="0"/>
                <w:sz w:val="21"/>
                <w:szCs w:val="21"/>
                <w:highlight w:val="none"/>
                <w:lang w:eastAsia="zh-CN"/>
              </w:rPr>
              <w:t>单项</w:t>
            </w:r>
            <w:r>
              <w:rPr>
                <w:rFonts w:hint="eastAsia" w:ascii="宋体" w:hAnsi="宋体"/>
                <w:b/>
                <w:bCs/>
                <w:color w:val="auto"/>
                <w:kern w:val="0"/>
                <w:sz w:val="21"/>
                <w:szCs w:val="21"/>
                <w:highlight w:val="none"/>
              </w:rPr>
              <w:t>工程</w:t>
            </w:r>
            <w:r>
              <w:rPr>
                <w:rFonts w:hint="eastAsia" w:ascii="宋体" w:hAnsi="宋体"/>
                <w:b/>
                <w:bCs/>
                <w:color w:val="auto"/>
                <w:kern w:val="0"/>
                <w:sz w:val="21"/>
                <w:szCs w:val="21"/>
                <w:highlight w:val="none"/>
                <w:lang w:val="en-US" w:eastAsia="zh-CN"/>
              </w:rPr>
              <w:t>2</w:t>
            </w:r>
          </w:p>
        </w:tc>
        <w:tc>
          <w:tcPr>
            <w:tcW w:w="851" w:type="dxa"/>
            <w:noWrap w:val="0"/>
            <w:vAlign w:val="center"/>
          </w:tcPr>
          <w:p w14:paraId="0C3C9D70">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075" w:type="dxa"/>
            <w:noWrap w:val="0"/>
            <w:vAlign w:val="center"/>
          </w:tcPr>
          <w:p w14:paraId="762B9DF4">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225" w:type="dxa"/>
            <w:noWrap w:val="0"/>
            <w:vAlign w:val="center"/>
          </w:tcPr>
          <w:p w14:paraId="78D452A7">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257" w:type="dxa"/>
            <w:noWrap w:val="0"/>
            <w:vAlign w:val="center"/>
          </w:tcPr>
          <w:p w14:paraId="3204AF33">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r>
      <w:tr w14:paraId="02684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0BD1A283">
            <w:pPr>
              <w:keepNext w:val="0"/>
              <w:keepLines w:val="0"/>
              <w:suppressLineNumbers w:val="0"/>
              <w:spacing w:before="0" w:beforeAutospacing="0" w:after="0" w:afterAutospacing="0" w:line="360" w:lineRule="auto"/>
              <w:ind w:left="0" w:right="0"/>
              <w:jc w:val="center"/>
              <w:rPr>
                <w:rFonts w:hint="default" w:ascii="宋体" w:hAnsi="宋体"/>
                <w:b/>
                <w:color w:val="auto"/>
                <w:szCs w:val="21"/>
                <w:highlight w:val="none"/>
              </w:rPr>
            </w:pPr>
          </w:p>
        </w:tc>
        <w:tc>
          <w:tcPr>
            <w:tcW w:w="4602" w:type="dxa"/>
            <w:noWrap w:val="0"/>
            <w:vAlign w:val="center"/>
          </w:tcPr>
          <w:p w14:paraId="45C0E97F">
            <w:pPr>
              <w:keepNext w:val="0"/>
              <w:keepLines w:val="0"/>
              <w:suppressLineNumbers w:val="0"/>
              <w:spacing w:before="0" w:beforeAutospacing="0" w:after="0" w:afterAutospacing="0" w:line="360" w:lineRule="auto"/>
              <w:ind w:left="0" w:right="0"/>
              <w:jc w:val="left"/>
              <w:rPr>
                <w:rFonts w:hint="default" w:ascii="宋体" w:hAnsi="宋体"/>
                <w:b/>
                <w:bCs/>
                <w:color w:val="auto"/>
                <w:kern w:val="0"/>
                <w:sz w:val="21"/>
                <w:szCs w:val="21"/>
                <w:highlight w:val="none"/>
              </w:rPr>
            </w:pPr>
            <w:r>
              <w:rPr>
                <w:rFonts w:hint="default" w:ascii="宋体" w:hAnsi="宋体"/>
                <w:b w:val="0"/>
                <w:bCs w:val="0"/>
                <w:color w:val="auto"/>
                <w:kern w:val="0"/>
                <w:sz w:val="21"/>
                <w:szCs w:val="21"/>
                <w:highlight w:val="none"/>
              </w:rPr>
              <w:t>……</w:t>
            </w:r>
          </w:p>
        </w:tc>
        <w:tc>
          <w:tcPr>
            <w:tcW w:w="851" w:type="dxa"/>
            <w:noWrap w:val="0"/>
            <w:vAlign w:val="center"/>
          </w:tcPr>
          <w:p w14:paraId="2BBCAACC">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075" w:type="dxa"/>
            <w:noWrap w:val="0"/>
            <w:vAlign w:val="center"/>
          </w:tcPr>
          <w:p w14:paraId="61A51254">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225" w:type="dxa"/>
            <w:noWrap w:val="0"/>
            <w:vAlign w:val="center"/>
          </w:tcPr>
          <w:p w14:paraId="7AA75AA2">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257" w:type="dxa"/>
            <w:noWrap w:val="0"/>
            <w:vAlign w:val="center"/>
          </w:tcPr>
          <w:p w14:paraId="519A686E">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r>
      <w:tr w14:paraId="1FC7C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6C5699D5">
            <w:pPr>
              <w:keepNext w:val="0"/>
              <w:keepLines w:val="0"/>
              <w:suppressLineNumbers w:val="0"/>
              <w:spacing w:before="0" w:beforeAutospacing="0" w:after="0" w:afterAutospacing="0" w:line="360" w:lineRule="auto"/>
              <w:ind w:left="0" w:right="0"/>
              <w:jc w:val="center"/>
              <w:rPr>
                <w:rFonts w:hint="default" w:ascii="宋体" w:hAnsi="宋体"/>
                <w:b/>
                <w:color w:val="auto"/>
                <w:szCs w:val="21"/>
                <w:highlight w:val="none"/>
              </w:rPr>
            </w:pPr>
            <w:r>
              <w:rPr>
                <w:rFonts w:hint="eastAsia" w:ascii="宋体" w:hAnsi="宋体"/>
                <w:b/>
                <w:color w:val="auto"/>
                <w:szCs w:val="21"/>
                <w:highlight w:val="none"/>
              </w:rPr>
              <w:t>三</w:t>
            </w:r>
          </w:p>
        </w:tc>
        <w:tc>
          <w:tcPr>
            <w:tcW w:w="4602" w:type="dxa"/>
            <w:noWrap w:val="0"/>
            <w:vAlign w:val="center"/>
          </w:tcPr>
          <w:p w14:paraId="088D3D46">
            <w:pPr>
              <w:keepNext w:val="0"/>
              <w:keepLines w:val="0"/>
              <w:suppressLineNumbers w:val="0"/>
              <w:spacing w:before="0" w:beforeAutospacing="0" w:after="0" w:afterAutospacing="0" w:line="360" w:lineRule="auto"/>
              <w:ind w:left="0" w:right="0"/>
              <w:jc w:val="left"/>
              <w:rPr>
                <w:rFonts w:hint="default" w:ascii="宋体" w:hAnsi="宋体"/>
                <w:color w:val="auto"/>
                <w:szCs w:val="21"/>
                <w:highlight w:val="none"/>
              </w:rPr>
            </w:pPr>
            <w:r>
              <w:rPr>
                <w:rFonts w:hint="eastAsia" w:ascii="宋体" w:hAnsi="宋体"/>
                <w:b/>
                <w:bCs/>
                <w:color w:val="auto"/>
                <w:kern w:val="0"/>
                <w:sz w:val="21"/>
                <w:szCs w:val="21"/>
                <w:highlight w:val="none"/>
                <w:lang w:eastAsia="zh-CN"/>
              </w:rPr>
              <w:t>单项</w:t>
            </w:r>
            <w:r>
              <w:rPr>
                <w:rFonts w:hint="eastAsia" w:ascii="宋体" w:hAnsi="宋体"/>
                <w:b/>
                <w:bCs/>
                <w:color w:val="auto"/>
                <w:kern w:val="0"/>
                <w:sz w:val="21"/>
                <w:szCs w:val="21"/>
                <w:highlight w:val="none"/>
              </w:rPr>
              <w:t>工程</w:t>
            </w:r>
            <w:r>
              <w:rPr>
                <w:rFonts w:hint="eastAsia" w:ascii="宋体" w:hAnsi="宋体"/>
                <w:b/>
                <w:bCs/>
                <w:color w:val="auto"/>
                <w:kern w:val="0"/>
                <w:sz w:val="21"/>
                <w:szCs w:val="21"/>
                <w:highlight w:val="none"/>
                <w:lang w:val="en-US" w:eastAsia="zh-CN"/>
              </w:rPr>
              <w:t>3</w:t>
            </w:r>
          </w:p>
        </w:tc>
        <w:tc>
          <w:tcPr>
            <w:tcW w:w="851" w:type="dxa"/>
            <w:noWrap w:val="0"/>
            <w:vAlign w:val="center"/>
          </w:tcPr>
          <w:p w14:paraId="6519C414">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075" w:type="dxa"/>
            <w:noWrap w:val="0"/>
            <w:vAlign w:val="center"/>
          </w:tcPr>
          <w:p w14:paraId="6FA6C2A2">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225" w:type="dxa"/>
            <w:noWrap w:val="0"/>
            <w:vAlign w:val="center"/>
          </w:tcPr>
          <w:p w14:paraId="0794068F">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257" w:type="dxa"/>
            <w:noWrap w:val="0"/>
            <w:vAlign w:val="center"/>
          </w:tcPr>
          <w:p w14:paraId="5D6AA25E">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r>
      <w:tr w14:paraId="3640D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08DA4909">
            <w:pPr>
              <w:keepNext w:val="0"/>
              <w:keepLines w:val="0"/>
              <w:suppressLineNumbers w:val="0"/>
              <w:spacing w:before="0" w:beforeAutospacing="0" w:after="0" w:afterAutospacing="0" w:line="360" w:lineRule="auto"/>
              <w:ind w:left="0" w:right="0"/>
              <w:jc w:val="center"/>
              <w:rPr>
                <w:rFonts w:hint="default" w:ascii="宋体" w:hAnsi="宋体"/>
                <w:b/>
                <w:color w:val="auto"/>
                <w:szCs w:val="21"/>
                <w:highlight w:val="none"/>
              </w:rPr>
            </w:pPr>
          </w:p>
        </w:tc>
        <w:tc>
          <w:tcPr>
            <w:tcW w:w="4602" w:type="dxa"/>
            <w:noWrap w:val="0"/>
            <w:vAlign w:val="center"/>
          </w:tcPr>
          <w:p w14:paraId="7400008F">
            <w:pPr>
              <w:keepNext w:val="0"/>
              <w:keepLines w:val="0"/>
              <w:suppressLineNumbers w:val="0"/>
              <w:spacing w:before="0" w:beforeAutospacing="0" w:after="0" w:afterAutospacing="0" w:line="360" w:lineRule="auto"/>
              <w:ind w:left="0" w:right="0"/>
              <w:jc w:val="left"/>
              <w:rPr>
                <w:rFonts w:hint="default" w:ascii="宋体" w:hAnsi="宋体"/>
                <w:b/>
                <w:bCs/>
                <w:color w:val="auto"/>
                <w:kern w:val="0"/>
                <w:sz w:val="21"/>
                <w:szCs w:val="21"/>
                <w:highlight w:val="none"/>
              </w:rPr>
            </w:pPr>
            <w:r>
              <w:rPr>
                <w:rFonts w:hint="default" w:ascii="宋体" w:hAnsi="宋体"/>
                <w:b w:val="0"/>
                <w:bCs w:val="0"/>
                <w:color w:val="auto"/>
                <w:kern w:val="0"/>
                <w:sz w:val="21"/>
                <w:szCs w:val="21"/>
                <w:highlight w:val="none"/>
              </w:rPr>
              <w:t>……</w:t>
            </w:r>
          </w:p>
        </w:tc>
        <w:tc>
          <w:tcPr>
            <w:tcW w:w="851" w:type="dxa"/>
            <w:noWrap w:val="0"/>
            <w:vAlign w:val="center"/>
          </w:tcPr>
          <w:p w14:paraId="1EFAB4E9">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075" w:type="dxa"/>
            <w:noWrap w:val="0"/>
            <w:vAlign w:val="center"/>
          </w:tcPr>
          <w:p w14:paraId="7F48635C">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225" w:type="dxa"/>
            <w:noWrap w:val="0"/>
            <w:vAlign w:val="center"/>
          </w:tcPr>
          <w:p w14:paraId="46D354E3">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257" w:type="dxa"/>
            <w:noWrap w:val="0"/>
            <w:vAlign w:val="center"/>
          </w:tcPr>
          <w:p w14:paraId="16243179">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r>
      <w:tr w14:paraId="3C62D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4F3D0382">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4602" w:type="dxa"/>
            <w:noWrap w:val="0"/>
            <w:vAlign w:val="center"/>
          </w:tcPr>
          <w:p w14:paraId="239CC351">
            <w:pPr>
              <w:keepNext w:val="0"/>
              <w:keepLines w:val="0"/>
              <w:suppressLineNumbers w:val="0"/>
              <w:spacing w:before="0" w:beforeAutospacing="0" w:after="0" w:afterAutospacing="0" w:line="360" w:lineRule="auto"/>
              <w:ind w:left="0" w:right="0"/>
              <w:jc w:val="left"/>
              <w:textAlignment w:val="center"/>
              <w:rPr>
                <w:rFonts w:hint="default" w:ascii="宋体" w:hAnsi="宋体"/>
                <w:color w:val="auto"/>
                <w:szCs w:val="21"/>
                <w:highlight w:val="none"/>
              </w:rPr>
            </w:pPr>
          </w:p>
        </w:tc>
        <w:tc>
          <w:tcPr>
            <w:tcW w:w="851" w:type="dxa"/>
            <w:noWrap w:val="0"/>
            <w:vAlign w:val="center"/>
          </w:tcPr>
          <w:p w14:paraId="1809637B">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075" w:type="dxa"/>
            <w:noWrap w:val="0"/>
            <w:vAlign w:val="center"/>
          </w:tcPr>
          <w:p w14:paraId="630EB096">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225" w:type="dxa"/>
            <w:noWrap w:val="0"/>
            <w:vAlign w:val="center"/>
          </w:tcPr>
          <w:p w14:paraId="1066EC5A">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257" w:type="dxa"/>
            <w:noWrap w:val="0"/>
            <w:vAlign w:val="center"/>
          </w:tcPr>
          <w:p w14:paraId="254384CC">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r>
      <w:tr w14:paraId="0C76C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45551E17">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4602" w:type="dxa"/>
            <w:noWrap w:val="0"/>
            <w:vAlign w:val="center"/>
          </w:tcPr>
          <w:p w14:paraId="60A5819B">
            <w:pPr>
              <w:keepNext w:val="0"/>
              <w:keepLines w:val="0"/>
              <w:suppressLineNumbers w:val="0"/>
              <w:spacing w:before="0" w:beforeAutospacing="0" w:after="0" w:afterAutospacing="0" w:line="360" w:lineRule="auto"/>
              <w:ind w:left="0" w:right="0"/>
              <w:jc w:val="left"/>
              <w:textAlignment w:val="center"/>
              <w:rPr>
                <w:rFonts w:hint="default" w:ascii="宋体" w:hAnsi="宋体"/>
                <w:color w:val="auto"/>
                <w:szCs w:val="21"/>
                <w:highlight w:val="none"/>
              </w:rPr>
            </w:pPr>
          </w:p>
        </w:tc>
        <w:tc>
          <w:tcPr>
            <w:tcW w:w="851" w:type="dxa"/>
            <w:noWrap w:val="0"/>
            <w:vAlign w:val="center"/>
          </w:tcPr>
          <w:p w14:paraId="599DDD0E">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075" w:type="dxa"/>
            <w:noWrap w:val="0"/>
            <w:vAlign w:val="center"/>
          </w:tcPr>
          <w:p w14:paraId="7F642BF8">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225" w:type="dxa"/>
            <w:noWrap w:val="0"/>
            <w:vAlign w:val="center"/>
          </w:tcPr>
          <w:p w14:paraId="6784EE8F">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257" w:type="dxa"/>
            <w:noWrap w:val="0"/>
            <w:vAlign w:val="center"/>
          </w:tcPr>
          <w:p w14:paraId="08735AEE">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r>
      <w:tr w14:paraId="73514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3C044ECE">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4602" w:type="dxa"/>
            <w:noWrap w:val="0"/>
            <w:vAlign w:val="center"/>
          </w:tcPr>
          <w:p w14:paraId="042C5492">
            <w:pPr>
              <w:keepNext w:val="0"/>
              <w:keepLines w:val="0"/>
              <w:suppressLineNumbers w:val="0"/>
              <w:spacing w:before="0" w:beforeAutospacing="0" w:after="0" w:afterAutospacing="0" w:line="360" w:lineRule="auto"/>
              <w:ind w:left="0" w:right="0"/>
              <w:jc w:val="left"/>
              <w:textAlignment w:val="center"/>
              <w:rPr>
                <w:rFonts w:hint="default" w:ascii="宋体" w:hAnsi="宋体"/>
                <w:color w:val="auto"/>
                <w:szCs w:val="21"/>
                <w:highlight w:val="none"/>
              </w:rPr>
            </w:pPr>
          </w:p>
        </w:tc>
        <w:tc>
          <w:tcPr>
            <w:tcW w:w="851" w:type="dxa"/>
            <w:noWrap w:val="0"/>
            <w:vAlign w:val="center"/>
          </w:tcPr>
          <w:p w14:paraId="0AD28791">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075" w:type="dxa"/>
            <w:noWrap w:val="0"/>
            <w:vAlign w:val="center"/>
          </w:tcPr>
          <w:p w14:paraId="1818C313">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225" w:type="dxa"/>
            <w:noWrap w:val="0"/>
            <w:vAlign w:val="center"/>
          </w:tcPr>
          <w:p w14:paraId="47AC668D">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257" w:type="dxa"/>
            <w:noWrap w:val="0"/>
            <w:vAlign w:val="center"/>
          </w:tcPr>
          <w:p w14:paraId="30A20982">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r>
      <w:tr w14:paraId="601A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7C872E8F">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4602" w:type="dxa"/>
            <w:noWrap w:val="0"/>
            <w:vAlign w:val="center"/>
          </w:tcPr>
          <w:p w14:paraId="05DF02EF">
            <w:pPr>
              <w:keepNext w:val="0"/>
              <w:keepLines w:val="0"/>
              <w:suppressLineNumbers w:val="0"/>
              <w:spacing w:before="0" w:beforeAutospacing="0" w:after="0" w:afterAutospacing="0" w:line="360" w:lineRule="auto"/>
              <w:ind w:left="0" w:right="0"/>
              <w:jc w:val="left"/>
              <w:textAlignment w:val="center"/>
              <w:rPr>
                <w:rFonts w:hint="default" w:ascii="宋体" w:hAnsi="宋体"/>
                <w:color w:val="auto"/>
                <w:szCs w:val="21"/>
                <w:highlight w:val="none"/>
              </w:rPr>
            </w:pPr>
          </w:p>
        </w:tc>
        <w:tc>
          <w:tcPr>
            <w:tcW w:w="851" w:type="dxa"/>
            <w:noWrap w:val="0"/>
            <w:vAlign w:val="center"/>
          </w:tcPr>
          <w:p w14:paraId="0FD1EFA6">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075" w:type="dxa"/>
            <w:noWrap w:val="0"/>
            <w:vAlign w:val="center"/>
          </w:tcPr>
          <w:p w14:paraId="5DE4BC43">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225" w:type="dxa"/>
            <w:noWrap w:val="0"/>
            <w:vAlign w:val="center"/>
          </w:tcPr>
          <w:p w14:paraId="2C7F29D0">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257" w:type="dxa"/>
            <w:noWrap w:val="0"/>
            <w:vAlign w:val="center"/>
          </w:tcPr>
          <w:p w14:paraId="5A740817">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r>
      <w:tr w14:paraId="6E0D7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0BC4296C">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4602" w:type="dxa"/>
            <w:noWrap w:val="0"/>
            <w:vAlign w:val="center"/>
          </w:tcPr>
          <w:p w14:paraId="5CE5495C">
            <w:pPr>
              <w:keepNext w:val="0"/>
              <w:keepLines w:val="0"/>
              <w:suppressLineNumbers w:val="0"/>
              <w:spacing w:before="0" w:beforeAutospacing="0" w:after="0" w:afterAutospacing="0" w:line="360" w:lineRule="auto"/>
              <w:ind w:left="0" w:right="0"/>
              <w:jc w:val="left"/>
              <w:textAlignment w:val="center"/>
              <w:rPr>
                <w:rFonts w:hint="default" w:ascii="宋体" w:hAnsi="宋体"/>
                <w:color w:val="auto"/>
                <w:szCs w:val="21"/>
                <w:highlight w:val="none"/>
              </w:rPr>
            </w:pPr>
          </w:p>
        </w:tc>
        <w:tc>
          <w:tcPr>
            <w:tcW w:w="851" w:type="dxa"/>
            <w:noWrap w:val="0"/>
            <w:vAlign w:val="center"/>
          </w:tcPr>
          <w:p w14:paraId="71681CAB">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075" w:type="dxa"/>
            <w:noWrap w:val="0"/>
            <w:vAlign w:val="center"/>
          </w:tcPr>
          <w:p w14:paraId="2B281282">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225" w:type="dxa"/>
            <w:noWrap w:val="0"/>
            <w:vAlign w:val="center"/>
          </w:tcPr>
          <w:p w14:paraId="60B767CC">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257" w:type="dxa"/>
            <w:noWrap w:val="0"/>
            <w:vAlign w:val="center"/>
          </w:tcPr>
          <w:p w14:paraId="62FFF9BC">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r>
      <w:tr w14:paraId="76964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42A2941D">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4602" w:type="dxa"/>
            <w:noWrap w:val="0"/>
            <w:vAlign w:val="center"/>
          </w:tcPr>
          <w:p w14:paraId="75EB5371">
            <w:pPr>
              <w:keepNext w:val="0"/>
              <w:keepLines w:val="0"/>
              <w:suppressLineNumbers w:val="0"/>
              <w:spacing w:before="0" w:beforeAutospacing="0" w:after="0" w:afterAutospacing="0" w:line="360" w:lineRule="auto"/>
              <w:ind w:left="0" w:right="0"/>
              <w:jc w:val="left"/>
              <w:textAlignment w:val="center"/>
              <w:rPr>
                <w:rFonts w:hint="default" w:ascii="宋体" w:hAnsi="宋体"/>
                <w:color w:val="auto"/>
                <w:szCs w:val="21"/>
                <w:highlight w:val="none"/>
              </w:rPr>
            </w:pPr>
          </w:p>
        </w:tc>
        <w:tc>
          <w:tcPr>
            <w:tcW w:w="851" w:type="dxa"/>
            <w:noWrap w:val="0"/>
            <w:vAlign w:val="center"/>
          </w:tcPr>
          <w:p w14:paraId="1866901D">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075" w:type="dxa"/>
            <w:noWrap w:val="0"/>
            <w:vAlign w:val="center"/>
          </w:tcPr>
          <w:p w14:paraId="5D4B67DD">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225" w:type="dxa"/>
            <w:noWrap w:val="0"/>
            <w:vAlign w:val="center"/>
          </w:tcPr>
          <w:p w14:paraId="0492092E">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257" w:type="dxa"/>
            <w:noWrap w:val="0"/>
            <w:vAlign w:val="center"/>
          </w:tcPr>
          <w:p w14:paraId="5AF1BF48">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r>
      <w:tr w14:paraId="27CDF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2FC447C8">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4602" w:type="dxa"/>
            <w:noWrap w:val="0"/>
            <w:vAlign w:val="center"/>
          </w:tcPr>
          <w:p w14:paraId="1975C251">
            <w:pPr>
              <w:keepNext w:val="0"/>
              <w:keepLines w:val="0"/>
              <w:suppressLineNumbers w:val="0"/>
              <w:spacing w:before="0" w:beforeAutospacing="0" w:after="0" w:afterAutospacing="0" w:line="360" w:lineRule="auto"/>
              <w:ind w:left="0" w:right="0"/>
              <w:jc w:val="left"/>
              <w:textAlignment w:val="center"/>
              <w:rPr>
                <w:rFonts w:hint="default" w:ascii="宋体" w:hAnsi="宋体"/>
                <w:color w:val="auto"/>
                <w:szCs w:val="21"/>
                <w:highlight w:val="none"/>
              </w:rPr>
            </w:pPr>
          </w:p>
        </w:tc>
        <w:tc>
          <w:tcPr>
            <w:tcW w:w="851" w:type="dxa"/>
            <w:noWrap w:val="0"/>
            <w:vAlign w:val="center"/>
          </w:tcPr>
          <w:p w14:paraId="0A7F9D98">
            <w:pPr>
              <w:keepNext w:val="0"/>
              <w:keepLines w:val="0"/>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075" w:type="dxa"/>
            <w:noWrap w:val="0"/>
            <w:vAlign w:val="center"/>
          </w:tcPr>
          <w:p w14:paraId="042032D2">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225" w:type="dxa"/>
            <w:noWrap w:val="0"/>
            <w:vAlign w:val="center"/>
          </w:tcPr>
          <w:p w14:paraId="32DAB140">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c>
          <w:tcPr>
            <w:tcW w:w="1257" w:type="dxa"/>
            <w:noWrap w:val="0"/>
            <w:vAlign w:val="center"/>
          </w:tcPr>
          <w:p w14:paraId="3F2A68CA">
            <w:pPr>
              <w:keepNext w:val="0"/>
              <w:keepLines w:val="0"/>
              <w:widowControl/>
              <w:suppressLineNumbers w:val="0"/>
              <w:spacing w:before="0" w:beforeAutospacing="0" w:after="0" w:afterAutospacing="0" w:line="360" w:lineRule="auto"/>
              <w:ind w:left="0" w:right="0"/>
              <w:jc w:val="center"/>
              <w:rPr>
                <w:rFonts w:hint="default" w:ascii="宋体" w:hAnsi="宋体"/>
                <w:color w:val="auto"/>
                <w:szCs w:val="21"/>
                <w:highlight w:val="none"/>
              </w:rPr>
            </w:pPr>
          </w:p>
        </w:tc>
      </w:tr>
    </w:tbl>
    <w:p w14:paraId="0684A9B2">
      <w:pPr>
        <w:spacing w:line="360" w:lineRule="auto"/>
        <w:ind w:left="360" w:hanging="408" w:hangingChars="200"/>
        <w:rPr>
          <w:rFonts w:hint="eastAsia" w:ascii="宋体" w:hAnsi="宋体"/>
          <w:color w:val="auto"/>
          <w:sz w:val="20"/>
          <w:szCs w:val="20"/>
          <w:highlight w:val="none"/>
        </w:rPr>
      </w:pPr>
      <w:r>
        <w:rPr>
          <w:rFonts w:hint="eastAsia" w:ascii="宋体" w:hAnsi="宋体"/>
          <w:color w:val="auto"/>
          <w:sz w:val="20"/>
          <w:szCs w:val="20"/>
          <w:highlight w:val="none"/>
        </w:rPr>
        <w:t>注：</w:t>
      </w:r>
      <w:r>
        <w:rPr>
          <w:rFonts w:hint="eastAsia" w:ascii="宋体" w:hAnsi="宋体"/>
          <w:color w:val="auto"/>
          <w:sz w:val="20"/>
          <w:szCs w:val="20"/>
          <w:highlight w:val="none"/>
          <w:lang w:val="en-US" w:eastAsia="zh-CN"/>
        </w:rPr>
        <w:t>1.</w:t>
      </w:r>
      <w:r>
        <w:rPr>
          <w:rFonts w:hint="eastAsia" w:ascii="宋体" w:hAnsi="宋体"/>
          <w:color w:val="auto"/>
          <w:sz w:val="20"/>
          <w:szCs w:val="20"/>
          <w:highlight w:val="none"/>
        </w:rPr>
        <w:t>此表由招标人填写除“投标单价”栏的内容</w:t>
      </w:r>
      <w:r>
        <w:rPr>
          <w:rFonts w:hint="eastAsia" w:ascii="宋体" w:hAnsi="宋体"/>
          <w:color w:val="auto"/>
          <w:sz w:val="20"/>
          <w:szCs w:val="20"/>
          <w:highlight w:val="none"/>
          <w:lang w:eastAsia="zh-CN"/>
        </w:rPr>
        <w:t>，</w:t>
      </w:r>
      <w:r>
        <w:rPr>
          <w:rFonts w:hint="eastAsia" w:ascii="宋体" w:hAnsi="宋体"/>
          <w:color w:val="auto"/>
          <w:sz w:val="20"/>
          <w:szCs w:val="20"/>
          <w:highlight w:val="none"/>
        </w:rPr>
        <w:t>投标人在投标时自主确定投标单价。</w:t>
      </w:r>
    </w:p>
    <w:p w14:paraId="29ACEC93">
      <w:pPr>
        <w:spacing w:line="360" w:lineRule="auto"/>
        <w:ind w:left="363" w:leftChars="170" w:firstLine="0" w:firstLineChars="0"/>
        <w:rPr>
          <w:color w:val="auto"/>
          <w:sz w:val="20"/>
          <w:szCs w:val="20"/>
          <w:highlight w:val="none"/>
        </w:rPr>
      </w:pPr>
      <w:r>
        <w:rPr>
          <w:rFonts w:hint="eastAsia" w:ascii="宋体" w:hAnsi="宋体"/>
          <w:color w:val="auto"/>
          <w:sz w:val="20"/>
          <w:szCs w:val="20"/>
          <w:highlight w:val="none"/>
          <w:lang w:val="en-US" w:eastAsia="zh-CN"/>
        </w:rPr>
        <w:t>2.应用于一般计税法为除税价，应用于简易计税法为含税价。</w:t>
      </w:r>
    </w:p>
    <w:p w14:paraId="29CF2A25">
      <w:pPr>
        <w:spacing w:line="360" w:lineRule="auto"/>
        <w:jc w:val="left"/>
        <w:rPr>
          <w:color w:val="auto"/>
          <w:highlight w:val="none"/>
        </w:rPr>
      </w:pPr>
      <w:r>
        <w:rPr>
          <w:color w:val="auto"/>
          <w:highlight w:val="none"/>
        </w:rPr>
        <w:t xml:space="preserve"> </w:t>
      </w:r>
    </w:p>
    <w:p w14:paraId="3F8516B0">
      <w:pPr>
        <w:spacing w:line="360" w:lineRule="auto"/>
        <w:jc w:val="right"/>
        <w:rPr>
          <w:rFonts w:hint="default" w:eastAsia="宋体"/>
          <w:color w:val="auto"/>
          <w:sz w:val="24"/>
          <w:highlight w:val="none"/>
          <w:lang w:val="en-US" w:eastAsia="zh-CN"/>
        </w:rPr>
      </w:pPr>
      <w:r>
        <w:rPr>
          <w:rFonts w:hint="eastAsia" w:ascii="宋体" w:hAnsi="宋体"/>
          <w:color w:val="auto"/>
          <w:sz w:val="21"/>
          <w:szCs w:val="21"/>
          <w:highlight w:val="none"/>
        </w:rPr>
        <w:t>表-</w:t>
      </w:r>
      <w:r>
        <w:rPr>
          <w:rFonts w:hint="eastAsia" w:ascii="宋体" w:hAnsi="宋体"/>
          <w:color w:val="auto"/>
          <w:sz w:val="21"/>
          <w:szCs w:val="21"/>
          <w:highlight w:val="none"/>
          <w:lang w:val="en-US" w:eastAsia="zh-CN"/>
        </w:rPr>
        <w:t>16</w:t>
      </w:r>
    </w:p>
    <w:p w14:paraId="4F28EEBB">
      <w:pPr>
        <w:pStyle w:val="21"/>
        <w:spacing w:after="0" w:line="360" w:lineRule="auto"/>
        <w:ind w:firstLine="210"/>
        <w:rPr>
          <w:color w:val="auto"/>
          <w:highlight w:val="none"/>
        </w:rPr>
        <w:sectPr>
          <w:type w:val="continuous"/>
          <w:pgSz w:w="11905" w:h="16838"/>
          <w:pgMar w:top="850" w:right="1134" w:bottom="850" w:left="1134" w:header="850" w:footer="992" w:gutter="0"/>
          <w:pgNumType w:fmt="decimal"/>
          <w:cols w:space="720" w:num="1"/>
          <w:rtlGutter w:val="0"/>
          <w:docGrid w:type="linesAndChars" w:linePitch="321" w:charSpace="851"/>
        </w:sectPr>
      </w:pPr>
    </w:p>
    <w:p w14:paraId="50C5A2A5">
      <w:pPr>
        <w:spacing w:line="360" w:lineRule="auto"/>
        <w:jc w:val="center"/>
        <w:rPr>
          <w:rFonts w:hint="eastAsia" w:ascii="宋体" w:hAnsi="宋体" w:eastAsia="宋体" w:cs="Times New Roman"/>
          <w:b/>
          <w:bCs w:val="0"/>
          <w:color w:val="auto"/>
          <w:sz w:val="36"/>
          <w:szCs w:val="36"/>
          <w:highlight w:val="none"/>
        </w:rPr>
      </w:pPr>
      <w:r>
        <w:rPr>
          <w:rFonts w:hint="eastAsia" w:ascii="宋体" w:hAnsi="宋体" w:eastAsia="宋体" w:cs="Times New Roman"/>
          <w:b/>
          <w:bCs w:val="0"/>
          <w:color w:val="auto"/>
          <w:sz w:val="36"/>
          <w:szCs w:val="36"/>
          <w:highlight w:val="none"/>
          <w:lang w:eastAsia="zh-CN"/>
        </w:rPr>
        <w:t>人工及主要材料费可调因子价格指数及</w:t>
      </w:r>
      <w:r>
        <w:rPr>
          <w:rFonts w:hint="eastAsia" w:ascii="宋体" w:hAnsi="宋体" w:eastAsia="宋体" w:cs="Times New Roman"/>
          <w:b/>
          <w:bCs w:val="0"/>
          <w:color w:val="auto"/>
          <w:sz w:val="36"/>
          <w:szCs w:val="36"/>
          <w:highlight w:val="none"/>
        </w:rPr>
        <w:t>权重表</w:t>
      </w:r>
    </w:p>
    <w:p w14:paraId="3D3EBC32">
      <w:pPr>
        <w:spacing w:line="360" w:lineRule="auto"/>
        <w:jc w:val="center"/>
        <w:rPr>
          <w:rFonts w:hint="eastAsia" w:ascii="宋体" w:hAnsi="宋体" w:eastAsia="宋体" w:cs="Times New Roman"/>
          <w:b/>
          <w:bCs/>
          <w:color w:val="auto"/>
          <w:sz w:val="28"/>
          <w:szCs w:val="28"/>
          <w:highlight w:val="none"/>
        </w:rPr>
      </w:pPr>
      <w:r>
        <w:rPr>
          <w:rFonts w:hint="eastAsia" w:ascii="宋体" w:hAnsi="宋体" w:eastAsia="宋体" w:cs="Times New Roman"/>
          <w:b/>
          <w:bCs/>
          <w:color w:val="auto"/>
          <w:sz w:val="28"/>
          <w:szCs w:val="28"/>
          <w:highlight w:val="none"/>
          <w:lang w:eastAsia="zh-CN"/>
        </w:rPr>
        <w:t>（适用于总价合同）</w:t>
      </w:r>
    </w:p>
    <w:p w14:paraId="22B09204">
      <w:pPr>
        <w:pStyle w:val="12"/>
        <w:spacing w:line="360" w:lineRule="auto"/>
        <w:rPr>
          <w:rFonts w:ascii="宋体" w:hAnsi="宋体"/>
          <w:color w:val="auto"/>
          <w:highlight w:val="none"/>
        </w:rPr>
      </w:pPr>
      <w:r>
        <w:rPr>
          <w:rFonts w:hint="eastAsia" w:ascii="宋体" w:hAnsi="宋体"/>
          <w:color w:val="auto"/>
          <w:highlight w:val="none"/>
        </w:rPr>
        <w:t xml:space="preserve"> 工程名称：</w:t>
      </w:r>
      <w:r>
        <w:rPr>
          <w:rFonts w:hint="eastAsia" w:ascii="宋体" w:hAnsi="宋体"/>
          <w:color w:val="auto"/>
          <w:highlight w:val="none"/>
          <w:lang w:val="en-US" w:eastAsia="zh-CN"/>
        </w:rPr>
        <w:t xml:space="preserve">                                                       </w:t>
      </w:r>
      <w:r>
        <w:rPr>
          <w:rFonts w:hint="eastAsia" w:ascii="宋体" w:hAnsi="宋体"/>
          <w:color w:val="auto"/>
          <w:highlight w:val="none"/>
        </w:rPr>
        <w:t>第  页  共  页</w:t>
      </w:r>
    </w:p>
    <w:tbl>
      <w:tblPr>
        <w:tblStyle w:val="75"/>
        <w:tblW w:w="9048" w:type="dxa"/>
        <w:tblInd w:w="15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27"/>
        <w:gridCol w:w="1405"/>
        <w:gridCol w:w="1091"/>
        <w:gridCol w:w="1445"/>
        <w:gridCol w:w="1309"/>
        <w:gridCol w:w="1268"/>
        <w:gridCol w:w="1303"/>
      </w:tblGrid>
      <w:tr w14:paraId="60337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8" w:hRule="atLeast"/>
        </w:trPr>
        <w:tc>
          <w:tcPr>
            <w:tcW w:w="1227" w:type="dxa"/>
            <w:noWrap w:val="0"/>
            <w:vAlign w:val="center"/>
          </w:tcPr>
          <w:p w14:paraId="6C899AC4">
            <w:pPr>
              <w:pStyle w:val="48"/>
              <w:spacing w:before="1" w:line="360" w:lineRule="auto"/>
              <w:ind w:left="105"/>
              <w:jc w:val="center"/>
              <w:rPr>
                <w:color w:val="auto"/>
                <w:sz w:val="21"/>
                <w:highlight w:val="none"/>
              </w:rPr>
            </w:pPr>
            <w:r>
              <w:rPr>
                <w:rFonts w:hint="eastAsia"/>
                <w:color w:val="auto"/>
                <w:sz w:val="21"/>
                <w:highlight w:val="none"/>
                <w:lang w:eastAsia="zh-CN"/>
              </w:rPr>
              <w:t>可调因子</w:t>
            </w:r>
          </w:p>
        </w:tc>
        <w:tc>
          <w:tcPr>
            <w:tcW w:w="1405" w:type="dxa"/>
            <w:noWrap w:val="0"/>
            <w:vAlign w:val="center"/>
          </w:tcPr>
          <w:p w14:paraId="222932AD">
            <w:pPr>
              <w:pStyle w:val="48"/>
              <w:spacing w:before="1" w:line="360" w:lineRule="auto"/>
              <w:jc w:val="center"/>
              <w:rPr>
                <w:rFonts w:hint="eastAsia" w:ascii="黑体"/>
                <w:color w:val="auto"/>
                <w:sz w:val="20"/>
                <w:highlight w:val="none"/>
                <w:lang w:eastAsia="zh-CN"/>
              </w:rPr>
            </w:pPr>
            <w:r>
              <w:rPr>
                <w:rFonts w:hint="eastAsia" w:ascii="黑体"/>
                <w:color w:val="auto"/>
                <w:sz w:val="20"/>
                <w:highlight w:val="none"/>
                <w:lang w:eastAsia="zh-CN"/>
              </w:rPr>
              <w:t>基准日价格</w:t>
            </w:r>
          </w:p>
          <w:p w14:paraId="26B243B5">
            <w:pPr>
              <w:pStyle w:val="48"/>
              <w:spacing w:before="1" w:line="360" w:lineRule="auto"/>
              <w:jc w:val="center"/>
              <w:rPr>
                <w:rFonts w:hint="eastAsia"/>
                <w:color w:val="auto"/>
                <w:sz w:val="21"/>
                <w:highlight w:val="none"/>
                <w:lang w:val="en-US" w:eastAsia="zh-CN"/>
              </w:rPr>
            </w:pPr>
            <w:r>
              <w:rPr>
                <w:color w:val="auto"/>
                <w:sz w:val="21"/>
                <w:highlight w:val="none"/>
              </w:rPr>
              <w:t>指数</w:t>
            </w:r>
            <w:r>
              <w:rPr>
                <w:rFonts w:hint="eastAsia"/>
                <w:color w:val="auto"/>
                <w:sz w:val="21"/>
                <w:highlight w:val="none"/>
                <w:lang w:eastAsia="zh-CN"/>
              </w:rPr>
              <w:t>或</w:t>
            </w:r>
            <w:r>
              <w:rPr>
                <w:rFonts w:hint="eastAsia"/>
                <w:color w:val="auto"/>
                <w:sz w:val="21"/>
                <w:highlight w:val="none"/>
                <w:lang w:val="en-US" w:eastAsia="zh-CN"/>
              </w:rPr>
              <w:t>单价</w:t>
            </w:r>
          </w:p>
          <w:p w14:paraId="0D778C65">
            <w:pPr>
              <w:pStyle w:val="48"/>
              <w:spacing w:before="1" w:line="360" w:lineRule="auto"/>
              <w:jc w:val="center"/>
              <w:rPr>
                <w:rFonts w:hint="eastAsia"/>
                <w:color w:val="auto"/>
                <w:sz w:val="21"/>
                <w:highlight w:val="none"/>
                <w:lang w:val="en-US" w:eastAsia="zh-CN"/>
              </w:rPr>
            </w:pPr>
            <w:r>
              <w:rPr>
                <w:rFonts w:hint="eastAsia"/>
                <w:color w:val="auto"/>
                <w:sz w:val="21"/>
                <w:highlight w:val="none"/>
                <w:lang w:eastAsia="zh-CN"/>
              </w:rPr>
              <w:t>（元）</w:t>
            </w:r>
          </w:p>
        </w:tc>
        <w:tc>
          <w:tcPr>
            <w:tcW w:w="1091" w:type="dxa"/>
            <w:noWrap w:val="0"/>
            <w:vAlign w:val="center"/>
          </w:tcPr>
          <w:p w14:paraId="313C0AA6">
            <w:pPr>
              <w:pStyle w:val="48"/>
              <w:spacing w:before="1" w:line="360" w:lineRule="auto"/>
              <w:ind w:left="108" w:leftChars="0" w:right="0" w:rightChars="0"/>
              <w:jc w:val="both"/>
              <w:rPr>
                <w:rFonts w:hint="default"/>
                <w:color w:val="auto"/>
                <w:sz w:val="21"/>
                <w:highlight w:val="none"/>
                <w:lang w:val="en-US" w:eastAsia="zh-CN"/>
              </w:rPr>
            </w:pPr>
            <w:r>
              <w:rPr>
                <w:rFonts w:hint="eastAsia"/>
                <w:color w:val="auto"/>
                <w:sz w:val="21"/>
                <w:highlight w:val="none"/>
                <w:lang w:val="en-US" w:eastAsia="zh-CN"/>
              </w:rPr>
              <w:t>风险幅度（%）</w:t>
            </w:r>
          </w:p>
        </w:tc>
        <w:tc>
          <w:tcPr>
            <w:tcW w:w="1445" w:type="dxa"/>
            <w:noWrap w:val="0"/>
            <w:vAlign w:val="center"/>
          </w:tcPr>
          <w:p w14:paraId="5857CD8A">
            <w:pPr>
              <w:pStyle w:val="48"/>
              <w:spacing w:before="1" w:line="360" w:lineRule="auto"/>
              <w:jc w:val="center"/>
              <w:rPr>
                <w:rFonts w:hint="eastAsia"/>
                <w:color w:val="auto"/>
                <w:sz w:val="21"/>
                <w:highlight w:val="none"/>
                <w:lang w:val="en-US" w:eastAsia="zh-CN"/>
              </w:rPr>
            </w:pPr>
            <w:r>
              <w:rPr>
                <w:rFonts w:hint="eastAsia"/>
                <w:color w:val="auto"/>
                <w:sz w:val="21"/>
                <w:highlight w:val="none"/>
                <w:lang w:val="en-US" w:eastAsia="zh-CN"/>
              </w:rPr>
              <w:t>基本价格</w:t>
            </w:r>
          </w:p>
          <w:p w14:paraId="73E0CCAC">
            <w:pPr>
              <w:pStyle w:val="48"/>
              <w:spacing w:before="1" w:line="360" w:lineRule="auto"/>
              <w:jc w:val="center"/>
              <w:rPr>
                <w:rFonts w:hint="eastAsia"/>
                <w:color w:val="auto"/>
                <w:sz w:val="21"/>
                <w:highlight w:val="none"/>
                <w:lang w:val="en-US" w:eastAsia="zh-CN"/>
              </w:rPr>
            </w:pPr>
            <w:r>
              <w:rPr>
                <w:rFonts w:hint="eastAsia"/>
                <w:color w:val="auto"/>
                <w:sz w:val="21"/>
                <w:highlight w:val="none"/>
                <w:lang w:val="en-US" w:eastAsia="zh-CN"/>
              </w:rPr>
              <w:t>指数或单价</w:t>
            </w:r>
          </w:p>
          <w:p w14:paraId="0D3C78E6">
            <w:pPr>
              <w:pStyle w:val="48"/>
              <w:spacing w:before="1" w:line="360" w:lineRule="auto"/>
              <w:jc w:val="center"/>
              <w:rPr>
                <w:rFonts w:hint="eastAsia"/>
                <w:color w:val="auto"/>
                <w:sz w:val="21"/>
                <w:highlight w:val="none"/>
                <w:lang w:val="en-US" w:eastAsia="zh-CN"/>
              </w:rPr>
            </w:pPr>
            <w:r>
              <w:rPr>
                <w:rFonts w:hint="eastAsia"/>
                <w:color w:val="auto"/>
                <w:sz w:val="21"/>
                <w:highlight w:val="none"/>
                <w:lang w:val="en-US" w:eastAsia="zh-CN"/>
              </w:rPr>
              <w:t>（元）</w:t>
            </w:r>
          </w:p>
        </w:tc>
        <w:tc>
          <w:tcPr>
            <w:tcW w:w="1309" w:type="dxa"/>
            <w:noWrap w:val="0"/>
            <w:vAlign w:val="center"/>
          </w:tcPr>
          <w:p w14:paraId="556A1F79">
            <w:pPr>
              <w:pStyle w:val="48"/>
              <w:spacing w:before="1" w:line="360" w:lineRule="auto"/>
              <w:ind w:left="105"/>
              <w:jc w:val="center"/>
              <w:rPr>
                <w:color w:val="auto"/>
                <w:sz w:val="21"/>
                <w:highlight w:val="none"/>
                <w:u w:val="single"/>
              </w:rPr>
            </w:pPr>
            <w:r>
              <w:rPr>
                <w:rFonts w:hint="eastAsia"/>
                <w:color w:val="auto"/>
                <w:sz w:val="21"/>
                <w:highlight w:val="none"/>
                <w:lang w:val="en-US" w:eastAsia="zh-CN"/>
              </w:rPr>
              <w:t>招标</w:t>
            </w:r>
            <w:r>
              <w:rPr>
                <w:rFonts w:hint="eastAsia"/>
                <w:color w:val="auto"/>
                <w:sz w:val="21"/>
                <w:highlight w:val="none"/>
                <w:lang w:eastAsia="zh-CN"/>
              </w:rPr>
              <w:t>人</w:t>
            </w:r>
            <w:r>
              <w:rPr>
                <w:color w:val="auto"/>
                <w:sz w:val="21"/>
                <w:highlight w:val="none"/>
              </w:rPr>
              <w:t>允许</w:t>
            </w:r>
            <w:r>
              <w:rPr>
                <w:rFonts w:hint="eastAsia"/>
                <w:color w:val="auto"/>
                <w:sz w:val="21"/>
                <w:highlight w:val="none"/>
                <w:lang w:eastAsia="zh-CN"/>
              </w:rPr>
              <w:t>权重</w:t>
            </w:r>
            <w:r>
              <w:rPr>
                <w:color w:val="auto"/>
                <w:sz w:val="21"/>
                <w:highlight w:val="none"/>
              </w:rPr>
              <w:t>范围</w:t>
            </w:r>
          </w:p>
        </w:tc>
        <w:tc>
          <w:tcPr>
            <w:tcW w:w="1268" w:type="dxa"/>
            <w:noWrap w:val="0"/>
            <w:vAlign w:val="center"/>
          </w:tcPr>
          <w:p w14:paraId="12E6DFF9">
            <w:pPr>
              <w:pStyle w:val="48"/>
              <w:spacing w:before="1" w:line="360" w:lineRule="auto"/>
              <w:ind w:left="0"/>
              <w:jc w:val="center"/>
              <w:rPr>
                <w:rFonts w:hint="eastAsia"/>
                <w:color w:val="auto"/>
                <w:sz w:val="21"/>
                <w:highlight w:val="none"/>
                <w:lang w:eastAsia="zh-CN"/>
              </w:rPr>
            </w:pPr>
            <w:r>
              <w:rPr>
                <w:color w:val="auto"/>
                <w:sz w:val="21"/>
                <w:highlight w:val="none"/>
              </w:rPr>
              <w:t>投标人</w:t>
            </w:r>
          </w:p>
          <w:p w14:paraId="035AE273">
            <w:pPr>
              <w:pStyle w:val="48"/>
              <w:spacing w:before="1" w:line="360" w:lineRule="auto"/>
              <w:ind w:left="0"/>
              <w:jc w:val="center"/>
              <w:rPr>
                <w:rFonts w:hint="eastAsia"/>
                <w:color w:val="auto"/>
                <w:sz w:val="21"/>
                <w:highlight w:val="none"/>
                <w:lang w:val="en-US" w:eastAsia="zh-CN"/>
              </w:rPr>
            </w:pPr>
            <w:r>
              <w:rPr>
                <w:rFonts w:hint="eastAsia"/>
                <w:color w:val="auto"/>
                <w:sz w:val="21"/>
                <w:highlight w:val="none"/>
                <w:lang w:eastAsia="zh-CN"/>
              </w:rPr>
              <w:t>填报权重</w:t>
            </w:r>
          </w:p>
        </w:tc>
        <w:tc>
          <w:tcPr>
            <w:tcW w:w="1303" w:type="dxa"/>
            <w:noWrap w:val="0"/>
            <w:vAlign w:val="center"/>
          </w:tcPr>
          <w:p w14:paraId="4D26FA0B">
            <w:pPr>
              <w:pStyle w:val="48"/>
              <w:spacing w:before="1" w:line="360" w:lineRule="auto"/>
              <w:ind w:left="0"/>
              <w:jc w:val="center"/>
              <w:rPr>
                <w:rFonts w:hint="eastAsia"/>
                <w:color w:val="auto"/>
                <w:sz w:val="21"/>
                <w:highlight w:val="none"/>
                <w:lang w:val="en-US" w:eastAsia="zh-CN"/>
              </w:rPr>
            </w:pPr>
            <w:r>
              <w:rPr>
                <w:rFonts w:hint="eastAsia"/>
                <w:color w:val="auto"/>
                <w:sz w:val="21"/>
                <w:highlight w:val="none"/>
                <w:lang w:val="en-US" w:eastAsia="zh-CN"/>
              </w:rPr>
              <w:t>价格指数</w:t>
            </w:r>
          </w:p>
          <w:p w14:paraId="6C8E5394">
            <w:pPr>
              <w:pStyle w:val="48"/>
              <w:spacing w:before="1" w:line="360" w:lineRule="auto"/>
              <w:ind w:left="0"/>
              <w:jc w:val="center"/>
              <w:rPr>
                <w:rFonts w:hint="default" w:eastAsia="宋体"/>
                <w:color w:val="auto"/>
                <w:sz w:val="21"/>
                <w:highlight w:val="none"/>
                <w:lang w:val="en-US" w:eastAsia="zh-CN"/>
              </w:rPr>
            </w:pPr>
            <w:r>
              <w:rPr>
                <w:rFonts w:hint="eastAsia"/>
                <w:color w:val="auto"/>
                <w:sz w:val="21"/>
                <w:highlight w:val="none"/>
                <w:lang w:val="en-US" w:eastAsia="zh-CN"/>
              </w:rPr>
              <w:t>来源</w:t>
            </w:r>
          </w:p>
        </w:tc>
      </w:tr>
      <w:tr w14:paraId="2A1E3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508C56DD">
            <w:pPr>
              <w:pStyle w:val="48"/>
              <w:spacing w:before="1" w:line="360" w:lineRule="auto"/>
              <w:ind w:left="105"/>
              <w:rPr>
                <w:color w:val="auto"/>
                <w:sz w:val="21"/>
                <w:highlight w:val="none"/>
              </w:rPr>
            </w:pPr>
          </w:p>
        </w:tc>
        <w:tc>
          <w:tcPr>
            <w:tcW w:w="1405" w:type="dxa"/>
            <w:noWrap w:val="0"/>
            <w:vAlign w:val="center"/>
          </w:tcPr>
          <w:p w14:paraId="02781E4E">
            <w:pPr>
              <w:pStyle w:val="48"/>
              <w:spacing w:before="1" w:line="360" w:lineRule="auto"/>
              <w:jc w:val="both"/>
              <w:rPr>
                <w:rFonts w:hint="default" w:eastAsia="宋体"/>
                <w:color w:val="auto"/>
                <w:sz w:val="21"/>
                <w:highlight w:val="none"/>
                <w:lang w:val="en-US" w:eastAsia="zh-CN"/>
              </w:rPr>
            </w:pPr>
          </w:p>
        </w:tc>
        <w:tc>
          <w:tcPr>
            <w:tcW w:w="1091" w:type="dxa"/>
            <w:noWrap w:val="0"/>
            <w:vAlign w:val="center"/>
          </w:tcPr>
          <w:p w14:paraId="1097C942">
            <w:pPr>
              <w:pStyle w:val="48"/>
              <w:spacing w:before="1" w:line="360" w:lineRule="auto"/>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47356967">
            <w:pPr>
              <w:pStyle w:val="48"/>
              <w:spacing w:before="1" w:line="360" w:lineRule="auto"/>
              <w:jc w:val="both"/>
              <w:rPr>
                <w:rFonts w:hint="default"/>
                <w:color w:val="auto"/>
                <w:sz w:val="21"/>
                <w:highlight w:val="none"/>
                <w:lang w:val="en-US" w:eastAsia="zh-CN"/>
              </w:rPr>
            </w:pPr>
          </w:p>
        </w:tc>
        <w:tc>
          <w:tcPr>
            <w:tcW w:w="1309" w:type="dxa"/>
            <w:noWrap w:val="0"/>
            <w:vAlign w:val="top"/>
          </w:tcPr>
          <w:p w14:paraId="19578740">
            <w:pPr>
              <w:pStyle w:val="48"/>
              <w:spacing w:before="1" w:line="360" w:lineRule="auto"/>
              <w:ind w:left="105"/>
              <w:rPr>
                <w:color w:val="auto"/>
                <w:sz w:val="21"/>
                <w:highlight w:val="none"/>
              </w:rPr>
            </w:pPr>
          </w:p>
        </w:tc>
        <w:tc>
          <w:tcPr>
            <w:tcW w:w="1268" w:type="dxa"/>
            <w:noWrap w:val="0"/>
            <w:vAlign w:val="top"/>
          </w:tcPr>
          <w:p w14:paraId="0A8336D5">
            <w:pPr>
              <w:pStyle w:val="48"/>
              <w:spacing w:before="1" w:line="360" w:lineRule="auto"/>
              <w:ind w:left="107"/>
              <w:rPr>
                <w:rFonts w:hint="default" w:eastAsia="宋体"/>
                <w:color w:val="auto"/>
                <w:sz w:val="21"/>
                <w:highlight w:val="none"/>
                <w:lang w:val="en-US" w:eastAsia="zh-CN"/>
              </w:rPr>
            </w:pPr>
          </w:p>
        </w:tc>
        <w:tc>
          <w:tcPr>
            <w:tcW w:w="1303" w:type="dxa"/>
            <w:noWrap w:val="0"/>
            <w:vAlign w:val="top"/>
          </w:tcPr>
          <w:p w14:paraId="7E731E77">
            <w:pPr>
              <w:pStyle w:val="48"/>
              <w:spacing w:before="1" w:line="360" w:lineRule="auto"/>
              <w:ind w:left="108"/>
              <w:rPr>
                <w:rFonts w:hint="default" w:eastAsia="宋体"/>
                <w:color w:val="auto"/>
                <w:sz w:val="21"/>
                <w:highlight w:val="none"/>
                <w:lang w:val="en-US" w:eastAsia="zh-CN"/>
              </w:rPr>
            </w:pPr>
          </w:p>
        </w:tc>
      </w:tr>
      <w:tr w14:paraId="50665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1DAF481F">
            <w:pPr>
              <w:pStyle w:val="48"/>
              <w:spacing w:line="360" w:lineRule="auto"/>
              <w:ind w:left="105"/>
              <w:rPr>
                <w:rFonts w:hint="default" w:eastAsia="宋体"/>
                <w:color w:val="auto"/>
                <w:sz w:val="21"/>
                <w:highlight w:val="none"/>
                <w:lang w:val="en-US" w:eastAsia="zh-CN"/>
              </w:rPr>
            </w:pPr>
          </w:p>
        </w:tc>
        <w:tc>
          <w:tcPr>
            <w:tcW w:w="1405" w:type="dxa"/>
            <w:noWrap w:val="0"/>
            <w:vAlign w:val="center"/>
          </w:tcPr>
          <w:p w14:paraId="62ED5BFD">
            <w:pPr>
              <w:pStyle w:val="48"/>
              <w:spacing w:line="360" w:lineRule="auto"/>
              <w:ind w:left="105"/>
              <w:jc w:val="both"/>
              <w:rPr>
                <w:rFonts w:hint="default" w:eastAsia="宋体"/>
                <w:color w:val="auto"/>
                <w:sz w:val="21"/>
                <w:highlight w:val="none"/>
                <w:lang w:val="en-US" w:eastAsia="zh-CN"/>
              </w:rPr>
            </w:pPr>
          </w:p>
        </w:tc>
        <w:tc>
          <w:tcPr>
            <w:tcW w:w="1091" w:type="dxa"/>
            <w:noWrap w:val="0"/>
            <w:vAlign w:val="center"/>
          </w:tcPr>
          <w:p w14:paraId="0C4E6795">
            <w:pPr>
              <w:pStyle w:val="48"/>
              <w:spacing w:line="360" w:lineRule="auto"/>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70F1CD99">
            <w:pPr>
              <w:pStyle w:val="48"/>
              <w:spacing w:line="360" w:lineRule="auto"/>
              <w:ind w:left="105"/>
              <w:jc w:val="both"/>
              <w:rPr>
                <w:rFonts w:hint="default"/>
                <w:color w:val="auto"/>
                <w:sz w:val="21"/>
                <w:highlight w:val="none"/>
                <w:lang w:val="en-US" w:eastAsia="zh-CN"/>
              </w:rPr>
            </w:pPr>
          </w:p>
        </w:tc>
        <w:tc>
          <w:tcPr>
            <w:tcW w:w="1309" w:type="dxa"/>
            <w:noWrap w:val="0"/>
            <w:vAlign w:val="top"/>
          </w:tcPr>
          <w:p w14:paraId="3F7524AC">
            <w:pPr>
              <w:pStyle w:val="48"/>
              <w:spacing w:line="360" w:lineRule="auto"/>
              <w:ind w:left="105"/>
              <w:rPr>
                <w:color w:val="auto"/>
                <w:sz w:val="21"/>
                <w:highlight w:val="none"/>
              </w:rPr>
            </w:pPr>
          </w:p>
        </w:tc>
        <w:tc>
          <w:tcPr>
            <w:tcW w:w="1268" w:type="dxa"/>
            <w:noWrap w:val="0"/>
            <w:vAlign w:val="top"/>
          </w:tcPr>
          <w:p w14:paraId="285EE0B2">
            <w:pPr>
              <w:pStyle w:val="48"/>
              <w:spacing w:line="360" w:lineRule="auto"/>
              <w:ind w:left="107"/>
              <w:rPr>
                <w:rFonts w:hint="default" w:eastAsia="宋体"/>
                <w:color w:val="auto"/>
                <w:sz w:val="21"/>
                <w:highlight w:val="none"/>
                <w:lang w:val="en-US" w:eastAsia="zh-CN"/>
              </w:rPr>
            </w:pPr>
          </w:p>
        </w:tc>
        <w:tc>
          <w:tcPr>
            <w:tcW w:w="1303" w:type="dxa"/>
            <w:noWrap w:val="0"/>
            <w:vAlign w:val="top"/>
          </w:tcPr>
          <w:p w14:paraId="79AABA75">
            <w:pPr>
              <w:pStyle w:val="48"/>
              <w:spacing w:line="360" w:lineRule="auto"/>
              <w:ind w:left="108"/>
              <w:rPr>
                <w:rFonts w:hint="default" w:eastAsia="宋体"/>
                <w:color w:val="auto"/>
                <w:sz w:val="21"/>
                <w:highlight w:val="none"/>
                <w:lang w:val="en-US" w:eastAsia="zh-CN"/>
              </w:rPr>
            </w:pPr>
          </w:p>
        </w:tc>
      </w:tr>
      <w:tr w14:paraId="434C43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5B3284A7">
            <w:pPr>
              <w:pStyle w:val="48"/>
              <w:spacing w:line="360" w:lineRule="auto"/>
              <w:ind w:left="105"/>
              <w:rPr>
                <w:rFonts w:hint="default" w:eastAsia="宋体"/>
                <w:color w:val="auto"/>
                <w:sz w:val="21"/>
                <w:highlight w:val="none"/>
                <w:lang w:val="en-US" w:eastAsia="zh-CN"/>
              </w:rPr>
            </w:pPr>
          </w:p>
        </w:tc>
        <w:tc>
          <w:tcPr>
            <w:tcW w:w="1405" w:type="dxa"/>
            <w:noWrap w:val="0"/>
            <w:vAlign w:val="center"/>
          </w:tcPr>
          <w:p w14:paraId="1222E061">
            <w:pPr>
              <w:pStyle w:val="48"/>
              <w:spacing w:line="360" w:lineRule="auto"/>
              <w:ind w:left="105"/>
              <w:jc w:val="both"/>
              <w:rPr>
                <w:rFonts w:hint="default" w:eastAsia="宋体"/>
                <w:color w:val="auto"/>
                <w:sz w:val="21"/>
                <w:highlight w:val="none"/>
                <w:lang w:val="en-US" w:eastAsia="zh-CN"/>
              </w:rPr>
            </w:pPr>
          </w:p>
        </w:tc>
        <w:tc>
          <w:tcPr>
            <w:tcW w:w="1091" w:type="dxa"/>
            <w:noWrap w:val="0"/>
            <w:vAlign w:val="center"/>
          </w:tcPr>
          <w:p w14:paraId="3F864C9A">
            <w:pPr>
              <w:pStyle w:val="48"/>
              <w:spacing w:line="360" w:lineRule="auto"/>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11979CA0">
            <w:pPr>
              <w:pStyle w:val="48"/>
              <w:spacing w:line="360" w:lineRule="auto"/>
              <w:ind w:left="105"/>
              <w:jc w:val="both"/>
              <w:rPr>
                <w:rFonts w:hint="default"/>
                <w:color w:val="auto"/>
                <w:sz w:val="21"/>
                <w:highlight w:val="none"/>
                <w:lang w:val="en-US" w:eastAsia="zh-CN"/>
              </w:rPr>
            </w:pPr>
          </w:p>
        </w:tc>
        <w:tc>
          <w:tcPr>
            <w:tcW w:w="1309" w:type="dxa"/>
            <w:noWrap w:val="0"/>
            <w:vAlign w:val="top"/>
          </w:tcPr>
          <w:p w14:paraId="688553E2">
            <w:pPr>
              <w:pStyle w:val="48"/>
              <w:spacing w:line="360" w:lineRule="auto"/>
              <w:ind w:left="105"/>
              <w:rPr>
                <w:color w:val="auto"/>
                <w:sz w:val="21"/>
                <w:highlight w:val="none"/>
              </w:rPr>
            </w:pPr>
          </w:p>
        </w:tc>
        <w:tc>
          <w:tcPr>
            <w:tcW w:w="1268" w:type="dxa"/>
            <w:noWrap w:val="0"/>
            <w:vAlign w:val="top"/>
          </w:tcPr>
          <w:p w14:paraId="5529D3B5">
            <w:pPr>
              <w:pStyle w:val="48"/>
              <w:spacing w:line="360" w:lineRule="auto"/>
              <w:ind w:left="107"/>
              <w:rPr>
                <w:rFonts w:hint="default" w:eastAsia="宋体"/>
                <w:color w:val="auto"/>
                <w:sz w:val="21"/>
                <w:highlight w:val="none"/>
                <w:lang w:val="en-US" w:eastAsia="zh-CN"/>
              </w:rPr>
            </w:pPr>
          </w:p>
        </w:tc>
        <w:tc>
          <w:tcPr>
            <w:tcW w:w="1303" w:type="dxa"/>
            <w:noWrap w:val="0"/>
            <w:vAlign w:val="top"/>
          </w:tcPr>
          <w:p w14:paraId="46FFC36C">
            <w:pPr>
              <w:pStyle w:val="48"/>
              <w:spacing w:line="360" w:lineRule="auto"/>
              <w:ind w:left="108"/>
              <w:rPr>
                <w:rFonts w:hint="default" w:eastAsia="宋体"/>
                <w:color w:val="auto"/>
                <w:sz w:val="21"/>
                <w:highlight w:val="none"/>
                <w:lang w:val="en-US" w:eastAsia="zh-CN"/>
              </w:rPr>
            </w:pPr>
          </w:p>
        </w:tc>
      </w:tr>
      <w:tr w14:paraId="3CAE7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41BC5A73">
            <w:pPr>
              <w:pStyle w:val="48"/>
              <w:spacing w:line="360" w:lineRule="auto"/>
              <w:ind w:left="105"/>
              <w:rPr>
                <w:rFonts w:hint="default" w:eastAsia="宋体"/>
                <w:color w:val="auto"/>
                <w:sz w:val="21"/>
                <w:highlight w:val="none"/>
                <w:lang w:val="en-US" w:eastAsia="zh-CN"/>
              </w:rPr>
            </w:pPr>
          </w:p>
        </w:tc>
        <w:tc>
          <w:tcPr>
            <w:tcW w:w="1405" w:type="dxa"/>
            <w:noWrap w:val="0"/>
            <w:vAlign w:val="center"/>
          </w:tcPr>
          <w:p w14:paraId="456846DD">
            <w:pPr>
              <w:pStyle w:val="48"/>
              <w:spacing w:line="360" w:lineRule="auto"/>
              <w:ind w:left="105"/>
              <w:jc w:val="both"/>
              <w:rPr>
                <w:rFonts w:hint="default" w:eastAsia="宋体"/>
                <w:color w:val="auto"/>
                <w:sz w:val="21"/>
                <w:highlight w:val="none"/>
                <w:lang w:val="en-US" w:eastAsia="zh-CN"/>
              </w:rPr>
            </w:pPr>
          </w:p>
        </w:tc>
        <w:tc>
          <w:tcPr>
            <w:tcW w:w="1091" w:type="dxa"/>
            <w:noWrap w:val="0"/>
            <w:vAlign w:val="center"/>
          </w:tcPr>
          <w:p w14:paraId="1D5B2218">
            <w:pPr>
              <w:pStyle w:val="48"/>
              <w:spacing w:line="360" w:lineRule="auto"/>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442F7241">
            <w:pPr>
              <w:pStyle w:val="48"/>
              <w:spacing w:line="360" w:lineRule="auto"/>
              <w:ind w:left="105"/>
              <w:jc w:val="both"/>
              <w:rPr>
                <w:rFonts w:hint="default"/>
                <w:color w:val="auto"/>
                <w:sz w:val="21"/>
                <w:highlight w:val="none"/>
                <w:lang w:val="en-US" w:eastAsia="zh-CN"/>
              </w:rPr>
            </w:pPr>
          </w:p>
        </w:tc>
        <w:tc>
          <w:tcPr>
            <w:tcW w:w="1309" w:type="dxa"/>
            <w:noWrap w:val="0"/>
            <w:vAlign w:val="top"/>
          </w:tcPr>
          <w:p w14:paraId="482A1CCF">
            <w:pPr>
              <w:pStyle w:val="48"/>
              <w:spacing w:line="360" w:lineRule="auto"/>
              <w:ind w:left="105"/>
              <w:rPr>
                <w:color w:val="auto"/>
                <w:sz w:val="21"/>
                <w:highlight w:val="none"/>
              </w:rPr>
            </w:pPr>
          </w:p>
        </w:tc>
        <w:tc>
          <w:tcPr>
            <w:tcW w:w="1268" w:type="dxa"/>
            <w:noWrap w:val="0"/>
            <w:vAlign w:val="top"/>
          </w:tcPr>
          <w:p w14:paraId="6ED3057D">
            <w:pPr>
              <w:pStyle w:val="48"/>
              <w:spacing w:line="360" w:lineRule="auto"/>
              <w:ind w:left="107"/>
              <w:rPr>
                <w:rFonts w:hint="default" w:eastAsia="宋体"/>
                <w:color w:val="auto"/>
                <w:sz w:val="21"/>
                <w:highlight w:val="none"/>
                <w:lang w:val="en-US" w:eastAsia="zh-CN"/>
              </w:rPr>
            </w:pPr>
          </w:p>
        </w:tc>
        <w:tc>
          <w:tcPr>
            <w:tcW w:w="1303" w:type="dxa"/>
            <w:noWrap w:val="0"/>
            <w:vAlign w:val="top"/>
          </w:tcPr>
          <w:p w14:paraId="6013EC73">
            <w:pPr>
              <w:pStyle w:val="48"/>
              <w:spacing w:line="360" w:lineRule="auto"/>
              <w:ind w:left="108"/>
              <w:rPr>
                <w:rFonts w:hint="default" w:eastAsia="宋体"/>
                <w:color w:val="auto"/>
                <w:sz w:val="21"/>
                <w:highlight w:val="none"/>
                <w:lang w:val="en-US" w:eastAsia="zh-CN"/>
              </w:rPr>
            </w:pPr>
          </w:p>
        </w:tc>
      </w:tr>
      <w:tr w14:paraId="676C3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0F9EC24D">
            <w:pPr>
              <w:pStyle w:val="48"/>
              <w:spacing w:line="360" w:lineRule="auto"/>
              <w:ind w:left="105"/>
              <w:rPr>
                <w:rFonts w:hint="default" w:eastAsia="宋体"/>
                <w:color w:val="auto"/>
                <w:sz w:val="21"/>
                <w:highlight w:val="none"/>
                <w:lang w:val="en-US" w:eastAsia="zh-CN"/>
              </w:rPr>
            </w:pPr>
          </w:p>
        </w:tc>
        <w:tc>
          <w:tcPr>
            <w:tcW w:w="1405" w:type="dxa"/>
            <w:noWrap w:val="0"/>
            <w:vAlign w:val="center"/>
          </w:tcPr>
          <w:p w14:paraId="65C0FBA4">
            <w:pPr>
              <w:pStyle w:val="48"/>
              <w:spacing w:line="360" w:lineRule="auto"/>
              <w:ind w:left="105"/>
              <w:jc w:val="both"/>
              <w:rPr>
                <w:rFonts w:hint="default" w:eastAsia="宋体"/>
                <w:color w:val="auto"/>
                <w:sz w:val="21"/>
                <w:highlight w:val="none"/>
                <w:lang w:val="en-US" w:eastAsia="zh-CN"/>
              </w:rPr>
            </w:pPr>
          </w:p>
        </w:tc>
        <w:tc>
          <w:tcPr>
            <w:tcW w:w="1091" w:type="dxa"/>
            <w:noWrap w:val="0"/>
            <w:vAlign w:val="center"/>
          </w:tcPr>
          <w:p w14:paraId="40615CDF">
            <w:pPr>
              <w:pStyle w:val="48"/>
              <w:spacing w:line="360" w:lineRule="auto"/>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45F78858">
            <w:pPr>
              <w:pStyle w:val="48"/>
              <w:spacing w:line="360" w:lineRule="auto"/>
              <w:ind w:left="105"/>
              <w:jc w:val="both"/>
              <w:rPr>
                <w:rFonts w:hint="default"/>
                <w:color w:val="auto"/>
                <w:sz w:val="21"/>
                <w:highlight w:val="none"/>
                <w:lang w:val="en-US" w:eastAsia="zh-CN"/>
              </w:rPr>
            </w:pPr>
          </w:p>
        </w:tc>
        <w:tc>
          <w:tcPr>
            <w:tcW w:w="1309" w:type="dxa"/>
            <w:noWrap w:val="0"/>
            <w:vAlign w:val="top"/>
          </w:tcPr>
          <w:p w14:paraId="002BBDE7">
            <w:pPr>
              <w:pStyle w:val="48"/>
              <w:spacing w:line="360" w:lineRule="auto"/>
              <w:ind w:left="105"/>
              <w:rPr>
                <w:color w:val="auto"/>
                <w:sz w:val="21"/>
                <w:highlight w:val="none"/>
              </w:rPr>
            </w:pPr>
          </w:p>
        </w:tc>
        <w:tc>
          <w:tcPr>
            <w:tcW w:w="1268" w:type="dxa"/>
            <w:noWrap w:val="0"/>
            <w:vAlign w:val="top"/>
          </w:tcPr>
          <w:p w14:paraId="0778D0F8">
            <w:pPr>
              <w:pStyle w:val="48"/>
              <w:spacing w:line="360" w:lineRule="auto"/>
              <w:ind w:left="107"/>
              <w:rPr>
                <w:rFonts w:hint="default" w:eastAsia="宋体"/>
                <w:color w:val="auto"/>
                <w:sz w:val="21"/>
                <w:highlight w:val="none"/>
                <w:lang w:val="en-US" w:eastAsia="zh-CN"/>
              </w:rPr>
            </w:pPr>
          </w:p>
        </w:tc>
        <w:tc>
          <w:tcPr>
            <w:tcW w:w="1303" w:type="dxa"/>
            <w:noWrap w:val="0"/>
            <w:vAlign w:val="top"/>
          </w:tcPr>
          <w:p w14:paraId="495A775B">
            <w:pPr>
              <w:pStyle w:val="48"/>
              <w:spacing w:line="360" w:lineRule="auto"/>
              <w:ind w:left="108"/>
              <w:rPr>
                <w:rFonts w:hint="default" w:eastAsia="宋体"/>
                <w:color w:val="auto"/>
                <w:sz w:val="21"/>
                <w:highlight w:val="none"/>
                <w:lang w:val="en-US" w:eastAsia="zh-CN"/>
              </w:rPr>
            </w:pPr>
          </w:p>
        </w:tc>
      </w:tr>
      <w:tr w14:paraId="47961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24F593B9">
            <w:pPr>
              <w:pStyle w:val="48"/>
              <w:spacing w:line="360" w:lineRule="auto"/>
              <w:ind w:left="105"/>
              <w:rPr>
                <w:rFonts w:hint="default" w:eastAsia="宋体"/>
                <w:color w:val="auto"/>
                <w:sz w:val="21"/>
                <w:highlight w:val="none"/>
                <w:lang w:val="en-US" w:eastAsia="zh-CN"/>
              </w:rPr>
            </w:pPr>
          </w:p>
        </w:tc>
        <w:tc>
          <w:tcPr>
            <w:tcW w:w="1405" w:type="dxa"/>
            <w:noWrap w:val="0"/>
            <w:vAlign w:val="center"/>
          </w:tcPr>
          <w:p w14:paraId="7FF5C6EE">
            <w:pPr>
              <w:pStyle w:val="48"/>
              <w:spacing w:line="360" w:lineRule="auto"/>
              <w:ind w:left="105"/>
              <w:jc w:val="both"/>
              <w:rPr>
                <w:rFonts w:hint="default" w:eastAsia="宋体"/>
                <w:color w:val="auto"/>
                <w:sz w:val="21"/>
                <w:highlight w:val="none"/>
                <w:lang w:val="en-US" w:eastAsia="zh-CN"/>
              </w:rPr>
            </w:pPr>
          </w:p>
        </w:tc>
        <w:tc>
          <w:tcPr>
            <w:tcW w:w="1091" w:type="dxa"/>
            <w:noWrap w:val="0"/>
            <w:vAlign w:val="center"/>
          </w:tcPr>
          <w:p w14:paraId="51B790AE">
            <w:pPr>
              <w:pStyle w:val="48"/>
              <w:spacing w:line="360" w:lineRule="auto"/>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5CDE04C2">
            <w:pPr>
              <w:pStyle w:val="48"/>
              <w:spacing w:line="360" w:lineRule="auto"/>
              <w:ind w:left="105"/>
              <w:jc w:val="both"/>
              <w:rPr>
                <w:rFonts w:hint="default"/>
                <w:color w:val="auto"/>
                <w:sz w:val="21"/>
                <w:highlight w:val="none"/>
                <w:lang w:val="en-US" w:eastAsia="zh-CN"/>
              </w:rPr>
            </w:pPr>
          </w:p>
        </w:tc>
        <w:tc>
          <w:tcPr>
            <w:tcW w:w="1309" w:type="dxa"/>
            <w:noWrap w:val="0"/>
            <w:vAlign w:val="top"/>
          </w:tcPr>
          <w:p w14:paraId="385475DD">
            <w:pPr>
              <w:pStyle w:val="48"/>
              <w:spacing w:line="360" w:lineRule="auto"/>
              <w:ind w:left="105"/>
              <w:rPr>
                <w:color w:val="auto"/>
                <w:sz w:val="21"/>
                <w:highlight w:val="none"/>
              </w:rPr>
            </w:pPr>
          </w:p>
        </w:tc>
        <w:tc>
          <w:tcPr>
            <w:tcW w:w="1268" w:type="dxa"/>
            <w:noWrap w:val="0"/>
            <w:vAlign w:val="top"/>
          </w:tcPr>
          <w:p w14:paraId="6DE86AF9">
            <w:pPr>
              <w:pStyle w:val="48"/>
              <w:spacing w:line="360" w:lineRule="auto"/>
              <w:ind w:left="107"/>
              <w:rPr>
                <w:rFonts w:hint="default" w:eastAsia="宋体"/>
                <w:color w:val="auto"/>
                <w:sz w:val="21"/>
                <w:highlight w:val="none"/>
                <w:lang w:val="en-US" w:eastAsia="zh-CN"/>
              </w:rPr>
            </w:pPr>
          </w:p>
        </w:tc>
        <w:tc>
          <w:tcPr>
            <w:tcW w:w="1303" w:type="dxa"/>
            <w:noWrap w:val="0"/>
            <w:vAlign w:val="top"/>
          </w:tcPr>
          <w:p w14:paraId="6461D2B2">
            <w:pPr>
              <w:pStyle w:val="48"/>
              <w:spacing w:line="360" w:lineRule="auto"/>
              <w:ind w:left="108"/>
              <w:rPr>
                <w:rFonts w:hint="default" w:eastAsia="宋体"/>
                <w:color w:val="auto"/>
                <w:sz w:val="21"/>
                <w:highlight w:val="none"/>
                <w:lang w:val="en-US" w:eastAsia="zh-CN"/>
              </w:rPr>
            </w:pPr>
          </w:p>
        </w:tc>
      </w:tr>
      <w:tr w14:paraId="1F0FA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439CFAA4">
            <w:pPr>
              <w:pStyle w:val="48"/>
              <w:spacing w:line="360" w:lineRule="auto"/>
              <w:ind w:left="105"/>
              <w:rPr>
                <w:rFonts w:hint="default" w:eastAsia="宋体"/>
                <w:color w:val="auto"/>
                <w:sz w:val="21"/>
                <w:highlight w:val="none"/>
                <w:lang w:val="en-US" w:eastAsia="zh-CN"/>
              </w:rPr>
            </w:pPr>
          </w:p>
        </w:tc>
        <w:tc>
          <w:tcPr>
            <w:tcW w:w="1405" w:type="dxa"/>
            <w:noWrap w:val="0"/>
            <w:vAlign w:val="center"/>
          </w:tcPr>
          <w:p w14:paraId="234F9CCF">
            <w:pPr>
              <w:pStyle w:val="48"/>
              <w:spacing w:line="360" w:lineRule="auto"/>
              <w:ind w:left="105"/>
              <w:jc w:val="both"/>
              <w:rPr>
                <w:rFonts w:hint="default" w:eastAsia="宋体"/>
                <w:color w:val="auto"/>
                <w:sz w:val="21"/>
                <w:highlight w:val="none"/>
                <w:lang w:val="en-US" w:eastAsia="zh-CN"/>
              </w:rPr>
            </w:pPr>
          </w:p>
        </w:tc>
        <w:tc>
          <w:tcPr>
            <w:tcW w:w="1091" w:type="dxa"/>
            <w:noWrap w:val="0"/>
            <w:vAlign w:val="center"/>
          </w:tcPr>
          <w:p w14:paraId="7E4E1FB7">
            <w:pPr>
              <w:pStyle w:val="48"/>
              <w:spacing w:line="360" w:lineRule="auto"/>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18F7DF18">
            <w:pPr>
              <w:pStyle w:val="48"/>
              <w:spacing w:line="360" w:lineRule="auto"/>
              <w:ind w:left="105"/>
              <w:jc w:val="both"/>
              <w:rPr>
                <w:rFonts w:hint="default"/>
                <w:color w:val="auto"/>
                <w:sz w:val="21"/>
                <w:highlight w:val="none"/>
                <w:lang w:val="en-US" w:eastAsia="zh-CN"/>
              </w:rPr>
            </w:pPr>
          </w:p>
        </w:tc>
        <w:tc>
          <w:tcPr>
            <w:tcW w:w="1309" w:type="dxa"/>
            <w:noWrap w:val="0"/>
            <w:vAlign w:val="top"/>
          </w:tcPr>
          <w:p w14:paraId="6CC13425">
            <w:pPr>
              <w:pStyle w:val="48"/>
              <w:spacing w:line="360" w:lineRule="auto"/>
              <w:ind w:left="105"/>
              <w:rPr>
                <w:color w:val="auto"/>
                <w:sz w:val="21"/>
                <w:highlight w:val="none"/>
              </w:rPr>
            </w:pPr>
          </w:p>
        </w:tc>
        <w:tc>
          <w:tcPr>
            <w:tcW w:w="1268" w:type="dxa"/>
            <w:noWrap w:val="0"/>
            <w:vAlign w:val="top"/>
          </w:tcPr>
          <w:p w14:paraId="6EE29089">
            <w:pPr>
              <w:pStyle w:val="48"/>
              <w:spacing w:line="360" w:lineRule="auto"/>
              <w:ind w:left="107"/>
              <w:rPr>
                <w:rFonts w:hint="default" w:eastAsia="宋体"/>
                <w:color w:val="auto"/>
                <w:sz w:val="21"/>
                <w:highlight w:val="none"/>
                <w:lang w:val="en-US" w:eastAsia="zh-CN"/>
              </w:rPr>
            </w:pPr>
          </w:p>
        </w:tc>
        <w:tc>
          <w:tcPr>
            <w:tcW w:w="1303" w:type="dxa"/>
            <w:noWrap w:val="0"/>
            <w:vAlign w:val="top"/>
          </w:tcPr>
          <w:p w14:paraId="49557823">
            <w:pPr>
              <w:pStyle w:val="48"/>
              <w:spacing w:line="360" w:lineRule="auto"/>
              <w:ind w:left="108"/>
              <w:rPr>
                <w:rFonts w:hint="default" w:eastAsia="宋体"/>
                <w:color w:val="auto"/>
                <w:sz w:val="21"/>
                <w:highlight w:val="none"/>
                <w:lang w:val="en-US" w:eastAsia="zh-CN"/>
              </w:rPr>
            </w:pPr>
          </w:p>
        </w:tc>
      </w:tr>
      <w:tr w14:paraId="10D3F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70FB09A8">
            <w:pPr>
              <w:pStyle w:val="48"/>
              <w:spacing w:line="360" w:lineRule="auto"/>
              <w:ind w:left="105"/>
              <w:rPr>
                <w:rFonts w:hint="default" w:eastAsia="宋体"/>
                <w:color w:val="auto"/>
                <w:sz w:val="21"/>
                <w:highlight w:val="none"/>
                <w:lang w:val="en-US" w:eastAsia="zh-CN"/>
              </w:rPr>
            </w:pPr>
          </w:p>
        </w:tc>
        <w:tc>
          <w:tcPr>
            <w:tcW w:w="1405" w:type="dxa"/>
            <w:noWrap w:val="0"/>
            <w:vAlign w:val="center"/>
          </w:tcPr>
          <w:p w14:paraId="494DD194">
            <w:pPr>
              <w:pStyle w:val="48"/>
              <w:spacing w:line="360" w:lineRule="auto"/>
              <w:ind w:left="105"/>
              <w:jc w:val="both"/>
              <w:rPr>
                <w:rFonts w:hint="default" w:eastAsia="宋体"/>
                <w:color w:val="auto"/>
                <w:sz w:val="21"/>
                <w:highlight w:val="none"/>
                <w:lang w:val="en-US" w:eastAsia="zh-CN"/>
              </w:rPr>
            </w:pPr>
          </w:p>
        </w:tc>
        <w:tc>
          <w:tcPr>
            <w:tcW w:w="1091" w:type="dxa"/>
            <w:noWrap w:val="0"/>
            <w:vAlign w:val="center"/>
          </w:tcPr>
          <w:p w14:paraId="6A0B5F05">
            <w:pPr>
              <w:pStyle w:val="48"/>
              <w:spacing w:line="360" w:lineRule="auto"/>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1445B51D">
            <w:pPr>
              <w:pStyle w:val="48"/>
              <w:spacing w:line="360" w:lineRule="auto"/>
              <w:ind w:left="105"/>
              <w:jc w:val="both"/>
              <w:rPr>
                <w:rFonts w:hint="default"/>
                <w:color w:val="auto"/>
                <w:sz w:val="21"/>
                <w:highlight w:val="none"/>
                <w:lang w:val="en-US" w:eastAsia="zh-CN"/>
              </w:rPr>
            </w:pPr>
          </w:p>
        </w:tc>
        <w:tc>
          <w:tcPr>
            <w:tcW w:w="1309" w:type="dxa"/>
            <w:noWrap w:val="0"/>
            <w:vAlign w:val="top"/>
          </w:tcPr>
          <w:p w14:paraId="21EA7E4F">
            <w:pPr>
              <w:pStyle w:val="48"/>
              <w:spacing w:line="360" w:lineRule="auto"/>
              <w:ind w:left="105"/>
              <w:rPr>
                <w:color w:val="auto"/>
                <w:sz w:val="21"/>
                <w:highlight w:val="none"/>
              </w:rPr>
            </w:pPr>
          </w:p>
        </w:tc>
        <w:tc>
          <w:tcPr>
            <w:tcW w:w="1268" w:type="dxa"/>
            <w:noWrap w:val="0"/>
            <w:vAlign w:val="top"/>
          </w:tcPr>
          <w:p w14:paraId="2DF27F6E">
            <w:pPr>
              <w:pStyle w:val="48"/>
              <w:spacing w:line="360" w:lineRule="auto"/>
              <w:ind w:left="107"/>
              <w:rPr>
                <w:rFonts w:hint="default" w:eastAsia="宋体"/>
                <w:color w:val="auto"/>
                <w:sz w:val="21"/>
                <w:highlight w:val="none"/>
                <w:lang w:val="en-US" w:eastAsia="zh-CN"/>
              </w:rPr>
            </w:pPr>
          </w:p>
        </w:tc>
        <w:tc>
          <w:tcPr>
            <w:tcW w:w="1303" w:type="dxa"/>
            <w:noWrap w:val="0"/>
            <w:vAlign w:val="top"/>
          </w:tcPr>
          <w:p w14:paraId="7A85A4B6">
            <w:pPr>
              <w:pStyle w:val="48"/>
              <w:spacing w:line="360" w:lineRule="auto"/>
              <w:ind w:left="108"/>
              <w:rPr>
                <w:rFonts w:hint="default" w:eastAsia="宋体"/>
                <w:color w:val="auto"/>
                <w:sz w:val="21"/>
                <w:highlight w:val="none"/>
                <w:lang w:val="en-US" w:eastAsia="zh-CN"/>
              </w:rPr>
            </w:pPr>
          </w:p>
        </w:tc>
      </w:tr>
      <w:tr w14:paraId="4D013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7E951C1F">
            <w:pPr>
              <w:pStyle w:val="48"/>
              <w:spacing w:line="360" w:lineRule="auto"/>
              <w:ind w:left="105"/>
              <w:rPr>
                <w:rFonts w:hint="default" w:eastAsia="宋体"/>
                <w:color w:val="auto"/>
                <w:sz w:val="21"/>
                <w:highlight w:val="none"/>
                <w:lang w:val="en-US" w:eastAsia="zh-CN"/>
              </w:rPr>
            </w:pPr>
          </w:p>
        </w:tc>
        <w:tc>
          <w:tcPr>
            <w:tcW w:w="1405" w:type="dxa"/>
            <w:noWrap w:val="0"/>
            <w:vAlign w:val="center"/>
          </w:tcPr>
          <w:p w14:paraId="189E900B">
            <w:pPr>
              <w:pStyle w:val="48"/>
              <w:spacing w:line="360" w:lineRule="auto"/>
              <w:ind w:left="105"/>
              <w:jc w:val="both"/>
              <w:rPr>
                <w:rFonts w:hint="default" w:eastAsia="宋体"/>
                <w:color w:val="auto"/>
                <w:sz w:val="21"/>
                <w:highlight w:val="none"/>
                <w:lang w:val="en-US" w:eastAsia="zh-CN"/>
              </w:rPr>
            </w:pPr>
          </w:p>
        </w:tc>
        <w:tc>
          <w:tcPr>
            <w:tcW w:w="1091" w:type="dxa"/>
            <w:noWrap w:val="0"/>
            <w:vAlign w:val="center"/>
          </w:tcPr>
          <w:p w14:paraId="037BDC55">
            <w:pPr>
              <w:pStyle w:val="48"/>
              <w:spacing w:line="360" w:lineRule="auto"/>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14C3C249">
            <w:pPr>
              <w:pStyle w:val="48"/>
              <w:spacing w:line="360" w:lineRule="auto"/>
              <w:ind w:left="105"/>
              <w:jc w:val="both"/>
              <w:rPr>
                <w:rFonts w:hint="default"/>
                <w:color w:val="auto"/>
                <w:sz w:val="21"/>
                <w:highlight w:val="none"/>
                <w:lang w:val="en-US" w:eastAsia="zh-CN"/>
              </w:rPr>
            </w:pPr>
          </w:p>
        </w:tc>
        <w:tc>
          <w:tcPr>
            <w:tcW w:w="1309" w:type="dxa"/>
            <w:noWrap w:val="0"/>
            <w:vAlign w:val="top"/>
          </w:tcPr>
          <w:p w14:paraId="2A6BF154">
            <w:pPr>
              <w:pStyle w:val="48"/>
              <w:spacing w:line="360" w:lineRule="auto"/>
              <w:ind w:left="105"/>
              <w:rPr>
                <w:color w:val="auto"/>
                <w:sz w:val="21"/>
                <w:highlight w:val="none"/>
              </w:rPr>
            </w:pPr>
          </w:p>
        </w:tc>
        <w:tc>
          <w:tcPr>
            <w:tcW w:w="1268" w:type="dxa"/>
            <w:noWrap w:val="0"/>
            <w:vAlign w:val="top"/>
          </w:tcPr>
          <w:p w14:paraId="72F496D8">
            <w:pPr>
              <w:pStyle w:val="48"/>
              <w:spacing w:line="360" w:lineRule="auto"/>
              <w:ind w:left="107"/>
              <w:rPr>
                <w:rFonts w:hint="default" w:eastAsia="宋体"/>
                <w:color w:val="auto"/>
                <w:sz w:val="21"/>
                <w:highlight w:val="none"/>
                <w:lang w:val="en-US" w:eastAsia="zh-CN"/>
              </w:rPr>
            </w:pPr>
          </w:p>
        </w:tc>
        <w:tc>
          <w:tcPr>
            <w:tcW w:w="1303" w:type="dxa"/>
            <w:noWrap w:val="0"/>
            <w:vAlign w:val="top"/>
          </w:tcPr>
          <w:p w14:paraId="4B7661E9">
            <w:pPr>
              <w:pStyle w:val="48"/>
              <w:spacing w:line="360" w:lineRule="auto"/>
              <w:ind w:left="108"/>
              <w:rPr>
                <w:rFonts w:hint="default" w:eastAsia="宋体"/>
                <w:color w:val="auto"/>
                <w:sz w:val="21"/>
                <w:highlight w:val="none"/>
                <w:lang w:val="en-US" w:eastAsia="zh-CN"/>
              </w:rPr>
            </w:pPr>
          </w:p>
        </w:tc>
      </w:tr>
      <w:tr w14:paraId="28C09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39DD612D">
            <w:pPr>
              <w:pStyle w:val="48"/>
              <w:spacing w:line="360" w:lineRule="auto"/>
              <w:ind w:left="105"/>
              <w:rPr>
                <w:rFonts w:hint="default" w:eastAsia="宋体"/>
                <w:color w:val="auto"/>
                <w:sz w:val="21"/>
                <w:highlight w:val="none"/>
                <w:lang w:val="en-US" w:eastAsia="zh-CN"/>
              </w:rPr>
            </w:pPr>
          </w:p>
        </w:tc>
        <w:tc>
          <w:tcPr>
            <w:tcW w:w="1405" w:type="dxa"/>
            <w:noWrap w:val="0"/>
            <w:vAlign w:val="center"/>
          </w:tcPr>
          <w:p w14:paraId="45FC287C">
            <w:pPr>
              <w:pStyle w:val="48"/>
              <w:spacing w:line="360" w:lineRule="auto"/>
              <w:ind w:left="105"/>
              <w:jc w:val="both"/>
              <w:rPr>
                <w:rFonts w:hint="default" w:eastAsia="宋体"/>
                <w:color w:val="auto"/>
                <w:sz w:val="21"/>
                <w:highlight w:val="none"/>
                <w:lang w:val="en-US" w:eastAsia="zh-CN"/>
              </w:rPr>
            </w:pPr>
          </w:p>
        </w:tc>
        <w:tc>
          <w:tcPr>
            <w:tcW w:w="1091" w:type="dxa"/>
            <w:noWrap w:val="0"/>
            <w:vAlign w:val="center"/>
          </w:tcPr>
          <w:p w14:paraId="4FA4C5F7">
            <w:pPr>
              <w:pStyle w:val="48"/>
              <w:spacing w:line="360" w:lineRule="auto"/>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70171E08">
            <w:pPr>
              <w:pStyle w:val="48"/>
              <w:spacing w:line="360" w:lineRule="auto"/>
              <w:ind w:left="105"/>
              <w:jc w:val="both"/>
              <w:rPr>
                <w:rFonts w:hint="default"/>
                <w:color w:val="auto"/>
                <w:sz w:val="21"/>
                <w:highlight w:val="none"/>
                <w:lang w:val="en-US" w:eastAsia="zh-CN"/>
              </w:rPr>
            </w:pPr>
          </w:p>
        </w:tc>
        <w:tc>
          <w:tcPr>
            <w:tcW w:w="1309" w:type="dxa"/>
            <w:noWrap w:val="0"/>
            <w:vAlign w:val="top"/>
          </w:tcPr>
          <w:p w14:paraId="19EAEDFD">
            <w:pPr>
              <w:pStyle w:val="48"/>
              <w:spacing w:line="360" w:lineRule="auto"/>
              <w:ind w:left="105"/>
              <w:rPr>
                <w:color w:val="auto"/>
                <w:sz w:val="21"/>
                <w:highlight w:val="none"/>
              </w:rPr>
            </w:pPr>
          </w:p>
        </w:tc>
        <w:tc>
          <w:tcPr>
            <w:tcW w:w="1268" w:type="dxa"/>
            <w:noWrap w:val="0"/>
            <w:vAlign w:val="top"/>
          </w:tcPr>
          <w:p w14:paraId="481E7495">
            <w:pPr>
              <w:pStyle w:val="48"/>
              <w:spacing w:line="360" w:lineRule="auto"/>
              <w:ind w:left="107"/>
              <w:rPr>
                <w:rFonts w:hint="default" w:eastAsia="宋体"/>
                <w:color w:val="auto"/>
                <w:sz w:val="21"/>
                <w:highlight w:val="none"/>
                <w:lang w:val="en-US" w:eastAsia="zh-CN"/>
              </w:rPr>
            </w:pPr>
          </w:p>
        </w:tc>
        <w:tc>
          <w:tcPr>
            <w:tcW w:w="1303" w:type="dxa"/>
            <w:noWrap w:val="0"/>
            <w:vAlign w:val="top"/>
          </w:tcPr>
          <w:p w14:paraId="0A708594">
            <w:pPr>
              <w:pStyle w:val="48"/>
              <w:spacing w:line="360" w:lineRule="auto"/>
              <w:ind w:left="108"/>
              <w:rPr>
                <w:rFonts w:hint="default" w:eastAsia="宋体"/>
                <w:color w:val="auto"/>
                <w:sz w:val="21"/>
                <w:highlight w:val="none"/>
                <w:lang w:val="en-US" w:eastAsia="zh-CN"/>
              </w:rPr>
            </w:pPr>
          </w:p>
        </w:tc>
      </w:tr>
      <w:tr w14:paraId="0444C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278710D9">
            <w:pPr>
              <w:pStyle w:val="48"/>
              <w:spacing w:line="360" w:lineRule="auto"/>
              <w:ind w:left="105"/>
              <w:rPr>
                <w:rFonts w:hint="default" w:eastAsia="宋体"/>
                <w:color w:val="auto"/>
                <w:sz w:val="21"/>
                <w:highlight w:val="none"/>
                <w:lang w:val="en-US" w:eastAsia="zh-CN"/>
              </w:rPr>
            </w:pPr>
          </w:p>
        </w:tc>
        <w:tc>
          <w:tcPr>
            <w:tcW w:w="1405" w:type="dxa"/>
            <w:noWrap w:val="0"/>
            <w:vAlign w:val="center"/>
          </w:tcPr>
          <w:p w14:paraId="77AF11AB">
            <w:pPr>
              <w:pStyle w:val="48"/>
              <w:spacing w:line="360" w:lineRule="auto"/>
              <w:ind w:left="105"/>
              <w:jc w:val="both"/>
              <w:rPr>
                <w:rFonts w:hint="default" w:eastAsia="宋体"/>
                <w:color w:val="auto"/>
                <w:sz w:val="21"/>
                <w:highlight w:val="none"/>
                <w:lang w:val="en-US" w:eastAsia="zh-CN"/>
              </w:rPr>
            </w:pPr>
          </w:p>
        </w:tc>
        <w:tc>
          <w:tcPr>
            <w:tcW w:w="1091" w:type="dxa"/>
            <w:noWrap w:val="0"/>
            <w:vAlign w:val="center"/>
          </w:tcPr>
          <w:p w14:paraId="31CA9078">
            <w:pPr>
              <w:pStyle w:val="48"/>
              <w:spacing w:line="360" w:lineRule="auto"/>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734A6417">
            <w:pPr>
              <w:pStyle w:val="48"/>
              <w:spacing w:line="360" w:lineRule="auto"/>
              <w:ind w:left="105"/>
              <w:jc w:val="both"/>
              <w:rPr>
                <w:rFonts w:hint="default"/>
                <w:color w:val="auto"/>
                <w:sz w:val="21"/>
                <w:highlight w:val="none"/>
                <w:lang w:val="en-US" w:eastAsia="zh-CN"/>
              </w:rPr>
            </w:pPr>
          </w:p>
        </w:tc>
        <w:tc>
          <w:tcPr>
            <w:tcW w:w="1309" w:type="dxa"/>
            <w:noWrap w:val="0"/>
            <w:vAlign w:val="top"/>
          </w:tcPr>
          <w:p w14:paraId="2BD16D1F">
            <w:pPr>
              <w:pStyle w:val="48"/>
              <w:spacing w:line="360" w:lineRule="auto"/>
              <w:ind w:left="105"/>
              <w:rPr>
                <w:color w:val="auto"/>
                <w:sz w:val="21"/>
                <w:highlight w:val="none"/>
              </w:rPr>
            </w:pPr>
          </w:p>
        </w:tc>
        <w:tc>
          <w:tcPr>
            <w:tcW w:w="1268" w:type="dxa"/>
            <w:noWrap w:val="0"/>
            <w:vAlign w:val="top"/>
          </w:tcPr>
          <w:p w14:paraId="3A00711B">
            <w:pPr>
              <w:pStyle w:val="48"/>
              <w:spacing w:line="360" w:lineRule="auto"/>
              <w:ind w:left="107"/>
              <w:rPr>
                <w:rFonts w:hint="default" w:eastAsia="宋体"/>
                <w:color w:val="auto"/>
                <w:sz w:val="21"/>
                <w:highlight w:val="none"/>
                <w:lang w:val="en-US" w:eastAsia="zh-CN"/>
              </w:rPr>
            </w:pPr>
          </w:p>
        </w:tc>
        <w:tc>
          <w:tcPr>
            <w:tcW w:w="1303" w:type="dxa"/>
            <w:noWrap w:val="0"/>
            <w:vAlign w:val="top"/>
          </w:tcPr>
          <w:p w14:paraId="78BF7FF6">
            <w:pPr>
              <w:pStyle w:val="48"/>
              <w:spacing w:line="360" w:lineRule="auto"/>
              <w:ind w:left="108"/>
              <w:rPr>
                <w:rFonts w:hint="default" w:eastAsia="宋体"/>
                <w:color w:val="auto"/>
                <w:sz w:val="21"/>
                <w:highlight w:val="none"/>
                <w:lang w:val="en-US" w:eastAsia="zh-CN"/>
              </w:rPr>
            </w:pPr>
          </w:p>
        </w:tc>
      </w:tr>
      <w:tr w14:paraId="1B3C2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3A217ADF">
            <w:pPr>
              <w:pStyle w:val="48"/>
              <w:spacing w:line="360" w:lineRule="auto"/>
              <w:ind w:left="105"/>
              <w:rPr>
                <w:rFonts w:hint="default" w:eastAsia="宋体"/>
                <w:color w:val="auto"/>
                <w:sz w:val="21"/>
                <w:highlight w:val="none"/>
                <w:lang w:val="en-US" w:eastAsia="zh-CN"/>
              </w:rPr>
            </w:pPr>
          </w:p>
        </w:tc>
        <w:tc>
          <w:tcPr>
            <w:tcW w:w="1405" w:type="dxa"/>
            <w:noWrap w:val="0"/>
            <w:vAlign w:val="center"/>
          </w:tcPr>
          <w:p w14:paraId="183A7A28">
            <w:pPr>
              <w:pStyle w:val="48"/>
              <w:spacing w:line="360" w:lineRule="auto"/>
              <w:ind w:left="105"/>
              <w:jc w:val="both"/>
              <w:rPr>
                <w:rFonts w:hint="default" w:eastAsia="宋体"/>
                <w:color w:val="auto"/>
                <w:sz w:val="21"/>
                <w:highlight w:val="none"/>
                <w:lang w:val="en-US" w:eastAsia="zh-CN"/>
              </w:rPr>
            </w:pPr>
          </w:p>
        </w:tc>
        <w:tc>
          <w:tcPr>
            <w:tcW w:w="1091" w:type="dxa"/>
            <w:noWrap w:val="0"/>
            <w:vAlign w:val="center"/>
          </w:tcPr>
          <w:p w14:paraId="0EB97FD6">
            <w:pPr>
              <w:pStyle w:val="48"/>
              <w:spacing w:line="360" w:lineRule="auto"/>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4AD9B29C">
            <w:pPr>
              <w:pStyle w:val="48"/>
              <w:spacing w:line="360" w:lineRule="auto"/>
              <w:ind w:left="105"/>
              <w:jc w:val="both"/>
              <w:rPr>
                <w:rFonts w:hint="default"/>
                <w:color w:val="auto"/>
                <w:sz w:val="21"/>
                <w:highlight w:val="none"/>
                <w:lang w:val="en-US" w:eastAsia="zh-CN"/>
              </w:rPr>
            </w:pPr>
          </w:p>
        </w:tc>
        <w:tc>
          <w:tcPr>
            <w:tcW w:w="1309" w:type="dxa"/>
            <w:noWrap w:val="0"/>
            <w:vAlign w:val="top"/>
          </w:tcPr>
          <w:p w14:paraId="172C937D">
            <w:pPr>
              <w:pStyle w:val="48"/>
              <w:spacing w:line="360" w:lineRule="auto"/>
              <w:ind w:left="105"/>
              <w:rPr>
                <w:color w:val="auto"/>
                <w:sz w:val="21"/>
                <w:highlight w:val="none"/>
              </w:rPr>
            </w:pPr>
          </w:p>
        </w:tc>
        <w:tc>
          <w:tcPr>
            <w:tcW w:w="1268" w:type="dxa"/>
            <w:noWrap w:val="0"/>
            <w:vAlign w:val="top"/>
          </w:tcPr>
          <w:p w14:paraId="6797CCCC">
            <w:pPr>
              <w:pStyle w:val="48"/>
              <w:spacing w:line="360" w:lineRule="auto"/>
              <w:ind w:left="107"/>
              <w:rPr>
                <w:rFonts w:hint="default" w:eastAsia="宋体"/>
                <w:color w:val="auto"/>
                <w:sz w:val="21"/>
                <w:highlight w:val="none"/>
                <w:lang w:val="en-US" w:eastAsia="zh-CN"/>
              </w:rPr>
            </w:pPr>
          </w:p>
        </w:tc>
        <w:tc>
          <w:tcPr>
            <w:tcW w:w="1303" w:type="dxa"/>
            <w:noWrap w:val="0"/>
            <w:vAlign w:val="top"/>
          </w:tcPr>
          <w:p w14:paraId="36CF2923">
            <w:pPr>
              <w:pStyle w:val="48"/>
              <w:spacing w:line="360" w:lineRule="auto"/>
              <w:ind w:left="108"/>
              <w:rPr>
                <w:rFonts w:hint="default" w:eastAsia="宋体"/>
                <w:color w:val="auto"/>
                <w:sz w:val="21"/>
                <w:highlight w:val="none"/>
                <w:lang w:val="en-US" w:eastAsia="zh-CN"/>
              </w:rPr>
            </w:pPr>
          </w:p>
        </w:tc>
      </w:tr>
      <w:tr w14:paraId="5227C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609E4B34">
            <w:pPr>
              <w:pStyle w:val="48"/>
              <w:spacing w:line="360" w:lineRule="auto"/>
              <w:ind w:left="105"/>
              <w:rPr>
                <w:rFonts w:hint="default" w:eastAsia="宋体"/>
                <w:color w:val="auto"/>
                <w:sz w:val="21"/>
                <w:highlight w:val="none"/>
                <w:lang w:val="en-US" w:eastAsia="zh-CN"/>
              </w:rPr>
            </w:pPr>
          </w:p>
        </w:tc>
        <w:tc>
          <w:tcPr>
            <w:tcW w:w="1405" w:type="dxa"/>
            <w:noWrap w:val="0"/>
            <w:vAlign w:val="center"/>
          </w:tcPr>
          <w:p w14:paraId="6B5ED7D7">
            <w:pPr>
              <w:pStyle w:val="48"/>
              <w:spacing w:line="360" w:lineRule="auto"/>
              <w:ind w:left="105"/>
              <w:jc w:val="both"/>
              <w:rPr>
                <w:rFonts w:hint="default" w:eastAsia="宋体"/>
                <w:color w:val="auto"/>
                <w:sz w:val="21"/>
                <w:highlight w:val="none"/>
                <w:lang w:val="en-US" w:eastAsia="zh-CN"/>
              </w:rPr>
            </w:pPr>
          </w:p>
        </w:tc>
        <w:tc>
          <w:tcPr>
            <w:tcW w:w="1091" w:type="dxa"/>
            <w:noWrap w:val="0"/>
            <w:vAlign w:val="center"/>
          </w:tcPr>
          <w:p w14:paraId="149CC94D">
            <w:pPr>
              <w:pStyle w:val="48"/>
              <w:spacing w:line="360" w:lineRule="auto"/>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15768658">
            <w:pPr>
              <w:pStyle w:val="48"/>
              <w:spacing w:line="360" w:lineRule="auto"/>
              <w:ind w:left="105"/>
              <w:jc w:val="both"/>
              <w:rPr>
                <w:rFonts w:hint="default"/>
                <w:color w:val="auto"/>
                <w:sz w:val="21"/>
                <w:highlight w:val="none"/>
                <w:lang w:val="en-US" w:eastAsia="zh-CN"/>
              </w:rPr>
            </w:pPr>
          </w:p>
        </w:tc>
        <w:tc>
          <w:tcPr>
            <w:tcW w:w="1309" w:type="dxa"/>
            <w:noWrap w:val="0"/>
            <w:vAlign w:val="top"/>
          </w:tcPr>
          <w:p w14:paraId="545234CA">
            <w:pPr>
              <w:pStyle w:val="48"/>
              <w:spacing w:line="360" w:lineRule="auto"/>
              <w:ind w:left="105"/>
              <w:rPr>
                <w:color w:val="auto"/>
                <w:sz w:val="21"/>
                <w:highlight w:val="none"/>
              </w:rPr>
            </w:pPr>
          </w:p>
        </w:tc>
        <w:tc>
          <w:tcPr>
            <w:tcW w:w="1268" w:type="dxa"/>
            <w:noWrap w:val="0"/>
            <w:vAlign w:val="top"/>
          </w:tcPr>
          <w:p w14:paraId="22FEEA8A">
            <w:pPr>
              <w:pStyle w:val="48"/>
              <w:spacing w:line="360" w:lineRule="auto"/>
              <w:ind w:left="107"/>
              <w:rPr>
                <w:rFonts w:hint="default" w:eastAsia="宋体"/>
                <w:color w:val="auto"/>
                <w:sz w:val="21"/>
                <w:highlight w:val="none"/>
                <w:lang w:val="en-US" w:eastAsia="zh-CN"/>
              </w:rPr>
            </w:pPr>
          </w:p>
        </w:tc>
        <w:tc>
          <w:tcPr>
            <w:tcW w:w="1303" w:type="dxa"/>
            <w:noWrap w:val="0"/>
            <w:vAlign w:val="top"/>
          </w:tcPr>
          <w:p w14:paraId="556911D1">
            <w:pPr>
              <w:pStyle w:val="48"/>
              <w:spacing w:line="360" w:lineRule="auto"/>
              <w:ind w:left="108"/>
              <w:rPr>
                <w:rFonts w:hint="default" w:eastAsia="宋体"/>
                <w:color w:val="auto"/>
                <w:sz w:val="21"/>
                <w:highlight w:val="none"/>
                <w:lang w:val="en-US" w:eastAsia="zh-CN"/>
              </w:rPr>
            </w:pPr>
          </w:p>
        </w:tc>
      </w:tr>
      <w:tr w14:paraId="0ECB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4B54FBFD">
            <w:pPr>
              <w:pStyle w:val="48"/>
              <w:spacing w:line="360" w:lineRule="auto"/>
              <w:ind w:left="105"/>
              <w:rPr>
                <w:rFonts w:hint="default" w:eastAsia="宋体"/>
                <w:color w:val="auto"/>
                <w:sz w:val="21"/>
                <w:highlight w:val="none"/>
                <w:lang w:val="en-US" w:eastAsia="zh-CN"/>
              </w:rPr>
            </w:pPr>
          </w:p>
        </w:tc>
        <w:tc>
          <w:tcPr>
            <w:tcW w:w="1405" w:type="dxa"/>
            <w:noWrap w:val="0"/>
            <w:vAlign w:val="center"/>
          </w:tcPr>
          <w:p w14:paraId="1FF4A46D">
            <w:pPr>
              <w:pStyle w:val="48"/>
              <w:spacing w:line="360" w:lineRule="auto"/>
              <w:ind w:left="105"/>
              <w:jc w:val="both"/>
              <w:rPr>
                <w:rFonts w:hint="default" w:eastAsia="宋体"/>
                <w:color w:val="auto"/>
                <w:sz w:val="21"/>
                <w:highlight w:val="none"/>
                <w:lang w:val="en-US" w:eastAsia="zh-CN"/>
              </w:rPr>
            </w:pPr>
          </w:p>
        </w:tc>
        <w:tc>
          <w:tcPr>
            <w:tcW w:w="1091" w:type="dxa"/>
            <w:noWrap w:val="0"/>
            <w:vAlign w:val="center"/>
          </w:tcPr>
          <w:p w14:paraId="4E6BAF84">
            <w:pPr>
              <w:pStyle w:val="48"/>
              <w:spacing w:line="360" w:lineRule="auto"/>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05C2D76F">
            <w:pPr>
              <w:pStyle w:val="48"/>
              <w:spacing w:line="360" w:lineRule="auto"/>
              <w:ind w:left="105"/>
              <w:jc w:val="both"/>
              <w:rPr>
                <w:rFonts w:hint="default"/>
                <w:color w:val="auto"/>
                <w:sz w:val="21"/>
                <w:highlight w:val="none"/>
                <w:lang w:val="en-US" w:eastAsia="zh-CN"/>
              </w:rPr>
            </w:pPr>
          </w:p>
        </w:tc>
        <w:tc>
          <w:tcPr>
            <w:tcW w:w="1309" w:type="dxa"/>
            <w:noWrap w:val="0"/>
            <w:vAlign w:val="top"/>
          </w:tcPr>
          <w:p w14:paraId="38ECFF32">
            <w:pPr>
              <w:pStyle w:val="48"/>
              <w:spacing w:line="360" w:lineRule="auto"/>
              <w:ind w:left="105"/>
              <w:rPr>
                <w:color w:val="auto"/>
                <w:sz w:val="21"/>
                <w:highlight w:val="none"/>
              </w:rPr>
            </w:pPr>
          </w:p>
        </w:tc>
        <w:tc>
          <w:tcPr>
            <w:tcW w:w="1268" w:type="dxa"/>
            <w:noWrap w:val="0"/>
            <w:vAlign w:val="top"/>
          </w:tcPr>
          <w:p w14:paraId="125DC52F">
            <w:pPr>
              <w:pStyle w:val="48"/>
              <w:spacing w:line="360" w:lineRule="auto"/>
              <w:ind w:left="107"/>
              <w:rPr>
                <w:rFonts w:hint="default" w:eastAsia="宋体"/>
                <w:color w:val="auto"/>
                <w:sz w:val="21"/>
                <w:highlight w:val="none"/>
                <w:lang w:val="en-US" w:eastAsia="zh-CN"/>
              </w:rPr>
            </w:pPr>
          </w:p>
        </w:tc>
        <w:tc>
          <w:tcPr>
            <w:tcW w:w="1303" w:type="dxa"/>
            <w:noWrap w:val="0"/>
            <w:vAlign w:val="top"/>
          </w:tcPr>
          <w:p w14:paraId="6E8BB0F3">
            <w:pPr>
              <w:pStyle w:val="48"/>
              <w:spacing w:line="360" w:lineRule="auto"/>
              <w:ind w:left="108"/>
              <w:rPr>
                <w:rFonts w:hint="default" w:eastAsia="宋体"/>
                <w:color w:val="auto"/>
                <w:sz w:val="21"/>
                <w:highlight w:val="none"/>
                <w:lang w:val="en-US" w:eastAsia="zh-CN"/>
              </w:rPr>
            </w:pPr>
          </w:p>
        </w:tc>
      </w:tr>
      <w:tr w14:paraId="74EBF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308576A0">
            <w:pPr>
              <w:pStyle w:val="48"/>
              <w:spacing w:before="1" w:line="360" w:lineRule="auto"/>
              <w:ind w:left="105"/>
              <w:rPr>
                <w:color w:val="auto"/>
                <w:sz w:val="21"/>
                <w:highlight w:val="none"/>
              </w:rPr>
            </w:pPr>
          </w:p>
        </w:tc>
        <w:tc>
          <w:tcPr>
            <w:tcW w:w="1405" w:type="dxa"/>
            <w:noWrap w:val="0"/>
            <w:vAlign w:val="center"/>
          </w:tcPr>
          <w:p w14:paraId="64A719C3">
            <w:pPr>
              <w:pStyle w:val="48"/>
              <w:spacing w:before="1" w:line="360" w:lineRule="auto"/>
              <w:ind w:left="105"/>
              <w:jc w:val="both"/>
              <w:rPr>
                <w:rFonts w:hint="default" w:eastAsia="宋体"/>
                <w:color w:val="auto"/>
                <w:sz w:val="21"/>
                <w:highlight w:val="none"/>
                <w:lang w:val="en-US" w:eastAsia="zh-CN"/>
              </w:rPr>
            </w:pPr>
          </w:p>
        </w:tc>
        <w:tc>
          <w:tcPr>
            <w:tcW w:w="1091" w:type="dxa"/>
            <w:noWrap w:val="0"/>
            <w:vAlign w:val="center"/>
          </w:tcPr>
          <w:p w14:paraId="1A0F4EC7">
            <w:pPr>
              <w:pStyle w:val="48"/>
              <w:spacing w:before="1" w:line="360" w:lineRule="auto"/>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327B5892">
            <w:pPr>
              <w:pStyle w:val="48"/>
              <w:spacing w:before="1" w:line="360" w:lineRule="auto"/>
              <w:ind w:left="105"/>
              <w:jc w:val="both"/>
              <w:rPr>
                <w:rFonts w:hint="default"/>
                <w:color w:val="auto"/>
                <w:sz w:val="21"/>
                <w:highlight w:val="none"/>
                <w:lang w:val="en-US" w:eastAsia="zh-CN"/>
              </w:rPr>
            </w:pPr>
          </w:p>
        </w:tc>
        <w:tc>
          <w:tcPr>
            <w:tcW w:w="1309" w:type="dxa"/>
            <w:noWrap w:val="0"/>
            <w:vAlign w:val="top"/>
          </w:tcPr>
          <w:p w14:paraId="12DBFA91">
            <w:pPr>
              <w:pStyle w:val="48"/>
              <w:spacing w:before="1" w:line="360" w:lineRule="auto"/>
              <w:ind w:left="105"/>
              <w:rPr>
                <w:color w:val="auto"/>
                <w:sz w:val="21"/>
                <w:highlight w:val="none"/>
              </w:rPr>
            </w:pPr>
          </w:p>
        </w:tc>
        <w:tc>
          <w:tcPr>
            <w:tcW w:w="1268" w:type="dxa"/>
            <w:noWrap w:val="0"/>
            <w:vAlign w:val="top"/>
          </w:tcPr>
          <w:p w14:paraId="45C56449">
            <w:pPr>
              <w:pStyle w:val="48"/>
              <w:spacing w:before="1" w:line="360" w:lineRule="auto"/>
              <w:ind w:left="107"/>
              <w:rPr>
                <w:rFonts w:hint="default" w:eastAsia="宋体"/>
                <w:color w:val="auto"/>
                <w:sz w:val="21"/>
                <w:highlight w:val="none"/>
                <w:lang w:val="en-US" w:eastAsia="zh-CN"/>
              </w:rPr>
            </w:pPr>
          </w:p>
        </w:tc>
        <w:tc>
          <w:tcPr>
            <w:tcW w:w="1303" w:type="dxa"/>
            <w:noWrap w:val="0"/>
            <w:vAlign w:val="top"/>
          </w:tcPr>
          <w:p w14:paraId="7319DCF7">
            <w:pPr>
              <w:pStyle w:val="48"/>
              <w:spacing w:before="1" w:line="360" w:lineRule="auto"/>
              <w:ind w:left="108"/>
              <w:rPr>
                <w:rFonts w:hint="default" w:eastAsia="宋体"/>
                <w:color w:val="auto"/>
                <w:sz w:val="21"/>
                <w:highlight w:val="none"/>
                <w:lang w:val="en-US" w:eastAsia="zh-CN"/>
              </w:rPr>
            </w:pPr>
          </w:p>
        </w:tc>
      </w:tr>
      <w:tr w14:paraId="19158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699C326A">
            <w:pPr>
              <w:pStyle w:val="48"/>
              <w:spacing w:before="1" w:line="360" w:lineRule="auto"/>
              <w:ind w:left="105"/>
              <w:rPr>
                <w:color w:val="auto"/>
                <w:sz w:val="21"/>
                <w:highlight w:val="none"/>
              </w:rPr>
            </w:pPr>
          </w:p>
        </w:tc>
        <w:tc>
          <w:tcPr>
            <w:tcW w:w="1405" w:type="dxa"/>
            <w:noWrap w:val="0"/>
            <w:vAlign w:val="top"/>
          </w:tcPr>
          <w:p w14:paraId="6556FDFA">
            <w:pPr>
              <w:pStyle w:val="48"/>
              <w:spacing w:before="1" w:line="360" w:lineRule="auto"/>
              <w:ind w:left="105"/>
              <w:rPr>
                <w:color w:val="auto"/>
                <w:sz w:val="21"/>
                <w:highlight w:val="none"/>
              </w:rPr>
            </w:pPr>
          </w:p>
        </w:tc>
        <w:tc>
          <w:tcPr>
            <w:tcW w:w="1091" w:type="dxa"/>
            <w:noWrap w:val="0"/>
            <w:vAlign w:val="top"/>
          </w:tcPr>
          <w:p w14:paraId="36E75350">
            <w:pPr>
              <w:pStyle w:val="48"/>
              <w:spacing w:before="1" w:line="360" w:lineRule="auto"/>
              <w:ind w:left="105"/>
              <w:rPr>
                <w:color w:val="auto"/>
                <w:sz w:val="21"/>
                <w:highlight w:val="none"/>
              </w:rPr>
            </w:pPr>
          </w:p>
        </w:tc>
        <w:tc>
          <w:tcPr>
            <w:tcW w:w="1445" w:type="dxa"/>
            <w:noWrap w:val="0"/>
            <w:vAlign w:val="top"/>
          </w:tcPr>
          <w:p w14:paraId="051FA36F">
            <w:pPr>
              <w:pStyle w:val="48"/>
              <w:spacing w:before="1" w:line="360" w:lineRule="auto"/>
              <w:ind w:left="105"/>
              <w:rPr>
                <w:color w:val="auto"/>
                <w:sz w:val="21"/>
                <w:highlight w:val="none"/>
              </w:rPr>
            </w:pPr>
          </w:p>
        </w:tc>
        <w:tc>
          <w:tcPr>
            <w:tcW w:w="1309" w:type="dxa"/>
            <w:noWrap w:val="0"/>
            <w:vAlign w:val="top"/>
          </w:tcPr>
          <w:p w14:paraId="7BE20345">
            <w:pPr>
              <w:pStyle w:val="48"/>
              <w:spacing w:before="1" w:line="360" w:lineRule="auto"/>
              <w:ind w:left="105"/>
              <w:rPr>
                <w:color w:val="auto"/>
                <w:sz w:val="21"/>
                <w:highlight w:val="none"/>
              </w:rPr>
            </w:pPr>
          </w:p>
        </w:tc>
        <w:tc>
          <w:tcPr>
            <w:tcW w:w="1268" w:type="dxa"/>
            <w:noWrap w:val="0"/>
            <w:vAlign w:val="top"/>
          </w:tcPr>
          <w:p w14:paraId="439B6068">
            <w:pPr>
              <w:pStyle w:val="48"/>
              <w:spacing w:before="1" w:line="360" w:lineRule="auto"/>
              <w:ind w:left="107"/>
              <w:rPr>
                <w:color w:val="auto"/>
                <w:sz w:val="21"/>
                <w:highlight w:val="none"/>
              </w:rPr>
            </w:pPr>
          </w:p>
        </w:tc>
        <w:tc>
          <w:tcPr>
            <w:tcW w:w="1303" w:type="dxa"/>
            <w:noWrap w:val="0"/>
            <w:vAlign w:val="top"/>
          </w:tcPr>
          <w:p w14:paraId="5F73BDEC">
            <w:pPr>
              <w:pStyle w:val="48"/>
              <w:spacing w:before="1" w:line="360" w:lineRule="auto"/>
              <w:ind w:left="108"/>
              <w:rPr>
                <w:color w:val="auto"/>
                <w:sz w:val="21"/>
                <w:highlight w:val="none"/>
              </w:rPr>
            </w:pPr>
          </w:p>
        </w:tc>
      </w:tr>
      <w:tr w14:paraId="37F0B8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5B5910DA">
            <w:pPr>
              <w:pStyle w:val="48"/>
              <w:spacing w:line="360" w:lineRule="auto"/>
              <w:rPr>
                <w:rFonts w:ascii="黑体"/>
                <w:color w:val="auto"/>
                <w:sz w:val="20"/>
                <w:highlight w:val="none"/>
              </w:rPr>
            </w:pPr>
          </w:p>
          <w:p w14:paraId="5AAA05A3">
            <w:pPr>
              <w:pStyle w:val="48"/>
              <w:spacing w:before="6" w:line="360" w:lineRule="auto"/>
              <w:rPr>
                <w:rFonts w:ascii="黑体"/>
                <w:color w:val="auto"/>
                <w:sz w:val="17"/>
                <w:highlight w:val="none"/>
              </w:rPr>
            </w:pPr>
          </w:p>
          <w:p w14:paraId="4F9D7312">
            <w:pPr>
              <w:pStyle w:val="48"/>
              <w:spacing w:before="1" w:line="360" w:lineRule="auto"/>
              <w:ind w:left="105"/>
              <w:rPr>
                <w:color w:val="auto"/>
                <w:sz w:val="21"/>
                <w:highlight w:val="none"/>
              </w:rPr>
            </w:pPr>
            <w:r>
              <w:rPr>
                <w:color w:val="auto"/>
                <w:sz w:val="21"/>
                <w:highlight w:val="none"/>
              </w:rPr>
              <w:t xml:space="preserve"> </w:t>
            </w:r>
          </w:p>
        </w:tc>
        <w:tc>
          <w:tcPr>
            <w:tcW w:w="1405" w:type="dxa"/>
            <w:noWrap w:val="0"/>
            <w:vAlign w:val="top"/>
          </w:tcPr>
          <w:p w14:paraId="48FDEAF7">
            <w:pPr>
              <w:pStyle w:val="48"/>
              <w:spacing w:line="360" w:lineRule="auto"/>
              <w:rPr>
                <w:rFonts w:ascii="黑体"/>
                <w:color w:val="auto"/>
                <w:sz w:val="20"/>
                <w:highlight w:val="none"/>
              </w:rPr>
            </w:pPr>
          </w:p>
          <w:p w14:paraId="6BE1025F">
            <w:pPr>
              <w:pStyle w:val="48"/>
              <w:spacing w:before="6" w:line="360" w:lineRule="auto"/>
              <w:rPr>
                <w:rFonts w:ascii="黑体"/>
                <w:color w:val="auto"/>
                <w:sz w:val="17"/>
                <w:highlight w:val="none"/>
              </w:rPr>
            </w:pPr>
          </w:p>
          <w:p w14:paraId="3E59807B">
            <w:pPr>
              <w:pStyle w:val="48"/>
              <w:spacing w:before="1" w:line="360" w:lineRule="auto"/>
              <w:ind w:left="105"/>
              <w:rPr>
                <w:color w:val="auto"/>
                <w:sz w:val="21"/>
                <w:highlight w:val="none"/>
              </w:rPr>
            </w:pPr>
            <w:r>
              <w:rPr>
                <w:color w:val="auto"/>
                <w:sz w:val="21"/>
                <w:highlight w:val="none"/>
              </w:rPr>
              <w:t xml:space="preserve"> </w:t>
            </w:r>
          </w:p>
        </w:tc>
        <w:tc>
          <w:tcPr>
            <w:tcW w:w="1091" w:type="dxa"/>
            <w:noWrap w:val="0"/>
            <w:vAlign w:val="top"/>
          </w:tcPr>
          <w:p w14:paraId="6E3429B3">
            <w:pPr>
              <w:pStyle w:val="48"/>
              <w:spacing w:before="1" w:line="360" w:lineRule="auto"/>
              <w:ind w:left="105"/>
              <w:rPr>
                <w:color w:val="auto"/>
                <w:sz w:val="21"/>
                <w:highlight w:val="none"/>
              </w:rPr>
            </w:pPr>
          </w:p>
        </w:tc>
        <w:tc>
          <w:tcPr>
            <w:tcW w:w="1445" w:type="dxa"/>
            <w:noWrap w:val="0"/>
            <w:vAlign w:val="top"/>
          </w:tcPr>
          <w:p w14:paraId="4E2F1424">
            <w:pPr>
              <w:pStyle w:val="48"/>
              <w:spacing w:before="1" w:line="360" w:lineRule="auto"/>
              <w:ind w:left="105"/>
              <w:rPr>
                <w:color w:val="auto"/>
                <w:sz w:val="21"/>
                <w:highlight w:val="none"/>
              </w:rPr>
            </w:pPr>
          </w:p>
        </w:tc>
        <w:tc>
          <w:tcPr>
            <w:tcW w:w="1309" w:type="dxa"/>
            <w:noWrap w:val="0"/>
            <w:vAlign w:val="top"/>
          </w:tcPr>
          <w:p w14:paraId="52BF5982">
            <w:pPr>
              <w:pStyle w:val="48"/>
              <w:spacing w:line="360" w:lineRule="auto"/>
              <w:rPr>
                <w:rFonts w:ascii="黑体"/>
                <w:color w:val="auto"/>
                <w:sz w:val="20"/>
                <w:highlight w:val="none"/>
              </w:rPr>
            </w:pPr>
          </w:p>
          <w:p w14:paraId="0218C55A">
            <w:pPr>
              <w:pStyle w:val="48"/>
              <w:spacing w:before="6" w:line="360" w:lineRule="auto"/>
              <w:rPr>
                <w:rFonts w:ascii="黑体"/>
                <w:color w:val="auto"/>
                <w:sz w:val="17"/>
                <w:highlight w:val="none"/>
              </w:rPr>
            </w:pPr>
          </w:p>
          <w:p w14:paraId="5F3EAF9B">
            <w:pPr>
              <w:pStyle w:val="48"/>
              <w:spacing w:before="1" w:line="360" w:lineRule="auto"/>
              <w:ind w:left="105"/>
              <w:rPr>
                <w:color w:val="auto"/>
                <w:sz w:val="21"/>
                <w:highlight w:val="none"/>
              </w:rPr>
            </w:pPr>
            <w:r>
              <w:rPr>
                <w:color w:val="auto"/>
                <w:sz w:val="21"/>
                <w:highlight w:val="none"/>
              </w:rPr>
              <w:t xml:space="preserve"> </w:t>
            </w:r>
          </w:p>
        </w:tc>
        <w:tc>
          <w:tcPr>
            <w:tcW w:w="1268" w:type="dxa"/>
            <w:noWrap w:val="0"/>
            <w:vAlign w:val="top"/>
          </w:tcPr>
          <w:p w14:paraId="7DA1E4E7">
            <w:pPr>
              <w:pStyle w:val="48"/>
              <w:spacing w:line="360" w:lineRule="auto"/>
              <w:rPr>
                <w:rFonts w:ascii="黑体"/>
                <w:color w:val="auto"/>
                <w:sz w:val="20"/>
                <w:highlight w:val="none"/>
              </w:rPr>
            </w:pPr>
          </w:p>
          <w:p w14:paraId="122E9929">
            <w:pPr>
              <w:pStyle w:val="48"/>
              <w:spacing w:before="6" w:line="360" w:lineRule="auto"/>
              <w:rPr>
                <w:rFonts w:ascii="黑体"/>
                <w:color w:val="auto"/>
                <w:sz w:val="17"/>
                <w:highlight w:val="none"/>
              </w:rPr>
            </w:pPr>
          </w:p>
          <w:p w14:paraId="0DDD4167">
            <w:pPr>
              <w:pStyle w:val="48"/>
              <w:spacing w:before="1" w:line="360" w:lineRule="auto"/>
              <w:ind w:left="107"/>
              <w:rPr>
                <w:color w:val="auto"/>
                <w:sz w:val="21"/>
                <w:highlight w:val="none"/>
              </w:rPr>
            </w:pPr>
            <w:r>
              <w:rPr>
                <w:color w:val="auto"/>
                <w:sz w:val="21"/>
                <w:highlight w:val="none"/>
              </w:rPr>
              <w:t xml:space="preserve"> </w:t>
            </w:r>
          </w:p>
        </w:tc>
        <w:tc>
          <w:tcPr>
            <w:tcW w:w="1303" w:type="dxa"/>
            <w:noWrap w:val="0"/>
            <w:vAlign w:val="top"/>
          </w:tcPr>
          <w:p w14:paraId="5AD04F77">
            <w:pPr>
              <w:pStyle w:val="48"/>
              <w:spacing w:line="360" w:lineRule="auto"/>
              <w:rPr>
                <w:rFonts w:ascii="黑体"/>
                <w:color w:val="auto"/>
                <w:sz w:val="20"/>
                <w:highlight w:val="none"/>
              </w:rPr>
            </w:pPr>
          </w:p>
          <w:p w14:paraId="749E3DF8">
            <w:pPr>
              <w:pStyle w:val="48"/>
              <w:spacing w:before="6" w:line="360" w:lineRule="auto"/>
              <w:rPr>
                <w:rFonts w:ascii="黑体"/>
                <w:color w:val="auto"/>
                <w:sz w:val="17"/>
                <w:highlight w:val="none"/>
              </w:rPr>
            </w:pPr>
          </w:p>
          <w:p w14:paraId="20C9F259">
            <w:pPr>
              <w:pStyle w:val="48"/>
              <w:spacing w:before="1" w:line="360" w:lineRule="auto"/>
              <w:ind w:left="108"/>
              <w:rPr>
                <w:color w:val="auto"/>
                <w:sz w:val="21"/>
                <w:highlight w:val="none"/>
              </w:rPr>
            </w:pPr>
            <w:r>
              <w:rPr>
                <w:color w:val="auto"/>
                <w:sz w:val="21"/>
                <w:highlight w:val="none"/>
              </w:rPr>
              <w:t xml:space="preserve"> </w:t>
            </w:r>
          </w:p>
        </w:tc>
      </w:tr>
    </w:tbl>
    <w:p w14:paraId="390042C9">
      <w:pPr>
        <w:spacing w:line="360" w:lineRule="auto"/>
        <w:ind w:firstLine="200" w:firstLineChars="100"/>
        <w:rPr>
          <w:rFonts w:hint="eastAsia" w:ascii="宋体" w:hAnsi="宋体"/>
          <w:color w:val="auto"/>
          <w:sz w:val="20"/>
          <w:szCs w:val="20"/>
          <w:highlight w:val="none"/>
        </w:rPr>
      </w:pPr>
      <w:r>
        <w:rPr>
          <w:rFonts w:hint="eastAsia" w:ascii="宋体" w:hAnsi="宋体"/>
          <w:color w:val="auto"/>
          <w:sz w:val="20"/>
          <w:szCs w:val="20"/>
          <w:highlight w:val="none"/>
        </w:rPr>
        <w:t>注：</w:t>
      </w:r>
      <w:r>
        <w:rPr>
          <w:rFonts w:hint="eastAsia" w:ascii="宋体" w:hAnsi="宋体"/>
          <w:color w:val="auto"/>
          <w:sz w:val="20"/>
          <w:szCs w:val="20"/>
          <w:highlight w:val="none"/>
          <w:lang w:val="en-US" w:eastAsia="zh-CN"/>
        </w:rPr>
        <w:t>1.</w:t>
      </w:r>
      <w:r>
        <w:rPr>
          <w:rFonts w:hint="eastAsia" w:ascii="宋体" w:hAnsi="宋体"/>
          <w:color w:val="auto"/>
          <w:sz w:val="20"/>
          <w:szCs w:val="20"/>
          <w:highlight w:val="none"/>
        </w:rPr>
        <w:t>此表由招标人填写除“投标单价”栏的内容</w:t>
      </w:r>
      <w:r>
        <w:rPr>
          <w:rFonts w:hint="eastAsia" w:ascii="宋体" w:hAnsi="宋体"/>
          <w:color w:val="auto"/>
          <w:sz w:val="20"/>
          <w:szCs w:val="20"/>
          <w:highlight w:val="none"/>
          <w:lang w:eastAsia="zh-CN"/>
        </w:rPr>
        <w:t>，</w:t>
      </w:r>
      <w:r>
        <w:rPr>
          <w:rFonts w:hint="eastAsia" w:ascii="宋体" w:hAnsi="宋体"/>
          <w:color w:val="auto"/>
          <w:sz w:val="20"/>
          <w:szCs w:val="20"/>
          <w:highlight w:val="none"/>
        </w:rPr>
        <w:t>投标人在投标时自主确定投标单价。</w:t>
      </w:r>
    </w:p>
    <w:p w14:paraId="3AA01E43">
      <w:pPr>
        <w:spacing w:line="360" w:lineRule="auto"/>
        <w:ind w:firstLine="600" w:firstLineChars="300"/>
        <w:rPr>
          <w:rFonts w:hint="eastAsia" w:ascii="宋体" w:hAnsi="宋体"/>
          <w:color w:val="auto"/>
          <w:sz w:val="20"/>
          <w:szCs w:val="20"/>
          <w:highlight w:val="none"/>
          <w:lang w:val="en-US" w:eastAsia="zh-CN"/>
        </w:rPr>
      </w:pPr>
      <w:r>
        <w:rPr>
          <w:rFonts w:hint="eastAsia" w:ascii="宋体" w:hAnsi="宋体"/>
          <w:color w:val="auto"/>
          <w:sz w:val="20"/>
          <w:szCs w:val="20"/>
          <w:highlight w:val="none"/>
          <w:lang w:val="en-US" w:eastAsia="zh-CN"/>
        </w:rPr>
        <w:t>2.应用于一般计税法为除税价，应用于简易计税法为含税价。</w:t>
      </w:r>
    </w:p>
    <w:p w14:paraId="2853C44B">
      <w:pPr>
        <w:pStyle w:val="21"/>
        <w:spacing w:line="360" w:lineRule="auto"/>
        <w:ind w:leftChars="0" w:firstLine="0" w:firstLineChars="0"/>
        <w:rPr>
          <w:rFonts w:hint="eastAsia" w:ascii="宋体" w:hAnsi="宋体"/>
          <w:color w:val="auto"/>
          <w:sz w:val="18"/>
          <w:szCs w:val="18"/>
          <w:highlight w:val="none"/>
        </w:rPr>
        <w:sectPr>
          <w:pgSz w:w="11907" w:h="16840"/>
          <w:pgMar w:top="1440" w:right="1440" w:bottom="1440" w:left="1797" w:header="851" w:footer="851" w:gutter="0"/>
          <w:cols w:space="720" w:num="1"/>
          <w:docGrid w:linePitch="312" w:charSpace="0"/>
        </w:sectPr>
      </w:pPr>
    </w:p>
    <w:p w14:paraId="26225981">
      <w:pPr>
        <w:pStyle w:val="3"/>
        <w:pageBreakBefore w:val="0"/>
        <w:numPr>
          <w:ilvl w:val="0"/>
          <w:numId w:val="0"/>
        </w:numPr>
        <w:overflowPunct/>
        <w:topLinePunct w:val="0"/>
        <w:bidi w:val="0"/>
        <w:spacing w:line="360" w:lineRule="auto"/>
        <w:jc w:val="center"/>
        <w:rPr>
          <w:rFonts w:hint="eastAsia" w:ascii="宋体" w:hAnsi="宋体" w:eastAsia="宋体" w:cs="宋体"/>
          <w:color w:val="auto"/>
          <w:sz w:val="44"/>
          <w:szCs w:val="44"/>
          <w:highlight w:val="none"/>
          <w:lang w:val="en-US" w:eastAsia="zh-CN"/>
        </w:rPr>
      </w:pPr>
      <w:bookmarkStart w:id="1389" w:name="_Toc6995"/>
      <w:bookmarkStart w:id="1390" w:name="_Toc2590"/>
      <w:r>
        <w:rPr>
          <w:rFonts w:hint="eastAsia" w:ascii="宋体" w:hAnsi="宋体" w:cs="宋体"/>
          <w:color w:val="auto"/>
          <w:sz w:val="44"/>
          <w:szCs w:val="44"/>
          <w:highlight w:val="none"/>
          <w:lang w:val="en-US" w:eastAsia="zh-CN"/>
        </w:rPr>
        <w:t xml:space="preserve">第五章 </w:t>
      </w:r>
      <w:r>
        <w:rPr>
          <w:rFonts w:hint="eastAsia" w:ascii="宋体" w:hAnsi="宋体" w:eastAsia="宋体" w:cs="宋体"/>
          <w:color w:val="auto"/>
          <w:sz w:val="44"/>
          <w:szCs w:val="44"/>
          <w:highlight w:val="none"/>
          <w:lang w:val="en-US" w:eastAsia="zh-CN"/>
        </w:rPr>
        <w:t>工程量清单</w:t>
      </w:r>
      <w:bookmarkEnd w:id="112"/>
      <w:bookmarkEnd w:id="113"/>
      <w:bookmarkEnd w:id="1389"/>
      <w:bookmarkEnd w:id="1390"/>
    </w:p>
    <w:p w14:paraId="3D884339">
      <w:pPr>
        <w:pageBreakBefore w:val="0"/>
        <w:numPr>
          <w:ilvl w:val="0"/>
          <w:numId w:val="0"/>
        </w:numPr>
        <w:overflowPunct/>
        <w:topLinePunct w:val="0"/>
        <w:bidi w:val="0"/>
        <w:spacing w:line="360" w:lineRule="auto"/>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val="en-US" w:eastAsia="zh-CN"/>
        </w:rPr>
        <w:t>工程量清单</w:t>
      </w:r>
      <w:r>
        <w:rPr>
          <w:rFonts w:hint="eastAsia" w:ascii="宋体" w:hAnsi="宋体" w:eastAsia="宋体" w:cs="宋体"/>
          <w:b/>
          <w:color w:val="auto"/>
          <w:sz w:val="30"/>
          <w:szCs w:val="30"/>
          <w:highlight w:val="none"/>
        </w:rPr>
        <w:t>（</w:t>
      </w:r>
      <w:r>
        <w:rPr>
          <w:rFonts w:hint="eastAsia" w:ascii="宋体" w:hAnsi="宋体" w:eastAsia="宋体" w:cs="宋体"/>
          <w:b/>
          <w:color w:val="auto"/>
          <w:sz w:val="30"/>
          <w:szCs w:val="30"/>
          <w:highlight w:val="none"/>
          <w:lang w:val="en-US" w:eastAsia="zh-CN"/>
        </w:rPr>
        <w:t>另附</w:t>
      </w:r>
      <w:r>
        <w:rPr>
          <w:rFonts w:hint="eastAsia" w:ascii="宋体" w:hAnsi="宋体" w:eastAsia="宋体" w:cs="宋体"/>
          <w:b/>
          <w:color w:val="auto"/>
          <w:sz w:val="30"/>
          <w:szCs w:val="30"/>
          <w:highlight w:val="none"/>
        </w:rPr>
        <w:t>）</w:t>
      </w:r>
    </w:p>
    <w:p w14:paraId="548273B1">
      <w:pPr>
        <w:pStyle w:val="40"/>
        <w:pageBreakBefore w:val="0"/>
        <w:overflowPunct/>
        <w:topLinePunct w:val="0"/>
        <w:bidi w:val="0"/>
        <w:spacing w:line="360" w:lineRule="auto"/>
        <w:rPr>
          <w:rFonts w:hint="eastAsia" w:ascii="宋体" w:hAnsi="宋体" w:eastAsia="宋体" w:cs="宋体"/>
          <w:color w:val="auto"/>
          <w:sz w:val="21"/>
          <w:szCs w:val="21"/>
          <w:highlight w:val="none"/>
        </w:rPr>
      </w:pPr>
    </w:p>
    <w:p w14:paraId="3EA8F181">
      <w:pPr>
        <w:pageBreakBefore w:val="0"/>
        <w:tabs>
          <w:tab w:val="left" w:pos="0"/>
        </w:tabs>
        <w:overflowPunct/>
        <w:topLinePunct w:val="0"/>
        <w:autoSpaceDE w:val="0"/>
        <w:autoSpaceDN w:val="0"/>
        <w:bidi w:val="0"/>
        <w:adjustRightInd w:val="0"/>
        <w:spacing w:line="360" w:lineRule="auto"/>
        <w:ind w:right="84" w:firstLine="420" w:firstLineChars="200"/>
        <w:rPr>
          <w:rFonts w:hint="eastAsia" w:ascii="宋体" w:hAnsi="宋体" w:eastAsia="宋体" w:cs="宋体"/>
          <w:color w:val="auto"/>
          <w:szCs w:val="21"/>
          <w:highlight w:val="none"/>
          <w:lang w:val="en-US" w:eastAsia="zh-CN"/>
        </w:rPr>
      </w:pPr>
    </w:p>
    <w:p w14:paraId="20AC2092">
      <w:pPr>
        <w:pageBreakBefore w:val="0"/>
        <w:tabs>
          <w:tab w:val="left" w:pos="0"/>
        </w:tabs>
        <w:overflowPunct/>
        <w:topLinePunct w:val="0"/>
        <w:autoSpaceDE w:val="0"/>
        <w:autoSpaceDN w:val="0"/>
        <w:bidi w:val="0"/>
        <w:adjustRightInd w:val="0"/>
        <w:spacing w:line="360" w:lineRule="auto"/>
        <w:ind w:right="84"/>
        <w:rPr>
          <w:rFonts w:hint="eastAsia" w:ascii="宋体" w:hAnsi="宋体" w:eastAsia="宋体" w:cs="宋体"/>
          <w:color w:val="auto"/>
          <w:szCs w:val="21"/>
          <w:highlight w:val="none"/>
          <w:lang w:val="en-US" w:eastAsia="zh-CN"/>
        </w:rPr>
      </w:pPr>
    </w:p>
    <w:p w14:paraId="0C7CFAA6">
      <w:pPr>
        <w:pageBreakBefore w:val="0"/>
        <w:tabs>
          <w:tab w:val="left" w:pos="0"/>
        </w:tabs>
        <w:overflowPunct/>
        <w:topLinePunct w:val="0"/>
        <w:autoSpaceDE w:val="0"/>
        <w:autoSpaceDN w:val="0"/>
        <w:bidi w:val="0"/>
        <w:adjustRightInd w:val="0"/>
        <w:spacing w:line="360" w:lineRule="auto"/>
        <w:ind w:right="84" w:firstLine="420" w:firstLineChars="200"/>
        <w:rPr>
          <w:rFonts w:hint="eastAsia" w:ascii="宋体" w:hAnsi="宋体" w:eastAsia="宋体" w:cs="宋体"/>
          <w:color w:val="auto"/>
          <w:szCs w:val="21"/>
          <w:highlight w:val="none"/>
          <w:lang w:val="en-US" w:eastAsia="zh-CN"/>
        </w:rPr>
      </w:pPr>
    </w:p>
    <w:p w14:paraId="7A7D6298">
      <w:pPr>
        <w:pStyle w:val="40"/>
        <w:pageBreakBefore w:val="0"/>
        <w:overflowPunct/>
        <w:topLinePunct w:val="0"/>
        <w:bidi w:val="0"/>
        <w:spacing w:line="360" w:lineRule="auto"/>
        <w:ind w:firstLine="480" w:firstLineChars="200"/>
        <w:rPr>
          <w:rFonts w:hint="eastAsia" w:ascii="宋体" w:hAnsi="宋体" w:eastAsia="宋体" w:cs="宋体"/>
          <w:color w:val="auto"/>
          <w:szCs w:val="21"/>
          <w:highlight w:val="none"/>
          <w:lang w:val="en-US" w:eastAsia="zh-CN"/>
        </w:rPr>
      </w:pPr>
    </w:p>
    <w:p w14:paraId="11719DF0">
      <w:pPr>
        <w:pageBreakBefore w:val="0"/>
        <w:overflowPunct/>
        <w:topLinePunct w:val="0"/>
        <w:bidi w:val="0"/>
        <w:spacing w:line="360" w:lineRule="auto"/>
        <w:rPr>
          <w:rFonts w:hint="eastAsia" w:ascii="宋体" w:hAnsi="宋体" w:eastAsia="宋体" w:cs="宋体"/>
          <w:b w:val="0"/>
          <w:bCs/>
          <w:color w:val="auto"/>
          <w:highlight w:val="none"/>
        </w:rPr>
      </w:pPr>
    </w:p>
    <w:p w14:paraId="69A2BAF4">
      <w:pPr>
        <w:pageBreakBefore w:val="0"/>
        <w:overflowPunct/>
        <w:topLinePunct w:val="0"/>
        <w:bidi w:val="0"/>
        <w:spacing w:line="360" w:lineRule="auto"/>
        <w:rPr>
          <w:rFonts w:hint="eastAsia" w:ascii="宋体" w:hAnsi="宋体" w:eastAsia="宋体" w:cs="宋体"/>
          <w:color w:val="auto"/>
          <w:highlight w:val="none"/>
        </w:rPr>
      </w:pPr>
    </w:p>
    <w:p w14:paraId="6922B548">
      <w:pPr>
        <w:pageBreakBefore w:val="0"/>
        <w:overflowPunct/>
        <w:topLinePunct w:val="0"/>
        <w:bidi w:val="0"/>
        <w:spacing w:line="360" w:lineRule="auto"/>
        <w:rPr>
          <w:rFonts w:hint="eastAsia" w:ascii="宋体" w:hAnsi="宋体" w:eastAsia="宋体" w:cs="宋体"/>
          <w:color w:val="auto"/>
          <w:highlight w:val="none"/>
        </w:rPr>
      </w:pPr>
    </w:p>
    <w:p w14:paraId="6FAE2412">
      <w:pPr>
        <w:pageBreakBefore w:val="0"/>
        <w:overflowPunct/>
        <w:topLinePunct w:val="0"/>
        <w:bidi w:val="0"/>
        <w:spacing w:line="360" w:lineRule="auto"/>
        <w:ind w:left="-4" w:leftChars="-2" w:right="-153" w:rightChars="-73" w:firstLine="2" w:firstLineChars="1"/>
        <w:rPr>
          <w:rFonts w:hint="eastAsia" w:ascii="宋体" w:hAnsi="宋体" w:eastAsia="宋体" w:cs="宋体"/>
          <w:b/>
          <w:color w:val="auto"/>
          <w:szCs w:val="21"/>
          <w:highlight w:val="none"/>
        </w:rPr>
      </w:pPr>
    </w:p>
    <w:p w14:paraId="6E2265E3">
      <w:pPr>
        <w:pageBreakBefore w:val="0"/>
        <w:overflowPunct/>
        <w:topLinePunct w:val="0"/>
        <w:bidi w:val="0"/>
        <w:spacing w:before="156" w:beforeLines="50" w:after="156" w:afterLines="50" w:line="360" w:lineRule="auto"/>
        <w:jc w:val="both"/>
        <w:rPr>
          <w:rFonts w:hint="eastAsia" w:ascii="宋体" w:hAnsi="宋体" w:eastAsia="宋体" w:cs="宋体"/>
          <w:color w:val="auto"/>
          <w:sz w:val="32"/>
          <w:szCs w:val="32"/>
          <w:highlight w:val="none"/>
        </w:rPr>
      </w:pPr>
    </w:p>
    <w:p w14:paraId="52690255">
      <w:pPr>
        <w:pStyle w:val="2"/>
        <w:spacing w:line="360" w:lineRule="auto"/>
        <w:rPr>
          <w:rFonts w:hint="eastAsia" w:ascii="宋体" w:hAnsi="宋体" w:eastAsia="宋体" w:cs="宋体"/>
          <w:color w:val="auto"/>
          <w:sz w:val="32"/>
          <w:szCs w:val="32"/>
          <w:highlight w:val="none"/>
        </w:rPr>
      </w:pPr>
    </w:p>
    <w:p w14:paraId="37E6A7F2">
      <w:pPr>
        <w:spacing w:line="360" w:lineRule="auto"/>
        <w:rPr>
          <w:rFonts w:hint="eastAsia" w:ascii="宋体" w:hAnsi="宋体" w:eastAsia="宋体" w:cs="宋体"/>
          <w:color w:val="auto"/>
          <w:sz w:val="32"/>
          <w:szCs w:val="32"/>
          <w:highlight w:val="none"/>
        </w:rPr>
      </w:pPr>
    </w:p>
    <w:p w14:paraId="0B67FA40">
      <w:pPr>
        <w:pStyle w:val="2"/>
        <w:spacing w:line="360" w:lineRule="auto"/>
        <w:rPr>
          <w:rFonts w:hint="eastAsia" w:ascii="宋体" w:hAnsi="宋体" w:eastAsia="宋体" w:cs="宋体"/>
          <w:color w:val="auto"/>
          <w:sz w:val="32"/>
          <w:szCs w:val="32"/>
          <w:highlight w:val="none"/>
        </w:rPr>
      </w:pPr>
    </w:p>
    <w:p w14:paraId="61B505FC">
      <w:pPr>
        <w:spacing w:line="360" w:lineRule="auto"/>
        <w:rPr>
          <w:rFonts w:hint="eastAsia" w:ascii="宋体" w:hAnsi="宋体" w:eastAsia="宋体" w:cs="宋体"/>
          <w:color w:val="auto"/>
          <w:sz w:val="32"/>
          <w:szCs w:val="32"/>
          <w:highlight w:val="none"/>
        </w:rPr>
      </w:pPr>
    </w:p>
    <w:p w14:paraId="3653B9C6">
      <w:pPr>
        <w:pStyle w:val="2"/>
        <w:spacing w:line="360" w:lineRule="auto"/>
        <w:rPr>
          <w:rFonts w:hint="eastAsia" w:ascii="宋体" w:hAnsi="宋体" w:eastAsia="宋体" w:cs="宋体"/>
          <w:color w:val="auto"/>
          <w:sz w:val="32"/>
          <w:szCs w:val="32"/>
          <w:highlight w:val="none"/>
        </w:rPr>
      </w:pPr>
    </w:p>
    <w:p w14:paraId="67B95329">
      <w:pPr>
        <w:spacing w:line="360" w:lineRule="auto"/>
        <w:rPr>
          <w:rFonts w:hint="eastAsia" w:ascii="宋体" w:hAnsi="宋体" w:eastAsia="宋体" w:cs="宋体"/>
          <w:color w:val="auto"/>
          <w:sz w:val="32"/>
          <w:szCs w:val="32"/>
          <w:highlight w:val="none"/>
        </w:rPr>
      </w:pPr>
    </w:p>
    <w:p w14:paraId="6B277653">
      <w:pPr>
        <w:pStyle w:val="2"/>
        <w:spacing w:line="360" w:lineRule="auto"/>
        <w:rPr>
          <w:rFonts w:hint="eastAsia"/>
          <w:color w:val="auto"/>
          <w:highlight w:val="none"/>
        </w:rPr>
      </w:pPr>
    </w:p>
    <w:p w14:paraId="1C89DF1D">
      <w:pPr>
        <w:pageBreakBefore w:val="0"/>
        <w:overflowPunct/>
        <w:topLinePunct w:val="0"/>
        <w:bidi w:val="0"/>
        <w:spacing w:before="156" w:beforeLines="50" w:after="156" w:afterLines="50" w:line="360" w:lineRule="auto"/>
        <w:jc w:val="center"/>
        <w:rPr>
          <w:rFonts w:hint="eastAsia" w:ascii="宋体" w:hAnsi="宋体" w:eastAsia="宋体" w:cs="宋体"/>
          <w:color w:val="auto"/>
          <w:sz w:val="32"/>
          <w:szCs w:val="32"/>
          <w:highlight w:val="none"/>
        </w:rPr>
      </w:pPr>
    </w:p>
    <w:p w14:paraId="5199EBEC">
      <w:pPr>
        <w:pStyle w:val="17"/>
        <w:pageBreakBefore w:val="0"/>
        <w:overflowPunct/>
        <w:topLinePunct w:val="0"/>
        <w:bidi w:val="0"/>
        <w:spacing w:line="360" w:lineRule="auto"/>
        <w:rPr>
          <w:rFonts w:hint="eastAsia" w:ascii="宋体" w:hAnsi="宋体" w:eastAsia="宋体" w:cs="宋体"/>
          <w:color w:val="auto"/>
          <w:sz w:val="32"/>
          <w:szCs w:val="32"/>
          <w:highlight w:val="none"/>
        </w:rPr>
      </w:pPr>
    </w:p>
    <w:p w14:paraId="38FE0ED3">
      <w:pPr>
        <w:pStyle w:val="17"/>
        <w:pageBreakBefore w:val="0"/>
        <w:overflowPunct/>
        <w:topLinePunct w:val="0"/>
        <w:bidi w:val="0"/>
        <w:spacing w:line="360" w:lineRule="auto"/>
        <w:rPr>
          <w:rFonts w:hint="eastAsia" w:ascii="宋体" w:hAnsi="宋体" w:eastAsia="宋体" w:cs="宋体"/>
          <w:color w:val="auto"/>
          <w:sz w:val="32"/>
          <w:szCs w:val="32"/>
          <w:highlight w:val="none"/>
        </w:rPr>
      </w:pPr>
    </w:p>
    <w:p w14:paraId="648BEB4E">
      <w:pPr>
        <w:pStyle w:val="17"/>
        <w:pageBreakBefore w:val="0"/>
        <w:overflowPunct/>
        <w:topLinePunct w:val="0"/>
        <w:bidi w:val="0"/>
        <w:spacing w:line="360" w:lineRule="auto"/>
        <w:rPr>
          <w:rFonts w:hint="eastAsia" w:ascii="宋体" w:hAnsi="宋体" w:eastAsia="宋体" w:cs="宋体"/>
          <w:color w:val="auto"/>
          <w:sz w:val="32"/>
          <w:szCs w:val="32"/>
          <w:highlight w:val="none"/>
        </w:rPr>
      </w:pPr>
    </w:p>
    <w:bookmarkEnd w:id="114"/>
    <w:bookmarkEnd w:id="115"/>
    <w:p w14:paraId="6C953514">
      <w:pPr>
        <w:pStyle w:val="3"/>
        <w:pageBreakBefore w:val="0"/>
        <w:overflowPunct/>
        <w:topLinePunct w:val="0"/>
        <w:bidi w:val="0"/>
        <w:spacing w:line="360" w:lineRule="auto"/>
        <w:jc w:val="center"/>
        <w:rPr>
          <w:rFonts w:hint="eastAsia" w:ascii="宋体" w:hAnsi="宋体" w:eastAsia="宋体" w:cs="宋体"/>
          <w:color w:val="auto"/>
          <w:sz w:val="44"/>
          <w:szCs w:val="44"/>
          <w:highlight w:val="none"/>
        </w:rPr>
      </w:pPr>
      <w:bookmarkStart w:id="1391" w:name="_Toc18611"/>
      <w:bookmarkStart w:id="1392" w:name="_Toc9677"/>
      <w:bookmarkStart w:id="1393" w:name="_Toc15908"/>
      <w:bookmarkStart w:id="1394" w:name="_Toc29936"/>
      <w:r>
        <w:rPr>
          <w:rFonts w:hint="eastAsia" w:ascii="宋体" w:hAnsi="宋体" w:eastAsia="宋体" w:cs="宋体"/>
          <w:color w:val="auto"/>
          <w:sz w:val="44"/>
          <w:szCs w:val="44"/>
          <w:highlight w:val="none"/>
          <w:lang w:val="en-US" w:eastAsia="zh-CN"/>
        </w:rPr>
        <w:t>第</w:t>
      </w:r>
      <w:r>
        <w:rPr>
          <w:rFonts w:hint="eastAsia" w:ascii="宋体" w:hAnsi="宋体" w:cs="宋体"/>
          <w:color w:val="auto"/>
          <w:sz w:val="44"/>
          <w:szCs w:val="44"/>
          <w:highlight w:val="none"/>
          <w:lang w:val="en-US" w:eastAsia="zh-CN"/>
        </w:rPr>
        <w:t>六</w:t>
      </w:r>
      <w:r>
        <w:rPr>
          <w:rFonts w:hint="eastAsia" w:ascii="宋体" w:hAnsi="宋体" w:eastAsia="宋体" w:cs="宋体"/>
          <w:color w:val="auto"/>
          <w:sz w:val="44"/>
          <w:szCs w:val="44"/>
          <w:highlight w:val="none"/>
          <w:lang w:val="en-US" w:eastAsia="zh-CN"/>
        </w:rPr>
        <w:t xml:space="preserve">章 </w:t>
      </w:r>
      <w:r>
        <w:rPr>
          <w:rFonts w:hint="eastAsia" w:ascii="宋体" w:hAnsi="宋体" w:eastAsia="宋体" w:cs="宋体"/>
          <w:color w:val="auto"/>
          <w:sz w:val="44"/>
          <w:szCs w:val="44"/>
          <w:highlight w:val="none"/>
        </w:rPr>
        <w:t xml:space="preserve"> 图纸</w:t>
      </w:r>
      <w:bookmarkEnd w:id="1391"/>
      <w:bookmarkEnd w:id="1392"/>
      <w:bookmarkEnd w:id="1393"/>
      <w:bookmarkEnd w:id="1394"/>
    </w:p>
    <w:p w14:paraId="1E238C96">
      <w:pPr>
        <w:pageBreakBefore w:val="0"/>
        <w:numPr>
          <w:ilvl w:val="0"/>
          <w:numId w:val="0"/>
        </w:numPr>
        <w:overflowPunct/>
        <w:topLinePunct w:val="0"/>
        <w:bidi w:val="0"/>
        <w:spacing w:line="360" w:lineRule="auto"/>
        <w:ind w:leftChars="0"/>
        <w:jc w:val="both"/>
        <w:rPr>
          <w:rFonts w:hint="eastAsia" w:ascii="宋体" w:hAnsi="宋体" w:eastAsia="宋体" w:cs="宋体"/>
          <w:b/>
          <w:color w:val="auto"/>
          <w:sz w:val="32"/>
          <w:szCs w:val="32"/>
          <w:highlight w:val="none"/>
        </w:rPr>
      </w:pPr>
    </w:p>
    <w:p w14:paraId="6A480B46">
      <w:pPr>
        <w:pageBreakBefore w:val="0"/>
        <w:numPr>
          <w:ilvl w:val="0"/>
          <w:numId w:val="0"/>
        </w:numPr>
        <w:overflowPunct/>
        <w:topLinePunct w:val="0"/>
        <w:bidi w:val="0"/>
        <w:spacing w:line="360" w:lineRule="auto"/>
        <w:ind w:leftChars="0"/>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（另附）</w:t>
      </w:r>
    </w:p>
    <w:p w14:paraId="685E0B66">
      <w:pPr>
        <w:pageBreakBefore w:val="0"/>
        <w:overflowPunct/>
        <w:topLinePunct w:val="0"/>
        <w:bidi w:val="0"/>
        <w:spacing w:line="360" w:lineRule="auto"/>
        <w:ind w:right="-153" w:rightChars="-73"/>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bookmarkStart w:id="1395" w:name="_Toc7496"/>
      <w:bookmarkStart w:id="1396" w:name="_Toc2287"/>
      <w:bookmarkStart w:id="1397" w:name="_Toc430095345"/>
      <w:bookmarkStart w:id="1398" w:name="_Toc440877587"/>
    </w:p>
    <w:p w14:paraId="6B317E27">
      <w:pPr>
        <w:pageBreakBefore w:val="0"/>
        <w:overflowPunct/>
        <w:topLinePunct w:val="0"/>
        <w:bidi w:val="0"/>
        <w:spacing w:line="360" w:lineRule="auto"/>
        <w:ind w:right="-153" w:rightChars="-73"/>
        <w:jc w:val="center"/>
        <w:rPr>
          <w:rFonts w:hint="eastAsia" w:ascii="宋体" w:hAnsi="宋体" w:eastAsia="宋体" w:cs="宋体"/>
          <w:b/>
          <w:color w:val="auto"/>
          <w:sz w:val="44"/>
          <w:szCs w:val="44"/>
          <w:highlight w:val="none"/>
        </w:rPr>
      </w:pPr>
      <w:bookmarkStart w:id="1399" w:name="_Toc14097"/>
      <w:bookmarkStart w:id="1400" w:name="_Toc16699"/>
      <w:r>
        <w:rPr>
          <w:rStyle w:val="64"/>
          <w:rFonts w:hint="eastAsia" w:ascii="宋体" w:hAnsi="宋体" w:eastAsia="宋体" w:cs="宋体"/>
          <w:color w:val="auto"/>
          <w:sz w:val="44"/>
          <w:szCs w:val="44"/>
          <w:highlight w:val="none"/>
        </w:rPr>
        <w:t>第</w:t>
      </w:r>
      <w:r>
        <w:rPr>
          <w:rStyle w:val="64"/>
          <w:rFonts w:hint="eastAsia" w:ascii="宋体" w:hAnsi="宋体" w:cs="宋体"/>
          <w:color w:val="auto"/>
          <w:sz w:val="44"/>
          <w:szCs w:val="44"/>
          <w:highlight w:val="none"/>
          <w:lang w:val="en-US"/>
        </w:rPr>
        <w:t>七</w:t>
      </w:r>
      <w:r>
        <w:rPr>
          <w:rStyle w:val="64"/>
          <w:rFonts w:hint="eastAsia" w:ascii="宋体" w:hAnsi="宋体" w:eastAsia="宋体" w:cs="宋体"/>
          <w:color w:val="auto"/>
          <w:sz w:val="44"/>
          <w:szCs w:val="44"/>
          <w:highlight w:val="none"/>
        </w:rPr>
        <w:t>章  技术标准和要求</w:t>
      </w:r>
      <w:bookmarkEnd w:id="1395"/>
      <w:bookmarkEnd w:id="1396"/>
      <w:bookmarkEnd w:id="1399"/>
      <w:bookmarkEnd w:id="1400"/>
    </w:p>
    <w:p w14:paraId="1617D9B2">
      <w:pPr>
        <w:pStyle w:val="15"/>
        <w:pageBreakBefore w:val="0"/>
        <w:overflowPunct/>
        <w:topLinePunct w:val="0"/>
        <w:bidi w:val="0"/>
        <w:spacing w:line="360" w:lineRule="auto"/>
        <w:rPr>
          <w:rFonts w:hint="eastAsia" w:ascii="宋体" w:hAnsi="宋体" w:eastAsia="宋体" w:cs="宋体"/>
          <w:b/>
          <w:color w:val="auto"/>
          <w:szCs w:val="21"/>
          <w:highlight w:val="none"/>
        </w:rPr>
      </w:pPr>
    </w:p>
    <w:p w14:paraId="264D7835">
      <w:pPr>
        <w:pageBreakBefore w:val="0"/>
        <w:numPr>
          <w:ilvl w:val="0"/>
          <w:numId w:val="0"/>
        </w:numPr>
        <w:overflowPunct/>
        <w:topLinePunct w:val="0"/>
        <w:bidi w:val="0"/>
        <w:spacing w:line="360" w:lineRule="auto"/>
        <w:jc w:val="both"/>
        <w:rPr>
          <w:rFonts w:hint="eastAsia" w:ascii="宋体" w:hAnsi="宋体" w:eastAsia="宋体" w:cs="宋体"/>
          <w:b/>
          <w:color w:val="auto"/>
          <w:sz w:val="32"/>
          <w:szCs w:val="32"/>
          <w:highlight w:val="none"/>
        </w:rPr>
      </w:pPr>
      <w:r>
        <w:rPr>
          <w:rFonts w:hint="eastAsia" w:ascii="宋体" w:hAnsi="宋体" w:eastAsia="宋体" w:cs="宋体"/>
          <w:color w:val="auto"/>
          <w:kern w:val="0"/>
          <w:sz w:val="21"/>
          <w:szCs w:val="21"/>
          <w:highlight w:val="none"/>
        </w:rPr>
        <w:t>本工程执行国家现行的有关的工程建设标准、技术规范及强制性标准条文、以及施工图纸载明的其他有关规范标准。</w:t>
      </w:r>
    </w:p>
    <w:p w14:paraId="7362837B">
      <w:pPr>
        <w:pageBreakBefore w:val="0"/>
        <w:overflowPunct/>
        <w:topLinePunct w:val="0"/>
        <w:bidi w:val="0"/>
        <w:spacing w:line="360" w:lineRule="auto"/>
        <w:jc w:val="center"/>
        <w:outlineLvl w:val="0"/>
        <w:rPr>
          <w:rFonts w:hint="eastAsia" w:ascii="宋体" w:hAnsi="宋体" w:eastAsia="宋体" w:cs="宋体"/>
          <w:b/>
          <w:color w:val="auto"/>
          <w:kern w:val="44"/>
          <w:sz w:val="44"/>
          <w:szCs w:val="44"/>
          <w:highlight w:val="none"/>
        </w:rPr>
      </w:pPr>
      <w:r>
        <w:rPr>
          <w:rFonts w:hint="eastAsia" w:ascii="宋体" w:hAnsi="宋体" w:eastAsia="宋体" w:cs="宋体"/>
          <w:b/>
          <w:color w:val="auto"/>
          <w:sz w:val="32"/>
          <w:szCs w:val="32"/>
          <w:highlight w:val="none"/>
        </w:rPr>
        <w:br w:type="page"/>
      </w:r>
      <w:bookmarkStart w:id="1401" w:name="_Toc20121"/>
      <w:bookmarkStart w:id="1402" w:name="_Toc18252"/>
      <w:bookmarkStart w:id="1403" w:name="_Toc29919"/>
      <w:bookmarkStart w:id="1404" w:name="_Toc6074"/>
      <w:r>
        <w:rPr>
          <w:rStyle w:val="64"/>
          <w:rFonts w:hint="eastAsia" w:ascii="宋体" w:hAnsi="宋体" w:eastAsia="宋体" w:cs="宋体"/>
          <w:color w:val="auto"/>
          <w:sz w:val="44"/>
          <w:szCs w:val="44"/>
          <w:highlight w:val="none"/>
        </w:rPr>
        <w:t>第</w:t>
      </w:r>
      <w:r>
        <w:rPr>
          <w:rStyle w:val="64"/>
          <w:rFonts w:hint="eastAsia" w:ascii="宋体" w:hAnsi="宋体" w:cs="宋体"/>
          <w:color w:val="auto"/>
          <w:sz w:val="44"/>
          <w:szCs w:val="44"/>
          <w:highlight w:val="none"/>
          <w:lang w:val="en-US"/>
        </w:rPr>
        <w:t>八</w:t>
      </w:r>
      <w:r>
        <w:rPr>
          <w:rStyle w:val="64"/>
          <w:rFonts w:hint="eastAsia" w:ascii="宋体" w:hAnsi="宋体" w:eastAsia="宋体" w:cs="宋体"/>
          <w:color w:val="auto"/>
          <w:sz w:val="44"/>
          <w:szCs w:val="44"/>
          <w:highlight w:val="none"/>
        </w:rPr>
        <w:t xml:space="preserve">章  </w:t>
      </w:r>
      <w:r>
        <w:rPr>
          <w:rStyle w:val="64"/>
          <w:rFonts w:hint="eastAsia" w:ascii="宋体" w:hAnsi="宋体" w:eastAsia="宋体" w:cs="宋体"/>
          <w:color w:val="auto"/>
          <w:sz w:val="44"/>
          <w:szCs w:val="44"/>
          <w:highlight w:val="none"/>
          <w:lang w:eastAsia="zh-CN"/>
        </w:rPr>
        <w:t>《响应文件》</w:t>
      </w:r>
      <w:r>
        <w:rPr>
          <w:rStyle w:val="64"/>
          <w:rFonts w:hint="eastAsia" w:ascii="宋体" w:hAnsi="宋体" w:eastAsia="宋体" w:cs="宋体"/>
          <w:color w:val="auto"/>
          <w:sz w:val="44"/>
          <w:szCs w:val="44"/>
          <w:highlight w:val="none"/>
        </w:rPr>
        <w:t>（格式）</w:t>
      </w:r>
      <w:bookmarkEnd w:id="1397"/>
      <w:bookmarkEnd w:id="1398"/>
      <w:bookmarkEnd w:id="1401"/>
      <w:bookmarkEnd w:id="1402"/>
      <w:bookmarkEnd w:id="1403"/>
      <w:bookmarkEnd w:id="1404"/>
    </w:p>
    <w:p w14:paraId="4B2A0E00">
      <w:pPr>
        <w:pageBreakBefore w:val="0"/>
        <w:overflowPunct/>
        <w:topLinePunct w:val="0"/>
        <w:bidi w:val="0"/>
        <w:spacing w:line="360" w:lineRule="auto"/>
        <w:jc w:val="both"/>
        <w:rPr>
          <w:rFonts w:hint="eastAsia" w:ascii="宋体" w:hAnsi="宋体" w:eastAsia="宋体" w:cs="宋体"/>
          <w:b/>
          <w:color w:val="auto"/>
          <w:kern w:val="44"/>
          <w:sz w:val="28"/>
          <w:szCs w:val="28"/>
          <w:highlight w:val="none"/>
        </w:rPr>
      </w:pPr>
    </w:p>
    <w:p w14:paraId="1F6C0ECD">
      <w:pPr>
        <w:pageBreakBefore w:val="0"/>
        <w:overflowPunct/>
        <w:topLinePunct w:val="0"/>
        <w:bidi w:val="0"/>
        <w:spacing w:line="360" w:lineRule="auto"/>
        <w:jc w:val="both"/>
        <w:rPr>
          <w:rFonts w:hint="eastAsia" w:ascii="宋体" w:hAnsi="宋体" w:eastAsia="宋体" w:cs="宋体"/>
          <w:b/>
          <w:color w:val="auto"/>
          <w:kern w:val="44"/>
          <w:sz w:val="28"/>
          <w:szCs w:val="28"/>
          <w:highlight w:val="none"/>
        </w:rPr>
      </w:pPr>
      <w:r>
        <w:rPr>
          <w:rFonts w:hint="eastAsia" w:ascii="宋体" w:hAnsi="宋体" w:eastAsia="宋体" w:cs="宋体"/>
          <w:b/>
          <w:color w:val="auto"/>
          <w:kern w:val="44"/>
          <w:sz w:val="28"/>
          <w:szCs w:val="28"/>
          <w:highlight w:val="none"/>
        </w:rPr>
        <w:t>第一节 封面格式</w:t>
      </w:r>
    </w:p>
    <w:p w14:paraId="0377B205">
      <w:pPr>
        <w:pageBreakBefore w:val="0"/>
        <w:widowControl/>
        <w:kinsoku w:val="0"/>
        <w:overflowPunct/>
        <w:topLinePunct w:val="0"/>
        <w:autoSpaceDE w:val="0"/>
        <w:autoSpaceDN w:val="0"/>
        <w:bidi w:val="0"/>
        <w:adjustRightInd w:val="0"/>
        <w:snapToGrid w:val="0"/>
        <w:spacing w:before="104" w:line="360" w:lineRule="auto"/>
        <w:ind w:firstLine="23"/>
        <w:jc w:val="righ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pacing w:val="-2"/>
          <w:kern w:val="0"/>
          <w:sz w:val="24"/>
          <w:szCs w:val="24"/>
          <w:highlight w:val="none"/>
          <w14:textOutline w14:w="6773" w14:cap="flat" w14:cmpd="sng">
            <w14:solidFill>
              <w14:srgbClr w14:val="000000"/>
            </w14:solidFill>
            <w14:prstDash w14:val="solid"/>
            <w14:miter w14:val="0"/>
          </w14:textOutline>
        </w:rPr>
        <w:t>（响应文件外层包装封面格式</w:t>
      </w:r>
      <w:r>
        <w:rPr>
          <w:rFonts w:hint="eastAsia" w:ascii="宋体" w:hAnsi="宋体" w:eastAsia="宋体" w:cs="宋体"/>
          <w:snapToGrid w:val="0"/>
          <w:color w:val="auto"/>
          <w:spacing w:val="7"/>
          <w:kern w:val="0"/>
          <w:sz w:val="24"/>
          <w:szCs w:val="24"/>
          <w:highlight w:val="none"/>
        </w:rPr>
        <w:t xml:space="preserve"> </w:t>
      </w:r>
      <w:r>
        <w:rPr>
          <w:rFonts w:hint="eastAsia" w:ascii="宋体" w:hAnsi="宋体" w:eastAsia="宋体" w:cs="宋体"/>
          <w:snapToGrid w:val="0"/>
          <w:color w:val="auto"/>
          <w:spacing w:val="-2"/>
          <w:kern w:val="0"/>
          <w:sz w:val="24"/>
          <w:szCs w:val="24"/>
          <w:highlight w:val="none"/>
          <w14:textOutline w14:w="6773" w14:cap="flat" w14:cmpd="sng">
            <w14:solidFill>
              <w14:srgbClr w14:val="000000"/>
            </w14:solidFill>
            <w14:prstDash w14:val="solid"/>
            <w14:miter w14:val="0"/>
          </w14:textOutline>
        </w:rPr>
        <w:t>）</w:t>
      </w:r>
    </w:p>
    <w:p w14:paraId="6D56FB33">
      <w:pPr>
        <w:pageBreakBefore w:val="0"/>
        <w:widowControl/>
        <w:kinsoku w:val="0"/>
        <w:overflowPunct/>
        <w:topLinePunct w:val="0"/>
        <w:autoSpaceDE w:val="0"/>
        <w:autoSpaceDN w:val="0"/>
        <w:bidi w:val="0"/>
        <w:adjustRightInd w:val="0"/>
        <w:snapToGrid w:val="0"/>
        <w:spacing w:line="360" w:lineRule="auto"/>
        <w:jc w:val="left"/>
        <w:textAlignment w:val="baseline"/>
        <w:rPr>
          <w:rFonts w:hint="eastAsia" w:ascii="宋体" w:hAnsi="宋体" w:eastAsia="宋体" w:cs="宋体"/>
          <w:snapToGrid w:val="0"/>
          <w:color w:val="auto"/>
          <w:kern w:val="0"/>
          <w:sz w:val="24"/>
          <w:szCs w:val="24"/>
          <w:highlight w:val="none"/>
        </w:rPr>
      </w:pPr>
    </w:p>
    <w:p w14:paraId="1BCB38ED">
      <w:pPr>
        <w:pageBreakBefore w:val="0"/>
        <w:widowControl/>
        <w:kinsoku w:val="0"/>
        <w:overflowPunct/>
        <w:topLinePunct w:val="0"/>
        <w:autoSpaceDE w:val="0"/>
        <w:autoSpaceDN w:val="0"/>
        <w:bidi w:val="0"/>
        <w:adjustRightInd w:val="0"/>
        <w:snapToGrid w:val="0"/>
        <w:spacing w:line="360" w:lineRule="auto"/>
        <w:jc w:val="left"/>
        <w:textAlignment w:val="baseline"/>
        <w:rPr>
          <w:rFonts w:hint="eastAsia" w:ascii="宋体" w:hAnsi="宋体" w:eastAsia="宋体" w:cs="宋体"/>
          <w:snapToGrid w:val="0"/>
          <w:color w:val="auto"/>
          <w:kern w:val="0"/>
          <w:sz w:val="24"/>
          <w:szCs w:val="24"/>
          <w:highlight w:val="none"/>
        </w:rPr>
      </w:pPr>
    </w:p>
    <w:p w14:paraId="49B424BE">
      <w:pPr>
        <w:pageBreakBefore w:val="0"/>
        <w:widowControl/>
        <w:kinsoku w:val="0"/>
        <w:overflowPunct/>
        <w:topLinePunct w:val="0"/>
        <w:autoSpaceDE w:val="0"/>
        <w:autoSpaceDN w:val="0"/>
        <w:bidi w:val="0"/>
        <w:adjustRightInd w:val="0"/>
        <w:snapToGrid w:val="0"/>
        <w:spacing w:before="143" w:line="360" w:lineRule="auto"/>
        <w:ind w:firstLine="2869"/>
        <w:jc w:val="left"/>
        <w:textAlignment w:val="baseline"/>
        <w:rPr>
          <w:rFonts w:hint="eastAsia" w:ascii="宋体" w:hAnsi="宋体" w:eastAsia="宋体" w:cs="宋体"/>
          <w:b/>
          <w:bCs/>
          <w:snapToGrid w:val="0"/>
          <w:color w:val="auto"/>
          <w:kern w:val="0"/>
          <w:sz w:val="28"/>
          <w:szCs w:val="28"/>
          <w:highlight w:val="none"/>
        </w:rPr>
      </w:pPr>
      <w:r>
        <w:rPr>
          <w:rFonts w:hint="eastAsia" w:ascii="宋体" w:hAnsi="宋体" w:eastAsia="宋体" w:cs="宋体"/>
          <w:b/>
          <w:bCs/>
          <w:snapToGrid w:val="0"/>
          <w:color w:val="auto"/>
          <w:spacing w:val="-26"/>
          <w:kern w:val="0"/>
          <w:sz w:val="28"/>
          <w:szCs w:val="28"/>
          <w:highlight w:val="none"/>
        </w:rPr>
        <w:t>响</w:t>
      </w:r>
      <w:r>
        <w:rPr>
          <w:rFonts w:hint="eastAsia" w:ascii="宋体" w:hAnsi="宋体" w:eastAsia="宋体" w:cs="宋体"/>
          <w:b/>
          <w:bCs/>
          <w:snapToGrid w:val="0"/>
          <w:color w:val="auto"/>
          <w:spacing w:val="15"/>
          <w:kern w:val="0"/>
          <w:sz w:val="28"/>
          <w:szCs w:val="28"/>
          <w:highlight w:val="none"/>
        </w:rPr>
        <w:t xml:space="preserve">  </w:t>
      </w:r>
      <w:r>
        <w:rPr>
          <w:rFonts w:hint="eastAsia" w:ascii="宋体" w:hAnsi="宋体" w:eastAsia="宋体" w:cs="宋体"/>
          <w:b/>
          <w:bCs/>
          <w:snapToGrid w:val="0"/>
          <w:color w:val="auto"/>
          <w:spacing w:val="-26"/>
          <w:kern w:val="0"/>
          <w:sz w:val="28"/>
          <w:szCs w:val="28"/>
          <w:highlight w:val="none"/>
        </w:rPr>
        <w:t>应</w:t>
      </w:r>
      <w:r>
        <w:rPr>
          <w:rFonts w:hint="eastAsia" w:ascii="宋体" w:hAnsi="宋体" w:eastAsia="宋体" w:cs="宋体"/>
          <w:b/>
          <w:bCs/>
          <w:snapToGrid w:val="0"/>
          <w:color w:val="auto"/>
          <w:spacing w:val="15"/>
          <w:kern w:val="0"/>
          <w:sz w:val="28"/>
          <w:szCs w:val="28"/>
          <w:highlight w:val="none"/>
        </w:rPr>
        <w:t xml:space="preserve">  </w:t>
      </w:r>
      <w:r>
        <w:rPr>
          <w:rFonts w:hint="eastAsia" w:ascii="宋体" w:hAnsi="宋体" w:eastAsia="宋体" w:cs="宋体"/>
          <w:b/>
          <w:bCs/>
          <w:snapToGrid w:val="0"/>
          <w:color w:val="auto"/>
          <w:spacing w:val="-26"/>
          <w:kern w:val="0"/>
          <w:sz w:val="28"/>
          <w:szCs w:val="28"/>
          <w:highlight w:val="none"/>
        </w:rPr>
        <w:t>文</w:t>
      </w:r>
      <w:r>
        <w:rPr>
          <w:rFonts w:hint="eastAsia" w:ascii="宋体" w:hAnsi="宋体" w:eastAsia="宋体" w:cs="宋体"/>
          <w:b/>
          <w:bCs/>
          <w:snapToGrid w:val="0"/>
          <w:color w:val="auto"/>
          <w:spacing w:val="14"/>
          <w:kern w:val="0"/>
          <w:sz w:val="28"/>
          <w:szCs w:val="28"/>
          <w:highlight w:val="none"/>
        </w:rPr>
        <w:t xml:space="preserve">  </w:t>
      </w:r>
      <w:r>
        <w:rPr>
          <w:rFonts w:hint="eastAsia" w:ascii="宋体" w:hAnsi="宋体" w:eastAsia="宋体" w:cs="宋体"/>
          <w:b/>
          <w:bCs/>
          <w:snapToGrid w:val="0"/>
          <w:color w:val="auto"/>
          <w:spacing w:val="-26"/>
          <w:kern w:val="0"/>
          <w:sz w:val="28"/>
          <w:szCs w:val="28"/>
          <w:highlight w:val="none"/>
        </w:rPr>
        <w:t>件</w:t>
      </w:r>
    </w:p>
    <w:p w14:paraId="4D95BA4C">
      <w:pPr>
        <w:pageBreakBefore w:val="0"/>
        <w:widowControl/>
        <w:kinsoku w:val="0"/>
        <w:overflowPunct/>
        <w:topLinePunct w:val="0"/>
        <w:autoSpaceDE w:val="0"/>
        <w:autoSpaceDN w:val="0"/>
        <w:bidi w:val="0"/>
        <w:adjustRightInd w:val="0"/>
        <w:snapToGrid w:val="0"/>
        <w:spacing w:line="360" w:lineRule="auto"/>
        <w:jc w:val="left"/>
        <w:textAlignment w:val="baseline"/>
        <w:rPr>
          <w:rFonts w:hint="eastAsia" w:ascii="宋体" w:hAnsi="宋体" w:eastAsia="宋体" w:cs="宋体"/>
          <w:b/>
          <w:bCs/>
          <w:snapToGrid w:val="0"/>
          <w:color w:val="auto"/>
          <w:kern w:val="0"/>
          <w:sz w:val="28"/>
          <w:szCs w:val="28"/>
          <w:highlight w:val="none"/>
        </w:rPr>
      </w:pPr>
    </w:p>
    <w:p w14:paraId="63B73E43">
      <w:pPr>
        <w:pageBreakBefore w:val="0"/>
        <w:widowControl/>
        <w:kinsoku w:val="0"/>
        <w:overflowPunct/>
        <w:topLinePunct w:val="0"/>
        <w:autoSpaceDE w:val="0"/>
        <w:autoSpaceDN w:val="0"/>
        <w:bidi w:val="0"/>
        <w:adjustRightInd w:val="0"/>
        <w:snapToGrid w:val="0"/>
        <w:spacing w:line="360" w:lineRule="auto"/>
        <w:jc w:val="left"/>
        <w:textAlignment w:val="baseline"/>
        <w:rPr>
          <w:rFonts w:hint="eastAsia" w:ascii="宋体" w:hAnsi="宋体" w:eastAsia="宋体" w:cs="宋体"/>
          <w:b/>
          <w:bCs/>
          <w:snapToGrid w:val="0"/>
          <w:color w:val="auto"/>
          <w:kern w:val="0"/>
          <w:sz w:val="28"/>
          <w:szCs w:val="28"/>
          <w:highlight w:val="none"/>
        </w:rPr>
      </w:pPr>
    </w:p>
    <w:p w14:paraId="1B59675F">
      <w:pPr>
        <w:pageBreakBefore w:val="0"/>
        <w:widowControl/>
        <w:kinsoku w:val="0"/>
        <w:overflowPunct/>
        <w:topLinePunct w:val="0"/>
        <w:autoSpaceDE w:val="0"/>
        <w:autoSpaceDN w:val="0"/>
        <w:bidi w:val="0"/>
        <w:adjustRightInd w:val="0"/>
        <w:snapToGrid w:val="0"/>
        <w:spacing w:line="360" w:lineRule="auto"/>
        <w:jc w:val="left"/>
        <w:textAlignment w:val="baseline"/>
        <w:rPr>
          <w:rFonts w:hint="eastAsia" w:ascii="宋体" w:hAnsi="宋体" w:eastAsia="宋体" w:cs="宋体"/>
          <w:b/>
          <w:bCs/>
          <w:snapToGrid w:val="0"/>
          <w:color w:val="auto"/>
          <w:kern w:val="0"/>
          <w:sz w:val="28"/>
          <w:szCs w:val="28"/>
          <w:highlight w:val="none"/>
        </w:rPr>
      </w:pPr>
    </w:p>
    <w:p w14:paraId="04658E7D">
      <w:pPr>
        <w:pageBreakBefore w:val="0"/>
        <w:widowControl/>
        <w:kinsoku w:val="0"/>
        <w:overflowPunct/>
        <w:topLinePunct w:val="0"/>
        <w:autoSpaceDE w:val="0"/>
        <w:autoSpaceDN w:val="0"/>
        <w:bidi w:val="0"/>
        <w:adjustRightInd w:val="0"/>
        <w:snapToGrid w:val="0"/>
        <w:spacing w:line="360" w:lineRule="auto"/>
        <w:jc w:val="left"/>
        <w:textAlignment w:val="baseline"/>
        <w:rPr>
          <w:rFonts w:hint="eastAsia" w:ascii="宋体" w:hAnsi="宋体" w:eastAsia="宋体" w:cs="宋体"/>
          <w:b/>
          <w:bCs/>
          <w:snapToGrid w:val="0"/>
          <w:color w:val="auto"/>
          <w:kern w:val="0"/>
          <w:sz w:val="28"/>
          <w:szCs w:val="28"/>
          <w:highlight w:val="none"/>
        </w:rPr>
      </w:pPr>
    </w:p>
    <w:p w14:paraId="195EC43C">
      <w:pPr>
        <w:pageBreakBefore w:val="0"/>
        <w:widowControl/>
        <w:kinsoku w:val="0"/>
        <w:overflowPunct/>
        <w:topLinePunct w:val="0"/>
        <w:autoSpaceDE w:val="0"/>
        <w:autoSpaceDN w:val="0"/>
        <w:bidi w:val="0"/>
        <w:adjustRightInd w:val="0"/>
        <w:snapToGrid w:val="0"/>
        <w:spacing w:before="104" w:line="360" w:lineRule="auto"/>
        <w:ind w:firstLine="655"/>
        <w:jc w:val="left"/>
        <w:textAlignment w:val="baseline"/>
        <w:rPr>
          <w:rFonts w:hint="eastAsia" w:ascii="宋体" w:hAnsi="宋体" w:eastAsia="宋体" w:cs="宋体"/>
          <w:b/>
          <w:bCs/>
          <w:snapToGrid w:val="0"/>
          <w:color w:val="auto"/>
          <w:kern w:val="0"/>
          <w:sz w:val="28"/>
          <w:szCs w:val="28"/>
          <w:highlight w:val="none"/>
        </w:rPr>
      </w:pPr>
      <w:r>
        <w:rPr>
          <w:rFonts w:hint="eastAsia" w:ascii="宋体" w:hAnsi="宋体" w:eastAsia="宋体" w:cs="宋体"/>
          <w:b/>
          <w:bCs/>
          <w:snapToGrid w:val="0"/>
          <w:color w:val="auto"/>
          <w:spacing w:val="-14"/>
          <w:kern w:val="0"/>
          <w:position w:val="42"/>
          <w:sz w:val="28"/>
          <w:szCs w:val="28"/>
          <w:highlight w:val="none"/>
        </w:rPr>
        <w:t>项目名称：</w:t>
      </w:r>
    </w:p>
    <w:p w14:paraId="268B81F0">
      <w:pPr>
        <w:pageBreakBefore w:val="0"/>
        <w:widowControl/>
        <w:kinsoku w:val="0"/>
        <w:overflowPunct/>
        <w:topLinePunct w:val="0"/>
        <w:autoSpaceDE w:val="0"/>
        <w:autoSpaceDN w:val="0"/>
        <w:bidi w:val="0"/>
        <w:adjustRightInd w:val="0"/>
        <w:snapToGrid w:val="0"/>
        <w:spacing w:before="1" w:line="360" w:lineRule="auto"/>
        <w:ind w:firstLine="655"/>
        <w:jc w:val="left"/>
        <w:textAlignment w:val="baseline"/>
        <w:rPr>
          <w:rFonts w:hint="eastAsia" w:ascii="宋体" w:hAnsi="宋体" w:eastAsia="宋体" w:cs="宋体"/>
          <w:b/>
          <w:bCs/>
          <w:snapToGrid w:val="0"/>
          <w:color w:val="auto"/>
          <w:kern w:val="0"/>
          <w:sz w:val="28"/>
          <w:szCs w:val="28"/>
          <w:highlight w:val="none"/>
        </w:rPr>
      </w:pPr>
      <w:r>
        <w:rPr>
          <w:rFonts w:hint="eastAsia" w:ascii="宋体" w:hAnsi="宋体" w:eastAsia="宋体" w:cs="宋体"/>
          <w:b/>
          <w:bCs/>
          <w:snapToGrid w:val="0"/>
          <w:color w:val="auto"/>
          <w:spacing w:val="-14"/>
          <w:kern w:val="0"/>
          <w:sz w:val="28"/>
          <w:szCs w:val="28"/>
          <w:highlight w:val="none"/>
        </w:rPr>
        <w:t>项目编号：</w:t>
      </w:r>
    </w:p>
    <w:p w14:paraId="6035225B">
      <w:pPr>
        <w:pageBreakBefore w:val="0"/>
        <w:widowControl/>
        <w:kinsoku w:val="0"/>
        <w:overflowPunct/>
        <w:topLinePunct w:val="0"/>
        <w:autoSpaceDE w:val="0"/>
        <w:autoSpaceDN w:val="0"/>
        <w:bidi w:val="0"/>
        <w:adjustRightInd w:val="0"/>
        <w:snapToGrid w:val="0"/>
        <w:spacing w:before="104" w:line="360" w:lineRule="auto"/>
        <w:jc w:val="left"/>
        <w:textAlignment w:val="baseline"/>
        <w:rPr>
          <w:rFonts w:hint="eastAsia" w:ascii="宋体" w:hAnsi="宋体" w:eastAsia="宋体" w:cs="宋体"/>
          <w:b/>
          <w:bCs/>
          <w:snapToGrid w:val="0"/>
          <w:color w:val="auto"/>
          <w:kern w:val="0"/>
          <w:sz w:val="28"/>
          <w:szCs w:val="28"/>
          <w:highlight w:val="none"/>
        </w:rPr>
      </w:pPr>
    </w:p>
    <w:p w14:paraId="586E6CE4">
      <w:pPr>
        <w:pageBreakBefore w:val="0"/>
        <w:widowControl/>
        <w:kinsoku w:val="0"/>
        <w:overflowPunct/>
        <w:topLinePunct w:val="0"/>
        <w:autoSpaceDE w:val="0"/>
        <w:autoSpaceDN w:val="0"/>
        <w:bidi w:val="0"/>
        <w:adjustRightInd w:val="0"/>
        <w:snapToGrid w:val="0"/>
        <w:spacing w:before="104" w:line="360" w:lineRule="auto"/>
        <w:ind w:left="654"/>
        <w:jc w:val="left"/>
        <w:textAlignment w:val="baseline"/>
        <w:rPr>
          <w:rFonts w:hint="eastAsia" w:ascii="宋体" w:hAnsi="宋体" w:eastAsia="宋体" w:cs="宋体"/>
          <w:b/>
          <w:bCs/>
          <w:snapToGrid w:val="0"/>
          <w:color w:val="auto"/>
          <w:spacing w:val="-12"/>
          <w:kern w:val="0"/>
          <w:sz w:val="28"/>
          <w:szCs w:val="28"/>
          <w:highlight w:val="none"/>
          <w:lang w:val="en-US" w:eastAsia="zh-CN"/>
        </w:rPr>
      </w:pPr>
      <w:r>
        <w:rPr>
          <w:rFonts w:hint="eastAsia" w:ascii="宋体" w:hAnsi="宋体" w:eastAsia="宋体" w:cs="宋体"/>
          <w:b/>
          <w:bCs/>
          <w:snapToGrid w:val="0"/>
          <w:color w:val="auto"/>
          <w:spacing w:val="-12"/>
          <w:kern w:val="0"/>
          <w:sz w:val="28"/>
          <w:szCs w:val="28"/>
          <w:highlight w:val="none"/>
        </w:rPr>
        <w:t>供应商名称：</w:t>
      </w:r>
      <w:r>
        <w:rPr>
          <w:rFonts w:hint="eastAsia" w:ascii="宋体" w:hAnsi="宋体" w:eastAsia="宋体" w:cs="宋体"/>
          <w:b/>
          <w:bCs/>
          <w:snapToGrid w:val="0"/>
          <w:color w:val="auto"/>
          <w:spacing w:val="-12"/>
          <w:kern w:val="0"/>
          <w:sz w:val="28"/>
          <w:szCs w:val="28"/>
          <w:highlight w:val="none"/>
          <w:lang w:val="en-US" w:eastAsia="zh-CN"/>
        </w:rPr>
        <w:t xml:space="preserve">                  （公章或电子签章）</w:t>
      </w:r>
    </w:p>
    <w:p w14:paraId="41AB3BEA">
      <w:pPr>
        <w:keepNext/>
        <w:keepLines/>
        <w:pageBreakBefore w:val="0"/>
        <w:kinsoku w:val="0"/>
        <w:overflowPunct/>
        <w:topLinePunct w:val="0"/>
        <w:autoSpaceDE w:val="0"/>
        <w:autoSpaceDN w:val="0"/>
        <w:bidi w:val="0"/>
        <w:adjustRightInd w:val="0"/>
        <w:snapToGrid w:val="0"/>
        <w:spacing w:before="280" w:after="290" w:line="360" w:lineRule="auto"/>
        <w:jc w:val="left"/>
        <w:textAlignment w:val="baseline"/>
        <w:outlineLvl w:val="9"/>
        <w:rPr>
          <w:rFonts w:hint="eastAsia" w:ascii="宋体" w:hAnsi="宋体" w:eastAsia="宋体" w:cs="宋体"/>
          <w:b/>
          <w:bCs/>
          <w:snapToGrid w:val="0"/>
          <w:color w:val="auto"/>
          <w:kern w:val="0"/>
          <w:sz w:val="28"/>
          <w:szCs w:val="28"/>
          <w:highlight w:val="none"/>
        </w:rPr>
      </w:pPr>
    </w:p>
    <w:p w14:paraId="1F75FCEE">
      <w:pPr>
        <w:pageBreakBefore w:val="0"/>
        <w:widowControl/>
        <w:kinsoku w:val="0"/>
        <w:overflowPunct/>
        <w:topLinePunct w:val="0"/>
        <w:autoSpaceDE w:val="0"/>
        <w:autoSpaceDN w:val="0"/>
        <w:bidi w:val="0"/>
        <w:adjustRightInd w:val="0"/>
        <w:snapToGrid w:val="0"/>
        <w:spacing w:before="2" w:line="360" w:lineRule="auto"/>
        <w:ind w:left="3580" w:right="1562" w:hanging="1676"/>
        <w:jc w:val="left"/>
        <w:textAlignment w:val="baseline"/>
        <w:rPr>
          <w:rFonts w:hint="eastAsia" w:ascii="宋体" w:hAnsi="宋体" w:eastAsia="宋体" w:cs="宋体"/>
          <w:b/>
          <w:bCs/>
          <w:snapToGrid w:val="0"/>
          <w:color w:val="auto"/>
          <w:spacing w:val="-2"/>
          <w:kern w:val="0"/>
          <w:sz w:val="28"/>
          <w:szCs w:val="28"/>
          <w:highlight w:val="none"/>
        </w:rPr>
      </w:pPr>
      <w:r>
        <w:rPr>
          <w:rFonts w:hint="eastAsia" w:ascii="宋体" w:hAnsi="宋体" w:eastAsia="宋体" w:cs="宋体"/>
          <w:b/>
          <w:bCs/>
          <w:snapToGrid w:val="0"/>
          <w:color w:val="auto"/>
          <w:spacing w:val="-2"/>
          <w:kern w:val="0"/>
          <w:sz w:val="28"/>
          <w:szCs w:val="28"/>
          <w:highlight w:val="none"/>
        </w:rPr>
        <w:t>首次响应文件提交截止时间前不得解密</w:t>
      </w:r>
    </w:p>
    <w:p w14:paraId="3CCAC4E1">
      <w:pPr>
        <w:pageBreakBefore w:val="0"/>
        <w:widowControl/>
        <w:kinsoku w:val="0"/>
        <w:overflowPunct/>
        <w:topLinePunct w:val="0"/>
        <w:autoSpaceDE w:val="0"/>
        <w:autoSpaceDN w:val="0"/>
        <w:bidi w:val="0"/>
        <w:adjustRightInd w:val="0"/>
        <w:snapToGrid w:val="0"/>
        <w:spacing w:before="2" w:line="360" w:lineRule="auto"/>
        <w:ind w:left="3580" w:right="1562" w:hanging="1676"/>
        <w:jc w:val="left"/>
        <w:textAlignment w:val="baseline"/>
        <w:rPr>
          <w:rFonts w:hint="eastAsia" w:ascii="宋体" w:hAnsi="宋体" w:eastAsia="宋体" w:cs="宋体"/>
          <w:b/>
          <w:bCs/>
          <w:snapToGrid w:val="0"/>
          <w:color w:val="auto"/>
          <w:spacing w:val="-2"/>
          <w:kern w:val="0"/>
          <w:sz w:val="28"/>
          <w:szCs w:val="28"/>
          <w:highlight w:val="none"/>
        </w:rPr>
      </w:pPr>
    </w:p>
    <w:p w14:paraId="24B5F6E8">
      <w:pPr>
        <w:pageBreakBefore w:val="0"/>
        <w:widowControl/>
        <w:kinsoku w:val="0"/>
        <w:overflowPunct/>
        <w:topLinePunct w:val="0"/>
        <w:autoSpaceDE w:val="0"/>
        <w:autoSpaceDN w:val="0"/>
        <w:bidi w:val="0"/>
        <w:adjustRightInd w:val="0"/>
        <w:snapToGrid w:val="0"/>
        <w:spacing w:before="2" w:line="360" w:lineRule="auto"/>
        <w:ind w:left="3580" w:right="1562" w:hanging="1676"/>
        <w:jc w:val="left"/>
        <w:textAlignment w:val="baseline"/>
        <w:rPr>
          <w:rFonts w:hint="eastAsia" w:ascii="宋体" w:hAnsi="宋体" w:eastAsia="宋体" w:cs="宋体"/>
          <w:b/>
          <w:bCs/>
          <w:color w:val="auto"/>
          <w:sz w:val="28"/>
          <w:szCs w:val="28"/>
          <w:highlight w:val="none"/>
        </w:rPr>
        <w:sectPr>
          <w:footerReference r:id="rId10" w:type="default"/>
          <w:pgSz w:w="11906" w:h="16838"/>
          <w:pgMar w:top="1440" w:right="1800" w:bottom="1440" w:left="1800" w:header="704" w:footer="952" w:gutter="0"/>
          <w:pgNumType w:fmt="decimal" w:start="104"/>
          <w:cols w:space="720" w:num="1"/>
        </w:sectPr>
      </w:pPr>
      <w:r>
        <w:rPr>
          <w:rFonts w:hint="eastAsia" w:ascii="宋体" w:hAnsi="宋体" w:eastAsia="宋体" w:cs="宋体"/>
          <w:b/>
          <w:bCs/>
          <w:snapToGrid w:val="0"/>
          <w:color w:val="auto"/>
          <w:spacing w:val="15"/>
          <w:kern w:val="0"/>
          <w:sz w:val="28"/>
          <w:szCs w:val="28"/>
          <w:highlight w:val="none"/>
        </w:rPr>
        <w:t xml:space="preserve"> </w:t>
      </w:r>
      <w:r>
        <w:rPr>
          <w:rFonts w:hint="eastAsia" w:ascii="宋体" w:hAnsi="宋体" w:eastAsia="宋体" w:cs="宋体"/>
          <w:b/>
          <w:bCs/>
          <w:snapToGrid w:val="0"/>
          <w:color w:val="auto"/>
          <w:spacing w:val="-14"/>
          <w:kern w:val="0"/>
          <w:sz w:val="28"/>
          <w:szCs w:val="28"/>
          <w:highlight w:val="none"/>
        </w:rPr>
        <w:t>年</w:t>
      </w:r>
      <w:r>
        <w:rPr>
          <w:rFonts w:hint="eastAsia" w:ascii="宋体" w:hAnsi="宋体" w:eastAsia="宋体" w:cs="宋体"/>
          <w:b/>
          <w:bCs/>
          <w:snapToGrid w:val="0"/>
          <w:color w:val="auto"/>
          <w:spacing w:val="7"/>
          <w:kern w:val="0"/>
          <w:sz w:val="28"/>
          <w:szCs w:val="28"/>
          <w:highlight w:val="none"/>
        </w:rPr>
        <w:t xml:space="preserve">    </w:t>
      </w:r>
      <w:r>
        <w:rPr>
          <w:rFonts w:hint="eastAsia" w:ascii="宋体" w:hAnsi="宋体" w:eastAsia="宋体" w:cs="宋体"/>
          <w:b/>
          <w:bCs/>
          <w:snapToGrid w:val="0"/>
          <w:color w:val="auto"/>
          <w:spacing w:val="-14"/>
          <w:kern w:val="0"/>
          <w:sz w:val="28"/>
          <w:szCs w:val="28"/>
          <w:highlight w:val="none"/>
        </w:rPr>
        <w:t>月</w:t>
      </w:r>
      <w:r>
        <w:rPr>
          <w:rFonts w:hint="eastAsia" w:ascii="宋体" w:hAnsi="宋体" w:eastAsia="宋体" w:cs="宋体"/>
          <w:b/>
          <w:bCs/>
          <w:snapToGrid w:val="0"/>
          <w:color w:val="auto"/>
          <w:spacing w:val="16"/>
          <w:kern w:val="0"/>
          <w:sz w:val="28"/>
          <w:szCs w:val="28"/>
          <w:highlight w:val="none"/>
        </w:rPr>
        <w:t xml:space="preserve">    </w:t>
      </w:r>
      <w:r>
        <w:rPr>
          <w:rFonts w:hint="eastAsia" w:ascii="宋体" w:hAnsi="宋体" w:eastAsia="宋体" w:cs="宋体"/>
          <w:b/>
          <w:bCs/>
          <w:snapToGrid w:val="0"/>
          <w:color w:val="auto"/>
          <w:spacing w:val="-14"/>
          <w:kern w:val="0"/>
          <w:sz w:val="28"/>
          <w:szCs w:val="28"/>
          <w:highlight w:val="none"/>
        </w:rPr>
        <w:t>日</w:t>
      </w:r>
    </w:p>
    <w:p w14:paraId="719AB23F">
      <w:pPr>
        <w:pageBreakBefore w:val="0"/>
        <w:overflowPunct/>
        <w:topLinePunct w:val="0"/>
        <w:bidi w:val="0"/>
        <w:spacing w:line="360" w:lineRule="auto"/>
        <w:jc w:val="both"/>
        <w:rPr>
          <w:rFonts w:hint="eastAsia" w:ascii="宋体" w:hAnsi="宋体" w:eastAsia="宋体" w:cs="宋体"/>
          <w:b/>
          <w:color w:val="auto"/>
          <w:kern w:val="44"/>
          <w:sz w:val="28"/>
          <w:szCs w:val="28"/>
          <w:highlight w:val="none"/>
        </w:rPr>
      </w:pPr>
      <w:r>
        <w:rPr>
          <w:rFonts w:hint="eastAsia" w:ascii="宋体" w:hAnsi="宋体" w:eastAsia="宋体" w:cs="宋体"/>
          <w:b/>
          <w:color w:val="auto"/>
          <w:kern w:val="44"/>
          <w:sz w:val="28"/>
          <w:szCs w:val="28"/>
          <w:highlight w:val="none"/>
          <w:lang w:val="en-US" w:eastAsia="zh-CN"/>
        </w:rPr>
        <w:t xml:space="preserve">第二节  </w:t>
      </w:r>
      <w:r>
        <w:rPr>
          <w:rFonts w:hint="eastAsia" w:ascii="宋体" w:hAnsi="宋体" w:eastAsia="宋体" w:cs="宋体"/>
          <w:b/>
          <w:color w:val="auto"/>
          <w:kern w:val="44"/>
          <w:sz w:val="28"/>
          <w:szCs w:val="28"/>
          <w:highlight w:val="none"/>
        </w:rPr>
        <w:t>资格证明文件格式</w:t>
      </w:r>
    </w:p>
    <w:p w14:paraId="62356296">
      <w:pPr>
        <w:pageBreakBefore w:val="0"/>
        <w:widowControl/>
        <w:kinsoku w:val="0"/>
        <w:overflowPunct/>
        <w:topLinePunct w:val="0"/>
        <w:autoSpaceDE w:val="0"/>
        <w:autoSpaceDN w:val="0"/>
        <w:bidi w:val="0"/>
        <w:adjustRightInd w:val="0"/>
        <w:snapToGrid w:val="0"/>
        <w:spacing w:before="69" w:line="360" w:lineRule="auto"/>
        <w:jc w:val="left"/>
        <w:textAlignment w:val="baseline"/>
        <w:rPr>
          <w:rFonts w:hint="eastAsia" w:ascii="宋体" w:hAnsi="宋体" w:eastAsia="宋体" w:cs="宋体"/>
          <w:snapToGrid w:val="0"/>
          <w:color w:val="auto"/>
          <w:spacing w:val="-2"/>
          <w:kern w:val="0"/>
          <w:sz w:val="24"/>
          <w:szCs w:val="24"/>
          <w:highlight w:val="none"/>
        </w:rPr>
      </w:pPr>
    </w:p>
    <w:p w14:paraId="2227CCCF">
      <w:pPr>
        <w:pStyle w:val="40"/>
        <w:pageBreakBefore w:val="0"/>
        <w:overflowPunct/>
        <w:topLinePunct w:val="0"/>
        <w:bidi w:val="0"/>
        <w:spacing w:line="360" w:lineRule="auto"/>
        <w:rPr>
          <w:rFonts w:hint="eastAsia" w:ascii="宋体" w:hAnsi="宋体" w:eastAsia="宋体" w:cs="宋体"/>
          <w:color w:val="auto"/>
          <w:highlight w:val="none"/>
        </w:rPr>
      </w:pPr>
    </w:p>
    <w:p w14:paraId="4F330BFB">
      <w:pPr>
        <w:pageBreakBefore w:val="0"/>
        <w:widowControl/>
        <w:kinsoku w:val="0"/>
        <w:overflowPunct/>
        <w:topLinePunct w:val="0"/>
        <w:autoSpaceDE w:val="0"/>
        <w:autoSpaceDN w:val="0"/>
        <w:bidi w:val="0"/>
        <w:adjustRightInd w:val="0"/>
        <w:snapToGrid w:val="0"/>
        <w:spacing w:before="69" w:line="360" w:lineRule="auto"/>
        <w:ind w:firstLine="6250"/>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pacing w:val="-2"/>
          <w:kern w:val="0"/>
          <w:sz w:val="24"/>
          <w:szCs w:val="24"/>
          <w:highlight w:val="none"/>
        </w:rPr>
        <w:t>全流程电子文件</w:t>
      </w:r>
    </w:p>
    <w:p w14:paraId="01937FB6">
      <w:pPr>
        <w:pageBreakBefore w:val="0"/>
        <w:overflowPunct/>
        <w:topLinePunct w:val="0"/>
        <w:bidi w:val="0"/>
        <w:spacing w:line="360" w:lineRule="auto"/>
        <w:jc w:val="both"/>
        <w:rPr>
          <w:rFonts w:hint="eastAsia" w:ascii="宋体" w:hAnsi="宋体" w:eastAsia="宋体" w:cs="宋体"/>
          <w:color w:val="auto"/>
          <w:sz w:val="28"/>
          <w:szCs w:val="28"/>
          <w:highlight w:val="none"/>
          <w:u w:val="single"/>
        </w:rPr>
      </w:pPr>
    </w:p>
    <w:p w14:paraId="15022311">
      <w:pPr>
        <w:pageBreakBefore w:val="0"/>
        <w:overflowPunct/>
        <w:topLinePunct w:val="0"/>
        <w:bidi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资  格  证  明  文  件（封面）</w:t>
      </w:r>
    </w:p>
    <w:p w14:paraId="6090BB51">
      <w:pPr>
        <w:pageBreakBefore w:val="0"/>
        <w:overflowPunct/>
        <w:topLinePunct w:val="0"/>
        <w:bidi w:val="0"/>
        <w:spacing w:line="360" w:lineRule="auto"/>
        <w:jc w:val="center"/>
        <w:rPr>
          <w:rFonts w:hint="eastAsia" w:ascii="宋体" w:hAnsi="宋体" w:eastAsia="宋体" w:cs="宋体"/>
          <w:b/>
          <w:bCs/>
          <w:color w:val="auto"/>
          <w:sz w:val="28"/>
          <w:szCs w:val="28"/>
          <w:highlight w:val="none"/>
        </w:rPr>
      </w:pPr>
    </w:p>
    <w:p w14:paraId="6136CAE5">
      <w:pPr>
        <w:pageBreakBefore w:val="0"/>
        <w:overflowPunct/>
        <w:topLinePunct w:val="0"/>
        <w:bidi w:val="0"/>
        <w:spacing w:line="360" w:lineRule="auto"/>
        <w:jc w:val="center"/>
        <w:rPr>
          <w:rFonts w:hint="eastAsia" w:ascii="宋体" w:hAnsi="宋体" w:eastAsia="宋体" w:cs="宋体"/>
          <w:b/>
          <w:bCs/>
          <w:color w:val="auto"/>
          <w:sz w:val="28"/>
          <w:szCs w:val="28"/>
          <w:highlight w:val="none"/>
        </w:rPr>
      </w:pPr>
    </w:p>
    <w:p w14:paraId="1D4446DC">
      <w:pPr>
        <w:pageBreakBefore w:val="0"/>
        <w:overflowPunct/>
        <w:topLinePunct w:val="0"/>
        <w:bidi w:val="0"/>
        <w:spacing w:before="312" w:beforeLines="100" w:line="360" w:lineRule="auto"/>
        <w:jc w:val="center"/>
        <w:rPr>
          <w:rFonts w:hint="eastAsia"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响 应 文 件</w:t>
      </w:r>
    </w:p>
    <w:p w14:paraId="01931D9E">
      <w:pPr>
        <w:pageBreakBefore w:val="0"/>
        <w:overflowPunct/>
        <w:topLinePunct w:val="0"/>
        <w:bidi w:val="0"/>
        <w:spacing w:line="360" w:lineRule="auto"/>
        <w:ind w:firstLine="2380" w:firstLineChars="85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项目名称：</w:t>
      </w:r>
    </w:p>
    <w:p w14:paraId="0355ED1A">
      <w:pPr>
        <w:pageBreakBefore w:val="0"/>
        <w:overflowPunct/>
        <w:topLinePunct w:val="0"/>
        <w:bidi w:val="0"/>
        <w:spacing w:line="360" w:lineRule="auto"/>
        <w:ind w:firstLine="2380" w:firstLineChars="85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项目编号：</w:t>
      </w:r>
    </w:p>
    <w:p w14:paraId="7821794E">
      <w:pPr>
        <w:pageBreakBefore w:val="0"/>
        <w:overflowPunct/>
        <w:topLinePunct w:val="0"/>
        <w:bidi w:val="0"/>
        <w:spacing w:line="360" w:lineRule="auto"/>
        <w:rPr>
          <w:rFonts w:hint="eastAsia" w:ascii="宋体" w:hAnsi="宋体" w:eastAsia="宋体" w:cs="宋体"/>
          <w:b/>
          <w:bCs/>
          <w:color w:val="auto"/>
          <w:sz w:val="28"/>
          <w:szCs w:val="28"/>
          <w:highlight w:val="none"/>
        </w:rPr>
      </w:pPr>
    </w:p>
    <w:p w14:paraId="772F8794">
      <w:pPr>
        <w:pageBreakBefore w:val="0"/>
        <w:overflowPunct/>
        <w:topLinePunct w:val="0"/>
        <w:bidi w:val="0"/>
        <w:spacing w:line="360" w:lineRule="auto"/>
        <w:jc w:val="center"/>
        <w:rPr>
          <w:rFonts w:hint="eastAsia" w:ascii="宋体" w:hAnsi="宋体" w:eastAsia="宋体" w:cs="宋体"/>
          <w:b/>
          <w:bCs/>
          <w:color w:val="auto"/>
          <w:sz w:val="28"/>
          <w:szCs w:val="28"/>
          <w:highlight w:val="none"/>
        </w:rPr>
      </w:pPr>
    </w:p>
    <w:p w14:paraId="2BF9D22E">
      <w:pPr>
        <w:pageBreakBefore w:val="0"/>
        <w:overflowPunct/>
        <w:topLinePunct w:val="0"/>
        <w:bidi w:val="0"/>
        <w:spacing w:line="360" w:lineRule="auto"/>
        <w:jc w:val="center"/>
        <w:rPr>
          <w:rFonts w:hint="eastAsia" w:ascii="宋体" w:hAnsi="宋体" w:eastAsia="宋体" w:cs="宋体"/>
          <w:b/>
          <w:bCs/>
          <w:color w:val="auto"/>
          <w:sz w:val="28"/>
          <w:szCs w:val="28"/>
          <w:highlight w:val="none"/>
        </w:rPr>
      </w:pPr>
    </w:p>
    <w:p w14:paraId="759C86CD">
      <w:pPr>
        <w:pageBreakBefore w:val="0"/>
        <w:overflowPunct/>
        <w:topLinePunct w:val="0"/>
        <w:bidi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eastAsia="zh-CN"/>
        </w:rPr>
        <w:t>磋商供应商</w:t>
      </w:r>
      <w:r>
        <w:rPr>
          <w:rFonts w:hint="eastAsia" w:ascii="宋体" w:hAnsi="宋体" w:eastAsia="宋体" w:cs="宋体"/>
          <w:b/>
          <w:bCs/>
          <w:color w:val="auto"/>
          <w:sz w:val="28"/>
          <w:szCs w:val="28"/>
          <w:highlight w:val="none"/>
        </w:rPr>
        <w:t>：</w:t>
      </w:r>
      <w:r>
        <w:rPr>
          <w:rFonts w:hint="eastAsia" w:ascii="宋体" w:hAnsi="宋体" w:eastAsia="宋体" w:cs="宋体"/>
          <w:b/>
          <w:bCs/>
          <w:color w:val="auto"/>
          <w:sz w:val="28"/>
          <w:szCs w:val="28"/>
          <w:highlight w:val="none"/>
          <w:u w:val="single"/>
        </w:rPr>
        <w:t xml:space="preserve">                                </w:t>
      </w:r>
      <w:r>
        <w:rPr>
          <w:rFonts w:hint="eastAsia" w:ascii="宋体" w:hAnsi="宋体" w:eastAsia="宋体" w:cs="宋体"/>
          <w:b/>
          <w:bCs/>
          <w:color w:val="auto"/>
          <w:sz w:val="28"/>
          <w:szCs w:val="28"/>
          <w:highlight w:val="none"/>
        </w:rPr>
        <w:t>（公章</w:t>
      </w:r>
      <w:r>
        <w:rPr>
          <w:rFonts w:hint="eastAsia" w:ascii="宋体" w:hAnsi="宋体" w:eastAsia="宋体" w:cs="宋体"/>
          <w:b/>
          <w:bCs/>
          <w:color w:val="auto"/>
          <w:sz w:val="28"/>
          <w:szCs w:val="28"/>
          <w:highlight w:val="none"/>
          <w:lang w:val="en-US" w:eastAsia="zh-CN"/>
        </w:rPr>
        <w:t>或</w:t>
      </w:r>
      <w:r>
        <w:rPr>
          <w:rFonts w:hint="eastAsia" w:ascii="宋体" w:hAnsi="宋体" w:eastAsia="宋体" w:cs="宋体"/>
          <w:b/>
          <w:bCs/>
          <w:color w:val="auto"/>
          <w:sz w:val="28"/>
          <w:szCs w:val="28"/>
          <w:highlight w:val="none"/>
        </w:rPr>
        <w:t>电子签章）</w:t>
      </w:r>
    </w:p>
    <w:p w14:paraId="10756582">
      <w:pPr>
        <w:pageBreakBefore w:val="0"/>
        <w:overflowPunct/>
        <w:topLinePunct w:val="0"/>
        <w:bidi w:val="0"/>
        <w:spacing w:line="360" w:lineRule="auto"/>
        <w:ind w:firstLine="1400" w:firstLineChars="50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法定代表人或其委托代理人：</w:t>
      </w:r>
      <w:r>
        <w:rPr>
          <w:rFonts w:hint="eastAsia" w:ascii="宋体" w:hAnsi="宋体" w:eastAsia="宋体" w:cs="宋体"/>
          <w:b/>
          <w:bCs/>
          <w:color w:val="auto"/>
          <w:sz w:val="28"/>
          <w:szCs w:val="28"/>
          <w:highlight w:val="none"/>
          <w:u w:val="single"/>
        </w:rPr>
        <w:t xml:space="preserve">           </w:t>
      </w:r>
      <w:r>
        <w:rPr>
          <w:rFonts w:hint="eastAsia" w:ascii="宋体" w:hAnsi="宋体" w:eastAsia="宋体" w:cs="宋体"/>
          <w:b/>
          <w:bCs/>
          <w:color w:val="auto"/>
          <w:sz w:val="28"/>
          <w:szCs w:val="28"/>
          <w:highlight w:val="none"/>
        </w:rPr>
        <w:t>（手写签名</w:t>
      </w:r>
      <w:r>
        <w:rPr>
          <w:rFonts w:hint="eastAsia" w:ascii="宋体" w:hAnsi="宋体" w:eastAsia="宋体" w:cs="宋体"/>
          <w:b/>
          <w:bCs/>
          <w:color w:val="auto"/>
          <w:sz w:val="28"/>
          <w:szCs w:val="28"/>
          <w:highlight w:val="none"/>
          <w:lang w:val="en-US" w:eastAsia="zh-CN"/>
        </w:rPr>
        <w:t>或</w:t>
      </w:r>
      <w:r>
        <w:rPr>
          <w:rFonts w:hint="eastAsia" w:ascii="宋体" w:hAnsi="宋体" w:eastAsia="宋体" w:cs="宋体"/>
          <w:b/>
          <w:bCs/>
          <w:color w:val="auto"/>
          <w:sz w:val="28"/>
          <w:szCs w:val="28"/>
          <w:highlight w:val="none"/>
        </w:rPr>
        <w:t>电子签名）</w:t>
      </w:r>
    </w:p>
    <w:p w14:paraId="1248A3F0">
      <w:pPr>
        <w:pageBreakBefore w:val="0"/>
        <w:overflowPunct/>
        <w:topLinePunct w:val="0"/>
        <w:bidi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u w:val="single"/>
        </w:rPr>
        <w:t xml:space="preserve">         </w:t>
      </w:r>
      <w:r>
        <w:rPr>
          <w:rFonts w:hint="eastAsia" w:ascii="宋体" w:hAnsi="宋体" w:eastAsia="宋体" w:cs="宋体"/>
          <w:b/>
          <w:bCs/>
          <w:color w:val="auto"/>
          <w:sz w:val="28"/>
          <w:szCs w:val="28"/>
          <w:highlight w:val="none"/>
        </w:rPr>
        <w:t>年</w:t>
      </w:r>
      <w:r>
        <w:rPr>
          <w:rFonts w:hint="eastAsia" w:ascii="宋体" w:hAnsi="宋体" w:eastAsia="宋体" w:cs="宋体"/>
          <w:b/>
          <w:bCs/>
          <w:color w:val="auto"/>
          <w:sz w:val="28"/>
          <w:szCs w:val="28"/>
          <w:highlight w:val="none"/>
          <w:u w:val="single"/>
        </w:rPr>
        <w:t xml:space="preserve">         </w:t>
      </w:r>
      <w:r>
        <w:rPr>
          <w:rFonts w:hint="eastAsia" w:ascii="宋体" w:hAnsi="宋体" w:eastAsia="宋体" w:cs="宋体"/>
          <w:b/>
          <w:bCs/>
          <w:color w:val="auto"/>
          <w:sz w:val="28"/>
          <w:szCs w:val="28"/>
          <w:highlight w:val="none"/>
        </w:rPr>
        <w:t>月</w:t>
      </w:r>
      <w:r>
        <w:rPr>
          <w:rFonts w:hint="eastAsia" w:ascii="宋体" w:hAnsi="宋体" w:eastAsia="宋体" w:cs="宋体"/>
          <w:b/>
          <w:bCs/>
          <w:color w:val="auto"/>
          <w:sz w:val="28"/>
          <w:szCs w:val="28"/>
          <w:highlight w:val="none"/>
          <w:u w:val="single"/>
        </w:rPr>
        <w:t xml:space="preserve">         </w:t>
      </w:r>
      <w:r>
        <w:rPr>
          <w:rFonts w:hint="eastAsia" w:ascii="宋体" w:hAnsi="宋体" w:eastAsia="宋体" w:cs="宋体"/>
          <w:b/>
          <w:bCs/>
          <w:color w:val="auto"/>
          <w:sz w:val="28"/>
          <w:szCs w:val="28"/>
          <w:highlight w:val="none"/>
        </w:rPr>
        <w:t>日</w:t>
      </w:r>
    </w:p>
    <w:p w14:paraId="2646774C">
      <w:pPr>
        <w:pageBreakBefore w:val="0"/>
        <w:overflowPunct/>
        <w:topLinePunct w:val="0"/>
        <w:bidi w:val="0"/>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537AE9DF">
      <w:pPr>
        <w:pageBreakBefore w:val="0"/>
        <w:overflowPunct/>
        <w:topLinePunct w:val="0"/>
        <w:bidi w:val="0"/>
        <w:spacing w:line="360" w:lineRule="auto"/>
        <w:ind w:right="-153" w:rightChars="-73"/>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目录</w:t>
      </w:r>
    </w:p>
    <w:p w14:paraId="1CAA0FEA">
      <w:pPr>
        <w:pageBreakBefore w:val="0"/>
        <w:overflowPunct/>
        <w:topLinePunct w:val="0"/>
        <w:bidi w:val="0"/>
        <w:spacing w:line="360" w:lineRule="auto"/>
        <w:ind w:right="-153" w:rightChars="-73"/>
        <w:jc w:val="center"/>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rPr>
        <w:t>（</w:t>
      </w:r>
      <w:r>
        <w:rPr>
          <w:rFonts w:hint="eastAsia" w:ascii="宋体" w:hAnsi="宋体" w:eastAsia="宋体" w:cs="宋体"/>
          <w:b w:val="0"/>
          <w:bCs/>
          <w:color w:val="auto"/>
          <w:sz w:val="18"/>
          <w:szCs w:val="18"/>
          <w:highlight w:val="none"/>
          <w:lang w:val="en-US" w:eastAsia="zh-CN"/>
        </w:rPr>
        <w:t>自行编</w:t>
      </w:r>
      <w:r>
        <w:rPr>
          <w:rFonts w:hint="eastAsia" w:ascii="宋体" w:hAnsi="宋体" w:eastAsia="宋体" w:cs="宋体"/>
          <w:b w:val="0"/>
          <w:bCs/>
          <w:color w:val="auto"/>
          <w:sz w:val="18"/>
          <w:szCs w:val="18"/>
          <w:highlight w:val="none"/>
        </w:rPr>
        <w:t>页码）</w:t>
      </w:r>
    </w:p>
    <w:p w14:paraId="27B3661E">
      <w:pPr>
        <w:pageBreakBefore w:val="0"/>
        <w:overflowPunct/>
        <w:topLinePunct w:val="0"/>
        <w:bidi w:val="0"/>
        <w:spacing w:line="360" w:lineRule="auto"/>
        <w:ind w:right="-153" w:rightChars="-73"/>
        <w:jc w:val="both"/>
        <w:rPr>
          <w:rFonts w:hint="eastAsia" w:ascii="宋体" w:hAnsi="宋体" w:eastAsia="宋体" w:cs="宋体"/>
          <w:b/>
          <w:color w:val="auto"/>
          <w:szCs w:val="21"/>
          <w:highlight w:val="none"/>
        </w:rPr>
      </w:pPr>
    </w:p>
    <w:p w14:paraId="6FE848C8">
      <w:pPr>
        <w:pageBreakBefore w:val="0"/>
        <w:overflowPunct/>
        <w:topLinePunct w:val="0"/>
        <w:bidi w:val="0"/>
        <w:spacing w:line="360" w:lineRule="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br w:type="page"/>
      </w:r>
    </w:p>
    <w:p w14:paraId="242F2420">
      <w:pPr>
        <w:pageBreakBefore w:val="0"/>
        <w:numPr>
          <w:ilvl w:val="0"/>
          <w:numId w:val="0"/>
        </w:numPr>
        <w:overflowPunct/>
        <w:topLinePunct w:val="0"/>
        <w:bidi w:val="0"/>
        <w:spacing w:line="360" w:lineRule="auto"/>
        <w:jc w:val="center"/>
        <w:rPr>
          <w:rFonts w:hint="eastAsia" w:ascii="宋体" w:hAnsi="宋体" w:eastAsia="宋体" w:cs="宋体"/>
          <w:b/>
          <w:color w:val="auto"/>
          <w:sz w:val="24"/>
          <w:highlight w:val="none"/>
          <w:lang w:eastAsia="zh-CN"/>
        </w:rPr>
      </w:pPr>
      <w:r>
        <w:rPr>
          <w:rFonts w:hint="eastAsia" w:ascii="宋体" w:hAnsi="宋体" w:eastAsia="宋体" w:cs="宋体"/>
          <w:b/>
          <w:bCs w:val="0"/>
          <w:color w:val="auto"/>
          <w:kern w:val="2"/>
          <w:sz w:val="24"/>
          <w:szCs w:val="24"/>
          <w:highlight w:val="none"/>
          <w:lang w:val="en-US" w:eastAsia="zh-CN" w:bidi="ar-SA"/>
        </w:rPr>
        <w:t>（1）</w:t>
      </w:r>
      <w:r>
        <w:rPr>
          <w:rFonts w:hint="eastAsia" w:ascii="宋体" w:hAnsi="宋体" w:eastAsia="宋体" w:cs="宋体"/>
          <w:b/>
          <w:color w:val="auto"/>
          <w:kern w:val="0"/>
          <w:sz w:val="28"/>
          <w:szCs w:val="28"/>
          <w:highlight w:val="none"/>
        </w:rPr>
        <w:t>竞标人基本情况表</w:t>
      </w:r>
      <w:r>
        <w:rPr>
          <w:rFonts w:hint="eastAsia" w:ascii="宋体" w:hAnsi="宋体" w:eastAsia="宋体" w:cs="宋体"/>
          <w:b/>
          <w:color w:val="auto"/>
          <w:kern w:val="0"/>
          <w:sz w:val="28"/>
          <w:szCs w:val="28"/>
          <w:highlight w:val="none"/>
          <w:lang w:eastAsia="zh-CN"/>
        </w:rPr>
        <w:t>；</w:t>
      </w:r>
    </w:p>
    <w:tbl>
      <w:tblPr>
        <w:tblStyle w:val="22"/>
        <w:tblW w:w="9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5"/>
        <w:gridCol w:w="841"/>
        <w:gridCol w:w="1263"/>
        <w:gridCol w:w="1075"/>
        <w:gridCol w:w="1412"/>
        <w:gridCol w:w="932"/>
        <w:gridCol w:w="2511"/>
      </w:tblGrid>
      <w:tr w14:paraId="6AA78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525" w:type="dxa"/>
            <w:vAlign w:val="center"/>
          </w:tcPr>
          <w:p w14:paraId="1320589B">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竞标人名称</w:t>
            </w:r>
          </w:p>
        </w:tc>
        <w:tc>
          <w:tcPr>
            <w:tcW w:w="8034" w:type="dxa"/>
            <w:gridSpan w:val="6"/>
            <w:vAlign w:val="center"/>
          </w:tcPr>
          <w:p w14:paraId="1ED6C19B">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69D67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525" w:type="dxa"/>
            <w:vAlign w:val="center"/>
          </w:tcPr>
          <w:p w14:paraId="74E25F70">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注册地址</w:t>
            </w:r>
          </w:p>
        </w:tc>
        <w:tc>
          <w:tcPr>
            <w:tcW w:w="3179" w:type="dxa"/>
            <w:gridSpan w:val="3"/>
            <w:vAlign w:val="center"/>
          </w:tcPr>
          <w:p w14:paraId="5ACEF61C">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412" w:type="dxa"/>
            <w:vAlign w:val="center"/>
          </w:tcPr>
          <w:p w14:paraId="33E327EE">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c>
          <w:tcPr>
            <w:tcW w:w="3443" w:type="dxa"/>
            <w:gridSpan w:val="2"/>
            <w:vAlign w:val="center"/>
          </w:tcPr>
          <w:p w14:paraId="422F5388">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09462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525" w:type="dxa"/>
            <w:vMerge w:val="restart"/>
            <w:vAlign w:val="center"/>
          </w:tcPr>
          <w:p w14:paraId="10BD6170">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联系方式</w:t>
            </w:r>
          </w:p>
        </w:tc>
        <w:tc>
          <w:tcPr>
            <w:tcW w:w="841" w:type="dxa"/>
            <w:vAlign w:val="center"/>
          </w:tcPr>
          <w:p w14:paraId="7A270D2F">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联系人</w:t>
            </w:r>
          </w:p>
        </w:tc>
        <w:tc>
          <w:tcPr>
            <w:tcW w:w="2338" w:type="dxa"/>
            <w:gridSpan w:val="2"/>
            <w:vAlign w:val="center"/>
          </w:tcPr>
          <w:p w14:paraId="55D673FD">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412" w:type="dxa"/>
            <w:vAlign w:val="center"/>
          </w:tcPr>
          <w:p w14:paraId="55379EB3">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p>
        </w:tc>
        <w:tc>
          <w:tcPr>
            <w:tcW w:w="3443" w:type="dxa"/>
            <w:gridSpan w:val="2"/>
            <w:vAlign w:val="center"/>
          </w:tcPr>
          <w:p w14:paraId="4CA336F5">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6AC38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525" w:type="dxa"/>
            <w:vMerge w:val="continue"/>
            <w:vAlign w:val="center"/>
          </w:tcPr>
          <w:p w14:paraId="74B760DC">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841" w:type="dxa"/>
            <w:vAlign w:val="center"/>
          </w:tcPr>
          <w:p w14:paraId="253A207F">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传真</w:t>
            </w:r>
          </w:p>
        </w:tc>
        <w:tc>
          <w:tcPr>
            <w:tcW w:w="2338" w:type="dxa"/>
            <w:gridSpan w:val="2"/>
            <w:vAlign w:val="center"/>
          </w:tcPr>
          <w:p w14:paraId="006876F2">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412" w:type="dxa"/>
            <w:vAlign w:val="center"/>
          </w:tcPr>
          <w:p w14:paraId="5FCA78C0">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网址</w:t>
            </w:r>
          </w:p>
        </w:tc>
        <w:tc>
          <w:tcPr>
            <w:tcW w:w="3443" w:type="dxa"/>
            <w:gridSpan w:val="2"/>
            <w:vAlign w:val="center"/>
          </w:tcPr>
          <w:p w14:paraId="2D9D2D1D">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75C8E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525" w:type="dxa"/>
            <w:vAlign w:val="center"/>
          </w:tcPr>
          <w:p w14:paraId="68602431">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p>
        </w:tc>
        <w:tc>
          <w:tcPr>
            <w:tcW w:w="841" w:type="dxa"/>
            <w:vAlign w:val="center"/>
          </w:tcPr>
          <w:p w14:paraId="1E84FEE7">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1263" w:type="dxa"/>
            <w:vAlign w:val="center"/>
          </w:tcPr>
          <w:p w14:paraId="356B68C2">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075" w:type="dxa"/>
            <w:vAlign w:val="center"/>
          </w:tcPr>
          <w:p w14:paraId="7D78AEE3">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技术职称</w:t>
            </w:r>
          </w:p>
        </w:tc>
        <w:tc>
          <w:tcPr>
            <w:tcW w:w="1412" w:type="dxa"/>
            <w:vAlign w:val="center"/>
          </w:tcPr>
          <w:p w14:paraId="77F72286">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932" w:type="dxa"/>
            <w:vAlign w:val="center"/>
          </w:tcPr>
          <w:p w14:paraId="33AAAEDF">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p>
        </w:tc>
        <w:tc>
          <w:tcPr>
            <w:tcW w:w="2511" w:type="dxa"/>
            <w:vAlign w:val="center"/>
          </w:tcPr>
          <w:p w14:paraId="578A3DC7">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786BD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525" w:type="dxa"/>
            <w:vAlign w:val="center"/>
          </w:tcPr>
          <w:p w14:paraId="25BD9873">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技术负责人</w:t>
            </w:r>
          </w:p>
        </w:tc>
        <w:tc>
          <w:tcPr>
            <w:tcW w:w="841" w:type="dxa"/>
            <w:vAlign w:val="center"/>
          </w:tcPr>
          <w:p w14:paraId="0FFEA236">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1263" w:type="dxa"/>
            <w:vAlign w:val="center"/>
          </w:tcPr>
          <w:p w14:paraId="26370B1E">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075" w:type="dxa"/>
            <w:vAlign w:val="center"/>
          </w:tcPr>
          <w:p w14:paraId="6396CDAD">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技术职称</w:t>
            </w:r>
          </w:p>
        </w:tc>
        <w:tc>
          <w:tcPr>
            <w:tcW w:w="1412" w:type="dxa"/>
            <w:vAlign w:val="center"/>
          </w:tcPr>
          <w:p w14:paraId="11B1E35B">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932" w:type="dxa"/>
            <w:vAlign w:val="center"/>
          </w:tcPr>
          <w:p w14:paraId="2151F672">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p>
        </w:tc>
        <w:tc>
          <w:tcPr>
            <w:tcW w:w="2511" w:type="dxa"/>
            <w:vAlign w:val="center"/>
          </w:tcPr>
          <w:p w14:paraId="4FCDB480">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30500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525" w:type="dxa"/>
            <w:vAlign w:val="center"/>
          </w:tcPr>
          <w:p w14:paraId="715E2909">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成立时间</w:t>
            </w:r>
          </w:p>
        </w:tc>
        <w:tc>
          <w:tcPr>
            <w:tcW w:w="2104" w:type="dxa"/>
            <w:gridSpan w:val="2"/>
            <w:vAlign w:val="center"/>
          </w:tcPr>
          <w:p w14:paraId="3461DBCB">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5930" w:type="dxa"/>
            <w:gridSpan w:val="4"/>
            <w:vAlign w:val="center"/>
          </w:tcPr>
          <w:p w14:paraId="1907F60A">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员工总人数：</w:t>
            </w:r>
          </w:p>
        </w:tc>
      </w:tr>
      <w:tr w14:paraId="7B343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525" w:type="dxa"/>
            <w:vAlign w:val="center"/>
          </w:tcPr>
          <w:p w14:paraId="30DFD080">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企业资质等级</w:t>
            </w:r>
          </w:p>
        </w:tc>
        <w:tc>
          <w:tcPr>
            <w:tcW w:w="2104" w:type="dxa"/>
            <w:gridSpan w:val="2"/>
            <w:vAlign w:val="center"/>
          </w:tcPr>
          <w:p w14:paraId="4A983162">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075" w:type="dxa"/>
            <w:vMerge w:val="restart"/>
            <w:vAlign w:val="center"/>
          </w:tcPr>
          <w:p w14:paraId="7608B59A">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其中</w:t>
            </w:r>
          </w:p>
        </w:tc>
        <w:tc>
          <w:tcPr>
            <w:tcW w:w="1412" w:type="dxa"/>
            <w:vAlign w:val="center"/>
          </w:tcPr>
          <w:p w14:paraId="33C81954">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项目经理</w:t>
            </w:r>
          </w:p>
        </w:tc>
        <w:tc>
          <w:tcPr>
            <w:tcW w:w="3443" w:type="dxa"/>
            <w:gridSpan w:val="2"/>
            <w:vAlign w:val="center"/>
          </w:tcPr>
          <w:p w14:paraId="5154C855">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51082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525" w:type="dxa"/>
            <w:vAlign w:val="center"/>
          </w:tcPr>
          <w:p w14:paraId="00431FE3">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营业执照号</w:t>
            </w:r>
          </w:p>
        </w:tc>
        <w:tc>
          <w:tcPr>
            <w:tcW w:w="2104" w:type="dxa"/>
            <w:gridSpan w:val="2"/>
            <w:vAlign w:val="center"/>
          </w:tcPr>
          <w:p w14:paraId="65A84D8C">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075" w:type="dxa"/>
            <w:vMerge w:val="continue"/>
            <w:vAlign w:val="center"/>
          </w:tcPr>
          <w:p w14:paraId="14287062">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412" w:type="dxa"/>
            <w:vAlign w:val="center"/>
          </w:tcPr>
          <w:p w14:paraId="667D8907">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高级职称人员</w:t>
            </w:r>
          </w:p>
        </w:tc>
        <w:tc>
          <w:tcPr>
            <w:tcW w:w="3443" w:type="dxa"/>
            <w:gridSpan w:val="2"/>
            <w:vAlign w:val="center"/>
          </w:tcPr>
          <w:p w14:paraId="6A4F3973">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1C224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525" w:type="dxa"/>
            <w:vAlign w:val="center"/>
          </w:tcPr>
          <w:p w14:paraId="00D3E8E5">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注册资金</w:t>
            </w:r>
          </w:p>
        </w:tc>
        <w:tc>
          <w:tcPr>
            <w:tcW w:w="2104" w:type="dxa"/>
            <w:gridSpan w:val="2"/>
            <w:vAlign w:val="center"/>
          </w:tcPr>
          <w:p w14:paraId="0AA6B22D">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075" w:type="dxa"/>
            <w:vMerge w:val="continue"/>
            <w:vAlign w:val="center"/>
          </w:tcPr>
          <w:p w14:paraId="476D5DC4">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412" w:type="dxa"/>
            <w:vAlign w:val="center"/>
          </w:tcPr>
          <w:p w14:paraId="6D661BA1">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中级职称人员</w:t>
            </w:r>
          </w:p>
        </w:tc>
        <w:tc>
          <w:tcPr>
            <w:tcW w:w="3443" w:type="dxa"/>
            <w:gridSpan w:val="2"/>
            <w:vAlign w:val="center"/>
          </w:tcPr>
          <w:p w14:paraId="5954535B">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1990D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525" w:type="dxa"/>
            <w:vAlign w:val="center"/>
          </w:tcPr>
          <w:p w14:paraId="3B463E9B">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p>
        </w:tc>
        <w:tc>
          <w:tcPr>
            <w:tcW w:w="2104" w:type="dxa"/>
            <w:gridSpan w:val="2"/>
            <w:vAlign w:val="center"/>
          </w:tcPr>
          <w:p w14:paraId="7C001136">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075" w:type="dxa"/>
            <w:vMerge w:val="continue"/>
            <w:vAlign w:val="center"/>
          </w:tcPr>
          <w:p w14:paraId="6257B62F">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412" w:type="dxa"/>
            <w:vAlign w:val="center"/>
          </w:tcPr>
          <w:p w14:paraId="3EC4DA35">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初级职称人员</w:t>
            </w:r>
          </w:p>
        </w:tc>
        <w:tc>
          <w:tcPr>
            <w:tcW w:w="3443" w:type="dxa"/>
            <w:gridSpan w:val="2"/>
            <w:vAlign w:val="center"/>
          </w:tcPr>
          <w:p w14:paraId="47C07C66">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12D40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525" w:type="dxa"/>
            <w:vAlign w:val="center"/>
          </w:tcPr>
          <w:p w14:paraId="22FB179F">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p>
        </w:tc>
        <w:tc>
          <w:tcPr>
            <w:tcW w:w="2104" w:type="dxa"/>
            <w:gridSpan w:val="2"/>
            <w:vAlign w:val="center"/>
          </w:tcPr>
          <w:p w14:paraId="4679BF72">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075" w:type="dxa"/>
            <w:vMerge w:val="continue"/>
            <w:vAlign w:val="center"/>
          </w:tcPr>
          <w:p w14:paraId="17524AB3">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412" w:type="dxa"/>
            <w:vAlign w:val="center"/>
          </w:tcPr>
          <w:p w14:paraId="300584A3">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技工</w:t>
            </w:r>
          </w:p>
        </w:tc>
        <w:tc>
          <w:tcPr>
            <w:tcW w:w="3443" w:type="dxa"/>
            <w:gridSpan w:val="2"/>
            <w:vAlign w:val="center"/>
          </w:tcPr>
          <w:p w14:paraId="64D3D90B">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31B52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525" w:type="dxa"/>
            <w:vAlign w:val="center"/>
          </w:tcPr>
          <w:p w14:paraId="7E6DEEB3">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经营范围</w:t>
            </w:r>
          </w:p>
        </w:tc>
        <w:tc>
          <w:tcPr>
            <w:tcW w:w="8034" w:type="dxa"/>
            <w:gridSpan w:val="6"/>
            <w:vAlign w:val="center"/>
          </w:tcPr>
          <w:p w14:paraId="0847EBFB">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2A883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525" w:type="dxa"/>
            <w:vAlign w:val="center"/>
          </w:tcPr>
          <w:p w14:paraId="39A59256">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c>
          <w:tcPr>
            <w:tcW w:w="8034" w:type="dxa"/>
            <w:gridSpan w:val="6"/>
            <w:vAlign w:val="center"/>
          </w:tcPr>
          <w:p w14:paraId="76B632B3">
            <w:pPr>
              <w:pageBreakBefore w:val="0"/>
              <w:overflowPunct/>
              <w:topLinePunct w:val="0"/>
              <w:bidi w:val="0"/>
              <w:spacing w:line="360" w:lineRule="auto"/>
              <w:jc w:val="center"/>
              <w:rPr>
                <w:rFonts w:hint="eastAsia" w:ascii="宋体" w:hAnsi="宋体" w:eastAsia="宋体" w:cs="宋体"/>
                <w:color w:val="auto"/>
                <w:szCs w:val="21"/>
                <w:highlight w:val="none"/>
              </w:rPr>
            </w:pPr>
          </w:p>
        </w:tc>
      </w:tr>
    </w:tbl>
    <w:p w14:paraId="1C3A18BC">
      <w:pPr>
        <w:pageBreakBefore w:val="0"/>
        <w:overflowPunct/>
        <w:topLinePunct w:val="0"/>
        <w:bidi w:val="0"/>
        <w:spacing w:line="360" w:lineRule="auto"/>
        <w:jc w:val="left"/>
        <w:rPr>
          <w:rFonts w:hint="eastAsia" w:ascii="宋体" w:hAnsi="宋体" w:eastAsia="宋体" w:cs="宋体"/>
          <w:b w:val="0"/>
          <w:bCs/>
          <w:color w:val="auto"/>
          <w:sz w:val="21"/>
          <w:szCs w:val="21"/>
          <w:highlight w:val="none"/>
          <w:lang w:val="en-US" w:eastAsia="zh-CN"/>
        </w:rPr>
      </w:pPr>
    </w:p>
    <w:p w14:paraId="30756421">
      <w:pPr>
        <w:pageBreakBefore w:val="0"/>
        <w:overflowPunct/>
        <w:topLinePunct w:val="0"/>
        <w:bidi w:val="0"/>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备注：附①</w:t>
      </w:r>
      <w:r>
        <w:rPr>
          <w:rFonts w:hint="eastAsia" w:ascii="宋体" w:hAnsi="宋体" w:eastAsia="宋体" w:cs="宋体"/>
          <w:b/>
          <w:bCs/>
          <w:color w:val="auto"/>
          <w:sz w:val="24"/>
          <w:szCs w:val="24"/>
          <w:highlight w:val="none"/>
          <w:lang w:val="en-US" w:eastAsia="zh-CN"/>
        </w:rPr>
        <w:t>企业资质证书</w:t>
      </w:r>
      <w:r>
        <w:rPr>
          <w:rFonts w:hint="eastAsia" w:ascii="宋体" w:hAnsi="宋体" w:eastAsia="宋体" w:cs="宋体"/>
          <w:b/>
          <w:bCs/>
          <w:color w:val="auto"/>
          <w:sz w:val="24"/>
          <w:szCs w:val="24"/>
          <w:highlight w:val="none"/>
        </w:rPr>
        <w:t>②企业安全生产许可证</w:t>
      </w:r>
    </w:p>
    <w:p w14:paraId="41D5AAEE">
      <w:pPr>
        <w:pageBreakBefore w:val="0"/>
        <w:overflowPunct/>
        <w:topLinePunct w:val="0"/>
        <w:bidi w:val="0"/>
        <w:spacing w:line="360" w:lineRule="auto"/>
        <w:jc w:val="center"/>
        <w:rPr>
          <w:rFonts w:hint="eastAsia" w:ascii="宋体" w:hAnsi="宋体" w:eastAsia="宋体" w:cs="宋体"/>
          <w:color w:val="auto"/>
          <w:sz w:val="24"/>
          <w:szCs w:val="24"/>
          <w:highlight w:val="none"/>
          <w:lang w:val="en-US" w:eastAsia="zh-CN"/>
        </w:rPr>
      </w:pPr>
    </w:p>
    <w:p w14:paraId="2405FC6F">
      <w:pPr>
        <w:pageBreakBefore w:val="0"/>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或</w:t>
      </w:r>
      <w:r>
        <w:rPr>
          <w:rFonts w:hint="eastAsia" w:ascii="宋体" w:hAnsi="宋体" w:eastAsia="宋体" w:cs="宋体"/>
          <w:color w:val="auto"/>
          <w:szCs w:val="21"/>
          <w:highlight w:val="none"/>
        </w:rPr>
        <w:t>电子签章）</w:t>
      </w:r>
    </w:p>
    <w:p w14:paraId="2CC06FE7">
      <w:pPr>
        <w:pageBreakBefore w:val="0"/>
        <w:overflowPunct/>
        <w:topLinePunct w:val="0"/>
        <w:bidi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法定代表人（或授权委托代理人）：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（手写签名</w:t>
      </w:r>
      <w:r>
        <w:rPr>
          <w:rFonts w:hint="eastAsia" w:ascii="宋体" w:hAnsi="宋体" w:eastAsia="宋体" w:cs="宋体"/>
          <w:color w:val="auto"/>
          <w:szCs w:val="21"/>
          <w:highlight w:val="none"/>
          <w:lang w:val="en-US" w:eastAsia="zh-CN"/>
        </w:rPr>
        <w:t>或</w:t>
      </w:r>
      <w:r>
        <w:rPr>
          <w:rFonts w:hint="eastAsia" w:ascii="宋体" w:hAnsi="宋体" w:eastAsia="宋体" w:cs="宋体"/>
          <w:color w:val="auto"/>
          <w:szCs w:val="21"/>
          <w:highlight w:val="none"/>
        </w:rPr>
        <w:t xml:space="preserve">电子签名） </w:t>
      </w:r>
    </w:p>
    <w:p w14:paraId="00163961">
      <w:pPr>
        <w:pageBreakBefore w:val="0"/>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u w:val="none"/>
          <w:lang w:eastAsia="zh-CN"/>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6DEF6F58">
      <w:pPr>
        <w:pageBreakBefore w:val="0"/>
        <w:kinsoku/>
        <w:overflowPunct/>
        <w:topLinePunct w:val="0"/>
        <w:bidi w:val="0"/>
        <w:snapToGrid w:val="0"/>
        <w:spacing w:before="165" w:beforeLines="50" w:after="50" w:line="360" w:lineRule="auto"/>
        <w:ind w:firstLine="600" w:firstLineChars="200"/>
        <w:jc w:val="center"/>
        <w:rPr>
          <w:rFonts w:hint="eastAsia" w:ascii="宋体" w:hAnsi="宋体" w:eastAsia="宋体" w:cs="宋体"/>
          <w:b/>
          <w:bCs/>
          <w:color w:val="auto"/>
          <w:sz w:val="30"/>
          <w:szCs w:val="30"/>
          <w:highlight w:val="none"/>
          <w:lang w:eastAsia="zh-CN"/>
        </w:rPr>
      </w:pPr>
    </w:p>
    <w:p w14:paraId="0F19000B">
      <w:pPr>
        <w:pageBreakBefore w:val="0"/>
        <w:overflowPunct/>
        <w:topLinePunct w:val="0"/>
        <w:bidi w:val="0"/>
        <w:spacing w:line="360" w:lineRule="auto"/>
        <w:jc w:val="left"/>
        <w:rPr>
          <w:rFonts w:hint="eastAsia" w:ascii="宋体" w:hAnsi="宋体" w:eastAsia="宋体" w:cs="宋体"/>
          <w:color w:val="auto"/>
          <w:sz w:val="24"/>
          <w:szCs w:val="24"/>
          <w:highlight w:val="none"/>
        </w:rPr>
      </w:pPr>
    </w:p>
    <w:p w14:paraId="1A52D5F3">
      <w:pPr>
        <w:pageBreakBefore w:val="0"/>
        <w:overflowPunct/>
        <w:topLinePunct w:val="0"/>
        <w:bidi w:val="0"/>
        <w:spacing w:line="360" w:lineRule="auto"/>
        <w:jc w:val="left"/>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color w:val="auto"/>
          <w:sz w:val="24"/>
          <w:szCs w:val="24"/>
          <w:highlight w:val="none"/>
        </w:rPr>
        <w:t>、</w:t>
      </w:r>
      <w:r>
        <w:rPr>
          <w:rFonts w:hint="eastAsia" w:ascii="宋体" w:hAnsi="宋体" w:eastAsia="宋体" w:cs="宋体"/>
          <w:b/>
          <w:bCs w:val="0"/>
          <w:color w:val="auto"/>
          <w:kern w:val="2"/>
          <w:sz w:val="24"/>
          <w:szCs w:val="24"/>
          <w:highlight w:val="none"/>
          <w:lang w:val="en-US" w:eastAsia="zh-CN" w:bidi="ar-SA"/>
        </w:rPr>
        <w:br w:type="page"/>
      </w:r>
    </w:p>
    <w:p w14:paraId="3002BD02">
      <w:pPr>
        <w:pageBreakBefore w:val="0"/>
        <w:numPr>
          <w:ilvl w:val="0"/>
          <w:numId w:val="0"/>
        </w:numPr>
        <w:kinsoku/>
        <w:overflowPunct/>
        <w:topLinePunct w:val="0"/>
        <w:bidi w:val="0"/>
        <w:snapToGrid w:val="0"/>
        <w:spacing w:before="50" w:after="165" w:afterLines="50" w:line="360" w:lineRule="auto"/>
        <w:jc w:val="both"/>
        <w:rPr>
          <w:rFonts w:hint="eastAsia" w:ascii="宋体" w:hAnsi="宋体" w:eastAsia="宋体" w:cs="宋体"/>
          <w:b/>
          <w:color w:val="auto"/>
          <w:kern w:val="0"/>
          <w:sz w:val="28"/>
          <w:szCs w:val="28"/>
          <w:highlight w:val="none"/>
          <w:lang w:val="zh-CN"/>
        </w:rPr>
      </w:pPr>
      <w:r>
        <w:rPr>
          <w:rFonts w:hint="eastAsia" w:ascii="宋体" w:hAnsi="宋体" w:eastAsia="宋体" w:cs="宋体"/>
          <w:b/>
          <w:color w:val="auto"/>
          <w:kern w:val="0"/>
          <w:sz w:val="28"/>
          <w:szCs w:val="28"/>
          <w:highlight w:val="none"/>
          <w:lang w:val="zh-CN"/>
        </w:rPr>
        <w:t>（</w:t>
      </w:r>
      <w:r>
        <w:rPr>
          <w:rFonts w:hint="eastAsia" w:ascii="宋体" w:hAnsi="宋体" w:eastAsia="宋体" w:cs="宋体"/>
          <w:b/>
          <w:color w:val="auto"/>
          <w:kern w:val="0"/>
          <w:sz w:val="28"/>
          <w:szCs w:val="28"/>
          <w:highlight w:val="none"/>
          <w:lang w:val="en-US" w:eastAsia="zh-CN"/>
        </w:rPr>
        <w:t>2</w:t>
      </w:r>
      <w:r>
        <w:rPr>
          <w:rFonts w:hint="eastAsia" w:ascii="宋体" w:hAnsi="宋体" w:eastAsia="宋体" w:cs="宋体"/>
          <w:b/>
          <w:color w:val="auto"/>
          <w:kern w:val="0"/>
          <w:sz w:val="28"/>
          <w:szCs w:val="28"/>
          <w:highlight w:val="none"/>
          <w:lang w:val="zh-CN"/>
        </w:rPr>
        <w:t>）拟投入的项目经理</w:t>
      </w:r>
      <w:r>
        <w:rPr>
          <w:rFonts w:hint="eastAsia" w:ascii="宋体" w:hAnsi="宋体" w:cs="宋体"/>
          <w:b/>
          <w:color w:val="auto"/>
          <w:kern w:val="0"/>
          <w:sz w:val="28"/>
          <w:szCs w:val="28"/>
          <w:highlight w:val="none"/>
          <w:lang w:val="zh-CN"/>
        </w:rPr>
        <w:t>的</w:t>
      </w:r>
      <w:r>
        <w:rPr>
          <w:rFonts w:hint="eastAsia" w:ascii="宋体" w:hAnsi="宋体" w:cs="宋体"/>
          <w:b/>
          <w:color w:val="auto"/>
          <w:kern w:val="0"/>
          <w:sz w:val="28"/>
          <w:szCs w:val="28"/>
          <w:highlight w:val="none"/>
          <w:lang w:val="en-US" w:eastAsia="zh-CN"/>
        </w:rPr>
        <w:t>市政公用工程专业</w:t>
      </w:r>
      <w:r>
        <w:rPr>
          <w:rFonts w:hint="eastAsia" w:ascii="宋体" w:hAnsi="宋体" w:cs="宋体"/>
          <w:b/>
          <w:color w:val="auto"/>
          <w:kern w:val="0"/>
          <w:sz w:val="28"/>
          <w:szCs w:val="28"/>
          <w:highlight w:val="none"/>
          <w:lang w:val="zh-CN"/>
        </w:rPr>
        <w:t>二级</w:t>
      </w:r>
      <w:r>
        <w:rPr>
          <w:rFonts w:hint="eastAsia" w:ascii="宋体" w:hAnsi="宋体" w:eastAsia="宋体" w:cs="宋体"/>
          <w:b/>
          <w:color w:val="auto"/>
          <w:kern w:val="0"/>
          <w:sz w:val="28"/>
          <w:szCs w:val="28"/>
          <w:highlight w:val="none"/>
          <w:lang w:val="zh-CN"/>
        </w:rPr>
        <w:t>（含）以上注册建造师资格</w:t>
      </w:r>
      <w:r>
        <w:rPr>
          <w:rFonts w:hint="eastAsia" w:ascii="宋体" w:hAnsi="宋体" w:cs="宋体"/>
          <w:b/>
          <w:color w:val="auto"/>
          <w:kern w:val="0"/>
          <w:sz w:val="28"/>
          <w:szCs w:val="28"/>
          <w:highlight w:val="none"/>
          <w:lang w:val="en-US" w:eastAsia="zh-CN"/>
        </w:rPr>
        <w:t>证书及</w:t>
      </w:r>
      <w:r>
        <w:rPr>
          <w:rFonts w:hint="eastAsia" w:ascii="宋体" w:hAnsi="宋体" w:eastAsia="宋体" w:cs="宋体"/>
          <w:b/>
          <w:color w:val="auto"/>
          <w:kern w:val="0"/>
          <w:sz w:val="28"/>
          <w:szCs w:val="28"/>
          <w:highlight w:val="none"/>
          <w:lang w:val="zh-CN"/>
        </w:rPr>
        <w:t>有效的B类安全生产考核合格证的扫描件；</w:t>
      </w:r>
    </w:p>
    <w:p w14:paraId="550AC9D6">
      <w:pPr>
        <w:pageBreakBefore w:val="0"/>
        <w:numPr>
          <w:ilvl w:val="0"/>
          <w:numId w:val="0"/>
        </w:numPr>
        <w:kinsoku/>
        <w:overflowPunct/>
        <w:topLinePunct w:val="0"/>
        <w:bidi w:val="0"/>
        <w:snapToGrid w:val="0"/>
        <w:spacing w:before="50" w:after="165" w:afterLines="50" w:line="360" w:lineRule="auto"/>
        <w:jc w:val="both"/>
        <w:rPr>
          <w:rFonts w:hint="eastAsia" w:ascii="宋体" w:hAnsi="宋体" w:eastAsia="宋体" w:cs="宋体"/>
          <w:b/>
          <w:color w:val="auto"/>
          <w:kern w:val="0"/>
          <w:sz w:val="28"/>
          <w:szCs w:val="28"/>
          <w:highlight w:val="none"/>
          <w:lang w:val="zh-CN"/>
        </w:rPr>
      </w:pPr>
      <w:r>
        <w:rPr>
          <w:rFonts w:hint="eastAsia" w:ascii="宋体" w:hAnsi="宋体" w:eastAsia="宋体" w:cs="宋体"/>
          <w:b/>
          <w:color w:val="auto"/>
          <w:kern w:val="0"/>
          <w:sz w:val="28"/>
          <w:szCs w:val="28"/>
          <w:highlight w:val="none"/>
          <w:lang w:val="zh-CN"/>
        </w:rPr>
        <w:t>（</w:t>
      </w:r>
      <w:r>
        <w:rPr>
          <w:rFonts w:hint="eastAsia" w:ascii="宋体" w:hAnsi="宋体" w:eastAsia="宋体" w:cs="宋体"/>
          <w:b/>
          <w:color w:val="auto"/>
          <w:kern w:val="0"/>
          <w:sz w:val="28"/>
          <w:szCs w:val="28"/>
          <w:highlight w:val="none"/>
          <w:lang w:val="en-US" w:eastAsia="zh-CN"/>
        </w:rPr>
        <w:t>3</w:t>
      </w:r>
      <w:r>
        <w:rPr>
          <w:rFonts w:hint="eastAsia" w:ascii="宋体" w:hAnsi="宋体" w:eastAsia="宋体" w:cs="宋体"/>
          <w:b/>
          <w:color w:val="auto"/>
          <w:kern w:val="0"/>
          <w:sz w:val="28"/>
          <w:szCs w:val="28"/>
          <w:highlight w:val="none"/>
          <w:lang w:val="zh-CN"/>
        </w:rPr>
        <w:t>）拟投入的项目技术负责人专业技术职称证书扫描件；</w:t>
      </w:r>
    </w:p>
    <w:p w14:paraId="41642B14">
      <w:pPr>
        <w:pageBreakBefore w:val="0"/>
        <w:overflowPunct/>
        <w:topLinePunct w:val="0"/>
        <w:bidi w:val="0"/>
        <w:spacing w:line="360" w:lineRule="auto"/>
        <w:rPr>
          <w:rFonts w:hint="eastAsia" w:ascii="宋体" w:hAnsi="宋体" w:eastAsia="宋体" w:cs="宋体"/>
          <w:b/>
          <w:color w:val="auto"/>
          <w:kern w:val="0"/>
          <w:sz w:val="28"/>
          <w:szCs w:val="28"/>
          <w:highlight w:val="none"/>
          <w:lang w:val="zh-CN"/>
        </w:rPr>
      </w:pPr>
      <w:r>
        <w:rPr>
          <w:rFonts w:hint="eastAsia" w:ascii="宋体" w:hAnsi="宋体" w:eastAsia="宋体" w:cs="宋体"/>
          <w:b/>
          <w:color w:val="auto"/>
          <w:kern w:val="0"/>
          <w:sz w:val="28"/>
          <w:szCs w:val="28"/>
          <w:highlight w:val="none"/>
          <w:lang w:val="zh-CN"/>
        </w:rPr>
        <w:t>（</w:t>
      </w:r>
      <w:r>
        <w:rPr>
          <w:rFonts w:hint="eastAsia" w:ascii="宋体" w:hAnsi="宋体" w:eastAsia="宋体" w:cs="宋体"/>
          <w:b/>
          <w:color w:val="auto"/>
          <w:kern w:val="0"/>
          <w:sz w:val="28"/>
          <w:szCs w:val="28"/>
          <w:highlight w:val="none"/>
          <w:lang w:val="en-US" w:eastAsia="zh-CN"/>
        </w:rPr>
        <w:t>4</w:t>
      </w:r>
      <w:r>
        <w:rPr>
          <w:rFonts w:hint="eastAsia" w:ascii="宋体" w:hAnsi="宋体" w:eastAsia="宋体" w:cs="宋体"/>
          <w:b/>
          <w:color w:val="auto"/>
          <w:kern w:val="0"/>
          <w:sz w:val="28"/>
          <w:szCs w:val="28"/>
          <w:highlight w:val="none"/>
          <w:lang w:val="zh-CN"/>
        </w:rPr>
        <w:t>）拟投入专职安全员安全生产考核合格证书（C类）副本扫描件；</w:t>
      </w:r>
    </w:p>
    <w:p w14:paraId="2CFD9459">
      <w:pPr>
        <w:pageBreakBefore w:val="0"/>
        <w:overflowPunct/>
        <w:topLinePunct w:val="0"/>
        <w:bidi w:val="0"/>
        <w:spacing w:line="360" w:lineRule="auto"/>
        <w:rPr>
          <w:rFonts w:hint="eastAsia" w:ascii="宋体" w:hAnsi="宋体" w:eastAsia="宋体" w:cs="宋体"/>
          <w:b/>
          <w:color w:val="auto"/>
          <w:kern w:val="0"/>
          <w:sz w:val="32"/>
          <w:szCs w:val="32"/>
          <w:highlight w:val="none"/>
          <w:lang w:val="zh-CN"/>
        </w:rPr>
      </w:pPr>
      <w:r>
        <w:rPr>
          <w:rFonts w:hint="eastAsia" w:ascii="宋体" w:hAnsi="宋体" w:eastAsia="宋体" w:cs="宋体"/>
          <w:b/>
          <w:color w:val="auto"/>
          <w:kern w:val="0"/>
          <w:sz w:val="32"/>
          <w:szCs w:val="32"/>
          <w:highlight w:val="none"/>
          <w:lang w:val="zh-CN"/>
        </w:rPr>
        <w:br w:type="page"/>
      </w:r>
    </w:p>
    <w:p w14:paraId="40BBCB7E">
      <w:pPr>
        <w:pageBreakBefore w:val="0"/>
        <w:overflowPunct/>
        <w:topLinePunct w:val="0"/>
        <w:bidi w:val="0"/>
        <w:spacing w:line="360" w:lineRule="auto"/>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zh-CN"/>
        </w:rPr>
        <w:t>（</w:t>
      </w:r>
      <w:r>
        <w:rPr>
          <w:rFonts w:hint="eastAsia" w:ascii="宋体" w:hAnsi="宋体" w:eastAsia="宋体" w:cs="宋体"/>
          <w:b/>
          <w:color w:val="auto"/>
          <w:kern w:val="0"/>
          <w:sz w:val="32"/>
          <w:szCs w:val="32"/>
          <w:highlight w:val="none"/>
          <w:lang w:val="en-US" w:eastAsia="zh-CN"/>
        </w:rPr>
        <w:t>5）贺州市政府采购供应商信用承诺函（格式）；</w:t>
      </w:r>
    </w:p>
    <w:p w14:paraId="2B4A999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致(采购人或采购代理机构):</w:t>
      </w:r>
    </w:p>
    <w:p w14:paraId="7ADE700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供应商名称:</w:t>
      </w:r>
    </w:p>
    <w:p w14:paraId="5C420E4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统一社会信用代码:</w:t>
      </w:r>
    </w:p>
    <w:p w14:paraId="210F4A2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供应商地址:</w:t>
      </w:r>
    </w:p>
    <w:p w14:paraId="611DADA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107A1B2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1.我单位具有符合采购文件资格要求独立承担民事责任的能力。</w:t>
      </w:r>
    </w:p>
    <w:p w14:paraId="0249F75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2.我单位具有符合采购文件资格要求的财务状况报告。</w:t>
      </w:r>
    </w:p>
    <w:p w14:paraId="1F4834C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3.我单位具有符合采购文件资格要求的依法缴纳税收和社会保障记录的良好记录。</w:t>
      </w:r>
    </w:p>
    <w:p w14:paraId="6011127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4.我单位具有符合采购文件资格要求履行合同所必需的设备和专业技术能力。</w:t>
      </w:r>
    </w:p>
    <w:p w14:paraId="38A6D56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5.参加政府采购活动前三年内，在经营活动中没有重大违法记录。</w:t>
      </w:r>
    </w:p>
    <w:p w14:paraId="75DA4EE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若我单位承诺不实，自愿承担提供虚假材料谋取中标、成交的法律责任。</w:t>
      </w:r>
    </w:p>
    <w:p w14:paraId="321E829B">
      <w:pPr>
        <w:pageBreakBefore w:val="0"/>
        <w:overflowPunct/>
        <w:topLinePunct w:val="0"/>
        <w:bidi w:val="0"/>
        <w:spacing w:line="360" w:lineRule="auto"/>
        <w:rPr>
          <w:rFonts w:hint="eastAsia" w:ascii="宋体" w:hAnsi="宋体" w:eastAsia="宋体" w:cs="宋体"/>
          <w:b w:val="0"/>
          <w:bCs/>
          <w:color w:val="auto"/>
          <w:kern w:val="0"/>
          <w:sz w:val="21"/>
          <w:szCs w:val="21"/>
          <w:highlight w:val="none"/>
          <w:lang w:val="en-US" w:eastAsia="zh-CN"/>
        </w:rPr>
      </w:pPr>
    </w:p>
    <w:p w14:paraId="1B1E9DC8">
      <w:pPr>
        <w:pageBreakBefore w:val="0"/>
        <w:overflowPunct/>
        <w:topLinePunct w:val="0"/>
        <w:bidi w:val="0"/>
        <w:spacing w:line="360" w:lineRule="auto"/>
        <w:rPr>
          <w:rFonts w:hint="eastAsia" w:ascii="宋体" w:hAnsi="宋体" w:eastAsia="宋体" w:cs="宋体"/>
          <w:b w:val="0"/>
          <w:bCs/>
          <w:color w:val="auto"/>
          <w:kern w:val="0"/>
          <w:sz w:val="21"/>
          <w:szCs w:val="21"/>
          <w:highlight w:val="none"/>
          <w:lang w:val="en-US" w:eastAsia="zh-CN"/>
        </w:rPr>
      </w:pPr>
    </w:p>
    <w:p w14:paraId="39788AB1">
      <w:pPr>
        <w:pageBreakBefore w:val="0"/>
        <w:overflowPunct/>
        <w:topLinePunct w:val="0"/>
        <w:bidi w:val="0"/>
        <w:spacing w:line="360" w:lineRule="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供应商名称(公章):</w:t>
      </w:r>
    </w:p>
    <w:p w14:paraId="73CC1F56">
      <w:pPr>
        <w:pageBreakBefore w:val="0"/>
        <w:overflowPunct/>
        <w:topLinePunct w:val="0"/>
        <w:bidi w:val="0"/>
        <w:spacing w:line="360" w:lineRule="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法定代表人或授权代表(签名):</w:t>
      </w:r>
    </w:p>
    <w:p w14:paraId="6AEDACE0">
      <w:pPr>
        <w:pageBreakBefore w:val="0"/>
        <w:overflowPunct/>
        <w:topLinePunct w:val="0"/>
        <w:bidi w:val="0"/>
        <w:spacing w:line="360" w:lineRule="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日期:  年  月  日</w:t>
      </w:r>
    </w:p>
    <w:p w14:paraId="172643B5">
      <w:pPr>
        <w:pageBreakBefore w:val="0"/>
        <w:overflowPunct/>
        <w:topLinePunct w:val="0"/>
        <w:bidi w:val="0"/>
        <w:spacing w:line="360" w:lineRule="auto"/>
        <w:rPr>
          <w:rFonts w:hint="eastAsia" w:ascii="宋体" w:hAnsi="宋体" w:eastAsia="宋体" w:cs="宋体"/>
          <w:b w:val="0"/>
          <w:bCs/>
          <w:color w:val="auto"/>
          <w:kern w:val="0"/>
          <w:sz w:val="21"/>
          <w:szCs w:val="21"/>
          <w:highlight w:val="none"/>
          <w:lang w:val="en-US" w:eastAsia="zh-CN"/>
        </w:rPr>
      </w:pPr>
    </w:p>
    <w:p w14:paraId="6E961C75">
      <w:pPr>
        <w:pageBreakBefore w:val="0"/>
        <w:overflowPunct/>
        <w:topLinePunct w:val="0"/>
        <w:bidi w:val="0"/>
        <w:spacing w:line="360" w:lineRule="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注: 1.供应商须在投标(响应)文件中按此模板提供承诺函，未提供视为未实质性响应招标(采购)文件要求，按无效投标(响应)处理。</w:t>
      </w:r>
    </w:p>
    <w:p w14:paraId="638D45E7">
      <w:pPr>
        <w:pageBreakBefore w:val="0"/>
        <w:overflowPunct/>
        <w:topLinePunct w:val="0"/>
        <w:bidi w:val="0"/>
        <w:spacing w:line="360" w:lineRule="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2.供应商的法定代表人(其他组织的为负责人)或者授权代表的签名或盖章应真实、有效，如由授权代表签名或盖章的，应提供“法定代表人授权书”。</w:t>
      </w:r>
    </w:p>
    <w:p w14:paraId="55514F03">
      <w:pPr>
        <w:pageBreakBefore w:val="0"/>
        <w:overflowPunct/>
        <w:topLinePunct w:val="0"/>
        <w:bidi w:val="0"/>
        <w:spacing w:line="360" w:lineRule="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br w:type="page"/>
      </w:r>
    </w:p>
    <w:p w14:paraId="5116A9DE">
      <w:pPr>
        <w:pageBreakBefore w:val="0"/>
        <w:overflowPunct/>
        <w:topLinePunct w:val="0"/>
        <w:bidi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bCs w:val="0"/>
          <w:color w:val="auto"/>
          <w:kern w:val="2"/>
          <w:sz w:val="24"/>
          <w:szCs w:val="24"/>
          <w:highlight w:val="none"/>
          <w:lang w:val="en-US" w:eastAsia="zh-CN" w:bidi="ar-SA"/>
        </w:rPr>
        <w:t>（6）法定代表人身份证明书及授权委托书（委托代理时必须提供，同时加盖单位电子公章）；</w:t>
      </w:r>
      <w:r>
        <w:rPr>
          <w:rFonts w:hint="eastAsia" w:ascii="宋体" w:hAnsi="宋体" w:eastAsia="宋体" w:cs="宋体"/>
          <w:b/>
          <w:color w:val="auto"/>
          <w:sz w:val="28"/>
          <w:szCs w:val="28"/>
          <w:highlight w:val="none"/>
          <w:lang w:val="en-US" w:eastAsia="zh-CN"/>
        </w:rPr>
        <w:t>附1、</w:t>
      </w:r>
      <w:r>
        <w:rPr>
          <w:rFonts w:hint="eastAsia" w:ascii="宋体" w:hAnsi="宋体" w:eastAsia="宋体" w:cs="宋体"/>
          <w:b/>
          <w:color w:val="auto"/>
          <w:kern w:val="0"/>
          <w:sz w:val="28"/>
          <w:szCs w:val="28"/>
          <w:highlight w:val="none"/>
        </w:rPr>
        <w:t>法定代表人身份证明书</w:t>
      </w:r>
      <w:r>
        <w:rPr>
          <w:rFonts w:hint="eastAsia" w:ascii="宋体" w:hAnsi="宋体" w:eastAsia="宋体" w:cs="宋体"/>
          <w:b/>
          <w:color w:val="auto"/>
          <w:sz w:val="28"/>
          <w:szCs w:val="28"/>
          <w:highlight w:val="none"/>
        </w:rPr>
        <w:t>（格式）</w:t>
      </w:r>
    </w:p>
    <w:p w14:paraId="39057502">
      <w:pPr>
        <w:pageBreakBefore w:val="0"/>
        <w:overflowPunct/>
        <w:topLinePunct w:val="0"/>
        <w:autoSpaceDE w:val="0"/>
        <w:autoSpaceDN w:val="0"/>
        <w:bidi w:val="0"/>
        <w:adjustRightInd w:val="0"/>
        <w:spacing w:line="360" w:lineRule="auto"/>
        <w:rPr>
          <w:rFonts w:hint="eastAsia" w:ascii="宋体" w:hAnsi="宋体" w:eastAsia="宋体" w:cs="宋体"/>
          <w:b/>
          <w:color w:val="auto"/>
          <w:kern w:val="0"/>
          <w:szCs w:val="21"/>
          <w:highlight w:val="none"/>
        </w:rPr>
      </w:pPr>
    </w:p>
    <w:p w14:paraId="1B34BDFA">
      <w:pPr>
        <w:pageBreakBefore w:val="0"/>
        <w:overflowPunct/>
        <w:topLinePunct w:val="0"/>
        <w:autoSpaceDE w:val="0"/>
        <w:autoSpaceDN w:val="0"/>
        <w:bidi w:val="0"/>
        <w:adjustRightInd w:val="0"/>
        <w:spacing w:line="360" w:lineRule="auto"/>
        <w:ind w:firstLine="315" w:firstLineChars="150"/>
        <w:jc w:val="left"/>
        <w:rPr>
          <w:rFonts w:hint="eastAsia" w:ascii="宋体" w:hAnsi="宋体" w:eastAsia="宋体" w:cs="宋体"/>
          <w:color w:val="auto"/>
          <w:kern w:val="0"/>
          <w:szCs w:val="21"/>
          <w:highlight w:val="none"/>
        </w:rPr>
      </w:pPr>
    </w:p>
    <w:p w14:paraId="5E9E7284">
      <w:pPr>
        <w:pageBreakBefore w:val="0"/>
        <w:overflowPunct/>
        <w:topLinePunct w:val="0"/>
        <w:autoSpaceDE w:val="0"/>
        <w:autoSpaceDN w:val="0"/>
        <w:bidi w:val="0"/>
        <w:adjustRightInd w:val="0"/>
        <w:spacing w:line="360" w:lineRule="auto"/>
        <w:ind w:firstLine="315" w:firstLineChars="15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磋商供应商</w:t>
      </w:r>
      <w:r>
        <w:rPr>
          <w:rFonts w:hint="eastAsia" w:ascii="宋体" w:hAnsi="宋体" w:eastAsia="宋体" w:cs="宋体"/>
          <w:color w:val="auto"/>
          <w:kern w:val="0"/>
          <w:szCs w:val="21"/>
          <w:highlight w:val="none"/>
        </w:rPr>
        <w:t>名称：</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w:t>
      </w:r>
    </w:p>
    <w:p w14:paraId="5676B87A">
      <w:pPr>
        <w:pageBreakBefore w:val="0"/>
        <w:overflowPunct/>
        <w:topLinePunct w:val="0"/>
        <w:autoSpaceDE w:val="0"/>
        <w:autoSpaceDN w:val="0"/>
        <w:bidi w:val="0"/>
        <w:adjustRightInd w:val="0"/>
        <w:spacing w:line="360" w:lineRule="auto"/>
        <w:ind w:firstLine="315" w:firstLineChars="15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单位性质：</w:t>
      </w:r>
      <w:r>
        <w:rPr>
          <w:rFonts w:hint="eastAsia" w:ascii="宋体" w:hAnsi="宋体" w:eastAsia="宋体" w:cs="宋体"/>
          <w:color w:val="auto"/>
          <w:kern w:val="0"/>
          <w:szCs w:val="21"/>
          <w:highlight w:val="none"/>
          <w:u w:val="single"/>
        </w:rPr>
        <w:t xml:space="preserve">                                                </w:t>
      </w:r>
    </w:p>
    <w:p w14:paraId="04809461">
      <w:pPr>
        <w:pageBreakBefore w:val="0"/>
        <w:overflowPunct/>
        <w:topLinePunct w:val="0"/>
        <w:autoSpaceDE w:val="0"/>
        <w:autoSpaceDN w:val="0"/>
        <w:bidi w:val="0"/>
        <w:adjustRightInd w:val="0"/>
        <w:spacing w:line="360" w:lineRule="auto"/>
        <w:ind w:firstLine="315" w:firstLineChars="15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地址：</w:t>
      </w:r>
      <w:r>
        <w:rPr>
          <w:rFonts w:hint="eastAsia" w:ascii="宋体" w:hAnsi="宋体" w:eastAsia="宋体" w:cs="宋体"/>
          <w:color w:val="auto"/>
          <w:kern w:val="0"/>
          <w:szCs w:val="21"/>
          <w:highlight w:val="none"/>
          <w:u w:val="single"/>
        </w:rPr>
        <w:t xml:space="preserve">                                                    </w:t>
      </w:r>
    </w:p>
    <w:p w14:paraId="3EEA423B">
      <w:pPr>
        <w:pageBreakBefore w:val="0"/>
        <w:overflowPunct/>
        <w:topLinePunct w:val="0"/>
        <w:autoSpaceDE w:val="0"/>
        <w:autoSpaceDN w:val="0"/>
        <w:bidi w:val="0"/>
        <w:adjustRightInd w:val="0"/>
        <w:spacing w:line="360" w:lineRule="auto"/>
        <w:ind w:firstLine="315" w:firstLineChars="15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成立时间：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w:t>
      </w:r>
    </w:p>
    <w:p w14:paraId="0FF9F938">
      <w:pPr>
        <w:pageBreakBefore w:val="0"/>
        <w:overflowPunct/>
        <w:topLinePunct w:val="0"/>
        <w:autoSpaceDE w:val="0"/>
        <w:autoSpaceDN w:val="0"/>
        <w:bidi w:val="0"/>
        <w:adjustRightInd w:val="0"/>
        <w:spacing w:line="360" w:lineRule="auto"/>
        <w:ind w:firstLine="315" w:firstLineChars="15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经营期限：</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u w:val="single"/>
        </w:rPr>
        <w:t xml:space="preserve">      </w:t>
      </w:r>
    </w:p>
    <w:p w14:paraId="45A01E26">
      <w:pPr>
        <w:pageBreakBefore w:val="0"/>
        <w:overflowPunct/>
        <w:topLinePunct w:val="0"/>
        <w:autoSpaceDE w:val="0"/>
        <w:autoSpaceDN w:val="0"/>
        <w:bidi w:val="0"/>
        <w:adjustRightInd w:val="0"/>
        <w:spacing w:line="360" w:lineRule="auto"/>
        <w:ind w:firstLine="315" w:firstLineChars="15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姓名：</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性别：</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年龄：</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职务：</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u w:val="single"/>
        </w:rPr>
        <w:t xml:space="preserve">   </w:t>
      </w:r>
    </w:p>
    <w:p w14:paraId="68612A26">
      <w:pPr>
        <w:pageBreakBefore w:val="0"/>
        <w:overflowPunct/>
        <w:topLinePunct w:val="0"/>
        <w:autoSpaceDE w:val="0"/>
        <w:autoSpaceDN w:val="0"/>
        <w:bidi w:val="0"/>
        <w:adjustRightInd w:val="0"/>
        <w:spacing w:line="360" w:lineRule="auto"/>
        <w:ind w:firstLine="315" w:firstLineChars="15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身份证号：</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u w:val="single"/>
        </w:rPr>
        <w:t xml:space="preserve">            </w:t>
      </w:r>
    </w:p>
    <w:p w14:paraId="7BEFD1D0">
      <w:pPr>
        <w:pageBreakBefore w:val="0"/>
        <w:overflowPunct/>
        <w:topLinePunct w:val="0"/>
        <w:autoSpaceDE w:val="0"/>
        <w:autoSpaceDN w:val="0"/>
        <w:bidi w:val="0"/>
        <w:adjustRightInd w:val="0"/>
        <w:spacing w:line="360" w:lineRule="auto"/>
        <w:ind w:firstLine="315" w:firstLineChars="15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系 </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eastAsia="zh-CN"/>
        </w:rPr>
        <w:t>磋商供应商</w:t>
      </w:r>
      <w:r>
        <w:rPr>
          <w:rFonts w:hint="eastAsia" w:ascii="宋体" w:hAnsi="宋体" w:eastAsia="宋体" w:cs="宋体"/>
          <w:color w:val="auto"/>
          <w:kern w:val="0"/>
          <w:szCs w:val="21"/>
          <w:highlight w:val="none"/>
        </w:rPr>
        <w:t>名称）的法定代表人。</w:t>
      </w:r>
    </w:p>
    <w:p w14:paraId="3B06103D">
      <w:pPr>
        <w:pageBreakBefore w:val="0"/>
        <w:overflowPunct/>
        <w:topLinePunct w:val="0"/>
        <w:autoSpaceDE w:val="0"/>
        <w:autoSpaceDN w:val="0"/>
        <w:bidi w:val="0"/>
        <w:adjustRightInd w:val="0"/>
        <w:spacing w:line="360" w:lineRule="auto"/>
        <w:ind w:firstLine="315" w:firstLineChars="15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特此证明。</w:t>
      </w:r>
    </w:p>
    <w:p w14:paraId="1FEAC074">
      <w:pPr>
        <w:pageBreakBefore w:val="0"/>
        <w:overflowPunct/>
        <w:topLinePunct w:val="0"/>
        <w:autoSpaceDE w:val="0"/>
        <w:autoSpaceDN w:val="0"/>
        <w:bidi w:val="0"/>
        <w:adjustRightInd w:val="0"/>
        <w:spacing w:line="360" w:lineRule="auto"/>
        <w:ind w:firstLine="3150" w:firstLineChars="1500"/>
        <w:jc w:val="left"/>
        <w:rPr>
          <w:rFonts w:hint="eastAsia" w:ascii="宋体" w:hAnsi="宋体" w:eastAsia="宋体" w:cs="宋体"/>
          <w:color w:val="auto"/>
          <w:kern w:val="0"/>
          <w:szCs w:val="21"/>
          <w:highlight w:val="none"/>
        </w:rPr>
      </w:pPr>
    </w:p>
    <w:p w14:paraId="1792EA0C">
      <w:pPr>
        <w:pageBreakBefore w:val="0"/>
        <w:overflowPunct/>
        <w:topLinePunct w:val="0"/>
        <w:autoSpaceDE w:val="0"/>
        <w:autoSpaceDN w:val="0"/>
        <w:bidi w:val="0"/>
        <w:adjustRightInd w:val="0"/>
        <w:spacing w:line="360" w:lineRule="auto"/>
        <w:ind w:firstLine="3150" w:firstLineChars="1500"/>
        <w:jc w:val="left"/>
        <w:rPr>
          <w:rFonts w:hint="eastAsia" w:ascii="宋体" w:hAnsi="宋体" w:eastAsia="宋体" w:cs="宋体"/>
          <w:color w:val="auto"/>
          <w:kern w:val="0"/>
          <w:szCs w:val="21"/>
          <w:highlight w:val="none"/>
        </w:rPr>
      </w:pPr>
    </w:p>
    <w:p w14:paraId="3B977CE4">
      <w:pPr>
        <w:pageBreakBefore w:val="0"/>
        <w:overflowPunct/>
        <w:topLinePunct w:val="0"/>
        <w:autoSpaceDE w:val="0"/>
        <w:autoSpaceDN w:val="0"/>
        <w:bidi w:val="0"/>
        <w:adjustRightInd w:val="0"/>
        <w:spacing w:line="360" w:lineRule="auto"/>
        <w:ind w:firstLine="3150" w:firstLineChars="1500"/>
        <w:jc w:val="righ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w:t>
      </w:r>
      <w:r>
        <w:rPr>
          <w:rFonts w:hint="eastAsia" w:ascii="宋体" w:hAnsi="宋体" w:eastAsia="宋体" w:cs="宋体"/>
          <w:color w:val="auto"/>
          <w:kern w:val="0"/>
          <w:szCs w:val="21"/>
          <w:highlight w:val="none"/>
          <w:lang w:eastAsia="zh-CN"/>
        </w:rPr>
        <w:t>磋商供应商</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（公章</w:t>
      </w:r>
      <w:r>
        <w:rPr>
          <w:rFonts w:hint="eastAsia" w:ascii="宋体" w:hAnsi="宋体" w:eastAsia="宋体" w:cs="宋体"/>
          <w:color w:val="auto"/>
          <w:kern w:val="0"/>
          <w:szCs w:val="21"/>
          <w:highlight w:val="none"/>
          <w:lang w:val="en-US" w:eastAsia="zh-CN"/>
        </w:rPr>
        <w:t>或</w:t>
      </w:r>
      <w:r>
        <w:rPr>
          <w:rFonts w:hint="eastAsia" w:ascii="宋体" w:hAnsi="宋体" w:eastAsia="宋体" w:cs="宋体"/>
          <w:color w:val="auto"/>
          <w:kern w:val="0"/>
          <w:szCs w:val="21"/>
          <w:highlight w:val="none"/>
        </w:rPr>
        <w:t>电子签章）</w:t>
      </w:r>
    </w:p>
    <w:p w14:paraId="3C2A0AD2">
      <w:pPr>
        <w:pageBreakBefore w:val="0"/>
        <w:overflowPunct/>
        <w:topLinePunct w:val="0"/>
        <w:autoSpaceDE w:val="0"/>
        <w:autoSpaceDN w:val="0"/>
        <w:bidi w:val="0"/>
        <w:adjustRightInd w:val="0"/>
        <w:spacing w:line="360" w:lineRule="auto"/>
        <w:ind w:firstLine="3780" w:firstLineChars="18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 xml:space="preserve">   </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w:t>
      </w:r>
    </w:p>
    <w:p w14:paraId="678F68D7">
      <w:pPr>
        <w:pageBreakBefore w:val="0"/>
        <w:overflowPunct/>
        <w:topLinePunct w:val="0"/>
        <w:autoSpaceDE w:val="0"/>
        <w:autoSpaceDN w:val="0"/>
        <w:bidi w:val="0"/>
        <w:adjustRightInd w:val="0"/>
        <w:spacing w:line="360" w:lineRule="auto"/>
        <w:ind w:firstLine="308" w:firstLineChars="147"/>
        <w:jc w:val="left"/>
        <w:rPr>
          <w:rFonts w:hint="eastAsia" w:ascii="宋体" w:hAnsi="宋体" w:eastAsia="宋体" w:cs="宋体"/>
          <w:b/>
          <w:color w:val="auto"/>
          <w:szCs w:val="21"/>
          <w:highlight w:val="none"/>
        </w:rPr>
      </w:pPr>
    </w:p>
    <w:p w14:paraId="7671C106">
      <w:pPr>
        <w:pageBreakBefore w:val="0"/>
        <w:overflowPunct/>
        <w:topLinePunct w:val="0"/>
        <w:autoSpaceDE w:val="0"/>
        <w:autoSpaceDN w:val="0"/>
        <w:bidi w:val="0"/>
        <w:adjustRightInd w:val="0"/>
        <w:spacing w:line="360" w:lineRule="auto"/>
        <w:ind w:firstLine="308" w:firstLineChars="147"/>
        <w:jc w:val="left"/>
        <w:rPr>
          <w:rFonts w:hint="eastAsia" w:ascii="宋体" w:hAnsi="宋体" w:eastAsia="宋体" w:cs="宋体"/>
          <w:b/>
          <w:color w:val="auto"/>
          <w:szCs w:val="21"/>
          <w:highlight w:val="none"/>
        </w:rPr>
      </w:pPr>
    </w:p>
    <w:p w14:paraId="7EC9021F">
      <w:pPr>
        <w:pageBreakBefore w:val="0"/>
        <w:overflowPunct/>
        <w:topLinePunct w:val="0"/>
        <w:autoSpaceDE w:val="0"/>
        <w:autoSpaceDN w:val="0"/>
        <w:bidi w:val="0"/>
        <w:adjustRightInd w:val="0"/>
        <w:spacing w:line="360" w:lineRule="auto"/>
        <w:ind w:firstLine="308" w:firstLineChars="147"/>
        <w:jc w:val="left"/>
        <w:rPr>
          <w:rFonts w:hint="eastAsia" w:ascii="宋体" w:hAnsi="宋体" w:eastAsia="宋体" w:cs="宋体"/>
          <w:b/>
          <w:color w:val="auto"/>
          <w:szCs w:val="21"/>
          <w:highlight w:val="none"/>
        </w:rPr>
      </w:pPr>
    </w:p>
    <w:p w14:paraId="681C197A">
      <w:pPr>
        <w:pageBreakBefore w:val="0"/>
        <w:overflowPunct/>
        <w:topLinePunct w:val="0"/>
        <w:autoSpaceDE w:val="0"/>
        <w:autoSpaceDN w:val="0"/>
        <w:bidi w:val="0"/>
        <w:adjustRightInd w:val="0"/>
        <w:spacing w:line="360" w:lineRule="auto"/>
        <w:ind w:firstLine="308" w:firstLineChars="147"/>
        <w:jc w:val="left"/>
        <w:rPr>
          <w:rFonts w:hint="eastAsia" w:ascii="宋体" w:hAnsi="宋体" w:eastAsia="宋体" w:cs="宋体"/>
          <w:color w:val="auto"/>
          <w:kern w:val="0"/>
          <w:szCs w:val="21"/>
          <w:highlight w:val="none"/>
          <w:lang w:eastAsia="zh-CN"/>
        </w:rPr>
      </w:pPr>
      <w:r>
        <w:rPr>
          <w:rFonts w:hint="eastAsia" w:ascii="宋体" w:hAnsi="宋体" w:eastAsia="宋体" w:cs="宋体"/>
          <w:b/>
          <w:color w:val="auto"/>
          <w:szCs w:val="21"/>
          <w:highlight w:val="none"/>
        </w:rPr>
        <w:t>附：法定代表人二代居民身份证</w:t>
      </w:r>
      <w:r>
        <w:rPr>
          <w:rFonts w:hint="eastAsia" w:ascii="宋体" w:hAnsi="宋体" w:eastAsia="宋体" w:cs="宋体"/>
          <w:b/>
          <w:color w:val="auto"/>
          <w:szCs w:val="21"/>
          <w:highlight w:val="none"/>
          <w:lang w:val="en-US" w:eastAsia="zh-CN"/>
        </w:rPr>
        <w:t>正、反两面</w:t>
      </w:r>
      <w:r>
        <w:rPr>
          <w:rFonts w:hint="eastAsia" w:ascii="宋体" w:hAnsi="宋体" w:eastAsia="宋体" w:cs="宋体"/>
          <w:b/>
          <w:color w:val="auto"/>
          <w:szCs w:val="21"/>
          <w:highlight w:val="none"/>
          <w:lang w:eastAsia="zh-CN"/>
        </w:rPr>
        <w:t>扫描件</w:t>
      </w:r>
    </w:p>
    <w:p w14:paraId="4A173C9D">
      <w:pPr>
        <w:pageBreakBefore w:val="0"/>
        <w:overflowPunct/>
        <w:topLinePunct w:val="0"/>
        <w:autoSpaceDE w:val="0"/>
        <w:autoSpaceDN w:val="0"/>
        <w:bidi w:val="0"/>
        <w:adjustRightInd w:val="0"/>
        <w:spacing w:line="360" w:lineRule="auto"/>
        <w:ind w:firstLine="4620" w:firstLineChars="2200"/>
        <w:jc w:val="left"/>
        <w:rPr>
          <w:rFonts w:hint="eastAsia" w:ascii="宋体" w:hAnsi="宋体" w:eastAsia="宋体" w:cs="宋体"/>
          <w:color w:val="auto"/>
          <w:kern w:val="0"/>
          <w:szCs w:val="21"/>
          <w:highlight w:val="none"/>
        </w:rPr>
      </w:pPr>
    </w:p>
    <w:p w14:paraId="48B868F5">
      <w:pPr>
        <w:pageBreakBefore w:val="0"/>
        <w:overflowPunct/>
        <w:topLinePunct w:val="0"/>
        <w:autoSpaceDE w:val="0"/>
        <w:autoSpaceDN w:val="0"/>
        <w:bidi w:val="0"/>
        <w:adjustRightInd w:val="0"/>
        <w:spacing w:line="360" w:lineRule="auto"/>
        <w:jc w:val="center"/>
        <w:rPr>
          <w:rFonts w:hint="eastAsia" w:ascii="宋体" w:hAnsi="宋体" w:eastAsia="宋体" w:cs="宋体"/>
          <w:b/>
          <w:color w:val="auto"/>
          <w:szCs w:val="21"/>
          <w:highlight w:val="none"/>
        </w:rPr>
      </w:pPr>
    </w:p>
    <w:p w14:paraId="517DF2C6">
      <w:pPr>
        <w:pageBreakBefore w:val="0"/>
        <w:overflowPunct/>
        <w:topLinePunct w:val="0"/>
        <w:autoSpaceDE w:val="0"/>
        <w:autoSpaceDN w:val="0"/>
        <w:bidi w:val="0"/>
        <w:adjustRightInd w:val="0"/>
        <w:spacing w:line="360" w:lineRule="auto"/>
        <w:jc w:val="center"/>
        <w:rPr>
          <w:rFonts w:hint="eastAsia" w:ascii="宋体" w:hAnsi="宋体" w:eastAsia="宋体" w:cs="宋体"/>
          <w:b/>
          <w:color w:val="auto"/>
          <w:kern w:val="0"/>
          <w:szCs w:val="21"/>
          <w:highlight w:val="none"/>
        </w:rPr>
      </w:pPr>
      <w:r>
        <w:rPr>
          <w:rFonts w:hint="eastAsia" w:ascii="宋体" w:hAnsi="宋体" w:eastAsia="宋体" w:cs="宋体"/>
          <w:b/>
          <w:color w:val="auto"/>
          <w:szCs w:val="21"/>
          <w:highlight w:val="none"/>
        </w:rPr>
        <w:br w:type="page"/>
      </w:r>
      <w:r>
        <w:rPr>
          <w:rFonts w:hint="eastAsia" w:ascii="宋体" w:hAnsi="宋体" w:eastAsia="宋体" w:cs="宋体"/>
          <w:b/>
          <w:color w:val="auto"/>
          <w:sz w:val="28"/>
          <w:szCs w:val="28"/>
          <w:highlight w:val="none"/>
          <w:lang w:val="en-US" w:eastAsia="zh-CN"/>
        </w:rPr>
        <w:t>附2</w:t>
      </w:r>
      <w:r>
        <w:rPr>
          <w:rFonts w:hint="eastAsia" w:ascii="宋体" w:hAnsi="宋体" w:eastAsia="宋体" w:cs="宋体"/>
          <w:b/>
          <w:color w:val="auto"/>
          <w:sz w:val="28"/>
          <w:szCs w:val="28"/>
          <w:highlight w:val="none"/>
        </w:rPr>
        <w:t>、</w:t>
      </w:r>
      <w:r>
        <w:rPr>
          <w:rFonts w:hint="eastAsia" w:ascii="宋体" w:hAnsi="宋体" w:eastAsia="宋体" w:cs="宋体"/>
          <w:b/>
          <w:color w:val="auto"/>
          <w:kern w:val="0"/>
          <w:sz w:val="28"/>
          <w:szCs w:val="28"/>
          <w:highlight w:val="none"/>
        </w:rPr>
        <w:t>授权委托书</w:t>
      </w:r>
      <w:r>
        <w:rPr>
          <w:rFonts w:hint="eastAsia" w:ascii="宋体" w:hAnsi="宋体" w:eastAsia="宋体" w:cs="宋体"/>
          <w:b/>
          <w:color w:val="auto"/>
          <w:sz w:val="28"/>
          <w:szCs w:val="28"/>
          <w:highlight w:val="none"/>
        </w:rPr>
        <w:t>（格式）</w:t>
      </w:r>
    </w:p>
    <w:p w14:paraId="02575C0C">
      <w:pPr>
        <w:pageBreakBefore w:val="0"/>
        <w:overflowPunct/>
        <w:topLinePunct w:val="0"/>
        <w:autoSpaceDE w:val="0"/>
        <w:autoSpaceDN w:val="0"/>
        <w:bidi w:val="0"/>
        <w:adjustRightInd w:val="0"/>
        <w:spacing w:line="360" w:lineRule="auto"/>
        <w:ind w:firstLine="3045" w:firstLineChars="1450"/>
        <w:rPr>
          <w:rFonts w:hint="eastAsia" w:ascii="宋体" w:hAnsi="宋体" w:eastAsia="宋体" w:cs="宋体"/>
          <w:b/>
          <w:color w:val="auto"/>
          <w:kern w:val="0"/>
          <w:szCs w:val="21"/>
          <w:highlight w:val="none"/>
        </w:rPr>
      </w:pPr>
    </w:p>
    <w:p w14:paraId="4A5EDD80">
      <w:pPr>
        <w:pageBreakBefore w:val="0"/>
        <w:overflowPunct/>
        <w:topLinePunct w:val="0"/>
        <w:autoSpaceDE w:val="0"/>
        <w:autoSpaceDN w:val="0"/>
        <w:bidi w:val="0"/>
        <w:adjustRightInd w:val="0"/>
        <w:spacing w:line="360" w:lineRule="auto"/>
        <w:ind w:firstLine="525" w:firstLineChars="250"/>
        <w:jc w:val="left"/>
        <w:rPr>
          <w:rFonts w:hint="eastAsia" w:ascii="宋体" w:hAnsi="宋体" w:eastAsia="宋体" w:cs="宋体"/>
          <w:color w:val="auto"/>
          <w:kern w:val="0"/>
          <w:szCs w:val="21"/>
          <w:highlight w:val="none"/>
        </w:rPr>
      </w:pPr>
    </w:p>
    <w:p w14:paraId="1867258A">
      <w:pPr>
        <w:pageBreakBefore w:val="0"/>
        <w:overflowPunct/>
        <w:topLinePunct w:val="0"/>
        <w:bidi w:val="0"/>
        <w:spacing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本授权委托书声明：我</w:t>
      </w:r>
      <w:r>
        <w:rPr>
          <w:rFonts w:hint="eastAsia" w:ascii="宋体" w:hAnsi="宋体" w:eastAsia="宋体" w:cs="宋体"/>
          <w:color w:val="auto"/>
          <w:szCs w:val="21"/>
          <w:highlight w:val="none"/>
          <w:u w:val="single"/>
        </w:rPr>
        <w:t> （姓名）</w:t>
      </w:r>
      <w:r>
        <w:rPr>
          <w:rFonts w:hint="eastAsia" w:ascii="宋体" w:hAnsi="宋体" w:eastAsia="宋体" w:cs="宋体"/>
          <w:color w:val="auto"/>
          <w:szCs w:val="21"/>
          <w:highlight w:val="none"/>
        </w:rPr>
        <w:t>系</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eastAsia="zh-CN"/>
        </w:rPr>
        <w:t>磋商供应商</w:t>
      </w:r>
      <w:r>
        <w:rPr>
          <w:rFonts w:hint="eastAsia" w:ascii="宋体" w:hAnsi="宋体" w:eastAsia="宋体" w:cs="宋体"/>
          <w:color w:val="auto"/>
          <w:szCs w:val="21"/>
          <w:highlight w:val="none"/>
          <w:u w:val="single"/>
        </w:rPr>
        <w:t>名称）</w:t>
      </w:r>
      <w:r>
        <w:rPr>
          <w:rFonts w:hint="eastAsia" w:ascii="宋体" w:hAnsi="宋体" w:eastAsia="宋体" w:cs="宋体"/>
          <w:color w:val="auto"/>
          <w:szCs w:val="21"/>
          <w:highlight w:val="none"/>
        </w:rPr>
        <w:t>的法定代表人，现授权委托</w:t>
      </w:r>
      <w:r>
        <w:rPr>
          <w:rFonts w:hint="eastAsia" w:ascii="宋体" w:hAnsi="宋体" w:eastAsia="宋体" w:cs="宋体"/>
          <w:color w:val="auto"/>
          <w:szCs w:val="21"/>
          <w:highlight w:val="none"/>
          <w:u w:val="single"/>
        </w:rPr>
        <w:t xml:space="preserve">      （单位名称）     </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u w:val="single"/>
        </w:rPr>
        <w:t xml:space="preserve">    （姓名）</w:t>
      </w:r>
      <w:r>
        <w:rPr>
          <w:rFonts w:hint="eastAsia" w:ascii="宋体" w:hAnsi="宋体" w:eastAsia="宋体" w:cs="宋体"/>
          <w:color w:val="auto"/>
          <w:szCs w:val="21"/>
          <w:highlight w:val="none"/>
        </w:rPr>
        <w:t>为我公司签署</w:t>
      </w:r>
      <w:r>
        <w:rPr>
          <w:rFonts w:hint="eastAsia" w:ascii="宋体" w:hAnsi="宋体" w:eastAsia="宋体" w:cs="宋体"/>
          <w:color w:val="auto"/>
          <w:szCs w:val="21"/>
          <w:highlight w:val="none"/>
          <w:u w:val="single"/>
        </w:rPr>
        <w:t xml:space="preserve">                    （项目名称及项目编号）</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的法定代表人授权委托代理人，我承认代理人全权代表我所签署的本工程的</w:t>
      </w: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的内容。</w:t>
      </w:r>
    </w:p>
    <w:p w14:paraId="0EB9C1C1">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代理人无转委托权，特此委托。</w:t>
      </w:r>
    </w:p>
    <w:p w14:paraId="7C22831F">
      <w:pPr>
        <w:pageBreakBefore w:val="0"/>
        <w:overflowPunct/>
        <w:topLinePunct w:val="0"/>
        <w:bidi w:val="0"/>
        <w:spacing w:line="360" w:lineRule="auto"/>
        <w:rPr>
          <w:rFonts w:hint="eastAsia" w:ascii="宋体" w:hAnsi="宋体" w:eastAsia="宋体" w:cs="宋体"/>
          <w:color w:val="auto"/>
          <w:szCs w:val="21"/>
          <w:highlight w:val="none"/>
        </w:rPr>
      </w:pPr>
    </w:p>
    <w:p w14:paraId="6A074888">
      <w:pPr>
        <w:pageBreakBefore w:val="0"/>
        <w:overflowPunct/>
        <w:topLinePunct w:val="0"/>
        <w:bidi w:val="0"/>
        <w:spacing w:line="360" w:lineRule="auto"/>
        <w:rPr>
          <w:rFonts w:hint="eastAsia" w:ascii="宋体" w:hAnsi="宋体" w:eastAsia="宋体" w:cs="宋体"/>
          <w:color w:val="auto"/>
          <w:szCs w:val="21"/>
          <w:highlight w:val="none"/>
        </w:rPr>
      </w:pPr>
    </w:p>
    <w:p w14:paraId="4A169E83">
      <w:pPr>
        <w:pageBreakBefore w:val="0"/>
        <w:overflowPunct/>
        <w:topLinePunct w:val="0"/>
        <w:bidi w:val="0"/>
        <w:spacing w:line="360" w:lineRule="auto"/>
        <w:rPr>
          <w:rFonts w:hint="eastAsia" w:ascii="宋体" w:hAnsi="宋体" w:eastAsia="宋体" w:cs="宋体"/>
          <w:color w:val="auto"/>
          <w:szCs w:val="21"/>
          <w:highlight w:val="none"/>
        </w:rPr>
      </w:pPr>
    </w:p>
    <w:p w14:paraId="2ECCFDBC">
      <w:pPr>
        <w:pageBreakBefore w:val="0"/>
        <w:overflowPunct/>
        <w:topLinePunct w:val="0"/>
        <w:bidi w:val="0"/>
        <w:spacing w:line="360" w:lineRule="auto"/>
        <w:rPr>
          <w:rFonts w:hint="eastAsia" w:ascii="宋体" w:hAnsi="宋体" w:eastAsia="宋体" w:cs="宋体"/>
          <w:color w:val="auto"/>
          <w:szCs w:val="21"/>
          <w:highlight w:val="none"/>
        </w:rPr>
      </w:pPr>
    </w:p>
    <w:p w14:paraId="7F3E11E4">
      <w:pPr>
        <w:pageBreakBefore w:val="0"/>
        <w:wordWrap w:val="0"/>
        <w:overflowPunct/>
        <w:topLinePunct w:val="0"/>
        <w:bidi w:val="0"/>
        <w:spacing w:line="360" w:lineRule="auto"/>
        <w:ind w:left="2699"/>
        <w:jc w:val="center"/>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代理人：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性别：</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年龄：</w:t>
      </w:r>
      <w:r>
        <w:rPr>
          <w:rFonts w:hint="eastAsia" w:ascii="宋体" w:hAnsi="宋体" w:eastAsia="宋体" w:cs="宋体"/>
          <w:color w:val="auto"/>
          <w:szCs w:val="21"/>
          <w:highlight w:val="none"/>
          <w:u w:val="single"/>
        </w:rPr>
        <w:t xml:space="preserve">      </w:t>
      </w:r>
    </w:p>
    <w:p w14:paraId="3AECAC3E">
      <w:pPr>
        <w:pageBreakBefore w:val="0"/>
        <w:overflowPunct/>
        <w:topLinePunct w:val="0"/>
        <w:bidi w:val="0"/>
        <w:spacing w:line="360" w:lineRule="auto"/>
        <w:ind w:right="124" w:firstLine="3990" w:firstLineChars="19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身份证号码：</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职务：</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7793D517">
      <w:pPr>
        <w:pageBreakBefore w:val="0"/>
        <w:overflowPunct/>
        <w:topLinePunct w:val="0"/>
        <w:bidi w:val="0"/>
        <w:spacing w:line="360" w:lineRule="auto"/>
        <w:ind w:left="2699"/>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（公章</w:t>
      </w:r>
      <w:r>
        <w:rPr>
          <w:rFonts w:hint="eastAsia" w:ascii="宋体" w:hAnsi="宋体" w:eastAsia="宋体" w:cs="宋体"/>
          <w:color w:val="auto"/>
          <w:szCs w:val="21"/>
          <w:highlight w:val="none"/>
          <w:u w:val="single"/>
          <w:lang w:val="en-US" w:eastAsia="zh-CN"/>
        </w:rPr>
        <w:t>或</w:t>
      </w:r>
      <w:r>
        <w:rPr>
          <w:rFonts w:hint="eastAsia" w:ascii="宋体" w:hAnsi="宋体" w:eastAsia="宋体" w:cs="宋体"/>
          <w:color w:val="auto"/>
          <w:szCs w:val="21"/>
          <w:highlight w:val="none"/>
          <w:u w:val="single"/>
        </w:rPr>
        <w:t>电子签章）</w:t>
      </w:r>
    </w:p>
    <w:p w14:paraId="013EBE3F">
      <w:pPr>
        <w:pageBreakBefore w:val="0"/>
        <w:overflowPunct/>
        <w:topLinePunct w:val="0"/>
        <w:bidi w:val="0"/>
        <w:spacing w:line="360" w:lineRule="auto"/>
        <w:ind w:left="2699"/>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u w:val="single"/>
        </w:rPr>
        <w:t xml:space="preserve">                            （手写签名</w:t>
      </w:r>
      <w:r>
        <w:rPr>
          <w:rFonts w:hint="eastAsia" w:ascii="宋体" w:hAnsi="宋体" w:eastAsia="宋体" w:cs="宋体"/>
          <w:color w:val="auto"/>
          <w:szCs w:val="21"/>
          <w:highlight w:val="none"/>
          <w:u w:val="single"/>
          <w:lang w:val="en-US" w:eastAsia="zh-CN"/>
        </w:rPr>
        <w:t>或</w:t>
      </w:r>
      <w:r>
        <w:rPr>
          <w:rFonts w:hint="eastAsia" w:ascii="宋体" w:hAnsi="宋体" w:eastAsia="宋体" w:cs="宋体"/>
          <w:color w:val="auto"/>
          <w:szCs w:val="21"/>
          <w:highlight w:val="none"/>
          <w:u w:val="single"/>
        </w:rPr>
        <w:t>电子签名）</w:t>
      </w:r>
    </w:p>
    <w:p w14:paraId="503D0A12">
      <w:pPr>
        <w:pageBreakBefore w:val="0"/>
        <w:overflowPunct/>
        <w:topLinePunct w:val="0"/>
        <w:bidi w:val="0"/>
        <w:spacing w:line="360" w:lineRule="auto"/>
        <w:ind w:left="2699" w:firstLine="1260" w:firstLineChars="6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授权委托日期：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日 </w:t>
      </w:r>
    </w:p>
    <w:p w14:paraId="2723C676">
      <w:pPr>
        <w:pageBreakBefore w:val="0"/>
        <w:overflowPunct/>
        <w:topLinePunct w:val="0"/>
        <w:bidi w:val="0"/>
        <w:spacing w:line="360" w:lineRule="auto"/>
        <w:rPr>
          <w:rFonts w:hint="eastAsia" w:ascii="宋体" w:hAnsi="宋体" w:eastAsia="宋体" w:cs="宋体"/>
          <w:color w:val="auto"/>
          <w:highlight w:val="none"/>
        </w:rPr>
      </w:pPr>
    </w:p>
    <w:p w14:paraId="56289366">
      <w:pPr>
        <w:pageBreakBefore w:val="0"/>
        <w:overflowPunct/>
        <w:topLinePunct w:val="0"/>
        <w:bidi w:val="0"/>
        <w:spacing w:line="360" w:lineRule="auto"/>
        <w:rPr>
          <w:rFonts w:hint="eastAsia" w:ascii="宋体" w:hAnsi="宋体" w:eastAsia="宋体" w:cs="宋体"/>
          <w:color w:val="auto"/>
          <w:highlight w:val="none"/>
        </w:rPr>
      </w:pPr>
    </w:p>
    <w:p w14:paraId="1CAE605A">
      <w:pPr>
        <w:pageBreakBefore w:val="0"/>
        <w:overflowPunct/>
        <w:topLinePunct w:val="0"/>
        <w:bidi w:val="0"/>
        <w:spacing w:line="360" w:lineRule="auto"/>
        <w:rPr>
          <w:rFonts w:hint="eastAsia" w:ascii="宋体" w:hAnsi="宋体" w:eastAsia="宋体" w:cs="宋体"/>
          <w:color w:val="auto"/>
          <w:highlight w:val="none"/>
        </w:rPr>
      </w:pPr>
    </w:p>
    <w:p w14:paraId="18D8369B">
      <w:pPr>
        <w:pageBreakBefore w:val="0"/>
        <w:overflowPunct/>
        <w:topLinePunct w:val="0"/>
        <w:bidi w:val="0"/>
        <w:spacing w:line="360" w:lineRule="auto"/>
        <w:rPr>
          <w:rFonts w:hint="eastAsia" w:ascii="宋体" w:hAnsi="宋体" w:eastAsia="宋体" w:cs="宋体"/>
          <w:color w:val="auto"/>
          <w:highlight w:val="none"/>
        </w:rPr>
      </w:pPr>
    </w:p>
    <w:p w14:paraId="402608B6">
      <w:pPr>
        <w:pageBreakBefore w:val="0"/>
        <w:overflowPunct/>
        <w:topLinePunct w:val="0"/>
        <w:bidi w:val="0"/>
        <w:spacing w:line="360" w:lineRule="auto"/>
        <w:rPr>
          <w:rFonts w:hint="eastAsia" w:ascii="宋体" w:hAnsi="宋体" w:eastAsia="宋体" w:cs="宋体"/>
          <w:color w:val="auto"/>
          <w:highlight w:val="none"/>
        </w:rPr>
      </w:pPr>
    </w:p>
    <w:p w14:paraId="7931540A">
      <w:pPr>
        <w:pageBreakBefore w:val="0"/>
        <w:overflowPunct/>
        <w:topLinePunct w:val="0"/>
        <w:bidi w:val="0"/>
        <w:spacing w:line="360" w:lineRule="auto"/>
        <w:rPr>
          <w:rFonts w:hint="eastAsia" w:ascii="宋体" w:hAnsi="宋体" w:eastAsia="宋体" w:cs="宋体"/>
          <w:color w:val="auto"/>
          <w:highlight w:val="none"/>
        </w:rPr>
      </w:pPr>
    </w:p>
    <w:p w14:paraId="7868EF4B">
      <w:pPr>
        <w:pageBreakBefore w:val="0"/>
        <w:overflowPunct/>
        <w:topLinePunct w:val="0"/>
        <w:bidi w:val="0"/>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附：委托代理人</w:t>
      </w:r>
      <w:r>
        <w:rPr>
          <w:rFonts w:hint="eastAsia" w:ascii="宋体" w:hAnsi="宋体" w:eastAsia="宋体" w:cs="宋体"/>
          <w:b/>
          <w:bCs/>
          <w:color w:val="auto"/>
          <w:szCs w:val="21"/>
          <w:highlight w:val="none"/>
        </w:rPr>
        <w:t>二代居民身份证</w:t>
      </w:r>
      <w:r>
        <w:rPr>
          <w:rFonts w:hint="eastAsia" w:ascii="宋体" w:hAnsi="宋体" w:eastAsia="宋体" w:cs="宋体"/>
          <w:b/>
          <w:color w:val="auto"/>
          <w:szCs w:val="21"/>
          <w:highlight w:val="none"/>
          <w:lang w:val="en-US" w:eastAsia="zh-CN"/>
        </w:rPr>
        <w:t>正、反两面</w:t>
      </w:r>
      <w:r>
        <w:rPr>
          <w:rFonts w:hint="eastAsia" w:ascii="宋体" w:hAnsi="宋体" w:eastAsia="宋体" w:cs="宋体"/>
          <w:b/>
          <w:bCs/>
          <w:color w:val="auto"/>
          <w:szCs w:val="21"/>
          <w:highlight w:val="none"/>
          <w:lang w:eastAsia="zh-CN"/>
        </w:rPr>
        <w:t>扫描件</w:t>
      </w:r>
      <w:r>
        <w:rPr>
          <w:rFonts w:hint="eastAsia" w:ascii="宋体" w:hAnsi="宋体" w:eastAsia="宋体" w:cs="宋体"/>
          <w:b/>
          <w:bCs/>
          <w:color w:val="auto"/>
          <w:szCs w:val="21"/>
          <w:highlight w:val="none"/>
        </w:rPr>
        <w:t>。</w:t>
      </w:r>
    </w:p>
    <w:p w14:paraId="1FADC7FF">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p w14:paraId="3B373ED0">
      <w:pPr>
        <w:pageBreakBefore w:val="0"/>
        <w:overflowPunct/>
        <w:topLinePunct w:val="0"/>
        <w:bidi w:val="0"/>
        <w:spacing w:line="360" w:lineRule="auto"/>
        <w:rPr>
          <w:rFonts w:hint="eastAsia" w:ascii="宋体" w:hAnsi="宋体" w:eastAsia="宋体" w:cs="宋体"/>
          <w:b/>
          <w:color w:val="auto"/>
          <w:szCs w:val="21"/>
          <w:highlight w:val="none"/>
        </w:rPr>
      </w:pPr>
    </w:p>
    <w:p w14:paraId="3C11B921">
      <w:pPr>
        <w:pStyle w:val="15"/>
        <w:pageBreakBefore w:val="0"/>
        <w:overflowPunct/>
        <w:topLinePunct w:val="0"/>
        <w:bidi w:val="0"/>
        <w:spacing w:line="360" w:lineRule="auto"/>
        <w:rPr>
          <w:rFonts w:hint="eastAsia" w:ascii="宋体" w:hAnsi="宋体" w:eastAsia="宋体" w:cs="宋体"/>
          <w:bCs/>
          <w:color w:val="auto"/>
          <w:kern w:val="2"/>
          <w:sz w:val="24"/>
          <w:szCs w:val="24"/>
          <w:highlight w:val="none"/>
          <w:lang w:val="en-US" w:eastAsia="zh-CN" w:bidi="ar-SA"/>
        </w:rPr>
      </w:pPr>
    </w:p>
    <w:p w14:paraId="1A36B54A">
      <w:pPr>
        <w:pageBreakBefore w:val="0"/>
        <w:numPr>
          <w:ilvl w:val="0"/>
          <w:numId w:val="9"/>
        </w:numPr>
        <w:overflowPunct/>
        <w:topLinePunct w:val="0"/>
        <w:bidi w:val="0"/>
        <w:spacing w:line="360" w:lineRule="auto"/>
        <w:ind w:left="-60" w:firstLine="480" w:firstLineChars="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中小微企业或监狱企业或残疾人福利性单位等证明材料；</w:t>
      </w:r>
    </w:p>
    <w:p w14:paraId="46850E95">
      <w:pPr>
        <w:pStyle w:val="39"/>
        <w:pageBreakBefore w:val="0"/>
        <w:overflowPunct/>
        <w:topLinePunct w:val="0"/>
        <w:bidi w:val="0"/>
        <w:spacing w:line="360" w:lineRule="auto"/>
        <w:rPr>
          <w:rFonts w:hint="eastAsia" w:ascii="宋体" w:hAnsi="宋体" w:eastAsia="宋体" w:cs="宋体"/>
          <w:b/>
          <w:bCs/>
          <w:color w:val="auto"/>
          <w:sz w:val="24"/>
          <w:szCs w:val="24"/>
          <w:highlight w:val="none"/>
          <w:lang w:val="en-US" w:eastAsia="zh-CN"/>
        </w:rPr>
      </w:pPr>
    </w:p>
    <w:p w14:paraId="6754AAF8">
      <w:pPr>
        <w:pageBreakBefore w:val="0"/>
        <w:widowControl w:val="0"/>
        <w:overflowPunct/>
        <w:topLinePunct w:val="0"/>
        <w:bidi w:val="0"/>
        <w:spacing w:line="360" w:lineRule="auto"/>
        <w:ind w:firstLine="630" w:firstLineChars="300"/>
        <w:jc w:val="both"/>
        <w:outlineLvl w:val="4"/>
        <w:rPr>
          <w:rFonts w:hint="eastAsia" w:ascii="宋体" w:hAnsi="宋体" w:eastAsia="宋体" w:cs="宋体"/>
          <w:b/>
          <w:color w:val="auto"/>
          <w:kern w:val="2"/>
          <w:sz w:val="21"/>
          <w:szCs w:val="20"/>
          <w:highlight w:val="none"/>
          <w:lang w:val="en-US" w:eastAsia="zh-CN" w:bidi="ar-SA"/>
        </w:rPr>
      </w:pPr>
      <w:r>
        <w:rPr>
          <w:rFonts w:hint="eastAsia" w:ascii="宋体" w:hAnsi="宋体" w:eastAsia="宋体" w:cs="宋体"/>
          <w:b/>
          <w:color w:val="auto"/>
          <w:kern w:val="2"/>
          <w:sz w:val="21"/>
          <w:szCs w:val="20"/>
          <w:highlight w:val="none"/>
          <w:lang w:val="en-US" w:eastAsia="zh-CN" w:bidi="ar-SA"/>
        </w:rPr>
        <w:t>中小企业声明函（格式）：</w:t>
      </w:r>
    </w:p>
    <w:p w14:paraId="0708AD01">
      <w:pPr>
        <w:pageBreakBefore w:val="0"/>
        <w:widowControl w:val="0"/>
        <w:overflowPunct/>
        <w:topLinePunct w:val="0"/>
        <w:bidi w:val="0"/>
        <w:spacing w:line="360" w:lineRule="auto"/>
        <w:jc w:val="center"/>
        <w:rPr>
          <w:rFonts w:hint="eastAsia" w:ascii="宋体" w:hAnsi="宋体" w:eastAsia="宋体" w:cs="宋体"/>
          <w:b/>
          <w:color w:val="auto"/>
          <w:kern w:val="2"/>
          <w:sz w:val="30"/>
          <w:szCs w:val="30"/>
          <w:highlight w:val="none"/>
          <w:lang w:val="en-US" w:eastAsia="zh-CN" w:bidi="ar-SA"/>
        </w:rPr>
      </w:pPr>
      <w:r>
        <w:rPr>
          <w:rFonts w:hint="eastAsia" w:ascii="宋体" w:hAnsi="宋体" w:eastAsia="宋体" w:cs="宋体"/>
          <w:b/>
          <w:color w:val="auto"/>
          <w:kern w:val="2"/>
          <w:sz w:val="30"/>
          <w:szCs w:val="30"/>
          <w:highlight w:val="none"/>
          <w:lang w:val="en-US" w:eastAsia="zh-CN" w:bidi="ar-SA"/>
        </w:rPr>
        <w:t>中小企业声明函</w:t>
      </w:r>
    </w:p>
    <w:p w14:paraId="49E41869">
      <w:pPr>
        <w:pStyle w:val="12"/>
        <w:pageBreakBefore w:val="0"/>
        <w:overflowPunct/>
        <w:topLinePunct w:val="0"/>
        <w:bidi w:val="0"/>
        <w:spacing w:before="101" w:line="360" w:lineRule="auto"/>
        <w:ind w:left="36" w:right="84" w:firstLine="64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本公司（联合体）郑重声明，根据《政府采购促进中小</w:t>
      </w:r>
      <w:r>
        <w:rPr>
          <w:rFonts w:hint="eastAsia" w:ascii="宋体" w:hAnsi="宋体" w:eastAsia="宋体" w:cs="宋体"/>
          <w:color w:val="auto"/>
          <w:spacing w:val="4"/>
          <w:sz w:val="21"/>
          <w:szCs w:val="21"/>
          <w:highlight w:val="none"/>
        </w:rPr>
        <w:t>企业发展管理办法》（财库﹝2020﹞46号）的规</w:t>
      </w:r>
      <w:r>
        <w:rPr>
          <w:rFonts w:hint="eastAsia" w:ascii="宋体" w:hAnsi="宋体" w:eastAsia="宋体" w:cs="宋体"/>
          <w:color w:val="auto"/>
          <w:spacing w:val="3"/>
          <w:sz w:val="21"/>
          <w:szCs w:val="21"/>
          <w:highlight w:val="none"/>
        </w:rPr>
        <w:t>定，本公司</w:t>
      </w:r>
      <w:r>
        <w:rPr>
          <w:rFonts w:hint="eastAsia" w:ascii="宋体" w:hAnsi="宋体" w:eastAsia="宋体" w:cs="宋体"/>
          <w:color w:val="auto"/>
          <w:spacing w:val="-1"/>
          <w:sz w:val="21"/>
          <w:szCs w:val="21"/>
          <w:highlight w:val="none"/>
        </w:rPr>
        <w:t>（联合体）</w:t>
      </w:r>
      <w:r>
        <w:rPr>
          <w:rFonts w:hint="eastAsia" w:ascii="宋体" w:hAnsi="宋体" w:eastAsia="宋体" w:cs="宋体"/>
          <w:color w:val="auto"/>
          <w:spacing w:val="3"/>
          <w:sz w:val="21"/>
          <w:szCs w:val="21"/>
          <w:highlight w:val="none"/>
        </w:rPr>
        <w:t>参加</w:t>
      </w:r>
      <w:r>
        <w:rPr>
          <w:rFonts w:hint="eastAsia" w:ascii="宋体" w:hAnsi="宋体" w:eastAsia="宋体" w:cs="宋体"/>
          <w:color w:val="auto"/>
          <w:spacing w:val="3"/>
          <w:sz w:val="21"/>
          <w:szCs w:val="21"/>
          <w:highlight w:val="none"/>
          <w:u w:val="single"/>
        </w:rPr>
        <w:t>（单位名称）</w:t>
      </w:r>
      <w:r>
        <w:rPr>
          <w:rFonts w:hint="eastAsia" w:ascii="宋体" w:hAnsi="宋体" w:eastAsia="宋体" w:cs="宋体"/>
          <w:color w:val="auto"/>
          <w:spacing w:val="3"/>
          <w:sz w:val="21"/>
          <w:szCs w:val="21"/>
          <w:highlight w:val="none"/>
        </w:rPr>
        <w:t>的</w:t>
      </w:r>
      <w:r>
        <w:rPr>
          <w:rFonts w:hint="eastAsia" w:ascii="宋体" w:hAnsi="宋体" w:eastAsia="宋体" w:cs="宋体"/>
          <w:color w:val="auto"/>
          <w:spacing w:val="3"/>
          <w:sz w:val="21"/>
          <w:szCs w:val="21"/>
          <w:highlight w:val="none"/>
          <w:u w:val="single"/>
        </w:rPr>
        <w:t>（项目名称）</w:t>
      </w:r>
      <w:r>
        <w:rPr>
          <w:rFonts w:hint="eastAsia" w:ascii="宋体" w:hAnsi="宋体" w:eastAsia="宋体" w:cs="宋体"/>
          <w:color w:val="auto"/>
          <w:spacing w:val="3"/>
          <w:sz w:val="21"/>
          <w:szCs w:val="21"/>
          <w:highlight w:val="none"/>
        </w:rPr>
        <w:t>采</w:t>
      </w:r>
      <w:r>
        <w:rPr>
          <w:rFonts w:hint="eastAsia" w:ascii="宋体" w:hAnsi="宋体" w:eastAsia="宋体" w:cs="宋体"/>
          <w:color w:val="auto"/>
          <w:spacing w:val="-1"/>
          <w:sz w:val="21"/>
          <w:szCs w:val="21"/>
          <w:highlight w:val="none"/>
        </w:rPr>
        <w:t>购活动，工</w:t>
      </w:r>
      <w:r>
        <w:rPr>
          <w:rFonts w:hint="eastAsia" w:ascii="宋体" w:hAnsi="宋体" w:eastAsia="宋体" w:cs="宋体"/>
          <w:color w:val="auto"/>
          <w:spacing w:val="8"/>
          <w:sz w:val="21"/>
          <w:szCs w:val="21"/>
          <w:highlight w:val="none"/>
        </w:rPr>
        <w:t>程的施工单位全部为符合政策要求的中小企业（或者：服务全部由符合政策要求的中小企业承接）。相关企业（含联合体中的中小企业、签订分包意向协议的中小企业）的具体情</w:t>
      </w:r>
      <w:r>
        <w:rPr>
          <w:rFonts w:hint="eastAsia" w:ascii="宋体" w:hAnsi="宋体" w:eastAsia="宋体" w:cs="宋体"/>
          <w:color w:val="auto"/>
          <w:spacing w:val="1"/>
          <w:sz w:val="21"/>
          <w:szCs w:val="21"/>
          <w:highlight w:val="none"/>
        </w:rPr>
        <w:t>况如下：</w:t>
      </w:r>
    </w:p>
    <w:p w14:paraId="1505C7B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kern w:val="2"/>
          <w:sz w:val="21"/>
          <w:szCs w:val="21"/>
          <w:highlight w:val="none"/>
          <w:u w:val="single"/>
          <w:lang w:val="en-US" w:eastAsia="zh-CN" w:bidi="ar-SA"/>
        </w:rPr>
        <w:t xml:space="preserve"> （标的名称） </w:t>
      </w:r>
      <w:r>
        <w:rPr>
          <w:rFonts w:hint="eastAsia" w:ascii="宋体" w:hAnsi="宋体" w:eastAsia="宋体" w:cs="宋体"/>
          <w:color w:val="auto"/>
          <w:kern w:val="2"/>
          <w:sz w:val="21"/>
          <w:szCs w:val="21"/>
          <w:highlight w:val="none"/>
          <w:lang w:val="en-US" w:eastAsia="zh-CN" w:bidi="ar-SA"/>
        </w:rPr>
        <w:t>，属于</w:t>
      </w:r>
      <w:r>
        <w:rPr>
          <w:rFonts w:hint="eastAsia" w:ascii="宋体" w:hAnsi="宋体" w:eastAsia="宋体" w:cs="宋体"/>
          <w:color w:val="auto"/>
          <w:kern w:val="2"/>
          <w:sz w:val="21"/>
          <w:szCs w:val="21"/>
          <w:highlight w:val="none"/>
          <w:u w:val="single"/>
          <w:lang w:val="en-US" w:eastAsia="zh-CN" w:bidi="ar-SA"/>
        </w:rPr>
        <w:t>建筑业</w:t>
      </w:r>
      <w:r>
        <w:rPr>
          <w:rFonts w:hint="eastAsia" w:ascii="宋体" w:hAnsi="宋体" w:eastAsia="宋体" w:cs="宋体"/>
          <w:color w:val="auto"/>
          <w:kern w:val="2"/>
          <w:sz w:val="21"/>
          <w:szCs w:val="21"/>
          <w:highlight w:val="none"/>
          <w:lang w:val="en-US" w:eastAsia="zh-CN" w:bidi="ar-SA"/>
        </w:rPr>
        <w:t>；承建（承接）企业为</w:t>
      </w:r>
      <w:r>
        <w:rPr>
          <w:rFonts w:hint="eastAsia" w:ascii="宋体" w:hAnsi="宋体" w:eastAsia="宋体" w:cs="宋体"/>
          <w:color w:val="auto"/>
          <w:kern w:val="2"/>
          <w:sz w:val="21"/>
          <w:szCs w:val="21"/>
          <w:highlight w:val="none"/>
          <w:u w:val="single"/>
          <w:lang w:val="en-US" w:eastAsia="zh-CN" w:bidi="ar-SA"/>
        </w:rPr>
        <w:t>（企业名称）</w:t>
      </w:r>
      <w:r>
        <w:rPr>
          <w:rFonts w:hint="eastAsia" w:ascii="宋体" w:hAnsi="宋体" w:eastAsia="宋体" w:cs="宋体"/>
          <w:color w:val="auto"/>
          <w:kern w:val="2"/>
          <w:sz w:val="21"/>
          <w:szCs w:val="21"/>
          <w:highlight w:val="none"/>
          <w:lang w:val="en-US" w:eastAsia="zh-CN" w:bidi="ar-SA"/>
        </w:rPr>
        <w:t>，从业人员</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人，营业收入为</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万元，资产总额为</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万元，属于</w:t>
      </w:r>
      <w:r>
        <w:rPr>
          <w:rFonts w:hint="eastAsia" w:ascii="宋体" w:hAnsi="宋体" w:eastAsia="宋体" w:cs="宋体"/>
          <w:color w:val="auto"/>
          <w:kern w:val="2"/>
          <w:sz w:val="21"/>
          <w:szCs w:val="21"/>
          <w:highlight w:val="none"/>
          <w:u w:val="single"/>
          <w:lang w:val="en-US" w:eastAsia="zh-CN" w:bidi="ar-SA"/>
        </w:rPr>
        <w:t>（中型企业、小型企业、微型企业）</w:t>
      </w:r>
      <w:r>
        <w:rPr>
          <w:rFonts w:hint="eastAsia" w:ascii="宋体" w:hAnsi="宋体" w:eastAsia="宋体" w:cs="宋体"/>
          <w:color w:val="auto"/>
          <w:kern w:val="2"/>
          <w:sz w:val="21"/>
          <w:szCs w:val="21"/>
          <w:highlight w:val="none"/>
          <w:lang w:val="en-US" w:eastAsia="zh-CN" w:bidi="ar-SA"/>
        </w:rPr>
        <w:t>；</w:t>
      </w:r>
    </w:p>
    <w:p w14:paraId="43C2904F">
      <w:pPr>
        <w:pStyle w:val="12"/>
        <w:pageBreakBefore w:val="0"/>
        <w:overflowPunct/>
        <w:topLinePunct w:val="0"/>
        <w:bidi w:val="0"/>
        <w:spacing w:before="16" w:line="360" w:lineRule="auto"/>
        <w:ind w:left="46" w:right="86" w:firstLine="666"/>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以上企业，不属于大企业的分支机构，不存</w:t>
      </w:r>
      <w:r>
        <w:rPr>
          <w:rFonts w:hint="eastAsia" w:ascii="宋体" w:hAnsi="宋体" w:eastAsia="宋体" w:cs="宋体"/>
          <w:color w:val="auto"/>
          <w:spacing w:val="6"/>
          <w:sz w:val="21"/>
          <w:szCs w:val="21"/>
          <w:highlight w:val="none"/>
        </w:rPr>
        <w:t>在控股股东</w:t>
      </w:r>
      <w:r>
        <w:rPr>
          <w:rFonts w:hint="eastAsia" w:ascii="宋体" w:hAnsi="宋体" w:eastAsia="宋体" w:cs="宋体"/>
          <w:color w:val="auto"/>
          <w:spacing w:val="8"/>
          <w:sz w:val="21"/>
          <w:szCs w:val="21"/>
          <w:highlight w:val="none"/>
        </w:rPr>
        <w:t>为大企业的情形，也不存在与大企业的负责人为同一人的情</w:t>
      </w:r>
      <w:r>
        <w:rPr>
          <w:rFonts w:hint="eastAsia" w:ascii="宋体" w:hAnsi="宋体" w:eastAsia="宋体" w:cs="宋体"/>
          <w:color w:val="auto"/>
          <w:spacing w:val="-7"/>
          <w:sz w:val="21"/>
          <w:szCs w:val="21"/>
          <w:highlight w:val="none"/>
        </w:rPr>
        <w:t>形。</w:t>
      </w:r>
    </w:p>
    <w:p w14:paraId="468EC171">
      <w:pPr>
        <w:pStyle w:val="12"/>
        <w:pageBreakBefore w:val="0"/>
        <w:overflowPunct/>
        <w:topLinePunct w:val="0"/>
        <w:bidi w:val="0"/>
        <w:spacing w:before="135" w:line="360" w:lineRule="auto"/>
        <w:ind w:left="677"/>
        <w:rPr>
          <w:rFonts w:hint="eastAsia" w:ascii="宋体" w:hAnsi="宋体" w:eastAsia="宋体" w:cs="宋体"/>
          <w:color w:val="auto"/>
          <w:spacing w:val="8"/>
          <w:position w:val="14"/>
          <w:sz w:val="21"/>
          <w:szCs w:val="21"/>
          <w:highlight w:val="none"/>
        </w:rPr>
      </w:pPr>
      <w:r>
        <w:rPr>
          <w:rFonts w:hint="eastAsia" w:ascii="宋体" w:hAnsi="宋体" w:eastAsia="宋体" w:cs="宋体"/>
          <w:color w:val="auto"/>
          <w:spacing w:val="8"/>
          <w:position w:val="14"/>
          <w:sz w:val="21"/>
          <w:szCs w:val="21"/>
          <w:highlight w:val="none"/>
        </w:rPr>
        <w:t>本企业对上述声明内容的真实性负责。如有虚假，将依法承担相应责任。</w:t>
      </w:r>
    </w:p>
    <w:p w14:paraId="7E64333F">
      <w:pPr>
        <w:pStyle w:val="12"/>
        <w:pageBreakBefore w:val="0"/>
        <w:overflowPunct/>
        <w:topLinePunct w:val="0"/>
        <w:bidi w:val="0"/>
        <w:spacing w:before="16" w:line="360" w:lineRule="auto"/>
        <w:ind w:left="46" w:right="86" w:firstLine="666"/>
        <w:jc w:val="center"/>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lang w:val="en-US" w:eastAsia="zh-CN"/>
        </w:rPr>
        <w:t xml:space="preserve">                     </w:t>
      </w:r>
      <w:r>
        <w:rPr>
          <w:rFonts w:hint="eastAsia" w:ascii="宋体" w:hAnsi="宋体" w:eastAsia="宋体" w:cs="宋体"/>
          <w:color w:val="auto"/>
          <w:spacing w:val="7"/>
          <w:sz w:val="21"/>
          <w:szCs w:val="21"/>
          <w:highlight w:val="none"/>
        </w:rPr>
        <w:t>企业名称（盖章）：</w:t>
      </w:r>
      <w:r>
        <w:rPr>
          <w:rFonts w:hint="eastAsia" w:ascii="宋体" w:hAnsi="宋体" w:eastAsia="宋体" w:cs="宋体"/>
          <w:color w:val="auto"/>
          <w:kern w:val="2"/>
          <w:sz w:val="21"/>
          <w:szCs w:val="21"/>
          <w:highlight w:val="none"/>
          <w:u w:val="single"/>
          <w:lang w:val="en-US" w:eastAsia="zh-CN" w:bidi="ar-SA"/>
        </w:rPr>
        <w:t xml:space="preserve">                     </w:t>
      </w:r>
    </w:p>
    <w:p w14:paraId="7FBC8EA2">
      <w:pPr>
        <w:pStyle w:val="12"/>
        <w:pageBreakBefore w:val="0"/>
        <w:overflowPunct/>
        <w:topLinePunct w:val="0"/>
        <w:bidi w:val="0"/>
        <w:spacing w:before="16" w:line="360" w:lineRule="auto"/>
        <w:ind w:left="46" w:right="86" w:firstLine="666"/>
        <w:jc w:val="center"/>
        <w:rPr>
          <w:rFonts w:hint="eastAsia" w:ascii="宋体" w:hAnsi="宋体" w:eastAsia="宋体" w:cs="宋体"/>
          <w:color w:val="auto"/>
          <w:spacing w:val="7"/>
          <w:sz w:val="21"/>
          <w:szCs w:val="21"/>
          <w:highlight w:val="none"/>
        </w:rPr>
      </w:pPr>
      <w:bookmarkStart w:id="1405" w:name="bookmark2"/>
      <w:bookmarkEnd w:id="1405"/>
      <w:r>
        <w:rPr>
          <w:rFonts w:hint="eastAsia" w:ascii="宋体" w:hAnsi="宋体" w:eastAsia="宋体" w:cs="宋体"/>
          <w:color w:val="auto"/>
          <w:spacing w:val="7"/>
          <w:sz w:val="21"/>
          <w:szCs w:val="21"/>
          <w:highlight w:val="none"/>
          <w:lang w:val="en-US" w:eastAsia="zh-CN"/>
        </w:rPr>
        <w:t xml:space="preserve">                                </w:t>
      </w:r>
      <w:r>
        <w:rPr>
          <w:rFonts w:hint="eastAsia" w:ascii="宋体" w:hAnsi="宋体" w:eastAsia="宋体" w:cs="宋体"/>
          <w:color w:val="auto"/>
          <w:spacing w:val="7"/>
          <w:sz w:val="21"/>
          <w:szCs w:val="21"/>
          <w:highlight w:val="none"/>
        </w:rPr>
        <w:t>日期：</w:t>
      </w:r>
    </w:p>
    <w:p w14:paraId="6954B7A8">
      <w:pPr>
        <w:pStyle w:val="12"/>
        <w:pageBreakBefore w:val="0"/>
        <w:overflowPunct/>
        <w:topLinePunct w:val="0"/>
        <w:bidi w:val="0"/>
        <w:spacing w:before="16" w:line="360" w:lineRule="auto"/>
        <w:ind w:left="46" w:right="86" w:firstLine="666"/>
        <w:rPr>
          <w:rFonts w:hint="eastAsia" w:ascii="宋体" w:hAnsi="宋体" w:eastAsia="宋体" w:cs="宋体"/>
          <w:color w:val="auto"/>
          <w:spacing w:val="7"/>
          <w:sz w:val="21"/>
          <w:szCs w:val="21"/>
          <w:highlight w:val="none"/>
          <w:lang w:val="en-US" w:eastAsia="zh-CN"/>
        </w:rPr>
      </w:pPr>
    </w:p>
    <w:p w14:paraId="56D37F65">
      <w:pPr>
        <w:pageBreakBefore w:val="0"/>
        <w:widowControl w:val="0"/>
        <w:overflowPunct/>
        <w:topLinePunct w:val="0"/>
        <w:bidi w:val="0"/>
        <w:spacing w:line="360" w:lineRule="auto"/>
        <w:ind w:firstLine="420" w:firstLineChars="200"/>
        <w:jc w:val="both"/>
        <w:rPr>
          <w:rFonts w:hint="eastAsia" w:ascii="宋体" w:hAnsi="宋体" w:eastAsia="宋体" w:cs="宋体"/>
          <w:b/>
          <w:color w:val="auto"/>
          <w:kern w:val="2"/>
          <w:sz w:val="21"/>
          <w:szCs w:val="21"/>
          <w:highlight w:val="none"/>
          <w:lang w:val="en-US" w:eastAsia="zh-CN" w:bidi="ar-SA"/>
        </w:rPr>
      </w:pPr>
    </w:p>
    <w:p w14:paraId="352ECC99">
      <w:pPr>
        <w:keepNext w:val="0"/>
        <w:keepLines w:val="0"/>
        <w:pageBreakBefore w:val="0"/>
        <w:widowControl/>
        <w:suppressLineNumbers w:val="0"/>
        <w:overflowPunct/>
        <w:topLinePunct w:val="0"/>
        <w:bidi w:val="0"/>
        <w:spacing w:line="360" w:lineRule="auto"/>
        <w:ind w:firstLine="420" w:firstLineChars="200"/>
        <w:jc w:val="left"/>
        <w:rPr>
          <w:rFonts w:hint="eastAsia" w:ascii="宋体" w:hAnsi="宋体" w:eastAsia="宋体" w:cs="宋体"/>
          <w:b/>
          <w:bCs/>
          <w:color w:val="auto"/>
          <w:kern w:val="2"/>
          <w:sz w:val="21"/>
          <w:szCs w:val="20"/>
          <w:highlight w:val="none"/>
          <w:lang w:val="en-US" w:eastAsia="zh-CN" w:bidi="ar-SA"/>
        </w:rPr>
      </w:pPr>
      <w:r>
        <w:rPr>
          <w:rFonts w:hint="eastAsia" w:ascii="宋体" w:hAnsi="宋体" w:eastAsia="宋体" w:cs="宋体"/>
          <w:b/>
          <w:bCs/>
          <w:color w:val="auto"/>
          <w:kern w:val="2"/>
          <w:sz w:val="21"/>
          <w:szCs w:val="20"/>
          <w:highlight w:val="none"/>
          <w:lang w:val="en-US" w:eastAsia="zh-CN" w:bidi="ar-SA"/>
        </w:rPr>
        <w:t>说明：</w:t>
      </w:r>
    </w:p>
    <w:p w14:paraId="2E2AE87C">
      <w:pPr>
        <w:keepNext w:val="0"/>
        <w:keepLines w:val="0"/>
        <w:pageBreakBefore w:val="0"/>
        <w:widowControl/>
        <w:suppressLineNumbers w:val="0"/>
        <w:overflowPunct/>
        <w:topLinePunct w:val="0"/>
        <w:bidi w:val="0"/>
        <w:spacing w:line="360" w:lineRule="auto"/>
        <w:ind w:firstLine="420" w:firstLineChars="200"/>
        <w:jc w:val="left"/>
        <w:rPr>
          <w:rFonts w:hint="eastAsia" w:ascii="宋体" w:hAnsi="宋体" w:eastAsia="宋体" w:cs="宋体"/>
          <w:b/>
          <w:bCs/>
          <w:color w:val="auto"/>
          <w:kern w:val="2"/>
          <w:sz w:val="21"/>
          <w:szCs w:val="20"/>
          <w:highlight w:val="none"/>
          <w:lang w:val="en-US" w:eastAsia="zh-CN" w:bidi="ar-SA"/>
        </w:rPr>
      </w:pPr>
      <w:r>
        <w:rPr>
          <w:rFonts w:hint="eastAsia" w:ascii="宋体" w:hAnsi="宋体" w:eastAsia="宋体" w:cs="宋体"/>
          <w:b/>
          <w:bCs/>
          <w:color w:val="auto"/>
          <w:kern w:val="2"/>
          <w:sz w:val="21"/>
          <w:szCs w:val="20"/>
          <w:highlight w:val="none"/>
          <w:lang w:val="en-US" w:eastAsia="zh-CN" w:bidi="ar-SA"/>
        </w:rPr>
        <w:t>1.从业人员、营业收入、资产总额填报上一年度数据，无上一年度数据的新成立公司可不填报。</w:t>
      </w:r>
    </w:p>
    <w:p w14:paraId="21741439">
      <w:pPr>
        <w:keepNext w:val="0"/>
        <w:keepLines w:val="0"/>
        <w:pageBreakBefore w:val="0"/>
        <w:widowControl/>
        <w:suppressLineNumbers w:val="0"/>
        <w:overflowPunct/>
        <w:topLinePunct w:val="0"/>
        <w:bidi w:val="0"/>
        <w:spacing w:line="360" w:lineRule="auto"/>
        <w:ind w:firstLine="420" w:firstLineChars="200"/>
        <w:jc w:val="left"/>
        <w:rPr>
          <w:rFonts w:hint="eastAsia" w:ascii="宋体" w:hAnsi="宋体" w:eastAsia="宋体" w:cs="宋体"/>
          <w:b/>
          <w:bCs/>
          <w:color w:val="auto"/>
          <w:kern w:val="2"/>
          <w:sz w:val="21"/>
          <w:szCs w:val="20"/>
          <w:highlight w:val="none"/>
          <w:lang w:val="en-US" w:eastAsia="zh-CN" w:bidi="ar-SA"/>
        </w:rPr>
      </w:pPr>
      <w:r>
        <w:rPr>
          <w:rFonts w:hint="eastAsia" w:ascii="宋体" w:hAnsi="宋体" w:eastAsia="宋体" w:cs="宋体"/>
          <w:b/>
          <w:bCs/>
          <w:color w:val="auto"/>
          <w:kern w:val="2"/>
          <w:sz w:val="21"/>
          <w:szCs w:val="20"/>
          <w:highlight w:val="none"/>
          <w:lang w:val="en-US" w:eastAsia="zh-CN" w:bidi="ar-SA"/>
        </w:rPr>
        <w:t xml:space="preserve">2.参加政府采购活动的小型、微型企业应当提供《中小企业声明函》。成交供应商的《中小企业声明函》随成交结果一并公告。 </w:t>
      </w:r>
    </w:p>
    <w:p w14:paraId="1056EEE3">
      <w:pPr>
        <w:pageBreakBefore w:val="0"/>
        <w:widowControl w:val="0"/>
        <w:overflowPunct/>
        <w:topLinePunct w:val="0"/>
        <w:bidi w:val="0"/>
        <w:spacing w:line="360" w:lineRule="auto"/>
        <w:ind w:firstLine="420" w:firstLineChars="200"/>
        <w:jc w:val="both"/>
        <w:rPr>
          <w:rFonts w:hint="eastAsia" w:ascii="宋体" w:hAnsi="宋体" w:eastAsia="宋体" w:cs="宋体"/>
          <w:b/>
          <w:color w:val="auto"/>
          <w:kern w:val="2"/>
          <w:sz w:val="21"/>
          <w:szCs w:val="21"/>
          <w:highlight w:val="none"/>
          <w:lang w:val="en-US" w:eastAsia="zh-CN" w:bidi="ar-SA"/>
        </w:rPr>
      </w:pPr>
    </w:p>
    <w:p w14:paraId="5A0FE587">
      <w:pPr>
        <w:pageBreakBefore w:val="0"/>
        <w:widowControl w:val="0"/>
        <w:overflowPunct/>
        <w:topLinePunct w:val="0"/>
        <w:bidi w:val="0"/>
        <w:spacing w:line="360" w:lineRule="auto"/>
        <w:ind w:firstLine="420" w:firstLineChars="200"/>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br w:type="page"/>
      </w:r>
    </w:p>
    <w:p w14:paraId="7B68FCD5">
      <w:pPr>
        <w:pageBreakBefore w:val="0"/>
        <w:widowControl w:val="0"/>
        <w:overflowPunct/>
        <w:topLinePunct w:val="0"/>
        <w:bidi w:val="0"/>
        <w:spacing w:line="360" w:lineRule="auto"/>
        <w:jc w:val="both"/>
        <w:outlineLvl w:val="4"/>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0"/>
          <w:highlight w:val="none"/>
          <w:lang w:val="en-US" w:eastAsia="zh-CN" w:bidi="ar-SA"/>
        </w:rPr>
        <w:t>附件2：</w:t>
      </w:r>
      <w:r>
        <w:rPr>
          <w:rFonts w:hint="eastAsia" w:ascii="宋体" w:hAnsi="宋体" w:eastAsia="宋体" w:cs="宋体"/>
          <w:b/>
          <w:color w:val="auto"/>
          <w:kern w:val="2"/>
          <w:sz w:val="21"/>
          <w:szCs w:val="21"/>
          <w:highlight w:val="none"/>
          <w:lang w:val="en-US" w:eastAsia="zh-CN" w:bidi="ar-SA"/>
        </w:rPr>
        <w:t>监狱企业证明文件</w:t>
      </w:r>
    </w:p>
    <w:p w14:paraId="102EF182">
      <w:pPr>
        <w:pageBreakBefore w:val="0"/>
        <w:widowControl w:val="0"/>
        <w:overflowPunct/>
        <w:topLinePunct w:val="0"/>
        <w:bidi w:val="0"/>
        <w:spacing w:line="360" w:lineRule="auto"/>
        <w:ind w:firstLine="420" w:firstLineChars="200"/>
        <w:jc w:val="both"/>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1D8611D5">
      <w:pPr>
        <w:pageBreakBefore w:val="0"/>
        <w:widowControl w:val="0"/>
        <w:overflowPunct/>
        <w:topLinePunct w:val="0"/>
        <w:bidi w:val="0"/>
        <w:spacing w:line="360" w:lineRule="auto"/>
        <w:ind w:firstLine="420" w:firstLineChars="200"/>
        <w:jc w:val="both"/>
        <w:rPr>
          <w:rFonts w:hint="eastAsia" w:ascii="宋体" w:hAnsi="宋体" w:eastAsia="宋体" w:cs="宋体"/>
          <w:b/>
          <w:color w:val="auto"/>
          <w:kern w:val="2"/>
          <w:sz w:val="21"/>
          <w:szCs w:val="21"/>
          <w:highlight w:val="none"/>
          <w:lang w:val="en-US" w:eastAsia="zh-CN" w:bidi="ar-SA"/>
        </w:rPr>
      </w:pPr>
    </w:p>
    <w:p w14:paraId="0C72B562">
      <w:pPr>
        <w:pageBreakBefore w:val="0"/>
        <w:widowControl w:val="0"/>
        <w:overflowPunct/>
        <w:topLinePunct w:val="0"/>
        <w:bidi w:val="0"/>
        <w:spacing w:line="360" w:lineRule="auto"/>
        <w:ind w:firstLine="420" w:firstLineChars="200"/>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说明：中标供应商的监狱企业证明文件随中标结果一并公告。</w:t>
      </w:r>
    </w:p>
    <w:p w14:paraId="56B069AE">
      <w:pPr>
        <w:pageBreakBefore w:val="0"/>
        <w:widowControl w:val="0"/>
        <w:overflowPunct/>
        <w:topLinePunct w:val="0"/>
        <w:bidi w:val="0"/>
        <w:spacing w:line="360" w:lineRule="auto"/>
        <w:ind w:firstLine="420" w:firstLineChars="200"/>
        <w:jc w:val="both"/>
        <w:rPr>
          <w:rFonts w:hint="eastAsia" w:ascii="宋体" w:hAnsi="宋体" w:eastAsia="宋体" w:cs="宋体"/>
          <w:b/>
          <w:color w:val="auto"/>
          <w:kern w:val="2"/>
          <w:sz w:val="21"/>
          <w:szCs w:val="21"/>
          <w:highlight w:val="none"/>
          <w:lang w:val="en-US" w:eastAsia="zh-CN" w:bidi="ar-SA"/>
        </w:rPr>
      </w:pPr>
    </w:p>
    <w:p w14:paraId="6B8E80A2">
      <w:pPr>
        <w:pageBreakBefore w:val="0"/>
        <w:widowControl w:val="0"/>
        <w:overflowPunct/>
        <w:topLinePunct w:val="0"/>
        <w:bidi w:val="0"/>
        <w:spacing w:line="360" w:lineRule="auto"/>
        <w:jc w:val="both"/>
        <w:outlineLvl w:val="9"/>
        <w:rPr>
          <w:rFonts w:hint="eastAsia" w:ascii="宋体" w:hAnsi="宋体" w:eastAsia="宋体" w:cs="宋体"/>
          <w:b/>
          <w:color w:val="auto"/>
          <w:kern w:val="2"/>
          <w:sz w:val="21"/>
          <w:szCs w:val="20"/>
          <w:highlight w:val="none"/>
          <w:lang w:val="en-US" w:eastAsia="zh-CN" w:bidi="ar-SA"/>
        </w:rPr>
      </w:pPr>
      <w:r>
        <w:rPr>
          <w:rFonts w:hint="eastAsia" w:ascii="宋体" w:hAnsi="宋体" w:eastAsia="宋体" w:cs="宋体"/>
          <w:b/>
          <w:color w:val="auto"/>
          <w:kern w:val="2"/>
          <w:sz w:val="21"/>
          <w:szCs w:val="20"/>
          <w:highlight w:val="none"/>
          <w:lang w:val="en-US" w:eastAsia="zh-CN" w:bidi="ar-SA"/>
        </w:rPr>
        <w:br w:type="page"/>
      </w:r>
    </w:p>
    <w:p w14:paraId="705F19E6">
      <w:pPr>
        <w:pageBreakBefore w:val="0"/>
        <w:widowControl w:val="0"/>
        <w:overflowPunct/>
        <w:topLinePunct w:val="0"/>
        <w:bidi w:val="0"/>
        <w:spacing w:line="360" w:lineRule="auto"/>
        <w:jc w:val="both"/>
        <w:outlineLvl w:val="4"/>
        <w:rPr>
          <w:rFonts w:hint="eastAsia" w:ascii="宋体" w:hAnsi="宋体" w:eastAsia="宋体" w:cs="宋体"/>
          <w:b/>
          <w:color w:val="auto"/>
          <w:kern w:val="2"/>
          <w:sz w:val="21"/>
          <w:szCs w:val="20"/>
          <w:highlight w:val="none"/>
          <w:lang w:val="en-US" w:eastAsia="zh-CN" w:bidi="ar-SA"/>
        </w:rPr>
      </w:pPr>
      <w:r>
        <w:rPr>
          <w:rFonts w:hint="eastAsia" w:ascii="宋体" w:hAnsi="宋体" w:eastAsia="宋体" w:cs="宋体"/>
          <w:b/>
          <w:color w:val="auto"/>
          <w:kern w:val="2"/>
          <w:sz w:val="21"/>
          <w:szCs w:val="20"/>
          <w:highlight w:val="none"/>
          <w:lang w:val="en-US" w:eastAsia="zh-CN" w:bidi="ar-SA"/>
        </w:rPr>
        <w:t>附件3：残疾人福利性单位声明函（格式）</w:t>
      </w:r>
    </w:p>
    <w:p w14:paraId="272C449E">
      <w:pPr>
        <w:pageBreakBefore w:val="0"/>
        <w:widowControl w:val="0"/>
        <w:overflowPunct/>
        <w:topLinePunct w:val="0"/>
        <w:bidi w:val="0"/>
        <w:spacing w:line="360" w:lineRule="auto"/>
        <w:ind w:left="0" w:leftChars="0" w:firstLine="0" w:firstLineChars="0"/>
        <w:jc w:val="both"/>
        <w:rPr>
          <w:rFonts w:hint="eastAsia" w:ascii="宋体" w:hAnsi="宋体" w:eastAsia="宋体" w:cs="宋体"/>
          <w:b/>
          <w:color w:val="auto"/>
          <w:kern w:val="2"/>
          <w:sz w:val="32"/>
          <w:szCs w:val="20"/>
          <w:highlight w:val="none"/>
          <w:lang w:val="en-US" w:eastAsia="zh-CN" w:bidi="ar-SA"/>
        </w:rPr>
      </w:pPr>
    </w:p>
    <w:p w14:paraId="778A1877">
      <w:pPr>
        <w:pageBreakBefore w:val="0"/>
        <w:widowControl w:val="0"/>
        <w:overflowPunct/>
        <w:topLinePunct w:val="0"/>
        <w:bidi w:val="0"/>
        <w:spacing w:line="360" w:lineRule="auto"/>
        <w:jc w:val="center"/>
        <w:rPr>
          <w:rFonts w:hint="eastAsia" w:ascii="宋体" w:hAnsi="宋体" w:eastAsia="宋体" w:cs="宋体"/>
          <w:b/>
          <w:color w:val="auto"/>
          <w:kern w:val="2"/>
          <w:sz w:val="30"/>
          <w:szCs w:val="30"/>
          <w:highlight w:val="none"/>
          <w:lang w:val="en-US" w:eastAsia="zh-CN" w:bidi="ar-SA"/>
        </w:rPr>
      </w:pPr>
      <w:bookmarkStart w:id="1406" w:name="OLE_LINK13"/>
      <w:bookmarkStart w:id="1407" w:name="OLE_LINK14"/>
      <w:r>
        <w:rPr>
          <w:rFonts w:hint="eastAsia" w:ascii="宋体" w:hAnsi="宋体" w:eastAsia="宋体" w:cs="宋体"/>
          <w:b/>
          <w:color w:val="auto"/>
          <w:kern w:val="2"/>
          <w:sz w:val="30"/>
          <w:szCs w:val="30"/>
          <w:highlight w:val="none"/>
          <w:lang w:val="en-US" w:eastAsia="zh-CN" w:bidi="ar-SA"/>
        </w:rPr>
        <w:t>残疾人福利性单位声明函（格式）</w:t>
      </w:r>
    </w:p>
    <w:bookmarkEnd w:id="1406"/>
    <w:bookmarkEnd w:id="1407"/>
    <w:p w14:paraId="2FDD1643">
      <w:pPr>
        <w:pageBreakBefore w:val="0"/>
        <w:overflowPunct/>
        <w:topLinePunct w:val="0"/>
        <w:bidi w:val="0"/>
        <w:spacing w:line="360" w:lineRule="auto"/>
        <w:rPr>
          <w:rFonts w:hint="eastAsia" w:ascii="宋体" w:hAnsi="宋体" w:eastAsia="宋体" w:cs="宋体"/>
          <w:b/>
          <w:color w:val="auto"/>
          <w:spacing w:val="6"/>
          <w:sz w:val="30"/>
          <w:szCs w:val="30"/>
          <w:highlight w:val="none"/>
        </w:rPr>
      </w:pPr>
    </w:p>
    <w:p w14:paraId="69EBBDCB">
      <w:pPr>
        <w:pageBreakBefore w:val="0"/>
        <w:overflowPunct/>
        <w:topLinePunct w:val="0"/>
        <w:bidi w:val="0"/>
        <w:spacing w:line="360" w:lineRule="auto"/>
        <w:ind w:firstLine="444" w:firstLineChars="200"/>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本单位郑重声明，根据《财政部 民政部 中国残疾人联合会关于促进残疾人就业政府采购政策的通知》（财库</w:t>
      </w:r>
      <w:r>
        <w:rPr>
          <w:rFonts w:hint="eastAsia" w:ascii="宋体" w:hAnsi="宋体" w:eastAsia="宋体" w:cs="宋体"/>
          <w:color w:val="auto"/>
          <w:szCs w:val="21"/>
          <w:highlight w:val="none"/>
        </w:rPr>
        <w:t>〔2017〕 141</w:t>
      </w:r>
      <w:r>
        <w:rPr>
          <w:rFonts w:hint="eastAsia" w:ascii="宋体" w:hAnsi="宋体" w:eastAsia="宋体" w:cs="宋体"/>
          <w:color w:val="auto"/>
          <w:spacing w:val="6"/>
          <w:szCs w:val="21"/>
          <w:highlight w:val="none"/>
        </w:rPr>
        <w:t>号）的规定，本单位为符合条件的残疾人福利性单位，且本单位参加</w:t>
      </w:r>
      <w:r>
        <w:rPr>
          <w:rFonts w:hint="eastAsia" w:ascii="宋体" w:hAnsi="宋体" w:eastAsia="宋体" w:cs="宋体"/>
          <w:color w:val="auto"/>
          <w:spacing w:val="6"/>
          <w:szCs w:val="21"/>
          <w:highlight w:val="none"/>
          <w:u w:val="single"/>
        </w:rPr>
        <w:t xml:space="preserve">     （采购人名称）     </w:t>
      </w:r>
      <w:r>
        <w:rPr>
          <w:rFonts w:hint="eastAsia" w:ascii="宋体" w:hAnsi="宋体" w:eastAsia="宋体" w:cs="宋体"/>
          <w:color w:val="auto"/>
          <w:spacing w:val="6"/>
          <w:szCs w:val="21"/>
          <w:highlight w:val="none"/>
        </w:rPr>
        <w:t>的</w:t>
      </w:r>
      <w:r>
        <w:rPr>
          <w:rFonts w:hint="eastAsia" w:ascii="宋体" w:hAnsi="宋体" w:eastAsia="宋体" w:cs="宋体"/>
          <w:color w:val="auto"/>
          <w:spacing w:val="6"/>
          <w:szCs w:val="21"/>
          <w:highlight w:val="none"/>
          <w:u w:val="single"/>
        </w:rPr>
        <w:t xml:space="preserve">    （项目名称）     </w:t>
      </w:r>
      <w:r>
        <w:rPr>
          <w:rFonts w:hint="eastAsia" w:ascii="宋体" w:hAnsi="宋体" w:eastAsia="宋体" w:cs="宋体"/>
          <w:color w:val="auto"/>
          <w:spacing w:val="6"/>
          <w:szCs w:val="21"/>
          <w:highlight w:val="none"/>
        </w:rPr>
        <w:t>采购活动提供本单位制造的货物，或者提供其他残疾人福利性单位制造的货物（不包括使用非残疾人福利性单位注册商标的货物）。</w:t>
      </w:r>
    </w:p>
    <w:p w14:paraId="27A12199">
      <w:pPr>
        <w:pageBreakBefore w:val="0"/>
        <w:overflowPunct/>
        <w:topLinePunct w:val="0"/>
        <w:bidi w:val="0"/>
        <w:spacing w:line="360" w:lineRule="auto"/>
        <w:ind w:firstLine="444" w:firstLineChars="200"/>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本单位对上述声明的真实性负责。如有虚假，将依法承担相应责任。</w:t>
      </w:r>
    </w:p>
    <w:p w14:paraId="61298E79">
      <w:pPr>
        <w:pageBreakBefore w:val="0"/>
        <w:overflowPunct/>
        <w:topLinePunct w:val="0"/>
        <w:bidi w:val="0"/>
        <w:spacing w:line="360" w:lineRule="auto"/>
        <w:ind w:firstLine="444" w:firstLineChars="200"/>
        <w:rPr>
          <w:rFonts w:hint="eastAsia" w:ascii="宋体" w:hAnsi="宋体" w:eastAsia="宋体" w:cs="宋体"/>
          <w:color w:val="auto"/>
          <w:spacing w:val="6"/>
          <w:szCs w:val="21"/>
          <w:highlight w:val="none"/>
        </w:rPr>
      </w:pPr>
    </w:p>
    <w:p w14:paraId="2F7ADBA9">
      <w:pPr>
        <w:pageBreakBefore w:val="0"/>
        <w:overflowPunct/>
        <w:topLinePunct w:val="0"/>
        <w:bidi w:val="0"/>
        <w:spacing w:line="360" w:lineRule="auto"/>
        <w:ind w:firstLine="444" w:firstLineChars="200"/>
        <w:rPr>
          <w:rFonts w:hint="eastAsia" w:ascii="宋体" w:hAnsi="宋体" w:eastAsia="宋体" w:cs="宋体"/>
          <w:color w:val="auto"/>
          <w:spacing w:val="6"/>
          <w:szCs w:val="21"/>
          <w:highlight w:val="none"/>
        </w:rPr>
      </w:pPr>
    </w:p>
    <w:p w14:paraId="5365BFBB">
      <w:pPr>
        <w:pageBreakBefore w:val="0"/>
        <w:widowControl w:val="0"/>
        <w:overflowPunct/>
        <w:topLinePunct w:val="0"/>
        <w:bidi w:val="0"/>
        <w:spacing w:line="360" w:lineRule="auto"/>
        <w:ind w:firstLine="2940" w:firstLineChars="1400"/>
        <w:jc w:val="both"/>
        <w:rPr>
          <w:rFonts w:hint="eastAsia"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单位名称（公章或电子签章）：</w:t>
      </w:r>
      <w:r>
        <w:rPr>
          <w:rFonts w:hint="eastAsia" w:ascii="宋体" w:hAnsi="宋体" w:eastAsia="宋体" w:cs="宋体"/>
          <w:color w:val="auto"/>
          <w:kern w:val="2"/>
          <w:sz w:val="21"/>
          <w:szCs w:val="21"/>
          <w:highlight w:val="none"/>
          <w:u w:val="single"/>
          <w:lang w:val="en-US" w:eastAsia="zh-CN" w:bidi="ar-SA"/>
        </w:rPr>
        <w:t xml:space="preserve">                                    </w:t>
      </w:r>
    </w:p>
    <w:p w14:paraId="2EE260E7">
      <w:pPr>
        <w:pageBreakBefore w:val="0"/>
        <w:widowControl w:val="0"/>
        <w:overflowPunct/>
        <w:topLinePunct w:val="0"/>
        <w:bidi w:val="0"/>
        <w:spacing w:line="360" w:lineRule="auto"/>
        <w:ind w:firstLine="2940" w:firstLineChars="1400"/>
        <w:jc w:val="both"/>
        <w:rPr>
          <w:rFonts w:hint="eastAsia" w:ascii="宋体" w:hAnsi="宋体" w:eastAsia="宋体" w:cs="宋体"/>
          <w:b/>
          <w:bCs/>
          <w:color w:val="auto"/>
          <w:kern w:val="2"/>
          <w:sz w:val="21"/>
          <w:szCs w:val="28"/>
          <w:highlight w:val="none"/>
          <w:lang w:val="en-US" w:eastAsia="zh-CN" w:bidi="ar-SA"/>
        </w:rPr>
      </w:pPr>
      <w:r>
        <w:rPr>
          <w:rFonts w:hint="eastAsia" w:ascii="宋体" w:hAnsi="宋体" w:eastAsia="宋体" w:cs="宋体"/>
          <w:color w:val="auto"/>
          <w:kern w:val="2"/>
          <w:sz w:val="21"/>
          <w:szCs w:val="21"/>
          <w:highlight w:val="none"/>
          <w:lang w:val="en-US" w:eastAsia="zh-CN" w:bidi="ar-SA"/>
        </w:rPr>
        <w:t>日  期：</w:t>
      </w:r>
      <w:r>
        <w:rPr>
          <w:rFonts w:hint="eastAsia" w:ascii="宋体" w:hAnsi="宋体" w:eastAsia="宋体" w:cs="宋体"/>
          <w:color w:val="auto"/>
          <w:kern w:val="2"/>
          <w:sz w:val="21"/>
          <w:szCs w:val="21"/>
          <w:highlight w:val="none"/>
          <w:u w:val="single"/>
          <w:lang w:val="en-US" w:eastAsia="zh-CN" w:bidi="ar-SA"/>
        </w:rPr>
        <w:t xml:space="preserve">      年   月   日</w:t>
      </w:r>
    </w:p>
    <w:p w14:paraId="62536E65">
      <w:pPr>
        <w:pageBreakBefore w:val="0"/>
        <w:widowControl w:val="0"/>
        <w:overflowPunct/>
        <w:topLinePunct w:val="0"/>
        <w:bidi w:val="0"/>
        <w:spacing w:line="360" w:lineRule="auto"/>
        <w:jc w:val="both"/>
        <w:rPr>
          <w:rFonts w:hint="eastAsia" w:ascii="宋体" w:hAnsi="宋体" w:eastAsia="宋体" w:cs="宋体"/>
          <w:color w:val="auto"/>
          <w:kern w:val="2"/>
          <w:sz w:val="21"/>
          <w:szCs w:val="21"/>
          <w:highlight w:val="none"/>
          <w:u w:val="single"/>
          <w:lang w:val="en-US" w:eastAsia="zh-CN" w:bidi="ar-SA"/>
        </w:rPr>
      </w:pPr>
    </w:p>
    <w:p w14:paraId="1029A43F">
      <w:pPr>
        <w:keepNext w:val="0"/>
        <w:keepLines w:val="0"/>
        <w:pageBreakBefore w:val="0"/>
        <w:widowControl/>
        <w:suppressLineNumbers w:val="0"/>
        <w:overflowPunct/>
        <w:topLinePunct w:val="0"/>
        <w:bidi w:val="0"/>
        <w:spacing w:line="360" w:lineRule="auto"/>
        <w:ind w:firstLine="420" w:firstLineChars="200"/>
        <w:jc w:val="left"/>
        <w:rPr>
          <w:rFonts w:hint="eastAsia" w:ascii="宋体" w:hAnsi="宋体" w:eastAsia="宋体" w:cs="宋体"/>
          <w:b/>
          <w:bCs/>
          <w:color w:val="auto"/>
          <w:kern w:val="2"/>
          <w:sz w:val="21"/>
          <w:szCs w:val="20"/>
          <w:highlight w:val="none"/>
          <w:lang w:val="en-US" w:eastAsia="zh-CN" w:bidi="ar-SA"/>
        </w:rPr>
      </w:pPr>
    </w:p>
    <w:p w14:paraId="1C1E9EB9">
      <w:pPr>
        <w:keepNext w:val="0"/>
        <w:keepLines w:val="0"/>
        <w:pageBreakBefore w:val="0"/>
        <w:widowControl/>
        <w:suppressLineNumbers w:val="0"/>
        <w:overflowPunct/>
        <w:topLinePunct w:val="0"/>
        <w:bidi w:val="0"/>
        <w:spacing w:line="360" w:lineRule="auto"/>
        <w:ind w:firstLine="420" w:firstLineChars="200"/>
        <w:jc w:val="left"/>
        <w:rPr>
          <w:rFonts w:hint="eastAsia" w:ascii="宋体" w:hAnsi="宋体" w:eastAsia="宋体" w:cs="宋体"/>
          <w:b/>
          <w:bCs/>
          <w:color w:val="auto"/>
          <w:kern w:val="2"/>
          <w:sz w:val="21"/>
          <w:szCs w:val="20"/>
          <w:highlight w:val="none"/>
          <w:lang w:val="en-US" w:eastAsia="zh-CN" w:bidi="ar-SA"/>
        </w:rPr>
      </w:pPr>
    </w:p>
    <w:p w14:paraId="3835EC54">
      <w:pPr>
        <w:keepNext w:val="0"/>
        <w:keepLines w:val="0"/>
        <w:pageBreakBefore w:val="0"/>
        <w:widowControl/>
        <w:suppressLineNumbers w:val="0"/>
        <w:overflowPunct/>
        <w:topLinePunct w:val="0"/>
        <w:bidi w:val="0"/>
        <w:spacing w:line="360" w:lineRule="auto"/>
        <w:ind w:firstLine="420" w:firstLineChars="200"/>
        <w:jc w:val="left"/>
        <w:rPr>
          <w:rFonts w:hint="eastAsia" w:ascii="宋体" w:hAnsi="宋体" w:eastAsia="宋体" w:cs="宋体"/>
          <w:b/>
          <w:bCs/>
          <w:color w:val="auto"/>
          <w:kern w:val="2"/>
          <w:sz w:val="21"/>
          <w:szCs w:val="20"/>
          <w:highlight w:val="none"/>
          <w:lang w:val="en-US" w:eastAsia="zh-CN" w:bidi="ar-SA"/>
        </w:rPr>
      </w:pPr>
      <w:r>
        <w:rPr>
          <w:rFonts w:hint="eastAsia" w:ascii="宋体" w:hAnsi="宋体" w:eastAsia="宋体" w:cs="宋体"/>
          <w:b/>
          <w:bCs/>
          <w:color w:val="auto"/>
          <w:kern w:val="2"/>
          <w:sz w:val="21"/>
          <w:szCs w:val="20"/>
          <w:highlight w:val="none"/>
          <w:lang w:val="en-US" w:eastAsia="zh-CN" w:bidi="ar-SA"/>
        </w:rPr>
        <w:t>说明：参加政府采购活动的</w:t>
      </w:r>
      <w:r>
        <w:rPr>
          <w:rFonts w:hint="eastAsia" w:ascii="宋体" w:hAnsi="宋体" w:eastAsia="宋体" w:cs="宋体"/>
          <w:b/>
          <w:color w:val="auto"/>
          <w:highlight w:val="none"/>
        </w:rPr>
        <w:t>残疾人福利性单位</w:t>
      </w:r>
      <w:r>
        <w:rPr>
          <w:rFonts w:hint="eastAsia" w:ascii="宋体" w:hAnsi="宋体" w:eastAsia="宋体" w:cs="宋体"/>
          <w:b/>
          <w:bCs/>
          <w:color w:val="auto"/>
          <w:kern w:val="2"/>
          <w:sz w:val="21"/>
          <w:szCs w:val="20"/>
          <w:highlight w:val="none"/>
          <w:lang w:val="en-US" w:eastAsia="zh-CN" w:bidi="ar-SA"/>
        </w:rPr>
        <w:t>应当提供《</w:t>
      </w:r>
      <w:r>
        <w:rPr>
          <w:rFonts w:hint="eastAsia" w:ascii="宋体" w:hAnsi="宋体" w:eastAsia="宋体" w:cs="宋体"/>
          <w:b/>
          <w:color w:val="auto"/>
          <w:highlight w:val="none"/>
        </w:rPr>
        <w:t>残疾人福利性单位声明函</w:t>
      </w:r>
      <w:r>
        <w:rPr>
          <w:rFonts w:hint="eastAsia" w:ascii="宋体" w:hAnsi="宋体" w:eastAsia="宋体" w:cs="宋体"/>
          <w:b/>
          <w:bCs/>
          <w:color w:val="auto"/>
          <w:kern w:val="2"/>
          <w:sz w:val="21"/>
          <w:szCs w:val="20"/>
          <w:highlight w:val="none"/>
          <w:lang w:val="en-US" w:eastAsia="zh-CN" w:bidi="ar-SA"/>
        </w:rPr>
        <w:t>》。</w:t>
      </w:r>
      <w:r>
        <w:rPr>
          <w:rFonts w:hint="eastAsia" w:ascii="宋体" w:hAnsi="宋体" w:eastAsia="宋体" w:cs="宋体"/>
          <w:b/>
          <w:bCs/>
          <w:color w:val="auto"/>
          <w:kern w:val="2"/>
          <w:sz w:val="21"/>
          <w:szCs w:val="21"/>
          <w:highlight w:val="none"/>
          <w:lang w:val="en-US" w:eastAsia="zh-CN" w:bidi="ar-SA"/>
        </w:rPr>
        <w:t>中标供应商的《残疾人福利性单位声明函》随中标结果一并公告。</w:t>
      </w:r>
      <w:r>
        <w:rPr>
          <w:rFonts w:hint="eastAsia" w:ascii="宋体" w:hAnsi="宋体" w:eastAsia="宋体" w:cs="宋体"/>
          <w:b/>
          <w:bCs/>
          <w:color w:val="auto"/>
          <w:kern w:val="2"/>
          <w:sz w:val="21"/>
          <w:szCs w:val="20"/>
          <w:highlight w:val="none"/>
          <w:lang w:val="en-US" w:eastAsia="zh-CN" w:bidi="ar-SA"/>
        </w:rPr>
        <w:t xml:space="preserve"> </w:t>
      </w:r>
    </w:p>
    <w:p w14:paraId="7E821BF5">
      <w:pPr>
        <w:pStyle w:val="15"/>
        <w:pageBreakBefore w:val="0"/>
        <w:overflowPunct/>
        <w:topLinePunct w:val="0"/>
        <w:bidi w:val="0"/>
        <w:spacing w:line="360" w:lineRule="auto"/>
        <w:rPr>
          <w:rFonts w:hint="eastAsia" w:ascii="宋体" w:hAnsi="宋体" w:eastAsia="宋体" w:cs="宋体"/>
          <w:color w:val="auto"/>
          <w:highlight w:val="none"/>
          <w:lang w:eastAsia="zh-CN"/>
        </w:rPr>
      </w:pPr>
    </w:p>
    <w:p w14:paraId="6B177879">
      <w:pPr>
        <w:pageBreakBefore w:val="0"/>
        <w:overflowPunct/>
        <w:topLinePunct w:val="0"/>
        <w:bidi w:val="0"/>
        <w:spacing w:line="360" w:lineRule="auto"/>
        <w:rPr>
          <w:rFonts w:hint="eastAsia" w:ascii="宋体" w:hAnsi="宋体" w:eastAsia="宋体" w:cs="宋体"/>
          <w:color w:val="auto"/>
          <w:highlight w:val="none"/>
          <w:lang w:eastAsia="zh-CN"/>
        </w:rPr>
      </w:pPr>
    </w:p>
    <w:p w14:paraId="7931C144">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24518ADC">
      <w:pPr>
        <w:pStyle w:val="15"/>
        <w:pageBreakBefore w:val="0"/>
        <w:kinsoku/>
        <w:overflowPunct/>
        <w:topLinePunct w:val="0"/>
        <w:bidi w:val="0"/>
        <w:spacing w:line="360" w:lineRule="auto"/>
        <w:jc w:val="left"/>
        <w:rPr>
          <w:rFonts w:hint="eastAsia" w:ascii="宋体" w:hAnsi="宋体" w:eastAsia="宋体" w:cs="宋体"/>
          <w:color w:val="auto"/>
          <w:sz w:val="32"/>
          <w:szCs w:val="32"/>
          <w:highlight w:val="none"/>
          <w:lang w:val="en-US"/>
        </w:rPr>
      </w:pPr>
      <w:r>
        <w:rPr>
          <w:rFonts w:hint="eastAsia" w:ascii="宋体" w:hAnsi="宋体" w:eastAsia="宋体" w:cs="宋体"/>
          <w:b/>
          <w:color w:val="auto"/>
          <w:kern w:val="2"/>
          <w:sz w:val="21"/>
          <w:szCs w:val="20"/>
          <w:highlight w:val="none"/>
          <w:lang w:val="en-US" w:eastAsia="zh-CN" w:bidi="ar-SA"/>
        </w:rPr>
        <w:t>附件4：中小微企业划型标准</w:t>
      </w:r>
    </w:p>
    <w:p w14:paraId="187CCA0F">
      <w:pPr>
        <w:pageBreakBefore w:val="0"/>
        <w:kinsoku/>
        <w:overflowPunct/>
        <w:topLinePunct w:val="0"/>
        <w:bidi w:val="0"/>
        <w:spacing w:line="360" w:lineRule="auto"/>
        <w:jc w:val="center"/>
        <w:rPr>
          <w:rFonts w:hint="eastAsia" w:ascii="宋体" w:hAnsi="宋体" w:eastAsia="宋体" w:cs="宋体"/>
          <w:color w:val="auto"/>
          <w:sz w:val="40"/>
          <w:szCs w:val="40"/>
          <w:highlight w:val="none"/>
        </w:rPr>
      </w:pPr>
      <w:r>
        <w:rPr>
          <w:rFonts w:hint="eastAsia" w:ascii="宋体" w:hAnsi="宋体" w:eastAsia="宋体" w:cs="宋体"/>
          <w:color w:val="auto"/>
          <w:sz w:val="40"/>
          <w:szCs w:val="40"/>
          <w:highlight w:val="none"/>
        </w:rPr>
        <w:t>中小微企业划型标准</w:t>
      </w:r>
    </w:p>
    <w:tbl>
      <w:tblPr>
        <w:tblStyle w:val="22"/>
        <w:tblW w:w="7983" w:type="dxa"/>
        <w:jc w:val="center"/>
        <w:tblLayout w:type="fixed"/>
        <w:tblCellMar>
          <w:top w:w="0" w:type="dxa"/>
          <w:left w:w="108" w:type="dxa"/>
          <w:bottom w:w="0" w:type="dxa"/>
          <w:right w:w="108" w:type="dxa"/>
        </w:tblCellMar>
      </w:tblPr>
      <w:tblGrid>
        <w:gridCol w:w="1701"/>
        <w:gridCol w:w="1384"/>
        <w:gridCol w:w="913"/>
        <w:gridCol w:w="1620"/>
        <w:gridCol w:w="1440"/>
        <w:gridCol w:w="925"/>
      </w:tblGrid>
      <w:tr w14:paraId="566B6C85">
        <w:tblPrEx>
          <w:tblCellMar>
            <w:top w:w="0" w:type="dxa"/>
            <w:left w:w="108" w:type="dxa"/>
            <w:bottom w:w="0" w:type="dxa"/>
            <w:right w:w="108" w:type="dxa"/>
          </w:tblCellMar>
        </w:tblPrEx>
        <w:trPr>
          <w:trHeight w:val="285"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6BF17E36">
            <w:pPr>
              <w:pageBreakBefore w:val="0"/>
              <w:widowControl/>
              <w:kinsoku/>
              <w:overflowPunct/>
              <w:topLinePunct w:val="0"/>
              <w:bidi w:val="0"/>
              <w:spacing w:line="360" w:lineRule="auto"/>
              <w:jc w:val="left"/>
              <w:rPr>
                <w:rFonts w:hint="eastAsia" w:ascii="宋体" w:hAnsi="宋体" w:eastAsia="宋体" w:cs="宋体"/>
                <w:b/>
                <w:color w:val="auto"/>
                <w:kern w:val="0"/>
                <w:sz w:val="18"/>
                <w:szCs w:val="18"/>
                <w:highlight w:val="none"/>
              </w:rPr>
            </w:pPr>
            <w:r>
              <w:rPr>
                <w:rFonts w:hint="eastAsia" w:ascii="宋体" w:hAnsi="宋体" w:eastAsia="宋体" w:cs="宋体"/>
                <w:b/>
                <w:color w:val="auto"/>
                <w:kern w:val="0"/>
                <w:sz w:val="18"/>
                <w:szCs w:val="18"/>
                <w:highlight w:val="none"/>
              </w:rPr>
              <w:t>行业名称</w:t>
            </w:r>
          </w:p>
        </w:tc>
        <w:tc>
          <w:tcPr>
            <w:tcW w:w="1384" w:type="dxa"/>
            <w:tcBorders>
              <w:top w:val="single" w:color="auto" w:sz="4" w:space="0"/>
              <w:left w:val="nil"/>
              <w:bottom w:val="single" w:color="auto" w:sz="4" w:space="0"/>
              <w:right w:val="single" w:color="auto" w:sz="4" w:space="0"/>
            </w:tcBorders>
            <w:noWrap w:val="0"/>
            <w:vAlign w:val="center"/>
          </w:tcPr>
          <w:p w14:paraId="1B9AE547">
            <w:pPr>
              <w:pageBreakBefore w:val="0"/>
              <w:widowControl/>
              <w:kinsoku/>
              <w:overflowPunct/>
              <w:topLinePunct w:val="0"/>
              <w:bidi w:val="0"/>
              <w:spacing w:line="360" w:lineRule="auto"/>
              <w:jc w:val="left"/>
              <w:rPr>
                <w:rFonts w:hint="eastAsia" w:ascii="宋体" w:hAnsi="宋体" w:eastAsia="宋体" w:cs="宋体"/>
                <w:b/>
                <w:color w:val="auto"/>
                <w:kern w:val="0"/>
                <w:sz w:val="18"/>
                <w:szCs w:val="18"/>
                <w:highlight w:val="none"/>
              </w:rPr>
            </w:pPr>
            <w:r>
              <w:rPr>
                <w:rFonts w:hint="eastAsia" w:ascii="宋体" w:hAnsi="宋体" w:eastAsia="宋体" w:cs="宋体"/>
                <w:b/>
                <w:color w:val="auto"/>
                <w:kern w:val="0"/>
                <w:sz w:val="18"/>
                <w:szCs w:val="18"/>
                <w:highlight w:val="none"/>
              </w:rPr>
              <w:t>指标名称</w:t>
            </w:r>
          </w:p>
        </w:tc>
        <w:tc>
          <w:tcPr>
            <w:tcW w:w="913" w:type="dxa"/>
            <w:tcBorders>
              <w:top w:val="single" w:color="auto" w:sz="4" w:space="0"/>
              <w:left w:val="nil"/>
              <w:bottom w:val="single" w:color="auto" w:sz="4" w:space="0"/>
              <w:right w:val="single" w:color="auto" w:sz="4" w:space="0"/>
            </w:tcBorders>
            <w:noWrap w:val="0"/>
            <w:vAlign w:val="center"/>
          </w:tcPr>
          <w:p w14:paraId="78ADA321">
            <w:pPr>
              <w:pageBreakBefore w:val="0"/>
              <w:widowControl/>
              <w:kinsoku/>
              <w:overflowPunct/>
              <w:topLinePunct w:val="0"/>
              <w:bidi w:val="0"/>
              <w:spacing w:line="360" w:lineRule="auto"/>
              <w:jc w:val="left"/>
              <w:rPr>
                <w:rFonts w:hint="eastAsia" w:ascii="宋体" w:hAnsi="宋体" w:eastAsia="宋体" w:cs="宋体"/>
                <w:b/>
                <w:color w:val="auto"/>
                <w:kern w:val="0"/>
                <w:sz w:val="18"/>
                <w:szCs w:val="18"/>
                <w:highlight w:val="none"/>
              </w:rPr>
            </w:pPr>
            <w:r>
              <w:rPr>
                <w:rFonts w:hint="eastAsia" w:ascii="宋体" w:hAnsi="宋体" w:eastAsia="宋体" w:cs="宋体"/>
                <w:b/>
                <w:color w:val="auto"/>
                <w:kern w:val="0"/>
                <w:sz w:val="18"/>
                <w:szCs w:val="18"/>
                <w:highlight w:val="none"/>
              </w:rPr>
              <w:t>计量单位</w:t>
            </w:r>
          </w:p>
        </w:tc>
        <w:tc>
          <w:tcPr>
            <w:tcW w:w="1620" w:type="dxa"/>
            <w:tcBorders>
              <w:top w:val="single" w:color="auto" w:sz="4" w:space="0"/>
              <w:left w:val="nil"/>
              <w:bottom w:val="single" w:color="auto" w:sz="4" w:space="0"/>
              <w:right w:val="single" w:color="auto" w:sz="4" w:space="0"/>
            </w:tcBorders>
            <w:noWrap w:val="0"/>
            <w:vAlign w:val="center"/>
          </w:tcPr>
          <w:p w14:paraId="48A082F0">
            <w:pPr>
              <w:pageBreakBefore w:val="0"/>
              <w:widowControl/>
              <w:kinsoku/>
              <w:overflowPunct/>
              <w:topLinePunct w:val="0"/>
              <w:bidi w:val="0"/>
              <w:spacing w:line="360" w:lineRule="auto"/>
              <w:jc w:val="left"/>
              <w:rPr>
                <w:rFonts w:hint="eastAsia" w:ascii="宋体" w:hAnsi="宋体" w:eastAsia="宋体" w:cs="宋体"/>
                <w:b/>
                <w:color w:val="auto"/>
                <w:kern w:val="0"/>
                <w:sz w:val="18"/>
                <w:szCs w:val="18"/>
                <w:highlight w:val="none"/>
              </w:rPr>
            </w:pPr>
            <w:r>
              <w:rPr>
                <w:rFonts w:hint="eastAsia" w:ascii="宋体" w:hAnsi="宋体" w:eastAsia="宋体" w:cs="宋体"/>
                <w:b/>
                <w:color w:val="auto"/>
                <w:kern w:val="0"/>
                <w:sz w:val="18"/>
                <w:szCs w:val="18"/>
                <w:highlight w:val="none"/>
              </w:rPr>
              <w:t>中型</w:t>
            </w:r>
          </w:p>
        </w:tc>
        <w:tc>
          <w:tcPr>
            <w:tcW w:w="1440" w:type="dxa"/>
            <w:tcBorders>
              <w:top w:val="single" w:color="auto" w:sz="4" w:space="0"/>
              <w:left w:val="nil"/>
              <w:bottom w:val="single" w:color="auto" w:sz="4" w:space="0"/>
              <w:right w:val="single" w:color="auto" w:sz="4" w:space="0"/>
            </w:tcBorders>
            <w:noWrap w:val="0"/>
            <w:vAlign w:val="center"/>
          </w:tcPr>
          <w:p w14:paraId="5B1788C2">
            <w:pPr>
              <w:pageBreakBefore w:val="0"/>
              <w:widowControl/>
              <w:kinsoku/>
              <w:overflowPunct/>
              <w:topLinePunct w:val="0"/>
              <w:bidi w:val="0"/>
              <w:spacing w:line="360" w:lineRule="auto"/>
              <w:jc w:val="left"/>
              <w:rPr>
                <w:rFonts w:hint="eastAsia" w:ascii="宋体" w:hAnsi="宋体" w:eastAsia="宋体" w:cs="宋体"/>
                <w:b/>
                <w:color w:val="auto"/>
                <w:kern w:val="0"/>
                <w:sz w:val="18"/>
                <w:szCs w:val="18"/>
                <w:highlight w:val="none"/>
              </w:rPr>
            </w:pPr>
            <w:r>
              <w:rPr>
                <w:rFonts w:hint="eastAsia" w:ascii="宋体" w:hAnsi="宋体" w:eastAsia="宋体" w:cs="宋体"/>
                <w:b/>
                <w:color w:val="auto"/>
                <w:kern w:val="0"/>
                <w:sz w:val="18"/>
                <w:szCs w:val="18"/>
                <w:highlight w:val="none"/>
              </w:rPr>
              <w:t>小型</w:t>
            </w:r>
          </w:p>
        </w:tc>
        <w:tc>
          <w:tcPr>
            <w:tcW w:w="925" w:type="dxa"/>
            <w:tcBorders>
              <w:top w:val="single" w:color="auto" w:sz="4" w:space="0"/>
              <w:left w:val="nil"/>
              <w:bottom w:val="single" w:color="auto" w:sz="4" w:space="0"/>
              <w:right w:val="single" w:color="auto" w:sz="4" w:space="0"/>
            </w:tcBorders>
            <w:noWrap w:val="0"/>
            <w:vAlign w:val="center"/>
          </w:tcPr>
          <w:p w14:paraId="6DC860D2">
            <w:pPr>
              <w:pageBreakBefore w:val="0"/>
              <w:widowControl/>
              <w:kinsoku/>
              <w:overflowPunct/>
              <w:topLinePunct w:val="0"/>
              <w:bidi w:val="0"/>
              <w:spacing w:line="360" w:lineRule="auto"/>
              <w:jc w:val="left"/>
              <w:rPr>
                <w:rFonts w:hint="eastAsia" w:ascii="宋体" w:hAnsi="宋体" w:eastAsia="宋体" w:cs="宋体"/>
                <w:b/>
                <w:color w:val="auto"/>
                <w:kern w:val="0"/>
                <w:sz w:val="18"/>
                <w:szCs w:val="18"/>
                <w:highlight w:val="none"/>
              </w:rPr>
            </w:pPr>
            <w:r>
              <w:rPr>
                <w:rFonts w:hint="eastAsia" w:ascii="宋体" w:hAnsi="宋体" w:eastAsia="宋体" w:cs="宋体"/>
                <w:b/>
                <w:color w:val="auto"/>
                <w:kern w:val="0"/>
                <w:sz w:val="18"/>
                <w:szCs w:val="18"/>
                <w:highlight w:val="none"/>
              </w:rPr>
              <w:t>微型</w:t>
            </w:r>
          </w:p>
        </w:tc>
      </w:tr>
      <w:tr w14:paraId="17E07C7F">
        <w:tblPrEx>
          <w:tblCellMar>
            <w:top w:w="0" w:type="dxa"/>
            <w:left w:w="108" w:type="dxa"/>
            <w:bottom w:w="0" w:type="dxa"/>
            <w:right w:w="108" w:type="dxa"/>
          </w:tblCellMar>
        </w:tblPrEx>
        <w:trPr>
          <w:trHeight w:val="225" w:hRule="atLeast"/>
          <w:jc w:val="center"/>
        </w:trPr>
        <w:tc>
          <w:tcPr>
            <w:tcW w:w="1701" w:type="dxa"/>
            <w:tcBorders>
              <w:top w:val="nil"/>
              <w:left w:val="single" w:color="auto" w:sz="4" w:space="0"/>
              <w:bottom w:val="single" w:color="auto" w:sz="4" w:space="0"/>
              <w:right w:val="single" w:color="auto" w:sz="4" w:space="0"/>
            </w:tcBorders>
            <w:noWrap w:val="0"/>
            <w:vAlign w:val="bottom"/>
          </w:tcPr>
          <w:p w14:paraId="66F3A235">
            <w:pPr>
              <w:pageBreakBefore w:val="0"/>
              <w:widowControl/>
              <w:kinsoku/>
              <w:overflowPunct/>
              <w:topLinePunct w:val="0"/>
              <w:bidi w:val="0"/>
              <w:spacing w:line="360"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农、林、牧、渔</w:t>
            </w:r>
          </w:p>
        </w:tc>
        <w:tc>
          <w:tcPr>
            <w:tcW w:w="1384" w:type="dxa"/>
            <w:tcBorders>
              <w:top w:val="nil"/>
              <w:left w:val="nil"/>
              <w:bottom w:val="single" w:color="auto" w:sz="4" w:space="0"/>
              <w:right w:val="single" w:color="auto" w:sz="4" w:space="0"/>
            </w:tcBorders>
            <w:noWrap w:val="0"/>
            <w:vAlign w:val="center"/>
          </w:tcPr>
          <w:p w14:paraId="102ADFA6">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643A163">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D9B92B2">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0DF79BB2">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50≤Y＜500</w:t>
            </w:r>
          </w:p>
        </w:tc>
        <w:tc>
          <w:tcPr>
            <w:tcW w:w="925" w:type="dxa"/>
            <w:tcBorders>
              <w:top w:val="nil"/>
              <w:left w:val="nil"/>
              <w:bottom w:val="single" w:color="auto" w:sz="4" w:space="0"/>
              <w:right w:val="single" w:color="auto" w:sz="4" w:space="0"/>
            </w:tcBorders>
            <w:noWrap w:val="0"/>
            <w:vAlign w:val="center"/>
          </w:tcPr>
          <w:p w14:paraId="1D8BD32A">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2B73C8EA">
        <w:tblPrEx>
          <w:tblCellMar>
            <w:top w:w="0" w:type="dxa"/>
            <w:left w:w="108" w:type="dxa"/>
            <w:bottom w:w="0" w:type="dxa"/>
            <w:right w:w="108" w:type="dxa"/>
          </w:tblCellMar>
        </w:tblPrEx>
        <w:trPr>
          <w:trHeight w:val="227"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3FDD728C">
            <w:pPr>
              <w:pageBreakBefore w:val="0"/>
              <w:widowControl/>
              <w:kinsoku/>
              <w:overflowPunct/>
              <w:topLinePunct w:val="0"/>
              <w:bidi w:val="0"/>
              <w:spacing w:line="360"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工业</w:t>
            </w:r>
          </w:p>
        </w:tc>
        <w:tc>
          <w:tcPr>
            <w:tcW w:w="1384" w:type="dxa"/>
            <w:tcBorders>
              <w:top w:val="nil"/>
              <w:left w:val="nil"/>
              <w:bottom w:val="single" w:color="auto" w:sz="4" w:space="0"/>
              <w:right w:val="single" w:color="auto" w:sz="4" w:space="0"/>
            </w:tcBorders>
            <w:noWrap w:val="0"/>
            <w:vAlign w:val="center"/>
          </w:tcPr>
          <w:p w14:paraId="16974A48">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37021F52">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003EA0AF">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016359E2">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0C4FE9A3">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178C0C07">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480E4CAE">
            <w:pPr>
              <w:pageBreakBefore w:val="0"/>
              <w:widowControl/>
              <w:kinsoku/>
              <w:overflowPunct/>
              <w:topLinePunct w:val="0"/>
              <w:bidi w:val="0"/>
              <w:spacing w:line="360" w:lineRule="auto"/>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2930F6BD">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6498FFB">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6570857">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2000≤Y＜40000</w:t>
            </w:r>
          </w:p>
        </w:tc>
        <w:tc>
          <w:tcPr>
            <w:tcW w:w="1440" w:type="dxa"/>
            <w:tcBorders>
              <w:top w:val="nil"/>
              <w:left w:val="nil"/>
              <w:bottom w:val="single" w:color="auto" w:sz="4" w:space="0"/>
              <w:right w:val="single" w:color="auto" w:sz="4" w:space="0"/>
            </w:tcBorders>
            <w:noWrap w:val="0"/>
            <w:vAlign w:val="center"/>
          </w:tcPr>
          <w:p w14:paraId="49ECBEF8">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300≤Y＜2000</w:t>
            </w:r>
          </w:p>
        </w:tc>
        <w:tc>
          <w:tcPr>
            <w:tcW w:w="925" w:type="dxa"/>
            <w:tcBorders>
              <w:top w:val="nil"/>
              <w:left w:val="nil"/>
              <w:bottom w:val="single" w:color="auto" w:sz="4" w:space="0"/>
              <w:right w:val="single" w:color="auto" w:sz="4" w:space="0"/>
            </w:tcBorders>
            <w:noWrap w:val="0"/>
            <w:vAlign w:val="center"/>
          </w:tcPr>
          <w:p w14:paraId="727508B1">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1D2F1FD9">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4C8BFC7F">
            <w:pPr>
              <w:pageBreakBefore w:val="0"/>
              <w:widowControl/>
              <w:kinsoku/>
              <w:overflowPunct/>
              <w:topLinePunct w:val="0"/>
              <w:bidi w:val="0"/>
              <w:spacing w:line="360"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建筑业</w:t>
            </w:r>
          </w:p>
        </w:tc>
        <w:tc>
          <w:tcPr>
            <w:tcW w:w="1384" w:type="dxa"/>
            <w:tcBorders>
              <w:top w:val="nil"/>
              <w:left w:val="nil"/>
              <w:bottom w:val="single" w:color="auto" w:sz="4" w:space="0"/>
              <w:right w:val="single" w:color="auto" w:sz="4" w:space="0"/>
            </w:tcBorders>
            <w:noWrap w:val="0"/>
            <w:vAlign w:val="center"/>
          </w:tcPr>
          <w:p w14:paraId="72198C4A">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ABF58AC">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CF0CF4C">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6000≤Y＜80000</w:t>
            </w:r>
          </w:p>
        </w:tc>
        <w:tc>
          <w:tcPr>
            <w:tcW w:w="1440" w:type="dxa"/>
            <w:tcBorders>
              <w:top w:val="nil"/>
              <w:left w:val="nil"/>
              <w:bottom w:val="single" w:color="auto" w:sz="4" w:space="0"/>
              <w:right w:val="single" w:color="auto" w:sz="4" w:space="0"/>
            </w:tcBorders>
            <w:noWrap w:val="0"/>
            <w:vAlign w:val="center"/>
          </w:tcPr>
          <w:p w14:paraId="3F8C63D5">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300≤Y＜6000</w:t>
            </w:r>
          </w:p>
        </w:tc>
        <w:tc>
          <w:tcPr>
            <w:tcW w:w="925" w:type="dxa"/>
            <w:tcBorders>
              <w:top w:val="nil"/>
              <w:left w:val="nil"/>
              <w:bottom w:val="single" w:color="auto" w:sz="4" w:space="0"/>
              <w:right w:val="single" w:color="auto" w:sz="4" w:space="0"/>
            </w:tcBorders>
            <w:noWrap w:val="0"/>
            <w:vAlign w:val="center"/>
          </w:tcPr>
          <w:p w14:paraId="7B962D99">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55EA6163">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148B1BE8">
            <w:pPr>
              <w:pageBreakBefore w:val="0"/>
              <w:widowControl/>
              <w:kinsoku/>
              <w:overflowPunct/>
              <w:topLinePunct w:val="0"/>
              <w:bidi w:val="0"/>
              <w:spacing w:line="360" w:lineRule="auto"/>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082A21C">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4FA294A4">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9E32081">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5000≤Z＜80000</w:t>
            </w:r>
          </w:p>
        </w:tc>
        <w:tc>
          <w:tcPr>
            <w:tcW w:w="1440" w:type="dxa"/>
            <w:tcBorders>
              <w:top w:val="nil"/>
              <w:left w:val="nil"/>
              <w:bottom w:val="single" w:color="auto" w:sz="4" w:space="0"/>
              <w:right w:val="single" w:color="auto" w:sz="4" w:space="0"/>
            </w:tcBorders>
            <w:noWrap w:val="0"/>
            <w:vAlign w:val="center"/>
          </w:tcPr>
          <w:p w14:paraId="78D30285">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300≤Z＜5000</w:t>
            </w:r>
          </w:p>
        </w:tc>
        <w:tc>
          <w:tcPr>
            <w:tcW w:w="925" w:type="dxa"/>
            <w:tcBorders>
              <w:top w:val="nil"/>
              <w:left w:val="nil"/>
              <w:bottom w:val="single" w:color="auto" w:sz="4" w:space="0"/>
              <w:right w:val="single" w:color="auto" w:sz="4" w:space="0"/>
            </w:tcBorders>
            <w:noWrap w:val="0"/>
            <w:vAlign w:val="center"/>
          </w:tcPr>
          <w:p w14:paraId="038B6537">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Z＜300</w:t>
            </w:r>
          </w:p>
        </w:tc>
      </w:tr>
      <w:tr w14:paraId="041F9668">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755A46DD">
            <w:pPr>
              <w:pageBreakBefore w:val="0"/>
              <w:widowControl/>
              <w:kinsoku/>
              <w:overflowPunct/>
              <w:topLinePunct w:val="0"/>
              <w:bidi w:val="0"/>
              <w:spacing w:line="360"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批发业</w:t>
            </w:r>
          </w:p>
        </w:tc>
        <w:tc>
          <w:tcPr>
            <w:tcW w:w="1384" w:type="dxa"/>
            <w:tcBorders>
              <w:top w:val="nil"/>
              <w:left w:val="nil"/>
              <w:bottom w:val="single" w:color="auto" w:sz="4" w:space="0"/>
              <w:right w:val="single" w:color="auto" w:sz="4" w:space="0"/>
            </w:tcBorders>
            <w:noWrap w:val="0"/>
            <w:vAlign w:val="center"/>
          </w:tcPr>
          <w:p w14:paraId="241AEEAC">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B536A90">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6061259">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20≤X＜200</w:t>
            </w:r>
          </w:p>
        </w:tc>
        <w:tc>
          <w:tcPr>
            <w:tcW w:w="1440" w:type="dxa"/>
            <w:tcBorders>
              <w:top w:val="nil"/>
              <w:left w:val="nil"/>
              <w:bottom w:val="single" w:color="auto" w:sz="4" w:space="0"/>
              <w:right w:val="single" w:color="auto" w:sz="4" w:space="0"/>
            </w:tcBorders>
            <w:noWrap w:val="0"/>
            <w:vAlign w:val="center"/>
          </w:tcPr>
          <w:p w14:paraId="4302AB4A">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5≤X＜20</w:t>
            </w:r>
          </w:p>
        </w:tc>
        <w:tc>
          <w:tcPr>
            <w:tcW w:w="925" w:type="dxa"/>
            <w:tcBorders>
              <w:top w:val="nil"/>
              <w:left w:val="nil"/>
              <w:bottom w:val="single" w:color="auto" w:sz="4" w:space="0"/>
              <w:right w:val="single" w:color="auto" w:sz="4" w:space="0"/>
            </w:tcBorders>
            <w:noWrap w:val="0"/>
            <w:vAlign w:val="center"/>
          </w:tcPr>
          <w:p w14:paraId="39A8F0F3">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X＜5</w:t>
            </w:r>
          </w:p>
        </w:tc>
      </w:tr>
      <w:tr w14:paraId="368DAAE8">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46912207">
            <w:pPr>
              <w:pageBreakBefore w:val="0"/>
              <w:widowControl/>
              <w:kinsoku/>
              <w:overflowPunct/>
              <w:topLinePunct w:val="0"/>
              <w:bidi w:val="0"/>
              <w:spacing w:line="360" w:lineRule="auto"/>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4E9D8EF7">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5266FD1">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1167CDF">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5000≤Y＜40000</w:t>
            </w:r>
          </w:p>
        </w:tc>
        <w:tc>
          <w:tcPr>
            <w:tcW w:w="1440" w:type="dxa"/>
            <w:tcBorders>
              <w:top w:val="nil"/>
              <w:left w:val="nil"/>
              <w:bottom w:val="single" w:color="auto" w:sz="4" w:space="0"/>
              <w:right w:val="single" w:color="auto" w:sz="4" w:space="0"/>
            </w:tcBorders>
            <w:noWrap w:val="0"/>
            <w:vAlign w:val="center"/>
          </w:tcPr>
          <w:p w14:paraId="6DBFC7E5">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925" w:type="dxa"/>
            <w:tcBorders>
              <w:top w:val="nil"/>
              <w:left w:val="nil"/>
              <w:bottom w:val="single" w:color="auto" w:sz="4" w:space="0"/>
              <w:right w:val="single" w:color="auto" w:sz="4" w:space="0"/>
            </w:tcBorders>
            <w:noWrap w:val="0"/>
            <w:vAlign w:val="center"/>
          </w:tcPr>
          <w:p w14:paraId="341AFC1E">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w:t>
            </w:r>
          </w:p>
        </w:tc>
      </w:tr>
      <w:tr w14:paraId="77212B6E">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799317B5">
            <w:pPr>
              <w:pageBreakBefore w:val="0"/>
              <w:widowControl/>
              <w:kinsoku/>
              <w:overflowPunct/>
              <w:topLinePunct w:val="0"/>
              <w:bidi w:val="0"/>
              <w:spacing w:line="360"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零售业</w:t>
            </w:r>
          </w:p>
        </w:tc>
        <w:tc>
          <w:tcPr>
            <w:tcW w:w="1384" w:type="dxa"/>
            <w:tcBorders>
              <w:top w:val="nil"/>
              <w:left w:val="nil"/>
              <w:bottom w:val="single" w:color="auto" w:sz="4" w:space="0"/>
              <w:right w:val="single" w:color="auto" w:sz="4" w:space="0"/>
            </w:tcBorders>
            <w:noWrap w:val="0"/>
            <w:vAlign w:val="center"/>
          </w:tcPr>
          <w:p w14:paraId="6B939503">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12252ED9">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6D2A3E8">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50≤X＜300</w:t>
            </w:r>
          </w:p>
        </w:tc>
        <w:tc>
          <w:tcPr>
            <w:tcW w:w="1440" w:type="dxa"/>
            <w:tcBorders>
              <w:top w:val="nil"/>
              <w:left w:val="nil"/>
              <w:bottom w:val="single" w:color="auto" w:sz="4" w:space="0"/>
              <w:right w:val="single" w:color="auto" w:sz="4" w:space="0"/>
            </w:tcBorders>
            <w:noWrap w:val="0"/>
            <w:vAlign w:val="center"/>
          </w:tcPr>
          <w:p w14:paraId="37B47826">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10≤X＜50</w:t>
            </w:r>
          </w:p>
        </w:tc>
        <w:tc>
          <w:tcPr>
            <w:tcW w:w="925" w:type="dxa"/>
            <w:tcBorders>
              <w:top w:val="nil"/>
              <w:left w:val="nil"/>
              <w:bottom w:val="single" w:color="auto" w:sz="4" w:space="0"/>
              <w:right w:val="single" w:color="auto" w:sz="4" w:space="0"/>
            </w:tcBorders>
            <w:noWrap w:val="0"/>
            <w:vAlign w:val="center"/>
          </w:tcPr>
          <w:p w14:paraId="7B4D737E">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1DAF0574">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4611E06D">
            <w:pPr>
              <w:pageBreakBefore w:val="0"/>
              <w:widowControl/>
              <w:kinsoku/>
              <w:overflowPunct/>
              <w:topLinePunct w:val="0"/>
              <w:bidi w:val="0"/>
              <w:spacing w:line="360" w:lineRule="auto"/>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3C7969F9">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70A51422">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32C3ADF">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2738A7CE">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100≤Y＜500</w:t>
            </w:r>
          </w:p>
        </w:tc>
        <w:tc>
          <w:tcPr>
            <w:tcW w:w="925" w:type="dxa"/>
            <w:tcBorders>
              <w:top w:val="nil"/>
              <w:left w:val="nil"/>
              <w:bottom w:val="single" w:color="auto" w:sz="4" w:space="0"/>
              <w:right w:val="single" w:color="auto" w:sz="4" w:space="0"/>
            </w:tcBorders>
            <w:noWrap w:val="0"/>
            <w:vAlign w:val="center"/>
          </w:tcPr>
          <w:p w14:paraId="4A2271D2">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6577B066">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1CA132F6">
            <w:pPr>
              <w:pageBreakBefore w:val="0"/>
              <w:widowControl/>
              <w:kinsoku/>
              <w:overflowPunct/>
              <w:topLinePunct w:val="0"/>
              <w:bidi w:val="0"/>
              <w:spacing w:line="360"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交通运输业</w:t>
            </w:r>
          </w:p>
        </w:tc>
        <w:tc>
          <w:tcPr>
            <w:tcW w:w="1384" w:type="dxa"/>
            <w:tcBorders>
              <w:top w:val="nil"/>
              <w:left w:val="nil"/>
              <w:bottom w:val="single" w:color="auto" w:sz="4" w:space="0"/>
              <w:right w:val="single" w:color="auto" w:sz="4" w:space="0"/>
            </w:tcBorders>
            <w:noWrap w:val="0"/>
            <w:vAlign w:val="center"/>
          </w:tcPr>
          <w:p w14:paraId="40E3A0A3">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2144C042">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97E74BC">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18F4D538">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70818496">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18DC57BF">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54058487">
            <w:pPr>
              <w:pageBreakBefore w:val="0"/>
              <w:widowControl/>
              <w:kinsoku/>
              <w:overflowPunct/>
              <w:topLinePunct w:val="0"/>
              <w:bidi w:val="0"/>
              <w:spacing w:line="360" w:lineRule="auto"/>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5C1BD291">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031F658">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79B454D">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3000≤Y＜30000</w:t>
            </w:r>
          </w:p>
        </w:tc>
        <w:tc>
          <w:tcPr>
            <w:tcW w:w="1440" w:type="dxa"/>
            <w:tcBorders>
              <w:top w:val="nil"/>
              <w:left w:val="nil"/>
              <w:bottom w:val="single" w:color="auto" w:sz="4" w:space="0"/>
              <w:right w:val="single" w:color="auto" w:sz="4" w:space="0"/>
            </w:tcBorders>
            <w:noWrap w:val="0"/>
            <w:vAlign w:val="center"/>
          </w:tcPr>
          <w:p w14:paraId="780973C8">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200≤Y＜3000</w:t>
            </w:r>
          </w:p>
        </w:tc>
        <w:tc>
          <w:tcPr>
            <w:tcW w:w="925" w:type="dxa"/>
            <w:tcBorders>
              <w:top w:val="nil"/>
              <w:left w:val="nil"/>
              <w:bottom w:val="single" w:color="auto" w:sz="4" w:space="0"/>
              <w:right w:val="single" w:color="auto" w:sz="4" w:space="0"/>
            </w:tcBorders>
            <w:noWrap w:val="0"/>
            <w:vAlign w:val="center"/>
          </w:tcPr>
          <w:p w14:paraId="153661D1">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w:t>
            </w:r>
          </w:p>
        </w:tc>
      </w:tr>
      <w:tr w14:paraId="327158AD">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3B7510BD">
            <w:pPr>
              <w:pageBreakBefore w:val="0"/>
              <w:widowControl/>
              <w:kinsoku/>
              <w:overflowPunct/>
              <w:topLinePunct w:val="0"/>
              <w:bidi w:val="0"/>
              <w:spacing w:line="360"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仓储业</w:t>
            </w:r>
          </w:p>
        </w:tc>
        <w:tc>
          <w:tcPr>
            <w:tcW w:w="1384" w:type="dxa"/>
            <w:tcBorders>
              <w:top w:val="nil"/>
              <w:left w:val="nil"/>
              <w:bottom w:val="single" w:color="auto" w:sz="4" w:space="0"/>
              <w:right w:val="single" w:color="auto" w:sz="4" w:space="0"/>
            </w:tcBorders>
            <w:noWrap w:val="0"/>
            <w:vAlign w:val="center"/>
          </w:tcPr>
          <w:p w14:paraId="2886BE38">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690C3536">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A8C4912">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w:t>
            </w:r>
          </w:p>
        </w:tc>
        <w:tc>
          <w:tcPr>
            <w:tcW w:w="1440" w:type="dxa"/>
            <w:tcBorders>
              <w:top w:val="nil"/>
              <w:left w:val="nil"/>
              <w:bottom w:val="single" w:color="auto" w:sz="4" w:space="0"/>
              <w:right w:val="single" w:color="auto" w:sz="4" w:space="0"/>
            </w:tcBorders>
            <w:noWrap w:val="0"/>
            <w:vAlign w:val="center"/>
          </w:tcPr>
          <w:p w14:paraId="6848B618">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20≤X＜100</w:t>
            </w:r>
          </w:p>
        </w:tc>
        <w:tc>
          <w:tcPr>
            <w:tcW w:w="925" w:type="dxa"/>
            <w:tcBorders>
              <w:top w:val="nil"/>
              <w:left w:val="nil"/>
              <w:bottom w:val="single" w:color="auto" w:sz="4" w:space="0"/>
              <w:right w:val="single" w:color="auto" w:sz="4" w:space="0"/>
            </w:tcBorders>
            <w:noWrap w:val="0"/>
            <w:vAlign w:val="center"/>
          </w:tcPr>
          <w:p w14:paraId="6AFA9B17">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5F3514A8">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257AA2EA">
            <w:pPr>
              <w:pageBreakBefore w:val="0"/>
              <w:widowControl/>
              <w:kinsoku/>
              <w:overflowPunct/>
              <w:topLinePunct w:val="0"/>
              <w:bidi w:val="0"/>
              <w:spacing w:line="360" w:lineRule="auto"/>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20858880">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80646E0">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F56C027">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1000≤Y＜30000</w:t>
            </w:r>
          </w:p>
        </w:tc>
        <w:tc>
          <w:tcPr>
            <w:tcW w:w="1440" w:type="dxa"/>
            <w:tcBorders>
              <w:top w:val="nil"/>
              <w:left w:val="nil"/>
              <w:bottom w:val="single" w:color="auto" w:sz="4" w:space="0"/>
              <w:right w:val="single" w:color="auto" w:sz="4" w:space="0"/>
            </w:tcBorders>
            <w:noWrap w:val="0"/>
            <w:vAlign w:val="center"/>
          </w:tcPr>
          <w:p w14:paraId="287C81C4">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7BAEEF76">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718CFEF4">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71102C3D">
            <w:pPr>
              <w:pageBreakBefore w:val="0"/>
              <w:widowControl/>
              <w:kinsoku/>
              <w:overflowPunct/>
              <w:topLinePunct w:val="0"/>
              <w:bidi w:val="0"/>
              <w:spacing w:line="360"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邮政业</w:t>
            </w:r>
          </w:p>
        </w:tc>
        <w:tc>
          <w:tcPr>
            <w:tcW w:w="1384" w:type="dxa"/>
            <w:tcBorders>
              <w:top w:val="nil"/>
              <w:left w:val="nil"/>
              <w:bottom w:val="single" w:color="auto" w:sz="4" w:space="0"/>
              <w:right w:val="single" w:color="auto" w:sz="4" w:space="0"/>
            </w:tcBorders>
            <w:noWrap w:val="0"/>
            <w:vAlign w:val="center"/>
          </w:tcPr>
          <w:p w14:paraId="0E90D47C">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251C57F">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167C5A4F">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72126EB3">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362E4B40">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3E486F60">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3D0CEE60">
            <w:pPr>
              <w:pageBreakBefore w:val="0"/>
              <w:widowControl/>
              <w:kinsoku/>
              <w:overflowPunct/>
              <w:topLinePunct w:val="0"/>
              <w:bidi w:val="0"/>
              <w:spacing w:line="360" w:lineRule="auto"/>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2867DBF9">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4C2EBDE">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479044D">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2000≤Y＜30000</w:t>
            </w:r>
          </w:p>
        </w:tc>
        <w:tc>
          <w:tcPr>
            <w:tcW w:w="1440" w:type="dxa"/>
            <w:tcBorders>
              <w:top w:val="nil"/>
              <w:left w:val="nil"/>
              <w:bottom w:val="single" w:color="auto" w:sz="4" w:space="0"/>
              <w:right w:val="single" w:color="auto" w:sz="4" w:space="0"/>
            </w:tcBorders>
            <w:noWrap w:val="0"/>
            <w:vAlign w:val="center"/>
          </w:tcPr>
          <w:p w14:paraId="2A882E13">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1B5A6ADF">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746CDFC6">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485078F1">
            <w:pPr>
              <w:pageBreakBefore w:val="0"/>
              <w:widowControl/>
              <w:kinsoku/>
              <w:overflowPunct/>
              <w:topLinePunct w:val="0"/>
              <w:bidi w:val="0"/>
              <w:spacing w:line="360"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住宿业</w:t>
            </w:r>
          </w:p>
        </w:tc>
        <w:tc>
          <w:tcPr>
            <w:tcW w:w="1384" w:type="dxa"/>
            <w:tcBorders>
              <w:top w:val="nil"/>
              <w:left w:val="nil"/>
              <w:bottom w:val="single" w:color="auto" w:sz="4" w:space="0"/>
              <w:right w:val="single" w:color="auto" w:sz="4" w:space="0"/>
            </w:tcBorders>
            <w:noWrap w:val="0"/>
            <w:vAlign w:val="center"/>
          </w:tcPr>
          <w:p w14:paraId="2D1D61C5">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34B12EB3">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7A2A4CDB">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3B7F2694">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480DC598">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055E10E1">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663F6948">
            <w:pPr>
              <w:pageBreakBefore w:val="0"/>
              <w:widowControl/>
              <w:kinsoku/>
              <w:overflowPunct/>
              <w:topLinePunct w:val="0"/>
              <w:bidi w:val="0"/>
              <w:spacing w:line="360" w:lineRule="auto"/>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42263C86">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8A29A73">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CF2DA84">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30B50ECF">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641BF7C1">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7A0140EC">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5644C1B7">
            <w:pPr>
              <w:pageBreakBefore w:val="0"/>
              <w:widowControl/>
              <w:kinsoku/>
              <w:overflowPunct/>
              <w:topLinePunct w:val="0"/>
              <w:bidi w:val="0"/>
              <w:spacing w:line="360"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餐饮业</w:t>
            </w:r>
          </w:p>
        </w:tc>
        <w:tc>
          <w:tcPr>
            <w:tcW w:w="1384" w:type="dxa"/>
            <w:tcBorders>
              <w:top w:val="nil"/>
              <w:left w:val="nil"/>
              <w:bottom w:val="single" w:color="auto" w:sz="4" w:space="0"/>
              <w:right w:val="single" w:color="auto" w:sz="4" w:space="0"/>
            </w:tcBorders>
            <w:noWrap w:val="0"/>
            <w:vAlign w:val="center"/>
          </w:tcPr>
          <w:p w14:paraId="479D752F">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242AD65E">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1EF793D">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16F77C19">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0C1CB9E9">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0C69B686">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0C928CA8">
            <w:pPr>
              <w:pageBreakBefore w:val="0"/>
              <w:widowControl/>
              <w:kinsoku/>
              <w:overflowPunct/>
              <w:topLinePunct w:val="0"/>
              <w:bidi w:val="0"/>
              <w:spacing w:line="360" w:lineRule="auto"/>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1F968E3">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D18943C">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7D9A35D5">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6096EA01">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7F824FE6">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165B28CF">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580F7CD4">
            <w:pPr>
              <w:pageBreakBefore w:val="0"/>
              <w:widowControl/>
              <w:kinsoku/>
              <w:overflowPunct/>
              <w:topLinePunct w:val="0"/>
              <w:bidi w:val="0"/>
              <w:spacing w:line="360"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信息传输业</w:t>
            </w:r>
          </w:p>
        </w:tc>
        <w:tc>
          <w:tcPr>
            <w:tcW w:w="1384" w:type="dxa"/>
            <w:tcBorders>
              <w:top w:val="nil"/>
              <w:left w:val="nil"/>
              <w:bottom w:val="single" w:color="auto" w:sz="4" w:space="0"/>
              <w:right w:val="single" w:color="auto" w:sz="4" w:space="0"/>
            </w:tcBorders>
            <w:noWrap w:val="0"/>
            <w:vAlign w:val="center"/>
          </w:tcPr>
          <w:p w14:paraId="5A89667D">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39AF18F">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DCEAF45">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100≤X＜2000</w:t>
            </w:r>
          </w:p>
        </w:tc>
        <w:tc>
          <w:tcPr>
            <w:tcW w:w="1440" w:type="dxa"/>
            <w:tcBorders>
              <w:top w:val="nil"/>
              <w:left w:val="nil"/>
              <w:bottom w:val="single" w:color="auto" w:sz="4" w:space="0"/>
              <w:right w:val="single" w:color="auto" w:sz="4" w:space="0"/>
            </w:tcBorders>
            <w:noWrap w:val="0"/>
            <w:vAlign w:val="center"/>
          </w:tcPr>
          <w:p w14:paraId="60C83E4F">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0FD76D8B">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3F744CE2">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1DB81D85">
            <w:pPr>
              <w:pageBreakBefore w:val="0"/>
              <w:widowControl/>
              <w:kinsoku/>
              <w:overflowPunct/>
              <w:topLinePunct w:val="0"/>
              <w:bidi w:val="0"/>
              <w:spacing w:line="360" w:lineRule="auto"/>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72FD0CC7">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061FE503">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51A86B4">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1000≤Y＜100000</w:t>
            </w:r>
          </w:p>
        </w:tc>
        <w:tc>
          <w:tcPr>
            <w:tcW w:w="1440" w:type="dxa"/>
            <w:tcBorders>
              <w:top w:val="nil"/>
              <w:left w:val="nil"/>
              <w:bottom w:val="single" w:color="auto" w:sz="4" w:space="0"/>
              <w:right w:val="single" w:color="auto" w:sz="4" w:space="0"/>
            </w:tcBorders>
            <w:noWrap w:val="0"/>
            <w:vAlign w:val="center"/>
          </w:tcPr>
          <w:p w14:paraId="1DFD96BA">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4A4AE052">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2EB25F31">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2EF5D06C">
            <w:pPr>
              <w:pageBreakBefore w:val="0"/>
              <w:widowControl/>
              <w:kinsoku/>
              <w:overflowPunct/>
              <w:topLinePunct w:val="0"/>
              <w:bidi w:val="0"/>
              <w:spacing w:line="360"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软件和信息技术服务业</w:t>
            </w:r>
          </w:p>
        </w:tc>
        <w:tc>
          <w:tcPr>
            <w:tcW w:w="1384" w:type="dxa"/>
            <w:tcBorders>
              <w:top w:val="nil"/>
              <w:left w:val="nil"/>
              <w:bottom w:val="single" w:color="auto" w:sz="4" w:space="0"/>
              <w:right w:val="single" w:color="auto" w:sz="4" w:space="0"/>
            </w:tcBorders>
            <w:noWrap w:val="0"/>
            <w:vAlign w:val="center"/>
          </w:tcPr>
          <w:p w14:paraId="5C5193EB">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1B5DB0AC">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B120E3F">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30D10126">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2C585D40">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520D7514">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212B628B">
            <w:pPr>
              <w:pageBreakBefore w:val="0"/>
              <w:widowControl/>
              <w:kinsoku/>
              <w:overflowPunct/>
              <w:topLinePunct w:val="0"/>
              <w:bidi w:val="0"/>
              <w:spacing w:line="360" w:lineRule="auto"/>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42292EEE">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DDEEB40">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279A7F6">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w:t>
            </w:r>
          </w:p>
        </w:tc>
        <w:tc>
          <w:tcPr>
            <w:tcW w:w="1440" w:type="dxa"/>
            <w:tcBorders>
              <w:top w:val="nil"/>
              <w:left w:val="nil"/>
              <w:bottom w:val="single" w:color="auto" w:sz="4" w:space="0"/>
              <w:right w:val="single" w:color="auto" w:sz="4" w:space="0"/>
            </w:tcBorders>
            <w:noWrap w:val="0"/>
            <w:vAlign w:val="center"/>
          </w:tcPr>
          <w:p w14:paraId="1BACDE34">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50≤Y＜1000</w:t>
            </w:r>
          </w:p>
        </w:tc>
        <w:tc>
          <w:tcPr>
            <w:tcW w:w="925" w:type="dxa"/>
            <w:tcBorders>
              <w:top w:val="nil"/>
              <w:left w:val="nil"/>
              <w:bottom w:val="single" w:color="auto" w:sz="4" w:space="0"/>
              <w:right w:val="single" w:color="auto" w:sz="4" w:space="0"/>
            </w:tcBorders>
            <w:noWrap w:val="0"/>
            <w:vAlign w:val="center"/>
          </w:tcPr>
          <w:p w14:paraId="38EC9F9A">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34ED6E49">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35E8D5AF">
            <w:pPr>
              <w:pageBreakBefore w:val="0"/>
              <w:widowControl/>
              <w:kinsoku/>
              <w:overflowPunct/>
              <w:topLinePunct w:val="0"/>
              <w:bidi w:val="0"/>
              <w:spacing w:line="360"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房地产开发经营</w:t>
            </w:r>
          </w:p>
        </w:tc>
        <w:tc>
          <w:tcPr>
            <w:tcW w:w="1384" w:type="dxa"/>
            <w:tcBorders>
              <w:top w:val="nil"/>
              <w:left w:val="nil"/>
              <w:bottom w:val="single" w:color="auto" w:sz="4" w:space="0"/>
              <w:right w:val="single" w:color="auto" w:sz="4" w:space="0"/>
            </w:tcBorders>
            <w:noWrap w:val="0"/>
            <w:vAlign w:val="center"/>
          </w:tcPr>
          <w:p w14:paraId="0569455A">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F8CE566">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A8195B5">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1000≤Y＜200000</w:t>
            </w:r>
          </w:p>
        </w:tc>
        <w:tc>
          <w:tcPr>
            <w:tcW w:w="1440" w:type="dxa"/>
            <w:tcBorders>
              <w:top w:val="nil"/>
              <w:left w:val="nil"/>
              <w:bottom w:val="single" w:color="auto" w:sz="4" w:space="0"/>
              <w:right w:val="single" w:color="auto" w:sz="4" w:space="0"/>
            </w:tcBorders>
            <w:noWrap w:val="0"/>
            <w:vAlign w:val="center"/>
          </w:tcPr>
          <w:p w14:paraId="1DB6B234">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100≤X＜1000</w:t>
            </w:r>
          </w:p>
        </w:tc>
        <w:tc>
          <w:tcPr>
            <w:tcW w:w="925" w:type="dxa"/>
            <w:tcBorders>
              <w:top w:val="nil"/>
              <w:left w:val="nil"/>
              <w:bottom w:val="single" w:color="auto" w:sz="4" w:space="0"/>
              <w:right w:val="single" w:color="auto" w:sz="4" w:space="0"/>
            </w:tcBorders>
            <w:noWrap w:val="0"/>
            <w:vAlign w:val="center"/>
          </w:tcPr>
          <w:p w14:paraId="525C3B77">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2E2BE3C3">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188F0E19">
            <w:pPr>
              <w:pageBreakBefore w:val="0"/>
              <w:widowControl/>
              <w:kinsoku/>
              <w:overflowPunct/>
              <w:topLinePunct w:val="0"/>
              <w:bidi w:val="0"/>
              <w:spacing w:line="360" w:lineRule="auto"/>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3D694CDC">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2CE14089">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7E0BFFF7">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5000≤Z＜10000</w:t>
            </w:r>
          </w:p>
        </w:tc>
        <w:tc>
          <w:tcPr>
            <w:tcW w:w="1440" w:type="dxa"/>
            <w:tcBorders>
              <w:top w:val="nil"/>
              <w:left w:val="nil"/>
              <w:bottom w:val="single" w:color="auto" w:sz="4" w:space="0"/>
              <w:right w:val="single" w:color="auto" w:sz="4" w:space="0"/>
            </w:tcBorders>
            <w:noWrap w:val="0"/>
            <w:vAlign w:val="center"/>
          </w:tcPr>
          <w:p w14:paraId="0495D187">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2000≤Y＜5000</w:t>
            </w:r>
          </w:p>
        </w:tc>
        <w:tc>
          <w:tcPr>
            <w:tcW w:w="925" w:type="dxa"/>
            <w:tcBorders>
              <w:top w:val="nil"/>
              <w:left w:val="nil"/>
              <w:bottom w:val="single" w:color="auto" w:sz="4" w:space="0"/>
              <w:right w:val="single" w:color="auto" w:sz="4" w:space="0"/>
            </w:tcBorders>
            <w:noWrap w:val="0"/>
            <w:vAlign w:val="center"/>
          </w:tcPr>
          <w:p w14:paraId="2C6E9878">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w:t>
            </w:r>
          </w:p>
        </w:tc>
      </w:tr>
      <w:tr w14:paraId="75A124C9">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4878F97D">
            <w:pPr>
              <w:pageBreakBefore w:val="0"/>
              <w:widowControl/>
              <w:kinsoku/>
              <w:overflowPunct/>
              <w:topLinePunct w:val="0"/>
              <w:bidi w:val="0"/>
              <w:spacing w:line="360"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物业管理</w:t>
            </w:r>
          </w:p>
        </w:tc>
        <w:tc>
          <w:tcPr>
            <w:tcW w:w="1384" w:type="dxa"/>
            <w:tcBorders>
              <w:top w:val="nil"/>
              <w:left w:val="nil"/>
              <w:bottom w:val="single" w:color="auto" w:sz="4" w:space="0"/>
              <w:right w:val="single" w:color="auto" w:sz="4" w:space="0"/>
            </w:tcBorders>
            <w:noWrap w:val="0"/>
            <w:vAlign w:val="center"/>
          </w:tcPr>
          <w:p w14:paraId="5F40006A">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01DD9632">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0CA82CC3">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257E744D">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925" w:type="dxa"/>
            <w:tcBorders>
              <w:top w:val="nil"/>
              <w:left w:val="nil"/>
              <w:bottom w:val="single" w:color="auto" w:sz="4" w:space="0"/>
              <w:right w:val="single" w:color="auto" w:sz="4" w:space="0"/>
            </w:tcBorders>
            <w:noWrap w:val="0"/>
            <w:vAlign w:val="center"/>
          </w:tcPr>
          <w:p w14:paraId="733A3012">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48144443">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14F11577">
            <w:pPr>
              <w:pageBreakBefore w:val="0"/>
              <w:widowControl/>
              <w:kinsoku/>
              <w:overflowPunct/>
              <w:topLinePunct w:val="0"/>
              <w:bidi w:val="0"/>
              <w:spacing w:line="360" w:lineRule="auto"/>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7878C7B2">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4A0BF461">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0593D36">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1440" w:type="dxa"/>
            <w:tcBorders>
              <w:top w:val="nil"/>
              <w:left w:val="nil"/>
              <w:bottom w:val="single" w:color="auto" w:sz="4" w:space="0"/>
              <w:right w:val="single" w:color="auto" w:sz="4" w:space="0"/>
            </w:tcBorders>
            <w:noWrap w:val="0"/>
            <w:vAlign w:val="center"/>
          </w:tcPr>
          <w:p w14:paraId="5E8A172A">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500≤Y＜1000</w:t>
            </w:r>
          </w:p>
        </w:tc>
        <w:tc>
          <w:tcPr>
            <w:tcW w:w="925" w:type="dxa"/>
            <w:tcBorders>
              <w:top w:val="nil"/>
              <w:left w:val="nil"/>
              <w:bottom w:val="single" w:color="auto" w:sz="4" w:space="0"/>
              <w:right w:val="single" w:color="auto" w:sz="4" w:space="0"/>
            </w:tcBorders>
            <w:noWrap w:val="0"/>
            <w:vAlign w:val="center"/>
          </w:tcPr>
          <w:p w14:paraId="7DCA38D2">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w:t>
            </w:r>
          </w:p>
        </w:tc>
      </w:tr>
      <w:tr w14:paraId="18CEADE8">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00726471">
            <w:pPr>
              <w:pageBreakBefore w:val="0"/>
              <w:widowControl/>
              <w:kinsoku/>
              <w:overflowPunct/>
              <w:topLinePunct w:val="0"/>
              <w:bidi w:val="0"/>
              <w:spacing w:line="360"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租赁和商务服务业</w:t>
            </w:r>
          </w:p>
        </w:tc>
        <w:tc>
          <w:tcPr>
            <w:tcW w:w="1384" w:type="dxa"/>
            <w:tcBorders>
              <w:top w:val="nil"/>
              <w:left w:val="nil"/>
              <w:bottom w:val="single" w:color="auto" w:sz="4" w:space="0"/>
              <w:right w:val="single" w:color="auto" w:sz="4" w:space="0"/>
            </w:tcBorders>
            <w:noWrap w:val="0"/>
            <w:vAlign w:val="center"/>
          </w:tcPr>
          <w:p w14:paraId="5EF9F6CE">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7C8A1ED3">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DD5804F">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3E7CFC73">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04E0EC8A">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121D5A5B">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3395A487">
            <w:pPr>
              <w:pageBreakBefore w:val="0"/>
              <w:widowControl/>
              <w:kinsoku/>
              <w:overflowPunct/>
              <w:topLinePunct w:val="0"/>
              <w:bidi w:val="0"/>
              <w:spacing w:line="360" w:lineRule="auto"/>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4C308320">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45653A20">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D8F1391">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8000≤Z＜120000</w:t>
            </w:r>
          </w:p>
        </w:tc>
        <w:tc>
          <w:tcPr>
            <w:tcW w:w="1440" w:type="dxa"/>
            <w:tcBorders>
              <w:top w:val="nil"/>
              <w:left w:val="nil"/>
              <w:bottom w:val="single" w:color="auto" w:sz="4" w:space="0"/>
              <w:right w:val="single" w:color="auto" w:sz="4" w:space="0"/>
            </w:tcBorders>
            <w:noWrap w:val="0"/>
            <w:vAlign w:val="center"/>
          </w:tcPr>
          <w:p w14:paraId="4DE39A76">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100≤Z＜8000</w:t>
            </w:r>
          </w:p>
        </w:tc>
        <w:tc>
          <w:tcPr>
            <w:tcW w:w="925" w:type="dxa"/>
            <w:tcBorders>
              <w:top w:val="nil"/>
              <w:left w:val="nil"/>
              <w:bottom w:val="single" w:color="auto" w:sz="4" w:space="0"/>
              <w:right w:val="single" w:color="auto" w:sz="4" w:space="0"/>
            </w:tcBorders>
            <w:noWrap w:val="0"/>
            <w:vAlign w:val="center"/>
          </w:tcPr>
          <w:p w14:paraId="2F8C7BF9">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7A339C06">
        <w:tblPrEx>
          <w:tblCellMar>
            <w:top w:w="0" w:type="dxa"/>
            <w:left w:w="108" w:type="dxa"/>
            <w:bottom w:w="0" w:type="dxa"/>
            <w:right w:w="108" w:type="dxa"/>
          </w:tblCellMar>
        </w:tblPrEx>
        <w:trPr>
          <w:trHeight w:val="225" w:hRule="atLeast"/>
          <w:jc w:val="center"/>
        </w:trPr>
        <w:tc>
          <w:tcPr>
            <w:tcW w:w="1701" w:type="dxa"/>
            <w:tcBorders>
              <w:top w:val="nil"/>
              <w:left w:val="single" w:color="auto" w:sz="4" w:space="0"/>
              <w:bottom w:val="single" w:color="auto" w:sz="4" w:space="0"/>
              <w:right w:val="single" w:color="auto" w:sz="4" w:space="0"/>
            </w:tcBorders>
            <w:noWrap w:val="0"/>
            <w:vAlign w:val="bottom"/>
          </w:tcPr>
          <w:p w14:paraId="1F33FF4B">
            <w:pPr>
              <w:pageBreakBefore w:val="0"/>
              <w:widowControl/>
              <w:kinsoku/>
              <w:overflowPunct/>
              <w:topLinePunct w:val="0"/>
              <w:bidi w:val="0"/>
              <w:spacing w:line="360"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其他未列明行业</w:t>
            </w:r>
          </w:p>
        </w:tc>
        <w:tc>
          <w:tcPr>
            <w:tcW w:w="1384" w:type="dxa"/>
            <w:tcBorders>
              <w:top w:val="nil"/>
              <w:left w:val="nil"/>
              <w:bottom w:val="single" w:color="auto" w:sz="4" w:space="0"/>
              <w:right w:val="single" w:color="auto" w:sz="4" w:space="0"/>
            </w:tcBorders>
            <w:noWrap w:val="0"/>
            <w:vAlign w:val="center"/>
          </w:tcPr>
          <w:p w14:paraId="1C8FE4DA">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32393164">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8510570">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65F66445">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4583DE21">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bl>
    <w:p w14:paraId="50151924">
      <w:pPr>
        <w:pageBreakBefore w:val="0"/>
        <w:kinsoku/>
        <w:overflowPunct/>
        <w:topLinePunct w:val="0"/>
        <w:bidi w:val="0"/>
        <w:spacing w:line="360" w:lineRule="auto"/>
        <w:ind w:firstLine="450" w:firstLineChars="250"/>
        <w:rPr>
          <w:rFonts w:hint="eastAsia" w:ascii="宋体" w:hAnsi="宋体" w:eastAsia="宋体" w:cs="宋体"/>
          <w:color w:val="auto"/>
          <w:highlight w:val="none"/>
        </w:rPr>
      </w:pPr>
      <w:r>
        <w:rPr>
          <w:rFonts w:hint="eastAsia" w:ascii="宋体" w:hAnsi="宋体" w:eastAsia="宋体" w:cs="宋体"/>
          <w:color w:val="auto"/>
          <w:sz w:val="18"/>
          <w:szCs w:val="18"/>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2E156C5B">
      <w:pPr>
        <w:pStyle w:val="39"/>
        <w:pageBreakBefore w:val="0"/>
        <w:overflowPunct/>
        <w:topLinePunct w:val="0"/>
        <w:bidi w:val="0"/>
        <w:spacing w:line="360" w:lineRule="auto"/>
        <w:rPr>
          <w:rFonts w:hint="eastAsia" w:ascii="宋体" w:hAnsi="宋体" w:eastAsia="宋体" w:cs="宋体"/>
          <w:b/>
          <w:bCs/>
          <w:color w:val="auto"/>
          <w:sz w:val="24"/>
          <w:szCs w:val="24"/>
          <w:highlight w:val="none"/>
          <w:lang w:val="en-US" w:eastAsia="zh-CN"/>
        </w:rPr>
      </w:pPr>
    </w:p>
    <w:p w14:paraId="582AFAA5">
      <w:pPr>
        <w:pageBreakBefore w:val="0"/>
        <w:numPr>
          <w:ilvl w:val="0"/>
          <w:numId w:val="0"/>
        </w:numPr>
        <w:overflowPunct/>
        <w:topLinePunct w:val="0"/>
        <w:bidi w:val="0"/>
        <w:spacing w:line="360" w:lineRule="auto"/>
        <w:rPr>
          <w:rFonts w:hint="eastAsia" w:ascii="宋体" w:hAnsi="宋体" w:eastAsia="宋体" w:cs="宋体"/>
          <w:b/>
          <w:bCs/>
          <w:color w:val="auto"/>
          <w:sz w:val="24"/>
          <w:szCs w:val="24"/>
          <w:highlight w:val="none"/>
          <w:lang w:val="en-US" w:eastAsia="zh-CN"/>
        </w:rPr>
      </w:pPr>
    </w:p>
    <w:p w14:paraId="352F44DD">
      <w:pPr>
        <w:pageBreakBefore w:val="0"/>
        <w:overflowPunct/>
        <w:topLinePunct w:val="0"/>
        <w:bidi w:val="0"/>
        <w:spacing w:line="360" w:lineRule="auto"/>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注：</w:t>
      </w:r>
      <w:r>
        <w:rPr>
          <w:rFonts w:hint="eastAsia" w:ascii="宋体" w:hAnsi="宋体" w:eastAsia="宋体" w:cs="宋体"/>
          <w:b/>
          <w:bCs/>
          <w:color w:val="auto"/>
          <w:sz w:val="24"/>
          <w:highlight w:val="none"/>
          <w:lang w:val="en-US" w:eastAsia="zh-CN"/>
        </w:rPr>
        <w:t>1.</w:t>
      </w:r>
      <w:r>
        <w:rPr>
          <w:rFonts w:hint="eastAsia" w:ascii="宋体" w:hAnsi="宋体" w:eastAsia="宋体" w:cs="宋体"/>
          <w:b/>
          <w:color w:val="auto"/>
          <w:sz w:val="24"/>
          <w:highlight w:val="none"/>
          <w:u w:val="single"/>
        </w:rPr>
        <w:t>上述材料缺少任何一项或任何一项无效均会被视为资格审查不合格，作无效磋商处理</w:t>
      </w:r>
      <w:r>
        <w:rPr>
          <w:rFonts w:hint="eastAsia" w:ascii="宋体" w:hAnsi="宋体" w:eastAsia="宋体" w:cs="宋体"/>
          <w:b/>
          <w:color w:val="auto"/>
          <w:sz w:val="24"/>
          <w:highlight w:val="none"/>
        </w:rPr>
        <w:t>。</w:t>
      </w:r>
    </w:p>
    <w:p w14:paraId="14782A68">
      <w:pPr>
        <w:pageBreakBefore w:val="0"/>
        <w:numPr>
          <w:ilvl w:val="0"/>
          <w:numId w:val="10"/>
        </w:numPr>
        <w:overflowPunct/>
        <w:topLinePunct w:val="0"/>
        <w:bidi w:val="0"/>
        <w:spacing w:line="360" w:lineRule="auto"/>
        <w:ind w:firstLine="480" w:firstLineChars="200"/>
        <w:rPr>
          <w:rFonts w:hint="eastAsia" w:ascii="宋体" w:hAnsi="宋体" w:eastAsia="宋体" w:cs="宋体"/>
          <w:b/>
          <w:color w:val="auto"/>
          <w:sz w:val="24"/>
          <w:highlight w:val="none"/>
          <w:u w:val="single"/>
          <w:lang w:val="en-US" w:eastAsia="zh-CN"/>
        </w:rPr>
      </w:pPr>
      <w:r>
        <w:rPr>
          <w:rFonts w:hint="eastAsia" w:ascii="宋体" w:hAnsi="宋体" w:eastAsia="宋体" w:cs="宋体"/>
          <w:b/>
          <w:color w:val="auto"/>
          <w:sz w:val="24"/>
          <w:highlight w:val="none"/>
          <w:u w:val="single"/>
          <w:lang w:val="en-US" w:eastAsia="zh-CN"/>
        </w:rPr>
        <w:t>以上材料属于复印件的扫描件的，必须加盖供应商电子公章，否则响应文件按无效响应处理。</w:t>
      </w:r>
    </w:p>
    <w:p w14:paraId="0995DF69">
      <w:pPr>
        <w:pStyle w:val="15"/>
        <w:pageBreakBefore w:val="0"/>
        <w:overflowPunct/>
        <w:topLinePunct w:val="0"/>
        <w:bidi w:val="0"/>
        <w:spacing w:line="360" w:lineRule="auto"/>
        <w:ind w:firstLine="480" w:firstLineChars="200"/>
        <w:rPr>
          <w:rFonts w:hint="eastAsia" w:ascii="宋体" w:hAnsi="宋体" w:eastAsia="宋体" w:cs="宋体"/>
          <w:b/>
          <w:bCs w:val="0"/>
          <w:color w:val="auto"/>
          <w:kern w:val="2"/>
          <w:sz w:val="24"/>
          <w:szCs w:val="24"/>
          <w:highlight w:val="none"/>
          <w:lang w:val="en-US" w:eastAsia="zh-CN" w:bidi="ar-SA"/>
        </w:rPr>
      </w:pPr>
    </w:p>
    <w:p w14:paraId="4EBCEF4C">
      <w:pPr>
        <w:pStyle w:val="15"/>
        <w:pageBreakBefore w:val="0"/>
        <w:overflowPunct/>
        <w:topLinePunct w:val="0"/>
        <w:bidi w:val="0"/>
        <w:spacing w:line="360" w:lineRule="auto"/>
        <w:ind w:firstLine="480" w:firstLineChars="200"/>
        <w:rPr>
          <w:rFonts w:hint="eastAsia" w:ascii="宋体" w:hAnsi="宋体" w:eastAsia="宋体" w:cs="宋体"/>
          <w:b/>
          <w:bCs w:val="0"/>
          <w:color w:val="auto"/>
          <w:kern w:val="2"/>
          <w:sz w:val="24"/>
          <w:szCs w:val="24"/>
          <w:highlight w:val="none"/>
          <w:lang w:val="en-US" w:eastAsia="zh-CN" w:bidi="ar-SA"/>
        </w:rPr>
      </w:pPr>
    </w:p>
    <w:p w14:paraId="1C5DFD8B">
      <w:pPr>
        <w:pStyle w:val="15"/>
        <w:pageBreakBefore w:val="0"/>
        <w:overflowPunct/>
        <w:topLinePunct w:val="0"/>
        <w:bidi w:val="0"/>
        <w:spacing w:line="360" w:lineRule="auto"/>
        <w:ind w:firstLine="480" w:firstLineChars="200"/>
        <w:rPr>
          <w:rFonts w:hint="eastAsia" w:ascii="宋体" w:hAnsi="宋体" w:eastAsia="宋体" w:cs="宋体"/>
          <w:color w:val="auto"/>
          <w:sz w:val="28"/>
          <w:szCs w:val="28"/>
          <w:highlight w:val="none"/>
        </w:rPr>
      </w:pPr>
      <w:r>
        <w:rPr>
          <w:rFonts w:hint="eastAsia" w:ascii="宋体" w:hAnsi="宋体" w:eastAsia="宋体" w:cs="宋体"/>
          <w:b/>
          <w:bCs w:val="0"/>
          <w:color w:val="auto"/>
          <w:kern w:val="2"/>
          <w:sz w:val="24"/>
          <w:szCs w:val="24"/>
          <w:highlight w:val="none"/>
          <w:lang w:val="en-US" w:eastAsia="zh-CN" w:bidi="ar-SA"/>
        </w:rPr>
        <w:t>（8）磋商供应商认为必要提供的声明及文件资料</w:t>
      </w:r>
      <w:r>
        <w:rPr>
          <w:rFonts w:hint="eastAsia" w:ascii="宋体" w:hAnsi="宋体" w:eastAsia="宋体" w:cs="宋体"/>
          <w:b/>
          <w:bCs w:val="0"/>
          <w:color w:val="auto"/>
          <w:sz w:val="24"/>
          <w:szCs w:val="24"/>
          <w:highlight w:val="none"/>
          <w:lang w:eastAsia="zh-CN"/>
        </w:rPr>
        <w:t>。</w:t>
      </w:r>
    </w:p>
    <w:p w14:paraId="6892DA40">
      <w:pPr>
        <w:pageBreakBefore w:val="0"/>
        <w:overflowPunct/>
        <w:topLinePunct w:val="0"/>
        <w:bidi w:val="0"/>
        <w:spacing w:line="360" w:lineRule="auto"/>
        <w:rPr>
          <w:rFonts w:hint="eastAsia" w:ascii="宋体" w:hAnsi="宋体" w:eastAsia="宋体" w:cs="宋体"/>
          <w:color w:val="auto"/>
          <w:highlight w:val="none"/>
          <w:lang w:val="en-US" w:eastAsia="zh-CN"/>
        </w:rPr>
      </w:pPr>
    </w:p>
    <w:p w14:paraId="5A83CE49">
      <w:pPr>
        <w:pageBreakBefore w:val="0"/>
        <w:overflowPunct/>
        <w:topLinePunct w:val="0"/>
        <w:bidi w:val="0"/>
        <w:spacing w:line="360" w:lineRule="auto"/>
        <w:rPr>
          <w:rFonts w:hint="eastAsia" w:ascii="宋体" w:hAnsi="宋体" w:eastAsia="宋体" w:cs="宋体"/>
          <w:color w:val="auto"/>
          <w:highlight w:val="none"/>
          <w:lang w:val="en-US" w:eastAsia="zh-CN"/>
        </w:rPr>
      </w:pPr>
    </w:p>
    <w:p w14:paraId="0964E834">
      <w:pPr>
        <w:pStyle w:val="15"/>
        <w:pageBreakBefore w:val="0"/>
        <w:overflowPunct/>
        <w:topLinePunct w:val="0"/>
        <w:bidi w:val="0"/>
        <w:spacing w:line="360" w:lineRule="auto"/>
        <w:rPr>
          <w:rFonts w:hint="eastAsia" w:ascii="宋体" w:hAnsi="宋体" w:eastAsia="宋体" w:cs="宋体"/>
          <w:color w:val="auto"/>
          <w:highlight w:val="none"/>
          <w:lang w:val="en-US" w:eastAsia="zh-CN"/>
        </w:rPr>
      </w:pPr>
    </w:p>
    <w:p w14:paraId="48AACF63">
      <w:pPr>
        <w:pStyle w:val="40"/>
        <w:pageBreakBefore w:val="0"/>
        <w:widowControl w:val="0"/>
        <w:numPr>
          <w:ilvl w:val="0"/>
          <w:numId w:val="0"/>
        </w:numPr>
        <w:overflowPunct/>
        <w:topLinePunct w:val="0"/>
        <w:autoSpaceDE w:val="0"/>
        <w:autoSpaceDN w:val="0"/>
        <w:bidi w:val="0"/>
        <w:adjustRightInd w:val="0"/>
        <w:spacing w:line="360" w:lineRule="auto"/>
        <w:rPr>
          <w:rFonts w:hint="eastAsia" w:ascii="宋体" w:hAnsi="宋体" w:eastAsia="宋体" w:cs="宋体"/>
          <w:color w:val="auto"/>
          <w:highlight w:val="none"/>
          <w:lang w:val="en-US" w:eastAsia="zh-CN"/>
        </w:rPr>
      </w:pPr>
    </w:p>
    <w:p w14:paraId="50AE2E84">
      <w:pPr>
        <w:pStyle w:val="41"/>
        <w:pageBreakBefore w:val="0"/>
        <w:overflowPunct/>
        <w:topLinePunct w:val="0"/>
        <w:bidi w:val="0"/>
        <w:spacing w:line="360" w:lineRule="auto"/>
        <w:rPr>
          <w:rFonts w:hint="eastAsia" w:ascii="宋体" w:hAnsi="宋体" w:eastAsia="宋体" w:cs="宋体"/>
          <w:color w:val="auto"/>
          <w:highlight w:val="none"/>
          <w:lang w:val="en-US" w:eastAsia="zh-CN"/>
        </w:rPr>
      </w:pPr>
    </w:p>
    <w:p w14:paraId="49430308">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p>
    <w:p w14:paraId="28C300DC">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p>
    <w:p w14:paraId="16F9B87C">
      <w:pPr>
        <w:pageBreakBefore w:val="0"/>
        <w:overflowPunct/>
        <w:topLinePunct w:val="0"/>
        <w:bidi w:val="0"/>
        <w:spacing w:line="360" w:lineRule="auto"/>
        <w:rPr>
          <w:rFonts w:hint="eastAsia" w:ascii="宋体" w:hAnsi="宋体" w:eastAsia="宋体" w:cs="宋体"/>
          <w:b/>
          <w:color w:val="auto"/>
          <w:kern w:val="44"/>
          <w:sz w:val="28"/>
          <w:szCs w:val="28"/>
          <w:highlight w:val="none"/>
          <w:lang w:val="en-US" w:eastAsia="zh-CN"/>
        </w:rPr>
      </w:pPr>
      <w:r>
        <w:rPr>
          <w:rFonts w:hint="eastAsia" w:ascii="宋体" w:hAnsi="宋体" w:eastAsia="宋体" w:cs="宋体"/>
          <w:b/>
          <w:color w:val="auto"/>
          <w:kern w:val="44"/>
          <w:sz w:val="28"/>
          <w:szCs w:val="28"/>
          <w:highlight w:val="none"/>
          <w:lang w:val="en-US" w:eastAsia="zh-CN"/>
        </w:rPr>
        <w:br w:type="page"/>
      </w:r>
    </w:p>
    <w:p w14:paraId="76F968BA">
      <w:pPr>
        <w:pageBreakBefore w:val="0"/>
        <w:overflowPunct/>
        <w:topLinePunct w:val="0"/>
        <w:bidi w:val="0"/>
        <w:spacing w:line="360" w:lineRule="auto"/>
        <w:jc w:val="both"/>
        <w:rPr>
          <w:rFonts w:hint="eastAsia" w:ascii="宋体" w:hAnsi="宋体" w:eastAsia="宋体" w:cs="宋体"/>
          <w:b/>
          <w:color w:val="auto"/>
          <w:kern w:val="44"/>
          <w:sz w:val="28"/>
          <w:szCs w:val="28"/>
          <w:highlight w:val="none"/>
        </w:rPr>
      </w:pPr>
      <w:r>
        <w:rPr>
          <w:rFonts w:hint="eastAsia" w:ascii="宋体" w:hAnsi="宋体" w:eastAsia="宋体" w:cs="宋体"/>
          <w:b/>
          <w:color w:val="auto"/>
          <w:kern w:val="44"/>
          <w:sz w:val="28"/>
          <w:szCs w:val="28"/>
          <w:highlight w:val="none"/>
          <w:lang w:val="en-US" w:eastAsia="zh-CN"/>
        </w:rPr>
        <w:t>第三节  报价</w:t>
      </w:r>
      <w:r>
        <w:rPr>
          <w:rFonts w:hint="eastAsia" w:ascii="宋体" w:hAnsi="宋体" w:eastAsia="宋体" w:cs="宋体"/>
          <w:b/>
          <w:color w:val="auto"/>
          <w:kern w:val="44"/>
          <w:sz w:val="28"/>
          <w:szCs w:val="28"/>
          <w:highlight w:val="none"/>
        </w:rPr>
        <w:t>文件格式</w:t>
      </w:r>
    </w:p>
    <w:p w14:paraId="6B54BE02">
      <w:pPr>
        <w:pStyle w:val="40"/>
        <w:pageBreakBefore w:val="0"/>
        <w:overflowPunct/>
        <w:topLinePunct w:val="0"/>
        <w:bidi w:val="0"/>
        <w:spacing w:line="360" w:lineRule="auto"/>
        <w:rPr>
          <w:rFonts w:hint="eastAsia" w:ascii="宋体" w:hAnsi="宋体" w:eastAsia="宋体" w:cs="宋体"/>
          <w:color w:val="auto"/>
          <w:highlight w:val="none"/>
        </w:rPr>
      </w:pPr>
    </w:p>
    <w:p w14:paraId="0D139BB3">
      <w:pPr>
        <w:pageBreakBefore w:val="0"/>
        <w:widowControl/>
        <w:kinsoku w:val="0"/>
        <w:overflowPunct/>
        <w:topLinePunct w:val="0"/>
        <w:autoSpaceDE w:val="0"/>
        <w:autoSpaceDN w:val="0"/>
        <w:bidi w:val="0"/>
        <w:adjustRightInd w:val="0"/>
        <w:snapToGrid w:val="0"/>
        <w:spacing w:before="69" w:line="360" w:lineRule="auto"/>
        <w:ind w:firstLine="6250"/>
        <w:jc w:val="righ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pacing w:val="-2"/>
          <w:kern w:val="0"/>
          <w:sz w:val="24"/>
          <w:szCs w:val="24"/>
          <w:highlight w:val="none"/>
        </w:rPr>
        <w:t>全流程电子文件</w:t>
      </w:r>
    </w:p>
    <w:p w14:paraId="231251A5">
      <w:pPr>
        <w:pageBreakBefore w:val="0"/>
        <w:overflowPunct/>
        <w:topLinePunct w:val="0"/>
        <w:bidi w:val="0"/>
        <w:spacing w:line="360" w:lineRule="auto"/>
        <w:jc w:val="both"/>
        <w:rPr>
          <w:rFonts w:hint="eastAsia" w:ascii="宋体" w:hAnsi="宋体" w:eastAsia="宋体" w:cs="宋体"/>
          <w:color w:val="auto"/>
          <w:sz w:val="28"/>
          <w:szCs w:val="28"/>
          <w:highlight w:val="none"/>
          <w:u w:val="single"/>
        </w:rPr>
      </w:pPr>
    </w:p>
    <w:p w14:paraId="2630E5D0">
      <w:pPr>
        <w:pageBreakBefore w:val="0"/>
        <w:overflowPunct/>
        <w:topLinePunct w:val="0"/>
        <w:bidi w:val="0"/>
        <w:spacing w:line="360" w:lineRule="auto"/>
        <w:jc w:val="center"/>
        <w:rPr>
          <w:rFonts w:hint="eastAsia" w:ascii="宋体" w:hAnsi="宋体" w:eastAsia="宋体" w:cs="宋体"/>
          <w:b/>
          <w:bCs/>
          <w:color w:val="auto"/>
          <w:sz w:val="28"/>
          <w:szCs w:val="28"/>
          <w:highlight w:val="none"/>
          <w:lang w:val="en-US" w:eastAsia="zh-CN"/>
        </w:rPr>
      </w:pPr>
    </w:p>
    <w:p w14:paraId="3893F674">
      <w:pPr>
        <w:pageBreakBefore w:val="0"/>
        <w:overflowPunct/>
        <w:topLinePunct w:val="0"/>
        <w:bidi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报  价</w:t>
      </w:r>
      <w:r>
        <w:rPr>
          <w:rFonts w:hint="eastAsia" w:ascii="宋体" w:hAnsi="宋体" w:eastAsia="宋体" w:cs="宋体"/>
          <w:b/>
          <w:bCs/>
          <w:color w:val="auto"/>
          <w:sz w:val="28"/>
          <w:szCs w:val="28"/>
          <w:highlight w:val="none"/>
        </w:rPr>
        <w:t xml:space="preserve">  文  件（封面）</w:t>
      </w:r>
    </w:p>
    <w:p w14:paraId="4DEF9B84">
      <w:pPr>
        <w:pageBreakBefore w:val="0"/>
        <w:overflowPunct/>
        <w:topLinePunct w:val="0"/>
        <w:bidi w:val="0"/>
        <w:spacing w:line="360" w:lineRule="auto"/>
        <w:jc w:val="both"/>
        <w:rPr>
          <w:rFonts w:hint="eastAsia" w:ascii="宋体" w:hAnsi="宋体" w:eastAsia="宋体" w:cs="宋体"/>
          <w:b/>
          <w:bCs/>
          <w:color w:val="auto"/>
          <w:sz w:val="28"/>
          <w:szCs w:val="28"/>
          <w:highlight w:val="none"/>
        </w:rPr>
      </w:pPr>
    </w:p>
    <w:p w14:paraId="400E1EF7">
      <w:pPr>
        <w:pageBreakBefore w:val="0"/>
        <w:overflowPunct/>
        <w:topLinePunct w:val="0"/>
        <w:bidi w:val="0"/>
        <w:spacing w:before="312" w:beforeLines="100" w:line="360" w:lineRule="auto"/>
        <w:jc w:val="center"/>
        <w:rPr>
          <w:rFonts w:hint="eastAsia"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响 应 文 件</w:t>
      </w:r>
    </w:p>
    <w:p w14:paraId="18A37D59">
      <w:pPr>
        <w:pageBreakBefore w:val="0"/>
        <w:overflowPunct/>
        <w:topLinePunct w:val="0"/>
        <w:bidi w:val="0"/>
        <w:spacing w:line="360" w:lineRule="auto"/>
        <w:ind w:firstLine="2380" w:firstLineChars="850"/>
        <w:rPr>
          <w:rFonts w:hint="eastAsia" w:ascii="宋体" w:hAnsi="宋体" w:eastAsia="宋体" w:cs="宋体"/>
          <w:b/>
          <w:bCs/>
          <w:color w:val="auto"/>
          <w:sz w:val="28"/>
          <w:szCs w:val="28"/>
          <w:highlight w:val="none"/>
          <w:lang w:val="en-US" w:eastAsia="zh-CN"/>
        </w:rPr>
      </w:pPr>
    </w:p>
    <w:p w14:paraId="67EDF266">
      <w:pPr>
        <w:pageBreakBefore w:val="0"/>
        <w:overflowPunct/>
        <w:topLinePunct w:val="0"/>
        <w:bidi w:val="0"/>
        <w:spacing w:line="360" w:lineRule="auto"/>
        <w:ind w:firstLine="2380" w:firstLineChars="85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项目名称：</w:t>
      </w:r>
    </w:p>
    <w:p w14:paraId="331B511B">
      <w:pPr>
        <w:pageBreakBefore w:val="0"/>
        <w:overflowPunct/>
        <w:topLinePunct w:val="0"/>
        <w:bidi w:val="0"/>
        <w:spacing w:line="360" w:lineRule="auto"/>
        <w:ind w:firstLine="2380" w:firstLineChars="85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项目编号：</w:t>
      </w:r>
    </w:p>
    <w:p w14:paraId="19852AB8">
      <w:pPr>
        <w:pageBreakBefore w:val="0"/>
        <w:overflowPunct/>
        <w:topLinePunct w:val="0"/>
        <w:bidi w:val="0"/>
        <w:spacing w:line="360" w:lineRule="auto"/>
        <w:rPr>
          <w:rFonts w:hint="eastAsia" w:ascii="宋体" w:hAnsi="宋体" w:eastAsia="宋体" w:cs="宋体"/>
          <w:b/>
          <w:bCs/>
          <w:color w:val="auto"/>
          <w:sz w:val="28"/>
          <w:szCs w:val="28"/>
          <w:highlight w:val="none"/>
        </w:rPr>
      </w:pPr>
    </w:p>
    <w:p w14:paraId="442ACDF1">
      <w:pPr>
        <w:pageBreakBefore w:val="0"/>
        <w:overflowPunct/>
        <w:topLinePunct w:val="0"/>
        <w:bidi w:val="0"/>
        <w:spacing w:line="360" w:lineRule="auto"/>
        <w:jc w:val="both"/>
        <w:rPr>
          <w:rFonts w:hint="eastAsia" w:ascii="宋体" w:hAnsi="宋体" w:eastAsia="宋体" w:cs="宋体"/>
          <w:b/>
          <w:bCs/>
          <w:color w:val="auto"/>
          <w:sz w:val="28"/>
          <w:szCs w:val="28"/>
          <w:highlight w:val="none"/>
        </w:rPr>
      </w:pPr>
    </w:p>
    <w:p w14:paraId="1F716EA4">
      <w:pPr>
        <w:pageBreakBefore w:val="0"/>
        <w:overflowPunct/>
        <w:topLinePunct w:val="0"/>
        <w:bidi w:val="0"/>
        <w:spacing w:line="360" w:lineRule="auto"/>
        <w:jc w:val="center"/>
        <w:rPr>
          <w:rFonts w:hint="eastAsia" w:ascii="宋体" w:hAnsi="宋体" w:eastAsia="宋体" w:cs="宋体"/>
          <w:b/>
          <w:bCs/>
          <w:color w:val="auto"/>
          <w:sz w:val="28"/>
          <w:szCs w:val="28"/>
          <w:highlight w:val="none"/>
        </w:rPr>
      </w:pPr>
    </w:p>
    <w:p w14:paraId="58722EC1">
      <w:pPr>
        <w:pageBreakBefore w:val="0"/>
        <w:overflowPunct/>
        <w:topLinePunct w:val="0"/>
        <w:bidi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eastAsia="zh-CN"/>
        </w:rPr>
        <w:t>磋商供应商</w:t>
      </w:r>
      <w:r>
        <w:rPr>
          <w:rFonts w:hint="eastAsia" w:ascii="宋体" w:hAnsi="宋体" w:eastAsia="宋体" w:cs="宋体"/>
          <w:b/>
          <w:bCs/>
          <w:color w:val="auto"/>
          <w:sz w:val="28"/>
          <w:szCs w:val="28"/>
          <w:highlight w:val="none"/>
        </w:rPr>
        <w:t>：</w:t>
      </w:r>
      <w:r>
        <w:rPr>
          <w:rFonts w:hint="eastAsia" w:ascii="宋体" w:hAnsi="宋体" w:eastAsia="宋体" w:cs="宋体"/>
          <w:b/>
          <w:bCs/>
          <w:color w:val="auto"/>
          <w:sz w:val="28"/>
          <w:szCs w:val="28"/>
          <w:highlight w:val="none"/>
          <w:u w:val="single"/>
        </w:rPr>
        <w:t xml:space="preserve">                </w:t>
      </w:r>
      <w:r>
        <w:rPr>
          <w:rFonts w:hint="eastAsia" w:ascii="宋体" w:hAnsi="宋体" w:eastAsia="宋体" w:cs="宋体"/>
          <w:b/>
          <w:bCs/>
          <w:color w:val="auto"/>
          <w:sz w:val="28"/>
          <w:szCs w:val="28"/>
          <w:highlight w:val="none"/>
        </w:rPr>
        <w:t>（公章</w:t>
      </w:r>
      <w:r>
        <w:rPr>
          <w:rFonts w:hint="eastAsia" w:ascii="宋体" w:hAnsi="宋体" w:eastAsia="宋体" w:cs="宋体"/>
          <w:b/>
          <w:bCs/>
          <w:color w:val="auto"/>
          <w:sz w:val="28"/>
          <w:szCs w:val="28"/>
          <w:highlight w:val="none"/>
          <w:lang w:val="en-US" w:eastAsia="zh-CN"/>
        </w:rPr>
        <w:t>或</w:t>
      </w:r>
      <w:r>
        <w:rPr>
          <w:rFonts w:hint="eastAsia" w:ascii="宋体" w:hAnsi="宋体" w:eastAsia="宋体" w:cs="宋体"/>
          <w:b/>
          <w:bCs/>
          <w:color w:val="auto"/>
          <w:sz w:val="28"/>
          <w:szCs w:val="28"/>
          <w:highlight w:val="none"/>
        </w:rPr>
        <w:t>电子签章）</w:t>
      </w:r>
    </w:p>
    <w:p w14:paraId="49D2D967">
      <w:pPr>
        <w:pageBreakBefore w:val="0"/>
        <w:overflowPunct/>
        <w:topLinePunct w:val="0"/>
        <w:bidi w:val="0"/>
        <w:spacing w:line="360" w:lineRule="auto"/>
        <w:ind w:firstLine="1400" w:firstLineChars="50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法定代表人或其委托代理人：</w:t>
      </w:r>
      <w:r>
        <w:rPr>
          <w:rFonts w:hint="eastAsia" w:ascii="宋体" w:hAnsi="宋体" w:eastAsia="宋体" w:cs="宋体"/>
          <w:b/>
          <w:bCs/>
          <w:color w:val="auto"/>
          <w:sz w:val="28"/>
          <w:szCs w:val="28"/>
          <w:highlight w:val="none"/>
          <w:u w:val="single"/>
        </w:rPr>
        <w:t xml:space="preserve">           </w:t>
      </w:r>
      <w:r>
        <w:rPr>
          <w:rFonts w:hint="eastAsia" w:ascii="宋体" w:hAnsi="宋体" w:eastAsia="宋体" w:cs="宋体"/>
          <w:b/>
          <w:bCs/>
          <w:color w:val="auto"/>
          <w:sz w:val="28"/>
          <w:szCs w:val="28"/>
          <w:highlight w:val="none"/>
        </w:rPr>
        <w:t>（手写签名</w:t>
      </w:r>
      <w:r>
        <w:rPr>
          <w:rFonts w:hint="eastAsia" w:ascii="宋体" w:hAnsi="宋体" w:eastAsia="宋体" w:cs="宋体"/>
          <w:b/>
          <w:bCs/>
          <w:color w:val="auto"/>
          <w:sz w:val="28"/>
          <w:szCs w:val="28"/>
          <w:highlight w:val="none"/>
          <w:lang w:val="en-US" w:eastAsia="zh-CN"/>
        </w:rPr>
        <w:t>或</w:t>
      </w:r>
      <w:r>
        <w:rPr>
          <w:rFonts w:hint="eastAsia" w:ascii="宋体" w:hAnsi="宋体" w:eastAsia="宋体" w:cs="宋体"/>
          <w:b/>
          <w:bCs/>
          <w:color w:val="auto"/>
          <w:sz w:val="28"/>
          <w:szCs w:val="28"/>
          <w:highlight w:val="none"/>
        </w:rPr>
        <w:t>电子签名）</w:t>
      </w:r>
    </w:p>
    <w:p w14:paraId="6AE0A97C">
      <w:pPr>
        <w:pageBreakBefore w:val="0"/>
        <w:overflowPunct/>
        <w:topLinePunct w:val="0"/>
        <w:bidi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年</w:t>
      </w:r>
      <w:r>
        <w:rPr>
          <w:rFonts w:hint="eastAsia" w:ascii="宋体" w:hAnsi="宋体" w:eastAsia="宋体" w:cs="宋体"/>
          <w:b/>
          <w:bCs/>
          <w:color w:val="auto"/>
          <w:sz w:val="28"/>
          <w:szCs w:val="28"/>
          <w:highlight w:val="none"/>
          <w:u w:val="single"/>
        </w:rPr>
        <w:t xml:space="preserve">         </w:t>
      </w:r>
      <w:r>
        <w:rPr>
          <w:rFonts w:hint="eastAsia" w:ascii="宋体" w:hAnsi="宋体" w:eastAsia="宋体" w:cs="宋体"/>
          <w:b/>
          <w:bCs/>
          <w:color w:val="auto"/>
          <w:sz w:val="28"/>
          <w:szCs w:val="28"/>
          <w:highlight w:val="none"/>
        </w:rPr>
        <w:t>月</w:t>
      </w:r>
      <w:r>
        <w:rPr>
          <w:rFonts w:hint="eastAsia" w:ascii="宋体" w:hAnsi="宋体" w:eastAsia="宋体" w:cs="宋体"/>
          <w:b/>
          <w:bCs/>
          <w:color w:val="auto"/>
          <w:sz w:val="28"/>
          <w:szCs w:val="28"/>
          <w:highlight w:val="none"/>
          <w:u w:val="single"/>
        </w:rPr>
        <w:t xml:space="preserve">         </w:t>
      </w:r>
      <w:r>
        <w:rPr>
          <w:rFonts w:hint="eastAsia" w:ascii="宋体" w:hAnsi="宋体" w:eastAsia="宋体" w:cs="宋体"/>
          <w:b/>
          <w:bCs/>
          <w:color w:val="auto"/>
          <w:sz w:val="28"/>
          <w:szCs w:val="28"/>
          <w:highlight w:val="none"/>
        </w:rPr>
        <w:t>日</w:t>
      </w:r>
    </w:p>
    <w:p w14:paraId="30674E7A">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p>
    <w:p w14:paraId="2E25B1C5">
      <w:pPr>
        <w:pageBreakBefore w:val="0"/>
        <w:overflowPunct/>
        <w:topLinePunct w:val="0"/>
        <w:bidi w:val="0"/>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7A89F93B">
      <w:pPr>
        <w:pageBreakBefore w:val="0"/>
        <w:overflowPunct/>
        <w:topLinePunct w:val="0"/>
        <w:bidi w:val="0"/>
        <w:spacing w:line="360" w:lineRule="auto"/>
        <w:ind w:right="-153" w:rightChars="-73"/>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目录</w:t>
      </w:r>
    </w:p>
    <w:p w14:paraId="39E8E9CE">
      <w:pPr>
        <w:pageBreakBefore w:val="0"/>
        <w:overflowPunct/>
        <w:topLinePunct w:val="0"/>
        <w:bidi w:val="0"/>
        <w:spacing w:line="360" w:lineRule="auto"/>
        <w:ind w:right="-153" w:rightChars="-73"/>
        <w:jc w:val="center"/>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rPr>
        <w:t>（</w:t>
      </w:r>
      <w:r>
        <w:rPr>
          <w:rFonts w:hint="eastAsia" w:ascii="宋体" w:hAnsi="宋体" w:eastAsia="宋体" w:cs="宋体"/>
          <w:b w:val="0"/>
          <w:bCs/>
          <w:color w:val="auto"/>
          <w:sz w:val="18"/>
          <w:szCs w:val="18"/>
          <w:highlight w:val="none"/>
          <w:lang w:val="en-US" w:eastAsia="zh-CN"/>
        </w:rPr>
        <w:t>自行编</w:t>
      </w:r>
      <w:r>
        <w:rPr>
          <w:rFonts w:hint="eastAsia" w:ascii="宋体" w:hAnsi="宋体" w:eastAsia="宋体" w:cs="宋体"/>
          <w:b w:val="0"/>
          <w:bCs/>
          <w:color w:val="auto"/>
          <w:sz w:val="18"/>
          <w:szCs w:val="18"/>
          <w:highlight w:val="none"/>
        </w:rPr>
        <w:t>页码）</w:t>
      </w:r>
    </w:p>
    <w:p w14:paraId="1DF2A671">
      <w:pPr>
        <w:pStyle w:val="15"/>
        <w:pageBreakBefore w:val="0"/>
        <w:overflowPunct/>
        <w:topLinePunct w:val="0"/>
        <w:bidi w:val="0"/>
        <w:spacing w:line="36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磋商函及磋商函附录</w:t>
      </w:r>
    </w:p>
    <w:p w14:paraId="76657A4E">
      <w:pPr>
        <w:pStyle w:val="15"/>
        <w:pageBreakBefore w:val="0"/>
        <w:overflowPunct/>
        <w:topLinePunct w:val="0"/>
        <w:bidi w:val="0"/>
        <w:spacing w:line="36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已标价工程量清单</w:t>
      </w:r>
    </w:p>
    <w:p w14:paraId="1EC04AD4">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p>
    <w:p w14:paraId="69E01061">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p>
    <w:p w14:paraId="671377A2">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p>
    <w:p w14:paraId="290F805A">
      <w:pPr>
        <w:pageBreakBefore w:val="0"/>
        <w:overflowPunct/>
        <w:topLinePunct w:val="0"/>
        <w:bidi w:val="0"/>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6DFB1E14">
      <w:pPr>
        <w:pageBreakBefore w:val="0"/>
        <w:overflowPunct/>
        <w:topLinePunct w:val="0"/>
        <w:bidi w:val="0"/>
        <w:spacing w:line="360" w:lineRule="auto"/>
        <w:ind w:right="-153" w:rightChars="-73"/>
        <w:jc w:val="both"/>
        <w:rPr>
          <w:rFonts w:hint="eastAsia" w:ascii="宋体" w:hAnsi="宋体" w:eastAsia="宋体" w:cs="宋体"/>
          <w:b/>
          <w:color w:val="auto"/>
          <w:sz w:val="24"/>
          <w:highlight w:val="none"/>
        </w:rPr>
      </w:pPr>
      <w:r>
        <w:rPr>
          <w:rFonts w:hint="eastAsia" w:ascii="宋体" w:hAnsi="宋体" w:eastAsia="宋体" w:cs="宋体"/>
          <w:b/>
          <w:color w:val="auto"/>
          <w:sz w:val="28"/>
          <w:szCs w:val="28"/>
          <w:highlight w:val="none"/>
        </w:rPr>
        <w:t>一、磋商函及磋商函附录</w:t>
      </w:r>
    </w:p>
    <w:p w14:paraId="41FD3FCA">
      <w:pPr>
        <w:pageBreakBefore w:val="0"/>
        <w:overflowPunct/>
        <w:topLinePunct w:val="0"/>
        <w:bidi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color w:val="auto"/>
          <w:sz w:val="24"/>
          <w:highlight w:val="none"/>
        </w:rPr>
        <w:t>（一）磋商函</w:t>
      </w:r>
    </w:p>
    <w:p w14:paraId="684980C9">
      <w:pPr>
        <w:pageBreakBefore w:val="0"/>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w:t>
      </w:r>
      <w:r>
        <w:rPr>
          <w:rFonts w:hint="eastAsia" w:ascii="宋体" w:hAnsi="宋体" w:eastAsia="宋体" w:cs="宋体"/>
          <w:color w:val="auto"/>
          <w:szCs w:val="21"/>
          <w:highlight w:val="none"/>
          <w:lang w:eastAsia="zh-CN"/>
        </w:rPr>
        <w:t>人名称</w:t>
      </w:r>
      <w:r>
        <w:rPr>
          <w:rFonts w:hint="eastAsia" w:ascii="宋体" w:hAnsi="宋体" w:eastAsia="宋体" w:cs="宋体"/>
          <w:color w:val="auto"/>
          <w:szCs w:val="21"/>
          <w:highlight w:val="none"/>
        </w:rPr>
        <w:t>）：</w:t>
      </w:r>
    </w:p>
    <w:p w14:paraId="03878230">
      <w:pPr>
        <w:pageBreakBefore w:val="0"/>
        <w:overflowPunct/>
        <w:topLinePunct w:val="0"/>
        <w:bidi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1、我方已仔细研究了</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 w:val="21"/>
          <w:szCs w:val="21"/>
          <w:highlight w:val="none"/>
        </w:rPr>
        <w:t>（项目名称</w:t>
      </w:r>
      <w:r>
        <w:rPr>
          <w:rFonts w:hint="eastAsia" w:ascii="宋体" w:hAnsi="宋体" w:eastAsia="宋体" w:cs="宋体"/>
          <w:color w:val="auto"/>
          <w:sz w:val="21"/>
          <w:szCs w:val="21"/>
          <w:highlight w:val="none"/>
          <w:lang w:eastAsia="zh-CN"/>
        </w:rPr>
        <w:t>及项目编号</w:t>
      </w:r>
      <w:r>
        <w:rPr>
          <w:rFonts w:hint="eastAsia" w:ascii="宋体" w:hAnsi="宋体" w:eastAsia="宋体" w:cs="宋体"/>
          <w:color w:val="auto"/>
          <w:sz w:val="21"/>
          <w:szCs w:val="21"/>
          <w:highlight w:val="none"/>
        </w:rPr>
        <w:t>）</w:t>
      </w:r>
      <w:r>
        <w:rPr>
          <w:rFonts w:hint="eastAsia" w:ascii="宋体" w:hAnsi="宋体" w:eastAsia="宋体" w:cs="宋体"/>
          <w:color w:val="auto"/>
          <w:szCs w:val="21"/>
          <w:highlight w:val="none"/>
          <w:lang w:eastAsia="zh-CN"/>
        </w:rPr>
        <w:t>《竞争性磋商文件》</w:t>
      </w:r>
      <w:r>
        <w:rPr>
          <w:rFonts w:hint="eastAsia" w:ascii="宋体" w:hAnsi="宋体" w:eastAsia="宋体" w:cs="宋体"/>
          <w:color w:val="auto"/>
          <w:szCs w:val="21"/>
          <w:highlight w:val="none"/>
        </w:rPr>
        <w:t>的全部内容，愿意以人民币（大写）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）的磋商总报价，工期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日历天，按合同约定实施和完成承包工程，修补工程中的任何缺陷，工程质量</w:t>
      </w:r>
      <w:r>
        <w:rPr>
          <w:rFonts w:hint="eastAsia" w:ascii="宋体" w:hAnsi="宋体" w:eastAsia="宋体" w:cs="宋体"/>
          <w:color w:val="auto"/>
          <w:szCs w:val="21"/>
          <w:highlight w:val="none"/>
          <w:lang w:eastAsia="zh-CN"/>
        </w:rPr>
        <w:t>等级</w:t>
      </w:r>
      <w:r>
        <w:rPr>
          <w:rFonts w:hint="eastAsia" w:ascii="宋体" w:hAnsi="宋体" w:eastAsia="宋体" w:cs="宋体"/>
          <w:color w:val="auto"/>
          <w:szCs w:val="21"/>
          <w:highlight w:val="none"/>
        </w:rPr>
        <w:t>达到</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p>
    <w:p w14:paraId="4CD13AE6">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2、我方同意所递交的</w:t>
      </w: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在“</w:t>
      </w: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rPr>
        <w:t>须知前附表”第</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条规定的磋商有效期内有效，在此期间内我方的磋商有可能成交，我方将受此约束。　</w:t>
      </w:r>
    </w:p>
    <w:p w14:paraId="199C0C45">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3、我方承诺已经具备《中华人民共和国政府采购法》第二十二条中规定的参加政府采购活动的供应商应当具备的条件。</w:t>
      </w:r>
    </w:p>
    <w:p w14:paraId="49944FF0">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4、我方根据</w:t>
      </w:r>
      <w:r>
        <w:rPr>
          <w:rFonts w:hint="eastAsia" w:ascii="宋体" w:hAnsi="宋体" w:eastAsia="宋体" w:cs="宋体"/>
          <w:color w:val="auto"/>
          <w:szCs w:val="21"/>
          <w:highlight w:val="none"/>
          <w:lang w:eastAsia="zh-CN"/>
        </w:rPr>
        <w:t>《竞争性磋商文件》</w:t>
      </w:r>
      <w:r>
        <w:rPr>
          <w:rFonts w:hint="eastAsia" w:ascii="宋体" w:hAnsi="宋体" w:eastAsia="宋体" w:cs="宋体"/>
          <w:color w:val="auto"/>
          <w:szCs w:val="21"/>
          <w:highlight w:val="none"/>
        </w:rPr>
        <w:t>的规定，承担完成合同的责任和义务。</w:t>
      </w:r>
    </w:p>
    <w:p w14:paraId="4E65D24A">
      <w:pPr>
        <w:pStyle w:val="15"/>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5、我方已详细审核</w:t>
      </w:r>
      <w:r>
        <w:rPr>
          <w:rFonts w:hint="eastAsia" w:ascii="宋体" w:hAnsi="宋体" w:eastAsia="宋体" w:cs="宋体"/>
          <w:color w:val="auto"/>
          <w:szCs w:val="21"/>
          <w:highlight w:val="none"/>
          <w:lang w:eastAsia="zh-CN"/>
        </w:rPr>
        <w:t>《竞争性磋商文件》</w:t>
      </w:r>
      <w:r>
        <w:rPr>
          <w:rFonts w:hint="eastAsia" w:ascii="宋体" w:hAnsi="宋体" w:eastAsia="宋体" w:cs="宋体"/>
          <w:color w:val="auto"/>
          <w:szCs w:val="21"/>
          <w:highlight w:val="none"/>
        </w:rPr>
        <w:t>，我方知道必须放弃提出含糊不清或误解问题的权利。</w:t>
      </w:r>
    </w:p>
    <w:p w14:paraId="27E744D0">
      <w:pPr>
        <w:pStyle w:val="15"/>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6、如果在磋商截止时间后的磋商有效期内撤回磋商或者有其他违约行为，贵方可</w:t>
      </w:r>
      <w:r>
        <w:rPr>
          <w:rFonts w:hint="eastAsia" w:ascii="宋体" w:hAnsi="宋体" w:eastAsia="宋体" w:cs="宋体"/>
          <w:color w:val="auto"/>
          <w:szCs w:val="21"/>
          <w:highlight w:val="none"/>
          <w:lang w:val="en-US" w:eastAsia="zh-CN"/>
        </w:rPr>
        <w:t>投诉至相关监管部门并依法追究我方法律责任</w:t>
      </w:r>
      <w:r>
        <w:rPr>
          <w:rFonts w:hint="eastAsia" w:ascii="宋体" w:hAnsi="宋体" w:eastAsia="宋体" w:cs="宋体"/>
          <w:color w:val="auto"/>
          <w:szCs w:val="21"/>
          <w:highlight w:val="none"/>
        </w:rPr>
        <w:t>。</w:t>
      </w:r>
    </w:p>
    <w:p w14:paraId="06467613">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7、同意向贵方提供贵方可能要求的与本磋商有关的任何数据或资料。</w:t>
      </w:r>
    </w:p>
    <w:p w14:paraId="0A625C16">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8、我方完全理解贵方不一定要接受最低报价的</w:t>
      </w: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rPr>
        <w:t>为成交供应商。</w:t>
      </w:r>
    </w:p>
    <w:p w14:paraId="6EF17080">
      <w:pPr>
        <w:pStyle w:val="15"/>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9.若贵方需要，我方愿意提供我方作出的一切承诺的证明材料。</w:t>
      </w:r>
    </w:p>
    <w:p w14:paraId="2D3A7759">
      <w:pPr>
        <w:pStyle w:val="15"/>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r>
        <w:rPr>
          <w:rFonts w:hint="eastAsia" w:ascii="宋体" w:hAnsi="宋体" w:eastAsia="宋体" w:cs="宋体"/>
          <w:color w:val="auto"/>
          <w:spacing w:val="-2"/>
          <w:szCs w:val="21"/>
          <w:highlight w:val="none"/>
        </w:rPr>
        <w:t>我方将严格遵守《中华人民共和国政府采购法》的规定，知悉作为政府采购供应商应负的法律责任。</w:t>
      </w:r>
    </w:p>
    <w:p w14:paraId="3EA58C1E">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r>
        <w:rPr>
          <w:rFonts w:hint="eastAsia" w:ascii="宋体" w:hAnsi="宋体" w:eastAsia="宋体" w:cs="宋体"/>
          <w:color w:val="auto"/>
          <w:szCs w:val="21"/>
          <w:highlight w:val="none"/>
          <w:u w:val="single"/>
        </w:rPr>
        <w:t xml:space="preserve">       （其他）        </w:t>
      </w:r>
      <w:r>
        <w:rPr>
          <w:rFonts w:hint="eastAsia" w:ascii="宋体" w:hAnsi="宋体" w:eastAsia="宋体" w:cs="宋体"/>
          <w:color w:val="auto"/>
          <w:szCs w:val="21"/>
          <w:highlight w:val="none"/>
        </w:rPr>
        <w:t>。</w:t>
      </w:r>
    </w:p>
    <w:p w14:paraId="34C45902">
      <w:pPr>
        <w:pStyle w:val="39"/>
        <w:spacing w:line="360" w:lineRule="auto"/>
        <w:rPr>
          <w:rFonts w:hint="eastAsia"/>
          <w:color w:val="auto"/>
          <w:highlight w:val="none"/>
          <w:lang w:eastAsia="zh-CN"/>
        </w:rPr>
      </w:pPr>
    </w:p>
    <w:p w14:paraId="5778EEBA">
      <w:pPr>
        <w:pStyle w:val="15"/>
        <w:pageBreakBefore w:val="0"/>
        <w:overflowPunct/>
        <w:topLinePunct w:val="0"/>
        <w:bidi w:val="0"/>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与本项目磋商有关的正式通讯地址为：</w:t>
      </w:r>
    </w:p>
    <w:p w14:paraId="1F2CAB94">
      <w:pPr>
        <w:pStyle w:val="15"/>
        <w:pageBreakBefore w:val="0"/>
        <w:overflowPunct/>
        <w:topLinePunct w:val="0"/>
        <w:bidi w:val="0"/>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rPr>
        <w:t>名称：</w:t>
      </w:r>
      <w:r>
        <w:rPr>
          <w:rFonts w:hint="eastAsia" w:ascii="宋体" w:hAnsi="宋体" w:eastAsia="宋体" w:cs="宋体"/>
          <w:color w:val="auto"/>
          <w:szCs w:val="21"/>
          <w:highlight w:val="none"/>
          <w:u w:val="single"/>
        </w:rPr>
        <w:t xml:space="preserve">                                  </w:t>
      </w:r>
    </w:p>
    <w:p w14:paraId="5C4352CF">
      <w:pPr>
        <w:pStyle w:val="15"/>
        <w:pageBreakBefore w:val="0"/>
        <w:overflowPunct/>
        <w:topLinePunct w:val="0"/>
        <w:bidi w:val="0"/>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邮政编码：</w:t>
      </w:r>
      <w:r>
        <w:rPr>
          <w:rFonts w:hint="eastAsia" w:ascii="宋体" w:hAnsi="宋体" w:eastAsia="宋体" w:cs="宋体"/>
          <w:color w:val="auto"/>
          <w:szCs w:val="21"/>
          <w:highlight w:val="none"/>
          <w:u w:val="single"/>
        </w:rPr>
        <w:t xml:space="preserve">         </w:t>
      </w:r>
    </w:p>
    <w:p w14:paraId="4367D8D1">
      <w:pPr>
        <w:pStyle w:val="15"/>
        <w:pageBreakBefore w:val="0"/>
        <w:overflowPunct/>
        <w:topLinePunct w:val="0"/>
        <w:bidi w:val="0"/>
        <w:spacing w:line="360" w:lineRule="auto"/>
        <w:ind w:firstLine="42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电话、电报、传真或电传：</w:t>
      </w:r>
      <w:r>
        <w:rPr>
          <w:rFonts w:hint="eastAsia" w:ascii="宋体" w:hAnsi="宋体" w:eastAsia="宋体" w:cs="宋体"/>
          <w:color w:val="auto"/>
          <w:szCs w:val="21"/>
          <w:highlight w:val="none"/>
          <w:u w:val="single"/>
        </w:rPr>
        <w:t xml:space="preserve">                     </w:t>
      </w:r>
    </w:p>
    <w:p w14:paraId="3E02C5F8">
      <w:pPr>
        <w:pStyle w:val="15"/>
        <w:pageBreakBefore w:val="0"/>
        <w:overflowPunct/>
        <w:topLinePunct w:val="0"/>
        <w:bidi w:val="0"/>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开户名称：</w:t>
      </w:r>
      <w:r>
        <w:rPr>
          <w:rFonts w:hint="eastAsia" w:ascii="宋体" w:hAnsi="宋体" w:eastAsia="宋体" w:cs="宋体"/>
          <w:color w:val="auto"/>
          <w:szCs w:val="21"/>
          <w:highlight w:val="none"/>
          <w:u w:val="single"/>
        </w:rPr>
        <w:t xml:space="preserve">                                   </w:t>
      </w:r>
    </w:p>
    <w:p w14:paraId="0F5CB954">
      <w:pPr>
        <w:pStyle w:val="15"/>
        <w:pageBreakBefore w:val="0"/>
        <w:overflowPunct/>
        <w:topLinePunct w:val="0"/>
        <w:bidi w:val="0"/>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r>
        <w:rPr>
          <w:rFonts w:hint="eastAsia" w:ascii="宋体" w:hAnsi="宋体" w:eastAsia="宋体" w:cs="宋体"/>
          <w:color w:val="auto"/>
          <w:szCs w:val="21"/>
          <w:highlight w:val="none"/>
          <w:u w:val="single"/>
        </w:rPr>
        <w:t xml:space="preserve">                                   </w:t>
      </w:r>
    </w:p>
    <w:p w14:paraId="3253E8B5">
      <w:pPr>
        <w:pStyle w:val="15"/>
        <w:pageBreakBefore w:val="0"/>
        <w:overflowPunct/>
        <w:topLinePunct w:val="0"/>
        <w:bidi w:val="0"/>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银行帐号：</w:t>
      </w:r>
      <w:r>
        <w:rPr>
          <w:rFonts w:hint="eastAsia" w:ascii="宋体" w:hAnsi="宋体" w:eastAsia="宋体" w:cs="宋体"/>
          <w:color w:val="auto"/>
          <w:szCs w:val="21"/>
          <w:highlight w:val="none"/>
          <w:u w:val="single"/>
        </w:rPr>
        <w:t xml:space="preserve">                                    </w:t>
      </w:r>
    </w:p>
    <w:p w14:paraId="67FD0A19">
      <w:pPr>
        <w:pStyle w:val="15"/>
        <w:pageBreakBefore w:val="0"/>
        <w:overflowPunct/>
        <w:topLinePunct w:val="0"/>
        <w:bidi w:val="0"/>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法定代表人或委托代理人</w:t>
      </w:r>
      <w:r>
        <w:rPr>
          <w:rFonts w:hint="eastAsia" w:ascii="宋体" w:hAnsi="宋体" w:eastAsia="宋体" w:cs="宋体"/>
          <w:color w:val="auto"/>
          <w:kern w:val="0"/>
          <w:szCs w:val="21"/>
          <w:highlight w:val="none"/>
        </w:rPr>
        <w:t>手写签名</w:t>
      </w:r>
      <w:r>
        <w:rPr>
          <w:rFonts w:hint="eastAsia" w:ascii="宋体" w:hAnsi="宋体" w:eastAsia="宋体" w:cs="宋体"/>
          <w:color w:val="auto"/>
          <w:kern w:val="0"/>
          <w:szCs w:val="21"/>
          <w:highlight w:val="none"/>
          <w:lang w:val="en-US" w:eastAsia="zh-CN"/>
        </w:rPr>
        <w:t>或</w:t>
      </w:r>
      <w:r>
        <w:rPr>
          <w:rFonts w:hint="eastAsia" w:ascii="宋体" w:hAnsi="宋体" w:eastAsia="宋体" w:cs="宋体"/>
          <w:color w:val="auto"/>
          <w:kern w:val="0"/>
          <w:szCs w:val="21"/>
          <w:highlight w:val="none"/>
        </w:rPr>
        <w:t>电子签名</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2D66FB6D">
      <w:pPr>
        <w:pStyle w:val="15"/>
        <w:pageBreakBefore w:val="0"/>
        <w:overflowPunct/>
        <w:topLinePunct w:val="0"/>
        <w:bidi w:val="0"/>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rPr>
        <w:t>盖公章</w:t>
      </w:r>
      <w:r>
        <w:rPr>
          <w:rFonts w:hint="eastAsia" w:ascii="宋体" w:hAnsi="宋体" w:eastAsia="宋体" w:cs="宋体"/>
          <w:color w:val="auto"/>
          <w:szCs w:val="21"/>
          <w:highlight w:val="none"/>
          <w:lang w:val="en-US" w:eastAsia="zh-CN"/>
        </w:rPr>
        <w:t>或电子签章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57DE6E7F">
      <w:pPr>
        <w:pStyle w:val="15"/>
        <w:pageBreakBefore w:val="0"/>
        <w:overflowPunct/>
        <w:topLinePunct w:val="0"/>
        <w:bidi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磋商日期：</w:t>
      </w:r>
      <w:r>
        <w:rPr>
          <w:rFonts w:hint="eastAsia" w:ascii="宋体" w:hAnsi="宋体" w:eastAsia="宋体" w:cs="宋体"/>
          <w:color w:val="auto"/>
          <w:szCs w:val="21"/>
          <w:highlight w:val="none"/>
          <w:u w:val="single"/>
        </w:rPr>
        <w:t xml:space="preserve">                                   </w:t>
      </w:r>
    </w:p>
    <w:p w14:paraId="0676F07A">
      <w:pPr>
        <w:pageBreakBefore w:val="0"/>
        <w:overflowPunct/>
        <w:topLinePunct w:val="0"/>
        <w:bidi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br w:type="page"/>
      </w:r>
      <w:r>
        <w:rPr>
          <w:rFonts w:hint="eastAsia" w:ascii="宋体" w:hAnsi="宋体" w:eastAsia="宋体" w:cs="宋体"/>
          <w:b/>
          <w:color w:val="auto"/>
          <w:sz w:val="24"/>
          <w:highlight w:val="none"/>
        </w:rPr>
        <w:t>（二） 磋商函附录</w:t>
      </w:r>
    </w:p>
    <w:tbl>
      <w:tblPr>
        <w:tblStyle w:val="22"/>
        <w:tblpPr w:leftFromText="180" w:rightFromText="180" w:vertAnchor="text" w:horzAnchor="page" w:tblpXSpec="center" w:tblpY="414"/>
        <w:tblOverlap w:val="never"/>
        <w:tblW w:w="994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66"/>
        <w:gridCol w:w="2655"/>
        <w:gridCol w:w="1985"/>
        <w:gridCol w:w="2026"/>
        <w:gridCol w:w="1207"/>
        <w:gridCol w:w="1207"/>
      </w:tblGrid>
      <w:tr w14:paraId="50A72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0" w:hRule="atLeast"/>
          <w:jc w:val="center"/>
        </w:trPr>
        <w:tc>
          <w:tcPr>
            <w:tcW w:w="866" w:type="dxa"/>
            <w:vAlign w:val="top"/>
          </w:tcPr>
          <w:p w14:paraId="1EB0222E">
            <w:pPr>
              <w:pStyle w:val="48"/>
              <w:keepNext w:val="0"/>
              <w:keepLines w:val="0"/>
              <w:pageBreakBefore w:val="0"/>
              <w:suppressLineNumbers w:val="0"/>
              <w:overflowPunct/>
              <w:topLinePunct w:val="0"/>
              <w:bidi w:val="0"/>
              <w:spacing w:before="155" w:beforeAutospacing="0" w:after="0" w:afterAutospacing="0" w:line="360" w:lineRule="auto"/>
              <w:ind w:left="174" w:right="157"/>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序号</w:t>
            </w:r>
          </w:p>
        </w:tc>
        <w:tc>
          <w:tcPr>
            <w:tcW w:w="2655" w:type="dxa"/>
            <w:tcBorders>
              <w:right w:val="single" w:color="000000" w:sz="4" w:space="0"/>
            </w:tcBorders>
            <w:vAlign w:val="top"/>
          </w:tcPr>
          <w:p w14:paraId="00CBD099">
            <w:pPr>
              <w:pStyle w:val="48"/>
              <w:keepNext w:val="0"/>
              <w:keepLines w:val="0"/>
              <w:pageBreakBefore w:val="0"/>
              <w:suppressLineNumbers w:val="0"/>
              <w:overflowPunct/>
              <w:topLinePunct w:val="0"/>
              <w:bidi w:val="0"/>
              <w:spacing w:before="155" w:beforeAutospacing="0" w:after="0" w:afterAutospacing="0" w:line="360" w:lineRule="auto"/>
              <w:ind w:left="226" w:right="215"/>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条款名称</w:t>
            </w:r>
          </w:p>
        </w:tc>
        <w:tc>
          <w:tcPr>
            <w:tcW w:w="1985" w:type="dxa"/>
            <w:tcBorders>
              <w:left w:val="single" w:color="000000" w:sz="4" w:space="0"/>
              <w:right w:val="single" w:color="000000" w:sz="4" w:space="0"/>
            </w:tcBorders>
            <w:vAlign w:val="top"/>
          </w:tcPr>
          <w:p w14:paraId="196465C7">
            <w:pPr>
              <w:pStyle w:val="48"/>
              <w:keepNext w:val="0"/>
              <w:keepLines w:val="0"/>
              <w:pageBreakBefore w:val="0"/>
              <w:suppressLineNumbers w:val="0"/>
              <w:overflowPunct/>
              <w:topLinePunct w:val="0"/>
              <w:bidi w:val="0"/>
              <w:spacing w:before="155" w:beforeAutospacing="0" w:after="0" w:afterAutospacing="0" w:line="360" w:lineRule="auto"/>
              <w:ind w:left="373" w:right="361"/>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条款号</w:t>
            </w:r>
          </w:p>
        </w:tc>
        <w:tc>
          <w:tcPr>
            <w:tcW w:w="2026" w:type="dxa"/>
            <w:tcBorders>
              <w:left w:val="single" w:color="000000" w:sz="4" w:space="0"/>
              <w:right w:val="single" w:color="000000" w:sz="4" w:space="0"/>
            </w:tcBorders>
            <w:vAlign w:val="top"/>
          </w:tcPr>
          <w:p w14:paraId="5077004C">
            <w:pPr>
              <w:pStyle w:val="48"/>
              <w:keepNext w:val="0"/>
              <w:keepLines w:val="0"/>
              <w:pageBreakBefore w:val="0"/>
              <w:suppressLineNumbers w:val="0"/>
              <w:overflowPunct/>
              <w:topLinePunct w:val="0"/>
              <w:bidi w:val="0"/>
              <w:spacing w:before="155" w:beforeAutospacing="0" w:after="0" w:afterAutospacing="0" w:line="360" w:lineRule="auto"/>
              <w:ind w:left="660" w:right="0"/>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约定内容</w:t>
            </w:r>
          </w:p>
        </w:tc>
        <w:tc>
          <w:tcPr>
            <w:tcW w:w="1207" w:type="dxa"/>
            <w:tcBorders>
              <w:left w:val="single" w:color="000000" w:sz="4" w:space="0"/>
            </w:tcBorders>
            <w:vAlign w:val="top"/>
          </w:tcPr>
          <w:p w14:paraId="2F41041E">
            <w:pPr>
              <w:pStyle w:val="48"/>
              <w:keepNext w:val="0"/>
              <w:keepLines w:val="0"/>
              <w:pageBreakBefore w:val="0"/>
              <w:suppressLineNumbers w:val="0"/>
              <w:overflowPunct/>
              <w:topLinePunct w:val="0"/>
              <w:bidi w:val="0"/>
              <w:spacing w:before="155" w:beforeAutospacing="0" w:after="0" w:afterAutospacing="0" w:line="360" w:lineRule="auto"/>
              <w:ind w:left="0" w:right="0"/>
              <w:jc w:val="center"/>
              <w:rPr>
                <w:rFonts w:hint="default" w:ascii="宋体" w:hAnsi="宋体" w:eastAsia="宋体" w:cs="宋体"/>
                <w:color w:val="auto"/>
                <w:spacing w:val="0"/>
                <w:sz w:val="21"/>
                <w:szCs w:val="21"/>
                <w:highlight w:val="none"/>
                <w:lang w:val="en-US" w:eastAsia="zh-CN"/>
              </w:rPr>
            </w:pPr>
            <w:r>
              <w:rPr>
                <w:rFonts w:hint="eastAsia" w:ascii="宋体" w:hAnsi="宋体" w:cs="宋体"/>
                <w:color w:val="auto"/>
                <w:spacing w:val="0"/>
                <w:sz w:val="21"/>
                <w:szCs w:val="21"/>
                <w:highlight w:val="none"/>
                <w:lang w:val="en-US" w:eastAsia="zh-CN"/>
              </w:rPr>
              <w:t>偏离说明</w:t>
            </w:r>
          </w:p>
        </w:tc>
        <w:tc>
          <w:tcPr>
            <w:tcW w:w="1207" w:type="dxa"/>
            <w:tcBorders>
              <w:left w:val="single" w:color="000000" w:sz="4" w:space="0"/>
            </w:tcBorders>
            <w:vAlign w:val="top"/>
          </w:tcPr>
          <w:p w14:paraId="6D15784A">
            <w:pPr>
              <w:pStyle w:val="48"/>
              <w:keepNext w:val="0"/>
              <w:keepLines w:val="0"/>
              <w:pageBreakBefore w:val="0"/>
              <w:suppressLineNumbers w:val="0"/>
              <w:overflowPunct/>
              <w:topLinePunct w:val="0"/>
              <w:bidi w:val="0"/>
              <w:spacing w:before="155" w:beforeAutospacing="0" w:after="0" w:afterAutospacing="0" w:line="360" w:lineRule="auto"/>
              <w:ind w:left="0" w:right="0"/>
              <w:jc w:val="center"/>
              <w:rPr>
                <w:rFonts w:hint="default" w:ascii="宋体" w:hAnsi="宋体" w:cs="宋体"/>
                <w:color w:val="auto"/>
                <w:spacing w:val="0"/>
                <w:sz w:val="21"/>
                <w:szCs w:val="21"/>
                <w:highlight w:val="none"/>
                <w:lang w:val="en-US" w:eastAsia="zh-CN"/>
              </w:rPr>
            </w:pPr>
            <w:r>
              <w:rPr>
                <w:rFonts w:hint="eastAsia" w:ascii="宋体" w:hAnsi="宋体" w:cs="宋体"/>
                <w:color w:val="auto"/>
                <w:spacing w:val="0"/>
                <w:sz w:val="21"/>
                <w:szCs w:val="21"/>
                <w:highlight w:val="none"/>
                <w:lang w:val="en-US" w:eastAsia="zh-CN"/>
              </w:rPr>
              <w:t>备注</w:t>
            </w:r>
          </w:p>
        </w:tc>
      </w:tr>
      <w:tr w14:paraId="40865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6" w:hRule="atLeast"/>
          <w:jc w:val="center"/>
        </w:trPr>
        <w:tc>
          <w:tcPr>
            <w:tcW w:w="866" w:type="dxa"/>
            <w:vAlign w:val="top"/>
          </w:tcPr>
          <w:p w14:paraId="7A7010F9">
            <w:pPr>
              <w:pStyle w:val="48"/>
              <w:keepNext w:val="0"/>
              <w:keepLines w:val="0"/>
              <w:pageBreakBefore w:val="0"/>
              <w:suppressLineNumbers w:val="0"/>
              <w:overflowPunct/>
              <w:topLinePunct w:val="0"/>
              <w:bidi w:val="0"/>
              <w:spacing w:before="213" w:beforeAutospacing="0" w:after="0" w:afterAutospacing="0" w:line="360" w:lineRule="auto"/>
              <w:ind w:left="17"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w:t>
            </w:r>
          </w:p>
        </w:tc>
        <w:tc>
          <w:tcPr>
            <w:tcW w:w="2655" w:type="dxa"/>
            <w:tcBorders>
              <w:right w:val="single" w:color="000000" w:sz="4" w:space="0"/>
            </w:tcBorders>
            <w:vAlign w:val="top"/>
          </w:tcPr>
          <w:p w14:paraId="71F88DE4">
            <w:pPr>
              <w:pStyle w:val="48"/>
              <w:keepNext w:val="0"/>
              <w:keepLines w:val="0"/>
              <w:pageBreakBefore w:val="0"/>
              <w:suppressLineNumbers w:val="0"/>
              <w:overflowPunct/>
              <w:topLinePunct w:val="0"/>
              <w:bidi w:val="0"/>
              <w:spacing w:before="213" w:beforeAutospacing="0" w:after="0" w:afterAutospacing="0" w:line="360" w:lineRule="auto"/>
              <w:ind w:left="226" w:right="215"/>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项目经理</w:t>
            </w:r>
          </w:p>
        </w:tc>
        <w:tc>
          <w:tcPr>
            <w:tcW w:w="1985" w:type="dxa"/>
            <w:tcBorders>
              <w:left w:val="single" w:color="000000" w:sz="4" w:space="0"/>
              <w:right w:val="single" w:color="000000" w:sz="4" w:space="0"/>
            </w:tcBorders>
            <w:vAlign w:val="top"/>
          </w:tcPr>
          <w:p w14:paraId="3BD06369">
            <w:pPr>
              <w:pStyle w:val="48"/>
              <w:keepNext w:val="0"/>
              <w:keepLines w:val="0"/>
              <w:pageBreakBefore w:val="0"/>
              <w:suppressLineNumbers w:val="0"/>
              <w:overflowPunct/>
              <w:topLinePunct w:val="0"/>
              <w:bidi w:val="0"/>
              <w:spacing w:before="213" w:beforeAutospacing="0" w:after="0" w:afterAutospacing="0" w:line="360" w:lineRule="auto"/>
              <w:ind w:left="373" w:right="361"/>
              <w:jc w:val="center"/>
              <w:rPr>
                <w:rFonts w:hint="eastAsia" w:ascii="宋体" w:hAnsi="宋体" w:eastAsia="宋体" w:cs="宋体"/>
                <w:color w:val="auto"/>
                <w:spacing w:val="0"/>
                <w:sz w:val="21"/>
                <w:szCs w:val="21"/>
                <w:highlight w:val="none"/>
              </w:rPr>
            </w:pPr>
          </w:p>
        </w:tc>
        <w:tc>
          <w:tcPr>
            <w:tcW w:w="2026" w:type="dxa"/>
            <w:tcBorders>
              <w:left w:val="single" w:color="000000" w:sz="4" w:space="0"/>
              <w:right w:val="single" w:color="000000" w:sz="4" w:space="0"/>
            </w:tcBorders>
            <w:vAlign w:val="top"/>
          </w:tcPr>
          <w:p w14:paraId="7DE75AD7">
            <w:pPr>
              <w:pStyle w:val="48"/>
              <w:keepNext w:val="0"/>
              <w:keepLines w:val="0"/>
              <w:pageBreakBefore w:val="0"/>
              <w:suppressLineNumbers w:val="0"/>
              <w:tabs>
                <w:tab w:val="left" w:pos="2004"/>
              </w:tabs>
              <w:overflowPunct/>
              <w:topLinePunct w:val="0"/>
              <w:bidi w:val="0"/>
              <w:spacing w:before="213" w:beforeAutospacing="0" w:after="0" w:afterAutospacing="0" w:line="360" w:lineRule="auto"/>
              <w:ind w:right="0"/>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姓名：</w:t>
            </w:r>
            <w:r>
              <w:rPr>
                <w:rFonts w:hint="eastAsia" w:ascii="宋体" w:hAnsi="宋体" w:eastAsia="宋体" w:cs="宋体"/>
                <w:color w:val="auto"/>
                <w:spacing w:val="0"/>
                <w:sz w:val="21"/>
                <w:szCs w:val="21"/>
                <w:highlight w:val="none"/>
                <w:u w:val="single"/>
              </w:rPr>
              <w:t xml:space="preserve"> </w:t>
            </w:r>
            <w:r>
              <w:rPr>
                <w:rFonts w:hint="eastAsia" w:ascii="宋体" w:hAnsi="宋体" w:eastAsia="宋体" w:cs="宋体"/>
                <w:color w:val="auto"/>
                <w:spacing w:val="0"/>
                <w:sz w:val="21"/>
                <w:szCs w:val="21"/>
                <w:highlight w:val="none"/>
                <w:u w:val="single"/>
              </w:rPr>
              <w:tab/>
            </w:r>
          </w:p>
        </w:tc>
        <w:tc>
          <w:tcPr>
            <w:tcW w:w="1207" w:type="dxa"/>
            <w:tcBorders>
              <w:left w:val="single" w:color="000000" w:sz="4" w:space="0"/>
            </w:tcBorders>
            <w:vAlign w:val="top"/>
          </w:tcPr>
          <w:p w14:paraId="6322E1A7">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c>
          <w:tcPr>
            <w:tcW w:w="1207" w:type="dxa"/>
            <w:tcBorders>
              <w:left w:val="single" w:color="000000" w:sz="4" w:space="0"/>
            </w:tcBorders>
            <w:vAlign w:val="top"/>
          </w:tcPr>
          <w:p w14:paraId="2EB2889B">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r>
      <w:tr w14:paraId="10D7C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6" w:hRule="atLeast"/>
          <w:jc w:val="center"/>
        </w:trPr>
        <w:tc>
          <w:tcPr>
            <w:tcW w:w="866" w:type="dxa"/>
            <w:vAlign w:val="top"/>
          </w:tcPr>
          <w:p w14:paraId="62831150">
            <w:pPr>
              <w:pStyle w:val="48"/>
              <w:keepNext w:val="0"/>
              <w:keepLines w:val="0"/>
              <w:pageBreakBefore w:val="0"/>
              <w:suppressLineNumbers w:val="0"/>
              <w:overflowPunct/>
              <w:topLinePunct w:val="0"/>
              <w:bidi w:val="0"/>
              <w:spacing w:before="215" w:beforeAutospacing="0" w:after="0" w:afterAutospacing="0" w:line="360" w:lineRule="auto"/>
              <w:ind w:left="17"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w:t>
            </w:r>
          </w:p>
        </w:tc>
        <w:tc>
          <w:tcPr>
            <w:tcW w:w="2655" w:type="dxa"/>
            <w:tcBorders>
              <w:right w:val="single" w:color="000000" w:sz="4" w:space="0"/>
            </w:tcBorders>
            <w:vAlign w:val="top"/>
          </w:tcPr>
          <w:p w14:paraId="1907B8A1">
            <w:pPr>
              <w:pStyle w:val="48"/>
              <w:keepNext w:val="0"/>
              <w:keepLines w:val="0"/>
              <w:pageBreakBefore w:val="0"/>
              <w:suppressLineNumbers w:val="0"/>
              <w:overflowPunct/>
              <w:topLinePunct w:val="0"/>
              <w:bidi w:val="0"/>
              <w:spacing w:before="215" w:beforeAutospacing="0" w:after="0" w:afterAutospacing="0" w:line="360" w:lineRule="auto"/>
              <w:ind w:left="226" w:right="215"/>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工期</w:t>
            </w:r>
          </w:p>
        </w:tc>
        <w:tc>
          <w:tcPr>
            <w:tcW w:w="1985" w:type="dxa"/>
            <w:tcBorders>
              <w:left w:val="single" w:color="000000" w:sz="4" w:space="0"/>
              <w:right w:val="single" w:color="000000" w:sz="4" w:space="0"/>
            </w:tcBorders>
            <w:vAlign w:val="top"/>
          </w:tcPr>
          <w:p w14:paraId="46A149EB">
            <w:pPr>
              <w:pStyle w:val="48"/>
              <w:keepNext w:val="0"/>
              <w:keepLines w:val="0"/>
              <w:pageBreakBefore w:val="0"/>
              <w:suppressLineNumbers w:val="0"/>
              <w:overflowPunct/>
              <w:topLinePunct w:val="0"/>
              <w:bidi w:val="0"/>
              <w:spacing w:before="215" w:beforeAutospacing="0" w:after="0" w:afterAutospacing="0" w:line="360" w:lineRule="auto"/>
              <w:ind w:left="373" w:right="361"/>
              <w:jc w:val="center"/>
              <w:rPr>
                <w:rFonts w:hint="eastAsia" w:ascii="宋体" w:hAnsi="宋体" w:eastAsia="宋体" w:cs="宋体"/>
                <w:color w:val="auto"/>
                <w:spacing w:val="0"/>
                <w:sz w:val="21"/>
                <w:szCs w:val="21"/>
                <w:highlight w:val="none"/>
              </w:rPr>
            </w:pPr>
          </w:p>
        </w:tc>
        <w:tc>
          <w:tcPr>
            <w:tcW w:w="2026" w:type="dxa"/>
            <w:tcBorders>
              <w:left w:val="single" w:color="000000" w:sz="4" w:space="0"/>
              <w:right w:val="single" w:color="000000" w:sz="4" w:space="0"/>
            </w:tcBorders>
            <w:vAlign w:val="top"/>
          </w:tcPr>
          <w:p w14:paraId="3C4D73A2">
            <w:pPr>
              <w:pStyle w:val="48"/>
              <w:keepNext w:val="0"/>
              <w:keepLines w:val="0"/>
              <w:pageBreakBefore w:val="0"/>
              <w:suppressLineNumbers w:val="0"/>
              <w:tabs>
                <w:tab w:val="left" w:pos="1229"/>
              </w:tabs>
              <w:overflowPunct/>
              <w:topLinePunct w:val="0"/>
              <w:bidi w:val="0"/>
              <w:spacing w:before="215" w:beforeAutospacing="0" w:after="0" w:afterAutospacing="0" w:line="360" w:lineRule="auto"/>
              <w:ind w:left="29" w:right="0"/>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天数：</w:t>
            </w:r>
            <w:r>
              <w:rPr>
                <w:rFonts w:hint="eastAsia" w:ascii="宋体" w:hAnsi="宋体" w:eastAsia="宋体" w:cs="宋体"/>
                <w:color w:val="auto"/>
                <w:spacing w:val="0"/>
                <w:sz w:val="21"/>
                <w:szCs w:val="21"/>
                <w:highlight w:val="none"/>
                <w:u w:val="single"/>
              </w:rPr>
              <w:t xml:space="preserve"> </w:t>
            </w:r>
            <w:r>
              <w:rPr>
                <w:rFonts w:hint="eastAsia" w:ascii="宋体" w:hAnsi="宋体" w:eastAsia="宋体" w:cs="宋体"/>
                <w:color w:val="auto"/>
                <w:spacing w:val="0"/>
                <w:sz w:val="21"/>
                <w:szCs w:val="21"/>
                <w:highlight w:val="none"/>
                <w:u w:val="single"/>
              </w:rPr>
              <w:tab/>
            </w:r>
            <w:r>
              <w:rPr>
                <w:rFonts w:hint="eastAsia" w:ascii="宋体" w:hAnsi="宋体" w:eastAsia="宋体" w:cs="宋体"/>
                <w:color w:val="auto"/>
                <w:spacing w:val="0"/>
                <w:sz w:val="21"/>
                <w:szCs w:val="21"/>
                <w:highlight w:val="none"/>
                <w:lang w:eastAsia="zh-CN"/>
              </w:rPr>
              <w:t>日历天</w:t>
            </w:r>
          </w:p>
        </w:tc>
        <w:tc>
          <w:tcPr>
            <w:tcW w:w="1207" w:type="dxa"/>
            <w:tcBorders>
              <w:left w:val="single" w:color="000000" w:sz="4" w:space="0"/>
            </w:tcBorders>
            <w:vAlign w:val="top"/>
          </w:tcPr>
          <w:p w14:paraId="34EEE118">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c>
          <w:tcPr>
            <w:tcW w:w="1207" w:type="dxa"/>
            <w:tcBorders>
              <w:left w:val="single" w:color="000000" w:sz="4" w:space="0"/>
            </w:tcBorders>
            <w:vAlign w:val="top"/>
          </w:tcPr>
          <w:p w14:paraId="4EA3CF14">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r>
      <w:tr w14:paraId="7A1FC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9" w:hRule="atLeast"/>
          <w:jc w:val="center"/>
        </w:trPr>
        <w:tc>
          <w:tcPr>
            <w:tcW w:w="866" w:type="dxa"/>
            <w:vAlign w:val="top"/>
          </w:tcPr>
          <w:p w14:paraId="2657B5E2">
            <w:pPr>
              <w:pStyle w:val="48"/>
              <w:keepNext w:val="0"/>
              <w:keepLines w:val="0"/>
              <w:pageBreakBefore w:val="0"/>
              <w:suppressLineNumbers w:val="0"/>
              <w:overflowPunct/>
              <w:topLinePunct w:val="0"/>
              <w:bidi w:val="0"/>
              <w:spacing w:before="215" w:beforeAutospacing="0" w:after="0" w:afterAutospacing="0" w:line="360" w:lineRule="auto"/>
              <w:ind w:left="17"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w:t>
            </w:r>
          </w:p>
        </w:tc>
        <w:tc>
          <w:tcPr>
            <w:tcW w:w="2655" w:type="dxa"/>
            <w:tcBorders>
              <w:right w:val="single" w:color="000000" w:sz="4" w:space="0"/>
            </w:tcBorders>
            <w:vAlign w:val="top"/>
          </w:tcPr>
          <w:p w14:paraId="52399B07">
            <w:pPr>
              <w:pStyle w:val="48"/>
              <w:keepNext w:val="0"/>
              <w:keepLines w:val="0"/>
              <w:pageBreakBefore w:val="0"/>
              <w:suppressLineNumbers w:val="0"/>
              <w:overflowPunct/>
              <w:topLinePunct w:val="0"/>
              <w:bidi w:val="0"/>
              <w:spacing w:before="215" w:beforeAutospacing="0" w:after="0" w:afterAutospacing="0" w:line="360" w:lineRule="auto"/>
              <w:ind w:left="226" w:right="215"/>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缺陷责任期</w:t>
            </w:r>
          </w:p>
        </w:tc>
        <w:tc>
          <w:tcPr>
            <w:tcW w:w="1985" w:type="dxa"/>
            <w:tcBorders>
              <w:left w:val="single" w:color="000000" w:sz="4" w:space="0"/>
              <w:right w:val="single" w:color="000000" w:sz="4" w:space="0"/>
            </w:tcBorders>
            <w:vAlign w:val="top"/>
          </w:tcPr>
          <w:p w14:paraId="63A5CFC7">
            <w:pPr>
              <w:pStyle w:val="48"/>
              <w:keepNext w:val="0"/>
              <w:keepLines w:val="0"/>
              <w:pageBreakBefore w:val="0"/>
              <w:suppressLineNumbers w:val="0"/>
              <w:overflowPunct/>
              <w:topLinePunct w:val="0"/>
              <w:bidi w:val="0"/>
              <w:spacing w:before="215" w:beforeAutospacing="0" w:after="0" w:afterAutospacing="0" w:line="360" w:lineRule="auto"/>
              <w:ind w:left="373" w:right="361"/>
              <w:jc w:val="center"/>
              <w:rPr>
                <w:rFonts w:hint="eastAsia" w:ascii="宋体" w:hAnsi="宋体" w:eastAsia="宋体" w:cs="宋体"/>
                <w:color w:val="auto"/>
                <w:spacing w:val="0"/>
                <w:sz w:val="21"/>
                <w:szCs w:val="21"/>
                <w:highlight w:val="none"/>
              </w:rPr>
            </w:pPr>
          </w:p>
        </w:tc>
        <w:tc>
          <w:tcPr>
            <w:tcW w:w="2026" w:type="dxa"/>
            <w:tcBorders>
              <w:left w:val="single" w:color="000000" w:sz="4" w:space="0"/>
              <w:right w:val="single" w:color="000000" w:sz="4" w:space="0"/>
            </w:tcBorders>
            <w:vAlign w:val="top"/>
          </w:tcPr>
          <w:p w14:paraId="555D185F">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c>
          <w:tcPr>
            <w:tcW w:w="1207" w:type="dxa"/>
            <w:tcBorders>
              <w:left w:val="single" w:color="000000" w:sz="4" w:space="0"/>
            </w:tcBorders>
            <w:vAlign w:val="top"/>
          </w:tcPr>
          <w:p w14:paraId="09345799">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c>
          <w:tcPr>
            <w:tcW w:w="1207" w:type="dxa"/>
            <w:tcBorders>
              <w:left w:val="single" w:color="000000" w:sz="4" w:space="0"/>
            </w:tcBorders>
            <w:vAlign w:val="top"/>
          </w:tcPr>
          <w:p w14:paraId="48BD66C1">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r>
      <w:tr w14:paraId="03E92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6" w:hRule="atLeast"/>
          <w:jc w:val="center"/>
        </w:trPr>
        <w:tc>
          <w:tcPr>
            <w:tcW w:w="866" w:type="dxa"/>
            <w:vAlign w:val="top"/>
          </w:tcPr>
          <w:p w14:paraId="50A12E2B">
            <w:pPr>
              <w:pStyle w:val="48"/>
              <w:keepNext w:val="0"/>
              <w:keepLines w:val="0"/>
              <w:pageBreakBefore w:val="0"/>
              <w:suppressLineNumbers w:val="0"/>
              <w:overflowPunct/>
              <w:topLinePunct w:val="0"/>
              <w:bidi w:val="0"/>
              <w:spacing w:before="213" w:beforeAutospacing="0" w:after="0" w:afterAutospacing="0" w:line="360" w:lineRule="auto"/>
              <w:ind w:left="17"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w:t>
            </w:r>
          </w:p>
        </w:tc>
        <w:tc>
          <w:tcPr>
            <w:tcW w:w="2655" w:type="dxa"/>
            <w:tcBorders>
              <w:right w:val="single" w:color="000000" w:sz="4" w:space="0"/>
            </w:tcBorders>
            <w:vAlign w:val="top"/>
          </w:tcPr>
          <w:p w14:paraId="1378D155">
            <w:pPr>
              <w:pStyle w:val="48"/>
              <w:keepNext w:val="0"/>
              <w:keepLines w:val="0"/>
              <w:pageBreakBefore w:val="0"/>
              <w:suppressLineNumbers w:val="0"/>
              <w:overflowPunct/>
              <w:topLinePunct w:val="0"/>
              <w:bidi w:val="0"/>
              <w:spacing w:before="215" w:beforeAutospacing="0" w:after="0" w:afterAutospacing="0" w:line="360" w:lineRule="auto"/>
              <w:ind w:left="226" w:right="215"/>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分包</w:t>
            </w:r>
          </w:p>
        </w:tc>
        <w:tc>
          <w:tcPr>
            <w:tcW w:w="1985" w:type="dxa"/>
            <w:tcBorders>
              <w:left w:val="single" w:color="000000" w:sz="4" w:space="0"/>
              <w:right w:val="single" w:color="000000" w:sz="4" w:space="0"/>
            </w:tcBorders>
            <w:vAlign w:val="top"/>
          </w:tcPr>
          <w:p w14:paraId="49F905D0">
            <w:pPr>
              <w:pStyle w:val="48"/>
              <w:keepNext w:val="0"/>
              <w:keepLines w:val="0"/>
              <w:pageBreakBefore w:val="0"/>
              <w:suppressLineNumbers w:val="0"/>
              <w:overflowPunct/>
              <w:topLinePunct w:val="0"/>
              <w:bidi w:val="0"/>
              <w:spacing w:before="213" w:beforeAutospacing="0" w:after="0" w:afterAutospacing="0" w:line="360" w:lineRule="auto"/>
              <w:ind w:left="373" w:right="361"/>
              <w:jc w:val="center"/>
              <w:rPr>
                <w:rFonts w:hint="eastAsia" w:ascii="宋体" w:hAnsi="宋体" w:eastAsia="宋体" w:cs="宋体"/>
                <w:color w:val="auto"/>
                <w:spacing w:val="0"/>
                <w:sz w:val="21"/>
                <w:szCs w:val="21"/>
                <w:highlight w:val="none"/>
              </w:rPr>
            </w:pPr>
          </w:p>
        </w:tc>
        <w:tc>
          <w:tcPr>
            <w:tcW w:w="2026" w:type="dxa"/>
            <w:tcBorders>
              <w:left w:val="single" w:color="000000" w:sz="4" w:space="0"/>
              <w:right w:val="single" w:color="000000" w:sz="4" w:space="0"/>
            </w:tcBorders>
            <w:vAlign w:val="top"/>
          </w:tcPr>
          <w:p w14:paraId="60BA2291">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c>
          <w:tcPr>
            <w:tcW w:w="1207" w:type="dxa"/>
            <w:tcBorders>
              <w:left w:val="single" w:color="000000" w:sz="4" w:space="0"/>
            </w:tcBorders>
            <w:vAlign w:val="top"/>
          </w:tcPr>
          <w:p w14:paraId="04576F59">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c>
          <w:tcPr>
            <w:tcW w:w="1207" w:type="dxa"/>
            <w:tcBorders>
              <w:left w:val="single" w:color="000000" w:sz="4" w:space="0"/>
            </w:tcBorders>
            <w:vAlign w:val="top"/>
          </w:tcPr>
          <w:p w14:paraId="4B592A41">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r>
      <w:tr w14:paraId="452679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6" w:hRule="atLeast"/>
          <w:jc w:val="center"/>
        </w:trPr>
        <w:tc>
          <w:tcPr>
            <w:tcW w:w="866" w:type="dxa"/>
            <w:vAlign w:val="top"/>
          </w:tcPr>
          <w:p w14:paraId="0ADB84F6">
            <w:pPr>
              <w:pStyle w:val="48"/>
              <w:keepNext w:val="0"/>
              <w:keepLines w:val="0"/>
              <w:pageBreakBefore w:val="0"/>
              <w:suppressLineNumbers w:val="0"/>
              <w:overflowPunct/>
              <w:topLinePunct w:val="0"/>
              <w:bidi w:val="0"/>
              <w:spacing w:before="215" w:beforeAutospacing="0" w:after="0" w:afterAutospacing="0" w:line="360" w:lineRule="auto"/>
              <w:ind w:left="17"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5</w:t>
            </w:r>
          </w:p>
        </w:tc>
        <w:tc>
          <w:tcPr>
            <w:tcW w:w="2655" w:type="dxa"/>
            <w:tcBorders>
              <w:right w:val="single" w:color="000000" w:sz="4" w:space="0"/>
            </w:tcBorders>
            <w:vAlign w:val="top"/>
          </w:tcPr>
          <w:p w14:paraId="5220F642">
            <w:pPr>
              <w:pStyle w:val="48"/>
              <w:keepNext w:val="0"/>
              <w:keepLines w:val="0"/>
              <w:pageBreakBefore w:val="0"/>
              <w:suppressLineNumbers w:val="0"/>
              <w:overflowPunct/>
              <w:topLinePunct w:val="0"/>
              <w:bidi w:val="0"/>
              <w:spacing w:before="215" w:beforeAutospacing="0" w:after="0" w:afterAutospacing="0" w:line="360" w:lineRule="auto"/>
              <w:ind w:left="226" w:right="214"/>
              <w:jc w:val="center"/>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质量</w:t>
            </w:r>
            <w:r>
              <w:rPr>
                <w:rFonts w:hint="eastAsia" w:ascii="宋体" w:hAnsi="宋体" w:cs="宋体"/>
                <w:color w:val="auto"/>
                <w:spacing w:val="0"/>
                <w:sz w:val="21"/>
                <w:szCs w:val="21"/>
                <w:highlight w:val="none"/>
                <w:lang w:val="en-US" w:eastAsia="zh-CN"/>
              </w:rPr>
              <w:t>要求</w:t>
            </w:r>
          </w:p>
        </w:tc>
        <w:tc>
          <w:tcPr>
            <w:tcW w:w="1985" w:type="dxa"/>
            <w:tcBorders>
              <w:left w:val="single" w:color="000000" w:sz="4" w:space="0"/>
              <w:right w:val="single" w:color="000000" w:sz="4" w:space="0"/>
            </w:tcBorders>
            <w:vAlign w:val="top"/>
          </w:tcPr>
          <w:p w14:paraId="102E0300">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c>
          <w:tcPr>
            <w:tcW w:w="2026" w:type="dxa"/>
            <w:tcBorders>
              <w:left w:val="single" w:color="000000" w:sz="4" w:space="0"/>
              <w:right w:val="single" w:color="000000" w:sz="4" w:space="0"/>
            </w:tcBorders>
            <w:vAlign w:val="top"/>
          </w:tcPr>
          <w:p w14:paraId="1C3F9930">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c>
          <w:tcPr>
            <w:tcW w:w="1207" w:type="dxa"/>
            <w:tcBorders>
              <w:left w:val="single" w:color="000000" w:sz="4" w:space="0"/>
            </w:tcBorders>
            <w:vAlign w:val="top"/>
          </w:tcPr>
          <w:p w14:paraId="67EDB70C">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c>
          <w:tcPr>
            <w:tcW w:w="1207" w:type="dxa"/>
            <w:tcBorders>
              <w:left w:val="single" w:color="000000" w:sz="4" w:space="0"/>
            </w:tcBorders>
            <w:vAlign w:val="top"/>
          </w:tcPr>
          <w:p w14:paraId="1839DC65">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r>
      <w:tr w14:paraId="4751E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8" w:hRule="atLeast"/>
          <w:jc w:val="center"/>
        </w:trPr>
        <w:tc>
          <w:tcPr>
            <w:tcW w:w="866" w:type="dxa"/>
            <w:vAlign w:val="top"/>
          </w:tcPr>
          <w:p w14:paraId="1C50272B">
            <w:pPr>
              <w:pStyle w:val="48"/>
              <w:keepNext w:val="0"/>
              <w:keepLines w:val="0"/>
              <w:pageBreakBefore w:val="0"/>
              <w:suppressLineNumbers w:val="0"/>
              <w:overflowPunct/>
              <w:topLinePunct w:val="0"/>
              <w:bidi w:val="0"/>
              <w:spacing w:before="215" w:beforeAutospacing="0" w:after="0" w:afterAutospacing="0" w:line="360" w:lineRule="auto"/>
              <w:ind w:left="17" w:right="0"/>
              <w:jc w:val="center"/>
              <w:rPr>
                <w:rFonts w:hint="eastAsia" w:ascii="宋体" w:hAnsi="宋体" w:eastAsia="宋体" w:cs="宋体"/>
                <w:color w:val="auto"/>
                <w:spacing w:val="0"/>
                <w:sz w:val="21"/>
                <w:szCs w:val="21"/>
                <w:highlight w:val="none"/>
                <w:lang w:eastAsia="zh-CN"/>
              </w:rPr>
            </w:pPr>
            <w:r>
              <w:rPr>
                <w:rFonts w:hint="eastAsia" w:ascii="宋体" w:hAnsi="宋体" w:cs="宋体"/>
                <w:color w:val="auto"/>
                <w:spacing w:val="0"/>
                <w:sz w:val="21"/>
                <w:szCs w:val="21"/>
                <w:highlight w:val="none"/>
                <w:lang w:val="en-US" w:eastAsia="zh-CN"/>
              </w:rPr>
              <w:t>6</w:t>
            </w:r>
          </w:p>
        </w:tc>
        <w:tc>
          <w:tcPr>
            <w:tcW w:w="2655" w:type="dxa"/>
            <w:tcBorders>
              <w:right w:val="single" w:color="000000" w:sz="4" w:space="0"/>
            </w:tcBorders>
            <w:vAlign w:val="top"/>
          </w:tcPr>
          <w:p w14:paraId="1E80EB45">
            <w:pPr>
              <w:pStyle w:val="48"/>
              <w:keepNext w:val="0"/>
              <w:keepLines w:val="0"/>
              <w:pageBreakBefore w:val="0"/>
              <w:suppressLineNumbers w:val="0"/>
              <w:overflowPunct/>
              <w:topLinePunct w:val="0"/>
              <w:bidi w:val="0"/>
              <w:spacing w:before="215" w:beforeAutospacing="0" w:after="0" w:afterAutospacing="0" w:line="360" w:lineRule="auto"/>
              <w:ind w:left="226" w:right="215"/>
              <w:jc w:val="center"/>
              <w:rPr>
                <w:rFonts w:hint="eastAsia" w:ascii="宋体" w:hAnsi="宋体" w:eastAsia="宋体" w:cs="宋体"/>
                <w:color w:val="auto"/>
                <w:spacing w:val="0"/>
                <w:sz w:val="21"/>
                <w:szCs w:val="21"/>
                <w:highlight w:val="none"/>
                <w:lang w:eastAsia="zh-CN"/>
              </w:rPr>
            </w:pPr>
            <w:r>
              <w:rPr>
                <w:rFonts w:hint="eastAsia" w:ascii="宋体" w:hAnsi="宋体" w:cs="宋体"/>
                <w:color w:val="auto"/>
                <w:spacing w:val="0"/>
                <w:sz w:val="21"/>
                <w:szCs w:val="21"/>
                <w:highlight w:val="none"/>
                <w:lang w:val="en-US" w:eastAsia="zh-CN"/>
              </w:rPr>
              <w:t>磋商</w:t>
            </w:r>
            <w:r>
              <w:rPr>
                <w:rFonts w:hint="eastAsia" w:ascii="宋体" w:hAnsi="宋体" w:eastAsia="宋体" w:cs="宋体"/>
                <w:color w:val="auto"/>
                <w:spacing w:val="0"/>
                <w:sz w:val="21"/>
                <w:szCs w:val="21"/>
                <w:highlight w:val="none"/>
                <w:lang w:eastAsia="zh-CN"/>
              </w:rPr>
              <w:t>有效期</w:t>
            </w:r>
          </w:p>
        </w:tc>
        <w:tc>
          <w:tcPr>
            <w:tcW w:w="1985" w:type="dxa"/>
            <w:tcBorders>
              <w:left w:val="single" w:color="000000" w:sz="4" w:space="0"/>
              <w:right w:val="single" w:color="000000" w:sz="4" w:space="0"/>
            </w:tcBorders>
            <w:vAlign w:val="top"/>
          </w:tcPr>
          <w:p w14:paraId="42A3B3F2">
            <w:pPr>
              <w:pStyle w:val="48"/>
              <w:keepNext w:val="0"/>
              <w:keepLines w:val="0"/>
              <w:pageBreakBefore w:val="0"/>
              <w:suppressLineNumbers w:val="0"/>
              <w:overflowPunct/>
              <w:topLinePunct w:val="0"/>
              <w:bidi w:val="0"/>
              <w:spacing w:before="215" w:beforeAutospacing="0" w:after="0" w:afterAutospacing="0" w:line="360" w:lineRule="auto"/>
              <w:ind w:left="373" w:right="361"/>
              <w:jc w:val="center"/>
              <w:rPr>
                <w:rFonts w:hint="eastAsia" w:ascii="宋体" w:hAnsi="宋体" w:eastAsia="宋体" w:cs="宋体"/>
                <w:color w:val="auto"/>
                <w:spacing w:val="0"/>
                <w:sz w:val="21"/>
                <w:szCs w:val="21"/>
                <w:highlight w:val="none"/>
                <w:lang w:val="en-US" w:eastAsia="zh-CN"/>
              </w:rPr>
            </w:pPr>
          </w:p>
        </w:tc>
        <w:tc>
          <w:tcPr>
            <w:tcW w:w="2026" w:type="dxa"/>
            <w:tcBorders>
              <w:left w:val="single" w:color="000000" w:sz="4" w:space="0"/>
              <w:right w:val="single" w:color="000000" w:sz="4" w:space="0"/>
            </w:tcBorders>
            <w:vAlign w:val="top"/>
          </w:tcPr>
          <w:p w14:paraId="7F6306D4">
            <w:pPr>
              <w:pStyle w:val="48"/>
              <w:keepNext w:val="0"/>
              <w:keepLines w:val="0"/>
              <w:pageBreakBefore w:val="0"/>
              <w:suppressLineNumbers w:val="0"/>
              <w:overflowPunct/>
              <w:topLinePunct w:val="0"/>
              <w:bidi w:val="0"/>
              <w:spacing w:before="215" w:beforeAutospacing="0" w:after="0" w:afterAutospacing="0" w:line="360" w:lineRule="auto"/>
              <w:ind w:left="753" w:right="743"/>
              <w:jc w:val="center"/>
              <w:rPr>
                <w:rFonts w:hint="eastAsia" w:ascii="宋体" w:hAnsi="宋体" w:eastAsia="宋体" w:cs="宋体"/>
                <w:color w:val="auto"/>
                <w:spacing w:val="0"/>
                <w:sz w:val="21"/>
                <w:szCs w:val="21"/>
                <w:highlight w:val="none"/>
              </w:rPr>
            </w:pPr>
          </w:p>
        </w:tc>
        <w:tc>
          <w:tcPr>
            <w:tcW w:w="1207" w:type="dxa"/>
            <w:tcBorders>
              <w:left w:val="single" w:color="000000" w:sz="4" w:space="0"/>
            </w:tcBorders>
            <w:vAlign w:val="top"/>
          </w:tcPr>
          <w:p w14:paraId="73B7B7D8">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c>
          <w:tcPr>
            <w:tcW w:w="1207" w:type="dxa"/>
            <w:tcBorders>
              <w:left w:val="single" w:color="000000" w:sz="4" w:space="0"/>
            </w:tcBorders>
            <w:vAlign w:val="top"/>
          </w:tcPr>
          <w:p w14:paraId="24E07A8E">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r>
      <w:tr w14:paraId="3683C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8" w:hRule="atLeast"/>
          <w:jc w:val="center"/>
        </w:trPr>
        <w:tc>
          <w:tcPr>
            <w:tcW w:w="866" w:type="dxa"/>
            <w:vAlign w:val="top"/>
          </w:tcPr>
          <w:p w14:paraId="45C3796C">
            <w:pPr>
              <w:pStyle w:val="48"/>
              <w:keepNext w:val="0"/>
              <w:keepLines w:val="0"/>
              <w:pageBreakBefore w:val="0"/>
              <w:suppressLineNumbers w:val="0"/>
              <w:overflowPunct/>
              <w:topLinePunct w:val="0"/>
              <w:bidi w:val="0"/>
              <w:spacing w:before="215" w:beforeAutospacing="0" w:after="0" w:afterAutospacing="0" w:line="360" w:lineRule="auto"/>
              <w:ind w:left="17" w:right="0"/>
              <w:jc w:val="center"/>
              <w:rPr>
                <w:rFonts w:hint="default" w:ascii="宋体" w:hAnsi="宋体" w:cs="宋体"/>
                <w:color w:val="auto"/>
                <w:spacing w:val="0"/>
                <w:sz w:val="21"/>
                <w:szCs w:val="21"/>
                <w:highlight w:val="none"/>
                <w:lang w:val="en-US" w:eastAsia="zh-CN"/>
              </w:rPr>
            </w:pPr>
            <w:r>
              <w:rPr>
                <w:rFonts w:hint="eastAsia" w:ascii="宋体" w:hAnsi="宋体" w:cs="宋体"/>
                <w:color w:val="auto"/>
                <w:spacing w:val="0"/>
                <w:sz w:val="21"/>
                <w:szCs w:val="21"/>
                <w:highlight w:val="none"/>
                <w:lang w:val="en-US" w:eastAsia="zh-CN"/>
              </w:rPr>
              <w:t>7</w:t>
            </w:r>
          </w:p>
        </w:tc>
        <w:tc>
          <w:tcPr>
            <w:tcW w:w="2655" w:type="dxa"/>
            <w:tcBorders>
              <w:right w:val="single" w:color="000000" w:sz="4" w:space="0"/>
            </w:tcBorders>
            <w:vAlign w:val="top"/>
          </w:tcPr>
          <w:p w14:paraId="41938110">
            <w:pPr>
              <w:pStyle w:val="48"/>
              <w:keepNext w:val="0"/>
              <w:keepLines w:val="0"/>
              <w:pageBreakBefore w:val="0"/>
              <w:suppressLineNumbers w:val="0"/>
              <w:overflowPunct/>
              <w:topLinePunct w:val="0"/>
              <w:bidi w:val="0"/>
              <w:spacing w:before="215" w:beforeAutospacing="0" w:after="0" w:afterAutospacing="0" w:line="360" w:lineRule="auto"/>
              <w:ind w:left="226" w:right="215"/>
              <w:jc w:val="center"/>
              <w:rPr>
                <w:rFonts w:hint="default" w:ascii="宋体" w:hAnsi="宋体" w:eastAsia="宋体" w:cs="宋体"/>
                <w:color w:val="auto"/>
                <w:spacing w:val="0"/>
                <w:sz w:val="21"/>
                <w:szCs w:val="21"/>
                <w:highlight w:val="none"/>
                <w:lang w:val="en-US" w:eastAsia="zh-CN"/>
              </w:rPr>
            </w:pPr>
            <w:r>
              <w:rPr>
                <w:rFonts w:hint="eastAsia" w:ascii="宋体" w:hAnsi="宋体" w:cs="宋体"/>
                <w:color w:val="auto"/>
                <w:spacing w:val="0"/>
                <w:sz w:val="21"/>
                <w:szCs w:val="21"/>
                <w:highlight w:val="none"/>
                <w:lang w:val="en-US" w:eastAsia="zh-CN"/>
              </w:rPr>
              <w:t>付款方式</w:t>
            </w:r>
          </w:p>
        </w:tc>
        <w:tc>
          <w:tcPr>
            <w:tcW w:w="1985" w:type="dxa"/>
            <w:tcBorders>
              <w:left w:val="single" w:color="000000" w:sz="4" w:space="0"/>
              <w:right w:val="single" w:color="000000" w:sz="4" w:space="0"/>
            </w:tcBorders>
            <w:vAlign w:val="top"/>
          </w:tcPr>
          <w:p w14:paraId="1EEC7E72">
            <w:pPr>
              <w:pStyle w:val="48"/>
              <w:keepNext w:val="0"/>
              <w:keepLines w:val="0"/>
              <w:pageBreakBefore w:val="0"/>
              <w:suppressLineNumbers w:val="0"/>
              <w:overflowPunct/>
              <w:topLinePunct w:val="0"/>
              <w:bidi w:val="0"/>
              <w:spacing w:before="215" w:beforeAutospacing="0" w:after="0" w:afterAutospacing="0" w:line="360" w:lineRule="auto"/>
              <w:ind w:left="373" w:right="361"/>
              <w:jc w:val="center"/>
              <w:rPr>
                <w:rFonts w:hint="eastAsia" w:ascii="宋体" w:hAnsi="宋体" w:eastAsia="宋体" w:cs="宋体"/>
                <w:color w:val="auto"/>
                <w:spacing w:val="0"/>
                <w:sz w:val="21"/>
                <w:szCs w:val="21"/>
                <w:highlight w:val="none"/>
                <w:lang w:val="en-US" w:eastAsia="zh-CN"/>
              </w:rPr>
            </w:pPr>
          </w:p>
        </w:tc>
        <w:tc>
          <w:tcPr>
            <w:tcW w:w="2026" w:type="dxa"/>
            <w:tcBorders>
              <w:left w:val="single" w:color="000000" w:sz="4" w:space="0"/>
              <w:right w:val="single" w:color="000000" w:sz="4" w:space="0"/>
            </w:tcBorders>
            <w:vAlign w:val="top"/>
          </w:tcPr>
          <w:p w14:paraId="58C8EC5F">
            <w:pPr>
              <w:pStyle w:val="48"/>
              <w:keepNext w:val="0"/>
              <w:keepLines w:val="0"/>
              <w:pageBreakBefore w:val="0"/>
              <w:suppressLineNumbers w:val="0"/>
              <w:overflowPunct/>
              <w:topLinePunct w:val="0"/>
              <w:bidi w:val="0"/>
              <w:spacing w:before="215" w:beforeAutospacing="0" w:after="0" w:afterAutospacing="0" w:line="360" w:lineRule="auto"/>
              <w:ind w:left="753" w:right="743"/>
              <w:jc w:val="center"/>
              <w:rPr>
                <w:rFonts w:hint="eastAsia" w:ascii="宋体" w:hAnsi="宋体" w:eastAsia="宋体" w:cs="宋体"/>
                <w:color w:val="auto"/>
                <w:spacing w:val="0"/>
                <w:sz w:val="21"/>
                <w:szCs w:val="21"/>
                <w:highlight w:val="none"/>
              </w:rPr>
            </w:pPr>
          </w:p>
        </w:tc>
        <w:tc>
          <w:tcPr>
            <w:tcW w:w="1207" w:type="dxa"/>
            <w:tcBorders>
              <w:left w:val="single" w:color="000000" w:sz="4" w:space="0"/>
            </w:tcBorders>
            <w:vAlign w:val="top"/>
          </w:tcPr>
          <w:p w14:paraId="0DE94B7B">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c>
          <w:tcPr>
            <w:tcW w:w="1207" w:type="dxa"/>
            <w:tcBorders>
              <w:left w:val="single" w:color="000000" w:sz="4" w:space="0"/>
            </w:tcBorders>
            <w:vAlign w:val="top"/>
          </w:tcPr>
          <w:p w14:paraId="2CC4E6C6">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r>
      <w:tr w14:paraId="2160B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6" w:hRule="atLeast"/>
          <w:jc w:val="center"/>
        </w:trPr>
        <w:tc>
          <w:tcPr>
            <w:tcW w:w="866" w:type="dxa"/>
            <w:vAlign w:val="top"/>
          </w:tcPr>
          <w:p w14:paraId="490E6903">
            <w:pPr>
              <w:pStyle w:val="48"/>
              <w:keepNext w:val="0"/>
              <w:keepLines w:val="0"/>
              <w:pageBreakBefore w:val="0"/>
              <w:suppressLineNumbers w:val="0"/>
              <w:overflowPunct/>
              <w:topLinePunct w:val="0"/>
              <w:bidi w:val="0"/>
              <w:spacing w:before="213" w:beforeAutospacing="0" w:after="0" w:afterAutospacing="0" w:line="360" w:lineRule="auto"/>
              <w:ind w:left="17"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w:t>
            </w:r>
          </w:p>
        </w:tc>
        <w:tc>
          <w:tcPr>
            <w:tcW w:w="2655" w:type="dxa"/>
            <w:tcBorders>
              <w:right w:val="single" w:color="000000" w:sz="4" w:space="0"/>
            </w:tcBorders>
            <w:vAlign w:val="top"/>
          </w:tcPr>
          <w:p w14:paraId="5A4354CD">
            <w:pPr>
              <w:pStyle w:val="48"/>
              <w:keepNext w:val="0"/>
              <w:keepLines w:val="0"/>
              <w:pageBreakBefore w:val="0"/>
              <w:suppressLineNumbers w:val="0"/>
              <w:overflowPunct/>
              <w:topLinePunct w:val="0"/>
              <w:bidi w:val="0"/>
              <w:spacing w:before="213" w:beforeAutospacing="0" w:after="0" w:afterAutospacing="0" w:line="360" w:lineRule="auto"/>
              <w:ind w:left="226" w:right="215"/>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w:t>
            </w:r>
          </w:p>
        </w:tc>
        <w:tc>
          <w:tcPr>
            <w:tcW w:w="1985" w:type="dxa"/>
            <w:tcBorders>
              <w:left w:val="single" w:color="000000" w:sz="4" w:space="0"/>
              <w:right w:val="single" w:color="000000" w:sz="4" w:space="0"/>
            </w:tcBorders>
            <w:vAlign w:val="top"/>
          </w:tcPr>
          <w:p w14:paraId="1BF97DE7">
            <w:pPr>
              <w:pStyle w:val="48"/>
              <w:keepNext w:val="0"/>
              <w:keepLines w:val="0"/>
              <w:pageBreakBefore w:val="0"/>
              <w:suppressLineNumbers w:val="0"/>
              <w:overflowPunct/>
              <w:topLinePunct w:val="0"/>
              <w:bidi w:val="0"/>
              <w:spacing w:before="213" w:beforeAutospacing="0" w:after="0" w:afterAutospacing="0" w:line="360" w:lineRule="auto"/>
              <w:ind w:left="373" w:right="361"/>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w:t>
            </w:r>
          </w:p>
        </w:tc>
        <w:tc>
          <w:tcPr>
            <w:tcW w:w="2026" w:type="dxa"/>
            <w:tcBorders>
              <w:left w:val="single" w:color="000000" w:sz="4" w:space="0"/>
              <w:right w:val="single" w:color="000000" w:sz="4" w:space="0"/>
            </w:tcBorders>
            <w:vAlign w:val="top"/>
          </w:tcPr>
          <w:p w14:paraId="6280C421">
            <w:pPr>
              <w:pStyle w:val="48"/>
              <w:keepNext w:val="0"/>
              <w:keepLines w:val="0"/>
              <w:pageBreakBefore w:val="0"/>
              <w:suppressLineNumbers w:val="0"/>
              <w:overflowPunct/>
              <w:topLinePunct w:val="0"/>
              <w:bidi w:val="0"/>
              <w:spacing w:before="213" w:beforeAutospacing="0" w:after="0" w:afterAutospacing="0" w:line="360" w:lineRule="auto"/>
              <w:ind w:left="753" w:right="743"/>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w:t>
            </w:r>
          </w:p>
        </w:tc>
        <w:tc>
          <w:tcPr>
            <w:tcW w:w="1207" w:type="dxa"/>
            <w:tcBorders>
              <w:left w:val="single" w:color="000000" w:sz="4" w:space="0"/>
            </w:tcBorders>
            <w:vAlign w:val="top"/>
          </w:tcPr>
          <w:p w14:paraId="722CB1A9">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c>
          <w:tcPr>
            <w:tcW w:w="1207" w:type="dxa"/>
            <w:tcBorders>
              <w:left w:val="single" w:color="000000" w:sz="4" w:space="0"/>
            </w:tcBorders>
            <w:vAlign w:val="top"/>
          </w:tcPr>
          <w:p w14:paraId="4802F6F8">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r>
    </w:tbl>
    <w:p w14:paraId="757034EA">
      <w:pPr>
        <w:pageBreakBefore w:val="0"/>
        <w:overflowPunct/>
        <w:topLinePunct w:val="0"/>
        <w:bidi w:val="0"/>
        <w:spacing w:line="360" w:lineRule="auto"/>
        <w:ind w:left="-4" w:leftChars="-2" w:right="-153" w:rightChars="-73" w:firstLine="2627" w:firstLineChars="1251"/>
        <w:rPr>
          <w:rFonts w:hint="eastAsia" w:ascii="宋体" w:hAnsi="宋体" w:eastAsia="宋体" w:cs="宋体"/>
          <w:b/>
          <w:color w:val="auto"/>
          <w:szCs w:val="21"/>
          <w:highlight w:val="none"/>
        </w:rPr>
      </w:pPr>
    </w:p>
    <w:p w14:paraId="27BC00BF">
      <w:pPr>
        <w:pageBreakBefore w:val="0"/>
        <w:overflowPunct/>
        <w:topLinePunct w:val="0"/>
        <w:bidi w:val="0"/>
        <w:spacing w:line="360" w:lineRule="auto"/>
        <w:ind w:left="-4" w:leftChars="-2" w:right="-153" w:rightChars="-73" w:firstLine="363" w:firstLineChars="173"/>
        <w:jc w:val="center"/>
        <w:rPr>
          <w:rFonts w:hint="eastAsia" w:ascii="宋体" w:hAnsi="宋体" w:eastAsia="宋体" w:cs="宋体"/>
          <w:b/>
          <w:color w:val="auto"/>
          <w:szCs w:val="21"/>
          <w:highlight w:val="none"/>
        </w:rPr>
      </w:pPr>
    </w:p>
    <w:p w14:paraId="02CEA91F">
      <w:pPr>
        <w:pageBreakBefore w:val="0"/>
        <w:overflowPunct/>
        <w:topLinePunct w:val="0"/>
        <w:bidi w:val="0"/>
        <w:spacing w:line="360" w:lineRule="auto"/>
        <w:ind w:left="-4" w:leftChars="-2" w:right="-153" w:rightChars="-73" w:firstLine="363" w:firstLineChars="173"/>
        <w:jc w:val="center"/>
        <w:rPr>
          <w:rFonts w:hint="eastAsia" w:ascii="宋体" w:hAnsi="宋体" w:eastAsia="宋体" w:cs="宋体"/>
          <w:b/>
          <w:color w:val="auto"/>
          <w:szCs w:val="21"/>
          <w:highlight w:val="none"/>
        </w:rPr>
      </w:pPr>
    </w:p>
    <w:p w14:paraId="06AE62E4">
      <w:pPr>
        <w:pageBreakBefore w:val="0"/>
        <w:overflowPunct/>
        <w:topLinePunct w:val="0"/>
        <w:bidi w:val="0"/>
        <w:spacing w:line="360" w:lineRule="auto"/>
        <w:rPr>
          <w:rFonts w:hint="eastAsia" w:ascii="宋体" w:hAnsi="宋体" w:eastAsia="宋体" w:cs="宋体"/>
          <w:color w:val="auto"/>
          <w:szCs w:val="21"/>
          <w:highlight w:val="none"/>
          <w:lang w:eastAsia="zh-CN"/>
        </w:rPr>
      </w:pPr>
    </w:p>
    <w:p w14:paraId="189E1964">
      <w:pPr>
        <w:pageBreakBefore w:val="0"/>
        <w:overflowPunct/>
        <w:topLinePunct w:val="0"/>
        <w:bidi w:val="0"/>
        <w:spacing w:line="360" w:lineRule="auto"/>
        <w:rPr>
          <w:rFonts w:hint="eastAsia" w:ascii="宋体" w:hAnsi="宋体" w:eastAsia="宋体" w:cs="宋体"/>
          <w:color w:val="auto"/>
          <w:szCs w:val="21"/>
          <w:highlight w:val="none"/>
          <w:lang w:eastAsia="zh-CN"/>
        </w:rPr>
      </w:pPr>
    </w:p>
    <w:p w14:paraId="0466B6B6">
      <w:pPr>
        <w:pageBreakBefore w:val="0"/>
        <w:overflowPunct/>
        <w:topLinePunct w:val="0"/>
        <w:bidi w:val="0"/>
        <w:spacing w:line="360" w:lineRule="auto"/>
        <w:rPr>
          <w:rFonts w:hint="eastAsia" w:ascii="宋体" w:hAnsi="宋体" w:eastAsia="宋体" w:cs="宋体"/>
          <w:color w:val="auto"/>
          <w:szCs w:val="21"/>
          <w:highlight w:val="none"/>
          <w:lang w:eastAsia="zh-CN"/>
        </w:rPr>
      </w:pPr>
    </w:p>
    <w:p w14:paraId="4CA36413">
      <w:pPr>
        <w:pageBreakBefore w:val="0"/>
        <w:overflowPunct/>
        <w:topLinePunct w:val="0"/>
        <w:bidi w:val="0"/>
        <w:spacing w:line="360" w:lineRule="auto"/>
        <w:rPr>
          <w:rFonts w:hint="eastAsia" w:ascii="宋体" w:hAnsi="宋体" w:eastAsia="宋体" w:cs="宋体"/>
          <w:color w:val="auto"/>
          <w:szCs w:val="21"/>
          <w:highlight w:val="none"/>
          <w:lang w:eastAsia="zh-CN"/>
        </w:rPr>
      </w:pPr>
    </w:p>
    <w:p w14:paraId="3FE0468D">
      <w:pPr>
        <w:pageBreakBefore w:val="0"/>
        <w:overflowPunct/>
        <w:topLinePunct w:val="0"/>
        <w:bidi w:val="0"/>
        <w:spacing w:line="360" w:lineRule="auto"/>
        <w:rPr>
          <w:rFonts w:hint="eastAsia" w:ascii="宋体" w:hAnsi="宋体" w:eastAsia="宋体" w:cs="宋体"/>
          <w:color w:val="auto"/>
          <w:szCs w:val="21"/>
          <w:highlight w:val="none"/>
          <w:lang w:eastAsia="zh-CN"/>
        </w:rPr>
      </w:pPr>
    </w:p>
    <w:p w14:paraId="038A5110">
      <w:pPr>
        <w:pageBreakBefore w:val="0"/>
        <w:overflowPunct/>
        <w:topLinePunct w:val="0"/>
        <w:bidi w:val="0"/>
        <w:spacing w:line="360" w:lineRule="auto"/>
        <w:rPr>
          <w:rFonts w:hint="eastAsia" w:ascii="宋体" w:hAnsi="宋体" w:eastAsia="宋体" w:cs="宋体"/>
          <w:color w:val="auto"/>
          <w:szCs w:val="21"/>
          <w:highlight w:val="none"/>
          <w:lang w:eastAsia="zh-CN"/>
        </w:rPr>
      </w:pPr>
    </w:p>
    <w:p w14:paraId="0A7B164E">
      <w:pPr>
        <w:pageBreakBefore w:val="0"/>
        <w:overflowPunct/>
        <w:topLinePunct w:val="0"/>
        <w:bidi w:val="0"/>
        <w:spacing w:line="360" w:lineRule="auto"/>
        <w:rPr>
          <w:rFonts w:hint="eastAsia" w:ascii="宋体" w:hAnsi="宋体" w:eastAsia="宋体" w:cs="宋体"/>
          <w:color w:val="auto"/>
          <w:szCs w:val="21"/>
          <w:highlight w:val="none"/>
          <w:lang w:eastAsia="zh-CN"/>
        </w:rPr>
      </w:pPr>
    </w:p>
    <w:p w14:paraId="2D2085E8">
      <w:pPr>
        <w:pageBreakBefore w:val="0"/>
        <w:overflowPunct/>
        <w:topLinePunct w:val="0"/>
        <w:bidi w:val="0"/>
        <w:spacing w:line="360" w:lineRule="auto"/>
        <w:rPr>
          <w:rFonts w:hint="eastAsia" w:ascii="宋体" w:hAnsi="宋体" w:eastAsia="宋体" w:cs="宋体"/>
          <w:color w:val="auto"/>
          <w:szCs w:val="21"/>
          <w:highlight w:val="none"/>
          <w:lang w:eastAsia="zh-CN"/>
        </w:rPr>
      </w:pPr>
    </w:p>
    <w:p w14:paraId="23FC0DCD">
      <w:pPr>
        <w:pageBreakBefore w:val="0"/>
        <w:overflowPunct/>
        <w:topLinePunct w:val="0"/>
        <w:bidi w:val="0"/>
        <w:spacing w:line="360" w:lineRule="auto"/>
        <w:rPr>
          <w:rFonts w:hint="eastAsia" w:ascii="宋体" w:hAnsi="宋体" w:eastAsia="宋体" w:cs="宋体"/>
          <w:color w:val="auto"/>
          <w:szCs w:val="21"/>
          <w:highlight w:val="none"/>
          <w:lang w:eastAsia="zh-CN"/>
        </w:rPr>
      </w:pPr>
    </w:p>
    <w:p w14:paraId="565BD4E9">
      <w:pPr>
        <w:pageBreakBefore w:val="0"/>
        <w:overflowPunct/>
        <w:topLinePunct w:val="0"/>
        <w:bidi w:val="0"/>
        <w:spacing w:line="360" w:lineRule="auto"/>
        <w:rPr>
          <w:rFonts w:hint="eastAsia" w:ascii="宋体" w:hAnsi="宋体" w:eastAsia="宋体" w:cs="宋体"/>
          <w:color w:val="auto"/>
          <w:szCs w:val="21"/>
          <w:highlight w:val="none"/>
          <w:lang w:eastAsia="zh-CN"/>
        </w:rPr>
      </w:pPr>
    </w:p>
    <w:p w14:paraId="4BF7793B">
      <w:pPr>
        <w:pageBreakBefore w:val="0"/>
        <w:overflowPunct/>
        <w:topLinePunct w:val="0"/>
        <w:bidi w:val="0"/>
        <w:spacing w:line="360" w:lineRule="auto"/>
        <w:rPr>
          <w:rFonts w:hint="eastAsia" w:ascii="宋体" w:hAnsi="宋体" w:eastAsia="宋体" w:cs="宋体"/>
          <w:color w:val="auto"/>
          <w:szCs w:val="21"/>
          <w:highlight w:val="none"/>
          <w:lang w:eastAsia="zh-CN"/>
        </w:rPr>
      </w:pPr>
    </w:p>
    <w:p w14:paraId="468A1B48">
      <w:pPr>
        <w:pageBreakBefore w:val="0"/>
        <w:overflowPunct/>
        <w:topLinePunct w:val="0"/>
        <w:bidi w:val="0"/>
        <w:spacing w:line="360" w:lineRule="auto"/>
        <w:rPr>
          <w:rFonts w:hint="eastAsia" w:ascii="宋体" w:hAnsi="宋体" w:eastAsia="宋体" w:cs="宋体"/>
          <w:color w:val="auto"/>
          <w:szCs w:val="21"/>
          <w:highlight w:val="none"/>
          <w:lang w:eastAsia="zh-CN"/>
        </w:rPr>
      </w:pPr>
    </w:p>
    <w:p w14:paraId="5B4FE807">
      <w:pPr>
        <w:pageBreakBefore w:val="0"/>
        <w:overflowPunct/>
        <w:topLinePunct w:val="0"/>
        <w:bidi w:val="0"/>
        <w:spacing w:line="360" w:lineRule="auto"/>
        <w:rPr>
          <w:rFonts w:hint="eastAsia" w:ascii="宋体" w:hAnsi="宋体" w:eastAsia="宋体" w:cs="宋体"/>
          <w:color w:val="auto"/>
          <w:szCs w:val="21"/>
          <w:highlight w:val="none"/>
          <w:lang w:eastAsia="zh-CN"/>
        </w:rPr>
      </w:pPr>
    </w:p>
    <w:p w14:paraId="504553DC">
      <w:pPr>
        <w:spacing w:line="360" w:lineRule="auto"/>
        <w:contextualSpacing/>
        <w:jc w:val="left"/>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注：应商应根据自身的承诺，对照磋商文件“第三章 采购需求</w:t>
      </w:r>
      <w:r>
        <w:rPr>
          <w:rFonts w:hint="eastAsia" w:ascii="宋体" w:hAnsi="宋体" w:eastAsia="宋体" w:cs="宋体"/>
          <w:color w:val="auto"/>
          <w:kern w:val="0"/>
          <w:sz w:val="21"/>
          <w:szCs w:val="21"/>
          <w:highlight w:val="none"/>
          <w:lang w:val="en-US" w:eastAsia="zh-CN"/>
        </w:rPr>
        <w:t>表</w:t>
      </w:r>
      <w:r>
        <w:rPr>
          <w:rFonts w:hint="eastAsia" w:ascii="宋体" w:hAnsi="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lang w:val="en-US" w:eastAsia="zh-CN"/>
        </w:rPr>
        <w:t>▲三、商务要求</w:t>
      </w:r>
      <w:r>
        <w:rPr>
          <w:rFonts w:hint="eastAsia" w:ascii="宋体" w:hAnsi="宋体" w:eastAsia="宋体" w:cs="宋体"/>
          <w:color w:val="auto"/>
          <w:kern w:val="0"/>
          <w:sz w:val="21"/>
          <w:szCs w:val="21"/>
          <w:highlight w:val="none"/>
        </w:rPr>
        <w:t>”在“偏离说明”中注明“正偏离”、“负偏离”或者“无偏离”。既不属于“正偏离”也不属于“负偏离”即为“无偏离”。</w:t>
      </w:r>
    </w:p>
    <w:p w14:paraId="6A76C2A6">
      <w:pPr>
        <w:pageBreakBefore w:val="0"/>
        <w:overflowPunct/>
        <w:topLinePunct w:val="0"/>
        <w:bidi w:val="0"/>
        <w:spacing w:line="360" w:lineRule="auto"/>
        <w:rPr>
          <w:rFonts w:hint="eastAsia" w:ascii="宋体" w:hAnsi="宋体" w:eastAsia="宋体" w:cs="宋体"/>
          <w:color w:val="auto"/>
          <w:szCs w:val="21"/>
          <w:highlight w:val="none"/>
          <w:lang w:eastAsia="zh-CN"/>
        </w:rPr>
      </w:pPr>
    </w:p>
    <w:p w14:paraId="3F216642">
      <w:pPr>
        <w:pageBreakBefore w:val="0"/>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或</w:t>
      </w:r>
      <w:r>
        <w:rPr>
          <w:rFonts w:hint="eastAsia" w:ascii="宋体" w:hAnsi="宋体" w:eastAsia="宋体" w:cs="宋体"/>
          <w:color w:val="auto"/>
          <w:szCs w:val="21"/>
          <w:highlight w:val="none"/>
        </w:rPr>
        <w:t>电子签章）</w:t>
      </w:r>
    </w:p>
    <w:p w14:paraId="03BCCC52">
      <w:pPr>
        <w:pageBreakBefore w:val="0"/>
        <w:overflowPunct/>
        <w:topLinePunct w:val="0"/>
        <w:bidi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法定代表人（或授权委托代理人）：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（手写签名</w:t>
      </w:r>
      <w:r>
        <w:rPr>
          <w:rFonts w:hint="eastAsia" w:ascii="宋体" w:hAnsi="宋体" w:eastAsia="宋体" w:cs="宋体"/>
          <w:color w:val="auto"/>
          <w:szCs w:val="21"/>
          <w:highlight w:val="none"/>
          <w:lang w:val="en-US" w:eastAsia="zh-CN"/>
        </w:rPr>
        <w:t>或</w:t>
      </w:r>
      <w:r>
        <w:rPr>
          <w:rFonts w:hint="eastAsia" w:ascii="宋体" w:hAnsi="宋体" w:eastAsia="宋体" w:cs="宋体"/>
          <w:color w:val="auto"/>
          <w:szCs w:val="21"/>
          <w:highlight w:val="none"/>
        </w:rPr>
        <w:t xml:space="preserve">电子签名） </w:t>
      </w:r>
    </w:p>
    <w:p w14:paraId="1DBDF3A1">
      <w:pPr>
        <w:pageBreakBefore w:val="0"/>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u w:val="none"/>
          <w:lang w:eastAsia="zh-CN"/>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0FB23CE0">
      <w:pPr>
        <w:pageBreakBefore w:val="0"/>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04754E7B">
      <w:pPr>
        <w:pageBreakBefore w:val="0"/>
        <w:overflowPunct/>
        <w:topLinePunct w:val="0"/>
        <w:bidi w:val="0"/>
        <w:spacing w:line="360" w:lineRule="auto"/>
        <w:jc w:val="center"/>
        <w:rPr>
          <w:rFonts w:hint="eastAsia" w:ascii="宋体" w:hAnsi="宋体" w:eastAsia="宋体" w:cs="宋体"/>
          <w:b/>
          <w:color w:val="auto"/>
          <w:szCs w:val="21"/>
          <w:highlight w:val="none"/>
          <w:lang w:eastAsia="zh-CN"/>
        </w:rPr>
      </w:pPr>
      <w:r>
        <w:rPr>
          <w:rFonts w:hint="eastAsia" w:ascii="宋体" w:hAnsi="宋体" w:eastAsia="宋体" w:cs="宋体"/>
          <w:b/>
          <w:color w:val="auto"/>
          <w:sz w:val="28"/>
          <w:szCs w:val="28"/>
          <w:highlight w:val="none"/>
          <w:lang w:val="en-US" w:eastAsia="zh-CN"/>
        </w:rPr>
        <w:t>三</w:t>
      </w:r>
      <w:r>
        <w:rPr>
          <w:rFonts w:hint="eastAsia" w:ascii="宋体" w:hAnsi="宋体" w:eastAsia="宋体" w:cs="宋体"/>
          <w:b/>
          <w:color w:val="auto"/>
          <w:sz w:val="28"/>
          <w:szCs w:val="28"/>
          <w:highlight w:val="none"/>
        </w:rPr>
        <w:t>、已标价工程量清单</w:t>
      </w:r>
      <w:r>
        <w:rPr>
          <w:rFonts w:hint="eastAsia" w:ascii="宋体" w:hAnsi="宋体" w:eastAsia="宋体" w:cs="宋体"/>
          <w:b/>
          <w:color w:val="auto"/>
          <w:sz w:val="28"/>
          <w:szCs w:val="28"/>
          <w:highlight w:val="none"/>
          <w:lang w:eastAsia="zh-CN"/>
        </w:rPr>
        <w:t>（</w:t>
      </w:r>
      <w:r>
        <w:rPr>
          <w:rFonts w:hint="eastAsia" w:ascii="宋体" w:hAnsi="宋体" w:eastAsia="宋体" w:cs="宋体"/>
          <w:b/>
          <w:color w:val="auto"/>
          <w:sz w:val="28"/>
          <w:szCs w:val="28"/>
          <w:highlight w:val="none"/>
          <w:lang w:val="en-US" w:eastAsia="zh-CN"/>
        </w:rPr>
        <w:t>格式自拟</w:t>
      </w:r>
      <w:r>
        <w:rPr>
          <w:rFonts w:hint="eastAsia" w:ascii="宋体" w:hAnsi="宋体" w:eastAsia="宋体" w:cs="宋体"/>
          <w:b/>
          <w:color w:val="auto"/>
          <w:sz w:val="28"/>
          <w:szCs w:val="28"/>
          <w:highlight w:val="none"/>
          <w:lang w:eastAsia="zh-CN"/>
        </w:rPr>
        <w:t>）</w:t>
      </w:r>
    </w:p>
    <w:p w14:paraId="6622F888">
      <w:pPr>
        <w:pageBreakBefore w:val="0"/>
        <w:overflowPunct/>
        <w:topLinePunct w:val="0"/>
        <w:bidi w:val="0"/>
        <w:spacing w:line="360" w:lineRule="auto"/>
        <w:jc w:val="center"/>
        <w:rPr>
          <w:rFonts w:hint="eastAsia" w:ascii="宋体" w:hAnsi="宋体" w:eastAsia="宋体" w:cs="宋体"/>
          <w:color w:val="auto"/>
          <w:szCs w:val="21"/>
          <w:highlight w:val="none"/>
        </w:rPr>
      </w:pPr>
    </w:p>
    <w:p w14:paraId="25A3232D">
      <w:pPr>
        <w:pageBreakBefore w:val="0"/>
        <w:overflowPunct/>
        <w:topLinePunct w:val="0"/>
        <w:bidi w:val="0"/>
        <w:spacing w:line="360" w:lineRule="auto"/>
        <w:ind w:firstLine="1050" w:firstLineChars="500"/>
        <w:jc w:val="center"/>
        <w:rPr>
          <w:rFonts w:hint="eastAsia" w:ascii="宋体" w:hAnsi="宋体" w:eastAsia="宋体" w:cs="宋体"/>
          <w:color w:val="auto"/>
          <w:szCs w:val="21"/>
          <w:highlight w:val="none"/>
        </w:rPr>
      </w:pPr>
    </w:p>
    <w:p w14:paraId="4790CD99">
      <w:pPr>
        <w:pageBreakBefore w:val="0"/>
        <w:overflowPunct/>
        <w:topLinePunct w:val="0"/>
        <w:bidi w:val="0"/>
        <w:spacing w:line="360" w:lineRule="auto"/>
        <w:ind w:left="2100"/>
        <w:rPr>
          <w:rFonts w:hint="eastAsia" w:ascii="宋体" w:hAnsi="宋体" w:eastAsia="宋体" w:cs="宋体"/>
          <w:color w:val="auto"/>
          <w:szCs w:val="21"/>
          <w:highlight w:val="none"/>
        </w:rPr>
      </w:pPr>
    </w:p>
    <w:p w14:paraId="6130D6FF">
      <w:pPr>
        <w:pageBreakBefore w:val="0"/>
        <w:overflowPunct/>
        <w:topLinePunct w:val="0"/>
        <w:bidi w:val="0"/>
        <w:spacing w:line="360" w:lineRule="auto"/>
        <w:ind w:left="2100"/>
        <w:rPr>
          <w:rFonts w:hint="eastAsia" w:ascii="宋体" w:hAnsi="宋体" w:eastAsia="宋体" w:cs="宋体"/>
          <w:color w:val="auto"/>
          <w:szCs w:val="21"/>
          <w:highlight w:val="none"/>
        </w:rPr>
      </w:pPr>
    </w:p>
    <w:p w14:paraId="54CE9EEA">
      <w:pPr>
        <w:pageBreakBefore w:val="0"/>
        <w:overflowPunct/>
        <w:topLinePunct w:val="0"/>
        <w:bidi w:val="0"/>
        <w:spacing w:line="360" w:lineRule="auto"/>
        <w:ind w:left="2100"/>
        <w:rPr>
          <w:rFonts w:hint="eastAsia" w:ascii="宋体" w:hAnsi="宋体" w:eastAsia="宋体" w:cs="宋体"/>
          <w:color w:val="auto"/>
          <w:szCs w:val="21"/>
          <w:highlight w:val="none"/>
        </w:rPr>
      </w:pPr>
    </w:p>
    <w:p w14:paraId="2F361187">
      <w:pPr>
        <w:pageBreakBefore w:val="0"/>
        <w:overflowPunct/>
        <w:topLinePunct w:val="0"/>
        <w:bidi w:val="0"/>
        <w:spacing w:line="360" w:lineRule="auto"/>
        <w:ind w:left="2100"/>
        <w:rPr>
          <w:rFonts w:hint="eastAsia" w:ascii="宋体" w:hAnsi="宋体" w:eastAsia="宋体" w:cs="宋体"/>
          <w:color w:val="auto"/>
          <w:szCs w:val="21"/>
          <w:highlight w:val="none"/>
        </w:rPr>
      </w:pPr>
    </w:p>
    <w:p w14:paraId="6CB905D5">
      <w:pPr>
        <w:pageBreakBefore w:val="0"/>
        <w:overflowPunct/>
        <w:topLinePunct w:val="0"/>
        <w:bidi w:val="0"/>
        <w:spacing w:line="360" w:lineRule="auto"/>
        <w:ind w:left="2100"/>
        <w:rPr>
          <w:rFonts w:hint="eastAsia" w:ascii="宋体" w:hAnsi="宋体" w:eastAsia="宋体" w:cs="宋体"/>
          <w:color w:val="auto"/>
          <w:szCs w:val="21"/>
          <w:highlight w:val="none"/>
        </w:rPr>
      </w:pPr>
    </w:p>
    <w:p w14:paraId="39402454">
      <w:pPr>
        <w:pageBreakBefore w:val="0"/>
        <w:overflowPunct/>
        <w:topLinePunct w:val="0"/>
        <w:bidi w:val="0"/>
        <w:spacing w:line="360" w:lineRule="auto"/>
        <w:ind w:left="2100"/>
        <w:rPr>
          <w:rFonts w:hint="eastAsia" w:ascii="宋体" w:hAnsi="宋体" w:eastAsia="宋体" w:cs="宋体"/>
          <w:color w:val="auto"/>
          <w:szCs w:val="21"/>
          <w:highlight w:val="none"/>
        </w:rPr>
      </w:pPr>
    </w:p>
    <w:p w14:paraId="1F3C1925">
      <w:pPr>
        <w:pageBreakBefore w:val="0"/>
        <w:overflowPunct/>
        <w:topLinePunct w:val="0"/>
        <w:bidi w:val="0"/>
        <w:spacing w:line="360" w:lineRule="auto"/>
        <w:ind w:left="2100"/>
        <w:rPr>
          <w:rFonts w:hint="eastAsia" w:ascii="宋体" w:hAnsi="宋体" w:eastAsia="宋体" w:cs="宋体"/>
          <w:color w:val="auto"/>
          <w:szCs w:val="21"/>
          <w:highlight w:val="none"/>
        </w:rPr>
      </w:pPr>
    </w:p>
    <w:p w14:paraId="4CA613E2">
      <w:pPr>
        <w:pageBreakBefore w:val="0"/>
        <w:overflowPunct/>
        <w:topLinePunct w:val="0"/>
        <w:bidi w:val="0"/>
        <w:spacing w:line="360" w:lineRule="auto"/>
        <w:ind w:left="2100"/>
        <w:rPr>
          <w:rFonts w:hint="eastAsia" w:ascii="宋体" w:hAnsi="宋体" w:eastAsia="宋体" w:cs="宋体"/>
          <w:color w:val="auto"/>
          <w:szCs w:val="21"/>
          <w:highlight w:val="none"/>
        </w:rPr>
      </w:pPr>
    </w:p>
    <w:p w14:paraId="4D7E93B3">
      <w:pPr>
        <w:pageBreakBefore w:val="0"/>
        <w:overflowPunct/>
        <w:topLinePunct w:val="0"/>
        <w:bidi w:val="0"/>
        <w:spacing w:line="360" w:lineRule="auto"/>
        <w:ind w:left="2100"/>
        <w:rPr>
          <w:rFonts w:hint="eastAsia" w:ascii="宋体" w:hAnsi="宋体" w:eastAsia="宋体" w:cs="宋体"/>
          <w:color w:val="auto"/>
          <w:szCs w:val="21"/>
          <w:highlight w:val="none"/>
        </w:rPr>
      </w:pPr>
    </w:p>
    <w:p w14:paraId="783C0B5C">
      <w:pPr>
        <w:pageBreakBefore w:val="0"/>
        <w:overflowPunct/>
        <w:topLinePunct w:val="0"/>
        <w:bidi w:val="0"/>
        <w:spacing w:line="360" w:lineRule="auto"/>
        <w:ind w:left="2100"/>
        <w:rPr>
          <w:rFonts w:hint="eastAsia" w:ascii="宋体" w:hAnsi="宋体" w:eastAsia="宋体" w:cs="宋体"/>
          <w:color w:val="auto"/>
          <w:szCs w:val="21"/>
          <w:highlight w:val="none"/>
        </w:rPr>
      </w:pPr>
    </w:p>
    <w:p w14:paraId="735C9460">
      <w:pPr>
        <w:pageBreakBefore w:val="0"/>
        <w:overflowPunct/>
        <w:topLinePunct w:val="0"/>
        <w:bidi w:val="0"/>
        <w:spacing w:line="360" w:lineRule="auto"/>
        <w:ind w:left="2100"/>
        <w:rPr>
          <w:rFonts w:hint="eastAsia" w:ascii="宋体" w:hAnsi="宋体" w:eastAsia="宋体" w:cs="宋体"/>
          <w:color w:val="auto"/>
          <w:szCs w:val="21"/>
          <w:highlight w:val="none"/>
        </w:rPr>
      </w:pPr>
    </w:p>
    <w:p w14:paraId="4815F415">
      <w:pPr>
        <w:pageBreakBefore w:val="0"/>
        <w:overflowPunct/>
        <w:topLinePunct w:val="0"/>
        <w:bidi w:val="0"/>
        <w:spacing w:line="360" w:lineRule="auto"/>
        <w:ind w:left="2100"/>
        <w:rPr>
          <w:rFonts w:hint="eastAsia" w:ascii="宋体" w:hAnsi="宋体" w:eastAsia="宋体" w:cs="宋体"/>
          <w:color w:val="auto"/>
          <w:szCs w:val="21"/>
          <w:highlight w:val="none"/>
        </w:rPr>
      </w:pPr>
    </w:p>
    <w:p w14:paraId="74BABC2E">
      <w:pPr>
        <w:pageBreakBefore w:val="0"/>
        <w:overflowPunct/>
        <w:topLinePunct w:val="0"/>
        <w:bidi w:val="0"/>
        <w:spacing w:line="360" w:lineRule="auto"/>
        <w:ind w:left="2100"/>
        <w:rPr>
          <w:rFonts w:hint="eastAsia" w:ascii="宋体" w:hAnsi="宋体" w:eastAsia="宋体" w:cs="宋体"/>
          <w:color w:val="auto"/>
          <w:szCs w:val="21"/>
          <w:highlight w:val="none"/>
        </w:rPr>
      </w:pPr>
    </w:p>
    <w:p w14:paraId="7061EBD2">
      <w:pPr>
        <w:pageBreakBefore w:val="0"/>
        <w:overflowPunct/>
        <w:topLinePunct w:val="0"/>
        <w:bidi w:val="0"/>
        <w:spacing w:line="360" w:lineRule="auto"/>
        <w:ind w:left="2100"/>
        <w:rPr>
          <w:rFonts w:hint="eastAsia" w:ascii="宋体" w:hAnsi="宋体" w:eastAsia="宋体" w:cs="宋体"/>
          <w:color w:val="auto"/>
          <w:szCs w:val="21"/>
          <w:highlight w:val="none"/>
        </w:rPr>
      </w:pPr>
    </w:p>
    <w:p w14:paraId="3A78075B">
      <w:pPr>
        <w:pageBreakBefore w:val="0"/>
        <w:overflowPunct/>
        <w:topLinePunct w:val="0"/>
        <w:bidi w:val="0"/>
        <w:spacing w:line="360" w:lineRule="auto"/>
        <w:ind w:left="2100"/>
        <w:rPr>
          <w:rFonts w:hint="eastAsia" w:ascii="宋体" w:hAnsi="宋体" w:eastAsia="宋体" w:cs="宋体"/>
          <w:color w:val="auto"/>
          <w:szCs w:val="21"/>
          <w:highlight w:val="none"/>
        </w:rPr>
      </w:pPr>
    </w:p>
    <w:p w14:paraId="7DD25970">
      <w:pPr>
        <w:pageBreakBefore w:val="0"/>
        <w:overflowPunct/>
        <w:topLinePunct w:val="0"/>
        <w:bidi w:val="0"/>
        <w:spacing w:line="360" w:lineRule="auto"/>
        <w:ind w:left="2100"/>
        <w:rPr>
          <w:rFonts w:hint="eastAsia" w:ascii="宋体" w:hAnsi="宋体" w:eastAsia="宋体" w:cs="宋体"/>
          <w:color w:val="auto"/>
          <w:szCs w:val="21"/>
          <w:highlight w:val="none"/>
        </w:rPr>
      </w:pPr>
    </w:p>
    <w:p w14:paraId="6A132CA9">
      <w:pPr>
        <w:pageBreakBefore w:val="0"/>
        <w:overflowPunct/>
        <w:topLinePunct w:val="0"/>
        <w:bidi w:val="0"/>
        <w:spacing w:line="360" w:lineRule="auto"/>
        <w:rPr>
          <w:rFonts w:hint="eastAsia" w:ascii="宋体" w:hAnsi="宋体" w:eastAsia="宋体" w:cs="宋体"/>
          <w:color w:val="auto"/>
          <w:szCs w:val="21"/>
          <w:highlight w:val="none"/>
        </w:rPr>
      </w:pPr>
    </w:p>
    <w:p w14:paraId="6701A963">
      <w:pPr>
        <w:pageBreakBefore w:val="0"/>
        <w:overflowPunct/>
        <w:topLinePunct w:val="0"/>
        <w:bidi w:val="0"/>
        <w:spacing w:line="360" w:lineRule="auto"/>
        <w:rPr>
          <w:rFonts w:hint="eastAsia" w:ascii="宋体" w:hAnsi="宋体" w:eastAsia="宋体" w:cs="宋体"/>
          <w:color w:val="auto"/>
          <w:szCs w:val="21"/>
          <w:highlight w:val="none"/>
        </w:rPr>
      </w:pPr>
    </w:p>
    <w:p w14:paraId="79922068">
      <w:pPr>
        <w:pageBreakBefore w:val="0"/>
        <w:overflowPunct/>
        <w:topLinePunct w:val="0"/>
        <w:bidi w:val="0"/>
        <w:spacing w:line="360" w:lineRule="auto"/>
        <w:rPr>
          <w:rFonts w:hint="eastAsia" w:ascii="宋体" w:hAnsi="宋体" w:eastAsia="宋体" w:cs="宋体"/>
          <w:color w:val="auto"/>
          <w:szCs w:val="21"/>
          <w:highlight w:val="none"/>
        </w:rPr>
      </w:pPr>
    </w:p>
    <w:p w14:paraId="780EB9B3">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r>
        <w:rPr>
          <w:rFonts w:hint="eastAsia" w:ascii="宋体" w:hAnsi="宋体" w:eastAsia="宋体" w:cs="宋体"/>
          <w:color w:val="auto"/>
          <w:szCs w:val="21"/>
          <w:highlight w:val="none"/>
        </w:rPr>
        <w:br w:type="page"/>
      </w:r>
    </w:p>
    <w:p w14:paraId="167E7506">
      <w:pPr>
        <w:pageBreakBefore w:val="0"/>
        <w:overflowPunct/>
        <w:topLinePunct w:val="0"/>
        <w:bidi w:val="0"/>
        <w:spacing w:line="360" w:lineRule="auto"/>
        <w:ind w:firstLine="560" w:firstLineChars="200"/>
        <w:jc w:val="center"/>
        <w:rPr>
          <w:rFonts w:hint="eastAsia" w:ascii="宋体" w:hAnsi="宋体" w:eastAsia="宋体" w:cs="宋体"/>
          <w:b/>
          <w:color w:val="auto"/>
          <w:kern w:val="44"/>
          <w:sz w:val="28"/>
          <w:szCs w:val="28"/>
          <w:highlight w:val="none"/>
        </w:rPr>
      </w:pPr>
      <w:r>
        <w:rPr>
          <w:rFonts w:hint="eastAsia" w:ascii="宋体" w:hAnsi="宋体" w:eastAsia="宋体" w:cs="宋体"/>
          <w:b/>
          <w:color w:val="auto"/>
          <w:kern w:val="44"/>
          <w:sz w:val="28"/>
          <w:szCs w:val="28"/>
          <w:highlight w:val="none"/>
          <w:lang w:val="en-US" w:eastAsia="zh-CN"/>
        </w:rPr>
        <w:t>第四节  商务技术</w:t>
      </w:r>
      <w:r>
        <w:rPr>
          <w:rFonts w:hint="eastAsia" w:ascii="宋体" w:hAnsi="宋体" w:eastAsia="宋体" w:cs="宋体"/>
          <w:b/>
          <w:color w:val="auto"/>
          <w:kern w:val="44"/>
          <w:sz w:val="28"/>
          <w:szCs w:val="28"/>
          <w:highlight w:val="none"/>
        </w:rPr>
        <w:t>文件格式</w:t>
      </w:r>
    </w:p>
    <w:p w14:paraId="0ECA7CF5">
      <w:pPr>
        <w:pStyle w:val="40"/>
        <w:pageBreakBefore w:val="0"/>
        <w:overflowPunct/>
        <w:topLinePunct w:val="0"/>
        <w:bidi w:val="0"/>
        <w:spacing w:line="360" w:lineRule="auto"/>
        <w:rPr>
          <w:rFonts w:hint="eastAsia" w:ascii="宋体" w:hAnsi="宋体" w:eastAsia="宋体" w:cs="宋体"/>
          <w:color w:val="auto"/>
          <w:highlight w:val="none"/>
        </w:rPr>
      </w:pPr>
    </w:p>
    <w:p w14:paraId="264128CF">
      <w:pPr>
        <w:pageBreakBefore w:val="0"/>
        <w:widowControl/>
        <w:kinsoku w:val="0"/>
        <w:overflowPunct/>
        <w:topLinePunct w:val="0"/>
        <w:autoSpaceDE w:val="0"/>
        <w:autoSpaceDN w:val="0"/>
        <w:bidi w:val="0"/>
        <w:adjustRightInd w:val="0"/>
        <w:snapToGrid w:val="0"/>
        <w:spacing w:before="69" w:line="360" w:lineRule="auto"/>
        <w:ind w:firstLine="6250"/>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pacing w:val="-2"/>
          <w:kern w:val="0"/>
          <w:sz w:val="24"/>
          <w:szCs w:val="24"/>
          <w:highlight w:val="none"/>
        </w:rPr>
        <w:t>全流程电子文件</w:t>
      </w:r>
    </w:p>
    <w:p w14:paraId="58101213">
      <w:pPr>
        <w:pageBreakBefore w:val="0"/>
        <w:overflowPunct/>
        <w:topLinePunct w:val="0"/>
        <w:bidi w:val="0"/>
        <w:spacing w:line="360" w:lineRule="auto"/>
        <w:jc w:val="both"/>
        <w:rPr>
          <w:rFonts w:hint="eastAsia" w:ascii="宋体" w:hAnsi="宋体" w:eastAsia="宋体" w:cs="宋体"/>
          <w:color w:val="auto"/>
          <w:sz w:val="28"/>
          <w:szCs w:val="28"/>
          <w:highlight w:val="none"/>
          <w:u w:val="single"/>
        </w:rPr>
      </w:pPr>
    </w:p>
    <w:p w14:paraId="60071FDD">
      <w:pPr>
        <w:pageBreakBefore w:val="0"/>
        <w:overflowPunct/>
        <w:topLinePunct w:val="0"/>
        <w:bidi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商  务  技  术</w:t>
      </w:r>
      <w:r>
        <w:rPr>
          <w:rFonts w:hint="eastAsia" w:ascii="宋体" w:hAnsi="宋体" w:eastAsia="宋体" w:cs="宋体"/>
          <w:b/>
          <w:bCs/>
          <w:color w:val="auto"/>
          <w:sz w:val="28"/>
          <w:szCs w:val="28"/>
          <w:highlight w:val="none"/>
        </w:rPr>
        <w:t xml:space="preserve"> 文  件（封面）</w:t>
      </w:r>
    </w:p>
    <w:p w14:paraId="3722B953">
      <w:pPr>
        <w:pageBreakBefore w:val="0"/>
        <w:overflowPunct/>
        <w:topLinePunct w:val="0"/>
        <w:bidi w:val="0"/>
        <w:spacing w:line="360" w:lineRule="auto"/>
        <w:jc w:val="both"/>
        <w:rPr>
          <w:rFonts w:hint="eastAsia" w:ascii="宋体" w:hAnsi="宋体" w:eastAsia="宋体" w:cs="宋体"/>
          <w:b/>
          <w:bCs/>
          <w:color w:val="auto"/>
          <w:sz w:val="28"/>
          <w:szCs w:val="28"/>
          <w:highlight w:val="none"/>
        </w:rPr>
      </w:pPr>
    </w:p>
    <w:p w14:paraId="69E47851">
      <w:pPr>
        <w:pageBreakBefore w:val="0"/>
        <w:overflowPunct/>
        <w:topLinePunct w:val="0"/>
        <w:bidi w:val="0"/>
        <w:spacing w:before="312" w:beforeLines="100" w:line="360" w:lineRule="auto"/>
        <w:jc w:val="center"/>
        <w:rPr>
          <w:rFonts w:hint="eastAsia"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响 应 文 件</w:t>
      </w:r>
    </w:p>
    <w:p w14:paraId="353541A4">
      <w:pPr>
        <w:pageBreakBefore w:val="0"/>
        <w:overflowPunct/>
        <w:topLinePunct w:val="0"/>
        <w:bidi w:val="0"/>
        <w:spacing w:line="360" w:lineRule="auto"/>
        <w:ind w:firstLine="2380" w:firstLineChars="85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项目名称：</w:t>
      </w:r>
    </w:p>
    <w:p w14:paraId="11EBC116">
      <w:pPr>
        <w:pageBreakBefore w:val="0"/>
        <w:overflowPunct/>
        <w:topLinePunct w:val="0"/>
        <w:bidi w:val="0"/>
        <w:spacing w:line="360" w:lineRule="auto"/>
        <w:ind w:firstLine="2380" w:firstLineChars="85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项目编号：</w:t>
      </w:r>
    </w:p>
    <w:p w14:paraId="67ECF354">
      <w:pPr>
        <w:pStyle w:val="40"/>
        <w:pageBreakBefore w:val="0"/>
        <w:overflowPunct/>
        <w:topLinePunct w:val="0"/>
        <w:bidi w:val="0"/>
        <w:spacing w:line="360" w:lineRule="auto"/>
        <w:rPr>
          <w:rFonts w:hint="eastAsia" w:ascii="宋体" w:hAnsi="宋体" w:eastAsia="宋体" w:cs="宋体"/>
          <w:color w:val="auto"/>
          <w:highlight w:val="none"/>
        </w:rPr>
      </w:pPr>
    </w:p>
    <w:p w14:paraId="42E0CBE5">
      <w:pPr>
        <w:pageBreakBefore w:val="0"/>
        <w:overflowPunct/>
        <w:topLinePunct w:val="0"/>
        <w:bidi w:val="0"/>
        <w:spacing w:line="360" w:lineRule="auto"/>
        <w:jc w:val="center"/>
        <w:rPr>
          <w:rFonts w:hint="eastAsia" w:ascii="宋体" w:hAnsi="宋体" w:eastAsia="宋体" w:cs="宋体"/>
          <w:b/>
          <w:bCs/>
          <w:color w:val="auto"/>
          <w:sz w:val="28"/>
          <w:szCs w:val="28"/>
          <w:highlight w:val="none"/>
        </w:rPr>
      </w:pPr>
    </w:p>
    <w:p w14:paraId="0CD90045">
      <w:pPr>
        <w:pageBreakBefore w:val="0"/>
        <w:overflowPunct/>
        <w:topLinePunct w:val="0"/>
        <w:bidi w:val="0"/>
        <w:spacing w:line="360" w:lineRule="auto"/>
        <w:rPr>
          <w:rFonts w:hint="eastAsia" w:ascii="宋体" w:hAnsi="宋体" w:eastAsia="宋体" w:cs="宋体"/>
          <w:b/>
          <w:bCs/>
          <w:color w:val="auto"/>
          <w:sz w:val="28"/>
          <w:szCs w:val="28"/>
          <w:highlight w:val="none"/>
        </w:rPr>
      </w:pPr>
    </w:p>
    <w:p w14:paraId="3D1F795C">
      <w:pPr>
        <w:pageBreakBefore w:val="0"/>
        <w:overflowPunct/>
        <w:topLinePunct w:val="0"/>
        <w:bidi w:val="0"/>
        <w:spacing w:line="360" w:lineRule="auto"/>
        <w:jc w:val="both"/>
        <w:rPr>
          <w:rFonts w:hint="eastAsia" w:ascii="宋体" w:hAnsi="宋体" w:eastAsia="宋体" w:cs="宋体"/>
          <w:b/>
          <w:bCs/>
          <w:color w:val="auto"/>
          <w:sz w:val="28"/>
          <w:szCs w:val="28"/>
          <w:highlight w:val="none"/>
        </w:rPr>
      </w:pPr>
    </w:p>
    <w:p w14:paraId="5EB4503F">
      <w:pPr>
        <w:pageBreakBefore w:val="0"/>
        <w:overflowPunct/>
        <w:topLinePunct w:val="0"/>
        <w:bidi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eastAsia="zh-CN"/>
        </w:rPr>
        <w:t>磋商供应商</w:t>
      </w:r>
      <w:r>
        <w:rPr>
          <w:rFonts w:hint="eastAsia" w:ascii="宋体" w:hAnsi="宋体" w:eastAsia="宋体" w:cs="宋体"/>
          <w:b/>
          <w:bCs/>
          <w:color w:val="auto"/>
          <w:sz w:val="28"/>
          <w:szCs w:val="28"/>
          <w:highlight w:val="none"/>
        </w:rPr>
        <w:t>：</w:t>
      </w:r>
      <w:r>
        <w:rPr>
          <w:rFonts w:hint="eastAsia" w:ascii="宋体" w:hAnsi="宋体" w:eastAsia="宋体" w:cs="宋体"/>
          <w:b/>
          <w:bCs/>
          <w:color w:val="auto"/>
          <w:sz w:val="28"/>
          <w:szCs w:val="28"/>
          <w:highlight w:val="none"/>
          <w:u w:val="single"/>
        </w:rPr>
        <w:t xml:space="preserve">                 </w:t>
      </w:r>
      <w:r>
        <w:rPr>
          <w:rFonts w:hint="eastAsia" w:ascii="宋体" w:hAnsi="宋体" w:eastAsia="宋体" w:cs="宋体"/>
          <w:b/>
          <w:bCs/>
          <w:color w:val="auto"/>
          <w:sz w:val="28"/>
          <w:szCs w:val="28"/>
          <w:highlight w:val="none"/>
        </w:rPr>
        <w:t>（公章</w:t>
      </w:r>
      <w:r>
        <w:rPr>
          <w:rFonts w:hint="eastAsia" w:ascii="宋体" w:hAnsi="宋体" w:eastAsia="宋体" w:cs="宋体"/>
          <w:b/>
          <w:bCs/>
          <w:color w:val="auto"/>
          <w:sz w:val="28"/>
          <w:szCs w:val="28"/>
          <w:highlight w:val="none"/>
          <w:lang w:val="en-US" w:eastAsia="zh-CN"/>
        </w:rPr>
        <w:t>或</w:t>
      </w:r>
      <w:r>
        <w:rPr>
          <w:rFonts w:hint="eastAsia" w:ascii="宋体" w:hAnsi="宋体" w:eastAsia="宋体" w:cs="宋体"/>
          <w:b/>
          <w:bCs/>
          <w:color w:val="auto"/>
          <w:sz w:val="28"/>
          <w:szCs w:val="28"/>
          <w:highlight w:val="none"/>
        </w:rPr>
        <w:t>电子签章）</w:t>
      </w:r>
    </w:p>
    <w:p w14:paraId="7CAF75DC">
      <w:pPr>
        <w:pageBreakBefore w:val="0"/>
        <w:overflowPunct/>
        <w:topLinePunct w:val="0"/>
        <w:bidi w:val="0"/>
        <w:spacing w:line="360" w:lineRule="auto"/>
        <w:ind w:firstLine="1400" w:firstLineChars="50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法定代表人或其委托代理人：</w:t>
      </w:r>
      <w:r>
        <w:rPr>
          <w:rFonts w:hint="eastAsia" w:ascii="宋体" w:hAnsi="宋体" w:eastAsia="宋体" w:cs="宋体"/>
          <w:b/>
          <w:bCs/>
          <w:color w:val="auto"/>
          <w:sz w:val="28"/>
          <w:szCs w:val="28"/>
          <w:highlight w:val="none"/>
          <w:u w:val="single"/>
        </w:rPr>
        <w:t xml:space="preserve">           </w:t>
      </w:r>
      <w:r>
        <w:rPr>
          <w:rFonts w:hint="eastAsia" w:ascii="宋体" w:hAnsi="宋体" w:eastAsia="宋体" w:cs="宋体"/>
          <w:b/>
          <w:bCs/>
          <w:color w:val="auto"/>
          <w:sz w:val="28"/>
          <w:szCs w:val="28"/>
          <w:highlight w:val="none"/>
        </w:rPr>
        <w:t>（手写签名</w:t>
      </w:r>
      <w:r>
        <w:rPr>
          <w:rFonts w:hint="eastAsia" w:ascii="宋体" w:hAnsi="宋体" w:eastAsia="宋体" w:cs="宋体"/>
          <w:b/>
          <w:bCs/>
          <w:color w:val="auto"/>
          <w:sz w:val="28"/>
          <w:szCs w:val="28"/>
          <w:highlight w:val="none"/>
          <w:lang w:val="en-US" w:eastAsia="zh-CN"/>
        </w:rPr>
        <w:t>或</w:t>
      </w:r>
      <w:r>
        <w:rPr>
          <w:rFonts w:hint="eastAsia" w:ascii="宋体" w:hAnsi="宋体" w:eastAsia="宋体" w:cs="宋体"/>
          <w:b/>
          <w:bCs/>
          <w:color w:val="auto"/>
          <w:sz w:val="28"/>
          <w:szCs w:val="28"/>
          <w:highlight w:val="none"/>
        </w:rPr>
        <w:t>电子签名）</w:t>
      </w:r>
    </w:p>
    <w:p w14:paraId="3980D2AB">
      <w:pPr>
        <w:pageBreakBefore w:val="0"/>
        <w:overflowPunct/>
        <w:topLinePunct w:val="0"/>
        <w:bidi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u w:val="single"/>
        </w:rPr>
        <w:t xml:space="preserve">         </w:t>
      </w:r>
      <w:r>
        <w:rPr>
          <w:rFonts w:hint="eastAsia" w:ascii="宋体" w:hAnsi="宋体" w:eastAsia="宋体" w:cs="宋体"/>
          <w:b/>
          <w:bCs/>
          <w:color w:val="auto"/>
          <w:sz w:val="28"/>
          <w:szCs w:val="28"/>
          <w:highlight w:val="none"/>
        </w:rPr>
        <w:t>年</w:t>
      </w:r>
      <w:r>
        <w:rPr>
          <w:rFonts w:hint="eastAsia" w:ascii="宋体" w:hAnsi="宋体" w:eastAsia="宋体" w:cs="宋体"/>
          <w:b/>
          <w:bCs/>
          <w:color w:val="auto"/>
          <w:sz w:val="28"/>
          <w:szCs w:val="28"/>
          <w:highlight w:val="none"/>
          <w:u w:val="single"/>
        </w:rPr>
        <w:t xml:space="preserve">         </w:t>
      </w:r>
      <w:r>
        <w:rPr>
          <w:rFonts w:hint="eastAsia" w:ascii="宋体" w:hAnsi="宋体" w:eastAsia="宋体" w:cs="宋体"/>
          <w:b/>
          <w:bCs/>
          <w:color w:val="auto"/>
          <w:sz w:val="28"/>
          <w:szCs w:val="28"/>
          <w:highlight w:val="none"/>
        </w:rPr>
        <w:t>月</w:t>
      </w:r>
      <w:r>
        <w:rPr>
          <w:rFonts w:hint="eastAsia" w:ascii="宋体" w:hAnsi="宋体" w:eastAsia="宋体" w:cs="宋体"/>
          <w:b/>
          <w:bCs/>
          <w:color w:val="auto"/>
          <w:sz w:val="28"/>
          <w:szCs w:val="28"/>
          <w:highlight w:val="none"/>
          <w:u w:val="single"/>
        </w:rPr>
        <w:t xml:space="preserve">         </w:t>
      </w:r>
      <w:r>
        <w:rPr>
          <w:rFonts w:hint="eastAsia" w:ascii="宋体" w:hAnsi="宋体" w:eastAsia="宋体" w:cs="宋体"/>
          <w:b/>
          <w:bCs/>
          <w:color w:val="auto"/>
          <w:sz w:val="28"/>
          <w:szCs w:val="28"/>
          <w:highlight w:val="none"/>
        </w:rPr>
        <w:t>日</w:t>
      </w:r>
    </w:p>
    <w:p w14:paraId="453438F0">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p>
    <w:p w14:paraId="4E6FEB67">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p>
    <w:p w14:paraId="3D07A0C0">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p>
    <w:p w14:paraId="722BBCF8">
      <w:pPr>
        <w:pStyle w:val="39"/>
        <w:spacing w:line="360" w:lineRule="auto"/>
        <w:rPr>
          <w:rFonts w:hint="eastAsia"/>
          <w:color w:val="auto"/>
          <w:highlight w:val="none"/>
        </w:rPr>
      </w:pPr>
    </w:p>
    <w:p w14:paraId="60C79D92">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p>
    <w:p w14:paraId="06CBCBF8">
      <w:pPr>
        <w:pageBreakBefore w:val="0"/>
        <w:overflowPunct/>
        <w:topLinePunct w:val="0"/>
        <w:bidi w:val="0"/>
        <w:spacing w:line="360" w:lineRule="auto"/>
        <w:ind w:right="-153" w:rightChars="-73"/>
        <w:jc w:val="both"/>
        <w:rPr>
          <w:rFonts w:hint="eastAsia" w:ascii="宋体" w:hAnsi="宋体" w:eastAsia="宋体" w:cs="宋体"/>
          <w:b/>
          <w:color w:val="auto"/>
          <w:szCs w:val="21"/>
          <w:highlight w:val="none"/>
        </w:rPr>
      </w:pPr>
    </w:p>
    <w:p w14:paraId="1AAE8526">
      <w:pPr>
        <w:pageBreakBefore w:val="0"/>
        <w:overflowPunct/>
        <w:topLinePunct w:val="0"/>
        <w:bidi w:val="0"/>
        <w:spacing w:line="360" w:lineRule="auto"/>
        <w:ind w:right="-153" w:rightChars="-73"/>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目录</w:t>
      </w:r>
    </w:p>
    <w:p w14:paraId="266F4A85">
      <w:pPr>
        <w:pageBreakBefore w:val="0"/>
        <w:overflowPunct/>
        <w:topLinePunct w:val="0"/>
        <w:bidi w:val="0"/>
        <w:spacing w:line="360" w:lineRule="auto"/>
        <w:ind w:right="-153" w:rightChars="-7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 w:val="0"/>
          <w:bCs/>
          <w:color w:val="auto"/>
          <w:sz w:val="18"/>
          <w:szCs w:val="18"/>
          <w:highlight w:val="none"/>
        </w:rPr>
        <w:t>（</w:t>
      </w:r>
      <w:r>
        <w:rPr>
          <w:rFonts w:hint="eastAsia" w:ascii="宋体" w:hAnsi="宋体" w:eastAsia="宋体" w:cs="宋体"/>
          <w:b w:val="0"/>
          <w:bCs/>
          <w:color w:val="auto"/>
          <w:sz w:val="18"/>
          <w:szCs w:val="18"/>
          <w:highlight w:val="none"/>
          <w:lang w:val="en-US" w:eastAsia="zh-CN"/>
        </w:rPr>
        <w:t>自行编</w:t>
      </w:r>
      <w:r>
        <w:rPr>
          <w:rFonts w:hint="eastAsia" w:ascii="宋体" w:hAnsi="宋体" w:eastAsia="宋体" w:cs="宋体"/>
          <w:b w:val="0"/>
          <w:bCs/>
          <w:color w:val="auto"/>
          <w:sz w:val="18"/>
          <w:szCs w:val="18"/>
          <w:highlight w:val="none"/>
        </w:rPr>
        <w:t>页码）</w:t>
      </w:r>
    </w:p>
    <w:p w14:paraId="67D04A9B">
      <w:pPr>
        <w:pStyle w:val="15"/>
        <w:pageBreakBefore w:val="0"/>
        <w:numPr>
          <w:ilvl w:val="0"/>
          <w:numId w:val="0"/>
        </w:numPr>
        <w:overflowPunct/>
        <w:topLinePunct w:val="0"/>
        <w:bidi w:val="0"/>
        <w:spacing w:line="360" w:lineRule="auto"/>
        <w:ind w:firstLine="0" w:firstLineChars="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（1）主要管理人员表</w:t>
      </w:r>
    </w:p>
    <w:p w14:paraId="1C77377B">
      <w:pPr>
        <w:pStyle w:val="15"/>
        <w:pageBreakBefore w:val="0"/>
        <w:numPr>
          <w:ilvl w:val="0"/>
          <w:numId w:val="0"/>
        </w:numPr>
        <w:overflowPunct/>
        <w:topLinePunct w:val="0"/>
        <w:bidi w:val="0"/>
        <w:spacing w:line="360" w:lineRule="auto"/>
        <w:ind w:firstLine="0" w:firstLineChars="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（2）建设工程项目管理承诺书</w:t>
      </w:r>
    </w:p>
    <w:p w14:paraId="52C4D581">
      <w:pPr>
        <w:pStyle w:val="15"/>
        <w:pageBreakBefore w:val="0"/>
        <w:numPr>
          <w:ilvl w:val="0"/>
          <w:numId w:val="0"/>
        </w:numPr>
        <w:overflowPunct/>
        <w:topLinePunct w:val="0"/>
        <w:bidi w:val="0"/>
        <w:spacing w:line="36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施工组织设计</w:t>
      </w:r>
    </w:p>
    <w:p w14:paraId="7B4540C0">
      <w:pPr>
        <w:pStyle w:val="15"/>
        <w:pageBreakBefore w:val="0"/>
        <w:numPr>
          <w:ilvl w:val="0"/>
          <w:numId w:val="0"/>
        </w:numPr>
        <w:overflowPunct/>
        <w:topLinePunct w:val="0"/>
        <w:bidi w:val="0"/>
        <w:spacing w:line="360" w:lineRule="auto"/>
        <w:ind w:firstLine="0" w:firstLineChars="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业绩</w:t>
      </w:r>
    </w:p>
    <w:p w14:paraId="1FFAD883">
      <w:pPr>
        <w:pStyle w:val="15"/>
        <w:pageBreakBefore w:val="0"/>
        <w:numPr>
          <w:ilvl w:val="0"/>
          <w:numId w:val="0"/>
        </w:numPr>
        <w:overflowPunct/>
        <w:topLinePunct w:val="0"/>
        <w:bidi w:val="0"/>
        <w:spacing w:line="36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其他资料</w:t>
      </w:r>
    </w:p>
    <w:p w14:paraId="7EA491C4">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p>
    <w:p w14:paraId="7F537154">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p>
    <w:p w14:paraId="7C978023">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p>
    <w:p w14:paraId="5D26645B">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p>
    <w:p w14:paraId="118ED8C8">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p>
    <w:p w14:paraId="4BDE7821">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p>
    <w:p w14:paraId="2B1AEA36">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p>
    <w:p w14:paraId="64203022">
      <w:pPr>
        <w:pStyle w:val="12"/>
        <w:pageBreakBefore w:val="0"/>
        <w:overflowPunct/>
        <w:topLinePunct w:val="0"/>
        <w:bidi w:val="0"/>
        <w:spacing w:line="360" w:lineRule="auto"/>
        <w:rPr>
          <w:rFonts w:hint="eastAsia" w:ascii="宋体" w:hAnsi="宋体" w:eastAsia="宋体" w:cs="宋体"/>
          <w:color w:val="auto"/>
          <w:highlight w:val="none"/>
        </w:rPr>
      </w:pPr>
    </w:p>
    <w:p w14:paraId="2CB0BEE6">
      <w:pPr>
        <w:pageBreakBefore w:val="0"/>
        <w:overflowPunct/>
        <w:topLinePunct w:val="0"/>
        <w:bidi w:val="0"/>
        <w:spacing w:line="360" w:lineRule="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br w:type="page"/>
      </w:r>
    </w:p>
    <w:p w14:paraId="7C52A917">
      <w:pPr>
        <w:pageBreakBefore w:val="0"/>
        <w:overflowPunct/>
        <w:topLinePunct w:val="0"/>
        <w:bidi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color w:val="auto"/>
          <w:sz w:val="28"/>
          <w:szCs w:val="28"/>
          <w:highlight w:val="none"/>
          <w:lang w:val="en-US" w:eastAsia="zh-CN"/>
        </w:rPr>
        <w:t>一、主要管理人员表</w:t>
      </w:r>
    </w:p>
    <w:p w14:paraId="6A18CF11">
      <w:pPr>
        <w:pageBreakBefore w:val="0"/>
        <w:overflowPunct/>
        <w:topLinePunct w:val="0"/>
        <w:bidi w:val="0"/>
        <w:spacing w:line="360" w:lineRule="auto"/>
        <w:rPr>
          <w:rFonts w:hint="eastAsia" w:ascii="宋体" w:hAnsi="宋体" w:eastAsia="宋体" w:cs="宋体"/>
          <w:color w:val="auto"/>
          <w:szCs w:val="21"/>
          <w:highlight w:val="none"/>
        </w:rPr>
      </w:pPr>
    </w:p>
    <w:tbl>
      <w:tblPr>
        <w:tblStyle w:val="22"/>
        <w:tblW w:w="97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33"/>
        <w:gridCol w:w="942"/>
        <w:gridCol w:w="4709"/>
        <w:gridCol w:w="1174"/>
        <w:gridCol w:w="1759"/>
      </w:tblGrid>
      <w:tr w14:paraId="06183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3" w:hRule="atLeast"/>
          <w:jc w:val="center"/>
        </w:trPr>
        <w:tc>
          <w:tcPr>
            <w:tcW w:w="1133" w:type="dxa"/>
            <w:vMerge w:val="restart"/>
            <w:vAlign w:val="center"/>
          </w:tcPr>
          <w:p w14:paraId="3C01E74C">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岗位</w:t>
            </w:r>
          </w:p>
        </w:tc>
        <w:tc>
          <w:tcPr>
            <w:tcW w:w="942" w:type="dxa"/>
            <w:vMerge w:val="restart"/>
            <w:vAlign w:val="center"/>
          </w:tcPr>
          <w:p w14:paraId="21C5CE0C">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姓名</w:t>
            </w:r>
          </w:p>
        </w:tc>
        <w:tc>
          <w:tcPr>
            <w:tcW w:w="4709" w:type="dxa"/>
            <w:vMerge w:val="restart"/>
            <w:vAlign w:val="center"/>
          </w:tcPr>
          <w:p w14:paraId="0A1E3CF4">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《注册执业资格</w:t>
            </w:r>
          </w:p>
          <w:p w14:paraId="19268B30">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（或职业或职称或岗位或培训或学历（位）证书）》</w:t>
            </w:r>
          </w:p>
        </w:tc>
        <w:tc>
          <w:tcPr>
            <w:tcW w:w="2933" w:type="dxa"/>
            <w:gridSpan w:val="2"/>
            <w:vAlign w:val="center"/>
          </w:tcPr>
          <w:p w14:paraId="1E498AFE">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承担完工工程情况</w:t>
            </w:r>
          </w:p>
        </w:tc>
      </w:tr>
      <w:tr w14:paraId="26E66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3" w:hRule="atLeast"/>
          <w:jc w:val="center"/>
        </w:trPr>
        <w:tc>
          <w:tcPr>
            <w:tcW w:w="1133" w:type="dxa"/>
            <w:vMerge w:val="continue"/>
            <w:vAlign w:val="center"/>
          </w:tcPr>
          <w:p w14:paraId="1D4F0BCC">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942" w:type="dxa"/>
            <w:vMerge w:val="continue"/>
            <w:vAlign w:val="center"/>
          </w:tcPr>
          <w:p w14:paraId="04D6A92C">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4709" w:type="dxa"/>
            <w:vMerge w:val="continue"/>
            <w:vAlign w:val="center"/>
          </w:tcPr>
          <w:p w14:paraId="0A871A86">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1174" w:type="dxa"/>
            <w:vAlign w:val="center"/>
          </w:tcPr>
          <w:p w14:paraId="5987712F">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rPr>
              <w:t>项目数</w:t>
            </w:r>
            <w:r>
              <w:rPr>
                <w:rFonts w:hint="eastAsia" w:ascii="宋体" w:hAnsi="宋体" w:eastAsia="宋体" w:cs="宋体"/>
                <w:b/>
                <w:bCs/>
                <w:color w:val="auto"/>
                <w:szCs w:val="21"/>
                <w:highlight w:val="none"/>
                <w:lang w:val="en-US" w:eastAsia="zh-CN"/>
              </w:rPr>
              <w:t>量</w:t>
            </w:r>
          </w:p>
        </w:tc>
        <w:tc>
          <w:tcPr>
            <w:tcW w:w="1759" w:type="dxa"/>
            <w:vAlign w:val="center"/>
          </w:tcPr>
          <w:p w14:paraId="6AEE040F">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主要项目名称</w:t>
            </w:r>
          </w:p>
        </w:tc>
      </w:tr>
      <w:tr w14:paraId="17BDB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3" w:hRule="atLeast"/>
          <w:jc w:val="center"/>
        </w:trPr>
        <w:tc>
          <w:tcPr>
            <w:tcW w:w="1133" w:type="dxa"/>
            <w:vAlign w:val="center"/>
          </w:tcPr>
          <w:p w14:paraId="5D697DCC">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项目经理</w:t>
            </w:r>
          </w:p>
        </w:tc>
        <w:tc>
          <w:tcPr>
            <w:tcW w:w="942" w:type="dxa"/>
            <w:vAlign w:val="center"/>
          </w:tcPr>
          <w:p w14:paraId="7D6AD88F">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4709" w:type="dxa"/>
            <w:vMerge w:val="restart"/>
            <w:vAlign w:val="center"/>
          </w:tcPr>
          <w:p w14:paraId="1D02831A">
            <w:pPr>
              <w:pageBreakBefore w:val="0"/>
              <w:overflowPunct/>
              <w:topLinePunct w:val="0"/>
              <w:bidi w:val="0"/>
              <w:spacing w:line="360" w:lineRule="auto"/>
              <w:ind w:left="-2" w:right="-153" w:rightChars="-73"/>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◆证书名称：</w:t>
            </w:r>
          </w:p>
          <w:p w14:paraId="06D2CD8E">
            <w:pPr>
              <w:pageBreakBefore w:val="0"/>
              <w:overflowPunct/>
              <w:topLinePunct w:val="0"/>
              <w:bidi w:val="0"/>
              <w:spacing w:line="360" w:lineRule="auto"/>
              <w:ind w:left="-2" w:right="-153" w:rightChars="-73"/>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◆证书证号：</w:t>
            </w:r>
          </w:p>
          <w:p w14:paraId="70B63C86">
            <w:pPr>
              <w:pageBreakBefore w:val="0"/>
              <w:overflowPunct/>
              <w:topLinePunct w:val="0"/>
              <w:bidi w:val="0"/>
              <w:spacing w:line="360" w:lineRule="auto"/>
              <w:ind w:left="-2" w:right="-153" w:rightChars="-73"/>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◆专业（如有）：</w:t>
            </w:r>
          </w:p>
          <w:p w14:paraId="5B356D15">
            <w:pPr>
              <w:pageBreakBefore w:val="0"/>
              <w:overflowPunct/>
              <w:topLinePunct w:val="0"/>
              <w:bidi w:val="0"/>
              <w:spacing w:line="360" w:lineRule="auto"/>
              <w:ind w:left="-2" w:right="-153" w:rightChars="-73"/>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◆专业所属类别（如有）：</w:t>
            </w:r>
          </w:p>
          <w:p w14:paraId="6E7DF83F">
            <w:pPr>
              <w:pageBreakBefore w:val="0"/>
              <w:overflowPunct/>
              <w:topLinePunct w:val="0"/>
              <w:bidi w:val="0"/>
              <w:spacing w:line="360" w:lineRule="auto"/>
              <w:ind w:left="-2" w:right="-153" w:rightChars="-73"/>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◆授予（或签发或批准或发证）日期：</w:t>
            </w:r>
          </w:p>
        </w:tc>
        <w:tc>
          <w:tcPr>
            <w:tcW w:w="1174" w:type="dxa"/>
            <w:vAlign w:val="center"/>
          </w:tcPr>
          <w:p w14:paraId="10431601">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1759" w:type="dxa"/>
            <w:vAlign w:val="center"/>
          </w:tcPr>
          <w:p w14:paraId="4795D97C">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r>
      <w:tr w14:paraId="498B0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3" w:hRule="atLeast"/>
          <w:jc w:val="center"/>
        </w:trPr>
        <w:tc>
          <w:tcPr>
            <w:tcW w:w="1133" w:type="dxa"/>
            <w:vAlign w:val="center"/>
          </w:tcPr>
          <w:p w14:paraId="31A705AC">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技术负责人</w:t>
            </w:r>
          </w:p>
        </w:tc>
        <w:tc>
          <w:tcPr>
            <w:tcW w:w="942" w:type="dxa"/>
            <w:vAlign w:val="center"/>
          </w:tcPr>
          <w:p w14:paraId="40CE73C3">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4709" w:type="dxa"/>
            <w:vMerge w:val="continue"/>
            <w:vAlign w:val="center"/>
          </w:tcPr>
          <w:p w14:paraId="06874C71">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1174" w:type="dxa"/>
            <w:vAlign w:val="center"/>
          </w:tcPr>
          <w:p w14:paraId="71B4ABAF">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1759" w:type="dxa"/>
            <w:vAlign w:val="center"/>
          </w:tcPr>
          <w:p w14:paraId="2E2919AE">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r>
      <w:tr w14:paraId="71749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3" w:hRule="atLeast"/>
          <w:jc w:val="center"/>
        </w:trPr>
        <w:tc>
          <w:tcPr>
            <w:tcW w:w="1133" w:type="dxa"/>
            <w:vAlign w:val="center"/>
          </w:tcPr>
          <w:p w14:paraId="5C5F624F">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施工员</w:t>
            </w:r>
          </w:p>
        </w:tc>
        <w:tc>
          <w:tcPr>
            <w:tcW w:w="942" w:type="dxa"/>
            <w:vAlign w:val="center"/>
          </w:tcPr>
          <w:p w14:paraId="1C0B3062">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4709" w:type="dxa"/>
            <w:vMerge w:val="continue"/>
            <w:vAlign w:val="center"/>
          </w:tcPr>
          <w:p w14:paraId="76369F50">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1174" w:type="dxa"/>
            <w:vAlign w:val="center"/>
          </w:tcPr>
          <w:p w14:paraId="78C3F8C5">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1759" w:type="dxa"/>
            <w:vAlign w:val="center"/>
          </w:tcPr>
          <w:p w14:paraId="6FA75784">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r>
      <w:tr w14:paraId="4967D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3" w:hRule="atLeast"/>
          <w:jc w:val="center"/>
        </w:trPr>
        <w:tc>
          <w:tcPr>
            <w:tcW w:w="1133" w:type="dxa"/>
            <w:vAlign w:val="center"/>
          </w:tcPr>
          <w:p w14:paraId="6FEF3030">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质量员</w:t>
            </w:r>
          </w:p>
        </w:tc>
        <w:tc>
          <w:tcPr>
            <w:tcW w:w="942" w:type="dxa"/>
            <w:vAlign w:val="center"/>
          </w:tcPr>
          <w:p w14:paraId="6F27BD76">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4709" w:type="dxa"/>
            <w:vMerge w:val="continue"/>
            <w:vAlign w:val="center"/>
          </w:tcPr>
          <w:p w14:paraId="7E2694F4">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1174" w:type="dxa"/>
            <w:vAlign w:val="center"/>
          </w:tcPr>
          <w:p w14:paraId="4BE1FD04">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1759" w:type="dxa"/>
            <w:vAlign w:val="center"/>
          </w:tcPr>
          <w:p w14:paraId="242C79E8">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r>
      <w:tr w14:paraId="61028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3" w:hRule="atLeast"/>
          <w:jc w:val="center"/>
        </w:trPr>
        <w:tc>
          <w:tcPr>
            <w:tcW w:w="1133" w:type="dxa"/>
            <w:vAlign w:val="center"/>
          </w:tcPr>
          <w:p w14:paraId="0648EA86">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安全员</w:t>
            </w:r>
          </w:p>
        </w:tc>
        <w:tc>
          <w:tcPr>
            <w:tcW w:w="942" w:type="dxa"/>
            <w:vAlign w:val="center"/>
          </w:tcPr>
          <w:p w14:paraId="7FC9F430">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4709" w:type="dxa"/>
            <w:vMerge w:val="continue"/>
            <w:vAlign w:val="center"/>
          </w:tcPr>
          <w:p w14:paraId="2D1FF0EC">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1174" w:type="dxa"/>
            <w:vAlign w:val="center"/>
          </w:tcPr>
          <w:p w14:paraId="035A39A6">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1759" w:type="dxa"/>
            <w:vAlign w:val="center"/>
          </w:tcPr>
          <w:p w14:paraId="01FF25FE">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r>
      <w:tr w14:paraId="3D777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3" w:hRule="atLeast"/>
          <w:jc w:val="center"/>
        </w:trPr>
        <w:tc>
          <w:tcPr>
            <w:tcW w:w="1133" w:type="dxa"/>
            <w:vAlign w:val="center"/>
          </w:tcPr>
          <w:p w14:paraId="304B699B">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材料员</w:t>
            </w:r>
          </w:p>
        </w:tc>
        <w:tc>
          <w:tcPr>
            <w:tcW w:w="942" w:type="dxa"/>
            <w:vAlign w:val="center"/>
          </w:tcPr>
          <w:p w14:paraId="4E23E3D5">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4709" w:type="dxa"/>
            <w:vMerge w:val="continue"/>
            <w:vAlign w:val="center"/>
          </w:tcPr>
          <w:p w14:paraId="686D6316">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1174" w:type="dxa"/>
            <w:vAlign w:val="center"/>
          </w:tcPr>
          <w:p w14:paraId="3F9D4AC7">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1759" w:type="dxa"/>
            <w:vAlign w:val="center"/>
          </w:tcPr>
          <w:p w14:paraId="39236777">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r>
      <w:tr w14:paraId="564E1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3" w:hRule="atLeast"/>
          <w:jc w:val="center"/>
        </w:trPr>
        <w:tc>
          <w:tcPr>
            <w:tcW w:w="1133" w:type="dxa"/>
            <w:vAlign w:val="center"/>
          </w:tcPr>
          <w:p w14:paraId="4E87663B">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w:t>
            </w:r>
          </w:p>
        </w:tc>
        <w:tc>
          <w:tcPr>
            <w:tcW w:w="942" w:type="dxa"/>
            <w:vAlign w:val="center"/>
          </w:tcPr>
          <w:p w14:paraId="3671A355">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4709" w:type="dxa"/>
            <w:vMerge w:val="continue"/>
            <w:vAlign w:val="center"/>
          </w:tcPr>
          <w:p w14:paraId="020B2638">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1174" w:type="dxa"/>
            <w:vAlign w:val="center"/>
          </w:tcPr>
          <w:p w14:paraId="4941AE18">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1759" w:type="dxa"/>
            <w:vAlign w:val="center"/>
          </w:tcPr>
          <w:p w14:paraId="3A5CA530">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r>
      <w:tr w14:paraId="1E140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6" w:hRule="atLeast"/>
          <w:jc w:val="center"/>
        </w:trPr>
        <w:tc>
          <w:tcPr>
            <w:tcW w:w="9717" w:type="dxa"/>
            <w:gridSpan w:val="5"/>
            <w:vAlign w:val="center"/>
          </w:tcPr>
          <w:p w14:paraId="3D556AAF">
            <w:pPr>
              <w:pageBreakBefore w:val="0"/>
              <w:overflowPunct/>
              <w:topLinePunct w:val="0"/>
              <w:bidi w:val="0"/>
              <w:spacing w:line="360" w:lineRule="auto"/>
              <w:ind w:left="-2" w:right="-153" w:rightChars="-73"/>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一旦我单位</w:t>
            </w:r>
            <w:r>
              <w:rPr>
                <w:rFonts w:hint="eastAsia" w:ascii="宋体" w:hAnsi="宋体" w:eastAsia="宋体" w:cs="宋体"/>
                <w:b w:val="0"/>
                <w:bCs w:val="0"/>
                <w:color w:val="auto"/>
                <w:szCs w:val="21"/>
                <w:highlight w:val="none"/>
                <w:lang w:val="en-US" w:eastAsia="zh-CN"/>
              </w:rPr>
              <w:t>成交</w:t>
            </w:r>
            <w:r>
              <w:rPr>
                <w:rFonts w:hint="eastAsia" w:ascii="宋体" w:hAnsi="宋体" w:eastAsia="宋体" w:cs="宋体"/>
                <w:b w:val="0"/>
                <w:bCs w:val="0"/>
                <w:color w:val="auto"/>
                <w:szCs w:val="21"/>
                <w:highlight w:val="none"/>
              </w:rPr>
              <w:t>，将实行项目经理负责制，我方保证并配备上述项目管理机构。上述填报内容真实，若不真实，</w:t>
            </w:r>
          </w:p>
          <w:p w14:paraId="7FC6446C">
            <w:pPr>
              <w:pageBreakBefore w:val="0"/>
              <w:overflowPunct/>
              <w:topLinePunct w:val="0"/>
              <w:bidi w:val="0"/>
              <w:spacing w:line="360" w:lineRule="auto"/>
              <w:ind w:left="-2" w:right="-153" w:rightChars="-73"/>
              <w:jc w:val="left"/>
              <w:rPr>
                <w:rFonts w:hint="eastAsia" w:ascii="宋体" w:hAnsi="宋体" w:eastAsia="宋体" w:cs="宋体"/>
                <w:b/>
                <w:bCs/>
                <w:color w:val="auto"/>
                <w:szCs w:val="21"/>
                <w:highlight w:val="none"/>
              </w:rPr>
            </w:pPr>
            <w:r>
              <w:rPr>
                <w:rFonts w:hint="eastAsia" w:ascii="宋体" w:hAnsi="宋体" w:eastAsia="宋体" w:cs="宋体"/>
                <w:b w:val="0"/>
                <w:bCs w:val="0"/>
                <w:color w:val="auto"/>
                <w:szCs w:val="21"/>
                <w:highlight w:val="none"/>
              </w:rPr>
              <w:t>愿按有关规定接受处理。</w:t>
            </w:r>
          </w:p>
        </w:tc>
      </w:tr>
    </w:tbl>
    <w:p w14:paraId="3C14DB11">
      <w:pPr>
        <w:pageBreakBefore w:val="0"/>
        <w:overflowPunct/>
        <w:topLinePunct w:val="0"/>
        <w:bidi w:val="0"/>
        <w:spacing w:line="360" w:lineRule="auto"/>
        <w:ind w:left="-2" w:right="-153" w:rightChars="-73"/>
        <w:rPr>
          <w:rFonts w:hint="eastAsia" w:ascii="宋体" w:hAnsi="宋体" w:eastAsia="宋体" w:cs="宋体"/>
          <w:b w:val="0"/>
          <w:bCs w:val="0"/>
          <w:color w:val="auto"/>
          <w:highlight w:val="none"/>
          <w:lang w:eastAsia="zh-CN"/>
        </w:rPr>
      </w:pPr>
      <w:r>
        <w:rPr>
          <w:rFonts w:hint="eastAsia" w:ascii="宋体" w:hAnsi="宋体" w:eastAsia="宋体" w:cs="宋体"/>
          <w:b/>
          <w:bCs/>
          <w:color w:val="auto"/>
          <w:szCs w:val="21"/>
          <w:highlight w:val="none"/>
        </w:rPr>
        <w:t>附：</w:t>
      </w:r>
      <w:r>
        <w:rPr>
          <w:rFonts w:hint="eastAsia" w:ascii="宋体" w:hAnsi="宋体" w:eastAsia="宋体" w:cs="宋体"/>
          <w:b w:val="0"/>
          <w:bCs w:val="0"/>
          <w:color w:val="auto"/>
          <w:szCs w:val="21"/>
          <w:highlight w:val="none"/>
        </w:rPr>
        <w:t>①项目经理（注册建造师）简历表（格式）</w:t>
      </w:r>
      <w:r>
        <w:rPr>
          <w:rFonts w:hint="eastAsia" w:ascii="宋体" w:hAnsi="宋体" w:eastAsia="宋体" w:cs="宋体"/>
          <w:b w:val="0"/>
          <w:bCs w:val="0"/>
          <w:color w:val="auto"/>
          <w:szCs w:val="21"/>
          <w:highlight w:val="none"/>
          <w:lang w:eastAsia="zh-CN"/>
        </w:rPr>
        <w:t>；</w:t>
      </w:r>
    </w:p>
    <w:p w14:paraId="3CD69A7D">
      <w:pPr>
        <w:pageBreakBefore w:val="0"/>
        <w:overflowPunct/>
        <w:topLinePunct w:val="0"/>
        <w:bidi w:val="0"/>
        <w:spacing w:line="360" w:lineRule="auto"/>
        <w:ind w:left="-2" w:right="-153" w:rightChars="-73" w:firstLine="420" w:firstLineChars="200"/>
        <w:rPr>
          <w:rFonts w:hint="eastAsia" w:ascii="宋体" w:hAnsi="宋体" w:eastAsia="宋体" w:cs="宋体"/>
          <w:b w:val="0"/>
          <w:bCs w:val="0"/>
          <w:color w:val="auto"/>
          <w:highlight w:val="none"/>
        </w:rPr>
      </w:pPr>
      <w:r>
        <w:rPr>
          <w:rFonts w:hint="eastAsia" w:ascii="宋体" w:hAnsi="宋体" w:eastAsia="宋体" w:cs="宋体"/>
          <w:b w:val="0"/>
          <w:bCs w:val="0"/>
          <w:color w:val="auto"/>
          <w:szCs w:val="21"/>
          <w:highlight w:val="none"/>
        </w:rPr>
        <w:t>②项目技术负责人简历表（格式）；</w:t>
      </w:r>
    </w:p>
    <w:p w14:paraId="1662C7C0">
      <w:pPr>
        <w:pageBreakBefore w:val="0"/>
        <w:overflowPunct/>
        <w:topLinePunct w:val="0"/>
        <w:bidi w:val="0"/>
        <w:spacing w:line="360" w:lineRule="auto"/>
        <w:ind w:left="-2" w:right="-153" w:rightChars="-73"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③其他主要人员应附</w:t>
      </w:r>
      <w:r>
        <w:rPr>
          <w:rFonts w:hint="eastAsia" w:ascii="宋体" w:hAnsi="宋体" w:eastAsia="宋体" w:cs="宋体"/>
          <w:color w:val="auto"/>
          <w:szCs w:val="21"/>
          <w:highlight w:val="none"/>
          <w:lang w:eastAsia="zh-CN"/>
        </w:rPr>
        <w:t>岗位证书</w:t>
      </w:r>
      <w:r>
        <w:rPr>
          <w:rFonts w:hint="eastAsia" w:ascii="宋体" w:hAnsi="宋体" w:eastAsia="宋体" w:cs="宋体"/>
          <w:color w:val="auto"/>
          <w:szCs w:val="21"/>
          <w:highlight w:val="none"/>
        </w:rPr>
        <w:t>、身份证</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职称证（若有）</w:t>
      </w:r>
      <w:r>
        <w:rPr>
          <w:rFonts w:hint="eastAsia" w:ascii="宋体" w:hAnsi="宋体" w:eastAsia="宋体" w:cs="宋体"/>
          <w:color w:val="auto"/>
          <w:szCs w:val="21"/>
          <w:highlight w:val="none"/>
        </w:rPr>
        <w:t>等</w:t>
      </w:r>
      <w:r>
        <w:rPr>
          <w:rFonts w:hint="eastAsia" w:ascii="宋体" w:hAnsi="宋体" w:eastAsia="宋体" w:cs="宋体"/>
          <w:color w:val="auto"/>
          <w:szCs w:val="21"/>
          <w:highlight w:val="none"/>
          <w:lang w:eastAsia="zh-CN"/>
        </w:rPr>
        <w:t>扫描件；</w:t>
      </w:r>
    </w:p>
    <w:p w14:paraId="3B69EA5A">
      <w:pPr>
        <w:pageBreakBefore w:val="0"/>
        <w:overflowPunct/>
        <w:topLinePunct w:val="0"/>
        <w:bidi w:val="0"/>
        <w:spacing w:line="360" w:lineRule="auto"/>
        <w:ind w:left="-2" w:right="-153" w:rightChars="-73"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④拟投入</w:t>
      </w:r>
      <w:r>
        <w:rPr>
          <w:rFonts w:hint="eastAsia" w:ascii="宋体" w:hAnsi="宋体" w:eastAsia="宋体" w:cs="宋体"/>
          <w:color w:val="auto"/>
          <w:szCs w:val="21"/>
          <w:highlight w:val="none"/>
          <w:lang w:val="en-US" w:eastAsia="zh-CN"/>
        </w:rPr>
        <w:t>所有</w:t>
      </w:r>
      <w:r>
        <w:rPr>
          <w:rFonts w:hint="eastAsia" w:ascii="宋体" w:hAnsi="宋体" w:eastAsia="宋体" w:cs="宋体"/>
          <w:color w:val="auto"/>
          <w:szCs w:val="21"/>
          <w:highlight w:val="none"/>
          <w:lang w:eastAsia="zh-CN"/>
        </w:rPr>
        <w:t>人员</w:t>
      </w:r>
      <w:r>
        <w:rPr>
          <w:rFonts w:hint="eastAsia" w:ascii="宋体" w:hAnsi="宋体" w:eastAsia="宋体" w:cs="宋体"/>
          <w:color w:val="auto"/>
          <w:szCs w:val="21"/>
          <w:highlight w:val="none"/>
        </w:rPr>
        <w:t>现任职单位为其缴纳的</w:t>
      </w:r>
      <w:r>
        <w:rPr>
          <w:rFonts w:hint="eastAsia" w:ascii="宋体" w:hAnsi="宋体" w:eastAsia="宋体" w:cs="宋体"/>
          <w:color w:val="auto"/>
          <w:szCs w:val="21"/>
          <w:highlight w:val="none"/>
          <w:lang w:val="en-US" w:eastAsia="zh-CN"/>
        </w:rPr>
        <w:t>近1个月（202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07</w:t>
      </w:r>
      <w:r>
        <w:rPr>
          <w:rFonts w:hint="eastAsia" w:ascii="宋体" w:hAnsi="宋体" w:eastAsia="宋体" w:cs="宋体"/>
          <w:color w:val="auto"/>
          <w:szCs w:val="21"/>
          <w:highlight w:val="none"/>
          <w:lang w:val="en-US" w:eastAsia="zh-CN"/>
        </w:rPr>
        <w:t>月）</w:t>
      </w:r>
      <w:r>
        <w:rPr>
          <w:rFonts w:hint="eastAsia" w:ascii="宋体" w:hAnsi="宋体" w:eastAsia="宋体" w:cs="宋体"/>
          <w:bCs/>
          <w:color w:val="auto"/>
          <w:sz w:val="21"/>
          <w:szCs w:val="21"/>
          <w:highlight w:val="none"/>
          <w:lang w:eastAsia="zh-CN"/>
        </w:rPr>
        <w:t>依法缴纳社保费的缴费凭证，</w:t>
      </w:r>
      <w:r>
        <w:rPr>
          <w:rFonts w:hint="eastAsia" w:ascii="宋体" w:hAnsi="宋体" w:eastAsia="宋体" w:cs="宋体"/>
          <w:color w:val="auto"/>
          <w:highlight w:val="none"/>
        </w:rPr>
        <w:t>对于</w:t>
      </w:r>
      <w:r>
        <w:rPr>
          <w:rFonts w:hint="eastAsia" w:ascii="宋体" w:hAnsi="宋体" w:eastAsia="宋体" w:cs="宋体"/>
          <w:color w:val="auto"/>
          <w:highlight w:val="none"/>
          <w:lang w:val="en-US" w:eastAsia="zh-CN"/>
        </w:rPr>
        <w:t>入职时间</w:t>
      </w:r>
      <w:r>
        <w:rPr>
          <w:rFonts w:hint="eastAsia" w:ascii="宋体" w:hAnsi="宋体" w:eastAsia="宋体" w:cs="宋体"/>
          <w:color w:val="auto"/>
          <w:highlight w:val="none"/>
        </w:rPr>
        <w:t>不足</w:t>
      </w:r>
      <w:r>
        <w:rPr>
          <w:rFonts w:hint="eastAsia" w:ascii="宋体" w:hAnsi="宋体" w:eastAsia="宋体" w:cs="宋体"/>
          <w:color w:val="auto"/>
          <w:highlight w:val="none"/>
          <w:lang w:val="en-US" w:eastAsia="zh-CN"/>
        </w:rPr>
        <w:t>1个月</w:t>
      </w:r>
      <w:r>
        <w:rPr>
          <w:rFonts w:hint="eastAsia" w:ascii="宋体" w:hAnsi="宋体" w:eastAsia="宋体" w:cs="宋体"/>
          <w:color w:val="auto"/>
          <w:highlight w:val="none"/>
        </w:rPr>
        <w:t>的</w:t>
      </w:r>
      <w:r>
        <w:rPr>
          <w:rFonts w:hint="eastAsia" w:ascii="宋体" w:hAnsi="宋体" w:eastAsia="宋体" w:cs="宋体"/>
          <w:color w:val="auto"/>
          <w:highlight w:val="none"/>
          <w:lang w:val="en-US" w:eastAsia="zh-CN"/>
        </w:rPr>
        <w:t>人员</w:t>
      </w:r>
      <w:r>
        <w:rPr>
          <w:rFonts w:hint="eastAsia" w:ascii="宋体" w:hAnsi="宋体" w:eastAsia="宋体" w:cs="宋体"/>
          <w:color w:val="auto"/>
          <w:highlight w:val="none"/>
        </w:rPr>
        <w:t>，需</w:t>
      </w:r>
      <w:r>
        <w:rPr>
          <w:rFonts w:hint="eastAsia" w:ascii="宋体" w:hAnsi="宋体" w:eastAsia="宋体" w:cs="宋体"/>
          <w:color w:val="auto"/>
          <w:highlight w:val="none"/>
          <w:lang w:val="en-US" w:eastAsia="zh-CN"/>
        </w:rPr>
        <w:t>提供现任职单位与其签订的劳动合同</w:t>
      </w:r>
      <w:r>
        <w:rPr>
          <w:rFonts w:hint="eastAsia" w:ascii="宋体" w:hAnsi="宋体" w:eastAsia="宋体" w:cs="宋体"/>
          <w:color w:val="auto"/>
          <w:highlight w:val="none"/>
        </w:rPr>
        <w:t>。</w:t>
      </w:r>
      <w:r>
        <w:rPr>
          <w:rFonts w:hint="eastAsia" w:ascii="宋体" w:hAnsi="宋体" w:eastAsia="宋体" w:cs="宋体"/>
          <w:bCs/>
          <w:color w:val="auto"/>
          <w:sz w:val="21"/>
          <w:szCs w:val="21"/>
          <w:highlight w:val="none"/>
          <w:lang w:eastAsia="zh-CN"/>
        </w:rPr>
        <w:t>（格式自拟，扫描件，必须提供）。</w:t>
      </w:r>
    </w:p>
    <w:p w14:paraId="7B1716C8">
      <w:pPr>
        <w:pStyle w:val="40"/>
        <w:pageBreakBefore w:val="0"/>
        <w:overflowPunct/>
        <w:topLinePunct w:val="0"/>
        <w:bidi w:val="0"/>
        <w:spacing w:line="360" w:lineRule="auto"/>
        <w:rPr>
          <w:rFonts w:hint="eastAsia" w:ascii="宋体" w:hAnsi="宋体" w:eastAsia="宋体" w:cs="宋体"/>
          <w:b/>
          <w:color w:val="auto"/>
          <w:sz w:val="24"/>
          <w:highlight w:val="none"/>
          <w:u w:val="single"/>
          <w:lang w:val="en-US" w:eastAsia="zh-CN"/>
        </w:rPr>
      </w:pPr>
    </w:p>
    <w:p w14:paraId="783EE08C">
      <w:pPr>
        <w:pStyle w:val="40"/>
        <w:pageBreakBefore w:val="0"/>
        <w:overflowPunct/>
        <w:topLinePunct w:val="0"/>
        <w:bidi w:val="0"/>
        <w:spacing w:line="360" w:lineRule="auto"/>
        <w:rPr>
          <w:rFonts w:hint="eastAsia" w:ascii="宋体" w:hAnsi="宋体" w:eastAsia="宋体" w:cs="宋体"/>
          <w:color w:val="auto"/>
          <w:highlight w:val="none"/>
          <w:lang w:val="en-US" w:eastAsia="zh-CN"/>
        </w:rPr>
      </w:pPr>
      <w:r>
        <w:rPr>
          <w:rFonts w:hint="eastAsia" w:ascii="宋体" w:hAnsi="宋体" w:eastAsia="宋体" w:cs="宋体"/>
          <w:b/>
          <w:color w:val="auto"/>
          <w:sz w:val="24"/>
          <w:highlight w:val="none"/>
          <w:u w:val="single"/>
          <w:lang w:val="en-US" w:eastAsia="zh-CN"/>
        </w:rPr>
        <w:t>注：文件 《一、主要管理人员表 》中所有提及的证件材料属于复印件的扫描件的，必须加盖供应商电子公章，否则响应文件按无效响应处理。</w:t>
      </w:r>
    </w:p>
    <w:p w14:paraId="74667D74">
      <w:pPr>
        <w:pageBreakBefore w:val="0"/>
        <w:widowControl/>
        <w:overflowPunct/>
        <w:topLinePunct w:val="0"/>
        <w:bidi w:val="0"/>
        <w:spacing w:line="360" w:lineRule="auto"/>
        <w:ind w:right="-147" w:rightChars="-70"/>
        <w:rPr>
          <w:rFonts w:hint="eastAsia" w:ascii="宋体" w:hAnsi="宋体" w:eastAsia="宋体" w:cs="宋体"/>
          <w:b w:val="0"/>
          <w:bCs w:val="0"/>
          <w:color w:val="auto"/>
          <w:szCs w:val="21"/>
          <w:highlight w:val="none"/>
        </w:rPr>
      </w:pPr>
      <w:r>
        <w:rPr>
          <w:rFonts w:hint="eastAsia" w:ascii="宋体" w:hAnsi="宋体" w:eastAsia="宋体" w:cs="宋体"/>
          <w:color w:val="auto"/>
          <w:szCs w:val="21"/>
          <w:highlight w:val="none"/>
          <w:lang w:val="en-US" w:eastAsia="zh-CN"/>
        </w:rPr>
        <w:br w:type="page"/>
      </w:r>
      <w:r>
        <w:rPr>
          <w:rFonts w:hint="eastAsia" w:ascii="宋体" w:hAnsi="宋体" w:eastAsia="宋体" w:cs="宋体"/>
          <w:color w:val="auto"/>
          <w:szCs w:val="21"/>
          <w:highlight w:val="none"/>
          <w:lang w:val="en-US" w:eastAsia="zh-CN"/>
        </w:rPr>
        <w:t>附表</w:t>
      </w:r>
      <w:r>
        <w:rPr>
          <w:rFonts w:hint="eastAsia" w:ascii="宋体" w:hAnsi="宋体" w:eastAsia="宋体" w:cs="宋体"/>
          <w:b w:val="0"/>
          <w:bCs w:val="0"/>
          <w:color w:val="auto"/>
          <w:szCs w:val="21"/>
          <w:highlight w:val="none"/>
        </w:rPr>
        <w:t>①项目经理（注册建造师）简历表（格式）</w:t>
      </w:r>
    </w:p>
    <w:p w14:paraId="644D71B3">
      <w:pPr>
        <w:pStyle w:val="40"/>
        <w:pageBreakBefore w:val="0"/>
        <w:overflowPunct/>
        <w:topLinePunct w:val="0"/>
        <w:bidi w:val="0"/>
        <w:spacing w:line="360" w:lineRule="auto"/>
        <w:rPr>
          <w:rFonts w:hint="eastAsia" w:ascii="宋体" w:hAnsi="宋体" w:eastAsia="宋体" w:cs="宋体"/>
          <w:color w:val="auto"/>
          <w:highlight w:val="none"/>
          <w:lang w:val="en-US" w:eastAsia="zh-CN"/>
        </w:rPr>
      </w:pPr>
    </w:p>
    <w:p w14:paraId="44E2DD33">
      <w:pPr>
        <w:pageBreakBefore w:val="0"/>
        <w:overflowPunct/>
        <w:topLinePunct w:val="0"/>
        <w:bidi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Cs w:val="21"/>
          <w:highlight w:val="none"/>
        </w:rPr>
        <w:t>项目经理（注册建造师）简历表</w:t>
      </w:r>
    </w:p>
    <w:p w14:paraId="32F8A936">
      <w:pPr>
        <w:pageBreakBefore w:val="0"/>
        <w:overflowPunct/>
        <w:topLinePunct w:val="0"/>
        <w:bidi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u w:val="single"/>
        </w:rPr>
        <w:t xml:space="preserve">                     </w:t>
      </w:r>
    </w:p>
    <w:p w14:paraId="6CA55874">
      <w:pPr>
        <w:pStyle w:val="45"/>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highlight w:val="none"/>
        </w:rPr>
        <w:t xml:space="preserve">                                                           </w:t>
      </w:r>
    </w:p>
    <w:tbl>
      <w:tblPr>
        <w:tblStyle w:val="22"/>
        <w:tblW w:w="87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
        <w:gridCol w:w="398"/>
        <w:gridCol w:w="1326"/>
        <w:gridCol w:w="281"/>
        <w:gridCol w:w="1045"/>
        <w:gridCol w:w="577"/>
        <w:gridCol w:w="749"/>
        <w:gridCol w:w="609"/>
        <w:gridCol w:w="717"/>
        <w:gridCol w:w="232"/>
        <w:gridCol w:w="1854"/>
      </w:tblGrid>
      <w:tr w14:paraId="753F1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8" w:type="dxa"/>
            <w:vAlign w:val="center"/>
          </w:tcPr>
          <w:p w14:paraId="5AA6D264">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2005" w:type="dxa"/>
            <w:gridSpan w:val="3"/>
            <w:vAlign w:val="center"/>
          </w:tcPr>
          <w:p w14:paraId="22DC15EE">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622" w:type="dxa"/>
            <w:gridSpan w:val="2"/>
            <w:vAlign w:val="center"/>
          </w:tcPr>
          <w:p w14:paraId="242D5ABB">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性别</w:t>
            </w:r>
          </w:p>
        </w:tc>
        <w:tc>
          <w:tcPr>
            <w:tcW w:w="1358" w:type="dxa"/>
            <w:gridSpan w:val="2"/>
            <w:vAlign w:val="center"/>
          </w:tcPr>
          <w:p w14:paraId="20EA387F">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949" w:type="dxa"/>
            <w:gridSpan w:val="2"/>
            <w:vAlign w:val="center"/>
          </w:tcPr>
          <w:p w14:paraId="6E14D68A">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年龄</w:t>
            </w:r>
          </w:p>
        </w:tc>
        <w:tc>
          <w:tcPr>
            <w:tcW w:w="1854" w:type="dxa"/>
            <w:vAlign w:val="center"/>
          </w:tcPr>
          <w:p w14:paraId="0CA1338B">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2EC1C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8" w:type="dxa"/>
            <w:vAlign w:val="center"/>
          </w:tcPr>
          <w:p w14:paraId="6230B0BF">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w:t>
            </w:r>
          </w:p>
        </w:tc>
        <w:tc>
          <w:tcPr>
            <w:tcW w:w="2005" w:type="dxa"/>
            <w:gridSpan w:val="3"/>
            <w:vAlign w:val="center"/>
          </w:tcPr>
          <w:p w14:paraId="4F1964A6">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622" w:type="dxa"/>
            <w:gridSpan w:val="2"/>
            <w:vAlign w:val="center"/>
          </w:tcPr>
          <w:p w14:paraId="312A56C9">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职称</w:t>
            </w:r>
          </w:p>
        </w:tc>
        <w:tc>
          <w:tcPr>
            <w:tcW w:w="1358" w:type="dxa"/>
            <w:gridSpan w:val="2"/>
            <w:vAlign w:val="center"/>
          </w:tcPr>
          <w:p w14:paraId="45946E51">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949" w:type="dxa"/>
            <w:gridSpan w:val="2"/>
            <w:vAlign w:val="center"/>
          </w:tcPr>
          <w:p w14:paraId="46075D1F">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学历</w:t>
            </w:r>
          </w:p>
        </w:tc>
        <w:tc>
          <w:tcPr>
            <w:tcW w:w="1854" w:type="dxa"/>
            <w:vAlign w:val="center"/>
          </w:tcPr>
          <w:p w14:paraId="1CF3DCE1">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35792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933" w:type="dxa"/>
            <w:gridSpan w:val="4"/>
            <w:vAlign w:val="center"/>
          </w:tcPr>
          <w:p w14:paraId="3567C011">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参加工作时间</w:t>
            </w:r>
          </w:p>
        </w:tc>
        <w:tc>
          <w:tcPr>
            <w:tcW w:w="1622" w:type="dxa"/>
            <w:gridSpan w:val="2"/>
            <w:vAlign w:val="center"/>
          </w:tcPr>
          <w:p w14:paraId="41800400">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2307" w:type="dxa"/>
            <w:gridSpan w:val="4"/>
            <w:vAlign w:val="center"/>
          </w:tcPr>
          <w:p w14:paraId="4DD6EF43">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担任项目经理年限</w:t>
            </w:r>
          </w:p>
        </w:tc>
        <w:tc>
          <w:tcPr>
            <w:tcW w:w="1854" w:type="dxa"/>
            <w:vAlign w:val="center"/>
          </w:tcPr>
          <w:p w14:paraId="44748D70">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257A1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933" w:type="dxa"/>
            <w:gridSpan w:val="4"/>
            <w:vAlign w:val="center"/>
          </w:tcPr>
          <w:p w14:paraId="33895520">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项目经理注册证书编号</w:t>
            </w:r>
          </w:p>
        </w:tc>
        <w:tc>
          <w:tcPr>
            <w:tcW w:w="5783" w:type="dxa"/>
            <w:gridSpan w:val="7"/>
            <w:vAlign w:val="center"/>
          </w:tcPr>
          <w:p w14:paraId="2252A624">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27623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716" w:type="dxa"/>
            <w:gridSpan w:val="11"/>
            <w:vAlign w:val="center"/>
          </w:tcPr>
          <w:p w14:paraId="4A9A723F">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在建和已完工程项目情况</w:t>
            </w:r>
          </w:p>
        </w:tc>
      </w:tr>
      <w:tr w14:paraId="10BEA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26" w:type="dxa"/>
            <w:gridSpan w:val="2"/>
            <w:vAlign w:val="center"/>
          </w:tcPr>
          <w:p w14:paraId="6307C2E1">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建设单位</w:t>
            </w:r>
          </w:p>
        </w:tc>
        <w:tc>
          <w:tcPr>
            <w:tcW w:w="1326" w:type="dxa"/>
            <w:vAlign w:val="center"/>
          </w:tcPr>
          <w:p w14:paraId="1FA10765">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tc>
        <w:tc>
          <w:tcPr>
            <w:tcW w:w="1326" w:type="dxa"/>
            <w:gridSpan w:val="2"/>
            <w:vAlign w:val="center"/>
          </w:tcPr>
          <w:p w14:paraId="6E6DBB02">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建设规模</w:t>
            </w:r>
          </w:p>
        </w:tc>
        <w:tc>
          <w:tcPr>
            <w:tcW w:w="1326" w:type="dxa"/>
            <w:gridSpan w:val="2"/>
            <w:vAlign w:val="center"/>
          </w:tcPr>
          <w:p w14:paraId="7EE92EB5">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开、竣工日期</w:t>
            </w:r>
          </w:p>
        </w:tc>
        <w:tc>
          <w:tcPr>
            <w:tcW w:w="1326" w:type="dxa"/>
            <w:gridSpan w:val="2"/>
            <w:vAlign w:val="center"/>
          </w:tcPr>
          <w:p w14:paraId="1A8F10DA">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在建或已完</w:t>
            </w:r>
          </w:p>
        </w:tc>
        <w:tc>
          <w:tcPr>
            <w:tcW w:w="2086" w:type="dxa"/>
            <w:gridSpan w:val="2"/>
            <w:vAlign w:val="center"/>
          </w:tcPr>
          <w:p w14:paraId="64636142">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工程质量</w:t>
            </w:r>
          </w:p>
        </w:tc>
      </w:tr>
      <w:tr w14:paraId="36A0A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26" w:type="dxa"/>
            <w:gridSpan w:val="2"/>
            <w:vAlign w:val="center"/>
          </w:tcPr>
          <w:p w14:paraId="1845F216">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26" w:type="dxa"/>
            <w:vAlign w:val="center"/>
          </w:tcPr>
          <w:p w14:paraId="77510606">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26" w:type="dxa"/>
            <w:gridSpan w:val="2"/>
            <w:vAlign w:val="center"/>
          </w:tcPr>
          <w:p w14:paraId="2DE99513">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26" w:type="dxa"/>
            <w:gridSpan w:val="2"/>
            <w:vAlign w:val="center"/>
          </w:tcPr>
          <w:p w14:paraId="68BFB154">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26" w:type="dxa"/>
            <w:gridSpan w:val="2"/>
            <w:vAlign w:val="center"/>
          </w:tcPr>
          <w:p w14:paraId="54A49A6A">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2086" w:type="dxa"/>
            <w:gridSpan w:val="2"/>
            <w:vAlign w:val="center"/>
          </w:tcPr>
          <w:p w14:paraId="53D420CC">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0EB28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26" w:type="dxa"/>
            <w:gridSpan w:val="2"/>
            <w:vAlign w:val="center"/>
          </w:tcPr>
          <w:p w14:paraId="18DB75F8">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26" w:type="dxa"/>
            <w:vAlign w:val="center"/>
          </w:tcPr>
          <w:p w14:paraId="6DC5B160">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26" w:type="dxa"/>
            <w:gridSpan w:val="2"/>
            <w:vAlign w:val="center"/>
          </w:tcPr>
          <w:p w14:paraId="3E819444">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26" w:type="dxa"/>
            <w:gridSpan w:val="2"/>
            <w:vAlign w:val="center"/>
          </w:tcPr>
          <w:p w14:paraId="439879BC">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26" w:type="dxa"/>
            <w:gridSpan w:val="2"/>
            <w:vAlign w:val="center"/>
          </w:tcPr>
          <w:p w14:paraId="644C9ED4">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2086" w:type="dxa"/>
            <w:gridSpan w:val="2"/>
            <w:vAlign w:val="center"/>
          </w:tcPr>
          <w:p w14:paraId="2DE64209">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6CFF2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26" w:type="dxa"/>
            <w:gridSpan w:val="2"/>
            <w:vAlign w:val="center"/>
          </w:tcPr>
          <w:p w14:paraId="2945B341">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26" w:type="dxa"/>
            <w:vAlign w:val="center"/>
          </w:tcPr>
          <w:p w14:paraId="0786B76F">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26" w:type="dxa"/>
            <w:gridSpan w:val="2"/>
            <w:vAlign w:val="center"/>
          </w:tcPr>
          <w:p w14:paraId="4A1A316B">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26" w:type="dxa"/>
            <w:gridSpan w:val="2"/>
            <w:vAlign w:val="center"/>
          </w:tcPr>
          <w:p w14:paraId="5633348A">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26" w:type="dxa"/>
            <w:gridSpan w:val="2"/>
            <w:vAlign w:val="center"/>
          </w:tcPr>
          <w:p w14:paraId="6BCE9A98">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2086" w:type="dxa"/>
            <w:gridSpan w:val="2"/>
            <w:vAlign w:val="center"/>
          </w:tcPr>
          <w:p w14:paraId="455EBD3C">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1845C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26" w:type="dxa"/>
            <w:gridSpan w:val="2"/>
            <w:vAlign w:val="center"/>
          </w:tcPr>
          <w:p w14:paraId="2ACDB728">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26" w:type="dxa"/>
            <w:vAlign w:val="center"/>
          </w:tcPr>
          <w:p w14:paraId="538F0CC7">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26" w:type="dxa"/>
            <w:gridSpan w:val="2"/>
            <w:vAlign w:val="center"/>
          </w:tcPr>
          <w:p w14:paraId="3C178F76">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26" w:type="dxa"/>
            <w:gridSpan w:val="2"/>
            <w:vAlign w:val="center"/>
          </w:tcPr>
          <w:p w14:paraId="0524AB65">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26" w:type="dxa"/>
            <w:gridSpan w:val="2"/>
            <w:vAlign w:val="center"/>
          </w:tcPr>
          <w:p w14:paraId="1719AA85">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2086" w:type="dxa"/>
            <w:gridSpan w:val="2"/>
            <w:vAlign w:val="center"/>
          </w:tcPr>
          <w:p w14:paraId="310D971D">
            <w:pPr>
              <w:pageBreakBefore w:val="0"/>
              <w:overflowPunct/>
              <w:topLinePunct w:val="0"/>
              <w:bidi w:val="0"/>
              <w:spacing w:line="360" w:lineRule="auto"/>
              <w:jc w:val="center"/>
              <w:rPr>
                <w:rFonts w:hint="eastAsia" w:ascii="宋体" w:hAnsi="宋体" w:eastAsia="宋体" w:cs="宋体"/>
                <w:color w:val="auto"/>
                <w:szCs w:val="21"/>
                <w:highlight w:val="none"/>
              </w:rPr>
            </w:pPr>
          </w:p>
        </w:tc>
      </w:tr>
    </w:tbl>
    <w:p w14:paraId="15BBF093">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p w14:paraId="7D83885F">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1.附项目经理</w:t>
      </w:r>
      <w:r>
        <w:rPr>
          <w:rFonts w:hint="eastAsia" w:ascii="宋体" w:hAnsi="宋体" w:eastAsia="宋体" w:cs="宋体"/>
          <w:bCs/>
          <w:color w:val="auto"/>
          <w:kern w:val="2"/>
          <w:sz w:val="21"/>
          <w:szCs w:val="21"/>
          <w:highlight w:val="none"/>
          <w:lang w:val="en-US" w:eastAsia="zh-CN" w:bidi="ar-SA"/>
        </w:rPr>
        <w:t>执业资格证书、</w:t>
      </w:r>
      <w:r>
        <w:rPr>
          <w:rFonts w:hint="eastAsia" w:ascii="宋体" w:hAnsi="宋体" w:eastAsia="宋体" w:cs="宋体"/>
          <w:color w:val="auto"/>
          <w:szCs w:val="21"/>
          <w:highlight w:val="none"/>
        </w:rPr>
        <w:t>《安全生产考核合格证书（</w:t>
      </w:r>
      <w:r>
        <w:rPr>
          <w:rFonts w:hint="eastAsia" w:ascii="宋体" w:hAnsi="宋体" w:eastAsia="宋体" w:cs="宋体"/>
          <w:color w:val="auto"/>
          <w:szCs w:val="21"/>
          <w:highlight w:val="none"/>
          <w:lang w:val="en-US" w:eastAsia="zh-CN"/>
        </w:rPr>
        <w:t>B证</w:t>
      </w:r>
      <w:r>
        <w:rPr>
          <w:rFonts w:hint="eastAsia" w:ascii="宋体" w:hAnsi="宋体" w:eastAsia="宋体" w:cs="宋体"/>
          <w:color w:val="auto"/>
          <w:szCs w:val="21"/>
          <w:highlight w:val="none"/>
        </w:rPr>
        <w:t>）》、职称证</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若有</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、学历证（若有）和已完工程（如有）《中标通知书》、工程合同协议书、工程竣工验收证明材料的扫描件，以及</w:t>
      </w:r>
      <w:r>
        <w:rPr>
          <w:rFonts w:hint="eastAsia" w:ascii="宋体" w:hAnsi="宋体" w:eastAsia="宋体" w:cs="宋体"/>
          <w:color w:val="auto"/>
          <w:szCs w:val="21"/>
          <w:highlight w:val="none"/>
          <w:lang w:eastAsia="zh-CN"/>
        </w:rPr>
        <w:t>竞标人</w:t>
      </w:r>
      <w:r>
        <w:rPr>
          <w:rFonts w:hint="eastAsia" w:ascii="宋体" w:hAnsi="宋体" w:eastAsia="宋体" w:cs="宋体"/>
          <w:color w:val="auto"/>
          <w:szCs w:val="21"/>
          <w:highlight w:val="none"/>
        </w:rPr>
        <w:t>认为需要增加的其他证明材料</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扫描件</w:t>
      </w:r>
      <w:r>
        <w:rPr>
          <w:rFonts w:hint="eastAsia" w:ascii="宋体" w:hAnsi="宋体" w:eastAsia="宋体" w:cs="宋体"/>
          <w:color w:val="auto"/>
          <w:szCs w:val="21"/>
          <w:highlight w:val="none"/>
          <w:lang w:eastAsia="zh-CN"/>
        </w:rPr>
        <w:t>。（</w:t>
      </w:r>
      <w:r>
        <w:rPr>
          <w:rFonts w:hint="eastAsia" w:ascii="宋体" w:hAnsi="宋体" w:eastAsia="宋体" w:cs="宋体"/>
          <w:b/>
          <w:bCs/>
          <w:color w:val="auto"/>
          <w:szCs w:val="21"/>
          <w:highlight w:val="none"/>
        </w:rPr>
        <w:t>以上</w:t>
      </w:r>
      <w:r>
        <w:rPr>
          <w:rFonts w:hint="eastAsia" w:ascii="宋体" w:hAnsi="宋体" w:eastAsia="宋体" w:cs="宋体"/>
          <w:b/>
          <w:bCs/>
          <w:color w:val="auto"/>
          <w:szCs w:val="21"/>
          <w:highlight w:val="none"/>
          <w:lang w:val="en-US" w:eastAsia="zh-CN"/>
        </w:rPr>
        <w:t>材料是复印件的扫描件的，</w:t>
      </w:r>
      <w:r>
        <w:rPr>
          <w:rFonts w:hint="eastAsia" w:ascii="宋体" w:hAnsi="宋体" w:eastAsia="宋体" w:cs="宋体"/>
          <w:b/>
          <w:bCs/>
          <w:color w:val="auto"/>
          <w:szCs w:val="21"/>
          <w:highlight w:val="none"/>
        </w:rPr>
        <w:t>均须加盖</w:t>
      </w:r>
      <w:r>
        <w:rPr>
          <w:rFonts w:hint="eastAsia" w:ascii="宋体" w:hAnsi="宋体" w:eastAsia="宋体" w:cs="宋体"/>
          <w:b/>
          <w:bCs/>
          <w:color w:val="auto"/>
          <w:szCs w:val="21"/>
          <w:highlight w:val="none"/>
          <w:lang w:eastAsia="zh-CN"/>
        </w:rPr>
        <w:t>竞标人</w:t>
      </w:r>
      <w:r>
        <w:rPr>
          <w:rFonts w:hint="eastAsia" w:ascii="宋体" w:hAnsi="宋体" w:eastAsia="宋体" w:cs="宋体"/>
          <w:b/>
          <w:bCs/>
          <w:color w:val="auto"/>
          <w:szCs w:val="21"/>
          <w:highlight w:val="none"/>
        </w:rPr>
        <w:t>单位公章</w:t>
      </w:r>
      <w:r>
        <w:rPr>
          <w:rFonts w:hint="eastAsia" w:ascii="宋体" w:hAnsi="宋体" w:eastAsia="宋体" w:cs="宋体"/>
          <w:b/>
          <w:bCs/>
          <w:color w:val="auto"/>
          <w:szCs w:val="21"/>
          <w:highlight w:val="none"/>
          <w:lang w:val="en-US" w:eastAsia="zh-CN"/>
        </w:rPr>
        <w:t>或电子签章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w:t>
      </w:r>
    </w:p>
    <w:p w14:paraId="078C2F1B">
      <w:pPr>
        <w:pageBreakBefore w:val="0"/>
        <w:widowControl/>
        <w:overflowPunct/>
        <w:topLinePunct w:val="0"/>
        <w:bidi w:val="0"/>
        <w:spacing w:line="360" w:lineRule="auto"/>
        <w:ind w:right="-147" w:rightChars="-70"/>
        <w:rPr>
          <w:rFonts w:hint="eastAsia" w:ascii="宋体" w:hAnsi="宋体" w:eastAsia="宋体" w:cs="宋体"/>
          <w:b w:val="0"/>
          <w:bCs w:val="0"/>
          <w:color w:val="auto"/>
          <w:szCs w:val="21"/>
          <w:highlight w:val="none"/>
        </w:rPr>
      </w:pPr>
      <w:r>
        <w:rPr>
          <w:rFonts w:hint="eastAsia" w:ascii="宋体" w:hAnsi="宋体" w:eastAsia="宋体" w:cs="宋体"/>
          <w:color w:val="auto"/>
          <w:szCs w:val="21"/>
          <w:highlight w:val="none"/>
          <w:lang w:val="en-US" w:eastAsia="zh-CN"/>
        </w:rPr>
        <w:br w:type="page"/>
      </w:r>
      <w:r>
        <w:rPr>
          <w:rFonts w:hint="eastAsia" w:ascii="宋体" w:hAnsi="宋体" w:eastAsia="宋体" w:cs="宋体"/>
          <w:color w:val="auto"/>
          <w:szCs w:val="21"/>
          <w:highlight w:val="none"/>
          <w:lang w:val="en-US" w:eastAsia="zh-CN"/>
        </w:rPr>
        <w:t>附表</w:t>
      </w:r>
      <w:r>
        <w:rPr>
          <w:rFonts w:hint="eastAsia" w:ascii="宋体" w:hAnsi="宋体" w:eastAsia="宋体" w:cs="宋体"/>
          <w:b w:val="0"/>
          <w:bCs w:val="0"/>
          <w:color w:val="auto"/>
          <w:szCs w:val="21"/>
          <w:highlight w:val="none"/>
        </w:rPr>
        <w:t>②项目技术负责人简历表（格式）</w:t>
      </w:r>
    </w:p>
    <w:p w14:paraId="2D51B6E6">
      <w:pPr>
        <w:pStyle w:val="40"/>
        <w:pageBreakBefore w:val="0"/>
        <w:overflowPunct/>
        <w:topLinePunct w:val="0"/>
        <w:bidi w:val="0"/>
        <w:spacing w:line="360" w:lineRule="auto"/>
        <w:rPr>
          <w:rFonts w:hint="eastAsia" w:ascii="宋体" w:hAnsi="宋体" w:eastAsia="宋体" w:cs="宋体"/>
          <w:color w:val="auto"/>
          <w:highlight w:val="none"/>
        </w:rPr>
      </w:pPr>
    </w:p>
    <w:p w14:paraId="19F05D93">
      <w:pPr>
        <w:pageBreakBefore w:val="0"/>
        <w:overflowPunct/>
        <w:topLinePunct w:val="0"/>
        <w:bidi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Cs w:val="21"/>
          <w:highlight w:val="none"/>
        </w:rPr>
        <w:t>项目技术负责人简历表</w:t>
      </w:r>
    </w:p>
    <w:p w14:paraId="740043EE">
      <w:pPr>
        <w:pageBreakBefore w:val="0"/>
        <w:overflowPunct/>
        <w:topLinePunct w:val="0"/>
        <w:bidi w:val="0"/>
        <w:spacing w:line="360" w:lineRule="auto"/>
        <w:rPr>
          <w:rFonts w:hint="eastAsia" w:ascii="宋体" w:hAnsi="宋体" w:eastAsia="宋体" w:cs="宋体"/>
          <w:color w:val="auto"/>
          <w:szCs w:val="21"/>
          <w:highlight w:val="none"/>
          <w:u w:val="single"/>
        </w:rPr>
      </w:pPr>
      <w:bookmarkStart w:id="1408" w:name="_Toc251052220"/>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u w:val="single"/>
        </w:rPr>
        <w:t xml:space="preserve">                     </w:t>
      </w:r>
    </w:p>
    <w:p w14:paraId="4A643900">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highlight w:val="none"/>
        </w:rPr>
        <w:t xml:space="preserve">                          </w:t>
      </w:r>
      <w:r>
        <w:rPr>
          <w:rFonts w:hint="eastAsia" w:ascii="宋体" w:hAnsi="宋体" w:eastAsia="宋体" w:cs="宋体"/>
          <w:color w:val="auto"/>
          <w:highlight w:val="none"/>
        </w:rPr>
        <w:tab/>
      </w:r>
      <w:r>
        <w:rPr>
          <w:rFonts w:hint="eastAsia" w:ascii="宋体" w:hAnsi="宋体" w:eastAsia="宋体" w:cs="宋体"/>
          <w:color w:val="auto"/>
          <w:highlight w:val="none"/>
        </w:rPr>
        <w:tab/>
      </w:r>
      <w:r>
        <w:rPr>
          <w:rFonts w:hint="eastAsia" w:ascii="宋体" w:hAnsi="宋体" w:eastAsia="宋体" w:cs="宋体"/>
          <w:color w:val="auto"/>
          <w:highlight w:val="none"/>
        </w:rPr>
        <w:tab/>
      </w:r>
      <w:bookmarkEnd w:id="1408"/>
    </w:p>
    <w:tbl>
      <w:tblPr>
        <w:tblStyle w:val="22"/>
        <w:tblW w:w="89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
        <w:gridCol w:w="403"/>
        <w:gridCol w:w="1347"/>
        <w:gridCol w:w="287"/>
        <w:gridCol w:w="1059"/>
        <w:gridCol w:w="589"/>
        <w:gridCol w:w="758"/>
        <w:gridCol w:w="621"/>
        <w:gridCol w:w="725"/>
        <w:gridCol w:w="239"/>
        <w:gridCol w:w="2007"/>
      </w:tblGrid>
      <w:tr w14:paraId="35B4E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943" w:type="dxa"/>
            <w:vAlign w:val="center"/>
          </w:tcPr>
          <w:p w14:paraId="735DA7D2">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2037" w:type="dxa"/>
            <w:gridSpan w:val="3"/>
            <w:vAlign w:val="center"/>
          </w:tcPr>
          <w:p w14:paraId="7E07E459">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648" w:type="dxa"/>
            <w:gridSpan w:val="2"/>
            <w:vAlign w:val="center"/>
          </w:tcPr>
          <w:p w14:paraId="26AE91F6">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性别</w:t>
            </w:r>
          </w:p>
        </w:tc>
        <w:tc>
          <w:tcPr>
            <w:tcW w:w="1379" w:type="dxa"/>
            <w:gridSpan w:val="2"/>
            <w:vAlign w:val="center"/>
          </w:tcPr>
          <w:p w14:paraId="1D296649">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964" w:type="dxa"/>
            <w:gridSpan w:val="2"/>
            <w:vAlign w:val="center"/>
          </w:tcPr>
          <w:p w14:paraId="3039265F">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年龄</w:t>
            </w:r>
          </w:p>
        </w:tc>
        <w:tc>
          <w:tcPr>
            <w:tcW w:w="2007" w:type="dxa"/>
            <w:vAlign w:val="center"/>
          </w:tcPr>
          <w:p w14:paraId="1877E02C">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22025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943" w:type="dxa"/>
            <w:vAlign w:val="center"/>
          </w:tcPr>
          <w:p w14:paraId="1AE94069">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w:t>
            </w:r>
          </w:p>
        </w:tc>
        <w:tc>
          <w:tcPr>
            <w:tcW w:w="2037" w:type="dxa"/>
            <w:gridSpan w:val="3"/>
            <w:vAlign w:val="center"/>
          </w:tcPr>
          <w:p w14:paraId="0C124E23">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648" w:type="dxa"/>
            <w:gridSpan w:val="2"/>
            <w:vAlign w:val="center"/>
          </w:tcPr>
          <w:p w14:paraId="3749EF8C">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职称</w:t>
            </w:r>
          </w:p>
        </w:tc>
        <w:tc>
          <w:tcPr>
            <w:tcW w:w="1379" w:type="dxa"/>
            <w:gridSpan w:val="2"/>
            <w:vAlign w:val="center"/>
          </w:tcPr>
          <w:p w14:paraId="77AF5ACD">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964" w:type="dxa"/>
            <w:gridSpan w:val="2"/>
            <w:vAlign w:val="center"/>
          </w:tcPr>
          <w:p w14:paraId="694B911D">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学历</w:t>
            </w:r>
          </w:p>
        </w:tc>
        <w:tc>
          <w:tcPr>
            <w:tcW w:w="2007" w:type="dxa"/>
            <w:vAlign w:val="center"/>
          </w:tcPr>
          <w:p w14:paraId="28FAAC55">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112DC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2980" w:type="dxa"/>
            <w:gridSpan w:val="4"/>
            <w:vAlign w:val="center"/>
          </w:tcPr>
          <w:p w14:paraId="13F59806">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参加工作时间</w:t>
            </w:r>
          </w:p>
        </w:tc>
        <w:tc>
          <w:tcPr>
            <w:tcW w:w="1648" w:type="dxa"/>
            <w:gridSpan w:val="2"/>
            <w:vAlign w:val="center"/>
          </w:tcPr>
          <w:p w14:paraId="6829C9EF">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2343" w:type="dxa"/>
            <w:gridSpan w:val="4"/>
            <w:vAlign w:val="center"/>
          </w:tcPr>
          <w:p w14:paraId="595DBF83">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担任技术负责人年限</w:t>
            </w:r>
          </w:p>
        </w:tc>
        <w:tc>
          <w:tcPr>
            <w:tcW w:w="2007" w:type="dxa"/>
            <w:vAlign w:val="center"/>
          </w:tcPr>
          <w:p w14:paraId="3FB22BB1">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2BF2B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8978" w:type="dxa"/>
            <w:gridSpan w:val="11"/>
            <w:vAlign w:val="center"/>
          </w:tcPr>
          <w:p w14:paraId="05111E5F">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在建和已完工程项目情况</w:t>
            </w:r>
          </w:p>
        </w:tc>
      </w:tr>
      <w:tr w14:paraId="7F338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46" w:type="dxa"/>
            <w:gridSpan w:val="2"/>
            <w:vAlign w:val="center"/>
          </w:tcPr>
          <w:p w14:paraId="5A6B2098">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建设单位</w:t>
            </w:r>
          </w:p>
        </w:tc>
        <w:tc>
          <w:tcPr>
            <w:tcW w:w="1347" w:type="dxa"/>
            <w:vAlign w:val="center"/>
          </w:tcPr>
          <w:p w14:paraId="36D84B82">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tc>
        <w:tc>
          <w:tcPr>
            <w:tcW w:w="1346" w:type="dxa"/>
            <w:gridSpan w:val="2"/>
            <w:vAlign w:val="center"/>
          </w:tcPr>
          <w:p w14:paraId="245EC1B9">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建设规模</w:t>
            </w:r>
          </w:p>
        </w:tc>
        <w:tc>
          <w:tcPr>
            <w:tcW w:w="1347" w:type="dxa"/>
            <w:gridSpan w:val="2"/>
            <w:vAlign w:val="center"/>
          </w:tcPr>
          <w:p w14:paraId="144312E3">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开、竣工日期</w:t>
            </w:r>
          </w:p>
        </w:tc>
        <w:tc>
          <w:tcPr>
            <w:tcW w:w="1346" w:type="dxa"/>
            <w:gridSpan w:val="2"/>
            <w:vAlign w:val="center"/>
          </w:tcPr>
          <w:p w14:paraId="571C8B42">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在建或已完</w:t>
            </w:r>
          </w:p>
        </w:tc>
        <w:tc>
          <w:tcPr>
            <w:tcW w:w="2246" w:type="dxa"/>
            <w:gridSpan w:val="2"/>
            <w:vAlign w:val="center"/>
          </w:tcPr>
          <w:p w14:paraId="5EDD2F23">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工程质量</w:t>
            </w:r>
          </w:p>
        </w:tc>
      </w:tr>
      <w:tr w14:paraId="21716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46" w:type="dxa"/>
            <w:gridSpan w:val="2"/>
            <w:vAlign w:val="center"/>
          </w:tcPr>
          <w:p w14:paraId="31CFC7FC">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47" w:type="dxa"/>
            <w:vAlign w:val="center"/>
          </w:tcPr>
          <w:p w14:paraId="45431385">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46" w:type="dxa"/>
            <w:gridSpan w:val="2"/>
            <w:vAlign w:val="center"/>
          </w:tcPr>
          <w:p w14:paraId="05AF8547">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47" w:type="dxa"/>
            <w:gridSpan w:val="2"/>
            <w:vAlign w:val="center"/>
          </w:tcPr>
          <w:p w14:paraId="1BD14CDE">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46" w:type="dxa"/>
            <w:gridSpan w:val="2"/>
            <w:vAlign w:val="center"/>
          </w:tcPr>
          <w:p w14:paraId="3F69B6D6">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2246" w:type="dxa"/>
            <w:gridSpan w:val="2"/>
            <w:vAlign w:val="center"/>
          </w:tcPr>
          <w:p w14:paraId="1764F2BA">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4F3E0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46" w:type="dxa"/>
            <w:gridSpan w:val="2"/>
            <w:vAlign w:val="center"/>
          </w:tcPr>
          <w:p w14:paraId="45890E8A">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47" w:type="dxa"/>
            <w:vAlign w:val="center"/>
          </w:tcPr>
          <w:p w14:paraId="51C116AA">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46" w:type="dxa"/>
            <w:gridSpan w:val="2"/>
            <w:vAlign w:val="center"/>
          </w:tcPr>
          <w:p w14:paraId="73EDF6CC">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47" w:type="dxa"/>
            <w:gridSpan w:val="2"/>
            <w:vAlign w:val="center"/>
          </w:tcPr>
          <w:p w14:paraId="0EE6A62C">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46" w:type="dxa"/>
            <w:gridSpan w:val="2"/>
            <w:vAlign w:val="center"/>
          </w:tcPr>
          <w:p w14:paraId="25D77D98">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2246" w:type="dxa"/>
            <w:gridSpan w:val="2"/>
            <w:vAlign w:val="center"/>
          </w:tcPr>
          <w:p w14:paraId="68D0DDB0">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5B9DD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46" w:type="dxa"/>
            <w:gridSpan w:val="2"/>
            <w:vAlign w:val="center"/>
          </w:tcPr>
          <w:p w14:paraId="743FB869">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47" w:type="dxa"/>
            <w:vAlign w:val="center"/>
          </w:tcPr>
          <w:p w14:paraId="46226DAD">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46" w:type="dxa"/>
            <w:gridSpan w:val="2"/>
            <w:vAlign w:val="center"/>
          </w:tcPr>
          <w:p w14:paraId="367B2F2D">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47" w:type="dxa"/>
            <w:gridSpan w:val="2"/>
            <w:vAlign w:val="center"/>
          </w:tcPr>
          <w:p w14:paraId="4327BEF6">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46" w:type="dxa"/>
            <w:gridSpan w:val="2"/>
            <w:vAlign w:val="center"/>
          </w:tcPr>
          <w:p w14:paraId="22E365BF">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2246" w:type="dxa"/>
            <w:gridSpan w:val="2"/>
            <w:vAlign w:val="center"/>
          </w:tcPr>
          <w:p w14:paraId="27CACE4F">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32842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346" w:type="dxa"/>
            <w:gridSpan w:val="2"/>
            <w:vAlign w:val="center"/>
          </w:tcPr>
          <w:p w14:paraId="4F3319BE">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47" w:type="dxa"/>
            <w:vAlign w:val="center"/>
          </w:tcPr>
          <w:p w14:paraId="3D5F03BB">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46" w:type="dxa"/>
            <w:gridSpan w:val="2"/>
            <w:vAlign w:val="center"/>
          </w:tcPr>
          <w:p w14:paraId="3CBE3BF9">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47" w:type="dxa"/>
            <w:gridSpan w:val="2"/>
            <w:vAlign w:val="center"/>
          </w:tcPr>
          <w:p w14:paraId="59A5E26E">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46" w:type="dxa"/>
            <w:gridSpan w:val="2"/>
            <w:vAlign w:val="center"/>
          </w:tcPr>
          <w:p w14:paraId="72C25E36">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2246" w:type="dxa"/>
            <w:gridSpan w:val="2"/>
            <w:vAlign w:val="center"/>
          </w:tcPr>
          <w:p w14:paraId="1BECBC50">
            <w:pPr>
              <w:pageBreakBefore w:val="0"/>
              <w:overflowPunct/>
              <w:topLinePunct w:val="0"/>
              <w:bidi w:val="0"/>
              <w:spacing w:line="360" w:lineRule="auto"/>
              <w:jc w:val="center"/>
              <w:rPr>
                <w:rFonts w:hint="eastAsia" w:ascii="宋体" w:hAnsi="宋体" w:eastAsia="宋体" w:cs="宋体"/>
                <w:color w:val="auto"/>
                <w:szCs w:val="21"/>
                <w:highlight w:val="none"/>
              </w:rPr>
            </w:pPr>
          </w:p>
        </w:tc>
      </w:tr>
    </w:tbl>
    <w:p w14:paraId="4617C140">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p w14:paraId="7F90C938">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1.附技术负责人的职称证、学历证（若有）和已完工程（如有）《中标通知书》、工程合同协议书、工程竣工验收证明材料的扫描件，以及</w:t>
      </w:r>
      <w:r>
        <w:rPr>
          <w:rFonts w:hint="eastAsia" w:ascii="宋体" w:hAnsi="宋体" w:eastAsia="宋体" w:cs="宋体"/>
          <w:color w:val="auto"/>
          <w:szCs w:val="21"/>
          <w:highlight w:val="none"/>
          <w:lang w:eastAsia="zh-CN"/>
        </w:rPr>
        <w:t>竞标人</w:t>
      </w:r>
      <w:r>
        <w:rPr>
          <w:rFonts w:hint="eastAsia" w:ascii="宋体" w:hAnsi="宋体" w:eastAsia="宋体" w:cs="宋体"/>
          <w:color w:val="auto"/>
          <w:szCs w:val="21"/>
          <w:highlight w:val="none"/>
        </w:rPr>
        <w:t>认为需要增加的其他证明材料</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扫描件，</w:t>
      </w:r>
      <w:r>
        <w:rPr>
          <w:rFonts w:hint="eastAsia" w:ascii="宋体" w:hAnsi="宋体" w:eastAsia="宋体" w:cs="宋体"/>
          <w:color w:val="auto"/>
          <w:szCs w:val="21"/>
          <w:highlight w:val="none"/>
          <w:lang w:eastAsia="zh-CN"/>
        </w:rPr>
        <w:t>（</w:t>
      </w:r>
      <w:r>
        <w:rPr>
          <w:rFonts w:hint="eastAsia" w:ascii="宋体" w:hAnsi="宋体" w:eastAsia="宋体" w:cs="宋体"/>
          <w:b/>
          <w:bCs/>
          <w:color w:val="auto"/>
          <w:szCs w:val="21"/>
          <w:highlight w:val="none"/>
        </w:rPr>
        <w:t>以上</w:t>
      </w:r>
      <w:r>
        <w:rPr>
          <w:rFonts w:hint="eastAsia" w:ascii="宋体" w:hAnsi="宋体" w:eastAsia="宋体" w:cs="宋体"/>
          <w:b/>
          <w:bCs/>
          <w:color w:val="auto"/>
          <w:szCs w:val="21"/>
          <w:highlight w:val="none"/>
          <w:lang w:val="en-US" w:eastAsia="zh-CN"/>
        </w:rPr>
        <w:t>材料是复印件的扫描件的，</w:t>
      </w:r>
      <w:r>
        <w:rPr>
          <w:rFonts w:hint="eastAsia" w:ascii="宋体" w:hAnsi="宋体" w:eastAsia="宋体" w:cs="宋体"/>
          <w:b/>
          <w:bCs/>
          <w:color w:val="auto"/>
          <w:szCs w:val="21"/>
          <w:highlight w:val="none"/>
        </w:rPr>
        <w:t>均须加盖</w:t>
      </w:r>
      <w:r>
        <w:rPr>
          <w:rFonts w:hint="eastAsia" w:ascii="宋体" w:hAnsi="宋体" w:eastAsia="宋体" w:cs="宋体"/>
          <w:b/>
          <w:bCs/>
          <w:color w:val="auto"/>
          <w:szCs w:val="21"/>
          <w:highlight w:val="none"/>
          <w:lang w:eastAsia="zh-CN"/>
        </w:rPr>
        <w:t>竞标人</w:t>
      </w:r>
      <w:r>
        <w:rPr>
          <w:rFonts w:hint="eastAsia" w:ascii="宋体" w:hAnsi="宋体" w:eastAsia="宋体" w:cs="宋体"/>
          <w:b/>
          <w:bCs/>
          <w:color w:val="auto"/>
          <w:szCs w:val="21"/>
          <w:highlight w:val="none"/>
        </w:rPr>
        <w:t>单位公章</w:t>
      </w:r>
      <w:r>
        <w:rPr>
          <w:rFonts w:hint="eastAsia" w:ascii="宋体" w:hAnsi="宋体" w:eastAsia="宋体" w:cs="宋体"/>
          <w:b/>
          <w:bCs/>
          <w:color w:val="auto"/>
          <w:szCs w:val="21"/>
          <w:highlight w:val="none"/>
          <w:lang w:val="en-US" w:eastAsia="zh-CN"/>
        </w:rPr>
        <w:t>或电子签章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w:t>
      </w:r>
    </w:p>
    <w:p w14:paraId="5A0D38AF">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p w14:paraId="65BE923F">
      <w:pPr>
        <w:pageBreakBefore w:val="0"/>
        <w:overflowPunct/>
        <w:topLinePunct w:val="0"/>
        <w:bidi w:val="0"/>
        <w:spacing w:line="360" w:lineRule="auto"/>
        <w:rPr>
          <w:rFonts w:hint="eastAsia" w:ascii="宋体" w:hAnsi="宋体" w:eastAsia="宋体" w:cs="宋体"/>
          <w:color w:val="auto"/>
          <w:szCs w:val="21"/>
          <w:highlight w:val="none"/>
        </w:rPr>
      </w:pPr>
    </w:p>
    <w:p w14:paraId="27940988">
      <w:pPr>
        <w:pageBreakBefore w:val="0"/>
        <w:widowControl/>
        <w:overflowPunct/>
        <w:topLinePunct w:val="0"/>
        <w:bidi w:val="0"/>
        <w:spacing w:line="360" w:lineRule="auto"/>
        <w:ind w:right="-147" w:rightChars="-70"/>
        <w:jc w:val="center"/>
        <w:rPr>
          <w:rFonts w:hint="eastAsia" w:ascii="宋体" w:hAnsi="宋体" w:eastAsia="宋体" w:cs="宋体"/>
          <w:color w:val="auto"/>
          <w:szCs w:val="21"/>
          <w:highlight w:val="none"/>
        </w:rPr>
      </w:pPr>
    </w:p>
    <w:p w14:paraId="258ADACB">
      <w:pPr>
        <w:pageBreakBefore w:val="0"/>
        <w:widowControl/>
        <w:overflowPunct/>
        <w:topLinePunct w:val="0"/>
        <w:bidi w:val="0"/>
        <w:spacing w:line="360" w:lineRule="auto"/>
        <w:ind w:right="-147" w:rightChars="-70"/>
        <w:jc w:val="center"/>
        <w:rPr>
          <w:rFonts w:hint="eastAsia" w:ascii="宋体" w:hAnsi="宋体" w:eastAsia="宋体" w:cs="宋体"/>
          <w:color w:val="auto"/>
          <w:szCs w:val="21"/>
          <w:highlight w:val="none"/>
        </w:rPr>
      </w:pPr>
    </w:p>
    <w:p w14:paraId="438D6162">
      <w:pPr>
        <w:pageBreakBefore w:val="0"/>
        <w:widowControl/>
        <w:overflowPunct/>
        <w:topLinePunct w:val="0"/>
        <w:bidi w:val="0"/>
        <w:spacing w:line="360" w:lineRule="auto"/>
        <w:ind w:right="-147" w:rightChars="-70"/>
        <w:jc w:val="center"/>
        <w:rPr>
          <w:rFonts w:hint="eastAsia" w:ascii="宋体" w:hAnsi="宋体" w:eastAsia="宋体" w:cs="宋体"/>
          <w:color w:val="auto"/>
          <w:szCs w:val="21"/>
          <w:highlight w:val="none"/>
        </w:rPr>
      </w:pPr>
    </w:p>
    <w:p w14:paraId="1D6D1291">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szCs w:val="21"/>
          <w:highlight w:val="none"/>
        </w:rPr>
        <w:br w:type="page"/>
      </w:r>
    </w:p>
    <w:p w14:paraId="05AB0A33">
      <w:pPr>
        <w:pageBreakBefore w:val="0"/>
        <w:widowControl/>
        <w:numPr>
          <w:ilvl w:val="0"/>
          <w:numId w:val="0"/>
        </w:numPr>
        <w:overflowPunct/>
        <w:topLinePunct w:val="0"/>
        <w:bidi w:val="0"/>
        <w:spacing w:line="360" w:lineRule="auto"/>
        <w:ind w:right="-147" w:rightChars="-70"/>
        <w:jc w:val="center"/>
        <w:rPr>
          <w:rFonts w:hint="eastAsia" w:ascii="宋体" w:hAnsi="宋体" w:eastAsia="宋体" w:cs="宋体"/>
          <w:b/>
          <w:color w:val="auto"/>
          <w:sz w:val="28"/>
          <w:szCs w:val="28"/>
          <w:highlight w:val="none"/>
          <w:lang w:val="en-US" w:eastAsia="zh-CN"/>
        </w:rPr>
      </w:pPr>
    </w:p>
    <w:p w14:paraId="5D77ABF1">
      <w:pPr>
        <w:pageBreakBefore w:val="0"/>
        <w:widowControl/>
        <w:numPr>
          <w:ilvl w:val="0"/>
          <w:numId w:val="0"/>
        </w:numPr>
        <w:overflowPunct/>
        <w:topLinePunct w:val="0"/>
        <w:bidi w:val="0"/>
        <w:spacing w:line="360" w:lineRule="auto"/>
        <w:ind w:right="-147" w:rightChars="-7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二、</w:t>
      </w:r>
      <w:r>
        <w:rPr>
          <w:rFonts w:hint="eastAsia" w:ascii="宋体" w:hAnsi="宋体" w:eastAsia="宋体" w:cs="宋体"/>
          <w:b/>
          <w:color w:val="auto"/>
          <w:sz w:val="28"/>
          <w:szCs w:val="28"/>
          <w:highlight w:val="none"/>
        </w:rPr>
        <w:t>建设工程项目管理承诺书</w:t>
      </w:r>
    </w:p>
    <w:p w14:paraId="51F3E6E5">
      <w:pPr>
        <w:pStyle w:val="43"/>
        <w:pageBreakBefore w:val="0"/>
        <w:overflowPunct/>
        <w:topLinePunct w:val="0"/>
        <w:bidi w:val="0"/>
        <w:spacing w:line="360" w:lineRule="auto"/>
        <w:rPr>
          <w:rFonts w:hint="eastAsia" w:ascii="宋体" w:hAnsi="宋体" w:eastAsia="宋体" w:cs="宋体"/>
          <w:color w:val="auto"/>
          <w:highlight w:val="none"/>
        </w:rPr>
      </w:pPr>
    </w:p>
    <w:p w14:paraId="0F660B17">
      <w:pPr>
        <w:pStyle w:val="43"/>
        <w:pageBreakBefore w:val="0"/>
        <w:overflowPunct/>
        <w:topLinePunct w:val="0"/>
        <w:bidi w:val="0"/>
        <w:spacing w:line="360" w:lineRule="auto"/>
        <w:jc w:val="center"/>
        <w:rPr>
          <w:rFonts w:hint="eastAsia" w:ascii="宋体" w:hAnsi="宋体" w:eastAsia="宋体" w:cs="宋体"/>
          <w:b w:val="0"/>
          <w:bCs w:val="0"/>
          <w:color w:val="auto"/>
          <w:kern w:val="2"/>
          <w:sz w:val="28"/>
          <w:szCs w:val="28"/>
          <w:highlight w:val="none"/>
          <w:lang w:val="en-US" w:eastAsia="zh-CN" w:bidi="ar-SA"/>
        </w:rPr>
      </w:pPr>
      <w:r>
        <w:rPr>
          <w:rFonts w:hint="eastAsia" w:ascii="宋体" w:hAnsi="宋体" w:eastAsia="宋体" w:cs="宋体"/>
          <w:b w:val="0"/>
          <w:bCs w:val="0"/>
          <w:color w:val="auto"/>
          <w:kern w:val="2"/>
          <w:sz w:val="28"/>
          <w:szCs w:val="28"/>
          <w:highlight w:val="none"/>
          <w:lang w:val="en-US" w:eastAsia="zh-CN" w:bidi="ar-SA"/>
        </w:rPr>
        <w:t>（格式自拟）</w:t>
      </w:r>
    </w:p>
    <w:p w14:paraId="0230E5B5">
      <w:pPr>
        <w:pStyle w:val="43"/>
        <w:pageBreakBefore w:val="0"/>
        <w:overflowPunct/>
        <w:topLinePunct w:val="0"/>
        <w:bidi w:val="0"/>
        <w:spacing w:line="360" w:lineRule="auto"/>
        <w:jc w:val="right"/>
        <w:rPr>
          <w:rFonts w:hint="eastAsia" w:ascii="宋体" w:hAnsi="宋体" w:eastAsia="宋体" w:cs="宋体"/>
          <w:color w:val="auto"/>
          <w:szCs w:val="21"/>
          <w:highlight w:val="none"/>
        </w:rPr>
      </w:pPr>
    </w:p>
    <w:p w14:paraId="62B58EBB">
      <w:pPr>
        <w:pageBreakBefore w:val="0"/>
        <w:overflowPunct/>
        <w:topLinePunct w:val="0"/>
        <w:bidi w:val="0"/>
        <w:spacing w:line="360" w:lineRule="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br w:type="page"/>
      </w:r>
    </w:p>
    <w:p w14:paraId="2F02016C">
      <w:pPr>
        <w:pageBreakBefore w:val="0"/>
        <w:overflowPunct/>
        <w:topLinePunct w:val="0"/>
        <w:bidi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三、</w:t>
      </w:r>
      <w:r>
        <w:rPr>
          <w:rFonts w:hint="eastAsia" w:ascii="宋体" w:hAnsi="宋体" w:eastAsia="宋体" w:cs="宋体"/>
          <w:b/>
          <w:color w:val="auto"/>
          <w:sz w:val="28"/>
          <w:szCs w:val="28"/>
          <w:highlight w:val="none"/>
        </w:rPr>
        <w:t>施工组织设计</w:t>
      </w:r>
    </w:p>
    <w:p w14:paraId="05D7856F">
      <w:pPr>
        <w:pStyle w:val="40"/>
        <w:pageBreakBefore w:val="0"/>
        <w:numPr>
          <w:ilvl w:val="0"/>
          <w:numId w:val="0"/>
        </w:numPr>
        <w:overflowPunct/>
        <w:topLinePunct w:val="0"/>
        <w:bidi w:val="0"/>
        <w:spacing w:line="360" w:lineRule="auto"/>
        <w:ind w:leftChars="200"/>
        <w:rPr>
          <w:rFonts w:hint="eastAsia" w:ascii="宋体" w:hAnsi="宋体" w:eastAsia="宋体" w:cs="宋体"/>
          <w:color w:val="auto"/>
          <w:highlight w:val="none"/>
        </w:rPr>
      </w:pPr>
    </w:p>
    <w:p w14:paraId="0434C5B7">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竞标人</w:t>
      </w:r>
      <w:r>
        <w:rPr>
          <w:rFonts w:hint="eastAsia" w:ascii="宋体" w:hAnsi="宋体" w:eastAsia="宋体" w:cs="宋体"/>
          <w:color w:val="auto"/>
          <w:highlight w:val="none"/>
        </w:rPr>
        <w:t>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18587F04">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2.施工组织设计除采用文字表述外可附下列图表，图表及格式要求附后。</w:t>
      </w:r>
    </w:p>
    <w:p w14:paraId="2A959F30">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附表一  拟投入本工程的主要施工设备表</w:t>
      </w:r>
    </w:p>
    <w:p w14:paraId="2C53ACB7">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附表二  拟配备本工程的试验和检测仪器设备表</w:t>
      </w:r>
    </w:p>
    <w:p w14:paraId="3BD01DB3">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附表三  劳动力计划表</w:t>
      </w:r>
    </w:p>
    <w:p w14:paraId="77B5D0B6">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附表四  计划开、竣工日期和施工进度网络图</w:t>
      </w:r>
    </w:p>
    <w:p w14:paraId="0F4C6F8A">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附表五  施工总平面图</w:t>
      </w:r>
    </w:p>
    <w:p w14:paraId="19B73243">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附表六  临时用地表</w:t>
      </w:r>
    </w:p>
    <w:p w14:paraId="211E7424">
      <w:pPr>
        <w:pageBreakBefore w:val="0"/>
        <w:overflowPunct/>
        <w:topLinePunct w:val="0"/>
        <w:bidi w:val="0"/>
        <w:spacing w:line="360" w:lineRule="auto"/>
        <w:rPr>
          <w:rFonts w:hint="eastAsia" w:ascii="宋体" w:hAnsi="宋体" w:eastAsia="宋体" w:cs="宋体"/>
          <w:color w:val="auto"/>
          <w:highlight w:val="none"/>
        </w:rPr>
      </w:pPr>
    </w:p>
    <w:p w14:paraId="40B58A6D">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附表一：拟投入本工程的主要施工设备表</w:t>
      </w:r>
    </w:p>
    <w:tbl>
      <w:tblPr>
        <w:tblStyle w:val="22"/>
        <w:tblW w:w="83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859"/>
        <w:gridCol w:w="859"/>
        <w:gridCol w:w="860"/>
        <w:gridCol w:w="859"/>
        <w:gridCol w:w="859"/>
        <w:gridCol w:w="860"/>
        <w:gridCol w:w="859"/>
        <w:gridCol w:w="859"/>
        <w:gridCol w:w="860"/>
      </w:tblGrid>
      <w:tr w14:paraId="70AEE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6" w:hRule="atLeast"/>
        </w:trPr>
        <w:tc>
          <w:tcPr>
            <w:tcW w:w="660" w:type="dxa"/>
            <w:vAlign w:val="center"/>
          </w:tcPr>
          <w:p w14:paraId="7C31A1CD">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859" w:type="dxa"/>
            <w:vAlign w:val="center"/>
          </w:tcPr>
          <w:p w14:paraId="30C2F796">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设备名称</w:t>
            </w:r>
          </w:p>
        </w:tc>
        <w:tc>
          <w:tcPr>
            <w:tcW w:w="859" w:type="dxa"/>
            <w:vAlign w:val="center"/>
          </w:tcPr>
          <w:p w14:paraId="215177D9">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型号规格</w:t>
            </w:r>
          </w:p>
        </w:tc>
        <w:tc>
          <w:tcPr>
            <w:tcW w:w="860" w:type="dxa"/>
            <w:vAlign w:val="center"/>
          </w:tcPr>
          <w:p w14:paraId="6517A832">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859" w:type="dxa"/>
            <w:vAlign w:val="center"/>
          </w:tcPr>
          <w:p w14:paraId="51F71041">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国别产地</w:t>
            </w:r>
          </w:p>
        </w:tc>
        <w:tc>
          <w:tcPr>
            <w:tcW w:w="859" w:type="dxa"/>
            <w:vAlign w:val="center"/>
          </w:tcPr>
          <w:p w14:paraId="1BF7FCD1">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制造年份</w:t>
            </w:r>
          </w:p>
        </w:tc>
        <w:tc>
          <w:tcPr>
            <w:tcW w:w="860" w:type="dxa"/>
            <w:vAlign w:val="center"/>
          </w:tcPr>
          <w:p w14:paraId="03C64EBC">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额定功率</w:t>
            </w:r>
          </w:p>
          <w:p w14:paraId="523E3894">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KW ）</w:t>
            </w:r>
          </w:p>
        </w:tc>
        <w:tc>
          <w:tcPr>
            <w:tcW w:w="859" w:type="dxa"/>
            <w:vAlign w:val="center"/>
          </w:tcPr>
          <w:p w14:paraId="516F0D30">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生产能力</w:t>
            </w:r>
          </w:p>
        </w:tc>
        <w:tc>
          <w:tcPr>
            <w:tcW w:w="859" w:type="dxa"/>
            <w:vAlign w:val="center"/>
          </w:tcPr>
          <w:p w14:paraId="3593C06A">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用于施工部位</w:t>
            </w:r>
          </w:p>
        </w:tc>
        <w:tc>
          <w:tcPr>
            <w:tcW w:w="860" w:type="dxa"/>
            <w:vAlign w:val="center"/>
          </w:tcPr>
          <w:p w14:paraId="569072EE">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07E9F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660" w:type="dxa"/>
            <w:vAlign w:val="center"/>
          </w:tcPr>
          <w:p w14:paraId="0A093369">
            <w:pPr>
              <w:pageBreakBefore w:val="0"/>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859" w:type="dxa"/>
            <w:vAlign w:val="center"/>
          </w:tcPr>
          <w:p w14:paraId="493CDFC1">
            <w:pPr>
              <w:pageBreakBefore w:val="0"/>
              <w:overflowPunct/>
              <w:topLinePunct w:val="0"/>
              <w:bidi w:val="0"/>
              <w:spacing w:line="360" w:lineRule="auto"/>
              <w:ind w:firstLine="420" w:firstLineChars="200"/>
              <w:jc w:val="center"/>
              <w:rPr>
                <w:rFonts w:hint="eastAsia" w:ascii="宋体" w:hAnsi="宋体" w:eastAsia="宋体" w:cs="宋体"/>
                <w:color w:val="auto"/>
                <w:szCs w:val="21"/>
                <w:highlight w:val="none"/>
              </w:rPr>
            </w:pPr>
          </w:p>
        </w:tc>
        <w:tc>
          <w:tcPr>
            <w:tcW w:w="859" w:type="dxa"/>
            <w:vAlign w:val="center"/>
          </w:tcPr>
          <w:p w14:paraId="624CF777">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860" w:type="dxa"/>
            <w:vAlign w:val="center"/>
          </w:tcPr>
          <w:p w14:paraId="33366017">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859" w:type="dxa"/>
            <w:vAlign w:val="center"/>
          </w:tcPr>
          <w:p w14:paraId="1CE0D5F1">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859" w:type="dxa"/>
            <w:vAlign w:val="center"/>
          </w:tcPr>
          <w:p w14:paraId="0AD332A4">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860" w:type="dxa"/>
            <w:vAlign w:val="center"/>
          </w:tcPr>
          <w:p w14:paraId="21973B67">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859" w:type="dxa"/>
            <w:vAlign w:val="center"/>
          </w:tcPr>
          <w:p w14:paraId="35BA5671">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859" w:type="dxa"/>
            <w:vAlign w:val="center"/>
          </w:tcPr>
          <w:p w14:paraId="0BFDC704">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860" w:type="dxa"/>
            <w:vAlign w:val="center"/>
          </w:tcPr>
          <w:p w14:paraId="4B1E87B9">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3FE86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660" w:type="dxa"/>
            <w:vAlign w:val="center"/>
          </w:tcPr>
          <w:p w14:paraId="3C907E2D">
            <w:pPr>
              <w:pageBreakBefore w:val="0"/>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N</w:t>
            </w:r>
          </w:p>
        </w:tc>
        <w:tc>
          <w:tcPr>
            <w:tcW w:w="859" w:type="dxa"/>
            <w:vAlign w:val="center"/>
          </w:tcPr>
          <w:p w14:paraId="2EFDF8B6">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859" w:type="dxa"/>
            <w:vAlign w:val="center"/>
          </w:tcPr>
          <w:p w14:paraId="7F2AB392">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860" w:type="dxa"/>
            <w:vAlign w:val="center"/>
          </w:tcPr>
          <w:p w14:paraId="01E38FFE">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859" w:type="dxa"/>
            <w:vAlign w:val="center"/>
          </w:tcPr>
          <w:p w14:paraId="57FB81DF">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859" w:type="dxa"/>
            <w:vAlign w:val="center"/>
          </w:tcPr>
          <w:p w14:paraId="0C87395E">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860" w:type="dxa"/>
            <w:vAlign w:val="center"/>
          </w:tcPr>
          <w:p w14:paraId="3581A91D">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859" w:type="dxa"/>
            <w:vAlign w:val="center"/>
          </w:tcPr>
          <w:p w14:paraId="153E6361">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859" w:type="dxa"/>
            <w:vAlign w:val="center"/>
          </w:tcPr>
          <w:p w14:paraId="4F8C8F22">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860" w:type="dxa"/>
            <w:vAlign w:val="center"/>
          </w:tcPr>
          <w:p w14:paraId="7C72B042">
            <w:pPr>
              <w:pageBreakBefore w:val="0"/>
              <w:overflowPunct/>
              <w:topLinePunct w:val="0"/>
              <w:bidi w:val="0"/>
              <w:spacing w:line="360" w:lineRule="auto"/>
              <w:jc w:val="center"/>
              <w:rPr>
                <w:rFonts w:hint="eastAsia" w:ascii="宋体" w:hAnsi="宋体" w:eastAsia="宋体" w:cs="宋体"/>
                <w:color w:val="auto"/>
                <w:szCs w:val="21"/>
                <w:highlight w:val="none"/>
              </w:rPr>
            </w:pPr>
          </w:p>
        </w:tc>
      </w:tr>
    </w:tbl>
    <w:p w14:paraId="60A6687D">
      <w:pPr>
        <w:pageBreakBefore w:val="0"/>
        <w:overflowPunct/>
        <w:topLinePunct w:val="0"/>
        <w:bidi w:val="0"/>
        <w:spacing w:line="360" w:lineRule="auto"/>
        <w:rPr>
          <w:rFonts w:hint="eastAsia" w:ascii="宋体" w:hAnsi="宋体" w:eastAsia="宋体" w:cs="宋体"/>
          <w:color w:val="auto"/>
          <w:highlight w:val="none"/>
        </w:rPr>
      </w:pPr>
    </w:p>
    <w:p w14:paraId="04420F04">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附表二：拟配备本工程的试验和检测仪器设备表</w:t>
      </w:r>
    </w:p>
    <w:tbl>
      <w:tblPr>
        <w:tblStyle w:val="22"/>
        <w:tblW w:w="85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1003"/>
        <w:gridCol w:w="1003"/>
        <w:gridCol w:w="1003"/>
        <w:gridCol w:w="1003"/>
        <w:gridCol w:w="1003"/>
        <w:gridCol w:w="1003"/>
        <w:gridCol w:w="1003"/>
        <w:gridCol w:w="1003"/>
      </w:tblGrid>
      <w:tr w14:paraId="45FB9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6" w:hRule="atLeast"/>
        </w:trPr>
        <w:tc>
          <w:tcPr>
            <w:tcW w:w="528" w:type="dxa"/>
            <w:vAlign w:val="center"/>
          </w:tcPr>
          <w:p w14:paraId="4BC5DE4D">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003" w:type="dxa"/>
            <w:vAlign w:val="center"/>
          </w:tcPr>
          <w:p w14:paraId="4940778F">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仪器设备</w:t>
            </w:r>
          </w:p>
          <w:p w14:paraId="5ED2B3F6">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w:t>
            </w:r>
          </w:p>
        </w:tc>
        <w:tc>
          <w:tcPr>
            <w:tcW w:w="1003" w:type="dxa"/>
            <w:vAlign w:val="center"/>
          </w:tcPr>
          <w:p w14:paraId="5F1630EB">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型号</w:t>
            </w:r>
          </w:p>
          <w:p w14:paraId="41B4B062">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规格</w:t>
            </w:r>
          </w:p>
        </w:tc>
        <w:tc>
          <w:tcPr>
            <w:tcW w:w="1003" w:type="dxa"/>
            <w:vAlign w:val="center"/>
          </w:tcPr>
          <w:p w14:paraId="2CDD2B11">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1003" w:type="dxa"/>
            <w:vAlign w:val="center"/>
          </w:tcPr>
          <w:p w14:paraId="22985A87">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国别</w:t>
            </w:r>
          </w:p>
          <w:p w14:paraId="0CEBBF66">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产地</w:t>
            </w:r>
          </w:p>
        </w:tc>
        <w:tc>
          <w:tcPr>
            <w:tcW w:w="1003" w:type="dxa"/>
            <w:vAlign w:val="center"/>
          </w:tcPr>
          <w:p w14:paraId="618FAD5C">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制造年份</w:t>
            </w:r>
          </w:p>
        </w:tc>
        <w:tc>
          <w:tcPr>
            <w:tcW w:w="1003" w:type="dxa"/>
            <w:vAlign w:val="center"/>
          </w:tcPr>
          <w:p w14:paraId="4AF10F48">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已使用</w:t>
            </w:r>
          </w:p>
          <w:p w14:paraId="7A85B3EF">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台时数</w:t>
            </w:r>
          </w:p>
        </w:tc>
        <w:tc>
          <w:tcPr>
            <w:tcW w:w="1003" w:type="dxa"/>
            <w:vAlign w:val="center"/>
          </w:tcPr>
          <w:p w14:paraId="6CB81149">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用途</w:t>
            </w:r>
          </w:p>
        </w:tc>
        <w:tc>
          <w:tcPr>
            <w:tcW w:w="1003" w:type="dxa"/>
            <w:vAlign w:val="center"/>
          </w:tcPr>
          <w:p w14:paraId="5E9D369E">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2088B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528" w:type="dxa"/>
            <w:vAlign w:val="center"/>
          </w:tcPr>
          <w:p w14:paraId="185309CD">
            <w:pPr>
              <w:pageBreakBefore w:val="0"/>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1003" w:type="dxa"/>
            <w:vAlign w:val="center"/>
          </w:tcPr>
          <w:p w14:paraId="72975146">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tc>
        <w:tc>
          <w:tcPr>
            <w:tcW w:w="1003" w:type="dxa"/>
            <w:vAlign w:val="center"/>
          </w:tcPr>
          <w:p w14:paraId="7DC5A01B">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tc>
        <w:tc>
          <w:tcPr>
            <w:tcW w:w="1003" w:type="dxa"/>
            <w:vAlign w:val="center"/>
          </w:tcPr>
          <w:p w14:paraId="0717C4FA">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tc>
        <w:tc>
          <w:tcPr>
            <w:tcW w:w="1003" w:type="dxa"/>
            <w:vAlign w:val="center"/>
          </w:tcPr>
          <w:p w14:paraId="58B2F4ED">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tc>
        <w:tc>
          <w:tcPr>
            <w:tcW w:w="1003" w:type="dxa"/>
            <w:vAlign w:val="center"/>
          </w:tcPr>
          <w:p w14:paraId="6F032227">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tc>
        <w:tc>
          <w:tcPr>
            <w:tcW w:w="1003" w:type="dxa"/>
            <w:vAlign w:val="center"/>
          </w:tcPr>
          <w:p w14:paraId="5F888514">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tc>
        <w:tc>
          <w:tcPr>
            <w:tcW w:w="1003" w:type="dxa"/>
            <w:vAlign w:val="center"/>
          </w:tcPr>
          <w:p w14:paraId="6A76E74B">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tc>
        <w:tc>
          <w:tcPr>
            <w:tcW w:w="1003" w:type="dxa"/>
            <w:vAlign w:val="top"/>
          </w:tcPr>
          <w:p w14:paraId="1D2D330D">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tc>
      </w:tr>
      <w:tr w14:paraId="06DA6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528" w:type="dxa"/>
            <w:vAlign w:val="center"/>
          </w:tcPr>
          <w:p w14:paraId="6FD4B541">
            <w:pPr>
              <w:pageBreakBefore w:val="0"/>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N</w:t>
            </w:r>
          </w:p>
        </w:tc>
        <w:tc>
          <w:tcPr>
            <w:tcW w:w="1003" w:type="dxa"/>
            <w:vAlign w:val="center"/>
          </w:tcPr>
          <w:p w14:paraId="69022E14">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tc>
        <w:tc>
          <w:tcPr>
            <w:tcW w:w="1003" w:type="dxa"/>
            <w:vAlign w:val="center"/>
          </w:tcPr>
          <w:p w14:paraId="37608DD2">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tc>
        <w:tc>
          <w:tcPr>
            <w:tcW w:w="1003" w:type="dxa"/>
            <w:vAlign w:val="center"/>
          </w:tcPr>
          <w:p w14:paraId="2F50A0D5">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tc>
        <w:tc>
          <w:tcPr>
            <w:tcW w:w="1003" w:type="dxa"/>
            <w:vAlign w:val="center"/>
          </w:tcPr>
          <w:p w14:paraId="3D6D5B57">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tc>
        <w:tc>
          <w:tcPr>
            <w:tcW w:w="1003" w:type="dxa"/>
            <w:vAlign w:val="center"/>
          </w:tcPr>
          <w:p w14:paraId="05D1BED8">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tc>
        <w:tc>
          <w:tcPr>
            <w:tcW w:w="1003" w:type="dxa"/>
            <w:vAlign w:val="center"/>
          </w:tcPr>
          <w:p w14:paraId="047EC77C">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tc>
        <w:tc>
          <w:tcPr>
            <w:tcW w:w="1003" w:type="dxa"/>
            <w:vAlign w:val="center"/>
          </w:tcPr>
          <w:p w14:paraId="1AF9DA0B">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tc>
        <w:tc>
          <w:tcPr>
            <w:tcW w:w="1003" w:type="dxa"/>
            <w:vAlign w:val="top"/>
          </w:tcPr>
          <w:p w14:paraId="0749F6B7">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tc>
      </w:tr>
    </w:tbl>
    <w:p w14:paraId="2E05C9F9">
      <w:pPr>
        <w:pageBreakBefore w:val="0"/>
        <w:overflowPunct/>
        <w:topLinePunct w:val="0"/>
        <w:bidi w:val="0"/>
        <w:spacing w:line="360" w:lineRule="auto"/>
        <w:rPr>
          <w:rFonts w:hint="eastAsia" w:ascii="宋体" w:hAnsi="宋体" w:eastAsia="宋体" w:cs="宋体"/>
          <w:color w:val="auto"/>
          <w:highlight w:val="none"/>
        </w:rPr>
      </w:pPr>
    </w:p>
    <w:p w14:paraId="32E127EC">
      <w:pPr>
        <w:pageBreakBefore w:val="0"/>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highlight w:val="none"/>
        </w:rPr>
        <w:t>附表三：劳动力计划表</w:t>
      </w:r>
    </w:p>
    <w:p w14:paraId="2A17AD95">
      <w:pPr>
        <w:pageBreakBefore w:val="0"/>
        <w:overflowPunct/>
        <w:topLinePunct w:val="0"/>
        <w:bidi w:val="0"/>
        <w:spacing w:line="360" w:lineRule="auto"/>
        <w:ind w:firstLine="7245" w:firstLineChars="3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单位：人</w:t>
      </w:r>
    </w:p>
    <w:tbl>
      <w:tblPr>
        <w:tblStyle w:val="22"/>
        <w:tblW w:w="8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792"/>
        <w:gridCol w:w="1036"/>
        <w:gridCol w:w="1037"/>
        <w:gridCol w:w="1036"/>
        <w:gridCol w:w="1037"/>
        <w:gridCol w:w="1036"/>
        <w:gridCol w:w="1882"/>
      </w:tblGrid>
      <w:tr w14:paraId="797E0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03" w:type="dxa"/>
            <w:vAlign w:val="center"/>
          </w:tcPr>
          <w:p w14:paraId="6721586D">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工种</w:t>
            </w:r>
          </w:p>
        </w:tc>
        <w:tc>
          <w:tcPr>
            <w:tcW w:w="7856" w:type="dxa"/>
            <w:gridSpan w:val="7"/>
            <w:vAlign w:val="center"/>
          </w:tcPr>
          <w:p w14:paraId="228F0577">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按工程施工阶段投入劳动力情况</w:t>
            </w:r>
          </w:p>
        </w:tc>
      </w:tr>
      <w:tr w14:paraId="61468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03" w:type="dxa"/>
            <w:vAlign w:val="center"/>
          </w:tcPr>
          <w:p w14:paraId="13159B60">
            <w:pPr>
              <w:pageBreakBefore w:val="0"/>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792" w:type="dxa"/>
            <w:vAlign w:val="center"/>
          </w:tcPr>
          <w:p w14:paraId="15355275">
            <w:pPr>
              <w:pageBreakBefore w:val="0"/>
              <w:overflowPunct/>
              <w:topLinePunct w:val="0"/>
              <w:bidi w:val="0"/>
              <w:spacing w:line="360" w:lineRule="auto"/>
              <w:rPr>
                <w:rFonts w:hint="eastAsia" w:ascii="宋体" w:hAnsi="宋体" w:eastAsia="宋体" w:cs="宋体"/>
                <w:color w:val="auto"/>
                <w:szCs w:val="21"/>
                <w:highlight w:val="none"/>
              </w:rPr>
            </w:pPr>
          </w:p>
        </w:tc>
        <w:tc>
          <w:tcPr>
            <w:tcW w:w="1036" w:type="dxa"/>
            <w:vAlign w:val="center"/>
          </w:tcPr>
          <w:p w14:paraId="6C7B54C2">
            <w:pPr>
              <w:pageBreakBefore w:val="0"/>
              <w:overflowPunct/>
              <w:topLinePunct w:val="0"/>
              <w:bidi w:val="0"/>
              <w:spacing w:line="360" w:lineRule="auto"/>
              <w:rPr>
                <w:rFonts w:hint="eastAsia" w:ascii="宋体" w:hAnsi="宋体" w:eastAsia="宋体" w:cs="宋体"/>
                <w:color w:val="auto"/>
                <w:szCs w:val="21"/>
                <w:highlight w:val="none"/>
              </w:rPr>
            </w:pPr>
          </w:p>
        </w:tc>
        <w:tc>
          <w:tcPr>
            <w:tcW w:w="1037" w:type="dxa"/>
            <w:vAlign w:val="center"/>
          </w:tcPr>
          <w:p w14:paraId="7EEC3E51">
            <w:pPr>
              <w:pageBreakBefore w:val="0"/>
              <w:overflowPunct/>
              <w:topLinePunct w:val="0"/>
              <w:bidi w:val="0"/>
              <w:spacing w:line="360" w:lineRule="auto"/>
              <w:rPr>
                <w:rFonts w:hint="eastAsia" w:ascii="宋体" w:hAnsi="宋体" w:eastAsia="宋体" w:cs="宋体"/>
                <w:color w:val="auto"/>
                <w:szCs w:val="21"/>
                <w:highlight w:val="none"/>
              </w:rPr>
            </w:pPr>
          </w:p>
        </w:tc>
        <w:tc>
          <w:tcPr>
            <w:tcW w:w="1036" w:type="dxa"/>
            <w:vAlign w:val="center"/>
          </w:tcPr>
          <w:p w14:paraId="0D4C592D">
            <w:pPr>
              <w:pageBreakBefore w:val="0"/>
              <w:overflowPunct/>
              <w:topLinePunct w:val="0"/>
              <w:bidi w:val="0"/>
              <w:spacing w:line="360" w:lineRule="auto"/>
              <w:rPr>
                <w:rFonts w:hint="eastAsia" w:ascii="宋体" w:hAnsi="宋体" w:eastAsia="宋体" w:cs="宋体"/>
                <w:color w:val="auto"/>
                <w:szCs w:val="21"/>
                <w:highlight w:val="none"/>
              </w:rPr>
            </w:pPr>
          </w:p>
        </w:tc>
        <w:tc>
          <w:tcPr>
            <w:tcW w:w="1037" w:type="dxa"/>
            <w:vAlign w:val="center"/>
          </w:tcPr>
          <w:p w14:paraId="4E13A1B9">
            <w:pPr>
              <w:pageBreakBefore w:val="0"/>
              <w:overflowPunct/>
              <w:topLinePunct w:val="0"/>
              <w:bidi w:val="0"/>
              <w:spacing w:line="360" w:lineRule="auto"/>
              <w:rPr>
                <w:rFonts w:hint="eastAsia" w:ascii="宋体" w:hAnsi="宋体" w:eastAsia="宋体" w:cs="宋体"/>
                <w:color w:val="auto"/>
                <w:szCs w:val="21"/>
                <w:highlight w:val="none"/>
              </w:rPr>
            </w:pPr>
          </w:p>
        </w:tc>
        <w:tc>
          <w:tcPr>
            <w:tcW w:w="1036" w:type="dxa"/>
            <w:vAlign w:val="center"/>
          </w:tcPr>
          <w:p w14:paraId="7333EFE2">
            <w:pPr>
              <w:pageBreakBefore w:val="0"/>
              <w:overflowPunct/>
              <w:topLinePunct w:val="0"/>
              <w:bidi w:val="0"/>
              <w:spacing w:line="360" w:lineRule="auto"/>
              <w:rPr>
                <w:rFonts w:hint="eastAsia" w:ascii="宋体" w:hAnsi="宋体" w:eastAsia="宋体" w:cs="宋体"/>
                <w:color w:val="auto"/>
                <w:szCs w:val="21"/>
                <w:highlight w:val="none"/>
              </w:rPr>
            </w:pPr>
          </w:p>
        </w:tc>
        <w:tc>
          <w:tcPr>
            <w:tcW w:w="1882" w:type="dxa"/>
            <w:vAlign w:val="center"/>
          </w:tcPr>
          <w:p w14:paraId="0A155735">
            <w:pPr>
              <w:pageBreakBefore w:val="0"/>
              <w:overflowPunct/>
              <w:topLinePunct w:val="0"/>
              <w:bidi w:val="0"/>
              <w:spacing w:line="360" w:lineRule="auto"/>
              <w:rPr>
                <w:rFonts w:hint="eastAsia" w:ascii="宋体" w:hAnsi="宋体" w:eastAsia="宋体" w:cs="宋体"/>
                <w:color w:val="auto"/>
                <w:szCs w:val="21"/>
                <w:highlight w:val="none"/>
              </w:rPr>
            </w:pPr>
          </w:p>
        </w:tc>
      </w:tr>
      <w:tr w14:paraId="14757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703" w:type="dxa"/>
            <w:vAlign w:val="center"/>
          </w:tcPr>
          <w:p w14:paraId="54B4052D">
            <w:pPr>
              <w:pageBreakBefore w:val="0"/>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N</w:t>
            </w:r>
          </w:p>
        </w:tc>
        <w:tc>
          <w:tcPr>
            <w:tcW w:w="792" w:type="dxa"/>
            <w:vAlign w:val="center"/>
          </w:tcPr>
          <w:p w14:paraId="1FA43D14">
            <w:pPr>
              <w:pageBreakBefore w:val="0"/>
              <w:overflowPunct/>
              <w:topLinePunct w:val="0"/>
              <w:bidi w:val="0"/>
              <w:spacing w:line="360" w:lineRule="auto"/>
              <w:rPr>
                <w:rFonts w:hint="eastAsia" w:ascii="宋体" w:hAnsi="宋体" w:eastAsia="宋体" w:cs="宋体"/>
                <w:color w:val="auto"/>
                <w:szCs w:val="21"/>
                <w:highlight w:val="none"/>
              </w:rPr>
            </w:pPr>
          </w:p>
        </w:tc>
        <w:tc>
          <w:tcPr>
            <w:tcW w:w="1036" w:type="dxa"/>
            <w:vAlign w:val="center"/>
          </w:tcPr>
          <w:p w14:paraId="36B9E274">
            <w:pPr>
              <w:pageBreakBefore w:val="0"/>
              <w:overflowPunct/>
              <w:topLinePunct w:val="0"/>
              <w:bidi w:val="0"/>
              <w:spacing w:line="360" w:lineRule="auto"/>
              <w:rPr>
                <w:rFonts w:hint="eastAsia" w:ascii="宋体" w:hAnsi="宋体" w:eastAsia="宋体" w:cs="宋体"/>
                <w:color w:val="auto"/>
                <w:szCs w:val="21"/>
                <w:highlight w:val="none"/>
              </w:rPr>
            </w:pPr>
          </w:p>
        </w:tc>
        <w:tc>
          <w:tcPr>
            <w:tcW w:w="1037" w:type="dxa"/>
            <w:vAlign w:val="center"/>
          </w:tcPr>
          <w:p w14:paraId="77E88788">
            <w:pPr>
              <w:pageBreakBefore w:val="0"/>
              <w:overflowPunct/>
              <w:topLinePunct w:val="0"/>
              <w:bidi w:val="0"/>
              <w:spacing w:line="360" w:lineRule="auto"/>
              <w:rPr>
                <w:rFonts w:hint="eastAsia" w:ascii="宋体" w:hAnsi="宋体" w:eastAsia="宋体" w:cs="宋体"/>
                <w:color w:val="auto"/>
                <w:szCs w:val="21"/>
                <w:highlight w:val="none"/>
              </w:rPr>
            </w:pPr>
          </w:p>
        </w:tc>
        <w:tc>
          <w:tcPr>
            <w:tcW w:w="1036" w:type="dxa"/>
            <w:vAlign w:val="center"/>
          </w:tcPr>
          <w:p w14:paraId="6C2F2004">
            <w:pPr>
              <w:pageBreakBefore w:val="0"/>
              <w:overflowPunct/>
              <w:topLinePunct w:val="0"/>
              <w:bidi w:val="0"/>
              <w:spacing w:line="360" w:lineRule="auto"/>
              <w:rPr>
                <w:rFonts w:hint="eastAsia" w:ascii="宋体" w:hAnsi="宋体" w:eastAsia="宋体" w:cs="宋体"/>
                <w:color w:val="auto"/>
                <w:szCs w:val="21"/>
                <w:highlight w:val="none"/>
              </w:rPr>
            </w:pPr>
          </w:p>
        </w:tc>
        <w:tc>
          <w:tcPr>
            <w:tcW w:w="1037" w:type="dxa"/>
            <w:vAlign w:val="center"/>
          </w:tcPr>
          <w:p w14:paraId="28C21649">
            <w:pPr>
              <w:pageBreakBefore w:val="0"/>
              <w:overflowPunct/>
              <w:topLinePunct w:val="0"/>
              <w:bidi w:val="0"/>
              <w:spacing w:line="360" w:lineRule="auto"/>
              <w:rPr>
                <w:rFonts w:hint="eastAsia" w:ascii="宋体" w:hAnsi="宋体" w:eastAsia="宋体" w:cs="宋体"/>
                <w:color w:val="auto"/>
                <w:szCs w:val="21"/>
                <w:highlight w:val="none"/>
              </w:rPr>
            </w:pPr>
          </w:p>
        </w:tc>
        <w:tc>
          <w:tcPr>
            <w:tcW w:w="1036" w:type="dxa"/>
            <w:vAlign w:val="center"/>
          </w:tcPr>
          <w:p w14:paraId="756F6869">
            <w:pPr>
              <w:pageBreakBefore w:val="0"/>
              <w:overflowPunct/>
              <w:topLinePunct w:val="0"/>
              <w:bidi w:val="0"/>
              <w:spacing w:line="360" w:lineRule="auto"/>
              <w:rPr>
                <w:rFonts w:hint="eastAsia" w:ascii="宋体" w:hAnsi="宋体" w:eastAsia="宋体" w:cs="宋体"/>
                <w:color w:val="auto"/>
                <w:szCs w:val="21"/>
                <w:highlight w:val="none"/>
              </w:rPr>
            </w:pPr>
          </w:p>
        </w:tc>
        <w:tc>
          <w:tcPr>
            <w:tcW w:w="1882" w:type="dxa"/>
            <w:vAlign w:val="center"/>
          </w:tcPr>
          <w:p w14:paraId="12DBE5F0">
            <w:pPr>
              <w:pageBreakBefore w:val="0"/>
              <w:overflowPunct/>
              <w:topLinePunct w:val="0"/>
              <w:bidi w:val="0"/>
              <w:spacing w:line="360" w:lineRule="auto"/>
              <w:rPr>
                <w:rFonts w:hint="eastAsia" w:ascii="宋体" w:hAnsi="宋体" w:eastAsia="宋体" w:cs="宋体"/>
                <w:color w:val="auto"/>
                <w:szCs w:val="21"/>
                <w:highlight w:val="none"/>
              </w:rPr>
            </w:pPr>
          </w:p>
        </w:tc>
      </w:tr>
    </w:tbl>
    <w:p w14:paraId="6248A4B1">
      <w:pPr>
        <w:pageBreakBefore w:val="0"/>
        <w:overflowPunct/>
        <w:topLinePunct w:val="0"/>
        <w:bidi w:val="0"/>
        <w:spacing w:line="360" w:lineRule="auto"/>
        <w:rPr>
          <w:rFonts w:hint="eastAsia" w:ascii="宋体" w:hAnsi="宋体" w:eastAsia="宋体" w:cs="宋体"/>
          <w:color w:val="auto"/>
          <w:highlight w:val="none"/>
        </w:rPr>
      </w:pPr>
    </w:p>
    <w:p w14:paraId="27680AF7">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附表四：计划开、竣工日期和施工进度网络图</w:t>
      </w:r>
    </w:p>
    <w:p w14:paraId="3EF14C6A">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竞标人</w:t>
      </w:r>
      <w:r>
        <w:rPr>
          <w:rFonts w:hint="eastAsia" w:ascii="宋体" w:hAnsi="宋体" w:eastAsia="宋体" w:cs="宋体"/>
          <w:color w:val="auto"/>
          <w:highlight w:val="none"/>
        </w:rPr>
        <w:t>应提交的施工进度网络图或施工进度表，说明按《</w:t>
      </w:r>
      <w:r>
        <w:rPr>
          <w:rFonts w:hint="eastAsia" w:ascii="宋体" w:hAnsi="宋体" w:eastAsia="宋体" w:cs="宋体"/>
          <w:color w:val="auto"/>
          <w:highlight w:val="none"/>
          <w:lang w:eastAsia="zh-CN"/>
        </w:rPr>
        <w:t>竞争性磋商文件</w:t>
      </w:r>
      <w:r>
        <w:rPr>
          <w:rFonts w:hint="eastAsia" w:ascii="宋体" w:hAnsi="宋体" w:eastAsia="宋体" w:cs="宋体"/>
          <w:color w:val="auto"/>
          <w:highlight w:val="none"/>
        </w:rPr>
        <w:t>》要求的工期进行施工的各个关键日期。</w:t>
      </w:r>
      <w:r>
        <w:rPr>
          <w:rFonts w:hint="eastAsia" w:ascii="宋体" w:hAnsi="宋体" w:eastAsia="宋体" w:cs="宋体"/>
          <w:color w:val="auto"/>
          <w:highlight w:val="none"/>
          <w:lang w:val="en-US" w:eastAsia="zh-CN"/>
        </w:rPr>
        <w:t>成交</w:t>
      </w:r>
      <w:r>
        <w:rPr>
          <w:rFonts w:hint="eastAsia" w:ascii="宋体" w:hAnsi="宋体" w:eastAsia="宋体" w:cs="宋体"/>
          <w:color w:val="auto"/>
          <w:highlight w:val="none"/>
        </w:rPr>
        <w:t>的</w:t>
      </w:r>
      <w:r>
        <w:rPr>
          <w:rFonts w:hint="eastAsia" w:ascii="宋体" w:hAnsi="宋体" w:eastAsia="宋体" w:cs="宋体"/>
          <w:color w:val="auto"/>
          <w:highlight w:val="none"/>
          <w:lang w:eastAsia="zh-CN"/>
        </w:rPr>
        <w:t>竞标人</w:t>
      </w:r>
      <w:r>
        <w:rPr>
          <w:rFonts w:hint="eastAsia" w:ascii="宋体" w:hAnsi="宋体" w:eastAsia="宋体" w:cs="宋体"/>
          <w:color w:val="auto"/>
          <w:highlight w:val="none"/>
        </w:rPr>
        <w:t>还应按合同条件有关条款的要求提交详细的施工进度计划。</w:t>
      </w:r>
    </w:p>
    <w:p w14:paraId="4D089C64">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2.施工进度表可采用网络图（或横道图）表示，说明计划开工日期和各分项工程各阶段的完工日期和分包合同签订的日期。</w:t>
      </w:r>
    </w:p>
    <w:p w14:paraId="2EFE2E32">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3.施工进度计划应与施工组织设计相适应。</w:t>
      </w:r>
    </w:p>
    <w:p w14:paraId="045AA2A9">
      <w:pPr>
        <w:pageBreakBefore w:val="0"/>
        <w:overflowPunct/>
        <w:topLinePunct w:val="0"/>
        <w:bidi w:val="0"/>
        <w:spacing w:line="360" w:lineRule="auto"/>
        <w:rPr>
          <w:rFonts w:hint="eastAsia" w:ascii="宋体" w:hAnsi="宋体" w:eastAsia="宋体" w:cs="宋体"/>
          <w:color w:val="auto"/>
          <w:highlight w:val="none"/>
        </w:rPr>
      </w:pPr>
    </w:p>
    <w:p w14:paraId="0D249520">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附表五：施工总平面图</w:t>
      </w:r>
    </w:p>
    <w:p w14:paraId="3ECBBD76">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eastAsia="zh-CN"/>
        </w:rPr>
        <w:t>竞标人</w:t>
      </w:r>
      <w:r>
        <w:rPr>
          <w:rFonts w:hint="eastAsia" w:ascii="宋体" w:hAnsi="宋体" w:eastAsia="宋体" w:cs="宋体"/>
          <w:color w:val="auto"/>
          <w:highlight w:val="none"/>
        </w:rPr>
        <w:t>应递交一份施工总平面图，绘出现场临时设施布置图表并附文字说明，说明临时设施、加工车间、现场办公、设备及仓储、供电、供水、卫生、生活、道路、消防等设施的情况和布置。</w:t>
      </w:r>
    </w:p>
    <w:p w14:paraId="610AD6C7">
      <w:pPr>
        <w:pageBreakBefore w:val="0"/>
        <w:overflowPunct/>
        <w:topLinePunct w:val="0"/>
        <w:bidi w:val="0"/>
        <w:spacing w:line="360" w:lineRule="auto"/>
        <w:rPr>
          <w:rFonts w:hint="eastAsia" w:ascii="宋体" w:hAnsi="宋体" w:eastAsia="宋体" w:cs="宋体"/>
          <w:color w:val="auto"/>
          <w:highlight w:val="none"/>
        </w:rPr>
      </w:pPr>
    </w:p>
    <w:p w14:paraId="0307F3A8">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附表六：临时用地表</w:t>
      </w:r>
    </w:p>
    <w:p w14:paraId="3EBE376A">
      <w:pPr>
        <w:pageBreakBefore w:val="0"/>
        <w:overflowPunct/>
        <w:topLinePunct w:val="0"/>
        <w:bidi w:val="0"/>
        <w:spacing w:line="360" w:lineRule="auto"/>
        <w:rPr>
          <w:rFonts w:hint="eastAsia" w:ascii="宋体" w:hAnsi="宋体" w:eastAsia="宋体" w:cs="宋体"/>
          <w:color w:val="auto"/>
          <w:highlight w:val="none"/>
        </w:rPr>
      </w:pPr>
    </w:p>
    <w:tbl>
      <w:tblPr>
        <w:tblStyle w:val="22"/>
        <w:tblW w:w="89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5"/>
        <w:gridCol w:w="2225"/>
        <w:gridCol w:w="2225"/>
        <w:gridCol w:w="2225"/>
      </w:tblGrid>
      <w:tr w14:paraId="6473D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2225" w:type="dxa"/>
            <w:vAlign w:val="center"/>
          </w:tcPr>
          <w:p w14:paraId="2B9AD99D">
            <w:pPr>
              <w:pageBreakBefore w:val="0"/>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szCs w:val="21"/>
                <w:highlight w:val="none"/>
              </w:rPr>
              <w:t>用途</w:t>
            </w:r>
          </w:p>
        </w:tc>
        <w:tc>
          <w:tcPr>
            <w:tcW w:w="2225" w:type="dxa"/>
            <w:vAlign w:val="center"/>
          </w:tcPr>
          <w:p w14:paraId="76C3D6D2">
            <w:pPr>
              <w:pageBreakBefore w:val="0"/>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szCs w:val="21"/>
                <w:highlight w:val="none"/>
              </w:rPr>
              <w:t>面积（平方米）</w:t>
            </w:r>
          </w:p>
        </w:tc>
        <w:tc>
          <w:tcPr>
            <w:tcW w:w="2225" w:type="dxa"/>
            <w:vAlign w:val="center"/>
          </w:tcPr>
          <w:p w14:paraId="0EED087A">
            <w:pPr>
              <w:pageBreakBefore w:val="0"/>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szCs w:val="21"/>
                <w:highlight w:val="none"/>
              </w:rPr>
              <w:t>位置</w:t>
            </w:r>
          </w:p>
        </w:tc>
        <w:tc>
          <w:tcPr>
            <w:tcW w:w="2225" w:type="dxa"/>
            <w:vAlign w:val="center"/>
          </w:tcPr>
          <w:p w14:paraId="79F8B611">
            <w:pPr>
              <w:pageBreakBefore w:val="0"/>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szCs w:val="21"/>
                <w:highlight w:val="none"/>
              </w:rPr>
              <w:t>需用时间</w:t>
            </w:r>
          </w:p>
        </w:tc>
      </w:tr>
      <w:tr w14:paraId="12D6B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9" w:hRule="atLeast"/>
        </w:trPr>
        <w:tc>
          <w:tcPr>
            <w:tcW w:w="2225" w:type="dxa"/>
            <w:vAlign w:val="center"/>
          </w:tcPr>
          <w:p w14:paraId="7AB15E4D">
            <w:pPr>
              <w:pageBreakBefore w:val="0"/>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2225" w:type="dxa"/>
            <w:vAlign w:val="top"/>
          </w:tcPr>
          <w:p w14:paraId="27054295">
            <w:pPr>
              <w:pageBreakBefore w:val="0"/>
              <w:overflowPunct/>
              <w:topLinePunct w:val="0"/>
              <w:bidi w:val="0"/>
              <w:spacing w:line="360" w:lineRule="auto"/>
              <w:rPr>
                <w:rFonts w:hint="eastAsia" w:ascii="宋体" w:hAnsi="宋体" w:eastAsia="宋体" w:cs="宋体"/>
                <w:color w:val="auto"/>
                <w:highlight w:val="none"/>
              </w:rPr>
            </w:pPr>
          </w:p>
        </w:tc>
        <w:tc>
          <w:tcPr>
            <w:tcW w:w="2225" w:type="dxa"/>
            <w:vAlign w:val="top"/>
          </w:tcPr>
          <w:p w14:paraId="649C369C">
            <w:pPr>
              <w:pageBreakBefore w:val="0"/>
              <w:overflowPunct/>
              <w:topLinePunct w:val="0"/>
              <w:bidi w:val="0"/>
              <w:spacing w:line="360" w:lineRule="auto"/>
              <w:rPr>
                <w:rFonts w:hint="eastAsia" w:ascii="宋体" w:hAnsi="宋体" w:eastAsia="宋体" w:cs="宋体"/>
                <w:color w:val="auto"/>
                <w:highlight w:val="none"/>
              </w:rPr>
            </w:pPr>
          </w:p>
        </w:tc>
        <w:tc>
          <w:tcPr>
            <w:tcW w:w="2225" w:type="dxa"/>
            <w:vAlign w:val="top"/>
          </w:tcPr>
          <w:p w14:paraId="645CA05C">
            <w:pPr>
              <w:pageBreakBefore w:val="0"/>
              <w:overflowPunct/>
              <w:topLinePunct w:val="0"/>
              <w:bidi w:val="0"/>
              <w:spacing w:line="360" w:lineRule="auto"/>
              <w:rPr>
                <w:rFonts w:hint="eastAsia" w:ascii="宋体" w:hAnsi="宋体" w:eastAsia="宋体" w:cs="宋体"/>
                <w:color w:val="auto"/>
                <w:highlight w:val="none"/>
              </w:rPr>
            </w:pPr>
          </w:p>
        </w:tc>
      </w:tr>
      <w:tr w14:paraId="0FDD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2225" w:type="dxa"/>
            <w:vAlign w:val="center"/>
          </w:tcPr>
          <w:p w14:paraId="53610BC6">
            <w:pPr>
              <w:pageBreakBefore w:val="0"/>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N</w:t>
            </w:r>
          </w:p>
        </w:tc>
        <w:tc>
          <w:tcPr>
            <w:tcW w:w="2225" w:type="dxa"/>
            <w:vAlign w:val="top"/>
          </w:tcPr>
          <w:p w14:paraId="3739673F">
            <w:pPr>
              <w:pageBreakBefore w:val="0"/>
              <w:overflowPunct/>
              <w:topLinePunct w:val="0"/>
              <w:bidi w:val="0"/>
              <w:spacing w:line="360" w:lineRule="auto"/>
              <w:rPr>
                <w:rFonts w:hint="eastAsia" w:ascii="宋体" w:hAnsi="宋体" w:eastAsia="宋体" w:cs="宋体"/>
                <w:color w:val="auto"/>
                <w:highlight w:val="none"/>
              </w:rPr>
            </w:pPr>
          </w:p>
        </w:tc>
        <w:tc>
          <w:tcPr>
            <w:tcW w:w="2225" w:type="dxa"/>
            <w:vAlign w:val="top"/>
          </w:tcPr>
          <w:p w14:paraId="76A98C79">
            <w:pPr>
              <w:pageBreakBefore w:val="0"/>
              <w:overflowPunct/>
              <w:topLinePunct w:val="0"/>
              <w:bidi w:val="0"/>
              <w:spacing w:line="360" w:lineRule="auto"/>
              <w:rPr>
                <w:rFonts w:hint="eastAsia" w:ascii="宋体" w:hAnsi="宋体" w:eastAsia="宋体" w:cs="宋体"/>
                <w:color w:val="auto"/>
                <w:highlight w:val="none"/>
              </w:rPr>
            </w:pPr>
          </w:p>
        </w:tc>
        <w:tc>
          <w:tcPr>
            <w:tcW w:w="2225" w:type="dxa"/>
            <w:vAlign w:val="top"/>
          </w:tcPr>
          <w:p w14:paraId="75D8988B">
            <w:pPr>
              <w:pageBreakBefore w:val="0"/>
              <w:overflowPunct/>
              <w:topLinePunct w:val="0"/>
              <w:bidi w:val="0"/>
              <w:spacing w:line="360" w:lineRule="auto"/>
              <w:rPr>
                <w:rFonts w:hint="eastAsia" w:ascii="宋体" w:hAnsi="宋体" w:eastAsia="宋体" w:cs="宋体"/>
                <w:color w:val="auto"/>
                <w:highlight w:val="none"/>
              </w:rPr>
            </w:pPr>
          </w:p>
        </w:tc>
      </w:tr>
    </w:tbl>
    <w:p w14:paraId="45B0DD61">
      <w:pPr>
        <w:pageBreakBefore w:val="0"/>
        <w:overflowPunct/>
        <w:topLinePunct w:val="0"/>
        <w:bidi w:val="0"/>
        <w:spacing w:line="360" w:lineRule="auto"/>
        <w:rPr>
          <w:rFonts w:hint="eastAsia" w:ascii="宋体" w:hAnsi="宋体" w:eastAsia="宋体" w:cs="宋体"/>
          <w:color w:val="auto"/>
          <w:highlight w:val="none"/>
        </w:rPr>
      </w:pPr>
    </w:p>
    <w:p w14:paraId="5D0FBF76">
      <w:pPr>
        <w:pageBreakBefore w:val="0"/>
        <w:overflowPunct/>
        <w:topLinePunct w:val="0"/>
        <w:bidi w:val="0"/>
        <w:spacing w:line="360" w:lineRule="auto"/>
        <w:jc w:val="center"/>
        <w:rPr>
          <w:rFonts w:hint="eastAsia" w:ascii="宋体" w:hAnsi="宋体" w:eastAsia="宋体" w:cs="宋体"/>
          <w:color w:val="auto"/>
          <w:sz w:val="24"/>
          <w:highlight w:val="none"/>
        </w:rPr>
      </w:pPr>
    </w:p>
    <w:p w14:paraId="07BC619F">
      <w:pPr>
        <w:pageBreakBefore w:val="0"/>
        <w:overflowPunct/>
        <w:topLinePunct w:val="0"/>
        <w:bidi w:val="0"/>
        <w:spacing w:line="360" w:lineRule="auto"/>
        <w:rPr>
          <w:rFonts w:hint="eastAsia" w:ascii="宋体" w:hAnsi="宋体" w:eastAsia="宋体" w:cs="宋体"/>
          <w:b/>
          <w:color w:val="auto"/>
          <w:sz w:val="24"/>
          <w:highlight w:val="none"/>
        </w:rPr>
      </w:pPr>
    </w:p>
    <w:p w14:paraId="6DEF8835">
      <w:pPr>
        <w:pageBreakBefore w:val="0"/>
        <w:overflowPunct/>
        <w:topLinePunct w:val="0"/>
        <w:bidi w:val="0"/>
        <w:spacing w:line="360" w:lineRule="auto"/>
        <w:rPr>
          <w:rFonts w:hint="eastAsia" w:ascii="宋体" w:hAnsi="宋体" w:eastAsia="宋体" w:cs="宋体"/>
          <w:b/>
          <w:color w:val="auto"/>
          <w:sz w:val="24"/>
          <w:highlight w:val="none"/>
        </w:rPr>
      </w:pPr>
    </w:p>
    <w:p w14:paraId="5EDA7AB2">
      <w:pPr>
        <w:pageBreakBefore w:val="0"/>
        <w:overflowPunct/>
        <w:topLinePunct w:val="0"/>
        <w:bidi w:val="0"/>
        <w:spacing w:line="360" w:lineRule="auto"/>
        <w:rPr>
          <w:rFonts w:hint="eastAsia" w:ascii="宋体" w:hAnsi="宋体" w:eastAsia="宋体" w:cs="宋体"/>
          <w:b/>
          <w:color w:val="auto"/>
          <w:sz w:val="24"/>
          <w:highlight w:val="none"/>
        </w:rPr>
      </w:pPr>
    </w:p>
    <w:p w14:paraId="6B973B15">
      <w:pPr>
        <w:pageBreakBefore w:val="0"/>
        <w:overflowPunct/>
        <w:topLinePunct w:val="0"/>
        <w:bidi w:val="0"/>
        <w:spacing w:line="360" w:lineRule="auto"/>
        <w:rPr>
          <w:rFonts w:hint="eastAsia" w:ascii="宋体" w:hAnsi="宋体" w:eastAsia="宋体" w:cs="宋体"/>
          <w:b/>
          <w:color w:val="auto"/>
          <w:sz w:val="24"/>
          <w:highlight w:val="none"/>
        </w:rPr>
      </w:pPr>
    </w:p>
    <w:p w14:paraId="586BAF91">
      <w:pPr>
        <w:pageBreakBefore w:val="0"/>
        <w:overflowPunct/>
        <w:topLinePunct w:val="0"/>
        <w:bidi w:val="0"/>
        <w:spacing w:line="360" w:lineRule="auto"/>
        <w:rPr>
          <w:rFonts w:hint="eastAsia" w:ascii="宋体" w:hAnsi="宋体" w:eastAsia="宋体" w:cs="宋体"/>
          <w:b/>
          <w:color w:val="auto"/>
          <w:sz w:val="24"/>
          <w:highlight w:val="none"/>
        </w:rPr>
      </w:pPr>
    </w:p>
    <w:p w14:paraId="5ECD1A5D">
      <w:pPr>
        <w:pageBreakBefore w:val="0"/>
        <w:overflowPunct/>
        <w:topLinePunct w:val="0"/>
        <w:bidi w:val="0"/>
        <w:spacing w:line="360" w:lineRule="auto"/>
        <w:rPr>
          <w:rFonts w:hint="eastAsia" w:ascii="宋体" w:hAnsi="宋体" w:eastAsia="宋体" w:cs="宋体"/>
          <w:b/>
          <w:color w:val="auto"/>
          <w:sz w:val="24"/>
          <w:highlight w:val="none"/>
        </w:rPr>
      </w:pPr>
    </w:p>
    <w:p w14:paraId="45D4B0A3">
      <w:pPr>
        <w:pageBreakBefore w:val="0"/>
        <w:overflowPunct/>
        <w:topLinePunct w:val="0"/>
        <w:bidi w:val="0"/>
        <w:spacing w:line="360" w:lineRule="auto"/>
        <w:rPr>
          <w:rFonts w:hint="eastAsia" w:ascii="宋体" w:hAnsi="宋体" w:eastAsia="宋体" w:cs="宋体"/>
          <w:b/>
          <w:color w:val="auto"/>
          <w:sz w:val="24"/>
          <w:highlight w:val="none"/>
        </w:rPr>
      </w:pPr>
    </w:p>
    <w:p w14:paraId="0E4F5312">
      <w:pPr>
        <w:pageBreakBefore w:val="0"/>
        <w:overflowPunct/>
        <w:topLinePunct w:val="0"/>
        <w:bidi w:val="0"/>
        <w:spacing w:line="360" w:lineRule="auto"/>
        <w:rPr>
          <w:rFonts w:hint="eastAsia" w:ascii="宋体" w:hAnsi="宋体" w:eastAsia="宋体" w:cs="宋体"/>
          <w:b/>
          <w:color w:val="auto"/>
          <w:sz w:val="24"/>
          <w:highlight w:val="none"/>
        </w:rPr>
      </w:pPr>
    </w:p>
    <w:p w14:paraId="090684B7">
      <w:pPr>
        <w:pageBreakBefore w:val="0"/>
        <w:overflowPunct/>
        <w:topLinePunct w:val="0"/>
        <w:bidi w:val="0"/>
        <w:spacing w:line="360" w:lineRule="auto"/>
        <w:rPr>
          <w:rFonts w:hint="eastAsia" w:ascii="宋体" w:hAnsi="宋体" w:eastAsia="宋体" w:cs="宋体"/>
          <w:b/>
          <w:color w:val="auto"/>
          <w:sz w:val="24"/>
          <w:highlight w:val="none"/>
        </w:rPr>
      </w:pPr>
    </w:p>
    <w:p w14:paraId="3BF816E0">
      <w:pPr>
        <w:pageBreakBefore w:val="0"/>
        <w:overflowPunct/>
        <w:topLinePunct w:val="0"/>
        <w:bidi w:val="0"/>
        <w:spacing w:line="360" w:lineRule="auto"/>
        <w:rPr>
          <w:rFonts w:hint="eastAsia" w:ascii="宋体" w:hAnsi="宋体" w:eastAsia="宋体" w:cs="宋体"/>
          <w:b/>
          <w:color w:val="auto"/>
          <w:sz w:val="24"/>
          <w:highlight w:val="none"/>
        </w:rPr>
      </w:pPr>
    </w:p>
    <w:p w14:paraId="66B7D275">
      <w:pPr>
        <w:pageBreakBefore w:val="0"/>
        <w:overflowPunct/>
        <w:topLinePunct w:val="0"/>
        <w:bidi w:val="0"/>
        <w:spacing w:line="360" w:lineRule="auto"/>
        <w:rPr>
          <w:rFonts w:hint="eastAsia" w:ascii="宋体" w:hAnsi="宋体" w:eastAsia="宋体" w:cs="宋体"/>
          <w:b/>
          <w:color w:val="auto"/>
          <w:sz w:val="24"/>
          <w:highlight w:val="none"/>
        </w:rPr>
      </w:pPr>
    </w:p>
    <w:p w14:paraId="6F093D60">
      <w:pPr>
        <w:pStyle w:val="39"/>
        <w:spacing w:line="360" w:lineRule="auto"/>
        <w:rPr>
          <w:rFonts w:hint="eastAsia" w:ascii="宋体" w:hAnsi="宋体" w:eastAsia="宋体" w:cs="宋体"/>
          <w:b/>
          <w:color w:val="auto"/>
          <w:sz w:val="24"/>
          <w:highlight w:val="none"/>
        </w:rPr>
      </w:pPr>
    </w:p>
    <w:p w14:paraId="11E15C46">
      <w:pPr>
        <w:pStyle w:val="39"/>
        <w:spacing w:line="360" w:lineRule="auto"/>
        <w:rPr>
          <w:rFonts w:hint="eastAsia" w:ascii="宋体" w:hAnsi="宋体" w:eastAsia="宋体" w:cs="宋体"/>
          <w:b/>
          <w:color w:val="auto"/>
          <w:sz w:val="24"/>
          <w:highlight w:val="none"/>
        </w:rPr>
      </w:pPr>
    </w:p>
    <w:p w14:paraId="18B93B20">
      <w:pPr>
        <w:pStyle w:val="39"/>
        <w:spacing w:line="360" w:lineRule="auto"/>
        <w:rPr>
          <w:rFonts w:hint="eastAsia" w:ascii="宋体" w:hAnsi="宋体" w:eastAsia="宋体" w:cs="宋体"/>
          <w:b/>
          <w:color w:val="auto"/>
          <w:sz w:val="24"/>
          <w:highlight w:val="none"/>
        </w:rPr>
      </w:pPr>
    </w:p>
    <w:p w14:paraId="5336136B">
      <w:pPr>
        <w:pStyle w:val="39"/>
        <w:spacing w:line="360" w:lineRule="auto"/>
        <w:rPr>
          <w:rFonts w:hint="eastAsia" w:ascii="宋体" w:hAnsi="宋体" w:eastAsia="宋体" w:cs="宋体"/>
          <w:b/>
          <w:color w:val="auto"/>
          <w:sz w:val="24"/>
          <w:highlight w:val="none"/>
        </w:rPr>
      </w:pPr>
    </w:p>
    <w:p w14:paraId="6611AC8E">
      <w:pPr>
        <w:pageBreakBefore w:val="0"/>
        <w:overflowPunct/>
        <w:topLinePunct w:val="0"/>
        <w:bidi w:val="0"/>
        <w:spacing w:line="360" w:lineRule="auto"/>
        <w:rPr>
          <w:rFonts w:hint="eastAsia" w:ascii="宋体" w:hAnsi="宋体" w:eastAsia="宋体" w:cs="宋体"/>
          <w:b/>
          <w:color w:val="auto"/>
          <w:sz w:val="24"/>
          <w:highlight w:val="none"/>
        </w:rPr>
      </w:pPr>
    </w:p>
    <w:p w14:paraId="21D48BE0">
      <w:pPr>
        <w:pageBreakBefore w:val="0"/>
        <w:overflowPunct/>
        <w:topLinePunct w:val="0"/>
        <w:bidi w:val="0"/>
        <w:spacing w:line="360" w:lineRule="auto"/>
        <w:rPr>
          <w:rFonts w:hint="eastAsia" w:ascii="宋体" w:hAnsi="宋体" w:eastAsia="宋体" w:cs="宋体"/>
          <w:b/>
          <w:color w:val="auto"/>
          <w:sz w:val="24"/>
          <w:highlight w:val="none"/>
        </w:rPr>
      </w:pPr>
    </w:p>
    <w:p w14:paraId="4F1E3FEA">
      <w:pPr>
        <w:pStyle w:val="2"/>
        <w:spacing w:line="360" w:lineRule="auto"/>
        <w:rPr>
          <w:rFonts w:hint="eastAsia" w:ascii="宋体" w:hAnsi="宋体" w:eastAsia="宋体" w:cs="宋体"/>
          <w:b/>
          <w:color w:val="auto"/>
          <w:sz w:val="24"/>
          <w:highlight w:val="none"/>
        </w:rPr>
      </w:pPr>
    </w:p>
    <w:p w14:paraId="6767B37B">
      <w:pPr>
        <w:spacing w:line="360" w:lineRule="auto"/>
        <w:rPr>
          <w:rFonts w:hint="eastAsia" w:eastAsia="宋体"/>
          <w:color w:val="auto"/>
          <w:highlight w:val="none"/>
          <w:lang w:val="en-US" w:eastAsia="zh-CN"/>
        </w:rPr>
      </w:pPr>
    </w:p>
    <w:p w14:paraId="2F0DD0CC">
      <w:pPr>
        <w:pageBreakBefore w:val="0"/>
        <w:overflowPunct/>
        <w:topLinePunct w:val="0"/>
        <w:bidi w:val="0"/>
        <w:spacing w:line="360" w:lineRule="auto"/>
        <w:rPr>
          <w:rFonts w:hint="eastAsia" w:ascii="宋体" w:hAnsi="宋体" w:eastAsia="宋体" w:cs="宋体"/>
          <w:b/>
          <w:color w:val="auto"/>
          <w:sz w:val="24"/>
          <w:highlight w:val="none"/>
        </w:rPr>
      </w:pPr>
    </w:p>
    <w:p w14:paraId="17613C80">
      <w:pPr>
        <w:spacing w:line="360" w:lineRule="auto"/>
        <w:jc w:val="center"/>
        <w:outlineLvl w:val="9"/>
        <w:rPr>
          <w:rFonts w:hint="eastAsia" w:ascii="宋体" w:hAnsi="宋体" w:eastAsia="宋体" w:cs="宋体"/>
          <w:b/>
          <w:bCs w:val="0"/>
          <w:color w:val="auto"/>
          <w:sz w:val="28"/>
          <w:szCs w:val="28"/>
          <w:highlight w:val="none"/>
          <w:lang w:val="en-US" w:eastAsia="zh-CN"/>
        </w:rPr>
      </w:pPr>
      <w:bookmarkStart w:id="1409" w:name="_Toc24083"/>
      <w:bookmarkStart w:id="1410" w:name="_Toc14134"/>
      <w:bookmarkStart w:id="1411" w:name="_Toc13344"/>
      <w:r>
        <w:rPr>
          <w:rFonts w:hint="eastAsia" w:ascii="宋体" w:hAnsi="宋体" w:eastAsia="宋体" w:cs="宋体"/>
          <w:b/>
          <w:bCs w:val="0"/>
          <w:color w:val="auto"/>
          <w:sz w:val="28"/>
          <w:szCs w:val="28"/>
          <w:highlight w:val="none"/>
          <w:lang w:val="en-US" w:eastAsia="zh-CN"/>
        </w:rPr>
        <w:t>四、业绩</w:t>
      </w:r>
      <w:bookmarkEnd w:id="1409"/>
      <w:bookmarkEnd w:id="1410"/>
      <w:bookmarkEnd w:id="1411"/>
    </w:p>
    <w:p w14:paraId="172C1C86">
      <w:pPr>
        <w:pageBreakBefore w:val="0"/>
        <w:numPr>
          <w:ilvl w:val="0"/>
          <w:numId w:val="0"/>
        </w:numPr>
        <w:overflowPunct/>
        <w:topLinePunct w:val="0"/>
        <w:bidi w:val="0"/>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（格式自拟）</w:t>
      </w:r>
    </w:p>
    <w:p w14:paraId="29498D88">
      <w:pPr>
        <w:pStyle w:val="40"/>
        <w:pageBreakBefore w:val="0"/>
        <w:overflowPunct/>
        <w:topLinePunct w:val="0"/>
        <w:bidi w:val="0"/>
        <w:spacing w:line="360" w:lineRule="auto"/>
        <w:rPr>
          <w:rFonts w:hint="eastAsia" w:ascii="宋体" w:hAnsi="宋体" w:eastAsia="宋体" w:cs="宋体"/>
          <w:color w:val="auto"/>
          <w:highlight w:val="none"/>
          <w:lang w:val="en-US" w:eastAsia="zh-CN"/>
        </w:rPr>
      </w:pPr>
    </w:p>
    <w:p w14:paraId="614ED13B">
      <w:pPr>
        <w:pStyle w:val="41"/>
        <w:pageBreakBefore w:val="0"/>
        <w:overflowPunct/>
        <w:topLinePunct w:val="0"/>
        <w:bidi w:val="0"/>
        <w:spacing w:line="360" w:lineRule="auto"/>
        <w:rPr>
          <w:rFonts w:hint="eastAsia" w:ascii="宋体" w:hAnsi="宋体" w:eastAsia="宋体" w:cs="宋体"/>
          <w:color w:val="auto"/>
          <w:highlight w:val="none"/>
          <w:lang w:val="en-US" w:eastAsia="zh-CN"/>
        </w:rPr>
      </w:pPr>
    </w:p>
    <w:p w14:paraId="440352B2">
      <w:pPr>
        <w:pageBreakBefore w:val="0"/>
        <w:overflowPunct/>
        <w:topLinePunct w:val="0"/>
        <w:bidi w:val="0"/>
        <w:spacing w:line="360" w:lineRule="auto"/>
        <w:rPr>
          <w:rFonts w:hint="eastAsia" w:ascii="宋体" w:hAnsi="宋体" w:eastAsia="宋体" w:cs="宋体"/>
          <w:bCs w:val="0"/>
          <w:color w:val="auto"/>
          <w:sz w:val="28"/>
          <w:szCs w:val="28"/>
          <w:highlight w:val="none"/>
          <w:lang w:val="en-US" w:eastAsia="zh-CN"/>
        </w:rPr>
      </w:pPr>
      <w:r>
        <w:rPr>
          <w:rFonts w:hint="eastAsia" w:ascii="宋体" w:hAnsi="宋体" w:eastAsia="宋体" w:cs="宋体"/>
          <w:bCs w:val="0"/>
          <w:color w:val="auto"/>
          <w:sz w:val="28"/>
          <w:szCs w:val="28"/>
          <w:highlight w:val="none"/>
          <w:lang w:val="en-US" w:eastAsia="zh-CN"/>
        </w:rPr>
        <w:br w:type="page"/>
      </w:r>
    </w:p>
    <w:p w14:paraId="0259B0CA">
      <w:pPr>
        <w:numPr>
          <w:ilvl w:val="-1"/>
          <w:numId w:val="0"/>
        </w:numPr>
        <w:spacing w:line="360" w:lineRule="auto"/>
        <w:jc w:val="center"/>
        <w:outlineLvl w:val="9"/>
        <w:rPr>
          <w:rFonts w:hint="eastAsia" w:ascii="宋体" w:hAnsi="宋体" w:eastAsia="宋体" w:cs="宋体"/>
          <w:b/>
          <w:bCs w:val="0"/>
          <w:color w:val="auto"/>
          <w:sz w:val="28"/>
          <w:szCs w:val="28"/>
          <w:highlight w:val="none"/>
          <w:lang w:eastAsia="zh-CN"/>
        </w:rPr>
      </w:pPr>
      <w:bookmarkStart w:id="1412" w:name="_Toc19279"/>
      <w:bookmarkStart w:id="1413" w:name="_Toc449"/>
      <w:bookmarkStart w:id="1414" w:name="_Toc8534"/>
      <w:r>
        <w:rPr>
          <w:rFonts w:hint="eastAsia" w:ascii="宋体" w:hAnsi="宋体" w:eastAsia="宋体" w:cs="宋体"/>
          <w:b/>
          <w:bCs w:val="0"/>
          <w:color w:val="auto"/>
          <w:sz w:val="28"/>
          <w:szCs w:val="28"/>
          <w:highlight w:val="none"/>
          <w:lang w:val="en-US" w:eastAsia="zh-CN"/>
        </w:rPr>
        <w:t>五、</w:t>
      </w:r>
      <w:r>
        <w:rPr>
          <w:rFonts w:hint="eastAsia" w:ascii="宋体" w:hAnsi="宋体" w:eastAsia="宋体" w:cs="宋体"/>
          <w:b/>
          <w:bCs w:val="0"/>
          <w:color w:val="auto"/>
          <w:sz w:val="28"/>
          <w:szCs w:val="28"/>
          <w:highlight w:val="none"/>
        </w:rPr>
        <w:t>其他资料</w:t>
      </w:r>
      <w:r>
        <w:rPr>
          <w:rFonts w:hint="eastAsia" w:ascii="宋体" w:hAnsi="宋体" w:eastAsia="宋体" w:cs="宋体"/>
          <w:b/>
          <w:bCs w:val="0"/>
          <w:color w:val="auto"/>
          <w:sz w:val="28"/>
          <w:szCs w:val="28"/>
          <w:highlight w:val="none"/>
          <w:lang w:eastAsia="zh-CN"/>
        </w:rPr>
        <w:t>（如有）</w:t>
      </w:r>
      <w:bookmarkEnd w:id="1412"/>
      <w:bookmarkEnd w:id="1413"/>
      <w:bookmarkEnd w:id="1414"/>
    </w:p>
    <w:p w14:paraId="0AC2D4C3">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30297D4">
      <w:pPr>
        <w:pStyle w:val="3"/>
        <w:pageBreakBefore w:val="0"/>
        <w:overflowPunct/>
        <w:topLinePunct w:val="0"/>
        <w:bidi w:val="0"/>
        <w:spacing w:before="0" w:line="360" w:lineRule="auto"/>
        <w:jc w:val="center"/>
        <w:outlineLvl w:val="0"/>
        <w:rPr>
          <w:rFonts w:hint="eastAsia" w:ascii="宋体" w:hAnsi="宋体" w:eastAsia="宋体" w:cs="宋体"/>
          <w:color w:val="auto"/>
          <w:sz w:val="40"/>
          <w:szCs w:val="40"/>
          <w:highlight w:val="none"/>
        </w:rPr>
      </w:pPr>
      <w:bookmarkStart w:id="1415" w:name="_Toc5844"/>
      <w:bookmarkStart w:id="1416" w:name="_Toc2360"/>
      <w:bookmarkStart w:id="1417" w:name="_Toc22162"/>
      <w:bookmarkStart w:id="1418" w:name="_Toc6742"/>
      <w:r>
        <w:rPr>
          <w:rFonts w:hint="eastAsia" w:ascii="宋体" w:hAnsi="宋体" w:eastAsia="宋体" w:cs="宋体"/>
          <w:color w:val="auto"/>
          <w:sz w:val="40"/>
          <w:szCs w:val="40"/>
          <w:highlight w:val="none"/>
        </w:rPr>
        <w:t>第</w:t>
      </w:r>
      <w:r>
        <w:rPr>
          <w:rFonts w:hint="eastAsia" w:ascii="宋体" w:hAnsi="宋体" w:cs="宋体"/>
          <w:color w:val="auto"/>
          <w:sz w:val="40"/>
          <w:szCs w:val="40"/>
          <w:highlight w:val="none"/>
          <w:lang w:val="en-US" w:eastAsia="zh-CN"/>
        </w:rPr>
        <w:t>九</w:t>
      </w:r>
      <w:r>
        <w:rPr>
          <w:rFonts w:hint="eastAsia" w:ascii="宋体" w:hAnsi="宋体" w:eastAsia="宋体" w:cs="宋体"/>
          <w:color w:val="auto"/>
          <w:sz w:val="40"/>
          <w:szCs w:val="40"/>
          <w:highlight w:val="none"/>
        </w:rPr>
        <w:t>章  评标办法</w:t>
      </w:r>
      <w:bookmarkEnd w:id="1415"/>
      <w:bookmarkEnd w:id="1416"/>
      <w:bookmarkEnd w:id="1417"/>
      <w:bookmarkEnd w:id="1418"/>
    </w:p>
    <w:p w14:paraId="5DD7EAEC">
      <w:pPr>
        <w:pageBreakBefore w:val="0"/>
        <w:widowControl w:val="0"/>
        <w:overflowPunct/>
        <w:topLinePunct w:val="0"/>
        <w:bidi w:val="0"/>
        <w:spacing w:after="120" w:line="360" w:lineRule="auto"/>
        <w:jc w:val="center"/>
        <w:rPr>
          <w:rFonts w:hint="eastAsia" w:ascii="宋体" w:hAnsi="宋体" w:eastAsia="宋体" w:cs="宋体"/>
          <w:color w:val="auto"/>
          <w:kern w:val="2"/>
          <w:sz w:val="21"/>
          <w:szCs w:val="24"/>
          <w:highlight w:val="none"/>
          <w:lang w:val="en-US" w:eastAsia="zh-CN" w:bidi="ar-SA"/>
        </w:rPr>
      </w:pPr>
      <w:bookmarkStart w:id="1419" w:name="_Toc440877588"/>
      <w:r>
        <w:rPr>
          <w:rFonts w:hint="eastAsia" w:ascii="宋体" w:hAnsi="宋体" w:eastAsia="宋体" w:cs="宋体"/>
          <w:b/>
          <w:color w:val="auto"/>
          <w:kern w:val="2"/>
          <w:sz w:val="24"/>
          <w:szCs w:val="24"/>
          <w:highlight w:val="none"/>
          <w:lang w:val="en-US" w:eastAsia="zh-CN" w:bidi="ar-SA"/>
        </w:rPr>
        <w:t>评分办法前附表</w:t>
      </w:r>
    </w:p>
    <w:tbl>
      <w:tblPr>
        <w:tblStyle w:val="22"/>
        <w:tblW w:w="88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717"/>
        <w:gridCol w:w="1418"/>
        <w:gridCol w:w="6047"/>
      </w:tblGrid>
      <w:tr w14:paraId="6DEBD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373" w:type="dxa"/>
            <w:gridSpan w:val="2"/>
            <w:vAlign w:val="center"/>
          </w:tcPr>
          <w:p w14:paraId="585AAC62">
            <w:pPr>
              <w:pageBreakBefore w:val="0"/>
              <w:overflowPunct/>
              <w:topLinePunct w:val="0"/>
              <w:autoSpaceDE w:val="0"/>
              <w:autoSpaceDN w:val="0"/>
              <w:bidi w:val="0"/>
              <w:adjustRightInd w:val="0"/>
              <w:spacing w:line="360" w:lineRule="auto"/>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条款名称</w:t>
            </w:r>
          </w:p>
        </w:tc>
        <w:tc>
          <w:tcPr>
            <w:tcW w:w="1418" w:type="dxa"/>
            <w:vAlign w:val="center"/>
          </w:tcPr>
          <w:p w14:paraId="160E73C3">
            <w:pPr>
              <w:pageBreakBefore w:val="0"/>
              <w:overflowPunct/>
              <w:topLinePunct w:val="0"/>
              <w:autoSpaceDE w:val="0"/>
              <w:autoSpaceDN w:val="0"/>
              <w:bidi w:val="0"/>
              <w:adjustRightInd w:val="0"/>
              <w:spacing w:line="360" w:lineRule="auto"/>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评审因素</w:t>
            </w:r>
          </w:p>
        </w:tc>
        <w:tc>
          <w:tcPr>
            <w:tcW w:w="6047" w:type="dxa"/>
            <w:vAlign w:val="center"/>
          </w:tcPr>
          <w:p w14:paraId="383C2887">
            <w:pPr>
              <w:pageBreakBefore w:val="0"/>
              <w:overflowPunct/>
              <w:topLinePunct w:val="0"/>
              <w:autoSpaceDE w:val="0"/>
              <w:autoSpaceDN w:val="0"/>
              <w:bidi w:val="0"/>
              <w:adjustRightInd w:val="0"/>
              <w:spacing w:line="360" w:lineRule="auto"/>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评审标准</w:t>
            </w:r>
          </w:p>
        </w:tc>
      </w:tr>
      <w:tr w14:paraId="210B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656" w:type="dxa"/>
            <w:vMerge w:val="restart"/>
            <w:vAlign w:val="center"/>
          </w:tcPr>
          <w:p w14:paraId="4BA6E5E0">
            <w:pPr>
              <w:pageBreakBefore w:val="0"/>
              <w:overflowPunct/>
              <w:topLinePunct w:val="0"/>
              <w:autoSpaceDE w:val="0"/>
              <w:autoSpaceDN w:val="0"/>
              <w:bidi w:val="0"/>
              <w:adjustRightInd w:val="0"/>
              <w:spacing w:line="360"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初步评审</w:t>
            </w:r>
          </w:p>
        </w:tc>
        <w:tc>
          <w:tcPr>
            <w:tcW w:w="717" w:type="dxa"/>
            <w:vMerge w:val="restart"/>
            <w:vAlign w:val="center"/>
          </w:tcPr>
          <w:p w14:paraId="537D62C2">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资格审查</w:t>
            </w:r>
          </w:p>
        </w:tc>
        <w:tc>
          <w:tcPr>
            <w:tcW w:w="1418" w:type="dxa"/>
            <w:vAlign w:val="center"/>
          </w:tcPr>
          <w:p w14:paraId="4AEDC749">
            <w:pPr>
              <w:pageBreakBefore w:val="0"/>
              <w:overflowPunct/>
              <w:topLinePunct w:val="0"/>
              <w:bidi w:val="0"/>
              <w:spacing w:line="360" w:lineRule="auto"/>
              <w:jc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rPr>
              <w:t>资质</w:t>
            </w:r>
            <w:r>
              <w:rPr>
                <w:rFonts w:hint="eastAsia" w:ascii="宋体" w:hAnsi="宋体" w:eastAsia="宋体" w:cs="宋体"/>
                <w:color w:val="auto"/>
                <w:szCs w:val="21"/>
                <w:highlight w:val="none"/>
                <w:lang w:val="en-US" w:eastAsia="zh-CN"/>
              </w:rPr>
              <w:t>证书</w:t>
            </w:r>
            <w:r>
              <w:rPr>
                <w:rFonts w:hint="eastAsia" w:ascii="宋体" w:hAnsi="宋体" w:cs="宋体"/>
                <w:color w:val="auto"/>
                <w:szCs w:val="21"/>
                <w:highlight w:val="none"/>
                <w:lang w:val="en-US" w:eastAsia="zh-CN"/>
              </w:rPr>
              <w:t>及安全生产许可证</w:t>
            </w:r>
          </w:p>
        </w:tc>
        <w:tc>
          <w:tcPr>
            <w:tcW w:w="6047" w:type="dxa"/>
            <w:vAlign w:val="center"/>
          </w:tcPr>
          <w:p w14:paraId="04C873E1">
            <w:pPr>
              <w:pageBreakBefore w:val="0"/>
              <w:overflowPunct/>
              <w:topLinePunct w:val="0"/>
              <w:bidi w:val="0"/>
              <w:spacing w:line="360" w:lineRule="auto"/>
              <w:ind w:firstLine="0" w:firstLineChars="0"/>
              <w:rPr>
                <w:rFonts w:hint="eastAsia"/>
                <w:color w:val="auto"/>
                <w:highlight w:val="none"/>
                <w:lang w:val="en-US" w:eastAsia="zh-CN"/>
              </w:rPr>
            </w:pPr>
            <w:r>
              <w:rPr>
                <w:rFonts w:hint="eastAsia" w:ascii="宋体" w:hAnsi="宋体" w:eastAsia="宋体" w:cs="宋体"/>
                <w:color w:val="auto"/>
                <w:szCs w:val="21"/>
                <w:highlight w:val="none"/>
                <w:lang w:eastAsia="zh-CN"/>
              </w:rPr>
              <w:t>具备</w:t>
            </w:r>
            <w:r>
              <w:rPr>
                <w:rFonts w:hint="eastAsia" w:ascii="宋体" w:hAnsi="宋体" w:cs="宋体"/>
                <w:color w:val="auto"/>
                <w:sz w:val="21"/>
                <w:szCs w:val="21"/>
                <w:highlight w:val="none"/>
                <w:lang w:val="en-US" w:eastAsia="zh-CN"/>
              </w:rPr>
              <w:t>市政公用工程施工总承包三级(含)以上资质及有效的安全生产许可证</w:t>
            </w:r>
          </w:p>
        </w:tc>
      </w:tr>
      <w:tr w14:paraId="18851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656" w:type="dxa"/>
            <w:vMerge w:val="continue"/>
            <w:vAlign w:val="center"/>
          </w:tcPr>
          <w:p w14:paraId="682F4B73">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rPr>
            </w:pPr>
          </w:p>
        </w:tc>
        <w:tc>
          <w:tcPr>
            <w:tcW w:w="717" w:type="dxa"/>
            <w:vMerge w:val="continue"/>
            <w:vAlign w:val="center"/>
          </w:tcPr>
          <w:p w14:paraId="4F7C1B96">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rPr>
            </w:pPr>
          </w:p>
        </w:tc>
        <w:tc>
          <w:tcPr>
            <w:tcW w:w="1418" w:type="dxa"/>
            <w:vAlign w:val="center"/>
          </w:tcPr>
          <w:p w14:paraId="5CBA5CDF">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项目经理</w:t>
            </w:r>
          </w:p>
        </w:tc>
        <w:tc>
          <w:tcPr>
            <w:tcW w:w="6047" w:type="dxa"/>
            <w:vAlign w:val="center"/>
          </w:tcPr>
          <w:p w14:paraId="1012BA3C">
            <w:pPr>
              <w:pageBreakBefore w:val="0"/>
              <w:overflowPunct/>
              <w:topLinePunct w:val="0"/>
              <w:bidi w:val="0"/>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 w:val="21"/>
                <w:szCs w:val="21"/>
                <w:highlight w:val="none"/>
                <w:lang w:val="en-US" w:eastAsia="zh-CN"/>
              </w:rPr>
              <w:t>拟投入的项目经理须具备</w:t>
            </w:r>
            <w:r>
              <w:rPr>
                <w:rFonts w:hint="eastAsia" w:ascii="宋体" w:hAnsi="宋体" w:cs="宋体"/>
                <w:color w:val="auto"/>
                <w:sz w:val="21"/>
                <w:szCs w:val="21"/>
                <w:highlight w:val="none"/>
                <w:lang w:val="en-US" w:eastAsia="zh-CN"/>
              </w:rPr>
              <w:t>市政公用工程专业二级</w:t>
            </w:r>
            <w:r>
              <w:rPr>
                <w:rFonts w:hint="eastAsia" w:ascii="宋体" w:hAnsi="宋体" w:eastAsia="宋体" w:cs="宋体"/>
                <w:color w:val="auto"/>
                <w:sz w:val="21"/>
                <w:szCs w:val="21"/>
                <w:highlight w:val="none"/>
                <w:lang w:val="en-US" w:eastAsia="zh-CN"/>
              </w:rPr>
              <w:t>（含）以上注册建造师资格，持有有效的B类安全生产考核合格证</w:t>
            </w:r>
          </w:p>
        </w:tc>
      </w:tr>
      <w:tr w14:paraId="4AD6D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656" w:type="dxa"/>
            <w:vMerge w:val="continue"/>
            <w:vAlign w:val="center"/>
          </w:tcPr>
          <w:p w14:paraId="7FF80428">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rPr>
            </w:pPr>
          </w:p>
        </w:tc>
        <w:tc>
          <w:tcPr>
            <w:tcW w:w="717" w:type="dxa"/>
            <w:vMerge w:val="continue"/>
            <w:vAlign w:val="center"/>
          </w:tcPr>
          <w:p w14:paraId="2D451658">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rPr>
            </w:pPr>
          </w:p>
        </w:tc>
        <w:tc>
          <w:tcPr>
            <w:tcW w:w="1418" w:type="dxa"/>
            <w:vAlign w:val="center"/>
          </w:tcPr>
          <w:p w14:paraId="40530905">
            <w:pPr>
              <w:pageBreakBefore w:val="0"/>
              <w:overflowPunct/>
              <w:topLinePunct w:val="0"/>
              <w:bidi w:val="0"/>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color w:val="auto"/>
                <w:szCs w:val="21"/>
                <w:highlight w:val="none"/>
              </w:rPr>
              <w:t>项目技术负责人</w:t>
            </w:r>
          </w:p>
        </w:tc>
        <w:tc>
          <w:tcPr>
            <w:tcW w:w="6047" w:type="dxa"/>
            <w:vAlign w:val="center"/>
          </w:tcPr>
          <w:p w14:paraId="7BCBBC9D">
            <w:pPr>
              <w:pageBreakBefore w:val="0"/>
              <w:overflowPunct/>
              <w:topLinePunct w:val="0"/>
              <w:bidi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 w:val="21"/>
                <w:szCs w:val="21"/>
                <w:highlight w:val="none"/>
                <w:lang w:val="en-US" w:eastAsia="zh-CN"/>
              </w:rPr>
              <w:t>拟派驻本项目的技术负责人须具</w:t>
            </w:r>
            <w:r>
              <w:rPr>
                <w:rFonts w:hint="eastAsia" w:ascii="宋体" w:hAnsi="宋体" w:eastAsia="宋体" w:cs="宋体"/>
                <w:b w:val="0"/>
                <w:bCs w:val="0"/>
                <w:i w:val="0"/>
                <w:iCs w:val="0"/>
                <w:caps w:val="0"/>
                <w:color w:val="auto"/>
                <w:spacing w:val="0"/>
                <w:sz w:val="21"/>
                <w:szCs w:val="21"/>
                <w:highlight w:val="none"/>
                <w:shd w:val="clear"/>
              </w:rPr>
              <w:t>备</w:t>
            </w:r>
            <w:r>
              <w:rPr>
                <w:rFonts w:hint="eastAsia" w:ascii="宋体" w:hAnsi="宋体" w:eastAsia="宋体" w:cs="宋体"/>
                <w:color w:val="auto"/>
                <w:kern w:val="0"/>
                <w:sz w:val="21"/>
                <w:szCs w:val="21"/>
                <w:highlight w:val="none"/>
                <w:lang w:val="en-US" w:eastAsia="zh-CN" w:bidi="ar-SA"/>
              </w:rPr>
              <w:t>中级</w:t>
            </w:r>
            <w:r>
              <w:rPr>
                <w:rFonts w:hint="eastAsia" w:ascii="宋体" w:hAnsi="宋体" w:cs="宋体"/>
                <w:color w:val="auto"/>
                <w:kern w:val="0"/>
                <w:sz w:val="21"/>
                <w:szCs w:val="21"/>
                <w:highlight w:val="none"/>
                <w:lang w:val="en-US" w:eastAsia="zh-CN" w:bidi="ar-SA"/>
              </w:rPr>
              <w:t>及</w:t>
            </w:r>
            <w:r>
              <w:rPr>
                <w:rFonts w:hint="eastAsia" w:ascii="宋体" w:hAnsi="宋体" w:eastAsia="宋体" w:cs="宋体"/>
                <w:color w:val="auto"/>
                <w:kern w:val="0"/>
                <w:sz w:val="21"/>
                <w:szCs w:val="21"/>
                <w:highlight w:val="none"/>
                <w:lang w:val="en-US" w:eastAsia="zh-CN" w:bidi="ar-SA"/>
              </w:rPr>
              <w:t>以上技术职称</w:t>
            </w:r>
          </w:p>
        </w:tc>
      </w:tr>
      <w:tr w14:paraId="38E00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656" w:type="dxa"/>
            <w:vMerge w:val="continue"/>
            <w:vAlign w:val="center"/>
          </w:tcPr>
          <w:p w14:paraId="0E641B50">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rPr>
            </w:pPr>
          </w:p>
        </w:tc>
        <w:tc>
          <w:tcPr>
            <w:tcW w:w="717" w:type="dxa"/>
            <w:vMerge w:val="continue"/>
            <w:vAlign w:val="center"/>
          </w:tcPr>
          <w:p w14:paraId="1702F837">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rPr>
            </w:pPr>
          </w:p>
        </w:tc>
        <w:tc>
          <w:tcPr>
            <w:tcW w:w="1418" w:type="dxa"/>
            <w:vAlign w:val="center"/>
          </w:tcPr>
          <w:p w14:paraId="5AD42D6B">
            <w:pPr>
              <w:pageBreakBefore w:val="0"/>
              <w:overflowPunct/>
              <w:topLinePunct w:val="0"/>
              <w:bidi w:val="0"/>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color w:val="auto"/>
                <w:szCs w:val="21"/>
                <w:highlight w:val="none"/>
              </w:rPr>
              <w:t>专职安全员</w:t>
            </w:r>
          </w:p>
        </w:tc>
        <w:tc>
          <w:tcPr>
            <w:tcW w:w="6047" w:type="dxa"/>
            <w:vAlign w:val="center"/>
          </w:tcPr>
          <w:p w14:paraId="60D446AE">
            <w:pPr>
              <w:pageBreakBefore w:val="0"/>
              <w:overflowPunct/>
              <w:topLinePunct w:val="0"/>
              <w:bidi w:val="0"/>
              <w:spacing w:line="360" w:lineRule="auto"/>
              <w:ind w:firstLine="0" w:firstLineChars="0"/>
              <w:rPr>
                <w:rFonts w:hint="eastAsia" w:ascii="宋体" w:hAnsi="宋体" w:eastAsia="宋体" w:cs="宋体"/>
                <w:color w:val="auto"/>
                <w:szCs w:val="21"/>
                <w:highlight w:val="none"/>
                <w:lang w:val="en-US" w:eastAsia="zh-CN"/>
              </w:rPr>
            </w:pPr>
            <w:r>
              <w:rPr>
                <w:rFonts w:hint="eastAsia" w:ascii="宋体" w:hAnsi="宋体" w:eastAsia="宋体" w:cs="宋体"/>
                <w:color w:val="auto"/>
                <w:sz w:val="21"/>
                <w:szCs w:val="21"/>
                <w:highlight w:val="none"/>
                <w:lang w:val="en-US" w:eastAsia="zh-CN"/>
              </w:rPr>
              <w:t>拟派往本项目的专职安全员须具备有效的安全生产考核合格证书（C类），人数不少于1人</w:t>
            </w:r>
          </w:p>
        </w:tc>
      </w:tr>
      <w:tr w14:paraId="6D451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656" w:type="dxa"/>
            <w:vMerge w:val="continue"/>
            <w:vAlign w:val="center"/>
          </w:tcPr>
          <w:p w14:paraId="16C70DFD">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rPr>
            </w:pPr>
          </w:p>
        </w:tc>
        <w:tc>
          <w:tcPr>
            <w:tcW w:w="717" w:type="dxa"/>
            <w:vMerge w:val="continue"/>
            <w:vAlign w:val="center"/>
          </w:tcPr>
          <w:p w14:paraId="26CDBE38">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rPr>
            </w:pPr>
          </w:p>
        </w:tc>
        <w:tc>
          <w:tcPr>
            <w:tcW w:w="1418" w:type="dxa"/>
            <w:vAlign w:val="center"/>
          </w:tcPr>
          <w:p w14:paraId="3E2B17EB">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施工员、质量员、材料员</w:t>
            </w:r>
          </w:p>
        </w:tc>
        <w:tc>
          <w:tcPr>
            <w:tcW w:w="6047" w:type="dxa"/>
            <w:vAlign w:val="center"/>
          </w:tcPr>
          <w:p w14:paraId="56FA3D89">
            <w:pPr>
              <w:pageBreakBefore w:val="0"/>
              <w:overflowPunct/>
              <w:topLinePunct w:val="0"/>
              <w:bidi w:val="0"/>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拟投入施工员、质量员、材料员</w:t>
            </w:r>
            <w:r>
              <w:rPr>
                <w:rFonts w:hint="eastAsia" w:ascii="宋体" w:hAnsi="宋体" w:cs="宋体"/>
                <w:color w:val="auto"/>
                <w:szCs w:val="21"/>
                <w:highlight w:val="none"/>
                <w:lang w:val="en-US" w:eastAsia="zh-CN"/>
              </w:rPr>
              <w:t>具备</w:t>
            </w:r>
            <w:r>
              <w:rPr>
                <w:rFonts w:hint="eastAsia" w:ascii="宋体" w:hAnsi="宋体" w:eastAsia="宋体" w:cs="宋体"/>
                <w:color w:val="auto"/>
                <w:szCs w:val="21"/>
                <w:highlight w:val="none"/>
              </w:rPr>
              <w:t>相应岗位资格证书</w:t>
            </w:r>
          </w:p>
        </w:tc>
      </w:tr>
      <w:tr w14:paraId="2B6A4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656" w:type="dxa"/>
            <w:vMerge w:val="continue"/>
            <w:vAlign w:val="center"/>
          </w:tcPr>
          <w:p w14:paraId="6F7AF139">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rPr>
            </w:pPr>
          </w:p>
        </w:tc>
        <w:tc>
          <w:tcPr>
            <w:tcW w:w="717" w:type="dxa"/>
            <w:vMerge w:val="continue"/>
            <w:vAlign w:val="center"/>
          </w:tcPr>
          <w:p w14:paraId="1FE39279">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rPr>
            </w:pPr>
          </w:p>
        </w:tc>
        <w:tc>
          <w:tcPr>
            <w:tcW w:w="1418" w:type="dxa"/>
            <w:shd w:val="clear" w:color="auto" w:fill="auto"/>
            <w:vAlign w:val="center"/>
          </w:tcPr>
          <w:p w14:paraId="020987A3">
            <w:pPr>
              <w:pageBreakBefore w:val="0"/>
              <w:overflowPunct/>
              <w:topLinePunct w:val="0"/>
              <w:bidi w:val="0"/>
              <w:spacing w:line="360" w:lineRule="auto"/>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lang w:val="en-US" w:eastAsia="zh-CN"/>
              </w:rPr>
              <w:t>信用承诺</w:t>
            </w:r>
          </w:p>
        </w:tc>
        <w:tc>
          <w:tcPr>
            <w:tcW w:w="6047" w:type="dxa"/>
            <w:shd w:val="clear" w:color="auto" w:fill="auto"/>
            <w:vAlign w:val="center"/>
          </w:tcPr>
          <w:p w14:paraId="4EC2CE13">
            <w:pPr>
              <w:pageBreakBefore w:val="0"/>
              <w:overflowPunct/>
              <w:topLinePunct w:val="0"/>
              <w:bidi w:val="0"/>
              <w:spacing w:line="360" w:lineRule="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lang w:val="en-US" w:eastAsia="zh-CN"/>
              </w:rPr>
              <w:t>提供</w:t>
            </w:r>
            <w:r>
              <w:rPr>
                <w:rFonts w:hint="eastAsia" w:ascii="宋体" w:hAnsi="宋体" w:eastAsia="宋体" w:cs="宋体"/>
                <w:color w:val="auto"/>
                <w:szCs w:val="21"/>
                <w:highlight w:val="none"/>
              </w:rPr>
              <w:t>政府采购供应商信用承诺函</w:t>
            </w:r>
          </w:p>
        </w:tc>
      </w:tr>
      <w:tr w14:paraId="5587F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656" w:type="dxa"/>
            <w:vMerge w:val="continue"/>
            <w:vAlign w:val="center"/>
          </w:tcPr>
          <w:p w14:paraId="27692632">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rPr>
            </w:pPr>
          </w:p>
        </w:tc>
        <w:tc>
          <w:tcPr>
            <w:tcW w:w="717" w:type="dxa"/>
            <w:vMerge w:val="continue"/>
            <w:vAlign w:val="center"/>
          </w:tcPr>
          <w:p w14:paraId="4A96700E">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rPr>
            </w:pPr>
          </w:p>
        </w:tc>
        <w:tc>
          <w:tcPr>
            <w:tcW w:w="1418" w:type="dxa"/>
            <w:vAlign w:val="center"/>
          </w:tcPr>
          <w:p w14:paraId="1740A176">
            <w:pPr>
              <w:pageBreakBefore w:val="0"/>
              <w:overflowPunct/>
              <w:topLinePunct w:val="0"/>
              <w:bidi w:val="0"/>
              <w:spacing w:line="360" w:lineRule="auto"/>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Cs/>
                <w:color w:val="auto"/>
                <w:sz w:val="21"/>
                <w:szCs w:val="21"/>
                <w:highlight w:val="none"/>
              </w:rPr>
              <w:t>法定代表人身份证明书及授权委托书</w:t>
            </w:r>
          </w:p>
        </w:tc>
        <w:tc>
          <w:tcPr>
            <w:tcW w:w="6047" w:type="dxa"/>
            <w:vAlign w:val="center"/>
          </w:tcPr>
          <w:p w14:paraId="3B6C3926">
            <w:pPr>
              <w:pageBreakBefore w:val="0"/>
              <w:overflowPunct/>
              <w:topLinePunct w:val="0"/>
              <w:bidi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法定代表人身份证明书及授权委托书（委托代理时必须提供，同时加盖单位电子公章）</w:t>
            </w:r>
          </w:p>
        </w:tc>
      </w:tr>
      <w:tr w14:paraId="5C2B5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656" w:type="dxa"/>
            <w:vMerge w:val="continue"/>
            <w:vAlign w:val="center"/>
          </w:tcPr>
          <w:p w14:paraId="39D67254">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rPr>
            </w:pPr>
          </w:p>
        </w:tc>
        <w:tc>
          <w:tcPr>
            <w:tcW w:w="717" w:type="dxa"/>
            <w:vMerge w:val="continue"/>
            <w:vAlign w:val="center"/>
          </w:tcPr>
          <w:p w14:paraId="5C7FD602">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rPr>
            </w:pPr>
          </w:p>
        </w:tc>
        <w:tc>
          <w:tcPr>
            <w:tcW w:w="1418" w:type="dxa"/>
            <w:vAlign w:val="center"/>
          </w:tcPr>
          <w:p w14:paraId="7D7FF52D">
            <w:pPr>
              <w:pageBreakBefore w:val="0"/>
              <w:overflowPunct/>
              <w:topLinePunct w:val="0"/>
              <w:bidi w:val="0"/>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中小企业声明函</w:t>
            </w:r>
          </w:p>
        </w:tc>
        <w:tc>
          <w:tcPr>
            <w:tcW w:w="6047" w:type="dxa"/>
            <w:vAlign w:val="center"/>
          </w:tcPr>
          <w:p w14:paraId="2E1CACF2">
            <w:pPr>
              <w:pageBreakBefore w:val="0"/>
              <w:overflowPunct/>
              <w:topLinePunct w:val="0"/>
              <w:bidi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提供《中小企业声明函》或监狱企业的证明文件或《残疾人福利性单位声明函》</w:t>
            </w:r>
          </w:p>
        </w:tc>
      </w:tr>
      <w:tr w14:paraId="4ADEF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656" w:type="dxa"/>
            <w:vMerge w:val="continue"/>
            <w:vAlign w:val="center"/>
          </w:tcPr>
          <w:p w14:paraId="0F9D842C">
            <w:pPr>
              <w:pageBreakBefore w:val="0"/>
              <w:overflowPunct/>
              <w:topLinePunct w:val="0"/>
              <w:autoSpaceDE w:val="0"/>
              <w:autoSpaceDN w:val="0"/>
              <w:bidi w:val="0"/>
              <w:adjustRightInd w:val="0"/>
              <w:spacing w:line="360" w:lineRule="auto"/>
              <w:rPr>
                <w:rFonts w:hint="eastAsia" w:ascii="宋体" w:hAnsi="宋体" w:eastAsia="宋体" w:cs="宋体"/>
                <w:color w:val="auto"/>
                <w:kern w:val="0"/>
                <w:szCs w:val="21"/>
                <w:highlight w:val="none"/>
              </w:rPr>
            </w:pPr>
          </w:p>
        </w:tc>
        <w:tc>
          <w:tcPr>
            <w:tcW w:w="8182" w:type="dxa"/>
            <w:gridSpan w:val="3"/>
            <w:vAlign w:val="center"/>
          </w:tcPr>
          <w:p w14:paraId="39CD789B">
            <w:pPr>
              <w:pageBreakBefore w:val="0"/>
              <w:overflowPunct/>
              <w:topLinePunct w:val="0"/>
              <w:autoSpaceDE w:val="0"/>
              <w:autoSpaceDN w:val="0"/>
              <w:bidi w:val="0"/>
              <w:adjustRightInd w:val="0"/>
              <w:spacing w:line="360" w:lineRule="auto"/>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lang w:eastAsia="zh-CN"/>
              </w:rPr>
              <w:t>资格性审查</w:t>
            </w:r>
            <w:r>
              <w:rPr>
                <w:rFonts w:hint="eastAsia" w:ascii="宋体" w:hAnsi="宋体" w:eastAsia="宋体" w:cs="宋体"/>
                <w:b/>
                <w:color w:val="auto"/>
                <w:szCs w:val="21"/>
                <w:highlight w:val="none"/>
              </w:rPr>
              <w:t>项中缺少任何一项或有任何一项不合格者其</w:t>
            </w:r>
            <w:r>
              <w:rPr>
                <w:rFonts w:hint="eastAsia" w:ascii="宋体" w:hAnsi="宋体" w:eastAsia="宋体" w:cs="宋体"/>
                <w:b/>
                <w:color w:val="auto"/>
                <w:szCs w:val="21"/>
                <w:highlight w:val="none"/>
                <w:lang w:val="en-US" w:eastAsia="zh-CN"/>
              </w:rPr>
              <w:t>资格</w:t>
            </w:r>
            <w:r>
              <w:rPr>
                <w:rFonts w:hint="eastAsia" w:ascii="宋体" w:hAnsi="宋体" w:eastAsia="宋体" w:cs="宋体"/>
                <w:b/>
                <w:color w:val="auto"/>
                <w:szCs w:val="21"/>
                <w:highlight w:val="none"/>
              </w:rPr>
              <w:t>审查视为不合格，</w:t>
            </w:r>
            <w:r>
              <w:rPr>
                <w:rFonts w:hint="eastAsia" w:ascii="宋体" w:hAnsi="宋体" w:eastAsia="宋体" w:cs="宋体"/>
                <w:b/>
                <w:color w:val="auto"/>
                <w:szCs w:val="21"/>
                <w:highlight w:val="none"/>
                <w:lang w:val="en-US" w:eastAsia="zh-CN"/>
              </w:rPr>
              <w:t>资格</w:t>
            </w:r>
            <w:r>
              <w:rPr>
                <w:rFonts w:hint="eastAsia" w:ascii="宋体" w:hAnsi="宋体" w:eastAsia="宋体" w:cs="宋体"/>
                <w:b/>
                <w:color w:val="auto"/>
                <w:szCs w:val="21"/>
                <w:highlight w:val="none"/>
              </w:rPr>
              <w:t>评审不合格的磋商人不</w:t>
            </w:r>
            <w:r>
              <w:rPr>
                <w:rFonts w:hint="eastAsia" w:ascii="宋体" w:hAnsi="宋体" w:eastAsia="宋体" w:cs="宋体"/>
                <w:b/>
                <w:color w:val="auto"/>
                <w:szCs w:val="21"/>
                <w:highlight w:val="none"/>
                <w:lang w:val="en-US" w:eastAsia="zh-CN"/>
              </w:rPr>
              <w:t>得</w:t>
            </w:r>
            <w:r>
              <w:rPr>
                <w:rFonts w:hint="eastAsia" w:ascii="宋体" w:hAnsi="宋体" w:eastAsia="宋体" w:cs="宋体"/>
                <w:b/>
                <w:color w:val="auto"/>
                <w:szCs w:val="21"/>
                <w:highlight w:val="none"/>
              </w:rPr>
              <w:t>进入</w:t>
            </w:r>
            <w:r>
              <w:rPr>
                <w:rFonts w:hint="eastAsia" w:ascii="宋体" w:hAnsi="宋体" w:eastAsia="宋体" w:cs="宋体"/>
                <w:b/>
                <w:color w:val="auto"/>
                <w:szCs w:val="21"/>
                <w:highlight w:val="none"/>
                <w:lang w:val="en-US" w:eastAsia="zh-CN"/>
              </w:rPr>
              <w:t>符合性评审</w:t>
            </w:r>
            <w:r>
              <w:rPr>
                <w:rFonts w:hint="eastAsia" w:ascii="宋体" w:hAnsi="宋体" w:eastAsia="宋体" w:cs="宋体"/>
                <w:b/>
                <w:color w:val="auto"/>
                <w:szCs w:val="21"/>
                <w:highlight w:val="none"/>
              </w:rPr>
              <w:t>。</w:t>
            </w:r>
          </w:p>
        </w:tc>
      </w:tr>
      <w:tr w14:paraId="11151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656" w:type="dxa"/>
            <w:vMerge w:val="continue"/>
            <w:vAlign w:val="center"/>
          </w:tcPr>
          <w:p w14:paraId="76FCFB0E">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lang w:eastAsia="zh-CN"/>
              </w:rPr>
            </w:pPr>
          </w:p>
        </w:tc>
        <w:tc>
          <w:tcPr>
            <w:tcW w:w="717" w:type="dxa"/>
            <w:vMerge w:val="restart"/>
            <w:vAlign w:val="center"/>
          </w:tcPr>
          <w:p w14:paraId="392C2349">
            <w:pPr>
              <w:pageBreakBefore w:val="0"/>
              <w:overflowPunct/>
              <w:topLinePunct w:val="0"/>
              <w:autoSpaceDE w:val="0"/>
              <w:autoSpaceDN w:val="0"/>
              <w:bidi w:val="0"/>
              <w:adjustRightInd w:val="0"/>
              <w:spacing w:line="360" w:lineRule="auto"/>
              <w:jc w:val="center"/>
              <w:rPr>
                <w:rFonts w:hint="eastAsia" w:ascii="宋体" w:hAnsi="宋体" w:eastAsia="宋体" w:cs="宋体"/>
                <w:b/>
                <w:bCs/>
                <w:color w:val="auto"/>
                <w:kern w:val="0"/>
                <w:szCs w:val="21"/>
                <w:highlight w:val="none"/>
                <w:lang w:eastAsia="zh-CN"/>
              </w:rPr>
            </w:pPr>
            <w:r>
              <w:rPr>
                <w:rFonts w:hint="eastAsia" w:ascii="宋体" w:hAnsi="宋体" w:eastAsia="宋体" w:cs="宋体"/>
                <w:b/>
                <w:bCs/>
                <w:color w:val="auto"/>
                <w:kern w:val="0"/>
                <w:szCs w:val="21"/>
                <w:highlight w:val="none"/>
                <w:lang w:eastAsia="zh-CN"/>
              </w:rPr>
              <w:t>符合性审查</w:t>
            </w:r>
          </w:p>
        </w:tc>
        <w:tc>
          <w:tcPr>
            <w:tcW w:w="1418" w:type="dxa"/>
            <w:vAlign w:val="top"/>
          </w:tcPr>
          <w:p w14:paraId="2B19292B">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响应文件格式</w:t>
            </w:r>
          </w:p>
        </w:tc>
        <w:tc>
          <w:tcPr>
            <w:tcW w:w="6047" w:type="dxa"/>
            <w:vAlign w:val="top"/>
          </w:tcPr>
          <w:p w14:paraId="18C005E0">
            <w:pPr>
              <w:pageBreakBefore w:val="0"/>
              <w:overflowPunct/>
              <w:topLinePunct w:val="0"/>
              <w:bidi w:val="0"/>
              <w:spacing w:line="360" w:lineRule="auto"/>
              <w:rPr>
                <w:rFonts w:hint="eastAsia" w:ascii="宋体" w:hAnsi="宋体" w:eastAsia="宋体" w:cs="宋体"/>
                <w:color w:val="auto"/>
                <w:kern w:val="0"/>
                <w:szCs w:val="21"/>
                <w:highlight w:val="none"/>
                <w:lang w:eastAsia="zh-CN"/>
              </w:rPr>
            </w:pPr>
            <w:r>
              <w:rPr>
                <w:rFonts w:hint="eastAsia" w:ascii="宋体" w:hAnsi="宋体" w:eastAsia="宋体" w:cs="宋体"/>
                <w:color w:val="auto"/>
                <w:sz w:val="21"/>
                <w:szCs w:val="21"/>
                <w:highlight w:val="none"/>
              </w:rPr>
              <w:t>响应文件按须知第</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条、第</w:t>
            </w: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条规定进行编制、签署、盖章的；</w:t>
            </w:r>
          </w:p>
        </w:tc>
      </w:tr>
      <w:tr w14:paraId="18944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656" w:type="dxa"/>
            <w:vMerge w:val="continue"/>
            <w:vAlign w:val="center"/>
          </w:tcPr>
          <w:p w14:paraId="3F75D8E7">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lang w:eastAsia="zh-CN"/>
              </w:rPr>
            </w:pPr>
          </w:p>
        </w:tc>
        <w:tc>
          <w:tcPr>
            <w:tcW w:w="717" w:type="dxa"/>
            <w:vMerge w:val="continue"/>
            <w:vAlign w:val="center"/>
          </w:tcPr>
          <w:p w14:paraId="6D3B4336">
            <w:pPr>
              <w:pageBreakBefore w:val="0"/>
              <w:overflowPunct/>
              <w:topLinePunct w:val="0"/>
              <w:autoSpaceDE w:val="0"/>
              <w:autoSpaceDN w:val="0"/>
              <w:bidi w:val="0"/>
              <w:adjustRightInd w:val="0"/>
              <w:spacing w:line="360" w:lineRule="auto"/>
              <w:jc w:val="center"/>
              <w:rPr>
                <w:rFonts w:hint="eastAsia" w:ascii="宋体" w:hAnsi="宋体" w:eastAsia="宋体" w:cs="宋体"/>
                <w:b/>
                <w:bCs/>
                <w:color w:val="auto"/>
                <w:kern w:val="0"/>
                <w:szCs w:val="21"/>
                <w:highlight w:val="none"/>
                <w:lang w:eastAsia="zh-CN"/>
              </w:rPr>
            </w:pPr>
          </w:p>
        </w:tc>
        <w:tc>
          <w:tcPr>
            <w:tcW w:w="1418" w:type="dxa"/>
            <w:vAlign w:val="top"/>
          </w:tcPr>
          <w:p w14:paraId="50C29CB7">
            <w:pPr>
              <w:pageBreakBefore w:val="0"/>
              <w:overflowPunct/>
              <w:topLinePunct w:val="0"/>
              <w:autoSpaceDE w:val="0"/>
              <w:autoSpaceDN w:val="0"/>
              <w:bidi w:val="0"/>
              <w:adjustRightInd w:val="0"/>
              <w:spacing w:line="360" w:lineRule="auto"/>
              <w:jc w:val="center"/>
              <w:rPr>
                <w:rFonts w:hint="eastAsia" w:ascii="宋体" w:hAnsi="宋体" w:eastAsia="宋体" w:cs="宋体"/>
                <w:bCs/>
                <w:color w:val="auto"/>
                <w:szCs w:val="21"/>
                <w:highlight w:val="none"/>
              </w:rPr>
            </w:pPr>
            <w:r>
              <w:rPr>
                <w:rFonts w:hint="eastAsia" w:ascii="宋体" w:hAnsi="宋体" w:cs="宋体"/>
                <w:color w:val="auto"/>
                <w:kern w:val="0"/>
                <w:szCs w:val="21"/>
                <w:highlight w:val="none"/>
                <w:lang w:val="en-US" w:eastAsia="zh-CN"/>
              </w:rPr>
              <w:t>磋商有效期</w:t>
            </w:r>
          </w:p>
        </w:tc>
        <w:tc>
          <w:tcPr>
            <w:tcW w:w="6047" w:type="dxa"/>
            <w:vAlign w:val="top"/>
          </w:tcPr>
          <w:p w14:paraId="1A808366">
            <w:pPr>
              <w:pageBreakBefore w:val="0"/>
              <w:overflowPunct/>
              <w:topLinePunct w:val="0"/>
              <w:bidi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sz w:val="21"/>
                <w:szCs w:val="21"/>
                <w:highlight w:val="none"/>
              </w:rPr>
              <w:t>磋商有效期满足磋商文件要求的；</w:t>
            </w:r>
          </w:p>
        </w:tc>
      </w:tr>
      <w:tr w14:paraId="75239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656" w:type="dxa"/>
            <w:vMerge w:val="continue"/>
            <w:vAlign w:val="center"/>
          </w:tcPr>
          <w:p w14:paraId="3104E18C">
            <w:pPr>
              <w:pageBreakBefore w:val="0"/>
              <w:overflowPunct/>
              <w:topLinePunct w:val="0"/>
              <w:autoSpaceDE w:val="0"/>
              <w:autoSpaceDN w:val="0"/>
              <w:bidi w:val="0"/>
              <w:adjustRightInd w:val="0"/>
              <w:spacing w:line="360" w:lineRule="auto"/>
              <w:rPr>
                <w:rFonts w:hint="eastAsia" w:ascii="宋体" w:hAnsi="宋体" w:eastAsia="宋体" w:cs="宋体"/>
                <w:color w:val="auto"/>
                <w:kern w:val="0"/>
                <w:szCs w:val="21"/>
                <w:highlight w:val="none"/>
              </w:rPr>
            </w:pPr>
          </w:p>
        </w:tc>
        <w:tc>
          <w:tcPr>
            <w:tcW w:w="717" w:type="dxa"/>
            <w:vMerge w:val="continue"/>
            <w:vAlign w:val="center"/>
          </w:tcPr>
          <w:p w14:paraId="1BB6B9CB">
            <w:pPr>
              <w:pageBreakBefore w:val="0"/>
              <w:overflowPunct/>
              <w:topLinePunct w:val="0"/>
              <w:autoSpaceDE w:val="0"/>
              <w:autoSpaceDN w:val="0"/>
              <w:bidi w:val="0"/>
              <w:adjustRightInd w:val="0"/>
              <w:spacing w:line="360" w:lineRule="auto"/>
              <w:rPr>
                <w:rFonts w:hint="eastAsia" w:ascii="宋体" w:hAnsi="宋体" w:eastAsia="宋体" w:cs="宋体"/>
                <w:color w:val="auto"/>
                <w:kern w:val="0"/>
                <w:szCs w:val="21"/>
                <w:highlight w:val="none"/>
              </w:rPr>
            </w:pPr>
          </w:p>
        </w:tc>
        <w:tc>
          <w:tcPr>
            <w:tcW w:w="1418" w:type="dxa"/>
            <w:vAlign w:val="top"/>
          </w:tcPr>
          <w:p w14:paraId="72B729A6">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其他要求</w:t>
            </w:r>
          </w:p>
        </w:tc>
        <w:tc>
          <w:tcPr>
            <w:tcW w:w="6047" w:type="dxa"/>
            <w:vAlign w:val="top"/>
          </w:tcPr>
          <w:p w14:paraId="53D1DC7E">
            <w:pPr>
              <w:pageBreakBefore w:val="0"/>
              <w:overflowPunct/>
              <w:topLinePunct w:val="0"/>
              <w:bidi w:val="0"/>
              <w:spacing w:line="360" w:lineRule="auto"/>
              <w:rPr>
                <w:rFonts w:hint="eastAsia" w:ascii="宋体" w:hAnsi="宋体" w:eastAsia="宋体" w:cs="宋体"/>
                <w:color w:val="auto"/>
                <w:kern w:val="0"/>
                <w:szCs w:val="21"/>
                <w:highlight w:val="none"/>
                <w:lang w:eastAsia="zh-CN"/>
              </w:rPr>
            </w:pPr>
            <w:r>
              <w:rPr>
                <w:rFonts w:hint="eastAsia" w:ascii="宋体" w:hAnsi="宋体" w:eastAsia="宋体" w:cs="宋体"/>
                <w:color w:val="auto"/>
                <w:sz w:val="21"/>
                <w:szCs w:val="21"/>
                <w:highlight w:val="none"/>
              </w:rPr>
              <w:t>响应文件的</w:t>
            </w:r>
            <w:r>
              <w:rPr>
                <w:rFonts w:hint="eastAsia" w:ascii="宋体" w:hAnsi="宋体" w:cs="宋体"/>
                <w:color w:val="auto"/>
                <w:sz w:val="21"/>
                <w:szCs w:val="21"/>
                <w:highlight w:val="none"/>
                <w:lang w:val="en-US" w:eastAsia="zh-CN"/>
              </w:rPr>
              <w:t>不存在</w:t>
            </w:r>
            <w:r>
              <w:rPr>
                <w:rFonts w:hint="eastAsia" w:ascii="宋体" w:hAnsi="宋体" w:eastAsia="宋体" w:cs="宋体"/>
                <w:color w:val="auto"/>
                <w:sz w:val="21"/>
                <w:szCs w:val="21"/>
                <w:highlight w:val="none"/>
              </w:rPr>
              <w:t>关键内容字迹模糊、无法辨认的；</w:t>
            </w:r>
          </w:p>
        </w:tc>
      </w:tr>
      <w:tr w14:paraId="44D17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656" w:type="dxa"/>
            <w:vMerge w:val="continue"/>
            <w:vAlign w:val="center"/>
          </w:tcPr>
          <w:p w14:paraId="74B89D3C">
            <w:pPr>
              <w:pageBreakBefore w:val="0"/>
              <w:overflowPunct/>
              <w:topLinePunct w:val="0"/>
              <w:autoSpaceDE w:val="0"/>
              <w:autoSpaceDN w:val="0"/>
              <w:bidi w:val="0"/>
              <w:adjustRightInd w:val="0"/>
              <w:spacing w:line="360" w:lineRule="auto"/>
              <w:rPr>
                <w:rFonts w:hint="eastAsia" w:ascii="宋体" w:hAnsi="宋体" w:eastAsia="宋体" w:cs="宋体"/>
                <w:color w:val="auto"/>
                <w:kern w:val="0"/>
                <w:szCs w:val="21"/>
                <w:highlight w:val="none"/>
              </w:rPr>
            </w:pPr>
          </w:p>
        </w:tc>
        <w:tc>
          <w:tcPr>
            <w:tcW w:w="717" w:type="dxa"/>
            <w:vMerge w:val="continue"/>
            <w:vAlign w:val="center"/>
          </w:tcPr>
          <w:p w14:paraId="27D24566">
            <w:pPr>
              <w:pageBreakBefore w:val="0"/>
              <w:overflowPunct/>
              <w:topLinePunct w:val="0"/>
              <w:autoSpaceDE w:val="0"/>
              <w:autoSpaceDN w:val="0"/>
              <w:bidi w:val="0"/>
              <w:adjustRightInd w:val="0"/>
              <w:spacing w:line="360" w:lineRule="auto"/>
              <w:rPr>
                <w:rFonts w:hint="eastAsia" w:ascii="宋体" w:hAnsi="宋体" w:eastAsia="宋体" w:cs="宋体"/>
                <w:color w:val="auto"/>
                <w:kern w:val="0"/>
                <w:szCs w:val="21"/>
                <w:highlight w:val="none"/>
              </w:rPr>
            </w:pPr>
          </w:p>
        </w:tc>
        <w:tc>
          <w:tcPr>
            <w:tcW w:w="1418" w:type="dxa"/>
            <w:vAlign w:val="top"/>
          </w:tcPr>
          <w:p w14:paraId="54AB6FB3">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磋商报价</w:t>
            </w:r>
          </w:p>
        </w:tc>
        <w:tc>
          <w:tcPr>
            <w:tcW w:w="6047" w:type="dxa"/>
            <w:vAlign w:val="top"/>
          </w:tcPr>
          <w:p w14:paraId="40AA8B4E">
            <w:pPr>
              <w:pageBreakBefore w:val="0"/>
              <w:overflowPunct/>
              <w:topLinePunct w:val="0"/>
              <w:bidi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sz w:val="21"/>
                <w:szCs w:val="21"/>
                <w:highlight w:val="none"/>
              </w:rPr>
              <w:t>供应商</w:t>
            </w:r>
            <w:r>
              <w:rPr>
                <w:rFonts w:hint="eastAsia" w:ascii="宋体" w:hAnsi="宋体" w:cs="宋体"/>
                <w:color w:val="auto"/>
                <w:sz w:val="21"/>
                <w:szCs w:val="21"/>
                <w:highlight w:val="none"/>
                <w:lang w:val="en-US" w:eastAsia="zh-CN"/>
              </w:rPr>
              <w:t>不存在</w:t>
            </w:r>
            <w:r>
              <w:rPr>
                <w:rFonts w:hint="eastAsia" w:ascii="宋体" w:hAnsi="宋体" w:eastAsia="宋体" w:cs="宋体"/>
                <w:color w:val="auto"/>
                <w:sz w:val="21"/>
                <w:szCs w:val="21"/>
                <w:highlight w:val="none"/>
              </w:rPr>
              <w:t>提交可选择的报价，或最后报价超过采购预算价；</w:t>
            </w:r>
          </w:p>
        </w:tc>
      </w:tr>
      <w:tr w14:paraId="1A5F2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656" w:type="dxa"/>
            <w:vMerge w:val="continue"/>
            <w:vAlign w:val="top"/>
          </w:tcPr>
          <w:p w14:paraId="4DA464A6">
            <w:pPr>
              <w:pageBreakBefore w:val="0"/>
              <w:overflowPunct/>
              <w:topLinePunct w:val="0"/>
              <w:autoSpaceDE w:val="0"/>
              <w:autoSpaceDN w:val="0"/>
              <w:bidi w:val="0"/>
              <w:adjustRightInd w:val="0"/>
              <w:spacing w:line="360" w:lineRule="auto"/>
              <w:rPr>
                <w:rFonts w:hint="eastAsia" w:ascii="宋体" w:hAnsi="宋体" w:eastAsia="宋体" w:cs="宋体"/>
                <w:color w:val="auto"/>
                <w:kern w:val="0"/>
                <w:szCs w:val="21"/>
                <w:highlight w:val="none"/>
              </w:rPr>
            </w:pPr>
          </w:p>
        </w:tc>
        <w:tc>
          <w:tcPr>
            <w:tcW w:w="717" w:type="dxa"/>
            <w:vMerge w:val="continue"/>
            <w:vAlign w:val="top"/>
          </w:tcPr>
          <w:p w14:paraId="2CFC39B5">
            <w:pPr>
              <w:pageBreakBefore w:val="0"/>
              <w:overflowPunct/>
              <w:topLinePunct w:val="0"/>
              <w:autoSpaceDE w:val="0"/>
              <w:autoSpaceDN w:val="0"/>
              <w:bidi w:val="0"/>
              <w:adjustRightInd w:val="0"/>
              <w:spacing w:line="360" w:lineRule="auto"/>
              <w:rPr>
                <w:rFonts w:hint="eastAsia" w:ascii="宋体" w:hAnsi="宋体" w:eastAsia="宋体" w:cs="宋体"/>
                <w:b/>
                <w:color w:val="auto"/>
                <w:szCs w:val="21"/>
                <w:highlight w:val="none"/>
                <w:lang w:eastAsia="zh-CN"/>
              </w:rPr>
            </w:pPr>
          </w:p>
        </w:tc>
        <w:tc>
          <w:tcPr>
            <w:tcW w:w="1418" w:type="dxa"/>
            <w:vAlign w:val="top"/>
          </w:tcPr>
          <w:p w14:paraId="66245D7B">
            <w:pPr>
              <w:pageBreakBefore w:val="0"/>
              <w:overflowPunct/>
              <w:topLinePunct w:val="0"/>
              <w:autoSpaceDE w:val="0"/>
              <w:autoSpaceDN w:val="0"/>
              <w:bidi w:val="0"/>
              <w:adjustRightInd w:val="0"/>
              <w:spacing w:line="360" w:lineRule="auto"/>
              <w:jc w:val="center"/>
              <w:rPr>
                <w:rFonts w:hint="eastAsia" w:ascii="宋体" w:hAnsi="宋体" w:eastAsia="宋体" w:cs="宋体"/>
                <w:b/>
                <w:color w:val="auto"/>
                <w:szCs w:val="21"/>
                <w:highlight w:val="none"/>
                <w:lang w:eastAsia="zh-CN"/>
              </w:rPr>
            </w:pPr>
            <w:r>
              <w:rPr>
                <w:rFonts w:hint="eastAsia" w:ascii="宋体" w:hAnsi="宋体" w:cs="宋体"/>
                <w:color w:val="auto"/>
                <w:kern w:val="0"/>
                <w:szCs w:val="21"/>
                <w:highlight w:val="none"/>
                <w:lang w:val="en-US" w:eastAsia="zh-CN"/>
              </w:rPr>
              <w:t>其他要求</w:t>
            </w:r>
          </w:p>
        </w:tc>
        <w:tc>
          <w:tcPr>
            <w:tcW w:w="6047" w:type="dxa"/>
            <w:vAlign w:val="top"/>
          </w:tcPr>
          <w:p w14:paraId="3E7F5B63">
            <w:pPr>
              <w:pageBreakBefore w:val="0"/>
              <w:overflowPunct/>
              <w:topLinePunct w:val="0"/>
              <w:bidi w:val="0"/>
              <w:spacing w:line="360" w:lineRule="auto"/>
              <w:rPr>
                <w:rFonts w:hint="eastAsia" w:ascii="宋体" w:hAnsi="宋体" w:eastAsia="宋体" w:cs="宋体"/>
                <w:b/>
                <w:color w:val="auto"/>
                <w:szCs w:val="21"/>
                <w:highlight w:val="none"/>
                <w:lang w:eastAsia="zh-CN"/>
              </w:rPr>
            </w:pPr>
            <w:r>
              <w:rPr>
                <w:rFonts w:hint="eastAsia" w:ascii="宋体" w:hAnsi="宋体" w:eastAsia="宋体" w:cs="宋体"/>
                <w:color w:val="auto"/>
                <w:sz w:val="21"/>
                <w:szCs w:val="21"/>
                <w:highlight w:val="none"/>
              </w:rPr>
              <w:t>符合有关法律、法规和磋商文件中规定的实质性条款。</w:t>
            </w:r>
          </w:p>
        </w:tc>
      </w:tr>
      <w:tr w14:paraId="31562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656" w:type="dxa"/>
            <w:vMerge w:val="continue"/>
            <w:vAlign w:val="top"/>
          </w:tcPr>
          <w:p w14:paraId="0CD0BC72">
            <w:pPr>
              <w:pageBreakBefore w:val="0"/>
              <w:overflowPunct/>
              <w:topLinePunct w:val="0"/>
              <w:autoSpaceDE w:val="0"/>
              <w:autoSpaceDN w:val="0"/>
              <w:bidi w:val="0"/>
              <w:adjustRightInd w:val="0"/>
              <w:spacing w:line="360" w:lineRule="auto"/>
              <w:rPr>
                <w:rFonts w:hint="eastAsia" w:ascii="宋体" w:hAnsi="宋体" w:eastAsia="宋体" w:cs="宋体"/>
                <w:color w:val="auto"/>
                <w:kern w:val="0"/>
                <w:szCs w:val="21"/>
                <w:highlight w:val="none"/>
              </w:rPr>
            </w:pPr>
          </w:p>
        </w:tc>
        <w:tc>
          <w:tcPr>
            <w:tcW w:w="717" w:type="dxa"/>
            <w:vMerge w:val="continue"/>
            <w:vAlign w:val="top"/>
          </w:tcPr>
          <w:p w14:paraId="14A8080A">
            <w:pPr>
              <w:pageBreakBefore w:val="0"/>
              <w:overflowPunct/>
              <w:topLinePunct w:val="0"/>
              <w:autoSpaceDE w:val="0"/>
              <w:autoSpaceDN w:val="0"/>
              <w:bidi w:val="0"/>
              <w:adjustRightInd w:val="0"/>
              <w:spacing w:line="360" w:lineRule="auto"/>
              <w:rPr>
                <w:rFonts w:hint="eastAsia" w:ascii="宋体" w:hAnsi="宋体" w:eastAsia="宋体" w:cs="宋体"/>
                <w:b/>
                <w:color w:val="auto"/>
                <w:szCs w:val="21"/>
                <w:highlight w:val="none"/>
                <w:lang w:eastAsia="zh-CN"/>
              </w:rPr>
            </w:pPr>
          </w:p>
        </w:tc>
        <w:tc>
          <w:tcPr>
            <w:tcW w:w="1418" w:type="dxa"/>
            <w:vAlign w:val="top"/>
          </w:tcPr>
          <w:p w14:paraId="01D9A36A">
            <w:pPr>
              <w:pageBreakBefore w:val="0"/>
              <w:overflowPunct/>
              <w:topLinePunct w:val="0"/>
              <w:autoSpaceDE w:val="0"/>
              <w:autoSpaceDN w:val="0"/>
              <w:bidi w:val="0"/>
              <w:adjustRightInd w:val="0"/>
              <w:spacing w:line="360" w:lineRule="auto"/>
              <w:jc w:val="center"/>
              <w:rPr>
                <w:rFonts w:hint="eastAsia" w:ascii="宋体" w:hAnsi="宋体" w:eastAsia="宋体" w:cs="宋体"/>
                <w:b/>
                <w:color w:val="auto"/>
                <w:szCs w:val="21"/>
                <w:highlight w:val="none"/>
                <w:lang w:eastAsia="zh-CN"/>
              </w:rPr>
            </w:pPr>
            <w:r>
              <w:rPr>
                <w:rFonts w:hint="eastAsia" w:ascii="宋体" w:hAnsi="宋体" w:cs="宋体"/>
                <w:color w:val="auto"/>
                <w:kern w:val="0"/>
                <w:szCs w:val="21"/>
                <w:highlight w:val="none"/>
                <w:lang w:val="en-US" w:eastAsia="zh-CN"/>
              </w:rPr>
              <w:t>其他要求</w:t>
            </w:r>
          </w:p>
        </w:tc>
        <w:tc>
          <w:tcPr>
            <w:tcW w:w="6047" w:type="dxa"/>
            <w:vAlign w:val="top"/>
          </w:tcPr>
          <w:p w14:paraId="247126B9">
            <w:pPr>
              <w:pageBreakBefore w:val="0"/>
              <w:overflowPunct/>
              <w:topLinePunct w:val="0"/>
              <w:bidi w:val="0"/>
              <w:spacing w:line="360" w:lineRule="auto"/>
              <w:rPr>
                <w:rFonts w:hint="eastAsia" w:ascii="宋体" w:hAnsi="宋体" w:eastAsia="宋体" w:cs="宋体"/>
                <w:b/>
                <w:color w:val="auto"/>
                <w:szCs w:val="21"/>
                <w:highlight w:val="none"/>
                <w:lang w:eastAsia="zh-CN"/>
              </w:rPr>
            </w:pPr>
            <w:r>
              <w:rPr>
                <w:rFonts w:hint="eastAsia" w:ascii="宋体" w:hAnsi="宋体" w:cs="宋体"/>
                <w:color w:val="auto"/>
                <w:kern w:val="0"/>
                <w:szCs w:val="21"/>
                <w:highlight w:val="none"/>
                <w:lang w:val="en-US" w:eastAsia="zh-CN"/>
              </w:rPr>
              <w:t>不</w:t>
            </w:r>
            <w:r>
              <w:rPr>
                <w:rFonts w:hint="eastAsia" w:ascii="宋体" w:hAnsi="宋体" w:eastAsia="宋体" w:cs="宋体"/>
                <w:color w:val="auto"/>
                <w:kern w:val="0"/>
                <w:szCs w:val="21"/>
                <w:highlight w:val="none"/>
                <w:lang w:eastAsia="zh-CN"/>
              </w:rPr>
              <w:t>存在</w:t>
            </w:r>
            <w:r>
              <w:rPr>
                <w:rFonts w:hint="eastAsia" w:ascii="宋体" w:hAnsi="宋体" w:eastAsia="宋体" w:cs="宋体"/>
                <w:color w:val="auto"/>
                <w:kern w:val="0"/>
                <w:szCs w:val="21"/>
                <w:highlight w:val="none"/>
              </w:rPr>
              <w:t>第</w:t>
            </w:r>
            <w:r>
              <w:rPr>
                <w:rFonts w:hint="eastAsia" w:ascii="宋体" w:hAnsi="宋体" w:eastAsia="宋体" w:cs="宋体"/>
                <w:color w:val="auto"/>
                <w:kern w:val="0"/>
                <w:szCs w:val="21"/>
                <w:highlight w:val="none"/>
                <w:lang w:val="en-US" w:eastAsia="zh-CN"/>
              </w:rPr>
              <w:t>二</w:t>
            </w:r>
            <w:r>
              <w:rPr>
                <w:rFonts w:hint="eastAsia" w:ascii="宋体" w:hAnsi="宋体" w:eastAsia="宋体" w:cs="宋体"/>
                <w:color w:val="auto"/>
                <w:kern w:val="0"/>
                <w:szCs w:val="21"/>
                <w:highlight w:val="none"/>
              </w:rPr>
              <w:t>章“</w:t>
            </w:r>
            <w:r>
              <w:rPr>
                <w:rFonts w:hint="eastAsia" w:ascii="宋体" w:hAnsi="宋体" w:eastAsia="宋体" w:cs="宋体"/>
                <w:color w:val="auto"/>
                <w:kern w:val="0"/>
                <w:szCs w:val="21"/>
                <w:highlight w:val="none"/>
                <w:lang w:val="en-US" w:eastAsia="zh-CN"/>
              </w:rPr>
              <w:t>磋商供应商</w:t>
            </w:r>
            <w:r>
              <w:rPr>
                <w:rFonts w:hint="eastAsia" w:ascii="宋体" w:hAnsi="宋体" w:eastAsia="宋体" w:cs="宋体"/>
                <w:color w:val="auto"/>
                <w:kern w:val="0"/>
                <w:szCs w:val="21"/>
                <w:highlight w:val="none"/>
              </w:rPr>
              <w:t>须知”</w:t>
            </w:r>
            <w:r>
              <w:rPr>
                <w:rFonts w:hint="eastAsia" w:ascii="宋体" w:hAnsi="宋体" w:eastAsia="宋体" w:cs="宋体"/>
                <w:color w:val="auto"/>
                <w:kern w:val="0"/>
                <w:szCs w:val="21"/>
                <w:highlight w:val="none"/>
                <w:lang w:eastAsia="zh-CN"/>
              </w:rPr>
              <w:t>中任意一项否决或无效投标情形。</w:t>
            </w:r>
          </w:p>
        </w:tc>
      </w:tr>
      <w:tr w14:paraId="5BA1C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656" w:type="dxa"/>
            <w:vAlign w:val="top"/>
          </w:tcPr>
          <w:p w14:paraId="1D68264D">
            <w:pPr>
              <w:pageBreakBefore w:val="0"/>
              <w:overflowPunct/>
              <w:topLinePunct w:val="0"/>
              <w:autoSpaceDE w:val="0"/>
              <w:autoSpaceDN w:val="0"/>
              <w:bidi w:val="0"/>
              <w:adjustRightInd w:val="0"/>
              <w:spacing w:line="360" w:lineRule="auto"/>
              <w:rPr>
                <w:rFonts w:hint="eastAsia" w:ascii="宋体" w:hAnsi="宋体" w:eastAsia="宋体" w:cs="宋体"/>
                <w:color w:val="auto"/>
                <w:kern w:val="0"/>
                <w:szCs w:val="21"/>
                <w:highlight w:val="none"/>
              </w:rPr>
            </w:pPr>
          </w:p>
        </w:tc>
        <w:tc>
          <w:tcPr>
            <w:tcW w:w="8182" w:type="dxa"/>
            <w:gridSpan w:val="3"/>
            <w:vAlign w:val="top"/>
          </w:tcPr>
          <w:p w14:paraId="056099D8">
            <w:pPr>
              <w:pageBreakBefore w:val="0"/>
              <w:overflowPunct/>
              <w:topLinePunct w:val="0"/>
              <w:autoSpaceDE w:val="0"/>
              <w:autoSpaceDN w:val="0"/>
              <w:bidi w:val="0"/>
              <w:adjustRightInd w:val="0"/>
              <w:spacing w:line="360" w:lineRule="auto"/>
              <w:rPr>
                <w:rFonts w:hint="eastAsia" w:ascii="宋体" w:hAnsi="宋体" w:eastAsia="宋体" w:cs="宋体"/>
                <w:color w:val="auto"/>
                <w:kern w:val="0"/>
                <w:szCs w:val="21"/>
                <w:highlight w:val="none"/>
              </w:rPr>
            </w:pPr>
            <w:r>
              <w:rPr>
                <w:rFonts w:hint="eastAsia" w:ascii="宋体" w:hAnsi="宋体" w:eastAsia="宋体" w:cs="宋体"/>
                <w:b/>
                <w:color w:val="auto"/>
                <w:szCs w:val="21"/>
                <w:highlight w:val="none"/>
                <w:lang w:eastAsia="zh-CN"/>
              </w:rPr>
              <w:t>符合性审查</w:t>
            </w:r>
            <w:r>
              <w:rPr>
                <w:rFonts w:hint="eastAsia" w:ascii="宋体" w:hAnsi="宋体" w:eastAsia="宋体" w:cs="宋体"/>
                <w:b/>
                <w:color w:val="auto"/>
                <w:szCs w:val="21"/>
                <w:highlight w:val="none"/>
              </w:rPr>
              <w:t>项中缺少任何一项或有任何一项不合格者其初步审查视为不合格，初步评审不合格的磋商人不再进入以下各项组成的详细评审。</w:t>
            </w:r>
          </w:p>
        </w:tc>
      </w:tr>
      <w:tr w14:paraId="401CA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8838" w:type="dxa"/>
            <w:gridSpan w:val="4"/>
            <w:vAlign w:val="top"/>
          </w:tcPr>
          <w:p w14:paraId="545CB6F1">
            <w:pPr>
              <w:pageBreakBefore w:val="0"/>
              <w:overflowPunct/>
              <w:topLinePunct w:val="0"/>
              <w:autoSpaceDE w:val="0"/>
              <w:autoSpaceDN w:val="0"/>
              <w:bidi w:val="0"/>
              <w:adjustRightIn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kern w:val="0"/>
                <w:szCs w:val="21"/>
                <w:highlight w:val="none"/>
              </w:rPr>
              <w:t>详细评审标准</w:t>
            </w:r>
          </w:p>
        </w:tc>
      </w:tr>
      <w:tr w14:paraId="514C7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3" w:hRule="atLeast"/>
        </w:trPr>
        <w:tc>
          <w:tcPr>
            <w:tcW w:w="1373" w:type="dxa"/>
            <w:gridSpan w:val="2"/>
            <w:tcBorders>
              <w:top w:val="single" w:color="auto" w:sz="4" w:space="0"/>
              <w:left w:val="single" w:color="auto" w:sz="4" w:space="0"/>
              <w:bottom w:val="single" w:color="auto" w:sz="4" w:space="0"/>
              <w:right w:val="single" w:color="auto" w:sz="4" w:space="0"/>
            </w:tcBorders>
            <w:vAlign w:val="center"/>
          </w:tcPr>
          <w:p w14:paraId="23697B05">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cs="宋体"/>
                <w:b/>
                <w:color w:val="auto"/>
                <w:szCs w:val="21"/>
                <w:highlight w:val="none"/>
                <w:lang w:val="en-US" w:eastAsia="zh-CN"/>
              </w:rPr>
              <w:t>价格分</w:t>
            </w:r>
            <w:r>
              <w:rPr>
                <w:rFonts w:hint="eastAsia" w:ascii="宋体" w:hAnsi="宋体" w:eastAsia="宋体" w:cs="宋体"/>
                <w:b/>
                <w:color w:val="auto"/>
                <w:szCs w:val="21"/>
                <w:highlight w:val="none"/>
              </w:rPr>
              <w:t>（</w:t>
            </w:r>
            <w:r>
              <w:rPr>
                <w:rFonts w:hint="eastAsia" w:ascii="宋体" w:hAnsi="宋体" w:cs="宋体"/>
                <w:b/>
                <w:color w:val="auto"/>
                <w:szCs w:val="21"/>
                <w:highlight w:val="none"/>
                <w:lang w:val="en-US" w:eastAsia="zh-CN"/>
              </w:rPr>
              <w:t>3</w:t>
            </w:r>
            <w:r>
              <w:rPr>
                <w:rFonts w:hint="eastAsia" w:ascii="宋体" w:hAnsi="宋体" w:eastAsia="宋体" w:cs="宋体"/>
                <w:b/>
                <w:color w:val="auto"/>
                <w:szCs w:val="21"/>
                <w:highlight w:val="none"/>
                <w:lang w:val="en-US" w:eastAsia="zh-CN"/>
              </w:rPr>
              <w:t>0</w:t>
            </w:r>
            <w:r>
              <w:rPr>
                <w:rFonts w:hint="eastAsia" w:ascii="宋体" w:hAnsi="宋体" w:eastAsia="宋体" w:cs="宋体"/>
                <w:b/>
                <w:color w:val="auto"/>
                <w:szCs w:val="21"/>
                <w:highlight w:val="none"/>
              </w:rPr>
              <w:t>分）</w:t>
            </w:r>
          </w:p>
        </w:tc>
        <w:tc>
          <w:tcPr>
            <w:tcW w:w="7465" w:type="dxa"/>
            <w:gridSpan w:val="2"/>
            <w:tcBorders>
              <w:top w:val="single" w:color="auto" w:sz="4" w:space="0"/>
              <w:left w:val="single" w:color="auto" w:sz="4" w:space="0"/>
              <w:bottom w:val="single" w:color="auto" w:sz="4" w:space="0"/>
            </w:tcBorders>
            <w:vAlign w:val="center"/>
          </w:tcPr>
          <w:p w14:paraId="21900F6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评标基准价的计算方法：</w:t>
            </w:r>
          </w:p>
          <w:p w14:paraId="28622A87">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政府采购促进中小企业发展管理办法（财库〔2020〕46号）》、《财政部关于进一步加大政府采购支持中小企业力度的通知（财库〔2022〕19号）》文件指导精神：本项目为专门面向“中小企业”的项目或者采购包，不再执行价格评审优惠的扶持政策。评标报价等于投标报价。</w:t>
            </w:r>
          </w:p>
          <w:p w14:paraId="09290634">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（2）满足招标文件要求且评标报价最低的评标报价为评标基准价，其价格分为满分。</w:t>
            </w:r>
          </w:p>
          <w:p w14:paraId="27AD3EF2">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（3）价格分计算公式：        </w:t>
            </w:r>
          </w:p>
          <w:p w14:paraId="3B44C0B0">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价格分=(评标基准价／评标报价)×</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0分</w:t>
            </w:r>
          </w:p>
        </w:tc>
      </w:tr>
      <w:tr w14:paraId="6DE02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73" w:type="dxa"/>
            <w:gridSpan w:val="2"/>
            <w:vMerge w:val="restart"/>
            <w:vAlign w:val="center"/>
          </w:tcPr>
          <w:p w14:paraId="5F7ECC94">
            <w:pPr>
              <w:pageBreakBefore w:val="0"/>
              <w:overflowPunct/>
              <w:topLinePunct w:val="0"/>
              <w:bidi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kern w:val="0"/>
                <w:szCs w:val="21"/>
                <w:highlight w:val="none"/>
              </w:rPr>
              <w:t>施工组织设计</w:t>
            </w:r>
            <w:r>
              <w:rPr>
                <w:rFonts w:hint="eastAsia" w:ascii="宋体" w:hAnsi="宋体" w:cs="宋体"/>
                <w:b/>
                <w:color w:val="auto"/>
                <w:kern w:val="0"/>
                <w:szCs w:val="21"/>
                <w:highlight w:val="none"/>
                <w:lang w:val="en-US" w:eastAsia="zh-CN"/>
              </w:rPr>
              <w:t>分</w:t>
            </w:r>
            <w:r>
              <w:rPr>
                <w:rFonts w:hint="eastAsia" w:ascii="宋体" w:hAnsi="宋体" w:eastAsia="宋体" w:cs="宋体"/>
                <w:b/>
                <w:color w:val="auto"/>
                <w:szCs w:val="21"/>
                <w:highlight w:val="none"/>
              </w:rPr>
              <w:t>（满分</w:t>
            </w:r>
            <w:r>
              <w:rPr>
                <w:rFonts w:hint="eastAsia" w:ascii="宋体" w:hAnsi="宋体" w:cs="宋体"/>
                <w:b/>
                <w:color w:val="auto"/>
                <w:szCs w:val="21"/>
                <w:highlight w:val="none"/>
                <w:lang w:val="en-US" w:eastAsia="zh-CN"/>
              </w:rPr>
              <w:t>5</w:t>
            </w:r>
            <w:r>
              <w:rPr>
                <w:rFonts w:hint="eastAsia" w:ascii="宋体" w:hAnsi="宋体" w:eastAsia="宋体" w:cs="宋体"/>
                <w:b/>
                <w:color w:val="auto"/>
                <w:szCs w:val="21"/>
                <w:highlight w:val="none"/>
                <w:lang w:val="en-US" w:eastAsia="zh-CN"/>
              </w:rPr>
              <w:t>0</w:t>
            </w:r>
            <w:r>
              <w:rPr>
                <w:rFonts w:hint="eastAsia" w:ascii="宋体" w:hAnsi="宋体" w:eastAsia="宋体" w:cs="宋体"/>
                <w:b/>
                <w:color w:val="auto"/>
                <w:szCs w:val="21"/>
                <w:highlight w:val="none"/>
              </w:rPr>
              <w:t>分）</w:t>
            </w:r>
          </w:p>
          <w:p w14:paraId="0996FA73">
            <w:pPr>
              <w:pageBreakBefore w:val="0"/>
              <w:overflowPunct/>
              <w:topLinePunct w:val="0"/>
              <w:bidi w:val="0"/>
              <w:spacing w:line="360" w:lineRule="auto"/>
              <w:jc w:val="left"/>
              <w:rPr>
                <w:rFonts w:hint="eastAsia" w:ascii="宋体" w:hAnsi="宋体" w:eastAsia="宋体" w:cs="宋体"/>
                <w:b/>
                <w:color w:val="auto"/>
                <w:kern w:val="0"/>
                <w:szCs w:val="21"/>
                <w:highlight w:val="none"/>
              </w:rPr>
            </w:pPr>
          </w:p>
          <w:p w14:paraId="1CE87DB1">
            <w:pPr>
              <w:pageBreakBefore w:val="0"/>
              <w:overflowPunct/>
              <w:topLinePunct w:val="0"/>
              <w:bidi w:val="0"/>
              <w:spacing w:line="360" w:lineRule="auto"/>
              <w:jc w:val="left"/>
              <w:rPr>
                <w:rFonts w:hint="eastAsia" w:ascii="宋体" w:hAnsi="宋体" w:eastAsia="宋体" w:cs="宋体"/>
                <w:b/>
                <w:color w:val="auto"/>
                <w:kern w:val="0"/>
                <w:szCs w:val="21"/>
                <w:highlight w:val="none"/>
              </w:rPr>
            </w:pPr>
          </w:p>
          <w:p w14:paraId="32A4B79D">
            <w:pPr>
              <w:pageBreakBefore w:val="0"/>
              <w:overflowPunct/>
              <w:topLinePunct w:val="0"/>
              <w:bidi w:val="0"/>
              <w:spacing w:line="360" w:lineRule="auto"/>
              <w:jc w:val="left"/>
              <w:rPr>
                <w:rFonts w:hint="eastAsia" w:ascii="宋体" w:hAnsi="宋体" w:eastAsia="宋体" w:cs="宋体"/>
                <w:b/>
                <w:color w:val="auto"/>
                <w:kern w:val="0"/>
                <w:szCs w:val="21"/>
                <w:highlight w:val="none"/>
              </w:rPr>
            </w:pPr>
          </w:p>
          <w:p w14:paraId="605C1688">
            <w:pPr>
              <w:pageBreakBefore w:val="0"/>
              <w:overflowPunct/>
              <w:topLinePunct w:val="0"/>
              <w:bidi w:val="0"/>
              <w:spacing w:line="360" w:lineRule="auto"/>
              <w:jc w:val="left"/>
              <w:rPr>
                <w:rFonts w:hint="eastAsia" w:ascii="宋体" w:hAnsi="宋体" w:eastAsia="宋体" w:cs="宋体"/>
                <w:b/>
                <w:color w:val="auto"/>
                <w:kern w:val="0"/>
                <w:szCs w:val="21"/>
                <w:highlight w:val="none"/>
              </w:rPr>
            </w:pPr>
          </w:p>
          <w:p w14:paraId="090FB5FB">
            <w:pPr>
              <w:pageBreakBefore w:val="0"/>
              <w:overflowPunct/>
              <w:topLinePunct w:val="0"/>
              <w:bidi w:val="0"/>
              <w:spacing w:line="360" w:lineRule="auto"/>
              <w:jc w:val="center"/>
              <w:rPr>
                <w:rFonts w:hint="eastAsia" w:ascii="宋体" w:hAnsi="宋体" w:eastAsia="宋体" w:cs="宋体"/>
                <w:color w:val="auto"/>
                <w:kern w:val="0"/>
                <w:szCs w:val="21"/>
                <w:highlight w:val="none"/>
              </w:rPr>
            </w:pPr>
          </w:p>
        </w:tc>
        <w:tc>
          <w:tcPr>
            <w:tcW w:w="1418" w:type="dxa"/>
            <w:vAlign w:val="center"/>
          </w:tcPr>
          <w:p w14:paraId="78EF9223">
            <w:pPr>
              <w:pageBreakBefore w:val="0"/>
              <w:overflowPunct/>
              <w:topLinePunct w:val="0"/>
              <w:bidi w:val="0"/>
              <w:spacing w:line="360" w:lineRule="auto"/>
              <w:ind w:right="105" w:rightChars="50"/>
              <w:jc w:val="center"/>
              <w:rPr>
                <w:rFonts w:hint="eastAsia" w:ascii="宋体" w:hAnsi="宋体" w:eastAsia="宋体" w:cs="宋体"/>
                <w:b/>
                <w:color w:val="auto"/>
                <w:szCs w:val="21"/>
                <w:highlight w:val="none"/>
              </w:rPr>
            </w:pPr>
            <w:r>
              <w:rPr>
                <w:rFonts w:hint="eastAsia" w:ascii="宋体" w:hAnsi="宋体" w:eastAsia="宋体" w:cs="宋体"/>
                <w:color w:val="auto"/>
                <w:kern w:val="0"/>
                <w:szCs w:val="21"/>
                <w:highlight w:val="none"/>
              </w:rPr>
              <w:t>主要施工方法</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分）</w:t>
            </w:r>
          </w:p>
        </w:tc>
        <w:tc>
          <w:tcPr>
            <w:tcW w:w="6047" w:type="dxa"/>
            <w:vAlign w:val="center"/>
          </w:tcPr>
          <w:p w14:paraId="675B2C62">
            <w:pPr>
              <w:keepNext w:val="0"/>
              <w:keepLines w:val="0"/>
              <w:pageBreakBefore w:val="0"/>
              <w:widowControl/>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各主要分部施工方法符合项目实际，须有详尽的施工技术方案，工艺先进、方法科学合理、可行，能指导具体施工并确保安全。</w:t>
            </w:r>
          </w:p>
          <w:p w14:paraId="643A4EF8">
            <w:pPr>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eastAsia="zh-CN"/>
              </w:rPr>
              <w:t>一档</w:t>
            </w:r>
            <w:r>
              <w:rPr>
                <w:rFonts w:hint="eastAsia" w:ascii="宋体" w:hAnsi="宋体" w:cs="宋体"/>
                <w:b w:val="0"/>
                <w:bCs/>
                <w:color w:val="auto"/>
                <w:szCs w:val="21"/>
                <w:highlight w:val="none"/>
                <w:lang w:val="en-US" w:eastAsia="zh-CN"/>
              </w:rPr>
              <w:t>1</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，各主要分部施工方法不符合项目实际，没有详尽的施工技术方案，方法不合理、不可行，不能指导具体施工并确保安全；</w:t>
            </w:r>
          </w:p>
          <w:p w14:paraId="064DB621">
            <w:pPr>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eastAsia="zh-CN"/>
              </w:rPr>
              <w:t>二档</w:t>
            </w:r>
            <w:r>
              <w:rPr>
                <w:rFonts w:hint="eastAsia" w:ascii="宋体" w:hAnsi="宋体" w:cs="宋体"/>
                <w:b w:val="0"/>
                <w:bCs/>
                <w:color w:val="auto"/>
                <w:szCs w:val="21"/>
                <w:highlight w:val="none"/>
                <w:lang w:val="en-US" w:eastAsia="zh-CN"/>
              </w:rPr>
              <w:t>3</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，各主要分部施工方法基本符合项目实际，有施工技术方案，方法基本合理、可行，基本能指导具体施工并确保安全；</w:t>
            </w:r>
          </w:p>
          <w:p w14:paraId="66512CC4">
            <w:pPr>
              <w:keepNext w:val="0"/>
              <w:keepLines w:val="0"/>
              <w:pageBreakBefore w:val="0"/>
              <w:widowControl/>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eastAsia="zh-CN"/>
              </w:rPr>
              <w:t>三档</w:t>
            </w:r>
            <w:r>
              <w:rPr>
                <w:rFonts w:hint="eastAsia" w:ascii="宋体" w:hAnsi="宋体" w:cs="宋体"/>
                <w:b w:val="0"/>
                <w:bCs/>
                <w:color w:val="auto"/>
                <w:szCs w:val="21"/>
                <w:highlight w:val="none"/>
                <w:lang w:val="en-US" w:eastAsia="zh-CN"/>
              </w:rPr>
              <w:t>5</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，各主要分部施工方法符合项目实际，有详尽的施工技术方案，工艺先进、方法科学合理、可行，能指导具体施工并确保安全。</w:t>
            </w:r>
          </w:p>
          <w:p w14:paraId="6931D4E5">
            <w:pPr>
              <w:pStyle w:val="40"/>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color w:val="auto"/>
                <w:highlight w:val="none"/>
              </w:rPr>
            </w:pPr>
            <w:r>
              <w:rPr>
                <w:rFonts w:hint="eastAsia" w:ascii="宋体" w:hAnsi="宋体" w:eastAsia="宋体" w:cs="宋体"/>
                <w:b/>
                <w:bCs/>
                <w:color w:val="auto"/>
                <w:sz w:val="21"/>
                <w:szCs w:val="21"/>
                <w:highlight w:val="none"/>
              </w:rPr>
              <w:t>注：未提供主要施工方法</w:t>
            </w:r>
            <w:r>
              <w:rPr>
                <w:rFonts w:hint="eastAsia" w:ascii="宋体" w:hAnsi="宋体" w:eastAsia="宋体" w:cs="宋体"/>
                <w:b/>
                <w:bCs/>
                <w:color w:val="auto"/>
                <w:sz w:val="21"/>
                <w:szCs w:val="21"/>
                <w:highlight w:val="none"/>
                <w:lang w:eastAsia="zh-CN"/>
              </w:rPr>
              <w:t>方案</w:t>
            </w:r>
            <w:r>
              <w:rPr>
                <w:rFonts w:hint="eastAsia" w:ascii="宋体" w:hAnsi="宋体" w:eastAsia="宋体" w:cs="宋体"/>
                <w:b/>
                <w:bCs/>
                <w:color w:val="auto"/>
                <w:sz w:val="21"/>
                <w:szCs w:val="21"/>
                <w:highlight w:val="none"/>
              </w:rPr>
              <w:t>或未达到最低档次标准的，得0分。</w:t>
            </w:r>
          </w:p>
        </w:tc>
      </w:tr>
      <w:tr w14:paraId="5E84D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3" w:hRule="atLeast"/>
        </w:trPr>
        <w:tc>
          <w:tcPr>
            <w:tcW w:w="1373" w:type="dxa"/>
            <w:gridSpan w:val="2"/>
            <w:vMerge w:val="continue"/>
            <w:vAlign w:val="center"/>
          </w:tcPr>
          <w:p w14:paraId="263742DC">
            <w:pPr>
              <w:pageBreakBefore w:val="0"/>
              <w:overflowPunct/>
              <w:topLinePunct w:val="0"/>
              <w:bidi w:val="0"/>
              <w:spacing w:line="360" w:lineRule="auto"/>
              <w:jc w:val="center"/>
              <w:rPr>
                <w:rFonts w:hint="eastAsia" w:ascii="宋体" w:hAnsi="宋体" w:eastAsia="宋体" w:cs="宋体"/>
                <w:b/>
                <w:color w:val="auto"/>
                <w:kern w:val="0"/>
                <w:szCs w:val="21"/>
                <w:highlight w:val="none"/>
              </w:rPr>
            </w:pPr>
          </w:p>
        </w:tc>
        <w:tc>
          <w:tcPr>
            <w:tcW w:w="1418" w:type="dxa"/>
            <w:vAlign w:val="center"/>
          </w:tcPr>
          <w:p w14:paraId="48EB69E5">
            <w:pPr>
              <w:pageBreakBefore w:val="0"/>
              <w:widowControl/>
              <w:overflowPunct/>
              <w:topLinePunct w:val="0"/>
              <w:bidi w:val="0"/>
              <w:spacing w:line="360" w:lineRule="auto"/>
              <w:ind w:right="105" w:rightChars="50"/>
              <w:jc w:val="center"/>
              <w:rPr>
                <w:rFonts w:hint="eastAsia" w:ascii="宋体" w:hAnsi="宋体" w:eastAsia="宋体" w:cs="宋体"/>
                <w:b/>
                <w:color w:val="auto"/>
                <w:szCs w:val="21"/>
                <w:highlight w:val="none"/>
              </w:rPr>
            </w:pPr>
            <w:r>
              <w:rPr>
                <w:rFonts w:hint="eastAsia" w:ascii="宋体" w:hAnsi="宋体" w:eastAsia="宋体" w:cs="宋体"/>
                <w:color w:val="auto"/>
                <w:kern w:val="0"/>
                <w:szCs w:val="21"/>
                <w:highlight w:val="none"/>
              </w:rPr>
              <w:t>拟投入的主要物资计划</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分）</w:t>
            </w:r>
          </w:p>
        </w:tc>
        <w:tc>
          <w:tcPr>
            <w:tcW w:w="6047" w:type="dxa"/>
            <w:vAlign w:val="center"/>
          </w:tcPr>
          <w:p w14:paraId="7B4051F8">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投入的施工材料有详细的组织计划且计划周密，数量、选型配置、进场时间安排合理，满足施工需要。</w:t>
            </w:r>
          </w:p>
          <w:p w14:paraId="4654B239">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eastAsia="zh-CN"/>
              </w:rPr>
              <w:t>一档</w:t>
            </w:r>
            <w:r>
              <w:rPr>
                <w:rFonts w:hint="eastAsia" w:ascii="宋体" w:hAnsi="宋体" w:cs="宋体"/>
                <w:b w:val="0"/>
                <w:bCs/>
                <w:color w:val="auto"/>
                <w:szCs w:val="21"/>
                <w:highlight w:val="none"/>
                <w:lang w:val="en-US" w:eastAsia="zh-CN"/>
              </w:rPr>
              <w:t>1</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，拟投入的施工材料没有详细的组织计划，数量、选型配置、进场时间安排不合理，不满足施工需要；</w:t>
            </w:r>
          </w:p>
          <w:p w14:paraId="3B6B6710">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eastAsia="zh-CN"/>
              </w:rPr>
              <w:t>二档</w:t>
            </w:r>
            <w:r>
              <w:rPr>
                <w:rFonts w:hint="eastAsia" w:ascii="宋体" w:hAnsi="宋体" w:cs="宋体"/>
                <w:b w:val="0"/>
                <w:bCs/>
                <w:color w:val="auto"/>
                <w:szCs w:val="21"/>
                <w:highlight w:val="none"/>
                <w:lang w:val="en-US" w:eastAsia="zh-CN"/>
              </w:rPr>
              <w:t>3</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，拟投入的施工材料有组织计划，数量、选型配置、进场时间安排基本合理，基本满足施工需要；</w:t>
            </w:r>
          </w:p>
          <w:p w14:paraId="56C77CD1">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eastAsia="zh-CN"/>
              </w:rPr>
              <w:t>三档</w:t>
            </w:r>
            <w:r>
              <w:rPr>
                <w:rFonts w:hint="eastAsia" w:ascii="宋体" w:hAnsi="宋体" w:cs="宋体"/>
                <w:b w:val="0"/>
                <w:bCs/>
                <w:color w:val="auto"/>
                <w:szCs w:val="21"/>
                <w:highlight w:val="none"/>
                <w:lang w:val="en-US" w:eastAsia="zh-CN"/>
              </w:rPr>
              <w:t>5</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，拟投入的施工材料有详细的组织计划且计划周密，数量、选型配置、进场时间安排合理，满足施工需要。</w:t>
            </w:r>
          </w:p>
          <w:p w14:paraId="0C352D19">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b/>
                <w:color w:val="auto"/>
                <w:szCs w:val="21"/>
                <w:highlight w:val="none"/>
                <w:lang w:eastAsia="zh-CN"/>
              </w:rPr>
              <w:t>注：未提供拟投入的主要物资计划方案或未达到最低档次标准的，得0分。</w:t>
            </w:r>
          </w:p>
        </w:tc>
      </w:tr>
      <w:tr w14:paraId="1A667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2" w:hRule="atLeast"/>
        </w:trPr>
        <w:tc>
          <w:tcPr>
            <w:tcW w:w="1373" w:type="dxa"/>
            <w:gridSpan w:val="2"/>
            <w:vMerge w:val="continue"/>
            <w:vAlign w:val="center"/>
          </w:tcPr>
          <w:p w14:paraId="5A4331B6">
            <w:pPr>
              <w:pageBreakBefore w:val="0"/>
              <w:overflowPunct/>
              <w:topLinePunct w:val="0"/>
              <w:bidi w:val="0"/>
              <w:spacing w:line="360" w:lineRule="auto"/>
              <w:ind w:firstLine="420" w:firstLineChars="200"/>
              <w:rPr>
                <w:rFonts w:hint="eastAsia" w:ascii="宋体" w:hAnsi="宋体" w:eastAsia="宋体" w:cs="宋体"/>
                <w:color w:val="auto"/>
                <w:highlight w:val="none"/>
              </w:rPr>
            </w:pPr>
          </w:p>
        </w:tc>
        <w:tc>
          <w:tcPr>
            <w:tcW w:w="1418" w:type="dxa"/>
            <w:vAlign w:val="center"/>
          </w:tcPr>
          <w:p w14:paraId="42C0CB85">
            <w:pPr>
              <w:pageBreakBefore w:val="0"/>
              <w:widowControl/>
              <w:overflowPunct/>
              <w:topLinePunct w:val="0"/>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拟投入的主要施工机械、设备计划</w:t>
            </w:r>
          </w:p>
          <w:p w14:paraId="2433C971">
            <w:pPr>
              <w:pageBreakBefore w:val="0"/>
              <w:widowControl/>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rPr>
              <w:t>分）</w:t>
            </w:r>
          </w:p>
        </w:tc>
        <w:tc>
          <w:tcPr>
            <w:tcW w:w="6047" w:type="dxa"/>
            <w:vAlign w:val="center"/>
          </w:tcPr>
          <w:p w14:paraId="1A247F3E">
            <w:pPr>
              <w:keepNext w:val="0"/>
              <w:keepLines w:val="0"/>
              <w:pageBreakBefore w:val="0"/>
              <w:widowControl/>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投入的施工机械、设备、机具有详细的组织计划且计划周密，设备数量、选型配置、进场时间安排合理，满足施工需要。</w:t>
            </w:r>
          </w:p>
          <w:p w14:paraId="22370DB1">
            <w:pPr>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eastAsia="zh-CN"/>
              </w:rPr>
              <w:t>一档</w:t>
            </w:r>
            <w:r>
              <w:rPr>
                <w:rFonts w:hint="eastAsia" w:ascii="宋体" w:hAnsi="宋体" w:cs="宋体"/>
                <w:b w:val="0"/>
                <w:bCs/>
                <w:color w:val="auto"/>
                <w:szCs w:val="21"/>
                <w:highlight w:val="none"/>
                <w:lang w:val="en-US" w:eastAsia="zh-CN"/>
              </w:rPr>
              <w:t>1</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，拟投入的施工机械、设备、机具没有详细的组织计划，设备数量、选型配置、进场时间安排不合理，不满足施工需要；</w:t>
            </w:r>
          </w:p>
          <w:p w14:paraId="17DBE817">
            <w:pPr>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eastAsia="zh-CN"/>
              </w:rPr>
              <w:t>二档</w:t>
            </w:r>
            <w:r>
              <w:rPr>
                <w:rFonts w:hint="eastAsia" w:ascii="宋体" w:hAnsi="宋体" w:cs="宋体"/>
                <w:b w:val="0"/>
                <w:bCs/>
                <w:color w:val="auto"/>
                <w:szCs w:val="21"/>
                <w:highlight w:val="none"/>
                <w:lang w:val="en-US" w:eastAsia="zh-CN"/>
              </w:rPr>
              <w:t>3</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，拟投入的施工机械、设备、机具有组织计划，设备数量、选型配置、进场时间安排基本合理，基本满足施工需要；</w:t>
            </w:r>
          </w:p>
          <w:p w14:paraId="5BA08CE5">
            <w:pPr>
              <w:keepNext w:val="0"/>
              <w:keepLines w:val="0"/>
              <w:pageBreakBefore w:val="0"/>
              <w:widowControl/>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eastAsia="zh-CN"/>
              </w:rPr>
              <w:t>三档</w:t>
            </w:r>
            <w:r>
              <w:rPr>
                <w:rFonts w:hint="eastAsia" w:ascii="宋体" w:hAnsi="宋体" w:cs="宋体"/>
                <w:b w:val="0"/>
                <w:bCs/>
                <w:color w:val="auto"/>
                <w:szCs w:val="21"/>
                <w:highlight w:val="none"/>
                <w:lang w:val="en-US" w:eastAsia="zh-CN"/>
              </w:rPr>
              <w:t>5</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，拟投入的施工机械、设备、机具有详细的组织计划且计划周密，设备数量、选型配置、进场时间安排合理，满足施工需要。</w:t>
            </w:r>
          </w:p>
          <w:p w14:paraId="5ECC6D68">
            <w:pPr>
              <w:pStyle w:val="40"/>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b/>
                <w:bCs/>
                <w:color w:val="auto"/>
                <w:sz w:val="21"/>
                <w:szCs w:val="21"/>
                <w:highlight w:val="none"/>
                <w:lang w:eastAsia="zh-CN"/>
              </w:rPr>
              <w:t>注：未提供拟投入的主要施工机械、设备计划方案或未达到最低档次标准的，得0分</w:t>
            </w:r>
            <w:r>
              <w:rPr>
                <w:rFonts w:hint="eastAsia" w:ascii="宋体" w:hAnsi="宋体" w:eastAsia="宋体" w:cs="宋体"/>
                <w:color w:val="auto"/>
                <w:highlight w:val="none"/>
                <w:lang w:eastAsia="zh-CN"/>
              </w:rPr>
              <w:t>。</w:t>
            </w:r>
          </w:p>
        </w:tc>
      </w:tr>
      <w:tr w14:paraId="1DBE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7" w:hRule="atLeast"/>
        </w:trPr>
        <w:tc>
          <w:tcPr>
            <w:tcW w:w="1373" w:type="dxa"/>
            <w:gridSpan w:val="2"/>
            <w:vMerge w:val="continue"/>
            <w:vAlign w:val="center"/>
          </w:tcPr>
          <w:p w14:paraId="49F45A79">
            <w:pPr>
              <w:pageBreakBefore w:val="0"/>
              <w:overflowPunct/>
              <w:topLinePunct w:val="0"/>
              <w:bidi w:val="0"/>
              <w:spacing w:line="360" w:lineRule="auto"/>
              <w:ind w:firstLine="420" w:firstLineChars="200"/>
              <w:rPr>
                <w:rFonts w:hint="eastAsia" w:ascii="宋体" w:hAnsi="宋体" w:eastAsia="宋体" w:cs="宋体"/>
                <w:bCs/>
                <w:color w:val="auto"/>
                <w:szCs w:val="21"/>
                <w:highlight w:val="none"/>
              </w:rPr>
            </w:pPr>
          </w:p>
        </w:tc>
        <w:tc>
          <w:tcPr>
            <w:tcW w:w="1418" w:type="dxa"/>
            <w:vAlign w:val="center"/>
          </w:tcPr>
          <w:p w14:paraId="6B8BA3BA">
            <w:pPr>
              <w:pageBreakBefore w:val="0"/>
              <w:widowControl/>
              <w:overflowPunct/>
              <w:topLinePunct w:val="0"/>
              <w:bidi w:val="0"/>
              <w:spacing w:line="360" w:lineRule="auto"/>
              <w:ind w:right="105" w:rightChars="5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劳动力安排计划</w:t>
            </w:r>
          </w:p>
          <w:p w14:paraId="5479264E">
            <w:pPr>
              <w:pageBreakBefore w:val="0"/>
              <w:widowControl/>
              <w:overflowPunct/>
              <w:topLinePunct w:val="0"/>
              <w:bidi w:val="0"/>
              <w:spacing w:line="360" w:lineRule="auto"/>
              <w:ind w:right="105" w:rightChars="50"/>
              <w:jc w:val="center"/>
              <w:rPr>
                <w:rFonts w:hint="eastAsia" w:ascii="宋体" w:hAnsi="宋体" w:eastAsia="宋体" w:cs="宋体"/>
                <w:bCs/>
                <w:color w:val="auto"/>
                <w:szCs w:val="21"/>
                <w:highlight w:val="none"/>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rPr>
              <w:t>分）</w:t>
            </w:r>
          </w:p>
        </w:tc>
        <w:tc>
          <w:tcPr>
            <w:tcW w:w="6047" w:type="dxa"/>
            <w:vAlign w:val="center"/>
          </w:tcPr>
          <w:p w14:paraId="3568BAD8">
            <w:pPr>
              <w:keepNext w:val="0"/>
              <w:keepLines w:val="0"/>
              <w:pageBreakBefore w:val="0"/>
              <w:widowControl/>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各主要施工工序应有详细周密的劳动力安排计划，有各工种劳动力安排计划，劳动力投入合理，满足施工需要。</w:t>
            </w:r>
          </w:p>
          <w:p w14:paraId="448DCEE3">
            <w:pPr>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eastAsia="zh-CN"/>
              </w:rPr>
              <w:t>一档</w:t>
            </w:r>
            <w:r>
              <w:rPr>
                <w:rFonts w:hint="eastAsia" w:ascii="宋体" w:hAnsi="宋体" w:cs="宋体"/>
                <w:b w:val="0"/>
                <w:bCs/>
                <w:color w:val="auto"/>
                <w:szCs w:val="21"/>
                <w:highlight w:val="none"/>
                <w:lang w:val="en-US" w:eastAsia="zh-CN"/>
              </w:rPr>
              <w:t>1</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，各主要施工工序没有详细周密的劳动力安排计划，没有各工种劳动力安排计划，劳动力投入不合理，不满足施工需要；</w:t>
            </w:r>
          </w:p>
          <w:p w14:paraId="1C02F8F6">
            <w:pPr>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eastAsia="zh-CN"/>
              </w:rPr>
              <w:t>二档</w:t>
            </w:r>
            <w:r>
              <w:rPr>
                <w:rFonts w:hint="eastAsia" w:ascii="宋体" w:hAnsi="宋体" w:cs="宋体"/>
                <w:b w:val="0"/>
                <w:bCs/>
                <w:color w:val="auto"/>
                <w:szCs w:val="21"/>
                <w:highlight w:val="none"/>
                <w:lang w:val="en-US" w:eastAsia="zh-CN"/>
              </w:rPr>
              <w:t>3</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，各主要施工工序有劳动力安排计划，有各工种劳动力安排计划，劳动力投入基本合理，基本满足施工需要；</w:t>
            </w:r>
          </w:p>
          <w:p w14:paraId="03B9DF83">
            <w:pPr>
              <w:keepNext w:val="0"/>
              <w:keepLines w:val="0"/>
              <w:pageBreakBefore w:val="0"/>
              <w:widowControl/>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eastAsia="zh-CN"/>
              </w:rPr>
              <w:t>三档</w:t>
            </w:r>
            <w:r>
              <w:rPr>
                <w:rFonts w:hint="eastAsia" w:ascii="宋体" w:hAnsi="宋体" w:cs="宋体"/>
                <w:b w:val="0"/>
                <w:bCs/>
                <w:color w:val="auto"/>
                <w:szCs w:val="21"/>
                <w:highlight w:val="none"/>
                <w:lang w:val="en-US" w:eastAsia="zh-CN"/>
              </w:rPr>
              <w:t>5</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，各主要施工工序有详细周密的劳动力安排计划，有各工种劳动力安排计划，劳动力投入合理，满足施工需要。</w:t>
            </w:r>
          </w:p>
          <w:p w14:paraId="125B60B7">
            <w:pPr>
              <w:pStyle w:val="40"/>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color w:val="auto"/>
                <w:highlight w:val="none"/>
              </w:rPr>
            </w:pPr>
            <w:r>
              <w:rPr>
                <w:rFonts w:hint="eastAsia" w:ascii="宋体" w:hAnsi="宋体" w:eastAsia="宋体" w:cs="宋体"/>
                <w:b/>
                <w:bCs/>
                <w:color w:val="auto"/>
                <w:sz w:val="21"/>
                <w:szCs w:val="21"/>
                <w:highlight w:val="none"/>
              </w:rPr>
              <w:t>注：未提供劳动力安排计划</w:t>
            </w:r>
            <w:r>
              <w:rPr>
                <w:rFonts w:hint="eastAsia" w:ascii="宋体" w:hAnsi="宋体" w:eastAsia="宋体" w:cs="宋体"/>
                <w:b/>
                <w:bCs/>
                <w:color w:val="auto"/>
                <w:sz w:val="21"/>
                <w:szCs w:val="21"/>
                <w:highlight w:val="none"/>
                <w:lang w:eastAsia="zh-CN"/>
              </w:rPr>
              <w:t>方案</w:t>
            </w:r>
            <w:r>
              <w:rPr>
                <w:rFonts w:hint="eastAsia" w:ascii="宋体" w:hAnsi="宋体" w:eastAsia="宋体" w:cs="宋体"/>
                <w:b/>
                <w:bCs/>
                <w:color w:val="auto"/>
                <w:sz w:val="21"/>
                <w:szCs w:val="21"/>
                <w:highlight w:val="none"/>
              </w:rPr>
              <w:t>或未达到最低档次标准的，得0分。</w:t>
            </w:r>
          </w:p>
        </w:tc>
      </w:tr>
      <w:tr w14:paraId="7A45D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3" w:hRule="atLeast"/>
        </w:trPr>
        <w:tc>
          <w:tcPr>
            <w:tcW w:w="1373" w:type="dxa"/>
            <w:gridSpan w:val="2"/>
            <w:vMerge w:val="continue"/>
            <w:vAlign w:val="center"/>
          </w:tcPr>
          <w:p w14:paraId="570263B1">
            <w:pPr>
              <w:pageBreakBefore w:val="0"/>
              <w:overflowPunct/>
              <w:topLinePunct w:val="0"/>
              <w:bidi w:val="0"/>
              <w:spacing w:line="360" w:lineRule="auto"/>
              <w:ind w:firstLine="420" w:firstLineChars="200"/>
              <w:rPr>
                <w:rFonts w:hint="eastAsia" w:ascii="宋体" w:hAnsi="宋体" w:eastAsia="宋体" w:cs="宋体"/>
                <w:bCs/>
                <w:color w:val="auto"/>
                <w:szCs w:val="21"/>
                <w:highlight w:val="none"/>
              </w:rPr>
            </w:pPr>
          </w:p>
        </w:tc>
        <w:tc>
          <w:tcPr>
            <w:tcW w:w="1418" w:type="dxa"/>
            <w:vAlign w:val="center"/>
          </w:tcPr>
          <w:p w14:paraId="4B560DB5">
            <w:pPr>
              <w:pageBreakBefore w:val="0"/>
              <w:widowControl/>
              <w:overflowPunct/>
              <w:topLinePunct w:val="0"/>
              <w:bidi w:val="0"/>
              <w:spacing w:line="360" w:lineRule="auto"/>
              <w:ind w:right="105" w:rightChars="50"/>
              <w:jc w:val="center"/>
              <w:rPr>
                <w:rFonts w:hint="eastAsia" w:ascii="宋体" w:hAnsi="宋体" w:eastAsia="宋体" w:cs="宋体"/>
                <w:bCs/>
                <w:color w:val="auto"/>
                <w:szCs w:val="21"/>
                <w:highlight w:val="none"/>
              </w:rPr>
            </w:pPr>
            <w:r>
              <w:rPr>
                <w:rFonts w:hint="eastAsia" w:ascii="宋体" w:hAnsi="宋体" w:eastAsia="宋体" w:cs="宋体"/>
                <w:color w:val="auto"/>
                <w:kern w:val="0"/>
                <w:szCs w:val="21"/>
                <w:highlight w:val="none"/>
              </w:rPr>
              <w:t>确保工程质量的技术组织措施（</w:t>
            </w: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rPr>
              <w:t>分）</w:t>
            </w:r>
          </w:p>
        </w:tc>
        <w:tc>
          <w:tcPr>
            <w:tcW w:w="6047" w:type="dxa"/>
            <w:vAlign w:val="center"/>
          </w:tcPr>
          <w:p w14:paraId="70BA8E3E">
            <w:pPr>
              <w:keepNext w:val="0"/>
              <w:keepLines w:val="0"/>
              <w:pageBreakBefore w:val="0"/>
              <w:widowControl/>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应有专门的质量技术管理班子和制度，且人员配备合理，制度健全。主要工序应有质量技术保证措施和手段，自控体系完整，能有效保证技术质量，达到承诺的质量标准。</w:t>
            </w:r>
          </w:p>
          <w:p w14:paraId="7B069D84">
            <w:pPr>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eastAsia="zh-CN"/>
              </w:rPr>
              <w:t>一档</w:t>
            </w:r>
            <w:r>
              <w:rPr>
                <w:rFonts w:hint="eastAsia" w:ascii="宋体" w:hAnsi="宋体" w:cs="宋体"/>
                <w:b w:val="0"/>
                <w:bCs/>
                <w:color w:val="auto"/>
                <w:szCs w:val="21"/>
                <w:highlight w:val="none"/>
                <w:lang w:val="en-US" w:eastAsia="zh-CN"/>
              </w:rPr>
              <w:t>1</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，没有专门的质量技术管理班子和制度，且人员配备不合理，制度不健全。主要工序没有质量技术保证措施和手段，自控体系不完整，不能有效保证技术质量；</w:t>
            </w:r>
          </w:p>
          <w:p w14:paraId="29766151">
            <w:pPr>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eastAsia="zh-CN"/>
              </w:rPr>
              <w:t>二档</w:t>
            </w:r>
            <w:r>
              <w:rPr>
                <w:rFonts w:hint="eastAsia" w:ascii="宋体" w:hAnsi="宋体" w:cs="宋体"/>
                <w:b w:val="0"/>
                <w:bCs/>
                <w:color w:val="auto"/>
                <w:szCs w:val="21"/>
                <w:highlight w:val="none"/>
                <w:lang w:val="en-US" w:eastAsia="zh-CN"/>
              </w:rPr>
              <w:t>3</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，有质量技术管理班子和制度，且人员配备基本合理，制度基本健全。主要工序有质量技术保证措施和手段，基本能保证技术质量，基本能达到承诺的质量标准；</w:t>
            </w:r>
          </w:p>
          <w:p w14:paraId="32337191">
            <w:pPr>
              <w:keepNext w:val="0"/>
              <w:keepLines w:val="0"/>
              <w:pageBreakBefore w:val="0"/>
              <w:widowControl/>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eastAsia="zh-CN"/>
              </w:rPr>
              <w:t>三档</w:t>
            </w:r>
            <w:r>
              <w:rPr>
                <w:rFonts w:hint="eastAsia" w:ascii="宋体" w:hAnsi="宋体" w:cs="宋体"/>
                <w:b w:val="0"/>
                <w:bCs/>
                <w:color w:val="auto"/>
                <w:szCs w:val="21"/>
                <w:highlight w:val="none"/>
                <w:lang w:val="en-US" w:eastAsia="zh-CN"/>
              </w:rPr>
              <w:t>5</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，有专门的质量技术管理班子和制度，且人员配备合理，制度健全。主要工序应有质量技术保证措施和手段，自控体系完整，能有效保证技术质量，达到承诺的质量标准。</w:t>
            </w:r>
          </w:p>
          <w:p w14:paraId="4ABF024F">
            <w:pPr>
              <w:pStyle w:val="40"/>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color w:val="auto"/>
                <w:highlight w:val="none"/>
              </w:rPr>
            </w:pPr>
            <w:r>
              <w:rPr>
                <w:rFonts w:hint="eastAsia" w:ascii="宋体" w:hAnsi="宋体" w:eastAsia="宋体" w:cs="宋体"/>
                <w:b/>
                <w:color w:val="auto"/>
                <w:sz w:val="21"/>
                <w:szCs w:val="21"/>
                <w:highlight w:val="none"/>
                <w:lang w:eastAsia="zh-CN"/>
              </w:rPr>
              <w:t>注：未提供确保工程质量的技术组织措施方案或未达到最低档次标准的，得0分。</w:t>
            </w:r>
          </w:p>
        </w:tc>
      </w:tr>
      <w:tr w14:paraId="5BCBF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3" w:hRule="atLeast"/>
        </w:trPr>
        <w:tc>
          <w:tcPr>
            <w:tcW w:w="1373" w:type="dxa"/>
            <w:gridSpan w:val="2"/>
            <w:vMerge w:val="continue"/>
            <w:vAlign w:val="center"/>
          </w:tcPr>
          <w:p w14:paraId="714ED763">
            <w:pPr>
              <w:pageBreakBefore w:val="0"/>
              <w:overflowPunct/>
              <w:topLinePunct w:val="0"/>
              <w:bidi w:val="0"/>
              <w:spacing w:line="360" w:lineRule="auto"/>
              <w:ind w:firstLine="420" w:firstLineChars="200"/>
              <w:rPr>
                <w:rFonts w:hint="eastAsia" w:ascii="宋体" w:hAnsi="宋体" w:eastAsia="宋体" w:cs="宋体"/>
                <w:bCs/>
                <w:color w:val="auto"/>
                <w:szCs w:val="21"/>
                <w:highlight w:val="none"/>
              </w:rPr>
            </w:pPr>
          </w:p>
        </w:tc>
        <w:tc>
          <w:tcPr>
            <w:tcW w:w="1418" w:type="dxa"/>
            <w:vAlign w:val="center"/>
          </w:tcPr>
          <w:p w14:paraId="3BF8820E">
            <w:pPr>
              <w:pageBreakBefore w:val="0"/>
              <w:widowControl/>
              <w:overflowPunct/>
              <w:topLinePunct w:val="0"/>
              <w:bidi w:val="0"/>
              <w:spacing w:line="360" w:lineRule="auto"/>
              <w:ind w:right="105" w:rightChars="50"/>
              <w:jc w:val="center"/>
              <w:rPr>
                <w:rFonts w:hint="eastAsia" w:ascii="宋体" w:hAnsi="宋体" w:eastAsia="宋体" w:cs="宋体"/>
                <w:bCs/>
                <w:color w:val="auto"/>
                <w:szCs w:val="21"/>
                <w:highlight w:val="none"/>
              </w:rPr>
            </w:pPr>
            <w:r>
              <w:rPr>
                <w:rFonts w:hint="eastAsia" w:ascii="宋体" w:hAnsi="宋体" w:eastAsia="宋体" w:cs="宋体"/>
                <w:color w:val="auto"/>
                <w:kern w:val="0"/>
                <w:szCs w:val="21"/>
                <w:highlight w:val="none"/>
              </w:rPr>
              <w:t>确保安全生产的技术组织措施（</w:t>
            </w: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rPr>
              <w:t>分）</w:t>
            </w:r>
          </w:p>
        </w:tc>
        <w:tc>
          <w:tcPr>
            <w:tcW w:w="6047" w:type="dxa"/>
            <w:vAlign w:val="center"/>
          </w:tcPr>
          <w:p w14:paraId="25AC6BD0">
            <w:pPr>
              <w:keepNext w:val="0"/>
              <w:keepLines w:val="0"/>
              <w:pageBreakBefore w:val="0"/>
              <w:widowControl/>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应有专门的安全管理人员和制度，且人员配备合理，制度健全，各道工序安全技术措施针对性强，符合实际且满足有关安全技术标准要求。现场防火、应急救援、社会治安安全措施得力。</w:t>
            </w:r>
          </w:p>
          <w:p w14:paraId="454A5E29">
            <w:pPr>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eastAsia="宋体" w:cs="宋体"/>
                <w:b/>
                <w:color w:val="auto"/>
                <w:szCs w:val="21"/>
                <w:highlight w:val="none"/>
                <w:lang w:eastAsia="zh-CN"/>
              </w:rPr>
              <w:t>一</w:t>
            </w:r>
            <w:r>
              <w:rPr>
                <w:rFonts w:hint="eastAsia" w:ascii="宋体" w:hAnsi="宋体" w:eastAsia="宋体" w:cs="宋体"/>
                <w:b w:val="0"/>
                <w:bCs/>
                <w:color w:val="auto"/>
                <w:szCs w:val="21"/>
                <w:highlight w:val="none"/>
                <w:lang w:eastAsia="zh-CN"/>
              </w:rPr>
              <w:t>档</w:t>
            </w:r>
            <w:r>
              <w:rPr>
                <w:rFonts w:hint="eastAsia" w:ascii="宋体" w:hAnsi="宋体" w:cs="宋体"/>
                <w:b w:val="0"/>
                <w:bCs/>
                <w:color w:val="auto"/>
                <w:szCs w:val="21"/>
                <w:highlight w:val="none"/>
                <w:lang w:val="en-US" w:eastAsia="zh-CN"/>
              </w:rPr>
              <w:t>1</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，没有专门的安全管理人员和制度，且人员配备不合理，制度不健全，各道工序安全技术措施无针对性，不满足有关安全技术标准要求。现场防火、应急救援、社会治安安全措施不得力；</w:t>
            </w:r>
          </w:p>
          <w:p w14:paraId="283FF05B">
            <w:pPr>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eastAsia="zh-CN"/>
              </w:rPr>
              <w:t>二档</w:t>
            </w:r>
            <w:r>
              <w:rPr>
                <w:rFonts w:hint="eastAsia" w:ascii="宋体" w:hAnsi="宋体" w:cs="宋体"/>
                <w:b w:val="0"/>
                <w:bCs/>
                <w:color w:val="auto"/>
                <w:szCs w:val="21"/>
                <w:highlight w:val="none"/>
                <w:lang w:val="en-US" w:eastAsia="zh-CN"/>
              </w:rPr>
              <w:t>3</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，有安全管理人员和制度，且人员配备基本合理，制度基本健全，各道工序安全技术措施有一定的针对性，且基本满足有关安全技术标准要求。现场防火、应急救援、社会治安安全措施基本满足项目要求；</w:t>
            </w:r>
          </w:p>
          <w:p w14:paraId="76662F4F">
            <w:pPr>
              <w:keepNext w:val="0"/>
              <w:keepLines w:val="0"/>
              <w:pageBreakBefore w:val="0"/>
              <w:widowControl/>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eastAsia="zh-CN"/>
              </w:rPr>
              <w:t>三档</w:t>
            </w:r>
            <w:r>
              <w:rPr>
                <w:rFonts w:hint="eastAsia" w:ascii="宋体" w:hAnsi="宋体" w:cs="宋体"/>
                <w:b w:val="0"/>
                <w:bCs/>
                <w:color w:val="auto"/>
                <w:szCs w:val="21"/>
                <w:highlight w:val="none"/>
                <w:lang w:val="en-US" w:eastAsia="zh-CN"/>
              </w:rPr>
              <w:t>5</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，有专门的安全管理人员和制度，且人员配备合理，制度健全，各道工序安全技术措施针对性强，符合实际且满足有关安全技术标准要求。现场防火、应急救援、社会治安安全措施得力。</w:t>
            </w:r>
          </w:p>
          <w:p w14:paraId="33740680">
            <w:pPr>
              <w:pStyle w:val="40"/>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color w:val="auto"/>
                <w:highlight w:val="none"/>
              </w:rPr>
            </w:pPr>
            <w:r>
              <w:rPr>
                <w:rFonts w:hint="eastAsia" w:ascii="宋体" w:hAnsi="宋体" w:eastAsia="宋体" w:cs="宋体"/>
                <w:b/>
                <w:color w:val="auto"/>
                <w:sz w:val="21"/>
                <w:szCs w:val="21"/>
                <w:highlight w:val="none"/>
                <w:lang w:val="en-US" w:eastAsia="zh-CN"/>
              </w:rPr>
              <w:t>注：未提供确保安全生产的技术组织措施方案或未达到最低档次标准的，得0分。</w:t>
            </w:r>
          </w:p>
        </w:tc>
      </w:tr>
      <w:tr w14:paraId="60F8D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9" w:hRule="atLeast"/>
        </w:trPr>
        <w:tc>
          <w:tcPr>
            <w:tcW w:w="1373" w:type="dxa"/>
            <w:gridSpan w:val="2"/>
            <w:vMerge w:val="continue"/>
            <w:vAlign w:val="center"/>
          </w:tcPr>
          <w:p w14:paraId="4C73CF6E">
            <w:pPr>
              <w:pageBreakBefore w:val="0"/>
              <w:overflowPunct/>
              <w:topLinePunct w:val="0"/>
              <w:bidi w:val="0"/>
              <w:spacing w:line="360" w:lineRule="auto"/>
              <w:ind w:firstLine="420" w:firstLineChars="200"/>
              <w:rPr>
                <w:rFonts w:hint="eastAsia" w:ascii="宋体" w:hAnsi="宋体" w:eastAsia="宋体" w:cs="宋体"/>
                <w:bCs/>
                <w:color w:val="auto"/>
                <w:szCs w:val="21"/>
                <w:highlight w:val="none"/>
              </w:rPr>
            </w:pPr>
          </w:p>
        </w:tc>
        <w:tc>
          <w:tcPr>
            <w:tcW w:w="1418" w:type="dxa"/>
            <w:vAlign w:val="center"/>
          </w:tcPr>
          <w:p w14:paraId="3BE80ED8">
            <w:pPr>
              <w:pageBreakBefore w:val="0"/>
              <w:widowControl/>
              <w:overflowPunct/>
              <w:topLinePunct w:val="0"/>
              <w:bidi w:val="0"/>
              <w:spacing w:line="360" w:lineRule="auto"/>
              <w:ind w:right="105" w:rightChars="50"/>
              <w:jc w:val="center"/>
              <w:rPr>
                <w:rFonts w:hint="eastAsia" w:ascii="宋体" w:hAnsi="宋体" w:eastAsia="宋体" w:cs="宋体"/>
                <w:color w:val="auto"/>
                <w:highlight w:val="none"/>
              </w:rPr>
            </w:pPr>
            <w:r>
              <w:rPr>
                <w:rFonts w:hint="eastAsia" w:ascii="宋体" w:hAnsi="宋体" w:eastAsia="宋体" w:cs="宋体"/>
                <w:color w:val="auto"/>
                <w:kern w:val="0"/>
                <w:szCs w:val="21"/>
                <w:highlight w:val="none"/>
              </w:rPr>
              <w:t>确保工期的技术组织措施（</w:t>
            </w: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rPr>
              <w:t>分）</w:t>
            </w:r>
          </w:p>
        </w:tc>
        <w:tc>
          <w:tcPr>
            <w:tcW w:w="6047" w:type="dxa"/>
            <w:vAlign w:val="center"/>
          </w:tcPr>
          <w:p w14:paraId="18D88559">
            <w:pPr>
              <w:keepNext w:val="0"/>
              <w:keepLines w:val="0"/>
              <w:pageBreakBefore w:val="0"/>
              <w:widowControl/>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val="0"/>
                <w:color w:val="auto"/>
                <w:kern w:val="0"/>
                <w:szCs w:val="21"/>
                <w:highlight w:val="none"/>
              </w:rPr>
            </w:pPr>
            <w:r>
              <w:rPr>
                <w:rFonts w:hint="eastAsia" w:ascii="宋体" w:hAnsi="宋体" w:eastAsia="宋体" w:cs="宋体"/>
                <w:b w:val="0"/>
                <w:bCs w:val="0"/>
                <w:color w:val="auto"/>
                <w:kern w:val="0"/>
                <w:szCs w:val="21"/>
                <w:highlight w:val="none"/>
              </w:rPr>
              <w:t>在施工工艺、施工方法、材料选用、劳动力安排、技术等方面有保证工期的具体措施且措施得当。有控制工期的施工进度计划。应有施工总进度表或施工网络图，各项计划图表编制完善，安排科学合理，符合本项目施工实际要求。</w:t>
            </w:r>
          </w:p>
          <w:p w14:paraId="368A5EDF">
            <w:pPr>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eastAsia="zh-CN"/>
              </w:rPr>
              <w:t>一档</w:t>
            </w:r>
            <w:r>
              <w:rPr>
                <w:rFonts w:hint="eastAsia" w:ascii="宋体" w:hAnsi="宋体" w:cs="宋体"/>
                <w:b w:val="0"/>
                <w:bCs w:val="0"/>
                <w:color w:val="auto"/>
                <w:szCs w:val="21"/>
                <w:highlight w:val="none"/>
                <w:lang w:val="en-US" w:eastAsia="zh-CN"/>
              </w:rPr>
              <w:t>1</w:t>
            </w:r>
            <w:r>
              <w:rPr>
                <w:rFonts w:hint="eastAsia" w:ascii="宋体" w:hAnsi="宋体" w:eastAsia="宋体" w:cs="宋体"/>
                <w:b w:val="0"/>
                <w:bCs w:val="0"/>
                <w:color w:val="auto"/>
                <w:szCs w:val="21"/>
                <w:highlight w:val="none"/>
                <w:lang w:eastAsia="zh-CN"/>
              </w:rPr>
              <w:t>分</w:t>
            </w:r>
            <w:r>
              <w:rPr>
                <w:rFonts w:hint="eastAsia" w:ascii="宋体" w:hAnsi="宋体" w:eastAsia="宋体" w:cs="宋体"/>
                <w:b w:val="0"/>
                <w:bCs w:val="0"/>
                <w:color w:val="auto"/>
                <w:szCs w:val="21"/>
                <w:highlight w:val="none"/>
              </w:rPr>
              <w:t>，在施工工艺、施工方法、材料选用、劳动力安排、技术等方面没有保证工期的具体措施。没有控制工期的施工进度计划。没有施工总进度表或施工网络图，各项计划图表编制不完善，安排不合理，不符合本项目施工实际要求；</w:t>
            </w:r>
          </w:p>
          <w:p w14:paraId="61AA3E31">
            <w:pPr>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eastAsia="zh-CN"/>
              </w:rPr>
              <w:t>二档</w:t>
            </w:r>
            <w:r>
              <w:rPr>
                <w:rFonts w:hint="eastAsia" w:ascii="宋体" w:hAnsi="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lang w:eastAsia="zh-CN"/>
              </w:rPr>
              <w:t>分</w:t>
            </w:r>
            <w:r>
              <w:rPr>
                <w:rFonts w:hint="eastAsia" w:ascii="宋体" w:hAnsi="宋体" w:eastAsia="宋体" w:cs="宋体"/>
                <w:b w:val="0"/>
                <w:bCs w:val="0"/>
                <w:color w:val="auto"/>
                <w:szCs w:val="21"/>
                <w:highlight w:val="none"/>
              </w:rPr>
              <w:t>，在施工工艺、施工方法、材料选用、劳动力安排、技术等方面有保证工期的措施。有控制工期的施工进度计划。有施工总进度表或施工网络图，各项计划图表编制基本完善，安排基本合理，基本符合本项目施工实际要求；</w:t>
            </w:r>
          </w:p>
          <w:p w14:paraId="0C4C7F2C">
            <w:pPr>
              <w:keepNext w:val="0"/>
              <w:keepLines w:val="0"/>
              <w:pageBreakBefore w:val="0"/>
              <w:widowControl/>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eastAsia="zh-CN"/>
              </w:rPr>
              <w:t>三档</w:t>
            </w:r>
            <w:r>
              <w:rPr>
                <w:rFonts w:hint="eastAsia" w:ascii="宋体" w:hAnsi="宋体" w:cs="宋体"/>
                <w:b w:val="0"/>
                <w:bCs w:val="0"/>
                <w:color w:val="auto"/>
                <w:szCs w:val="21"/>
                <w:highlight w:val="none"/>
                <w:lang w:val="en-US" w:eastAsia="zh-CN"/>
              </w:rPr>
              <w:t>5</w:t>
            </w:r>
            <w:r>
              <w:rPr>
                <w:rFonts w:hint="eastAsia" w:ascii="宋体" w:hAnsi="宋体" w:eastAsia="宋体" w:cs="宋体"/>
                <w:b w:val="0"/>
                <w:bCs w:val="0"/>
                <w:color w:val="auto"/>
                <w:szCs w:val="21"/>
                <w:highlight w:val="none"/>
                <w:lang w:eastAsia="zh-CN"/>
              </w:rPr>
              <w:t>分</w:t>
            </w:r>
            <w:r>
              <w:rPr>
                <w:rFonts w:hint="eastAsia" w:ascii="宋体" w:hAnsi="宋体" w:eastAsia="宋体" w:cs="宋体"/>
                <w:b w:val="0"/>
                <w:bCs w:val="0"/>
                <w:color w:val="auto"/>
                <w:szCs w:val="21"/>
                <w:highlight w:val="none"/>
              </w:rPr>
              <w:t>，在施工工艺、施工方法、材料选用、劳动力安排、技术等方面有保证工期的具体措施且措施得当。有控制工期的施工进度计划。应有施工总进度表或施工网络图，各项计划图表编制完善，安排科学合理，符合本项目施工实际要求。</w:t>
            </w:r>
          </w:p>
          <w:p w14:paraId="29970AB6">
            <w:pPr>
              <w:pStyle w:val="40"/>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color w:val="auto"/>
                <w:highlight w:val="none"/>
              </w:rPr>
            </w:pPr>
            <w:r>
              <w:rPr>
                <w:rFonts w:hint="eastAsia" w:ascii="宋体" w:hAnsi="宋体" w:eastAsia="宋体" w:cs="宋体"/>
                <w:b/>
                <w:bCs/>
                <w:color w:val="auto"/>
                <w:sz w:val="21"/>
                <w:szCs w:val="21"/>
                <w:highlight w:val="none"/>
              </w:rPr>
              <w:t>注：未提供确保工期的技术组织措施</w:t>
            </w:r>
            <w:r>
              <w:rPr>
                <w:rFonts w:hint="eastAsia" w:ascii="宋体" w:hAnsi="宋体" w:eastAsia="宋体" w:cs="宋体"/>
                <w:b/>
                <w:bCs/>
                <w:color w:val="auto"/>
                <w:sz w:val="21"/>
                <w:szCs w:val="21"/>
                <w:highlight w:val="none"/>
                <w:lang w:eastAsia="zh-CN"/>
              </w:rPr>
              <w:t>方案</w:t>
            </w:r>
            <w:r>
              <w:rPr>
                <w:rFonts w:hint="eastAsia" w:ascii="宋体" w:hAnsi="宋体" w:eastAsia="宋体" w:cs="宋体"/>
                <w:b/>
                <w:bCs/>
                <w:color w:val="auto"/>
                <w:sz w:val="21"/>
                <w:szCs w:val="21"/>
                <w:highlight w:val="none"/>
              </w:rPr>
              <w:t>或未达到最低档次标准的，得0分。</w:t>
            </w:r>
          </w:p>
        </w:tc>
      </w:tr>
      <w:tr w14:paraId="69310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1" w:hRule="atLeast"/>
        </w:trPr>
        <w:tc>
          <w:tcPr>
            <w:tcW w:w="1373" w:type="dxa"/>
            <w:gridSpan w:val="2"/>
            <w:vMerge w:val="continue"/>
            <w:vAlign w:val="center"/>
          </w:tcPr>
          <w:p w14:paraId="61DBE196">
            <w:pPr>
              <w:pageBreakBefore w:val="0"/>
              <w:overflowPunct/>
              <w:topLinePunct w:val="0"/>
              <w:bidi w:val="0"/>
              <w:spacing w:line="360" w:lineRule="auto"/>
              <w:ind w:firstLine="420" w:firstLineChars="200"/>
              <w:rPr>
                <w:rFonts w:hint="eastAsia" w:ascii="宋体" w:hAnsi="宋体" w:eastAsia="宋体" w:cs="宋体"/>
                <w:bCs/>
                <w:color w:val="auto"/>
                <w:szCs w:val="21"/>
                <w:highlight w:val="none"/>
              </w:rPr>
            </w:pPr>
          </w:p>
        </w:tc>
        <w:tc>
          <w:tcPr>
            <w:tcW w:w="1418" w:type="dxa"/>
            <w:vAlign w:val="center"/>
          </w:tcPr>
          <w:p w14:paraId="5370B363">
            <w:pPr>
              <w:pageBreakBefore w:val="0"/>
              <w:widowControl/>
              <w:overflowPunct/>
              <w:topLinePunct w:val="0"/>
              <w:bidi w:val="0"/>
              <w:spacing w:line="360" w:lineRule="auto"/>
              <w:ind w:right="105" w:rightChars="50"/>
              <w:jc w:val="center"/>
              <w:rPr>
                <w:rFonts w:hint="eastAsia" w:ascii="宋体" w:hAnsi="宋体" w:eastAsia="宋体" w:cs="宋体"/>
                <w:color w:val="auto"/>
                <w:highlight w:val="none"/>
              </w:rPr>
            </w:pPr>
            <w:r>
              <w:rPr>
                <w:rFonts w:hint="eastAsia" w:ascii="宋体" w:hAnsi="宋体" w:eastAsia="宋体" w:cs="宋体"/>
                <w:color w:val="auto"/>
                <w:kern w:val="0"/>
                <w:szCs w:val="21"/>
                <w:highlight w:val="none"/>
              </w:rPr>
              <w:t>确保文明施工的技术组织措施（</w:t>
            </w: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rPr>
              <w:t>分）</w:t>
            </w:r>
          </w:p>
        </w:tc>
        <w:tc>
          <w:tcPr>
            <w:tcW w:w="6047" w:type="dxa"/>
            <w:vAlign w:val="center"/>
          </w:tcPr>
          <w:p w14:paraId="1A5B0913">
            <w:pPr>
              <w:keepNext w:val="0"/>
              <w:keepLines w:val="0"/>
              <w:pageBreakBefore w:val="0"/>
              <w:widowControl/>
              <w:kinsoku/>
              <w:wordWrap/>
              <w:overflowPunct/>
              <w:topLinePunct w:val="0"/>
              <w:bidi w:val="0"/>
              <w:snapToGrid/>
              <w:spacing w:line="360" w:lineRule="auto"/>
              <w:ind w:left="105" w:leftChars="50" w:right="105" w:rightChars="50" w:firstLine="420" w:firstLineChars="200"/>
              <w:textAlignment w:val="auto"/>
              <w:rPr>
                <w:rFonts w:hint="eastAsia" w:ascii="宋体" w:hAnsi="宋体" w:eastAsia="宋体" w:cs="宋体"/>
                <w:b w:val="0"/>
                <w:bCs w:val="0"/>
                <w:color w:val="auto"/>
                <w:kern w:val="0"/>
                <w:szCs w:val="21"/>
                <w:highlight w:val="none"/>
              </w:rPr>
            </w:pPr>
            <w:r>
              <w:rPr>
                <w:rFonts w:hint="eastAsia" w:ascii="宋体" w:hAnsi="宋体" w:eastAsia="宋体" w:cs="宋体"/>
                <w:b w:val="0"/>
                <w:bCs w:val="0"/>
                <w:color w:val="auto"/>
                <w:kern w:val="0"/>
                <w:szCs w:val="21"/>
                <w:highlight w:val="none"/>
              </w:rPr>
              <w:t>针对本工程项目特点，应有现场文明施工、环境保护措施，且措施内容应达到《建筑施工安全生产检查标准》（JGJ59-2011）合格标准并符合《广西壮族自治区建筑工程文明施工导则》要求。各项措施周全、具体、有效。有具体实现现场文明施工目标的承诺。</w:t>
            </w:r>
          </w:p>
          <w:p w14:paraId="621C6211">
            <w:pPr>
              <w:keepNext w:val="0"/>
              <w:keepLines w:val="0"/>
              <w:pageBreakBefore w:val="0"/>
              <w:kinsoku/>
              <w:wordWrap/>
              <w:overflowPunct/>
              <w:topLinePunct w:val="0"/>
              <w:bidi w:val="0"/>
              <w:snapToGrid/>
              <w:spacing w:line="360" w:lineRule="auto"/>
              <w:ind w:right="105" w:rightChars="50" w:firstLine="420" w:firstLineChars="200"/>
              <w:textAlignment w:val="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eastAsia="zh-CN"/>
              </w:rPr>
              <w:t>一档</w:t>
            </w:r>
            <w:r>
              <w:rPr>
                <w:rFonts w:hint="eastAsia" w:ascii="宋体" w:hAnsi="宋体" w:cs="宋体"/>
                <w:b w:val="0"/>
                <w:bCs w:val="0"/>
                <w:color w:val="auto"/>
                <w:szCs w:val="21"/>
                <w:highlight w:val="none"/>
                <w:lang w:val="en-US" w:eastAsia="zh-CN"/>
              </w:rPr>
              <w:t>1</w:t>
            </w:r>
            <w:r>
              <w:rPr>
                <w:rFonts w:hint="eastAsia" w:ascii="宋体" w:hAnsi="宋体" w:eastAsia="宋体" w:cs="宋体"/>
                <w:b w:val="0"/>
                <w:bCs w:val="0"/>
                <w:color w:val="auto"/>
                <w:szCs w:val="21"/>
                <w:highlight w:val="none"/>
                <w:lang w:eastAsia="zh-CN"/>
              </w:rPr>
              <w:t>分</w:t>
            </w:r>
            <w:r>
              <w:rPr>
                <w:rFonts w:hint="eastAsia" w:ascii="宋体" w:hAnsi="宋体" w:eastAsia="宋体" w:cs="宋体"/>
                <w:b w:val="0"/>
                <w:bCs w:val="0"/>
                <w:color w:val="auto"/>
                <w:szCs w:val="21"/>
                <w:highlight w:val="none"/>
              </w:rPr>
              <w:t>，未针对本工程项目特点，没有现场文明施工、环境保护措施，各项措施不周全、不具体。没有具体实现现场文明施工目标的承诺；</w:t>
            </w:r>
          </w:p>
          <w:p w14:paraId="6EBBE8A2">
            <w:pPr>
              <w:keepNext w:val="0"/>
              <w:keepLines w:val="0"/>
              <w:pageBreakBefore w:val="0"/>
              <w:kinsoku/>
              <w:wordWrap/>
              <w:overflowPunct/>
              <w:topLinePunct w:val="0"/>
              <w:bidi w:val="0"/>
              <w:snapToGrid/>
              <w:spacing w:line="360" w:lineRule="auto"/>
              <w:ind w:right="105" w:rightChars="50" w:firstLine="420" w:firstLineChars="200"/>
              <w:textAlignment w:val="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eastAsia="zh-CN"/>
              </w:rPr>
              <w:t>二档</w:t>
            </w:r>
            <w:r>
              <w:rPr>
                <w:rFonts w:hint="eastAsia" w:ascii="宋体" w:hAnsi="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lang w:eastAsia="zh-CN"/>
              </w:rPr>
              <w:t>分</w:t>
            </w:r>
            <w:r>
              <w:rPr>
                <w:rFonts w:hint="eastAsia" w:ascii="宋体" w:hAnsi="宋体" w:eastAsia="宋体" w:cs="宋体"/>
                <w:b w:val="0"/>
                <w:bCs w:val="0"/>
                <w:color w:val="auto"/>
                <w:szCs w:val="21"/>
                <w:highlight w:val="none"/>
              </w:rPr>
              <w:t>，有现场文明施工、环境保护措施，且措施内容基本达到《建筑施工安全生产检查标准》（JGJ59-2011）合格标准并基本符合《广西壮族自治区建筑工程文明施工导则》要求。各项措施基本完整、有效。有实现现场文明施工目标的承诺；</w:t>
            </w:r>
          </w:p>
          <w:p w14:paraId="24697920">
            <w:pPr>
              <w:keepNext w:val="0"/>
              <w:keepLines w:val="0"/>
              <w:pageBreakBefore w:val="0"/>
              <w:widowControl/>
              <w:kinsoku/>
              <w:wordWrap/>
              <w:overflowPunct/>
              <w:topLinePunct w:val="0"/>
              <w:bidi w:val="0"/>
              <w:snapToGrid/>
              <w:spacing w:line="360" w:lineRule="auto"/>
              <w:ind w:left="105" w:leftChars="50" w:right="105" w:rightChars="50" w:firstLine="420" w:firstLineChars="200"/>
              <w:textAlignment w:val="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eastAsia="zh-CN"/>
              </w:rPr>
              <w:t>三档</w:t>
            </w:r>
            <w:r>
              <w:rPr>
                <w:rFonts w:hint="eastAsia" w:ascii="宋体" w:hAnsi="宋体" w:cs="宋体"/>
                <w:b w:val="0"/>
                <w:bCs w:val="0"/>
                <w:color w:val="auto"/>
                <w:szCs w:val="21"/>
                <w:highlight w:val="none"/>
                <w:lang w:val="en-US" w:eastAsia="zh-CN"/>
              </w:rPr>
              <w:t>5</w:t>
            </w:r>
            <w:r>
              <w:rPr>
                <w:rFonts w:hint="eastAsia" w:ascii="宋体" w:hAnsi="宋体" w:eastAsia="宋体" w:cs="宋体"/>
                <w:b w:val="0"/>
                <w:bCs w:val="0"/>
                <w:color w:val="auto"/>
                <w:szCs w:val="21"/>
                <w:highlight w:val="none"/>
                <w:lang w:eastAsia="zh-CN"/>
              </w:rPr>
              <w:t>分</w:t>
            </w:r>
            <w:r>
              <w:rPr>
                <w:rFonts w:hint="eastAsia" w:ascii="宋体" w:hAnsi="宋体" w:eastAsia="宋体" w:cs="宋体"/>
                <w:b w:val="0"/>
                <w:bCs w:val="0"/>
                <w:color w:val="auto"/>
                <w:szCs w:val="21"/>
                <w:highlight w:val="none"/>
              </w:rPr>
              <w:t>，针对本工程项目特点，有现场文明施工、环境保护措施，且措施内容应达到《建筑施工安全生产检查标准》（JGJ59-2011）合格标准并符合《广西壮族自治区建筑工程文明施工导则》要求。各项措施周全、具体、有效。有具体实现现场文明施工目标的承诺。</w:t>
            </w:r>
          </w:p>
          <w:p w14:paraId="1D84DF88">
            <w:pPr>
              <w:pStyle w:val="40"/>
              <w:keepNext w:val="0"/>
              <w:keepLines w:val="0"/>
              <w:pageBreakBefore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b/>
                <w:bCs/>
                <w:color w:val="auto"/>
                <w:sz w:val="21"/>
                <w:szCs w:val="21"/>
                <w:highlight w:val="none"/>
              </w:rPr>
              <w:t>注：未提供确保文明施工的技术组织措施</w:t>
            </w:r>
            <w:r>
              <w:rPr>
                <w:rFonts w:hint="eastAsia" w:ascii="宋体" w:hAnsi="宋体" w:eastAsia="宋体" w:cs="宋体"/>
                <w:b/>
                <w:bCs/>
                <w:color w:val="auto"/>
                <w:sz w:val="21"/>
                <w:szCs w:val="21"/>
                <w:highlight w:val="none"/>
                <w:lang w:eastAsia="zh-CN"/>
              </w:rPr>
              <w:t>方案</w:t>
            </w:r>
            <w:r>
              <w:rPr>
                <w:rFonts w:hint="eastAsia" w:ascii="宋体" w:hAnsi="宋体" w:eastAsia="宋体" w:cs="宋体"/>
                <w:b/>
                <w:bCs/>
                <w:color w:val="auto"/>
                <w:sz w:val="21"/>
                <w:szCs w:val="21"/>
                <w:highlight w:val="none"/>
              </w:rPr>
              <w:t>或未达到最低档次标准的，得0分。</w:t>
            </w:r>
          </w:p>
        </w:tc>
      </w:tr>
      <w:tr w14:paraId="38E8A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7" w:hRule="atLeast"/>
        </w:trPr>
        <w:tc>
          <w:tcPr>
            <w:tcW w:w="1373" w:type="dxa"/>
            <w:gridSpan w:val="2"/>
            <w:vMerge w:val="continue"/>
            <w:vAlign w:val="center"/>
          </w:tcPr>
          <w:p w14:paraId="3BCFB940">
            <w:pPr>
              <w:pageBreakBefore w:val="0"/>
              <w:overflowPunct/>
              <w:topLinePunct w:val="0"/>
              <w:bidi w:val="0"/>
              <w:spacing w:line="360" w:lineRule="auto"/>
              <w:ind w:firstLine="420" w:firstLineChars="200"/>
              <w:rPr>
                <w:rFonts w:hint="eastAsia" w:ascii="宋体" w:hAnsi="宋体" w:eastAsia="宋体" w:cs="宋体"/>
                <w:bCs/>
                <w:color w:val="auto"/>
                <w:szCs w:val="21"/>
                <w:highlight w:val="none"/>
              </w:rPr>
            </w:pPr>
          </w:p>
        </w:tc>
        <w:tc>
          <w:tcPr>
            <w:tcW w:w="1418" w:type="dxa"/>
            <w:vAlign w:val="center"/>
          </w:tcPr>
          <w:p w14:paraId="05F19907">
            <w:pPr>
              <w:pageBreakBefore w:val="0"/>
              <w:widowControl/>
              <w:overflowPunct/>
              <w:topLinePunct w:val="0"/>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工程施工的重点和难点及保证措施</w:t>
            </w:r>
          </w:p>
          <w:p w14:paraId="4E77D4A2">
            <w:pPr>
              <w:pageBreakBefore w:val="0"/>
              <w:widowControl/>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rPr>
              <w:t>分）</w:t>
            </w:r>
          </w:p>
        </w:tc>
        <w:tc>
          <w:tcPr>
            <w:tcW w:w="6047" w:type="dxa"/>
            <w:vAlign w:val="center"/>
          </w:tcPr>
          <w:p w14:paraId="425303D1">
            <w:pPr>
              <w:keepNext w:val="0"/>
              <w:keepLines w:val="0"/>
              <w:pageBreakBefore w:val="0"/>
              <w:widowControl/>
              <w:kinsoku/>
              <w:wordWrap/>
              <w:overflowPunct/>
              <w:topLinePunct w:val="0"/>
              <w:bidi w:val="0"/>
              <w:snapToGrid/>
              <w:spacing w:line="360" w:lineRule="auto"/>
              <w:ind w:left="105" w:leftChars="50" w:right="105" w:rightChars="50" w:firstLine="420" w:firstLineChars="200"/>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针对本工程的特点，阐述本工程的重点和难点，解决重点和难点问题的方法是否合理。</w:t>
            </w:r>
          </w:p>
          <w:p w14:paraId="3B98D556">
            <w:pPr>
              <w:keepNext w:val="0"/>
              <w:keepLines w:val="0"/>
              <w:pageBreakBefore w:val="0"/>
              <w:kinsoku/>
              <w:wordWrap/>
              <w:overflowPunct/>
              <w:topLinePunct w:val="0"/>
              <w:bidi w:val="0"/>
              <w:snapToGrid/>
              <w:spacing w:line="360" w:lineRule="auto"/>
              <w:ind w:right="105" w:rightChars="50"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一档</w:t>
            </w:r>
            <w:r>
              <w:rPr>
                <w:rFonts w:hint="eastAsia" w:ascii="宋体" w:hAnsi="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问题的方法不合理；</w:t>
            </w:r>
          </w:p>
          <w:p w14:paraId="24E31175">
            <w:pPr>
              <w:keepNext w:val="0"/>
              <w:keepLines w:val="0"/>
              <w:pageBreakBefore w:val="0"/>
              <w:kinsoku/>
              <w:wordWrap/>
              <w:overflowPunct/>
              <w:topLinePunct w:val="0"/>
              <w:bidi w:val="0"/>
              <w:snapToGrid/>
              <w:spacing w:line="360" w:lineRule="auto"/>
              <w:ind w:right="105" w:rightChars="50"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二档</w:t>
            </w:r>
            <w:r>
              <w:rPr>
                <w:rFonts w:hint="eastAsia" w:ascii="宋体" w:hAnsi="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lang w:eastAsia="zh-CN"/>
              </w:rPr>
              <w:t>分</w:t>
            </w:r>
            <w:r>
              <w:rPr>
                <w:rFonts w:hint="eastAsia" w:ascii="宋体" w:hAnsi="宋体" w:eastAsia="宋体" w:cs="宋体"/>
                <w:b w:val="0"/>
                <w:bCs w:val="0"/>
                <w:color w:val="auto"/>
                <w:sz w:val="21"/>
                <w:szCs w:val="21"/>
                <w:highlight w:val="none"/>
              </w:rPr>
              <w:t>，有阐述本工程的重点和难点，解决重点和难点问题的方法基本合理；</w:t>
            </w:r>
          </w:p>
          <w:p w14:paraId="0B222D49">
            <w:pPr>
              <w:keepNext w:val="0"/>
              <w:keepLines w:val="0"/>
              <w:pageBreakBefore w:val="0"/>
              <w:widowControl/>
              <w:kinsoku/>
              <w:wordWrap/>
              <w:overflowPunct/>
              <w:topLinePunct w:val="0"/>
              <w:bidi w:val="0"/>
              <w:snapToGrid/>
              <w:spacing w:line="360" w:lineRule="auto"/>
              <w:ind w:left="105" w:leftChars="50" w:right="105" w:rightChars="50"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三档</w:t>
            </w:r>
            <w:r>
              <w:rPr>
                <w:rFonts w:hint="eastAsia" w:ascii="宋体" w:hAnsi="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lang w:eastAsia="zh-CN"/>
              </w:rPr>
              <w:t>分</w:t>
            </w:r>
            <w:r>
              <w:rPr>
                <w:rFonts w:hint="eastAsia" w:ascii="宋体" w:hAnsi="宋体" w:eastAsia="宋体" w:cs="宋体"/>
                <w:b w:val="0"/>
                <w:bCs w:val="0"/>
                <w:color w:val="auto"/>
                <w:sz w:val="21"/>
                <w:szCs w:val="21"/>
                <w:highlight w:val="none"/>
              </w:rPr>
              <w:t>，针对本工程的特点，阐述本工程的重点和难点，解决重点和难点问题的方法科学合理、可行。</w:t>
            </w:r>
          </w:p>
          <w:p w14:paraId="3CD64B85">
            <w:pPr>
              <w:pStyle w:val="40"/>
              <w:keepNext w:val="0"/>
              <w:keepLines w:val="0"/>
              <w:pageBreakBefore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b/>
                <w:bCs/>
                <w:color w:val="auto"/>
                <w:sz w:val="21"/>
                <w:szCs w:val="21"/>
                <w:highlight w:val="none"/>
              </w:rPr>
              <w:t>注：未提供工程施工的重点和难点及保证措施</w:t>
            </w:r>
            <w:r>
              <w:rPr>
                <w:rFonts w:hint="eastAsia" w:ascii="宋体" w:hAnsi="宋体" w:eastAsia="宋体" w:cs="宋体"/>
                <w:b/>
                <w:bCs/>
                <w:color w:val="auto"/>
                <w:sz w:val="21"/>
                <w:szCs w:val="21"/>
                <w:highlight w:val="none"/>
                <w:lang w:eastAsia="zh-CN"/>
              </w:rPr>
              <w:t>方案</w:t>
            </w:r>
            <w:r>
              <w:rPr>
                <w:rFonts w:hint="eastAsia" w:ascii="宋体" w:hAnsi="宋体" w:eastAsia="宋体" w:cs="宋体"/>
                <w:b/>
                <w:bCs/>
                <w:color w:val="auto"/>
                <w:sz w:val="21"/>
                <w:szCs w:val="21"/>
                <w:highlight w:val="none"/>
              </w:rPr>
              <w:t>或未达到最低档次标准的，得0分。</w:t>
            </w:r>
          </w:p>
        </w:tc>
      </w:tr>
      <w:tr w14:paraId="7D270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7" w:hRule="atLeast"/>
        </w:trPr>
        <w:tc>
          <w:tcPr>
            <w:tcW w:w="1373" w:type="dxa"/>
            <w:gridSpan w:val="2"/>
            <w:vMerge w:val="continue"/>
            <w:vAlign w:val="center"/>
          </w:tcPr>
          <w:p w14:paraId="5D8571EA">
            <w:pPr>
              <w:pageBreakBefore w:val="0"/>
              <w:overflowPunct/>
              <w:topLinePunct w:val="0"/>
              <w:bidi w:val="0"/>
              <w:spacing w:line="360" w:lineRule="auto"/>
              <w:ind w:firstLine="420" w:firstLineChars="200"/>
              <w:rPr>
                <w:rFonts w:hint="eastAsia" w:ascii="宋体" w:hAnsi="宋体" w:eastAsia="宋体" w:cs="宋体"/>
                <w:bCs/>
                <w:color w:val="auto"/>
                <w:szCs w:val="21"/>
                <w:highlight w:val="none"/>
              </w:rPr>
            </w:pPr>
          </w:p>
        </w:tc>
        <w:tc>
          <w:tcPr>
            <w:tcW w:w="1418" w:type="dxa"/>
            <w:vAlign w:val="center"/>
          </w:tcPr>
          <w:p w14:paraId="41E032E9">
            <w:pPr>
              <w:pageBreakBefore w:val="0"/>
              <w:widowControl/>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kern w:val="0"/>
                <w:szCs w:val="21"/>
                <w:highlight w:val="none"/>
              </w:rPr>
              <w:t>施工总平面布置图（</w:t>
            </w: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rPr>
              <w:t>分）</w:t>
            </w:r>
          </w:p>
        </w:tc>
        <w:tc>
          <w:tcPr>
            <w:tcW w:w="6047" w:type="dxa"/>
            <w:vAlign w:val="center"/>
          </w:tcPr>
          <w:p w14:paraId="287E2EC7">
            <w:pPr>
              <w:keepNext w:val="0"/>
              <w:keepLines w:val="0"/>
              <w:pageBreakBefore w:val="0"/>
              <w:widowControl/>
              <w:kinsoku/>
              <w:wordWrap/>
              <w:overflowPunct/>
              <w:topLinePunct w:val="0"/>
              <w:bidi w:val="0"/>
              <w:snapToGrid/>
              <w:spacing w:line="360" w:lineRule="auto"/>
              <w:ind w:left="105" w:leftChars="50" w:right="105" w:rightChars="50" w:firstLine="420" w:firstLineChars="200"/>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应有施工总平面布置图，安排科学合理，符合本项目施工实际要求。</w:t>
            </w:r>
          </w:p>
          <w:p w14:paraId="59BEFE05">
            <w:pPr>
              <w:keepNext w:val="0"/>
              <w:keepLines w:val="0"/>
              <w:pageBreakBefore w:val="0"/>
              <w:kinsoku/>
              <w:wordWrap/>
              <w:overflowPunct/>
              <w:topLinePunct w:val="0"/>
              <w:bidi w:val="0"/>
              <w:snapToGrid/>
              <w:spacing w:line="360" w:lineRule="auto"/>
              <w:ind w:right="105" w:rightChars="50"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一档</w:t>
            </w:r>
            <w:r>
              <w:rPr>
                <w:rFonts w:hint="eastAsia" w:ascii="宋体" w:hAnsi="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lang w:eastAsia="zh-CN"/>
              </w:rPr>
              <w:t>分</w:t>
            </w:r>
            <w:r>
              <w:rPr>
                <w:rFonts w:hint="eastAsia" w:ascii="宋体" w:hAnsi="宋体" w:eastAsia="宋体" w:cs="宋体"/>
                <w:b w:val="0"/>
                <w:bCs w:val="0"/>
                <w:color w:val="auto"/>
                <w:sz w:val="21"/>
                <w:szCs w:val="21"/>
                <w:highlight w:val="none"/>
              </w:rPr>
              <w:t>，施工总平面布置图不合理，不符合本项目施工实际要求；</w:t>
            </w:r>
          </w:p>
          <w:p w14:paraId="287F44E9">
            <w:pPr>
              <w:keepNext w:val="0"/>
              <w:keepLines w:val="0"/>
              <w:pageBreakBefore w:val="0"/>
              <w:kinsoku/>
              <w:wordWrap/>
              <w:overflowPunct/>
              <w:topLinePunct w:val="0"/>
              <w:bidi w:val="0"/>
              <w:snapToGrid/>
              <w:spacing w:line="360" w:lineRule="auto"/>
              <w:ind w:right="105" w:rightChars="50"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二档</w:t>
            </w:r>
            <w:r>
              <w:rPr>
                <w:rFonts w:hint="eastAsia" w:ascii="宋体" w:hAnsi="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lang w:eastAsia="zh-CN"/>
              </w:rPr>
              <w:t>分</w:t>
            </w:r>
            <w:r>
              <w:rPr>
                <w:rFonts w:hint="eastAsia" w:ascii="宋体" w:hAnsi="宋体" w:eastAsia="宋体" w:cs="宋体"/>
                <w:b w:val="0"/>
                <w:bCs w:val="0"/>
                <w:color w:val="auto"/>
                <w:sz w:val="21"/>
                <w:szCs w:val="21"/>
                <w:highlight w:val="none"/>
              </w:rPr>
              <w:t>，施工总平面布置图基本合理，基本符合本项目施工实际要求；</w:t>
            </w:r>
          </w:p>
          <w:p w14:paraId="032AFC54">
            <w:pPr>
              <w:keepNext w:val="0"/>
              <w:keepLines w:val="0"/>
              <w:pageBreakBefore w:val="0"/>
              <w:widowControl/>
              <w:kinsoku/>
              <w:wordWrap/>
              <w:overflowPunct/>
              <w:topLinePunct w:val="0"/>
              <w:bidi w:val="0"/>
              <w:snapToGrid/>
              <w:spacing w:line="360" w:lineRule="auto"/>
              <w:ind w:left="105" w:leftChars="50" w:right="105" w:rightChars="50"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三档</w:t>
            </w:r>
            <w:r>
              <w:rPr>
                <w:rFonts w:hint="eastAsia" w:ascii="宋体" w:hAnsi="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lang w:eastAsia="zh-CN"/>
              </w:rPr>
              <w:t>分</w:t>
            </w:r>
            <w:r>
              <w:rPr>
                <w:rFonts w:hint="eastAsia" w:ascii="宋体" w:hAnsi="宋体" w:eastAsia="宋体" w:cs="宋体"/>
                <w:b w:val="0"/>
                <w:bCs w:val="0"/>
                <w:color w:val="auto"/>
                <w:sz w:val="21"/>
                <w:szCs w:val="21"/>
                <w:highlight w:val="none"/>
              </w:rPr>
              <w:t>，施工总平面布置图安排科学合理，符合本项目施工实际要求，切实、合理、可行。</w:t>
            </w:r>
          </w:p>
          <w:p w14:paraId="365881E9">
            <w:pPr>
              <w:pStyle w:val="40"/>
              <w:keepNext w:val="0"/>
              <w:keepLines w:val="0"/>
              <w:pageBreakBefore w:val="0"/>
              <w:kinsoku/>
              <w:wordWrap/>
              <w:overflowPunct/>
              <w:topLinePunct w:val="0"/>
              <w:bidi w:val="0"/>
              <w:snapToGrid/>
              <w:spacing w:line="360" w:lineRule="auto"/>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bCs/>
                <w:color w:val="auto"/>
                <w:sz w:val="21"/>
                <w:szCs w:val="21"/>
                <w:highlight w:val="none"/>
              </w:rPr>
              <w:t>注：未提供施工总平面布置</w:t>
            </w:r>
            <w:r>
              <w:rPr>
                <w:rFonts w:hint="eastAsia" w:ascii="宋体" w:hAnsi="宋体" w:eastAsia="宋体" w:cs="宋体"/>
                <w:b/>
                <w:bCs/>
                <w:color w:val="auto"/>
                <w:sz w:val="21"/>
                <w:szCs w:val="21"/>
                <w:highlight w:val="none"/>
                <w:lang w:eastAsia="zh-CN"/>
              </w:rPr>
              <w:t>方案</w:t>
            </w:r>
            <w:r>
              <w:rPr>
                <w:rFonts w:hint="eastAsia" w:ascii="宋体" w:hAnsi="宋体" w:eastAsia="宋体" w:cs="宋体"/>
                <w:b/>
                <w:bCs/>
                <w:color w:val="auto"/>
                <w:sz w:val="21"/>
                <w:szCs w:val="21"/>
                <w:highlight w:val="none"/>
              </w:rPr>
              <w:t>或未达到最低档次标准的，得0分。</w:t>
            </w:r>
          </w:p>
        </w:tc>
      </w:tr>
      <w:tr w14:paraId="66B7E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2" w:hRule="atLeast"/>
        </w:trPr>
        <w:tc>
          <w:tcPr>
            <w:tcW w:w="1373" w:type="dxa"/>
            <w:gridSpan w:val="2"/>
            <w:vAlign w:val="center"/>
          </w:tcPr>
          <w:p w14:paraId="77CB6A64">
            <w:pPr>
              <w:pageBreakBefore w:val="0"/>
              <w:overflowPunct/>
              <w:topLinePunct w:val="0"/>
              <w:autoSpaceDE w:val="0"/>
              <w:autoSpaceDN w:val="0"/>
              <w:bidi w:val="0"/>
              <w:adjustRightInd w:val="0"/>
              <w:spacing w:line="360" w:lineRule="auto"/>
              <w:jc w:val="center"/>
              <w:rPr>
                <w:rFonts w:hint="eastAsia" w:ascii="宋体" w:hAnsi="宋体" w:eastAsia="宋体" w:cs="宋体"/>
                <w:b w:val="0"/>
                <w:bCs/>
                <w:color w:val="auto"/>
                <w:kern w:val="0"/>
                <w:szCs w:val="21"/>
                <w:highlight w:val="none"/>
              </w:rPr>
            </w:pPr>
            <w:r>
              <w:rPr>
                <w:rFonts w:hint="eastAsia" w:ascii="宋体" w:hAnsi="宋体" w:cs="宋体"/>
                <w:b/>
                <w:bCs w:val="0"/>
                <w:color w:val="auto"/>
                <w:szCs w:val="21"/>
                <w:highlight w:val="none"/>
                <w:lang w:val="en-US" w:eastAsia="zh-CN"/>
              </w:rPr>
              <w:t>商务分</w:t>
            </w:r>
          </w:p>
        </w:tc>
        <w:tc>
          <w:tcPr>
            <w:tcW w:w="1418" w:type="dxa"/>
            <w:vAlign w:val="center"/>
          </w:tcPr>
          <w:p w14:paraId="59903112">
            <w:pPr>
              <w:pageBreakBefore w:val="0"/>
              <w:widowControl/>
              <w:overflowPunct/>
              <w:topLinePunct w:val="0"/>
              <w:bidi w:val="0"/>
              <w:spacing w:line="360" w:lineRule="auto"/>
              <w:ind w:right="0" w:rightChars="0"/>
              <w:jc w:val="center"/>
              <w:rPr>
                <w:rFonts w:hint="eastAsia" w:ascii="宋体" w:hAnsi="宋体" w:cs="宋体"/>
                <w:b w:val="0"/>
                <w:bCs/>
                <w:color w:val="auto"/>
                <w:highlight w:val="none"/>
                <w:lang w:val="en-US" w:eastAsia="zh-CN"/>
              </w:rPr>
            </w:pPr>
          </w:p>
          <w:p w14:paraId="7A9D93B7">
            <w:pPr>
              <w:pageBreakBefore w:val="0"/>
              <w:widowControl/>
              <w:overflowPunct/>
              <w:topLinePunct w:val="0"/>
              <w:bidi w:val="0"/>
              <w:spacing w:line="360" w:lineRule="auto"/>
              <w:ind w:right="0" w:rightChars="0"/>
              <w:jc w:val="center"/>
              <w:rPr>
                <w:rFonts w:hint="default" w:ascii="宋体" w:hAnsi="宋体" w:cs="宋体"/>
                <w:b w:val="0"/>
                <w:bCs/>
                <w:color w:val="auto"/>
                <w:highlight w:val="none"/>
                <w:lang w:val="en-US" w:eastAsia="zh-CN"/>
              </w:rPr>
            </w:pPr>
            <w:r>
              <w:rPr>
                <w:rFonts w:hint="eastAsia" w:ascii="宋体" w:hAnsi="宋体" w:cs="宋体"/>
                <w:b w:val="0"/>
                <w:bCs/>
                <w:color w:val="auto"/>
                <w:highlight w:val="none"/>
                <w:lang w:val="en-US" w:eastAsia="zh-CN"/>
              </w:rPr>
              <w:t>业绩分（满分20分）</w:t>
            </w:r>
          </w:p>
        </w:tc>
        <w:tc>
          <w:tcPr>
            <w:tcW w:w="6047" w:type="dxa"/>
            <w:vAlign w:val="center"/>
          </w:tcPr>
          <w:p w14:paraId="47E8B7F6">
            <w:pPr>
              <w:pageBreakBefore w:val="0"/>
              <w:widowControl/>
              <w:overflowPunct/>
              <w:topLinePunct w:val="0"/>
              <w:bidi w:val="0"/>
              <w:spacing w:line="360" w:lineRule="auto"/>
              <w:ind w:left="0" w:leftChars="0" w:right="105" w:rightChars="50" w:firstLine="420" w:firstLineChars="200"/>
              <w:rPr>
                <w:rFonts w:hint="eastAsia" w:ascii="宋体" w:hAnsi="宋体" w:cs="宋体"/>
                <w:bCs/>
                <w:color w:val="auto"/>
                <w:szCs w:val="24"/>
                <w:highlight w:val="none"/>
                <w:lang w:val="en-US" w:eastAsia="zh-CN"/>
              </w:rPr>
            </w:pPr>
            <w:r>
              <w:rPr>
                <w:rFonts w:hint="eastAsia" w:ascii="宋体" w:hAnsi="宋体" w:cs="宋体"/>
                <w:bCs/>
                <w:color w:val="auto"/>
                <w:szCs w:val="24"/>
                <w:highlight w:val="none"/>
                <w:lang w:val="en-US" w:eastAsia="zh-CN"/>
              </w:rPr>
              <w:t>竞</w:t>
            </w:r>
            <w:r>
              <w:rPr>
                <w:rFonts w:hint="eastAsia" w:ascii="宋体" w:hAnsi="宋体" w:eastAsia="宋体" w:cs="宋体"/>
                <w:bCs/>
                <w:color w:val="auto"/>
                <w:szCs w:val="24"/>
                <w:highlight w:val="none"/>
                <w:lang w:val="en-US" w:eastAsia="zh-CN"/>
              </w:rPr>
              <w:t>标人自202</w:t>
            </w:r>
            <w:r>
              <w:rPr>
                <w:rFonts w:hint="eastAsia" w:ascii="宋体" w:hAnsi="宋体" w:cs="宋体"/>
                <w:bCs/>
                <w:color w:val="auto"/>
                <w:szCs w:val="24"/>
                <w:highlight w:val="none"/>
                <w:lang w:val="en-US" w:eastAsia="zh-CN"/>
              </w:rPr>
              <w:t>3</w:t>
            </w:r>
            <w:r>
              <w:rPr>
                <w:rFonts w:hint="eastAsia" w:ascii="宋体" w:hAnsi="宋体" w:eastAsia="宋体" w:cs="宋体"/>
                <w:bCs/>
                <w:color w:val="auto"/>
                <w:szCs w:val="24"/>
                <w:highlight w:val="none"/>
                <w:lang w:val="en-US" w:eastAsia="zh-CN"/>
              </w:rPr>
              <w:t>年</w:t>
            </w:r>
            <w:r>
              <w:rPr>
                <w:rFonts w:hint="eastAsia" w:ascii="宋体" w:hAnsi="宋体" w:cs="宋体"/>
                <w:bCs/>
                <w:color w:val="auto"/>
                <w:szCs w:val="24"/>
                <w:highlight w:val="none"/>
                <w:lang w:val="en-US" w:eastAsia="zh-CN"/>
              </w:rPr>
              <w:t>7月</w:t>
            </w:r>
            <w:r>
              <w:rPr>
                <w:rFonts w:hint="eastAsia" w:ascii="宋体" w:hAnsi="宋体" w:eastAsia="宋体" w:cs="宋体"/>
                <w:bCs/>
                <w:color w:val="auto"/>
                <w:szCs w:val="24"/>
                <w:highlight w:val="none"/>
                <w:lang w:val="en-US" w:eastAsia="zh-CN"/>
              </w:rPr>
              <w:t>至投标截止之日取得同类项目的业绩，每个得</w:t>
            </w:r>
            <w:r>
              <w:rPr>
                <w:rFonts w:hint="eastAsia" w:ascii="宋体" w:hAnsi="宋体" w:cs="宋体"/>
                <w:bCs/>
                <w:color w:val="auto"/>
                <w:szCs w:val="24"/>
                <w:highlight w:val="none"/>
                <w:lang w:val="en-US" w:eastAsia="zh-CN"/>
              </w:rPr>
              <w:t>10</w:t>
            </w:r>
            <w:r>
              <w:rPr>
                <w:rFonts w:hint="eastAsia" w:ascii="宋体" w:hAnsi="宋体" w:eastAsia="宋体" w:cs="宋体"/>
                <w:bCs/>
                <w:color w:val="auto"/>
                <w:szCs w:val="24"/>
                <w:highlight w:val="none"/>
                <w:lang w:val="en-US" w:eastAsia="zh-CN"/>
              </w:rPr>
              <w:t>分</w:t>
            </w:r>
            <w:r>
              <w:rPr>
                <w:rFonts w:hint="eastAsia" w:ascii="宋体" w:hAnsi="宋体" w:cs="宋体"/>
                <w:bCs/>
                <w:color w:val="auto"/>
                <w:szCs w:val="24"/>
                <w:highlight w:val="none"/>
                <w:lang w:val="en-US" w:eastAsia="zh-CN"/>
              </w:rPr>
              <w:t>，满分20分。</w:t>
            </w:r>
          </w:p>
          <w:p w14:paraId="6ED7B641">
            <w:pPr>
              <w:pageBreakBefore w:val="0"/>
              <w:widowControl/>
              <w:overflowPunct/>
              <w:topLinePunct w:val="0"/>
              <w:bidi w:val="0"/>
              <w:spacing w:line="360" w:lineRule="auto"/>
              <w:ind w:left="0" w:leftChars="0" w:right="105" w:rightChars="50" w:firstLine="420" w:firstLineChars="200"/>
              <w:rPr>
                <w:rFonts w:hint="eastAsia" w:ascii="宋体" w:hAnsi="宋体" w:eastAsia="宋体" w:cs="宋体"/>
                <w:bCs/>
                <w:color w:val="auto"/>
                <w:szCs w:val="24"/>
                <w:highlight w:val="none"/>
                <w:lang w:val="en-US" w:eastAsia="zh-CN"/>
              </w:rPr>
            </w:pPr>
            <w:r>
              <w:rPr>
                <w:rFonts w:hint="eastAsia" w:ascii="宋体" w:hAnsi="宋体" w:cs="宋体"/>
                <w:bCs/>
                <w:color w:val="auto"/>
                <w:szCs w:val="24"/>
                <w:highlight w:val="none"/>
                <w:lang w:val="en-US" w:eastAsia="zh-CN"/>
              </w:rPr>
              <w:t>备注：提供</w:t>
            </w:r>
            <w:r>
              <w:rPr>
                <w:rFonts w:hint="eastAsia" w:ascii="宋体" w:hAnsi="宋体" w:eastAsia="宋体" w:cs="宋体"/>
                <w:bCs/>
                <w:color w:val="auto"/>
                <w:szCs w:val="24"/>
                <w:highlight w:val="none"/>
                <w:lang w:val="en-US" w:eastAsia="zh-CN"/>
              </w:rPr>
              <w:t>中标/成交通知书或合同</w:t>
            </w:r>
            <w:r>
              <w:rPr>
                <w:rFonts w:hint="eastAsia" w:ascii="宋体" w:hAnsi="宋体" w:cs="宋体"/>
                <w:bCs/>
                <w:color w:val="auto"/>
                <w:szCs w:val="24"/>
                <w:highlight w:val="none"/>
                <w:lang w:val="en-US" w:eastAsia="zh-CN"/>
              </w:rPr>
              <w:t>或竣工验收证明扫描件</w:t>
            </w:r>
            <w:r>
              <w:rPr>
                <w:rFonts w:hint="eastAsia" w:ascii="宋体" w:hAnsi="宋体" w:eastAsia="宋体" w:cs="宋体"/>
                <w:bCs/>
                <w:color w:val="auto"/>
                <w:szCs w:val="24"/>
                <w:highlight w:val="none"/>
                <w:lang w:val="en-US" w:eastAsia="zh-CN"/>
              </w:rPr>
              <w:t>并加盖供应商公章</w:t>
            </w:r>
            <w:r>
              <w:rPr>
                <w:rFonts w:hint="eastAsia" w:ascii="宋体" w:hAnsi="宋体" w:cs="宋体"/>
                <w:bCs/>
                <w:color w:val="auto"/>
                <w:szCs w:val="24"/>
                <w:highlight w:val="none"/>
                <w:lang w:val="en-US" w:eastAsia="zh-CN"/>
              </w:rPr>
              <w:t>。</w:t>
            </w:r>
          </w:p>
        </w:tc>
      </w:tr>
      <w:tr w14:paraId="5D051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8838" w:type="dxa"/>
            <w:gridSpan w:val="4"/>
            <w:vAlign w:val="top"/>
          </w:tcPr>
          <w:p w14:paraId="45A5461D">
            <w:pPr>
              <w:pageBreakBefore w:val="0"/>
              <w:overflowPunct/>
              <w:topLinePunct w:val="0"/>
              <w:bidi w:val="0"/>
              <w:spacing w:line="360" w:lineRule="auto"/>
              <w:jc w:val="both"/>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综合总得分</w:t>
            </w:r>
            <w:r>
              <w:rPr>
                <w:rFonts w:hint="eastAsia" w:ascii="宋体" w:hAnsi="宋体" w:eastAsia="宋体" w:cs="宋体"/>
                <w:b/>
                <w:bCs/>
                <w:color w:val="auto"/>
                <w:szCs w:val="21"/>
                <w:highlight w:val="none"/>
              </w:rPr>
              <w:t>＝</w:t>
            </w:r>
            <w:r>
              <w:rPr>
                <w:rFonts w:hint="eastAsia" w:ascii="宋体" w:hAnsi="宋体" w:cs="宋体"/>
                <w:b/>
                <w:bCs/>
                <w:color w:val="auto"/>
                <w:szCs w:val="21"/>
                <w:highlight w:val="none"/>
                <w:lang w:val="en-US" w:eastAsia="zh-CN"/>
              </w:rPr>
              <w:t>价格分</w:t>
            </w:r>
            <w:r>
              <w:rPr>
                <w:rFonts w:hint="eastAsia" w:ascii="宋体" w:hAnsi="宋体" w:eastAsia="宋体" w:cs="宋体"/>
                <w:b/>
                <w:bCs/>
                <w:color w:val="auto"/>
                <w:szCs w:val="21"/>
                <w:highlight w:val="none"/>
              </w:rPr>
              <w:t>+</w:t>
            </w:r>
            <w:r>
              <w:rPr>
                <w:rFonts w:hint="eastAsia" w:ascii="宋体" w:hAnsi="宋体" w:eastAsia="宋体" w:cs="宋体"/>
                <w:b/>
                <w:color w:val="auto"/>
                <w:kern w:val="0"/>
                <w:szCs w:val="21"/>
                <w:highlight w:val="none"/>
              </w:rPr>
              <w:t>施工组织设计</w:t>
            </w:r>
            <w:r>
              <w:rPr>
                <w:rFonts w:hint="eastAsia" w:ascii="宋体" w:hAnsi="宋体" w:eastAsia="宋体" w:cs="宋体"/>
                <w:b/>
                <w:color w:val="auto"/>
                <w:kern w:val="0"/>
                <w:szCs w:val="21"/>
                <w:highlight w:val="none"/>
                <w:lang w:val="en-US" w:eastAsia="zh-CN"/>
              </w:rPr>
              <w:t>分+</w:t>
            </w:r>
            <w:r>
              <w:rPr>
                <w:rFonts w:hint="eastAsia" w:ascii="宋体" w:hAnsi="宋体" w:cs="宋体"/>
                <w:b/>
                <w:color w:val="auto"/>
                <w:szCs w:val="21"/>
                <w:highlight w:val="none"/>
                <w:lang w:val="en-US" w:eastAsia="zh-CN"/>
              </w:rPr>
              <w:t>商务</w:t>
            </w:r>
            <w:r>
              <w:rPr>
                <w:rFonts w:hint="eastAsia" w:ascii="宋体" w:hAnsi="宋体" w:eastAsia="宋体" w:cs="宋体"/>
                <w:b/>
                <w:color w:val="auto"/>
                <w:szCs w:val="21"/>
                <w:highlight w:val="none"/>
                <w:lang w:val="en-US" w:eastAsia="zh-CN"/>
              </w:rPr>
              <w:t>分=100分</w:t>
            </w:r>
          </w:p>
        </w:tc>
      </w:tr>
    </w:tbl>
    <w:p w14:paraId="4D2544DF">
      <w:pPr>
        <w:pageBreakBefore w:val="0"/>
        <w:overflowPunct/>
        <w:topLinePunct w:val="0"/>
        <w:bidi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br w:type="page"/>
      </w:r>
      <w:r>
        <w:rPr>
          <w:rFonts w:hint="eastAsia" w:ascii="宋体" w:hAnsi="宋体" w:eastAsia="宋体" w:cs="宋体"/>
          <w:b/>
          <w:color w:val="auto"/>
          <w:szCs w:val="21"/>
          <w:highlight w:val="none"/>
        </w:rPr>
        <w:t>评标办法正文</w:t>
      </w:r>
    </w:p>
    <w:p w14:paraId="3FE31EEE">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eastAsia="zh-CN"/>
        </w:rPr>
        <w:t>一、</w:t>
      </w:r>
      <w:r>
        <w:rPr>
          <w:rFonts w:hint="eastAsia" w:ascii="宋体" w:hAnsi="宋体" w:eastAsia="宋体" w:cs="宋体"/>
          <w:b/>
          <w:color w:val="auto"/>
          <w:szCs w:val="21"/>
          <w:highlight w:val="none"/>
        </w:rPr>
        <w:t>评标原则：</w:t>
      </w:r>
    </w:p>
    <w:p w14:paraId="637E6A11">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1、坚持公开、公平、公正、适用合理原则。</w:t>
      </w:r>
    </w:p>
    <w:p w14:paraId="536C982E">
      <w:pPr>
        <w:keepNext w:val="0"/>
        <w:keepLines w:val="0"/>
        <w:pageBreakBefore w:val="0"/>
        <w:widowControl w:val="0"/>
        <w:tabs>
          <w:tab w:val="left" w:pos="1440"/>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开标前</w:t>
      </w:r>
      <w:r>
        <w:rPr>
          <w:rFonts w:hint="eastAsia" w:ascii="宋体" w:hAnsi="宋体" w:eastAsia="宋体" w:cs="宋体"/>
          <w:color w:val="auto"/>
          <w:szCs w:val="21"/>
          <w:highlight w:val="none"/>
        </w:rPr>
        <w:t>由</w:t>
      </w:r>
      <w:r>
        <w:rPr>
          <w:rFonts w:hint="eastAsia" w:ascii="宋体" w:hAnsi="宋体" w:eastAsia="宋体" w:cs="宋体"/>
          <w:color w:val="auto"/>
          <w:szCs w:val="21"/>
          <w:highlight w:val="none"/>
          <w:lang w:val="en-US" w:eastAsia="zh-CN"/>
        </w:rPr>
        <w:t>采购代理机构在广西政府采购云平台广西评审专家库</w:t>
      </w:r>
      <w:r>
        <w:rPr>
          <w:rFonts w:hint="eastAsia" w:ascii="宋体" w:hAnsi="宋体" w:eastAsia="宋体" w:cs="宋体"/>
          <w:color w:val="auto"/>
          <w:szCs w:val="21"/>
          <w:highlight w:val="none"/>
        </w:rPr>
        <w:t>中随机抽取的评标专家组成。评标小组为3人，其中，采购</w:t>
      </w:r>
      <w:r>
        <w:rPr>
          <w:rFonts w:hint="eastAsia" w:ascii="宋体" w:hAnsi="宋体" w:eastAsia="宋体" w:cs="宋体"/>
          <w:color w:val="auto"/>
          <w:szCs w:val="21"/>
          <w:highlight w:val="none"/>
          <w:lang w:eastAsia="zh-CN"/>
        </w:rPr>
        <w:t>人</w:t>
      </w:r>
      <w:r>
        <w:rPr>
          <w:rFonts w:hint="eastAsia" w:ascii="宋体" w:hAnsi="宋体" w:eastAsia="宋体" w:cs="宋体"/>
          <w:color w:val="auto"/>
          <w:szCs w:val="21"/>
          <w:highlight w:val="none"/>
        </w:rPr>
        <w:t>评标代表1人，评标专家库中随机抽取2人。</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小组以</w:t>
      </w:r>
      <w:r>
        <w:rPr>
          <w:rFonts w:hint="eastAsia" w:ascii="宋体" w:hAnsi="宋体" w:eastAsia="宋体" w:cs="宋体"/>
          <w:color w:val="auto"/>
          <w:szCs w:val="21"/>
          <w:highlight w:val="none"/>
          <w:lang w:eastAsia="zh-CN"/>
        </w:rPr>
        <w:t>《竞争性磋商文件》</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为评标依据，本项目采用</w:t>
      </w:r>
      <w:r>
        <w:rPr>
          <w:rFonts w:hint="eastAsia" w:ascii="宋体" w:hAnsi="宋体" w:eastAsia="宋体" w:cs="宋体"/>
          <w:b/>
          <w:bCs/>
          <w:color w:val="auto"/>
          <w:szCs w:val="21"/>
          <w:highlight w:val="none"/>
          <w:u w:val="single"/>
        </w:rPr>
        <w:t>综合评分法</w:t>
      </w:r>
      <w:r>
        <w:rPr>
          <w:rFonts w:hint="eastAsia" w:ascii="宋体" w:hAnsi="宋体" w:eastAsia="宋体" w:cs="宋体"/>
          <w:bCs/>
          <w:color w:val="auto"/>
          <w:szCs w:val="21"/>
          <w:highlight w:val="none"/>
        </w:rPr>
        <w:t>进行</w:t>
      </w:r>
      <w:r>
        <w:rPr>
          <w:rFonts w:hint="eastAsia" w:ascii="宋体" w:hAnsi="宋体" w:eastAsia="宋体" w:cs="宋体"/>
          <w:color w:val="auto"/>
          <w:szCs w:val="21"/>
          <w:highlight w:val="none"/>
        </w:rPr>
        <w:t>评标。</w:t>
      </w:r>
    </w:p>
    <w:p w14:paraId="63833A07">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eastAsia="zh-CN"/>
        </w:rPr>
        <w:t>二、</w:t>
      </w:r>
      <w:r>
        <w:rPr>
          <w:rFonts w:hint="eastAsia" w:ascii="宋体" w:hAnsi="宋体" w:eastAsia="宋体" w:cs="宋体"/>
          <w:b/>
          <w:color w:val="auto"/>
          <w:szCs w:val="21"/>
          <w:highlight w:val="none"/>
        </w:rPr>
        <w:t>评标次序：</w:t>
      </w:r>
    </w:p>
    <w:p w14:paraId="4789B5AC">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1、资格审查：</w:t>
      </w:r>
      <w:r>
        <w:rPr>
          <w:rFonts w:hint="eastAsia" w:ascii="宋体" w:hAnsi="宋体" w:eastAsia="宋体" w:cs="宋体"/>
          <w:color w:val="auto"/>
          <w:szCs w:val="21"/>
          <w:highlight w:val="none"/>
        </w:rPr>
        <w:t>本项目采用资格后审方式进行资格审查，参加本次</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的单位均要通过资格后审才能获得</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资格。资格审查内容为：见评标办法前附表。</w:t>
      </w:r>
    </w:p>
    <w:p w14:paraId="2ECA8688">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2、</w:t>
      </w:r>
      <w:r>
        <w:rPr>
          <w:rFonts w:hint="eastAsia" w:ascii="宋体" w:hAnsi="宋体" w:eastAsia="宋体" w:cs="宋体"/>
          <w:b/>
          <w:bCs/>
          <w:color w:val="auto"/>
          <w:szCs w:val="21"/>
          <w:highlight w:val="none"/>
        </w:rPr>
        <w:t>详细评审（即综合评审）</w:t>
      </w:r>
    </w:p>
    <w:p w14:paraId="556D5F9F">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各评委根据评标办法中相应的要求进行科学评分。在进行</w:t>
      </w:r>
      <w:r>
        <w:rPr>
          <w:rFonts w:hint="eastAsia" w:ascii="宋体" w:hAnsi="宋体" w:eastAsia="宋体" w:cs="宋体"/>
          <w:color w:val="auto"/>
          <w:szCs w:val="21"/>
          <w:highlight w:val="none"/>
          <w:lang w:val="en-US" w:eastAsia="zh-CN"/>
        </w:rPr>
        <w:t>施工组织设计</w:t>
      </w:r>
      <w:r>
        <w:rPr>
          <w:rFonts w:hint="eastAsia" w:ascii="宋体" w:hAnsi="宋体" w:eastAsia="宋体" w:cs="宋体"/>
          <w:color w:val="auto"/>
          <w:szCs w:val="21"/>
          <w:highlight w:val="none"/>
        </w:rPr>
        <w:t>方案文件的评审时，各评委评分的算术平均值为该</w:t>
      </w: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rPr>
        <w:t>的最终得分。</w:t>
      </w:r>
    </w:p>
    <w:p w14:paraId="17E187CB">
      <w:pPr>
        <w:keepNext w:val="0"/>
        <w:keepLines w:val="0"/>
        <w:pageBreakBefore w:val="0"/>
        <w:widowControl w:val="0"/>
        <w:tabs>
          <w:tab w:val="left" w:pos="180"/>
        </w:tabs>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w:t>
      </w:r>
      <w:r>
        <w:rPr>
          <w:rFonts w:hint="eastAsia" w:ascii="宋体" w:hAnsi="宋体" w:eastAsia="宋体" w:cs="宋体"/>
          <w:b/>
          <w:bCs/>
          <w:color w:val="auto"/>
          <w:szCs w:val="21"/>
          <w:highlight w:val="none"/>
          <w:lang w:eastAsia="zh-CN"/>
        </w:rPr>
        <w:t>《响应文件》</w:t>
      </w:r>
      <w:r>
        <w:rPr>
          <w:rFonts w:hint="eastAsia" w:ascii="宋体" w:hAnsi="宋体" w:eastAsia="宋体" w:cs="宋体"/>
          <w:b/>
          <w:bCs/>
          <w:color w:val="auto"/>
          <w:szCs w:val="21"/>
          <w:highlight w:val="none"/>
        </w:rPr>
        <w:t>的澄清与修正</w:t>
      </w:r>
    </w:p>
    <w:p w14:paraId="010A485A">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3.1为了有助于</w:t>
      </w: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的审查、评价和比较，</w:t>
      </w:r>
      <w:r>
        <w:rPr>
          <w:rFonts w:hint="eastAsia" w:ascii="宋体" w:hAnsi="宋体" w:eastAsia="宋体" w:cs="宋体"/>
          <w:color w:val="auto"/>
          <w:szCs w:val="21"/>
          <w:highlight w:val="none"/>
          <w:lang w:eastAsia="zh-CN"/>
        </w:rPr>
        <w:t>磋商小组</w:t>
      </w:r>
      <w:r>
        <w:rPr>
          <w:rFonts w:hint="eastAsia" w:ascii="宋体" w:hAnsi="宋体" w:eastAsia="宋体" w:cs="宋体"/>
          <w:color w:val="auto"/>
          <w:szCs w:val="21"/>
          <w:highlight w:val="none"/>
        </w:rPr>
        <w:t>可以要求</w:t>
      </w: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rPr>
        <w:t>澄清其</w:t>
      </w: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。有关澄清的要求与答复，应以书面形式进行。</w:t>
      </w:r>
      <w:r>
        <w:rPr>
          <w:rFonts w:hint="eastAsia" w:ascii="宋体" w:hAnsi="宋体" w:eastAsia="宋体" w:cs="宋体"/>
          <w:bCs/>
          <w:color w:val="auto"/>
          <w:szCs w:val="21"/>
          <w:highlight w:val="none"/>
        </w:rPr>
        <w:t>不按</w:t>
      </w:r>
      <w:r>
        <w:rPr>
          <w:rFonts w:hint="eastAsia" w:ascii="宋体" w:hAnsi="宋体" w:eastAsia="宋体" w:cs="宋体"/>
          <w:bCs/>
          <w:color w:val="auto"/>
          <w:szCs w:val="21"/>
          <w:highlight w:val="none"/>
          <w:lang w:eastAsia="zh-CN"/>
        </w:rPr>
        <w:t>磋商小组</w:t>
      </w:r>
      <w:r>
        <w:rPr>
          <w:rFonts w:hint="eastAsia" w:ascii="宋体" w:hAnsi="宋体" w:eastAsia="宋体" w:cs="宋体"/>
          <w:bCs/>
          <w:color w:val="auto"/>
          <w:szCs w:val="21"/>
          <w:highlight w:val="none"/>
        </w:rPr>
        <w:t>要求澄清、说明或补正的，</w:t>
      </w:r>
      <w:r>
        <w:rPr>
          <w:rFonts w:hint="eastAsia" w:ascii="宋体" w:hAnsi="宋体" w:eastAsia="宋体" w:cs="宋体"/>
          <w:bCs/>
          <w:color w:val="auto"/>
          <w:szCs w:val="21"/>
          <w:highlight w:val="none"/>
          <w:lang w:eastAsia="zh-CN"/>
        </w:rPr>
        <w:t>《响应文件》</w:t>
      </w:r>
      <w:r>
        <w:rPr>
          <w:rFonts w:hint="eastAsia" w:ascii="宋体" w:hAnsi="宋体" w:eastAsia="宋体" w:cs="宋体"/>
          <w:bCs/>
          <w:color w:val="auto"/>
          <w:szCs w:val="21"/>
          <w:highlight w:val="none"/>
        </w:rPr>
        <w:t>作废标处理。</w:t>
      </w:r>
    </w:p>
    <w:p w14:paraId="12FAAEE2">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3.2 </w:t>
      </w: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计算错误的修正</w:t>
      </w:r>
    </w:p>
    <w:p w14:paraId="721E2E3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3.2.1 </w:t>
      </w:r>
      <w:r>
        <w:rPr>
          <w:rFonts w:hint="eastAsia" w:ascii="宋体" w:hAnsi="宋体" w:eastAsia="宋体" w:cs="宋体"/>
          <w:bCs/>
          <w:color w:val="auto"/>
          <w:szCs w:val="21"/>
          <w:highlight w:val="none"/>
          <w:lang w:eastAsia="zh-CN"/>
        </w:rPr>
        <w:t>磋商小组</w:t>
      </w:r>
      <w:r>
        <w:rPr>
          <w:rFonts w:hint="eastAsia" w:ascii="宋体" w:hAnsi="宋体" w:eastAsia="宋体" w:cs="宋体"/>
          <w:color w:val="auto"/>
          <w:szCs w:val="21"/>
          <w:highlight w:val="none"/>
        </w:rPr>
        <w:t>将对确定为实质上响应</w:t>
      </w:r>
      <w:r>
        <w:rPr>
          <w:rFonts w:hint="eastAsia" w:ascii="宋体" w:hAnsi="宋体" w:eastAsia="宋体" w:cs="宋体"/>
          <w:color w:val="auto"/>
          <w:szCs w:val="21"/>
          <w:highlight w:val="none"/>
          <w:lang w:eastAsia="zh-CN"/>
        </w:rPr>
        <w:t>《竞争性磋商文件》</w:t>
      </w:r>
      <w:r>
        <w:rPr>
          <w:rFonts w:hint="eastAsia" w:ascii="宋体" w:hAnsi="宋体" w:eastAsia="宋体" w:cs="宋体"/>
          <w:color w:val="auto"/>
          <w:szCs w:val="21"/>
          <w:highlight w:val="none"/>
        </w:rPr>
        <w:t>要求的</w:t>
      </w: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进行校核，看其是否有计算或表达上的错误，修正错误的原则如下：</w:t>
      </w:r>
    </w:p>
    <w:p w14:paraId="23AD696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如果数字表示的金额和用文字表示的金额不一致时，应以文字表示的金额为准；</w:t>
      </w:r>
    </w:p>
    <w:p w14:paraId="2C0C22E0">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3.2.2 按上述修正错误的原则及方法调整或修正</w:t>
      </w: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的投标报价，在</w:t>
      </w: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rPr>
        <w:t>确认后，调整或修正后的磋商报价对</w:t>
      </w: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rPr>
        <w:t>起约束作用。如果</w:t>
      </w: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rPr>
        <w:t>不接受调整或修正后的报价，则其</w:t>
      </w: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将被拒绝，并不影响评标工作。</w:t>
      </w:r>
    </w:p>
    <w:p w14:paraId="2A1B8405">
      <w:pPr>
        <w:keepNext w:val="0"/>
        <w:keepLines w:val="0"/>
        <w:pageBreakBefore w:val="0"/>
        <w:widowControl w:val="0"/>
        <w:tabs>
          <w:tab w:val="left" w:pos="180"/>
        </w:tabs>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eastAsia="zh-CN"/>
        </w:rPr>
        <w:t>三、</w:t>
      </w:r>
      <w:r>
        <w:rPr>
          <w:rFonts w:hint="eastAsia" w:ascii="宋体" w:hAnsi="宋体" w:eastAsia="宋体" w:cs="宋体"/>
          <w:b/>
          <w:bCs/>
          <w:color w:val="auto"/>
          <w:szCs w:val="21"/>
          <w:highlight w:val="none"/>
          <w:lang w:val="en-US" w:eastAsia="zh-CN"/>
        </w:rPr>
        <w:t>推荐成交候选供应商原则</w:t>
      </w:r>
    </w:p>
    <w:bookmarkEnd w:id="1419"/>
    <w:p w14:paraId="5D8BD5C6">
      <w:pPr>
        <w:pageBreakBefore w:val="0"/>
        <w:widowControl w:val="0"/>
        <w:tabs>
          <w:tab w:val="left" w:pos="4214"/>
        </w:tabs>
        <w:overflowPunct/>
        <w:topLinePunct w:val="0"/>
        <w:bidi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磋商小组将根据总得分由高到低排列次序并推荐成交候选供应商。（总得分相同的，按照最后报价由低到高的顺序推荐。总得分且最后报价相同的，则按供应商的施工组织设计等方面综合评价择优确定成交候选供应商）。</w:t>
      </w:r>
    </w:p>
    <w:p w14:paraId="3D858729">
      <w:pPr>
        <w:pageBreakBefore w:val="0"/>
        <w:widowControl w:val="0"/>
        <w:tabs>
          <w:tab w:val="left" w:pos="4214"/>
        </w:tabs>
        <w:overflowPunct/>
        <w:topLinePunct w:val="0"/>
        <w:bidi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bCs/>
          <w:color w:val="auto"/>
          <w:szCs w:val="21"/>
          <w:highlight w:val="none"/>
        </w:rPr>
        <w:t>采购单位应当确定磋商小组推荐排名第一的成交候选供应商为成交供应商</w:t>
      </w:r>
      <w:r>
        <w:rPr>
          <w:rFonts w:hint="eastAsia" w:ascii="宋体" w:hAnsi="宋体" w:eastAsia="宋体" w:cs="宋体"/>
          <w:color w:val="auto"/>
          <w:kern w:val="2"/>
          <w:sz w:val="21"/>
          <w:szCs w:val="21"/>
          <w:highlight w:val="none"/>
          <w:lang w:val="en-US" w:eastAsia="zh-CN" w:bidi="ar-SA"/>
        </w:rPr>
        <w:t>。</w:t>
      </w:r>
    </w:p>
    <w:p w14:paraId="0F9C2E44">
      <w:pPr>
        <w:pageBreakBefore w:val="0"/>
        <w:widowControl w:val="0"/>
        <w:overflowPunct/>
        <w:topLinePunct w:val="0"/>
        <w:bidi w:val="0"/>
        <w:spacing w:line="360" w:lineRule="auto"/>
        <w:ind w:firstLine="420" w:firstLineChars="200"/>
        <w:jc w:val="both"/>
        <w:rPr>
          <w:rFonts w:hint="eastAsia" w:ascii="宋体" w:hAnsi="宋体" w:eastAsia="宋体" w:cs="宋体"/>
          <w:color w:val="auto"/>
          <w:highlight w:val="none"/>
        </w:rPr>
      </w:pPr>
      <w:r>
        <w:rPr>
          <w:rFonts w:hint="eastAsia" w:ascii="宋体" w:hAnsi="宋体" w:eastAsia="宋体" w:cs="宋体"/>
          <w:color w:val="auto"/>
          <w:kern w:val="2"/>
          <w:sz w:val="21"/>
          <w:szCs w:val="21"/>
          <w:highlight w:val="none"/>
          <w:lang w:val="en-US" w:eastAsia="zh-CN" w:bidi="ar-SA"/>
        </w:rPr>
        <w:t>3、排名第一的成交候选供应商放弃成交、因不可抗力提出不能履行合同，或者磋商文件规定应当提交履约保证金而在规定的期限内未能提交的，采购单位可以确定排名第二的成交候选供应商为成交供应商。第二成交候选供应商因前款规定的同样原因不能签订合同的，采购单位可以确定排名第三的成交候选供应商为成交供应商。</w:t>
      </w:r>
    </w:p>
    <w:sectPr>
      <w:headerReference r:id="rId11" w:type="default"/>
      <w:footerReference r:id="rId12" w:type="default"/>
      <w:pgSz w:w="11850" w:h="16783"/>
      <w:pgMar w:top="1440" w:right="1800" w:bottom="1440" w:left="1800" w:header="851" w:footer="890" w:gutter="0"/>
      <w:pgNumType w:fmt="decimal"/>
      <w:cols w:space="720"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B88A3B9-FAFB-4956-B99B-19B2BD1B702E}"/>
  </w:font>
  <w:font w:name="黑体">
    <w:panose1 w:val="02010609060101010101"/>
    <w:charset w:val="86"/>
    <w:family w:val="auto"/>
    <w:pitch w:val="default"/>
    <w:sig w:usb0="800002BF" w:usb1="38CF7CFA" w:usb2="00000016" w:usb3="00000000" w:csb0="00040001" w:csb1="00000000"/>
    <w:embedRegular r:id="rId2" w:fontKey="{2D17765D-BDEF-4E17-B1CC-5A0E1DEEAD7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87F340C9-9221-420A-B8A3-2D4B1D539047}"/>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embedRegular r:id="rId4" w:fontKey="{E98D8162-B42F-4604-B0B3-33E61AD54995}"/>
  </w:font>
  <w:font w:name="仿宋">
    <w:panose1 w:val="02010609060101010101"/>
    <w:charset w:val="86"/>
    <w:family w:val="auto"/>
    <w:pitch w:val="default"/>
    <w:sig w:usb0="800002BF" w:usb1="38CF7CFA" w:usb2="00000016" w:usb3="00000000" w:csb0="00040001" w:csb1="00000000"/>
  </w:font>
  <w:font w:name="MingLiU_HKSCS-ExtB">
    <w:panose1 w:val="02020500000000000000"/>
    <w:charset w:val="88"/>
    <w:family w:val="auto"/>
    <w:pitch w:val="default"/>
    <w:sig w:usb0="8000002F" w:usb1="02000008" w:usb2="00000000" w:usb3="00000000" w:csb0="00100001" w:csb1="00000000"/>
    <w:embedRegular r:id="rId5" w:fontKey="{16D3D740-9CBE-4ADC-A4E1-FAC637881CDC}"/>
  </w:font>
  <w:font w:name="Wingdings 2">
    <w:altName w:val="Wingdings"/>
    <w:panose1 w:val="05020102010507070707"/>
    <w:charset w:val="02"/>
    <w:family w:val="auto"/>
    <w:pitch w:val="default"/>
    <w:sig w:usb0="00000000" w:usb1="00000000" w:usb2="00000000" w:usb3="00000000" w:csb0="80000000" w:csb1="00000000"/>
    <w:embedRegular r:id="rId6" w:fontKey="{67E1C806-1B76-4643-8A7E-48C75CDE6275}"/>
  </w:font>
  <w:font w:name="Kingsoft UE">
    <w:panose1 w:val="02000100010000000000"/>
    <w:charset w:val="00"/>
    <w:family w:val="auto"/>
    <w:pitch w:val="default"/>
    <w:sig w:usb0="00000001" w:usb1="00004000" w:usb2="00000000" w:usb3="00000000" w:csb0="0000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54941">
    <w:pPr>
      <w:pStyle w:val="17"/>
      <w:ind w:right="90"/>
      <w:jc w:val="right"/>
      <w:rPr>
        <w:rFonts w:hint="eastAsia" w:ascii="宋体" w:hAnsi="宋体" w:eastAsia="宋体" w:cs="Times New Roman"/>
        <w:sz w:val="21"/>
        <w:szCs w:val="21"/>
        <w:u w:val="single"/>
      </w:rPr>
    </w:pPr>
    <w:r>
      <w:rPr>
        <w:rFonts w:hint="eastAsia" w:ascii="宋体" w:hAnsi="宋体" w:cs="Times New Roman"/>
        <w:lang w:eastAsia="zh-CN"/>
      </w:rPr>
      <w:t>广西朗亿工程咨询有限公司</w:t>
    </w:r>
    <w:r>
      <w:rPr>
        <w:rFonts w:hint="eastAsia" w:ascii="宋体" w:hAnsi="宋体" w:eastAsia="宋体" w:cs="Times New Roman"/>
      </w:rPr>
      <w:t>编制</w:t>
    </w:r>
    <w:r>
      <w:rPr>
        <w:rFonts w:hint="eastAsia" w:ascii="宋体" w:hAnsi="宋体" w:eastAsia="宋体" w:cs="Times New Roman"/>
        <w:sz w:val="21"/>
        <w:szCs w:val="21"/>
        <w:u w:val="single"/>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CE094">
    <w:pPr>
      <w:pStyle w:val="17"/>
      <w:framePr w:wrap="around" w:vAnchor="text" w:hAnchor="margin" w:xAlign="right" w:y="1"/>
      <w:rPr>
        <w:rStyle w:val="26"/>
        <w:rFonts w:ascii="Times New Roman" w:hAnsi="Times New Roman" w:eastAsia="宋体" w:cs="Times New Roman"/>
      </w:rPr>
    </w:pPr>
    <w:r>
      <w:rPr>
        <w:rFonts w:ascii="Times New Roman" w:hAnsi="Times New Roman" w:eastAsia="宋体" w:cs="Times New Roman"/>
      </w:rPr>
      <w:fldChar w:fldCharType="begin"/>
    </w:r>
    <w:r>
      <w:rPr>
        <w:rStyle w:val="26"/>
        <w:rFonts w:ascii="Times New Roman" w:hAnsi="Times New Roman" w:eastAsia="宋体" w:cs="Times New Roman"/>
      </w:rPr>
      <w:instrText xml:space="preserve">PAGE  </w:instrText>
    </w:r>
    <w:r>
      <w:rPr>
        <w:rFonts w:ascii="Times New Roman" w:hAnsi="Times New Roman" w:eastAsia="宋体" w:cs="Times New Roman"/>
      </w:rPr>
      <w:fldChar w:fldCharType="end"/>
    </w:r>
  </w:p>
  <w:p w14:paraId="64E50E91">
    <w:pPr>
      <w:pStyle w:val="17"/>
      <w:ind w:right="360"/>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FE2BE">
    <w:pPr>
      <w:pStyle w:val="17"/>
      <w:tabs>
        <w:tab w:val="center" w:pos="4439"/>
        <w:tab w:val="clear" w:pos="4153"/>
      </w:tabs>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773396">
                          <w:pPr>
                            <w:pStyle w:val="17"/>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B773396">
                    <w:pPr>
                      <w:pStyle w:val="17"/>
                    </w:pPr>
                    <w:r>
                      <w:fldChar w:fldCharType="begin"/>
                    </w:r>
                    <w:r>
                      <w:instrText xml:space="preserve"> PAGE  \* MERGEFORMAT </w:instrText>
                    </w:r>
                    <w:r>
                      <w:fldChar w:fldCharType="separate"/>
                    </w:r>
                    <w:r>
                      <w:t>5</w:t>
                    </w:r>
                    <w:r>
                      <w:fldChar w:fldCharType="end"/>
                    </w:r>
                  </w:p>
                </w:txbxContent>
              </v:textbox>
            </v:shape>
          </w:pict>
        </mc:Fallback>
      </mc:AlternateContent>
    </w:r>
  </w:p>
  <w:p w14:paraId="4197940C">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AE718">
    <w:pPr>
      <w:widowControl/>
      <w:kinsoku w:val="0"/>
      <w:autoSpaceDE w:val="0"/>
      <w:autoSpaceDN w:val="0"/>
      <w:adjustRightInd w:val="0"/>
      <w:snapToGrid w:val="0"/>
      <w:spacing w:line="120" w:lineRule="exact"/>
      <w:jc w:val="center"/>
      <w:textAlignment w:val="baseline"/>
      <w:rPr>
        <w:rFonts w:ascii="宋体" w:hAnsi="宋体" w:eastAsia="宋体" w:cs="宋体"/>
        <w:snapToGrid w:val="0"/>
        <w:color w:val="000000"/>
        <w:kern w:val="0"/>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44240E">
                          <w:pPr>
                            <w:pStyle w:val="17"/>
                          </w:pPr>
                          <w:r>
                            <w:fldChar w:fldCharType="begin"/>
                          </w:r>
                          <w:r>
                            <w:instrText xml:space="preserve"> PAGE  \* MERGEFORMAT </w:instrText>
                          </w:r>
                          <w:r>
                            <w:fldChar w:fldCharType="separate"/>
                          </w:r>
                          <w:r>
                            <w:t>104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744240E">
                    <w:pPr>
                      <w:pStyle w:val="17"/>
                    </w:pPr>
                    <w:r>
                      <w:fldChar w:fldCharType="begin"/>
                    </w:r>
                    <w:r>
                      <w:instrText xml:space="preserve"> PAGE  \* MERGEFORMAT </w:instrText>
                    </w:r>
                    <w:r>
                      <w:fldChar w:fldCharType="separate"/>
                    </w:r>
                    <w:r>
                      <w:t>104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DF467">
    <w:pPr>
      <w:pStyle w:val="17"/>
      <w:ind w:right="90"/>
      <w:jc w:val="right"/>
      <w:rPr>
        <w:rFonts w:hint="eastAsia" w:ascii="宋体" w:hAnsi="宋体" w:eastAsia="宋体" w:cs="Times New Roman"/>
        <w:sz w:val="21"/>
        <w:szCs w:val="21"/>
        <w:u w:val="single"/>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9E1EDC">
                          <w:pPr>
                            <w:pStyle w:val="17"/>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9E1EDC">
                    <w:pPr>
                      <w:pStyle w:val="17"/>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ascii="宋体" w:hAnsi="宋体" w:cs="Times New Roman"/>
        <w:sz w:val="21"/>
        <w:szCs w:val="21"/>
        <w:lang w:eastAsia="zh-CN"/>
      </w:rPr>
      <w:t>广西朗亿工程咨询有限公司</w:t>
    </w:r>
    <w:r>
      <w:rPr>
        <w:rFonts w:hint="eastAsia" w:ascii="宋体" w:hAnsi="宋体" w:eastAsia="宋体" w:cs="Times New Roman"/>
        <w:sz w:val="21"/>
        <w:szCs w:val="21"/>
      </w:rPr>
      <w:t>编制</w:t>
    </w:r>
    <w:r>
      <w:rPr>
        <w:rFonts w:hint="eastAsia" w:ascii="宋体" w:hAnsi="宋体" w:eastAsia="宋体" w:cs="Times New Roman"/>
        <w:sz w:val="21"/>
        <w:szCs w:val="21"/>
        <w:u w:val="single"/>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809C0">
    <w:pPr>
      <w:pStyle w:val="18"/>
      <w:jc w:val="left"/>
      <w:rPr>
        <w:rFonts w:hint="eastAsia" w:cs="Times New Roman"/>
        <w:sz w:val="21"/>
        <w:szCs w:val="21"/>
        <w:lang w:val="en-US" w:eastAsia="zh-CN"/>
      </w:rPr>
    </w:pPr>
    <w:r>
      <w:rPr>
        <w:rFonts w:hint="eastAsia" w:ascii="Times New Roman" w:hAnsi="Times New Roman" w:eastAsia="宋体" w:cs="Times New Roman"/>
        <w:sz w:val="21"/>
        <w:szCs w:val="21"/>
      </w:rPr>
      <w:t>项目名称：</w:t>
    </w:r>
    <w:r>
      <w:rPr>
        <w:rFonts w:hint="eastAsia" w:cs="Times New Roman"/>
        <w:sz w:val="21"/>
        <w:szCs w:val="21"/>
        <w:lang w:eastAsia="zh-CN"/>
      </w:rPr>
      <w:t>贺州市平桂区沙田镇狮中村大湾自然村渠道水毁修复工程</w:t>
    </w:r>
    <w:r>
      <w:rPr>
        <w:rFonts w:hint="eastAsia" w:ascii="Times New Roman" w:hAnsi="Times New Roman" w:eastAsia="宋体" w:cs="Times New Roman"/>
        <w:sz w:val="21"/>
        <w:szCs w:val="21"/>
        <w:lang w:val="en-US" w:eastAsia="zh-CN"/>
      </w:rPr>
      <w:t xml:space="preserve"> </w:t>
    </w:r>
    <w:r>
      <w:rPr>
        <w:rFonts w:hint="eastAsia" w:cs="Times New Roman"/>
        <w:sz w:val="21"/>
        <w:szCs w:val="21"/>
        <w:lang w:val="en-US" w:eastAsia="zh-CN"/>
      </w:rPr>
      <w:t xml:space="preserve">   </w:t>
    </w:r>
  </w:p>
  <w:p w14:paraId="5E9B10B4">
    <w:pPr>
      <w:pStyle w:val="18"/>
      <w:jc w:val="left"/>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highlight w:val="none"/>
      </w:rPr>
      <w:t>项目编号：</w:t>
    </w:r>
    <w:r>
      <w:rPr>
        <w:rFonts w:hint="eastAsia" w:cs="Times New Roman"/>
        <w:sz w:val="21"/>
        <w:szCs w:val="21"/>
        <w:highlight w:val="none"/>
        <w:lang w:eastAsia="zh-CN"/>
      </w:rPr>
      <w:t>HZZC2022-C2-      -GXJL</w:t>
    </w:r>
    <w:r>
      <w:rPr>
        <w:rFonts w:hint="eastAsia" w:cs="Times New Roman"/>
        <w:sz w:val="21"/>
        <w:szCs w:val="21"/>
        <w:highlight w:val="none"/>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ED93A">
    <w:pPr>
      <w:pStyle w:val="18"/>
      <w:rPr>
        <w:rFonts w:ascii="Times New Roman" w:hAnsi="Times New Roman" w:eastAsia="宋体"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ED73C">
    <w:pPr>
      <w:pStyle w:val="18"/>
      <w:pBdr>
        <w:bottom w:val="none" w:color="auto" w:sz="0" w:space="1"/>
      </w:pBdr>
      <w:rPr>
        <w:rFonts w:ascii="Times New Roman" w:hAnsi="Times New Roman" w:eastAsia="宋体"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FA23A">
    <w:pPr>
      <w:pStyle w:val="18"/>
      <w:pBdr>
        <w:bottom w:val="none" w:color="auto" w:sz="0" w:space="1"/>
      </w:pBdr>
      <w:jc w:val="left"/>
      <w:rPr>
        <w:rFonts w:ascii="宋体" w:hAnsi="宋体" w:eastAsia="宋体" w:cs="宋体"/>
        <w:snapToGrid w:val="0"/>
        <w:color w:val="000000"/>
        <w:kern w:val="0"/>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9FB41">
    <w:pPr>
      <w:tabs>
        <w:tab w:val="left" w:pos="973"/>
      </w:tabs>
      <w:spacing w:line="237" w:lineRule="auto"/>
      <w:rPr>
        <w:rFonts w:ascii="宋体" w:hAnsi="宋体" w:eastAsia="宋体" w:cs="宋体"/>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C795B7"/>
    <w:multiLevelType w:val="singleLevel"/>
    <w:tmpl w:val="82C795B7"/>
    <w:lvl w:ilvl="0" w:tentative="0">
      <w:start w:val="7"/>
      <w:numFmt w:val="decimal"/>
      <w:suff w:val="nothing"/>
      <w:lvlText w:val="（%1）"/>
      <w:lvlJc w:val="left"/>
      <w:pPr>
        <w:ind w:left="-60"/>
      </w:pPr>
    </w:lvl>
  </w:abstractNum>
  <w:abstractNum w:abstractNumId="1">
    <w:nsid w:val="85CB960E"/>
    <w:multiLevelType w:val="singleLevel"/>
    <w:tmpl w:val="85CB960E"/>
    <w:lvl w:ilvl="0" w:tentative="0">
      <w:start w:val="7"/>
      <w:numFmt w:val="chineseCounting"/>
      <w:suff w:val="nothing"/>
      <w:lvlText w:val="%1、"/>
      <w:lvlJc w:val="left"/>
      <w:rPr>
        <w:rFonts w:hint="eastAsia"/>
      </w:rPr>
    </w:lvl>
  </w:abstractNum>
  <w:abstractNum w:abstractNumId="2">
    <w:nsid w:val="979E8524"/>
    <w:multiLevelType w:val="singleLevel"/>
    <w:tmpl w:val="979E8524"/>
    <w:lvl w:ilvl="0" w:tentative="0">
      <w:start w:val="2"/>
      <w:numFmt w:val="decimal"/>
      <w:suff w:val="nothing"/>
      <w:lvlText w:val="（%1）"/>
      <w:lvlJc w:val="left"/>
    </w:lvl>
  </w:abstractNum>
  <w:abstractNum w:abstractNumId="3">
    <w:nsid w:val="BFFA26FE"/>
    <w:multiLevelType w:val="singleLevel"/>
    <w:tmpl w:val="BFFA26FE"/>
    <w:lvl w:ilvl="0" w:tentative="0">
      <w:start w:val="1"/>
      <w:numFmt w:val="decimal"/>
      <w:suff w:val="space"/>
      <w:lvlText w:val="（%1）"/>
      <w:lvlJc w:val="left"/>
    </w:lvl>
  </w:abstractNum>
  <w:abstractNum w:abstractNumId="4">
    <w:nsid w:val="C932187E"/>
    <w:multiLevelType w:val="singleLevel"/>
    <w:tmpl w:val="C932187E"/>
    <w:lvl w:ilvl="0" w:tentative="0">
      <w:start w:val="1"/>
      <w:numFmt w:val="chineseCounting"/>
      <w:suff w:val="space"/>
      <w:lvlText w:val="第%1章"/>
      <w:lvlJc w:val="left"/>
      <w:rPr>
        <w:rFonts w:hint="eastAsia"/>
      </w:rPr>
    </w:lvl>
  </w:abstractNum>
  <w:abstractNum w:abstractNumId="5">
    <w:nsid w:val="EBFB9C56"/>
    <w:multiLevelType w:val="singleLevel"/>
    <w:tmpl w:val="EBFB9C56"/>
    <w:lvl w:ilvl="0" w:tentative="0">
      <w:start w:val="1"/>
      <w:numFmt w:val="decimal"/>
      <w:suff w:val="nothing"/>
      <w:lvlText w:val="（%1）"/>
      <w:lvlJc w:val="left"/>
    </w:lvl>
  </w:abstractNum>
  <w:abstractNum w:abstractNumId="6">
    <w:nsid w:val="FC6F0F38"/>
    <w:multiLevelType w:val="singleLevel"/>
    <w:tmpl w:val="FC6F0F38"/>
    <w:lvl w:ilvl="0" w:tentative="0">
      <w:start w:val="2"/>
      <w:numFmt w:val="decimal"/>
      <w:lvlText w:val="%1."/>
      <w:lvlJc w:val="left"/>
      <w:pPr>
        <w:tabs>
          <w:tab w:val="left" w:pos="312"/>
        </w:tabs>
      </w:pPr>
    </w:lvl>
  </w:abstractNum>
  <w:abstractNum w:abstractNumId="7">
    <w:nsid w:val="00000001"/>
    <w:multiLevelType w:val="singleLevel"/>
    <w:tmpl w:val="00000001"/>
    <w:lvl w:ilvl="0" w:tentative="0">
      <w:start w:val="2"/>
      <w:numFmt w:val="decimal"/>
      <w:suff w:val="space"/>
      <w:lvlText w:val="%1."/>
      <w:lvlJc w:val="left"/>
      <w:pPr>
        <w:ind w:left="720" w:firstLine="0"/>
      </w:pPr>
    </w:lvl>
  </w:abstractNum>
  <w:abstractNum w:abstractNumId="8">
    <w:nsid w:val="331D25A3"/>
    <w:multiLevelType w:val="singleLevel"/>
    <w:tmpl w:val="331D25A3"/>
    <w:lvl w:ilvl="0" w:tentative="0">
      <w:start w:val="1"/>
      <w:numFmt w:val="decimal"/>
      <w:suff w:val="nothing"/>
      <w:lvlText w:val="（%1）"/>
      <w:lvlJc w:val="left"/>
    </w:lvl>
  </w:abstractNum>
  <w:abstractNum w:abstractNumId="9">
    <w:nsid w:val="621B027D"/>
    <w:multiLevelType w:val="multilevel"/>
    <w:tmpl w:val="621B027D"/>
    <w:lvl w:ilvl="0" w:tentative="0">
      <w:start w:val="1"/>
      <w:numFmt w:val="decimal"/>
      <w:lvlText w:val="(%1)"/>
      <w:lvlJc w:val="left"/>
      <w:pPr>
        <w:tabs>
          <w:tab w:val="left" w:pos="840"/>
        </w:tabs>
        <w:ind w:left="840" w:hanging="420"/>
      </w:pPr>
      <w:rPr>
        <w:rFonts w:hint="eastAsia"/>
        <w:sz w:val="21"/>
        <w:szCs w:val="21"/>
      </w:rPr>
    </w:lvl>
    <w:lvl w:ilvl="1" w:tentative="0">
      <w:start w:val="1"/>
      <w:numFmt w:val="decimal"/>
      <w:lvlText w:val="%2、"/>
      <w:lvlJc w:val="left"/>
      <w:pPr>
        <w:tabs>
          <w:tab w:val="left" w:pos="1200"/>
        </w:tabs>
        <w:ind w:left="1200" w:hanging="360"/>
      </w:pPr>
      <w:rPr>
        <w:rFonts w:hint="default"/>
      </w:rPr>
    </w:lvl>
    <w:lvl w:ilvl="2" w:tentative="0">
      <w:start w:val="16"/>
      <w:numFmt w:val="bullet"/>
      <w:lvlText w:val="★"/>
      <w:lvlJc w:val="left"/>
      <w:pPr>
        <w:tabs>
          <w:tab w:val="left" w:pos="1620"/>
        </w:tabs>
        <w:ind w:left="1620" w:hanging="360"/>
      </w:pPr>
      <w:rPr>
        <w:rFonts w:hint="eastAsia" w:ascii="宋体" w:hAnsi="宋体" w:eastAsia="宋体" w:cs="Times New Roman"/>
      </w:r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4"/>
  </w:num>
  <w:num w:numId="2">
    <w:abstractNumId w:val="1"/>
  </w:num>
  <w:num w:numId="3">
    <w:abstractNumId w:val="9"/>
  </w:num>
  <w:num w:numId="4">
    <w:abstractNumId w:val="5"/>
  </w:num>
  <w:num w:numId="5">
    <w:abstractNumId w:val="2"/>
  </w:num>
  <w:num w:numId="6">
    <w:abstractNumId w:val="3"/>
  </w:num>
  <w:num w:numId="7">
    <w:abstractNumId w:val="8"/>
  </w:num>
  <w:num w:numId="8">
    <w:abstractNumId w:val="7"/>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2ZWExMDIwMTAyNTlkY2I3MDQ0MGE2NzkwYzQ5NGQifQ=="/>
  </w:docVars>
  <w:rsids>
    <w:rsidRoot w:val="431B3150"/>
    <w:rsid w:val="00147173"/>
    <w:rsid w:val="003E6B90"/>
    <w:rsid w:val="005148CE"/>
    <w:rsid w:val="00916D2E"/>
    <w:rsid w:val="009F276B"/>
    <w:rsid w:val="00AD6E3B"/>
    <w:rsid w:val="00B32339"/>
    <w:rsid w:val="00B66CA6"/>
    <w:rsid w:val="01025669"/>
    <w:rsid w:val="010F43CF"/>
    <w:rsid w:val="010F5FE2"/>
    <w:rsid w:val="013E6345"/>
    <w:rsid w:val="01510D91"/>
    <w:rsid w:val="015E1378"/>
    <w:rsid w:val="01712B58"/>
    <w:rsid w:val="01732FB3"/>
    <w:rsid w:val="018E7F8D"/>
    <w:rsid w:val="01A1544B"/>
    <w:rsid w:val="01AB736B"/>
    <w:rsid w:val="020C3C09"/>
    <w:rsid w:val="0215240F"/>
    <w:rsid w:val="021B4271"/>
    <w:rsid w:val="021E110F"/>
    <w:rsid w:val="021F0ED1"/>
    <w:rsid w:val="0228604D"/>
    <w:rsid w:val="025374AD"/>
    <w:rsid w:val="025B30F8"/>
    <w:rsid w:val="02732751"/>
    <w:rsid w:val="028213AB"/>
    <w:rsid w:val="02901E05"/>
    <w:rsid w:val="02910441"/>
    <w:rsid w:val="02A75804"/>
    <w:rsid w:val="02AA2995"/>
    <w:rsid w:val="02B37ED6"/>
    <w:rsid w:val="02CB6880"/>
    <w:rsid w:val="02CF2660"/>
    <w:rsid w:val="02D752BA"/>
    <w:rsid w:val="02DB1135"/>
    <w:rsid w:val="02F60B92"/>
    <w:rsid w:val="030229A5"/>
    <w:rsid w:val="03073BD8"/>
    <w:rsid w:val="038A0F5C"/>
    <w:rsid w:val="038F0666"/>
    <w:rsid w:val="03994F4E"/>
    <w:rsid w:val="03A52EF2"/>
    <w:rsid w:val="03B52281"/>
    <w:rsid w:val="03BD679A"/>
    <w:rsid w:val="03E513A6"/>
    <w:rsid w:val="03EC5C2D"/>
    <w:rsid w:val="04025A79"/>
    <w:rsid w:val="04453E55"/>
    <w:rsid w:val="044D3CF6"/>
    <w:rsid w:val="047948EC"/>
    <w:rsid w:val="047E311D"/>
    <w:rsid w:val="0488552C"/>
    <w:rsid w:val="04C23D52"/>
    <w:rsid w:val="051518EF"/>
    <w:rsid w:val="0521531D"/>
    <w:rsid w:val="053578EF"/>
    <w:rsid w:val="05577D8B"/>
    <w:rsid w:val="05875732"/>
    <w:rsid w:val="05BD29CF"/>
    <w:rsid w:val="06082DC9"/>
    <w:rsid w:val="060C2EBB"/>
    <w:rsid w:val="062F6DA7"/>
    <w:rsid w:val="06415C54"/>
    <w:rsid w:val="06595497"/>
    <w:rsid w:val="06C95EDE"/>
    <w:rsid w:val="06FD746A"/>
    <w:rsid w:val="072C591E"/>
    <w:rsid w:val="076D0ECF"/>
    <w:rsid w:val="077568E0"/>
    <w:rsid w:val="07963C8B"/>
    <w:rsid w:val="07A94B5D"/>
    <w:rsid w:val="07BC46FF"/>
    <w:rsid w:val="07BC49C1"/>
    <w:rsid w:val="07C27992"/>
    <w:rsid w:val="07CB5F01"/>
    <w:rsid w:val="07D93375"/>
    <w:rsid w:val="07F8505E"/>
    <w:rsid w:val="080374BA"/>
    <w:rsid w:val="08415506"/>
    <w:rsid w:val="08553CEE"/>
    <w:rsid w:val="0860559E"/>
    <w:rsid w:val="087728B5"/>
    <w:rsid w:val="08A54CD2"/>
    <w:rsid w:val="08E12BA6"/>
    <w:rsid w:val="08E144CF"/>
    <w:rsid w:val="09150178"/>
    <w:rsid w:val="09237361"/>
    <w:rsid w:val="093056E2"/>
    <w:rsid w:val="09486525"/>
    <w:rsid w:val="095A65CE"/>
    <w:rsid w:val="09656872"/>
    <w:rsid w:val="09864BCA"/>
    <w:rsid w:val="098C3ADE"/>
    <w:rsid w:val="098C576A"/>
    <w:rsid w:val="09981DD6"/>
    <w:rsid w:val="09EB2195"/>
    <w:rsid w:val="0A203224"/>
    <w:rsid w:val="0A323A7B"/>
    <w:rsid w:val="0A421BF4"/>
    <w:rsid w:val="0A4B25DC"/>
    <w:rsid w:val="0AA70ADC"/>
    <w:rsid w:val="0AD16319"/>
    <w:rsid w:val="0AD57C4B"/>
    <w:rsid w:val="0ADE6332"/>
    <w:rsid w:val="0ADE7A8F"/>
    <w:rsid w:val="0B0333A3"/>
    <w:rsid w:val="0B0A635A"/>
    <w:rsid w:val="0B11176E"/>
    <w:rsid w:val="0B144F2B"/>
    <w:rsid w:val="0B1536C0"/>
    <w:rsid w:val="0B4E39F7"/>
    <w:rsid w:val="0B643590"/>
    <w:rsid w:val="0B66416A"/>
    <w:rsid w:val="0B7314D5"/>
    <w:rsid w:val="0BB07C71"/>
    <w:rsid w:val="0BEE5A66"/>
    <w:rsid w:val="0BF9008B"/>
    <w:rsid w:val="0BFA6FD1"/>
    <w:rsid w:val="0C373216"/>
    <w:rsid w:val="0C3E7E08"/>
    <w:rsid w:val="0C406B21"/>
    <w:rsid w:val="0C4C3EA9"/>
    <w:rsid w:val="0C6915E0"/>
    <w:rsid w:val="0CEE7400"/>
    <w:rsid w:val="0D1462F4"/>
    <w:rsid w:val="0D1C2527"/>
    <w:rsid w:val="0D324D94"/>
    <w:rsid w:val="0D6C2E00"/>
    <w:rsid w:val="0D964E4E"/>
    <w:rsid w:val="0D9F0112"/>
    <w:rsid w:val="0DB40D43"/>
    <w:rsid w:val="0DB71BE3"/>
    <w:rsid w:val="0DB86AB6"/>
    <w:rsid w:val="0DBC70F1"/>
    <w:rsid w:val="0E0722AE"/>
    <w:rsid w:val="0E44027A"/>
    <w:rsid w:val="0E480C16"/>
    <w:rsid w:val="0E53028D"/>
    <w:rsid w:val="0E5D3349"/>
    <w:rsid w:val="0E857647"/>
    <w:rsid w:val="0E905815"/>
    <w:rsid w:val="0EA271EC"/>
    <w:rsid w:val="0EBD3AF3"/>
    <w:rsid w:val="0ECA3642"/>
    <w:rsid w:val="0ECD528C"/>
    <w:rsid w:val="0EE61D33"/>
    <w:rsid w:val="0EE70E8E"/>
    <w:rsid w:val="0EE81876"/>
    <w:rsid w:val="0EFE3668"/>
    <w:rsid w:val="0F0A282B"/>
    <w:rsid w:val="0F470702"/>
    <w:rsid w:val="0F515C5A"/>
    <w:rsid w:val="0F5D05B3"/>
    <w:rsid w:val="0F6D3AD1"/>
    <w:rsid w:val="0FA42666"/>
    <w:rsid w:val="0FD2057A"/>
    <w:rsid w:val="0FD571EC"/>
    <w:rsid w:val="10834E83"/>
    <w:rsid w:val="108522C5"/>
    <w:rsid w:val="109C55C2"/>
    <w:rsid w:val="10A36CEB"/>
    <w:rsid w:val="11026E77"/>
    <w:rsid w:val="11182482"/>
    <w:rsid w:val="11240204"/>
    <w:rsid w:val="11A23E24"/>
    <w:rsid w:val="11A4287E"/>
    <w:rsid w:val="11AF3192"/>
    <w:rsid w:val="11D44407"/>
    <w:rsid w:val="11F4325E"/>
    <w:rsid w:val="122B23DB"/>
    <w:rsid w:val="12432BED"/>
    <w:rsid w:val="124E2BEC"/>
    <w:rsid w:val="128A57C3"/>
    <w:rsid w:val="128C2571"/>
    <w:rsid w:val="12921F42"/>
    <w:rsid w:val="12B2792E"/>
    <w:rsid w:val="12C33517"/>
    <w:rsid w:val="12D45BC9"/>
    <w:rsid w:val="12DB7D35"/>
    <w:rsid w:val="12E5148C"/>
    <w:rsid w:val="13375F7C"/>
    <w:rsid w:val="133B072C"/>
    <w:rsid w:val="139A144D"/>
    <w:rsid w:val="13CD6B47"/>
    <w:rsid w:val="13D80628"/>
    <w:rsid w:val="13E62DBC"/>
    <w:rsid w:val="141C07D5"/>
    <w:rsid w:val="14237CCA"/>
    <w:rsid w:val="14422A31"/>
    <w:rsid w:val="14505136"/>
    <w:rsid w:val="146F1A40"/>
    <w:rsid w:val="14776EFE"/>
    <w:rsid w:val="147B5855"/>
    <w:rsid w:val="14904A9F"/>
    <w:rsid w:val="14AD2FB9"/>
    <w:rsid w:val="14B24FA0"/>
    <w:rsid w:val="14B4689D"/>
    <w:rsid w:val="14DA11D6"/>
    <w:rsid w:val="14FA43F4"/>
    <w:rsid w:val="151421CA"/>
    <w:rsid w:val="15312467"/>
    <w:rsid w:val="15442DDA"/>
    <w:rsid w:val="157A4E72"/>
    <w:rsid w:val="15801337"/>
    <w:rsid w:val="159C20F2"/>
    <w:rsid w:val="15A14DEA"/>
    <w:rsid w:val="15A52288"/>
    <w:rsid w:val="15A56321"/>
    <w:rsid w:val="15AB60E4"/>
    <w:rsid w:val="15B37428"/>
    <w:rsid w:val="15C16A04"/>
    <w:rsid w:val="15D17694"/>
    <w:rsid w:val="15EF3AF7"/>
    <w:rsid w:val="15F455B0"/>
    <w:rsid w:val="15FC2035"/>
    <w:rsid w:val="162006D2"/>
    <w:rsid w:val="162114BD"/>
    <w:rsid w:val="1634184F"/>
    <w:rsid w:val="16352FC0"/>
    <w:rsid w:val="163B35AF"/>
    <w:rsid w:val="16497123"/>
    <w:rsid w:val="166444E5"/>
    <w:rsid w:val="1664536E"/>
    <w:rsid w:val="166A27F4"/>
    <w:rsid w:val="169541A1"/>
    <w:rsid w:val="16DF0663"/>
    <w:rsid w:val="170279F1"/>
    <w:rsid w:val="170711DD"/>
    <w:rsid w:val="174357EB"/>
    <w:rsid w:val="17702E89"/>
    <w:rsid w:val="177D1E82"/>
    <w:rsid w:val="17830C7D"/>
    <w:rsid w:val="179B2596"/>
    <w:rsid w:val="17EB2521"/>
    <w:rsid w:val="17F12BB2"/>
    <w:rsid w:val="17FC09DB"/>
    <w:rsid w:val="18410550"/>
    <w:rsid w:val="184A630F"/>
    <w:rsid w:val="18902AC0"/>
    <w:rsid w:val="189B5D8E"/>
    <w:rsid w:val="18A36F04"/>
    <w:rsid w:val="18C633D3"/>
    <w:rsid w:val="18E44ED5"/>
    <w:rsid w:val="18F92709"/>
    <w:rsid w:val="190711B8"/>
    <w:rsid w:val="1929549B"/>
    <w:rsid w:val="192D40A4"/>
    <w:rsid w:val="193713E3"/>
    <w:rsid w:val="19446B85"/>
    <w:rsid w:val="195C7B85"/>
    <w:rsid w:val="19BF0472"/>
    <w:rsid w:val="19C50CAB"/>
    <w:rsid w:val="19CC7E03"/>
    <w:rsid w:val="19D86A17"/>
    <w:rsid w:val="19DA3387"/>
    <w:rsid w:val="19F4305A"/>
    <w:rsid w:val="19FD64D2"/>
    <w:rsid w:val="1A0F7674"/>
    <w:rsid w:val="1A1C02B0"/>
    <w:rsid w:val="1A53371E"/>
    <w:rsid w:val="1A580897"/>
    <w:rsid w:val="1A59708B"/>
    <w:rsid w:val="1A5C344B"/>
    <w:rsid w:val="1A761580"/>
    <w:rsid w:val="1A886D43"/>
    <w:rsid w:val="1AA26577"/>
    <w:rsid w:val="1AC54D70"/>
    <w:rsid w:val="1AFB42ED"/>
    <w:rsid w:val="1B07338C"/>
    <w:rsid w:val="1B1656CF"/>
    <w:rsid w:val="1B1A2A13"/>
    <w:rsid w:val="1B1A4796"/>
    <w:rsid w:val="1B1A5B25"/>
    <w:rsid w:val="1B677C92"/>
    <w:rsid w:val="1B837D67"/>
    <w:rsid w:val="1B8930FF"/>
    <w:rsid w:val="1BAB014D"/>
    <w:rsid w:val="1BBD1BFD"/>
    <w:rsid w:val="1BCD65A0"/>
    <w:rsid w:val="1BD04F59"/>
    <w:rsid w:val="1BF31456"/>
    <w:rsid w:val="1C127C1D"/>
    <w:rsid w:val="1C2A7637"/>
    <w:rsid w:val="1C2E4F86"/>
    <w:rsid w:val="1C393EA0"/>
    <w:rsid w:val="1C3B6CE8"/>
    <w:rsid w:val="1C526437"/>
    <w:rsid w:val="1C5549D9"/>
    <w:rsid w:val="1C751ABE"/>
    <w:rsid w:val="1C7840B1"/>
    <w:rsid w:val="1C833D85"/>
    <w:rsid w:val="1C8745E6"/>
    <w:rsid w:val="1C8E3E2E"/>
    <w:rsid w:val="1C8F7072"/>
    <w:rsid w:val="1C92728F"/>
    <w:rsid w:val="1CB74342"/>
    <w:rsid w:val="1CBC5B9E"/>
    <w:rsid w:val="1CC70E5A"/>
    <w:rsid w:val="1CC826ED"/>
    <w:rsid w:val="1CC858AA"/>
    <w:rsid w:val="1CE4446C"/>
    <w:rsid w:val="1CFB6772"/>
    <w:rsid w:val="1CFE4C2F"/>
    <w:rsid w:val="1D012A8E"/>
    <w:rsid w:val="1D012DC8"/>
    <w:rsid w:val="1D473FC4"/>
    <w:rsid w:val="1DA55ED4"/>
    <w:rsid w:val="1DCD16C2"/>
    <w:rsid w:val="1DEA1AED"/>
    <w:rsid w:val="1DEC7B59"/>
    <w:rsid w:val="1E132584"/>
    <w:rsid w:val="1E1D1B02"/>
    <w:rsid w:val="1E211AF4"/>
    <w:rsid w:val="1E2D414F"/>
    <w:rsid w:val="1E356EC1"/>
    <w:rsid w:val="1E7C3880"/>
    <w:rsid w:val="1E95188B"/>
    <w:rsid w:val="1E953426"/>
    <w:rsid w:val="1E9A61A3"/>
    <w:rsid w:val="1EA3020C"/>
    <w:rsid w:val="1EC428AC"/>
    <w:rsid w:val="1EEB6780"/>
    <w:rsid w:val="1EFB702C"/>
    <w:rsid w:val="1F0F1A50"/>
    <w:rsid w:val="1F3F4D79"/>
    <w:rsid w:val="1F565F7E"/>
    <w:rsid w:val="1F843502"/>
    <w:rsid w:val="1FA81B2B"/>
    <w:rsid w:val="1FA928B8"/>
    <w:rsid w:val="1FAF33D0"/>
    <w:rsid w:val="1FBF1954"/>
    <w:rsid w:val="1FE97514"/>
    <w:rsid w:val="20047374"/>
    <w:rsid w:val="200A5C3C"/>
    <w:rsid w:val="20253695"/>
    <w:rsid w:val="203370CC"/>
    <w:rsid w:val="2042635B"/>
    <w:rsid w:val="20481DE0"/>
    <w:rsid w:val="204949D4"/>
    <w:rsid w:val="20567420"/>
    <w:rsid w:val="205E116D"/>
    <w:rsid w:val="2069588E"/>
    <w:rsid w:val="20786BE9"/>
    <w:rsid w:val="208257CE"/>
    <w:rsid w:val="20840419"/>
    <w:rsid w:val="208768EF"/>
    <w:rsid w:val="208A1D0B"/>
    <w:rsid w:val="208C4B5A"/>
    <w:rsid w:val="20A03B82"/>
    <w:rsid w:val="20B3324D"/>
    <w:rsid w:val="20B74704"/>
    <w:rsid w:val="2122049F"/>
    <w:rsid w:val="21251B33"/>
    <w:rsid w:val="212F43A4"/>
    <w:rsid w:val="21437AE8"/>
    <w:rsid w:val="214D0AB3"/>
    <w:rsid w:val="215230F2"/>
    <w:rsid w:val="217A0435"/>
    <w:rsid w:val="217D6AB9"/>
    <w:rsid w:val="218775AB"/>
    <w:rsid w:val="2188729D"/>
    <w:rsid w:val="21B77545"/>
    <w:rsid w:val="21BA022A"/>
    <w:rsid w:val="21BD48B9"/>
    <w:rsid w:val="21C42C5D"/>
    <w:rsid w:val="21CE69EC"/>
    <w:rsid w:val="21D431C3"/>
    <w:rsid w:val="21D75B28"/>
    <w:rsid w:val="21E1157B"/>
    <w:rsid w:val="21E9116E"/>
    <w:rsid w:val="21F04025"/>
    <w:rsid w:val="21F33F8B"/>
    <w:rsid w:val="22047B62"/>
    <w:rsid w:val="220C503A"/>
    <w:rsid w:val="22637F74"/>
    <w:rsid w:val="227350E1"/>
    <w:rsid w:val="227A2DCD"/>
    <w:rsid w:val="227D3355"/>
    <w:rsid w:val="22811AD1"/>
    <w:rsid w:val="228150C7"/>
    <w:rsid w:val="22851D24"/>
    <w:rsid w:val="22996C92"/>
    <w:rsid w:val="22CD66D0"/>
    <w:rsid w:val="22DF6B31"/>
    <w:rsid w:val="23111068"/>
    <w:rsid w:val="23227019"/>
    <w:rsid w:val="23242C16"/>
    <w:rsid w:val="233B32F2"/>
    <w:rsid w:val="23417E1B"/>
    <w:rsid w:val="23503C84"/>
    <w:rsid w:val="238846BF"/>
    <w:rsid w:val="23A150E6"/>
    <w:rsid w:val="23A3588C"/>
    <w:rsid w:val="23AA7239"/>
    <w:rsid w:val="23AB3753"/>
    <w:rsid w:val="23BB1E5B"/>
    <w:rsid w:val="23BB3004"/>
    <w:rsid w:val="23C723B4"/>
    <w:rsid w:val="23C7681E"/>
    <w:rsid w:val="23FE66A4"/>
    <w:rsid w:val="24082174"/>
    <w:rsid w:val="24145594"/>
    <w:rsid w:val="241E5281"/>
    <w:rsid w:val="24381C76"/>
    <w:rsid w:val="24513B95"/>
    <w:rsid w:val="24514710"/>
    <w:rsid w:val="24531BE4"/>
    <w:rsid w:val="245E60EA"/>
    <w:rsid w:val="24843612"/>
    <w:rsid w:val="24945841"/>
    <w:rsid w:val="249F3629"/>
    <w:rsid w:val="24BD4D97"/>
    <w:rsid w:val="24CF6BB0"/>
    <w:rsid w:val="24DA7728"/>
    <w:rsid w:val="2504717E"/>
    <w:rsid w:val="25060596"/>
    <w:rsid w:val="25097325"/>
    <w:rsid w:val="25292606"/>
    <w:rsid w:val="25580E26"/>
    <w:rsid w:val="25685ECE"/>
    <w:rsid w:val="25A062B3"/>
    <w:rsid w:val="25EE2FF1"/>
    <w:rsid w:val="25F95738"/>
    <w:rsid w:val="261D222D"/>
    <w:rsid w:val="263C430E"/>
    <w:rsid w:val="26584507"/>
    <w:rsid w:val="267007DD"/>
    <w:rsid w:val="26A61651"/>
    <w:rsid w:val="26CA20A0"/>
    <w:rsid w:val="26CC4D9A"/>
    <w:rsid w:val="26CF5C04"/>
    <w:rsid w:val="26D06FD5"/>
    <w:rsid w:val="26DC7985"/>
    <w:rsid w:val="26E8451F"/>
    <w:rsid w:val="26FE033B"/>
    <w:rsid w:val="271B54EF"/>
    <w:rsid w:val="27211334"/>
    <w:rsid w:val="2723127F"/>
    <w:rsid w:val="27330B47"/>
    <w:rsid w:val="2735298E"/>
    <w:rsid w:val="275E4BA2"/>
    <w:rsid w:val="27654176"/>
    <w:rsid w:val="27796A8A"/>
    <w:rsid w:val="278860CF"/>
    <w:rsid w:val="279E470D"/>
    <w:rsid w:val="27AD514C"/>
    <w:rsid w:val="27B93E60"/>
    <w:rsid w:val="27C873ED"/>
    <w:rsid w:val="27DB0EE6"/>
    <w:rsid w:val="27F33DF7"/>
    <w:rsid w:val="27F83A99"/>
    <w:rsid w:val="2805473A"/>
    <w:rsid w:val="281F201A"/>
    <w:rsid w:val="283A1500"/>
    <w:rsid w:val="283A5429"/>
    <w:rsid w:val="28450962"/>
    <w:rsid w:val="284A1F5D"/>
    <w:rsid w:val="284B7EE7"/>
    <w:rsid w:val="28605BD0"/>
    <w:rsid w:val="28664D86"/>
    <w:rsid w:val="286E51BD"/>
    <w:rsid w:val="28732366"/>
    <w:rsid w:val="287A1C4C"/>
    <w:rsid w:val="28E1506C"/>
    <w:rsid w:val="29035A0A"/>
    <w:rsid w:val="292C4BDC"/>
    <w:rsid w:val="293146FB"/>
    <w:rsid w:val="295807BB"/>
    <w:rsid w:val="295C2AB5"/>
    <w:rsid w:val="296D189C"/>
    <w:rsid w:val="2990340C"/>
    <w:rsid w:val="299D7047"/>
    <w:rsid w:val="29B20CE7"/>
    <w:rsid w:val="29CF7CBC"/>
    <w:rsid w:val="29F27360"/>
    <w:rsid w:val="2A040E61"/>
    <w:rsid w:val="2A0B7E6D"/>
    <w:rsid w:val="2A13200D"/>
    <w:rsid w:val="2A221ED3"/>
    <w:rsid w:val="2A3B381A"/>
    <w:rsid w:val="2A8736BE"/>
    <w:rsid w:val="2A93499D"/>
    <w:rsid w:val="2AC603DE"/>
    <w:rsid w:val="2AD36BD3"/>
    <w:rsid w:val="2AE6082F"/>
    <w:rsid w:val="2B010556"/>
    <w:rsid w:val="2B026E96"/>
    <w:rsid w:val="2B1321DC"/>
    <w:rsid w:val="2B1F509C"/>
    <w:rsid w:val="2B1F6848"/>
    <w:rsid w:val="2B30560E"/>
    <w:rsid w:val="2B3F4D6A"/>
    <w:rsid w:val="2B400334"/>
    <w:rsid w:val="2B445780"/>
    <w:rsid w:val="2B4C758A"/>
    <w:rsid w:val="2B633D6E"/>
    <w:rsid w:val="2B6C4A0B"/>
    <w:rsid w:val="2B940F71"/>
    <w:rsid w:val="2BB167B6"/>
    <w:rsid w:val="2BD2701A"/>
    <w:rsid w:val="2BDB4391"/>
    <w:rsid w:val="2BE9039A"/>
    <w:rsid w:val="2BE92768"/>
    <w:rsid w:val="2BED16F8"/>
    <w:rsid w:val="2C145449"/>
    <w:rsid w:val="2C1602E4"/>
    <w:rsid w:val="2C1D027F"/>
    <w:rsid w:val="2C23112C"/>
    <w:rsid w:val="2C405F01"/>
    <w:rsid w:val="2C6D4CDD"/>
    <w:rsid w:val="2C6F5E1F"/>
    <w:rsid w:val="2C755243"/>
    <w:rsid w:val="2C7C4EE5"/>
    <w:rsid w:val="2C876C23"/>
    <w:rsid w:val="2CBD36F9"/>
    <w:rsid w:val="2CE72985"/>
    <w:rsid w:val="2CFB5B68"/>
    <w:rsid w:val="2D122A1A"/>
    <w:rsid w:val="2D1C4591"/>
    <w:rsid w:val="2D286ADB"/>
    <w:rsid w:val="2D8B0FF1"/>
    <w:rsid w:val="2D9701C3"/>
    <w:rsid w:val="2DC0604D"/>
    <w:rsid w:val="2DD33608"/>
    <w:rsid w:val="2DE971E2"/>
    <w:rsid w:val="2E116E66"/>
    <w:rsid w:val="2E1D6EDE"/>
    <w:rsid w:val="2E2A3561"/>
    <w:rsid w:val="2E2D5F9E"/>
    <w:rsid w:val="2E3B6C3B"/>
    <w:rsid w:val="2E50759F"/>
    <w:rsid w:val="2EC66A23"/>
    <w:rsid w:val="2ECE06FE"/>
    <w:rsid w:val="2EEE0998"/>
    <w:rsid w:val="2F334578"/>
    <w:rsid w:val="2F5109A4"/>
    <w:rsid w:val="2F5E6B8C"/>
    <w:rsid w:val="2F631BC5"/>
    <w:rsid w:val="2F6B042A"/>
    <w:rsid w:val="2F700DF1"/>
    <w:rsid w:val="2F7E7186"/>
    <w:rsid w:val="2F916997"/>
    <w:rsid w:val="2FB601D0"/>
    <w:rsid w:val="2FBF4699"/>
    <w:rsid w:val="2FE573AB"/>
    <w:rsid w:val="300215DE"/>
    <w:rsid w:val="301471FC"/>
    <w:rsid w:val="30245D01"/>
    <w:rsid w:val="30265D71"/>
    <w:rsid w:val="304D7130"/>
    <w:rsid w:val="30682984"/>
    <w:rsid w:val="306D2235"/>
    <w:rsid w:val="309F2E19"/>
    <w:rsid w:val="30B91725"/>
    <w:rsid w:val="30D836AE"/>
    <w:rsid w:val="30EF2A10"/>
    <w:rsid w:val="30F019A9"/>
    <w:rsid w:val="31132550"/>
    <w:rsid w:val="313F4D9A"/>
    <w:rsid w:val="314A36B4"/>
    <w:rsid w:val="3161595D"/>
    <w:rsid w:val="316A459E"/>
    <w:rsid w:val="3184602D"/>
    <w:rsid w:val="319C6943"/>
    <w:rsid w:val="31AD66FD"/>
    <w:rsid w:val="31B21D95"/>
    <w:rsid w:val="31B96AA6"/>
    <w:rsid w:val="31DF34F0"/>
    <w:rsid w:val="31EE0D17"/>
    <w:rsid w:val="31FC7ADB"/>
    <w:rsid w:val="32050CF7"/>
    <w:rsid w:val="3221596B"/>
    <w:rsid w:val="32222E7F"/>
    <w:rsid w:val="322F17B7"/>
    <w:rsid w:val="325A6FC8"/>
    <w:rsid w:val="325F4087"/>
    <w:rsid w:val="327F3303"/>
    <w:rsid w:val="33255513"/>
    <w:rsid w:val="33283607"/>
    <w:rsid w:val="336A17DF"/>
    <w:rsid w:val="33762B88"/>
    <w:rsid w:val="338565A5"/>
    <w:rsid w:val="33AD0AAD"/>
    <w:rsid w:val="33FC056B"/>
    <w:rsid w:val="34133F4C"/>
    <w:rsid w:val="34176FDD"/>
    <w:rsid w:val="34186F72"/>
    <w:rsid w:val="34195674"/>
    <w:rsid w:val="34246EDC"/>
    <w:rsid w:val="342866FA"/>
    <w:rsid w:val="34366B50"/>
    <w:rsid w:val="346C5CA1"/>
    <w:rsid w:val="347E0BC4"/>
    <w:rsid w:val="34A04E07"/>
    <w:rsid w:val="34CC6E8B"/>
    <w:rsid w:val="34DB1E65"/>
    <w:rsid w:val="34E24C33"/>
    <w:rsid w:val="34F3029F"/>
    <w:rsid w:val="34F41720"/>
    <w:rsid w:val="34F74832"/>
    <w:rsid w:val="351013A8"/>
    <w:rsid w:val="351940B0"/>
    <w:rsid w:val="3531020B"/>
    <w:rsid w:val="35364074"/>
    <w:rsid w:val="355E4683"/>
    <w:rsid w:val="357339A5"/>
    <w:rsid w:val="359F7014"/>
    <w:rsid w:val="35A07E22"/>
    <w:rsid w:val="35E53C1A"/>
    <w:rsid w:val="360302A9"/>
    <w:rsid w:val="36170E17"/>
    <w:rsid w:val="361976C3"/>
    <w:rsid w:val="362463DF"/>
    <w:rsid w:val="3638711E"/>
    <w:rsid w:val="36572F64"/>
    <w:rsid w:val="36C6691A"/>
    <w:rsid w:val="36EB5BF2"/>
    <w:rsid w:val="37107BFC"/>
    <w:rsid w:val="37126C57"/>
    <w:rsid w:val="371A1ED1"/>
    <w:rsid w:val="3729787B"/>
    <w:rsid w:val="372D4055"/>
    <w:rsid w:val="374A73ED"/>
    <w:rsid w:val="374C74AC"/>
    <w:rsid w:val="375568D9"/>
    <w:rsid w:val="37596EB2"/>
    <w:rsid w:val="37641FEB"/>
    <w:rsid w:val="376E1EFB"/>
    <w:rsid w:val="37AF16B2"/>
    <w:rsid w:val="37B8061E"/>
    <w:rsid w:val="37CF0FD9"/>
    <w:rsid w:val="37F073C9"/>
    <w:rsid w:val="381559D1"/>
    <w:rsid w:val="381C1B69"/>
    <w:rsid w:val="381C6932"/>
    <w:rsid w:val="38302198"/>
    <w:rsid w:val="383C1E9F"/>
    <w:rsid w:val="386023AC"/>
    <w:rsid w:val="388B29A2"/>
    <w:rsid w:val="38B8462D"/>
    <w:rsid w:val="38C33D5C"/>
    <w:rsid w:val="38C43921"/>
    <w:rsid w:val="38CB2C57"/>
    <w:rsid w:val="38D74A88"/>
    <w:rsid w:val="38DD1BC1"/>
    <w:rsid w:val="38F511B0"/>
    <w:rsid w:val="38F864C1"/>
    <w:rsid w:val="391336F3"/>
    <w:rsid w:val="39543DD3"/>
    <w:rsid w:val="396D4CB7"/>
    <w:rsid w:val="39AD30AD"/>
    <w:rsid w:val="39CA407F"/>
    <w:rsid w:val="39DD67E6"/>
    <w:rsid w:val="39E3720A"/>
    <w:rsid w:val="3A126618"/>
    <w:rsid w:val="3A4D15EB"/>
    <w:rsid w:val="3A876423"/>
    <w:rsid w:val="3AB421E7"/>
    <w:rsid w:val="3AC64035"/>
    <w:rsid w:val="3AD47F64"/>
    <w:rsid w:val="3B051EC1"/>
    <w:rsid w:val="3B060213"/>
    <w:rsid w:val="3B0931F8"/>
    <w:rsid w:val="3B097A32"/>
    <w:rsid w:val="3B134851"/>
    <w:rsid w:val="3B30693B"/>
    <w:rsid w:val="3B4C32CD"/>
    <w:rsid w:val="3B5A60FD"/>
    <w:rsid w:val="3B5E1D06"/>
    <w:rsid w:val="3BAA25AB"/>
    <w:rsid w:val="3BAA4666"/>
    <w:rsid w:val="3BCC48C7"/>
    <w:rsid w:val="3BCD08D5"/>
    <w:rsid w:val="3BD97860"/>
    <w:rsid w:val="3BF97445"/>
    <w:rsid w:val="3C0D6F5C"/>
    <w:rsid w:val="3C28777B"/>
    <w:rsid w:val="3C5F2ED5"/>
    <w:rsid w:val="3C775FC8"/>
    <w:rsid w:val="3CC022CE"/>
    <w:rsid w:val="3CE225EA"/>
    <w:rsid w:val="3CE24EAA"/>
    <w:rsid w:val="3CF4761C"/>
    <w:rsid w:val="3D004621"/>
    <w:rsid w:val="3D122352"/>
    <w:rsid w:val="3D192AA5"/>
    <w:rsid w:val="3D484466"/>
    <w:rsid w:val="3D4E79E6"/>
    <w:rsid w:val="3D695218"/>
    <w:rsid w:val="3D7E1270"/>
    <w:rsid w:val="3D957D7E"/>
    <w:rsid w:val="3DAB5207"/>
    <w:rsid w:val="3DC212DD"/>
    <w:rsid w:val="3DCE1AC2"/>
    <w:rsid w:val="3DD03B65"/>
    <w:rsid w:val="3DD37FEC"/>
    <w:rsid w:val="3DF5283C"/>
    <w:rsid w:val="3DFF292D"/>
    <w:rsid w:val="3E197BF0"/>
    <w:rsid w:val="3E236E55"/>
    <w:rsid w:val="3E4A0A14"/>
    <w:rsid w:val="3E5324BC"/>
    <w:rsid w:val="3E734463"/>
    <w:rsid w:val="3E991E30"/>
    <w:rsid w:val="3EC74FD8"/>
    <w:rsid w:val="3EEA117C"/>
    <w:rsid w:val="3EFA09BA"/>
    <w:rsid w:val="3F4C2599"/>
    <w:rsid w:val="3F7A30D9"/>
    <w:rsid w:val="3FA5105C"/>
    <w:rsid w:val="3FCB386C"/>
    <w:rsid w:val="3FCC7BC1"/>
    <w:rsid w:val="3FE10A2A"/>
    <w:rsid w:val="3FEB3166"/>
    <w:rsid w:val="4005779A"/>
    <w:rsid w:val="40363A3A"/>
    <w:rsid w:val="403657E9"/>
    <w:rsid w:val="40410D61"/>
    <w:rsid w:val="40517096"/>
    <w:rsid w:val="40880BFA"/>
    <w:rsid w:val="40AA542D"/>
    <w:rsid w:val="40B44F66"/>
    <w:rsid w:val="40D46C24"/>
    <w:rsid w:val="40D5031E"/>
    <w:rsid w:val="40DA1C65"/>
    <w:rsid w:val="40DD11B1"/>
    <w:rsid w:val="40E816EB"/>
    <w:rsid w:val="40EA0F95"/>
    <w:rsid w:val="40EC23F8"/>
    <w:rsid w:val="410061AC"/>
    <w:rsid w:val="41070804"/>
    <w:rsid w:val="411E1BAD"/>
    <w:rsid w:val="41246C1D"/>
    <w:rsid w:val="41394D32"/>
    <w:rsid w:val="41417D67"/>
    <w:rsid w:val="41556D77"/>
    <w:rsid w:val="415F78F5"/>
    <w:rsid w:val="419304EB"/>
    <w:rsid w:val="41A47355"/>
    <w:rsid w:val="41AB0C0C"/>
    <w:rsid w:val="41AC3D91"/>
    <w:rsid w:val="41C51421"/>
    <w:rsid w:val="41E23D2A"/>
    <w:rsid w:val="421D56F2"/>
    <w:rsid w:val="422C0F9B"/>
    <w:rsid w:val="422E3F0C"/>
    <w:rsid w:val="424E187E"/>
    <w:rsid w:val="425C6318"/>
    <w:rsid w:val="42613503"/>
    <w:rsid w:val="42653193"/>
    <w:rsid w:val="42943B60"/>
    <w:rsid w:val="42B7048F"/>
    <w:rsid w:val="42BA0457"/>
    <w:rsid w:val="42BC71DD"/>
    <w:rsid w:val="42CA554C"/>
    <w:rsid w:val="42EB5D13"/>
    <w:rsid w:val="43036368"/>
    <w:rsid w:val="430C1772"/>
    <w:rsid w:val="431B161F"/>
    <w:rsid w:val="431B3150"/>
    <w:rsid w:val="432D0F3D"/>
    <w:rsid w:val="43466B71"/>
    <w:rsid w:val="43716B39"/>
    <w:rsid w:val="43A62258"/>
    <w:rsid w:val="43C52CE9"/>
    <w:rsid w:val="43C542E7"/>
    <w:rsid w:val="44053A18"/>
    <w:rsid w:val="440C2621"/>
    <w:rsid w:val="44286EF0"/>
    <w:rsid w:val="442C340C"/>
    <w:rsid w:val="444A6201"/>
    <w:rsid w:val="444D397C"/>
    <w:rsid w:val="446E3444"/>
    <w:rsid w:val="44760AEA"/>
    <w:rsid w:val="447F2700"/>
    <w:rsid w:val="44843CFD"/>
    <w:rsid w:val="44902D8A"/>
    <w:rsid w:val="44BD7696"/>
    <w:rsid w:val="44F34738"/>
    <w:rsid w:val="450807AE"/>
    <w:rsid w:val="450C30C1"/>
    <w:rsid w:val="450F36BC"/>
    <w:rsid w:val="453440B9"/>
    <w:rsid w:val="45380EEC"/>
    <w:rsid w:val="45BA1C5F"/>
    <w:rsid w:val="45DF1A0C"/>
    <w:rsid w:val="45E2649C"/>
    <w:rsid w:val="45EC2CDD"/>
    <w:rsid w:val="45F624B2"/>
    <w:rsid w:val="46026227"/>
    <w:rsid w:val="46067CF8"/>
    <w:rsid w:val="460E6BC6"/>
    <w:rsid w:val="462D0958"/>
    <w:rsid w:val="463C4B2E"/>
    <w:rsid w:val="466220A0"/>
    <w:rsid w:val="46B571C0"/>
    <w:rsid w:val="46E70B37"/>
    <w:rsid w:val="46E90904"/>
    <w:rsid w:val="46FD31FB"/>
    <w:rsid w:val="470703F1"/>
    <w:rsid w:val="470B2D93"/>
    <w:rsid w:val="472D2B16"/>
    <w:rsid w:val="472F5E58"/>
    <w:rsid w:val="473B5852"/>
    <w:rsid w:val="4754407A"/>
    <w:rsid w:val="47755093"/>
    <w:rsid w:val="479A7B66"/>
    <w:rsid w:val="479A7EA7"/>
    <w:rsid w:val="47B41CA6"/>
    <w:rsid w:val="47C00C39"/>
    <w:rsid w:val="47C47222"/>
    <w:rsid w:val="47D01FDA"/>
    <w:rsid w:val="47D22736"/>
    <w:rsid w:val="47E323E4"/>
    <w:rsid w:val="47E81C34"/>
    <w:rsid w:val="4812452D"/>
    <w:rsid w:val="482C63BA"/>
    <w:rsid w:val="4839166B"/>
    <w:rsid w:val="4841673B"/>
    <w:rsid w:val="48894FF4"/>
    <w:rsid w:val="48FE1C8E"/>
    <w:rsid w:val="490E61A1"/>
    <w:rsid w:val="491D50F4"/>
    <w:rsid w:val="494A0352"/>
    <w:rsid w:val="499F46D9"/>
    <w:rsid w:val="49C06738"/>
    <w:rsid w:val="49CF0180"/>
    <w:rsid w:val="49D70D45"/>
    <w:rsid w:val="49E203C6"/>
    <w:rsid w:val="49F9518C"/>
    <w:rsid w:val="4A183FDC"/>
    <w:rsid w:val="4A3661D0"/>
    <w:rsid w:val="4A4857B3"/>
    <w:rsid w:val="4A506F08"/>
    <w:rsid w:val="4A54254B"/>
    <w:rsid w:val="4A5B122B"/>
    <w:rsid w:val="4A965D14"/>
    <w:rsid w:val="4AAF0D17"/>
    <w:rsid w:val="4ABF3D65"/>
    <w:rsid w:val="4AC7490F"/>
    <w:rsid w:val="4AEC19C9"/>
    <w:rsid w:val="4B0C7BF8"/>
    <w:rsid w:val="4B3913B6"/>
    <w:rsid w:val="4B6F6273"/>
    <w:rsid w:val="4B7033C1"/>
    <w:rsid w:val="4B924D05"/>
    <w:rsid w:val="4BA318E2"/>
    <w:rsid w:val="4BB113E9"/>
    <w:rsid w:val="4BB71830"/>
    <w:rsid w:val="4BFC452E"/>
    <w:rsid w:val="4C3E5A35"/>
    <w:rsid w:val="4C421637"/>
    <w:rsid w:val="4C450062"/>
    <w:rsid w:val="4C5016A0"/>
    <w:rsid w:val="4C7344BE"/>
    <w:rsid w:val="4C7A5A5B"/>
    <w:rsid w:val="4C9646F1"/>
    <w:rsid w:val="4C990605"/>
    <w:rsid w:val="4CAA019C"/>
    <w:rsid w:val="4CAA3464"/>
    <w:rsid w:val="4CAD0CC3"/>
    <w:rsid w:val="4CB46ABA"/>
    <w:rsid w:val="4CB86758"/>
    <w:rsid w:val="4CC97F4D"/>
    <w:rsid w:val="4CF318E9"/>
    <w:rsid w:val="4D0E60AF"/>
    <w:rsid w:val="4D197F32"/>
    <w:rsid w:val="4D26312E"/>
    <w:rsid w:val="4D2D7466"/>
    <w:rsid w:val="4D5D426D"/>
    <w:rsid w:val="4D5E468E"/>
    <w:rsid w:val="4D801A08"/>
    <w:rsid w:val="4D890873"/>
    <w:rsid w:val="4DC82B8E"/>
    <w:rsid w:val="4DFC001D"/>
    <w:rsid w:val="4E10217C"/>
    <w:rsid w:val="4E254F4F"/>
    <w:rsid w:val="4E390CA3"/>
    <w:rsid w:val="4E432638"/>
    <w:rsid w:val="4E4522EF"/>
    <w:rsid w:val="4E606EF4"/>
    <w:rsid w:val="4E6C58CE"/>
    <w:rsid w:val="4E6E18E4"/>
    <w:rsid w:val="4E736BEF"/>
    <w:rsid w:val="4E8407C0"/>
    <w:rsid w:val="4EB56DED"/>
    <w:rsid w:val="4EB90B45"/>
    <w:rsid w:val="4EF15467"/>
    <w:rsid w:val="4EF23FB1"/>
    <w:rsid w:val="4F0B73F3"/>
    <w:rsid w:val="4F2A1121"/>
    <w:rsid w:val="4F3C67C6"/>
    <w:rsid w:val="4F5B1333"/>
    <w:rsid w:val="4F9B578A"/>
    <w:rsid w:val="4FA841F2"/>
    <w:rsid w:val="4FB25A88"/>
    <w:rsid w:val="4FD20AA0"/>
    <w:rsid w:val="4FE42133"/>
    <w:rsid w:val="5007249F"/>
    <w:rsid w:val="500E2412"/>
    <w:rsid w:val="501200D5"/>
    <w:rsid w:val="50156172"/>
    <w:rsid w:val="50245B70"/>
    <w:rsid w:val="503304DD"/>
    <w:rsid w:val="503F7167"/>
    <w:rsid w:val="50541E93"/>
    <w:rsid w:val="50717643"/>
    <w:rsid w:val="50753324"/>
    <w:rsid w:val="509B494D"/>
    <w:rsid w:val="50AB1CAE"/>
    <w:rsid w:val="50B9474C"/>
    <w:rsid w:val="50C32645"/>
    <w:rsid w:val="50C45067"/>
    <w:rsid w:val="50DE7355"/>
    <w:rsid w:val="50E96E23"/>
    <w:rsid w:val="512978FE"/>
    <w:rsid w:val="51502F0F"/>
    <w:rsid w:val="51752176"/>
    <w:rsid w:val="517B6174"/>
    <w:rsid w:val="51981BEB"/>
    <w:rsid w:val="519E0C6D"/>
    <w:rsid w:val="51B5269E"/>
    <w:rsid w:val="51B85C65"/>
    <w:rsid w:val="51BA22D2"/>
    <w:rsid w:val="51BB1571"/>
    <w:rsid w:val="51C56502"/>
    <w:rsid w:val="51CF7F71"/>
    <w:rsid w:val="51DC0CC0"/>
    <w:rsid w:val="51F81AE0"/>
    <w:rsid w:val="521006CF"/>
    <w:rsid w:val="5212481A"/>
    <w:rsid w:val="521273EF"/>
    <w:rsid w:val="522154D7"/>
    <w:rsid w:val="5236609E"/>
    <w:rsid w:val="524F214E"/>
    <w:rsid w:val="525E72CD"/>
    <w:rsid w:val="52AE43C7"/>
    <w:rsid w:val="52B66E3F"/>
    <w:rsid w:val="52B8235F"/>
    <w:rsid w:val="52C63793"/>
    <w:rsid w:val="52D96C12"/>
    <w:rsid w:val="52EC56F1"/>
    <w:rsid w:val="52FE69C4"/>
    <w:rsid w:val="53055FDE"/>
    <w:rsid w:val="534B3E00"/>
    <w:rsid w:val="53526694"/>
    <w:rsid w:val="536B5C0C"/>
    <w:rsid w:val="539219AD"/>
    <w:rsid w:val="53CE7E21"/>
    <w:rsid w:val="53E5725B"/>
    <w:rsid w:val="53F6787D"/>
    <w:rsid w:val="53FC3441"/>
    <w:rsid w:val="54095716"/>
    <w:rsid w:val="5425170C"/>
    <w:rsid w:val="54333A58"/>
    <w:rsid w:val="54473660"/>
    <w:rsid w:val="54475507"/>
    <w:rsid w:val="54517EEF"/>
    <w:rsid w:val="5453362B"/>
    <w:rsid w:val="545B53B5"/>
    <w:rsid w:val="54617825"/>
    <w:rsid w:val="546C70C7"/>
    <w:rsid w:val="54707D81"/>
    <w:rsid w:val="547F1F7A"/>
    <w:rsid w:val="54974800"/>
    <w:rsid w:val="54BE7CEF"/>
    <w:rsid w:val="54F90306"/>
    <w:rsid w:val="55027786"/>
    <w:rsid w:val="55165BD1"/>
    <w:rsid w:val="554835C1"/>
    <w:rsid w:val="556C30CA"/>
    <w:rsid w:val="557800F9"/>
    <w:rsid w:val="5590336F"/>
    <w:rsid w:val="55A80492"/>
    <w:rsid w:val="55E5729C"/>
    <w:rsid w:val="55EC58B0"/>
    <w:rsid w:val="55F45560"/>
    <w:rsid w:val="564C4930"/>
    <w:rsid w:val="56951840"/>
    <w:rsid w:val="569A0457"/>
    <w:rsid w:val="56AD149F"/>
    <w:rsid w:val="56AD3DDC"/>
    <w:rsid w:val="56DF222E"/>
    <w:rsid w:val="56E228AD"/>
    <w:rsid w:val="56E26FCA"/>
    <w:rsid w:val="57210593"/>
    <w:rsid w:val="5724302A"/>
    <w:rsid w:val="573C7A89"/>
    <w:rsid w:val="5743313E"/>
    <w:rsid w:val="57635A67"/>
    <w:rsid w:val="576F7780"/>
    <w:rsid w:val="57760786"/>
    <w:rsid w:val="577C5E86"/>
    <w:rsid w:val="57950D74"/>
    <w:rsid w:val="579E01EB"/>
    <w:rsid w:val="57A97082"/>
    <w:rsid w:val="57C02622"/>
    <w:rsid w:val="57DC0ABA"/>
    <w:rsid w:val="57F14DE1"/>
    <w:rsid w:val="582B308E"/>
    <w:rsid w:val="583078E1"/>
    <w:rsid w:val="583D4A6D"/>
    <w:rsid w:val="58482CED"/>
    <w:rsid w:val="585F108A"/>
    <w:rsid w:val="5889510A"/>
    <w:rsid w:val="589208FF"/>
    <w:rsid w:val="58EC2414"/>
    <w:rsid w:val="58EE4887"/>
    <w:rsid w:val="590654F0"/>
    <w:rsid w:val="594C40D7"/>
    <w:rsid w:val="59581746"/>
    <w:rsid w:val="597216EC"/>
    <w:rsid w:val="59814FD1"/>
    <w:rsid w:val="599C0C57"/>
    <w:rsid w:val="59B00DE5"/>
    <w:rsid w:val="59F17B06"/>
    <w:rsid w:val="5A022307"/>
    <w:rsid w:val="5A25561B"/>
    <w:rsid w:val="5A2A6B6D"/>
    <w:rsid w:val="5A336AC1"/>
    <w:rsid w:val="5A516919"/>
    <w:rsid w:val="5A543883"/>
    <w:rsid w:val="5A7A716F"/>
    <w:rsid w:val="5AAA53CF"/>
    <w:rsid w:val="5AE82348"/>
    <w:rsid w:val="5AE85BEE"/>
    <w:rsid w:val="5AF06F6D"/>
    <w:rsid w:val="5AF4287F"/>
    <w:rsid w:val="5B0E53A3"/>
    <w:rsid w:val="5B255C05"/>
    <w:rsid w:val="5B457607"/>
    <w:rsid w:val="5B733364"/>
    <w:rsid w:val="5B854DCC"/>
    <w:rsid w:val="5BB11FDB"/>
    <w:rsid w:val="5BC3190F"/>
    <w:rsid w:val="5BCE70F4"/>
    <w:rsid w:val="5C13534D"/>
    <w:rsid w:val="5C1860DA"/>
    <w:rsid w:val="5C2A5C11"/>
    <w:rsid w:val="5C3C5832"/>
    <w:rsid w:val="5C6863F1"/>
    <w:rsid w:val="5C8303EE"/>
    <w:rsid w:val="5C855502"/>
    <w:rsid w:val="5CC30ADE"/>
    <w:rsid w:val="5CD544D2"/>
    <w:rsid w:val="5D0F4FED"/>
    <w:rsid w:val="5D2050CC"/>
    <w:rsid w:val="5D2D265C"/>
    <w:rsid w:val="5D554A6F"/>
    <w:rsid w:val="5D952C65"/>
    <w:rsid w:val="5DB4234F"/>
    <w:rsid w:val="5DBE5856"/>
    <w:rsid w:val="5DC74384"/>
    <w:rsid w:val="5DDC52C4"/>
    <w:rsid w:val="5E1B5092"/>
    <w:rsid w:val="5E242747"/>
    <w:rsid w:val="5E724EDA"/>
    <w:rsid w:val="5E8F4115"/>
    <w:rsid w:val="5E935F5E"/>
    <w:rsid w:val="5E9B2C46"/>
    <w:rsid w:val="5EC25FFA"/>
    <w:rsid w:val="5ED35614"/>
    <w:rsid w:val="5F025710"/>
    <w:rsid w:val="5F1F713C"/>
    <w:rsid w:val="5F387B7F"/>
    <w:rsid w:val="5F6C7267"/>
    <w:rsid w:val="5F88611B"/>
    <w:rsid w:val="5F8A3587"/>
    <w:rsid w:val="5F982999"/>
    <w:rsid w:val="5FAA393B"/>
    <w:rsid w:val="5FBA1A15"/>
    <w:rsid w:val="5FD25BA0"/>
    <w:rsid w:val="5FE0127C"/>
    <w:rsid w:val="5FED17BB"/>
    <w:rsid w:val="5FEE1471"/>
    <w:rsid w:val="5FF270A6"/>
    <w:rsid w:val="601F5C42"/>
    <w:rsid w:val="60256599"/>
    <w:rsid w:val="60294EA8"/>
    <w:rsid w:val="602E614B"/>
    <w:rsid w:val="603252A7"/>
    <w:rsid w:val="606E51E1"/>
    <w:rsid w:val="60922C1B"/>
    <w:rsid w:val="60952B14"/>
    <w:rsid w:val="609B0963"/>
    <w:rsid w:val="609B64E7"/>
    <w:rsid w:val="60AA2973"/>
    <w:rsid w:val="60B31FF5"/>
    <w:rsid w:val="60C22BBA"/>
    <w:rsid w:val="60D619A0"/>
    <w:rsid w:val="60E46754"/>
    <w:rsid w:val="611676B3"/>
    <w:rsid w:val="61303A07"/>
    <w:rsid w:val="61A33053"/>
    <w:rsid w:val="61A70E98"/>
    <w:rsid w:val="61BF5C09"/>
    <w:rsid w:val="61C95FF5"/>
    <w:rsid w:val="61D90263"/>
    <w:rsid w:val="61F279F7"/>
    <w:rsid w:val="623065F6"/>
    <w:rsid w:val="624A3B38"/>
    <w:rsid w:val="625306BE"/>
    <w:rsid w:val="62671915"/>
    <w:rsid w:val="627955F6"/>
    <w:rsid w:val="62796FF0"/>
    <w:rsid w:val="62B960CF"/>
    <w:rsid w:val="62D54C81"/>
    <w:rsid w:val="62E17600"/>
    <w:rsid w:val="62EA2BFF"/>
    <w:rsid w:val="63084A49"/>
    <w:rsid w:val="6337664F"/>
    <w:rsid w:val="63383ED6"/>
    <w:rsid w:val="6338494C"/>
    <w:rsid w:val="633C7337"/>
    <w:rsid w:val="63775C96"/>
    <w:rsid w:val="638929FF"/>
    <w:rsid w:val="63A11ED6"/>
    <w:rsid w:val="63A60F1D"/>
    <w:rsid w:val="64011BAD"/>
    <w:rsid w:val="64061DE2"/>
    <w:rsid w:val="642E732A"/>
    <w:rsid w:val="64471DF2"/>
    <w:rsid w:val="645A7DDA"/>
    <w:rsid w:val="646F3B94"/>
    <w:rsid w:val="6490034D"/>
    <w:rsid w:val="64903145"/>
    <w:rsid w:val="649C5180"/>
    <w:rsid w:val="64BE768F"/>
    <w:rsid w:val="64D67A48"/>
    <w:rsid w:val="64F06AB3"/>
    <w:rsid w:val="65137EA5"/>
    <w:rsid w:val="65276BAC"/>
    <w:rsid w:val="656578F0"/>
    <w:rsid w:val="65845966"/>
    <w:rsid w:val="65A438ED"/>
    <w:rsid w:val="65DF7E31"/>
    <w:rsid w:val="65F13C38"/>
    <w:rsid w:val="65FE0525"/>
    <w:rsid w:val="660F6F92"/>
    <w:rsid w:val="661C2807"/>
    <w:rsid w:val="661C540A"/>
    <w:rsid w:val="662B2E29"/>
    <w:rsid w:val="66494E5D"/>
    <w:rsid w:val="664D393D"/>
    <w:rsid w:val="665C09B1"/>
    <w:rsid w:val="665C20B0"/>
    <w:rsid w:val="666B0F2C"/>
    <w:rsid w:val="668A6A2F"/>
    <w:rsid w:val="669213FD"/>
    <w:rsid w:val="66CB5C45"/>
    <w:rsid w:val="66F1525C"/>
    <w:rsid w:val="66F238E5"/>
    <w:rsid w:val="6729363F"/>
    <w:rsid w:val="67395F4D"/>
    <w:rsid w:val="67702A0E"/>
    <w:rsid w:val="677C44FA"/>
    <w:rsid w:val="67922F56"/>
    <w:rsid w:val="679D3250"/>
    <w:rsid w:val="67B607E5"/>
    <w:rsid w:val="67DC6C2E"/>
    <w:rsid w:val="67DF4D46"/>
    <w:rsid w:val="67EA67B6"/>
    <w:rsid w:val="67ED6E5E"/>
    <w:rsid w:val="67EE44B5"/>
    <w:rsid w:val="67FC16DF"/>
    <w:rsid w:val="68057997"/>
    <w:rsid w:val="68120C2B"/>
    <w:rsid w:val="68300DA2"/>
    <w:rsid w:val="683B3091"/>
    <w:rsid w:val="684F79E5"/>
    <w:rsid w:val="68545E49"/>
    <w:rsid w:val="687453D3"/>
    <w:rsid w:val="688C1198"/>
    <w:rsid w:val="68B857EF"/>
    <w:rsid w:val="68BE2BAE"/>
    <w:rsid w:val="69256781"/>
    <w:rsid w:val="694718A7"/>
    <w:rsid w:val="69775CB8"/>
    <w:rsid w:val="697D48D8"/>
    <w:rsid w:val="69907D5F"/>
    <w:rsid w:val="69A57FAE"/>
    <w:rsid w:val="69F1549F"/>
    <w:rsid w:val="6A0D0646"/>
    <w:rsid w:val="6A21047C"/>
    <w:rsid w:val="6A2E1E58"/>
    <w:rsid w:val="6A5A799B"/>
    <w:rsid w:val="6A643167"/>
    <w:rsid w:val="6A687450"/>
    <w:rsid w:val="6A6D3B27"/>
    <w:rsid w:val="6A74105A"/>
    <w:rsid w:val="6A7E1064"/>
    <w:rsid w:val="6A81571E"/>
    <w:rsid w:val="6A837469"/>
    <w:rsid w:val="6A922CD0"/>
    <w:rsid w:val="6AA643DB"/>
    <w:rsid w:val="6AAE32C5"/>
    <w:rsid w:val="6ABF313F"/>
    <w:rsid w:val="6ACD0E86"/>
    <w:rsid w:val="6ADE3ED8"/>
    <w:rsid w:val="6B04207C"/>
    <w:rsid w:val="6B052A8D"/>
    <w:rsid w:val="6B0B0382"/>
    <w:rsid w:val="6B240C57"/>
    <w:rsid w:val="6B256EDB"/>
    <w:rsid w:val="6B4B4300"/>
    <w:rsid w:val="6B4D2B9D"/>
    <w:rsid w:val="6B5D7821"/>
    <w:rsid w:val="6B9668DB"/>
    <w:rsid w:val="6BA07A01"/>
    <w:rsid w:val="6BC1736F"/>
    <w:rsid w:val="6BC32D7C"/>
    <w:rsid w:val="6BFC153C"/>
    <w:rsid w:val="6C035B55"/>
    <w:rsid w:val="6C041BF9"/>
    <w:rsid w:val="6C354F35"/>
    <w:rsid w:val="6C4C7015"/>
    <w:rsid w:val="6C6E2EBB"/>
    <w:rsid w:val="6C923F25"/>
    <w:rsid w:val="6C954167"/>
    <w:rsid w:val="6C9D724B"/>
    <w:rsid w:val="6CA47FE8"/>
    <w:rsid w:val="6CA50FD0"/>
    <w:rsid w:val="6CA755E2"/>
    <w:rsid w:val="6CC044DE"/>
    <w:rsid w:val="6CC16398"/>
    <w:rsid w:val="6CE02419"/>
    <w:rsid w:val="6D277E96"/>
    <w:rsid w:val="6D3E0C6F"/>
    <w:rsid w:val="6D436A1C"/>
    <w:rsid w:val="6D520B87"/>
    <w:rsid w:val="6D8A3BFD"/>
    <w:rsid w:val="6D916F74"/>
    <w:rsid w:val="6DCE3FFB"/>
    <w:rsid w:val="6E036133"/>
    <w:rsid w:val="6E0E695B"/>
    <w:rsid w:val="6E2378A8"/>
    <w:rsid w:val="6E2C49CC"/>
    <w:rsid w:val="6E404AF4"/>
    <w:rsid w:val="6E440EBF"/>
    <w:rsid w:val="6E4826E9"/>
    <w:rsid w:val="6E676263"/>
    <w:rsid w:val="6E7F693B"/>
    <w:rsid w:val="6E96065E"/>
    <w:rsid w:val="6E961113"/>
    <w:rsid w:val="6E9F16FC"/>
    <w:rsid w:val="6EA90888"/>
    <w:rsid w:val="6EB335C1"/>
    <w:rsid w:val="6EBE77EF"/>
    <w:rsid w:val="6ECD68F9"/>
    <w:rsid w:val="6EE971E8"/>
    <w:rsid w:val="6F273508"/>
    <w:rsid w:val="6F323823"/>
    <w:rsid w:val="6F3F30A0"/>
    <w:rsid w:val="6F621109"/>
    <w:rsid w:val="6F756E95"/>
    <w:rsid w:val="6F8A056E"/>
    <w:rsid w:val="6F8E0354"/>
    <w:rsid w:val="6F992D47"/>
    <w:rsid w:val="6FE860A9"/>
    <w:rsid w:val="70024364"/>
    <w:rsid w:val="70147F6A"/>
    <w:rsid w:val="7064228D"/>
    <w:rsid w:val="70711A35"/>
    <w:rsid w:val="70755073"/>
    <w:rsid w:val="70A0793D"/>
    <w:rsid w:val="70BC38E2"/>
    <w:rsid w:val="70E81B75"/>
    <w:rsid w:val="70F040E3"/>
    <w:rsid w:val="70F93A3F"/>
    <w:rsid w:val="71105D50"/>
    <w:rsid w:val="71167CDC"/>
    <w:rsid w:val="71286862"/>
    <w:rsid w:val="712F6F39"/>
    <w:rsid w:val="71475E96"/>
    <w:rsid w:val="717C32B9"/>
    <w:rsid w:val="71841A31"/>
    <w:rsid w:val="71872BF7"/>
    <w:rsid w:val="71E45372"/>
    <w:rsid w:val="71E60E06"/>
    <w:rsid w:val="71F25BF4"/>
    <w:rsid w:val="7208644C"/>
    <w:rsid w:val="720C7D2B"/>
    <w:rsid w:val="721A5D7C"/>
    <w:rsid w:val="721B06AD"/>
    <w:rsid w:val="72315430"/>
    <w:rsid w:val="723E74DE"/>
    <w:rsid w:val="72490994"/>
    <w:rsid w:val="7262525F"/>
    <w:rsid w:val="7280060B"/>
    <w:rsid w:val="72F55A5E"/>
    <w:rsid w:val="72F82D65"/>
    <w:rsid w:val="732153F5"/>
    <w:rsid w:val="73247F8A"/>
    <w:rsid w:val="736C5743"/>
    <w:rsid w:val="736E5061"/>
    <w:rsid w:val="73937ABF"/>
    <w:rsid w:val="73940EC5"/>
    <w:rsid w:val="73CE337C"/>
    <w:rsid w:val="73F75328"/>
    <w:rsid w:val="74263CA9"/>
    <w:rsid w:val="742931A7"/>
    <w:rsid w:val="74580668"/>
    <w:rsid w:val="74727EA0"/>
    <w:rsid w:val="748F7D0A"/>
    <w:rsid w:val="74932E66"/>
    <w:rsid w:val="74946305"/>
    <w:rsid w:val="74A108F6"/>
    <w:rsid w:val="74B1403C"/>
    <w:rsid w:val="74D068DD"/>
    <w:rsid w:val="74DB38A2"/>
    <w:rsid w:val="74DE788B"/>
    <w:rsid w:val="74E024A3"/>
    <w:rsid w:val="74EA0AA2"/>
    <w:rsid w:val="74EB5CFC"/>
    <w:rsid w:val="74F7099B"/>
    <w:rsid w:val="751B3609"/>
    <w:rsid w:val="75225626"/>
    <w:rsid w:val="75476EDC"/>
    <w:rsid w:val="754C4F37"/>
    <w:rsid w:val="7562261A"/>
    <w:rsid w:val="756B06D3"/>
    <w:rsid w:val="756B4AEC"/>
    <w:rsid w:val="75822DE6"/>
    <w:rsid w:val="758E11A6"/>
    <w:rsid w:val="759C70AE"/>
    <w:rsid w:val="75A12DD8"/>
    <w:rsid w:val="75D74F11"/>
    <w:rsid w:val="75DF733A"/>
    <w:rsid w:val="75E3729E"/>
    <w:rsid w:val="75F65D3C"/>
    <w:rsid w:val="75F96328"/>
    <w:rsid w:val="76007311"/>
    <w:rsid w:val="761368BE"/>
    <w:rsid w:val="7615617D"/>
    <w:rsid w:val="762C165D"/>
    <w:rsid w:val="76406EA8"/>
    <w:rsid w:val="76D96E05"/>
    <w:rsid w:val="76F048AC"/>
    <w:rsid w:val="77064A55"/>
    <w:rsid w:val="772C0D98"/>
    <w:rsid w:val="774C45E8"/>
    <w:rsid w:val="77817AE3"/>
    <w:rsid w:val="77876814"/>
    <w:rsid w:val="77E45FFB"/>
    <w:rsid w:val="78103ADF"/>
    <w:rsid w:val="783570B9"/>
    <w:rsid w:val="78357142"/>
    <w:rsid w:val="783B4535"/>
    <w:rsid w:val="785307C2"/>
    <w:rsid w:val="786D1EFA"/>
    <w:rsid w:val="787E1BD1"/>
    <w:rsid w:val="78A22999"/>
    <w:rsid w:val="78B478CC"/>
    <w:rsid w:val="78B7255D"/>
    <w:rsid w:val="79230630"/>
    <w:rsid w:val="794848CA"/>
    <w:rsid w:val="796F2C63"/>
    <w:rsid w:val="797101BF"/>
    <w:rsid w:val="79995BEF"/>
    <w:rsid w:val="79A11744"/>
    <w:rsid w:val="79CF3B6C"/>
    <w:rsid w:val="79D13260"/>
    <w:rsid w:val="79ED66DD"/>
    <w:rsid w:val="79FD7F6A"/>
    <w:rsid w:val="7A2D2E71"/>
    <w:rsid w:val="7A6A474D"/>
    <w:rsid w:val="7ABB5F10"/>
    <w:rsid w:val="7ACB24DC"/>
    <w:rsid w:val="7AD8717E"/>
    <w:rsid w:val="7ADB38D1"/>
    <w:rsid w:val="7B0B6BC3"/>
    <w:rsid w:val="7B213550"/>
    <w:rsid w:val="7B343BA1"/>
    <w:rsid w:val="7B3B7ACA"/>
    <w:rsid w:val="7B4B7E21"/>
    <w:rsid w:val="7B503B39"/>
    <w:rsid w:val="7B52062B"/>
    <w:rsid w:val="7B646217"/>
    <w:rsid w:val="7B677A53"/>
    <w:rsid w:val="7B7349BF"/>
    <w:rsid w:val="7BA62B82"/>
    <w:rsid w:val="7BA7113F"/>
    <w:rsid w:val="7BB16327"/>
    <w:rsid w:val="7BCA0CD8"/>
    <w:rsid w:val="7C187734"/>
    <w:rsid w:val="7C401F8B"/>
    <w:rsid w:val="7C64659D"/>
    <w:rsid w:val="7C706DB2"/>
    <w:rsid w:val="7C743ED1"/>
    <w:rsid w:val="7C8A46D7"/>
    <w:rsid w:val="7C8B3DE6"/>
    <w:rsid w:val="7C9D2FD9"/>
    <w:rsid w:val="7CAC3111"/>
    <w:rsid w:val="7CE135E6"/>
    <w:rsid w:val="7D0C2EEC"/>
    <w:rsid w:val="7D116942"/>
    <w:rsid w:val="7D1538EC"/>
    <w:rsid w:val="7D2037EF"/>
    <w:rsid w:val="7D3C3E1F"/>
    <w:rsid w:val="7D6E3C91"/>
    <w:rsid w:val="7D926B23"/>
    <w:rsid w:val="7D9B6A48"/>
    <w:rsid w:val="7DAC492E"/>
    <w:rsid w:val="7DD13227"/>
    <w:rsid w:val="7DFA5352"/>
    <w:rsid w:val="7E0A4C45"/>
    <w:rsid w:val="7E2F6A34"/>
    <w:rsid w:val="7E416E12"/>
    <w:rsid w:val="7E495F64"/>
    <w:rsid w:val="7E4E03E1"/>
    <w:rsid w:val="7E5B62D2"/>
    <w:rsid w:val="7E6009C6"/>
    <w:rsid w:val="7E734E0F"/>
    <w:rsid w:val="7E8345C7"/>
    <w:rsid w:val="7EC07962"/>
    <w:rsid w:val="7EC81374"/>
    <w:rsid w:val="7F0F1C90"/>
    <w:rsid w:val="7F196B89"/>
    <w:rsid w:val="7F405101"/>
    <w:rsid w:val="7F4D3E60"/>
    <w:rsid w:val="7F555DCE"/>
    <w:rsid w:val="7F8B0C20"/>
    <w:rsid w:val="7FA91C95"/>
    <w:rsid w:val="7FB426CA"/>
    <w:rsid w:val="7FE83C65"/>
    <w:rsid w:val="7FF15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qFormat="1" w:uiPriority="39"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4"/>
    <w:autoRedefine/>
    <w:qFormat/>
    <w:uiPriority w:val="0"/>
    <w:pPr>
      <w:keepNext/>
      <w:keepLines/>
      <w:widowControl w:val="0"/>
      <w:spacing w:before="340" w:after="330" w:line="578" w:lineRule="auto"/>
      <w:jc w:val="both"/>
      <w:outlineLvl w:val="0"/>
    </w:pPr>
    <w:rPr>
      <w:rFonts w:ascii="Times New Roman" w:hAnsi="Times New Roman" w:eastAsia="宋体" w:cs="Times New Roman"/>
      <w:b/>
      <w:bCs/>
      <w:kern w:val="44"/>
      <w:sz w:val="44"/>
      <w:szCs w:val="44"/>
      <w:lang w:val="en-US" w:eastAsia="zh-CN" w:bidi="ar-SA"/>
    </w:rPr>
  </w:style>
  <w:style w:type="paragraph" w:styleId="4">
    <w:name w:val="heading 2"/>
    <w:basedOn w:val="1"/>
    <w:next w:val="1"/>
    <w:autoRedefine/>
    <w:qFormat/>
    <w:uiPriority w:val="0"/>
    <w:pPr>
      <w:keepNext/>
      <w:keepLines/>
      <w:widowControl w:val="0"/>
      <w:spacing w:before="260" w:after="260" w:line="413" w:lineRule="auto"/>
      <w:jc w:val="center"/>
      <w:outlineLvl w:val="1"/>
    </w:pPr>
    <w:rPr>
      <w:rFonts w:ascii="Arial" w:hAnsi="Arial" w:eastAsia="黑体" w:cs="Times New Roman"/>
      <w:b/>
      <w:kern w:val="2"/>
      <w:sz w:val="44"/>
      <w:szCs w:val="20"/>
      <w:lang w:val="en-US" w:eastAsia="zh-CN" w:bidi="ar-SA"/>
    </w:rPr>
  </w:style>
  <w:style w:type="paragraph" w:styleId="5">
    <w:name w:val="heading 3"/>
    <w:basedOn w:val="1"/>
    <w:next w:val="1"/>
    <w:link w:val="72"/>
    <w:autoRedefine/>
    <w:qFormat/>
    <w:uiPriority w:val="0"/>
    <w:pPr>
      <w:keepNext/>
      <w:keepLines/>
      <w:spacing w:before="260" w:beforeLines="0" w:after="260" w:afterLines="0" w:line="416" w:lineRule="auto"/>
      <w:outlineLvl w:val="2"/>
    </w:pPr>
    <w:rPr>
      <w:b/>
      <w:bCs/>
      <w:kern w:val="0"/>
      <w:sz w:val="32"/>
      <w:szCs w:val="32"/>
    </w:rPr>
  </w:style>
  <w:style w:type="paragraph" w:styleId="6">
    <w:name w:val="heading 4"/>
    <w:basedOn w:val="1"/>
    <w:next w:val="1"/>
    <w:link w:val="73"/>
    <w:autoRedefine/>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7">
    <w:name w:val="heading 5"/>
    <w:basedOn w:val="1"/>
    <w:next w:val="1"/>
    <w:autoRedefine/>
    <w:qFormat/>
    <w:uiPriority w:val="0"/>
    <w:pPr>
      <w:keepNext/>
      <w:keepLines/>
      <w:spacing w:before="280" w:beforeLines="0" w:after="290" w:afterLines="0" w:line="372" w:lineRule="auto"/>
      <w:outlineLvl w:val="4"/>
    </w:pPr>
    <w:rPr>
      <w:b/>
      <w:bCs/>
      <w:sz w:val="28"/>
      <w:szCs w:val="28"/>
    </w:rPr>
  </w:style>
  <w:style w:type="character" w:default="1" w:styleId="24">
    <w:name w:val="Default Paragraph Font"/>
    <w:autoRedefine/>
    <w:semiHidden/>
    <w:qFormat/>
    <w:uiPriority w:val="0"/>
  </w:style>
  <w:style w:type="table" w:default="1" w:styleId="22">
    <w:name w:val="Normal Table"/>
    <w:autoRedefine/>
    <w:semiHidden/>
    <w:qFormat/>
    <w:uiPriority w:val="0"/>
    <w:tblPr>
      <w:tblCellMar>
        <w:top w:w="0" w:type="dxa"/>
        <w:left w:w="108" w:type="dxa"/>
        <w:bottom w:w="0" w:type="dxa"/>
        <w:right w:w="108" w:type="dxa"/>
      </w:tblCellMar>
    </w:tblPr>
  </w:style>
  <w:style w:type="paragraph" w:styleId="2">
    <w:name w:val="toc 1"/>
    <w:basedOn w:val="1"/>
    <w:next w:val="1"/>
    <w:autoRedefine/>
    <w:unhideWhenUsed/>
    <w:qFormat/>
    <w:uiPriority w:val="39"/>
    <w:pPr>
      <w:widowControl/>
      <w:tabs>
        <w:tab w:val="left" w:pos="0"/>
        <w:tab w:val="right" w:leader="dot" w:pos="9435"/>
      </w:tabs>
      <w:spacing w:line="440" w:lineRule="exact"/>
      <w:jc w:val="left"/>
    </w:pPr>
    <w:rPr>
      <w:rFonts w:ascii="Calibri" w:hAnsi="Calibri" w:eastAsia="宋体" w:cs="Times New Roman"/>
      <w:kern w:val="0"/>
      <w:sz w:val="22"/>
      <w:szCs w:val="22"/>
      <w:lang w:val="en-US" w:eastAsia="zh-CN" w:bidi="ar-SA"/>
    </w:rPr>
  </w:style>
  <w:style w:type="paragraph" w:styleId="8">
    <w:name w:val="index 8"/>
    <w:basedOn w:val="1"/>
    <w:next w:val="1"/>
    <w:autoRedefine/>
    <w:unhideWhenUsed/>
    <w:qFormat/>
    <w:uiPriority w:val="99"/>
    <w:pPr>
      <w:ind w:left="1400" w:leftChars="1400"/>
    </w:pPr>
  </w:style>
  <w:style w:type="paragraph" w:styleId="9">
    <w:name w:val="Normal Indent"/>
    <w:basedOn w:val="1"/>
    <w:autoRedefine/>
    <w:qFormat/>
    <w:uiPriority w:val="0"/>
    <w:pPr>
      <w:widowControl/>
      <w:ind w:firstLine="420"/>
      <w:jc w:val="left"/>
    </w:pPr>
    <w:rPr>
      <w:sz w:val="20"/>
    </w:rPr>
  </w:style>
  <w:style w:type="paragraph" w:styleId="10">
    <w:name w:val="annotation text"/>
    <w:basedOn w:val="1"/>
    <w:autoRedefine/>
    <w:qFormat/>
    <w:uiPriority w:val="0"/>
    <w:pPr>
      <w:jc w:val="left"/>
    </w:pPr>
  </w:style>
  <w:style w:type="paragraph" w:styleId="11">
    <w:name w:val="Body Text 3"/>
    <w:basedOn w:val="1"/>
    <w:unhideWhenUsed/>
    <w:qFormat/>
    <w:uiPriority w:val="99"/>
    <w:pPr>
      <w:spacing w:after="120"/>
    </w:pPr>
    <w:rPr>
      <w:sz w:val="16"/>
      <w:szCs w:val="16"/>
    </w:rPr>
  </w:style>
  <w:style w:type="paragraph" w:styleId="12">
    <w:name w:val="Body Text"/>
    <w:basedOn w:val="1"/>
    <w:autoRedefine/>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13">
    <w:name w:val="Body Text Indent"/>
    <w:basedOn w:val="1"/>
    <w:autoRedefine/>
    <w:qFormat/>
    <w:uiPriority w:val="0"/>
    <w:pPr>
      <w:widowControl w:val="0"/>
      <w:spacing w:line="200" w:lineRule="exact"/>
      <w:ind w:firstLine="301"/>
      <w:jc w:val="both"/>
    </w:pPr>
    <w:rPr>
      <w:rFonts w:ascii="宋体" w:hAnsi="Courier New" w:eastAsia="宋体" w:cs="Times New Roman"/>
      <w:spacing w:val="-4"/>
      <w:kern w:val="2"/>
      <w:sz w:val="18"/>
      <w:szCs w:val="20"/>
      <w:lang w:val="en-US" w:eastAsia="zh-CN" w:bidi="ar-SA"/>
    </w:rPr>
  </w:style>
  <w:style w:type="paragraph" w:styleId="14">
    <w:name w:val="toc 3"/>
    <w:basedOn w:val="1"/>
    <w:next w:val="1"/>
    <w:autoRedefine/>
    <w:qFormat/>
    <w:uiPriority w:val="0"/>
    <w:pPr>
      <w:ind w:left="840" w:leftChars="400"/>
    </w:pPr>
  </w:style>
  <w:style w:type="paragraph" w:styleId="15">
    <w:name w:val="Plain Text"/>
    <w:basedOn w:val="1"/>
    <w:next w:val="1"/>
    <w:autoRedefine/>
    <w:qFormat/>
    <w:uiPriority w:val="0"/>
    <w:pPr>
      <w:widowControl w:val="0"/>
      <w:jc w:val="both"/>
    </w:pPr>
    <w:rPr>
      <w:rFonts w:ascii="宋体" w:hAnsi="Courier New" w:eastAsia="宋体" w:cs="Times New Roman"/>
      <w:kern w:val="2"/>
      <w:sz w:val="21"/>
      <w:szCs w:val="20"/>
      <w:lang w:val="en-US" w:eastAsia="zh-CN" w:bidi="ar-SA"/>
    </w:rPr>
  </w:style>
  <w:style w:type="paragraph" w:styleId="16">
    <w:name w:val="Date"/>
    <w:basedOn w:val="1"/>
    <w:next w:val="1"/>
    <w:autoRedefine/>
    <w:qFormat/>
    <w:uiPriority w:val="0"/>
    <w:pPr>
      <w:ind w:left="100" w:leftChars="2500"/>
    </w:pPr>
  </w:style>
  <w:style w:type="paragraph" w:styleId="17">
    <w:name w:val="footer"/>
    <w:basedOn w:val="1"/>
    <w:autoRedefine/>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18">
    <w:name w:val="header"/>
    <w:basedOn w:val="1"/>
    <w:autoRedefine/>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styleId="19">
    <w:name w:val="toc 2"/>
    <w:next w:val="1"/>
    <w:autoRedefine/>
    <w:unhideWhenUsed/>
    <w:qFormat/>
    <w:uiPriority w:val="39"/>
    <w:pPr>
      <w:widowControl/>
      <w:spacing w:after="100" w:line="276" w:lineRule="auto"/>
      <w:ind w:left="220"/>
      <w:jc w:val="left"/>
    </w:pPr>
    <w:rPr>
      <w:rFonts w:ascii="Calibri" w:hAnsi="Calibri" w:eastAsia="宋体" w:cs="Times New Roman"/>
      <w:kern w:val="0"/>
      <w:sz w:val="22"/>
      <w:szCs w:val="22"/>
      <w:lang w:val="en-US" w:eastAsia="zh-CN" w:bidi="ar-SA"/>
    </w:rPr>
  </w:style>
  <w:style w:type="paragraph" w:styleId="20">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21">
    <w:name w:val="Body Text First Indent"/>
    <w:basedOn w:val="12"/>
    <w:autoRedefine/>
    <w:qFormat/>
    <w:uiPriority w:val="0"/>
    <w:pPr>
      <w:spacing w:after="120" w:afterLines="0"/>
      <w:ind w:firstLine="420" w:firstLineChars="100"/>
    </w:pPr>
  </w:style>
  <w:style w:type="table" w:styleId="23">
    <w:name w:val="Table Grid"/>
    <w:basedOn w:val="22"/>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autoRedefine/>
    <w:qFormat/>
    <w:uiPriority w:val="0"/>
    <w:rPr>
      <w:b/>
      <w:bCs/>
    </w:rPr>
  </w:style>
  <w:style w:type="character" w:styleId="26">
    <w:name w:val="page number"/>
    <w:basedOn w:val="24"/>
    <w:autoRedefine/>
    <w:qFormat/>
    <w:uiPriority w:val="0"/>
  </w:style>
  <w:style w:type="character" w:styleId="27">
    <w:name w:val="FollowedHyperlink"/>
    <w:basedOn w:val="24"/>
    <w:autoRedefine/>
    <w:qFormat/>
    <w:uiPriority w:val="0"/>
    <w:rPr>
      <w:color w:val="800080"/>
      <w:u w:val="none"/>
    </w:rPr>
  </w:style>
  <w:style w:type="character" w:styleId="28">
    <w:name w:val="Emphasis"/>
    <w:basedOn w:val="24"/>
    <w:autoRedefine/>
    <w:qFormat/>
    <w:uiPriority w:val="0"/>
    <w:rPr>
      <w:b/>
      <w:bCs/>
    </w:rPr>
  </w:style>
  <w:style w:type="character" w:styleId="29">
    <w:name w:val="HTML Definition"/>
    <w:basedOn w:val="24"/>
    <w:autoRedefine/>
    <w:qFormat/>
    <w:uiPriority w:val="0"/>
  </w:style>
  <w:style w:type="character" w:styleId="30">
    <w:name w:val="HTML Typewriter"/>
    <w:basedOn w:val="24"/>
    <w:autoRedefine/>
    <w:qFormat/>
    <w:uiPriority w:val="0"/>
    <w:rPr>
      <w:rFonts w:hint="default" w:ascii="monospace" w:hAnsi="monospace" w:eastAsia="monospace" w:cs="monospace"/>
      <w:sz w:val="20"/>
    </w:rPr>
  </w:style>
  <w:style w:type="character" w:styleId="31">
    <w:name w:val="HTML Acronym"/>
    <w:basedOn w:val="24"/>
    <w:autoRedefine/>
    <w:qFormat/>
    <w:uiPriority w:val="0"/>
  </w:style>
  <w:style w:type="character" w:styleId="32">
    <w:name w:val="HTML Variable"/>
    <w:basedOn w:val="24"/>
    <w:autoRedefine/>
    <w:qFormat/>
    <w:uiPriority w:val="0"/>
  </w:style>
  <w:style w:type="character" w:styleId="33">
    <w:name w:val="Hyperlink"/>
    <w:basedOn w:val="24"/>
    <w:autoRedefine/>
    <w:unhideWhenUsed/>
    <w:qFormat/>
    <w:uiPriority w:val="99"/>
    <w:rPr>
      <w:color w:val="3B5998"/>
      <w:u w:val="none"/>
    </w:rPr>
  </w:style>
  <w:style w:type="character" w:styleId="34">
    <w:name w:val="HTML Code"/>
    <w:basedOn w:val="24"/>
    <w:autoRedefine/>
    <w:qFormat/>
    <w:uiPriority w:val="0"/>
    <w:rPr>
      <w:rFonts w:hint="default" w:ascii="monospace" w:hAnsi="monospace" w:eastAsia="monospace" w:cs="monospace"/>
      <w:sz w:val="20"/>
    </w:rPr>
  </w:style>
  <w:style w:type="character" w:styleId="35">
    <w:name w:val="annotation reference"/>
    <w:autoRedefine/>
    <w:qFormat/>
    <w:uiPriority w:val="0"/>
    <w:rPr>
      <w:sz w:val="21"/>
      <w:szCs w:val="21"/>
    </w:rPr>
  </w:style>
  <w:style w:type="character" w:styleId="36">
    <w:name w:val="HTML Cite"/>
    <w:basedOn w:val="24"/>
    <w:autoRedefine/>
    <w:qFormat/>
    <w:uiPriority w:val="0"/>
  </w:style>
  <w:style w:type="character" w:styleId="37">
    <w:name w:val="HTML Keyboard"/>
    <w:basedOn w:val="24"/>
    <w:autoRedefine/>
    <w:qFormat/>
    <w:uiPriority w:val="0"/>
    <w:rPr>
      <w:rFonts w:ascii="monospace" w:hAnsi="monospace" w:eastAsia="monospace" w:cs="monospace"/>
      <w:sz w:val="20"/>
    </w:rPr>
  </w:style>
  <w:style w:type="character" w:styleId="38">
    <w:name w:val="HTML Sample"/>
    <w:basedOn w:val="24"/>
    <w:autoRedefine/>
    <w:qFormat/>
    <w:uiPriority w:val="0"/>
    <w:rPr>
      <w:rFonts w:hint="default" w:ascii="monospace" w:hAnsi="monospace" w:eastAsia="monospace" w:cs="monospace"/>
    </w:rPr>
  </w:style>
  <w:style w:type="paragraph" w:customStyle="1" w:styleId="39">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40">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1">
    <w:name w:val="正文文字 6"/>
    <w:next w:val="1"/>
    <w:autoRedefine/>
    <w:qFormat/>
    <w:uiPriority w:val="99"/>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42">
    <w:name w:val="1"/>
    <w:next w:val="15"/>
    <w:autoRedefine/>
    <w:qFormat/>
    <w:uiPriority w:val="0"/>
    <w:pPr>
      <w:widowControl w:val="0"/>
      <w:jc w:val="both"/>
    </w:pPr>
    <w:rPr>
      <w:rFonts w:ascii="宋体" w:hAnsi="Courier New" w:eastAsia="宋体" w:cs="Times New Roman"/>
      <w:kern w:val="2"/>
      <w:sz w:val="21"/>
      <w:szCs w:val="20"/>
      <w:lang w:val="en-US" w:eastAsia="zh-CN" w:bidi="ar-SA"/>
    </w:rPr>
  </w:style>
  <w:style w:type="paragraph" w:customStyle="1" w:styleId="43">
    <w:name w:val="Body Text First Indent 21"/>
    <w:basedOn w:val="44"/>
    <w:autoRedefine/>
    <w:qFormat/>
    <w:uiPriority w:val="0"/>
    <w:pPr>
      <w:widowControl w:val="0"/>
      <w:ind w:firstLine="420"/>
      <w:jc w:val="both"/>
    </w:pPr>
    <w:rPr>
      <w:rFonts w:ascii="Times New Roman" w:hAnsi="Times New Roman" w:eastAsia="宋体" w:cs="Times New Roman"/>
      <w:kern w:val="2"/>
      <w:sz w:val="28"/>
      <w:szCs w:val="24"/>
      <w:lang w:val="en-US" w:eastAsia="zh-CN" w:bidi="ar-SA"/>
    </w:rPr>
  </w:style>
  <w:style w:type="paragraph" w:customStyle="1" w:styleId="44">
    <w:name w:val="Body Text Indent1"/>
    <w:autoRedefine/>
    <w:qFormat/>
    <w:uiPriority w:val="0"/>
    <w:pPr>
      <w:widowControl w:val="0"/>
      <w:jc w:val="both"/>
    </w:pPr>
    <w:rPr>
      <w:rFonts w:ascii="Times New Roman" w:hAnsi="Times New Roman" w:eastAsia="宋体" w:cs="Times New Roman"/>
      <w:bCs/>
      <w:kern w:val="2"/>
      <w:sz w:val="28"/>
      <w:szCs w:val="24"/>
      <w:lang w:val="en-US" w:eastAsia="zh-CN" w:bidi="ar-SA"/>
    </w:rPr>
  </w:style>
  <w:style w:type="paragraph" w:styleId="45">
    <w:name w:val="No Spacing"/>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Normal_0"/>
    <w:autoRedefine/>
    <w:qFormat/>
    <w:uiPriority w:val="0"/>
    <w:rPr>
      <w:rFonts w:ascii="Times New Roman" w:hAnsi="Times New Roman" w:eastAsia="Times New Roman" w:cs="Times New Roman"/>
      <w:sz w:val="24"/>
      <w:szCs w:val="24"/>
    </w:rPr>
  </w:style>
  <w:style w:type="paragraph" w:customStyle="1" w:styleId="47">
    <w:name w:val="段落1"/>
    <w:basedOn w:val="1"/>
    <w:autoRedefine/>
    <w:qFormat/>
    <w:uiPriority w:val="0"/>
    <w:pPr>
      <w:spacing w:line="360" w:lineRule="auto"/>
      <w:ind w:firstLine="480" w:firstLineChars="200"/>
    </w:pPr>
    <w:rPr>
      <w:sz w:val="24"/>
      <w:szCs w:val="20"/>
    </w:rPr>
  </w:style>
  <w:style w:type="paragraph" w:customStyle="1" w:styleId="48">
    <w:name w:val="Table Paragraph"/>
    <w:basedOn w:val="1"/>
    <w:autoRedefine/>
    <w:qFormat/>
    <w:uiPriority w:val="0"/>
    <w:pPr>
      <w:autoSpaceDE w:val="0"/>
      <w:autoSpaceDN w:val="0"/>
      <w:adjustRightInd w:val="0"/>
      <w:jc w:val="left"/>
    </w:pPr>
    <w:rPr>
      <w:kern w:val="0"/>
      <w:sz w:val="24"/>
    </w:rPr>
  </w:style>
  <w:style w:type="paragraph" w:customStyle="1" w:styleId="49">
    <w:name w:val="List Paragraph"/>
    <w:basedOn w:val="1"/>
    <w:autoRedefine/>
    <w:qFormat/>
    <w:uiPriority w:val="0"/>
    <w:pPr>
      <w:ind w:firstLine="420" w:firstLineChars="200"/>
    </w:pPr>
  </w:style>
  <w:style w:type="paragraph" w:customStyle="1" w:styleId="50">
    <w:name w:val="正文_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1">
    <w:name w:val="layui-layer-tabnow"/>
    <w:basedOn w:val="24"/>
    <w:autoRedefine/>
    <w:qFormat/>
    <w:uiPriority w:val="0"/>
    <w:rPr>
      <w:bdr w:val="single" w:color="CCCCCC" w:sz="6" w:space="0"/>
      <w:shd w:val="clear" w:fill="FFFFFF"/>
    </w:rPr>
  </w:style>
  <w:style w:type="character" w:customStyle="1" w:styleId="52">
    <w:name w:val="first-child"/>
    <w:basedOn w:val="24"/>
    <w:autoRedefine/>
    <w:qFormat/>
    <w:uiPriority w:val="0"/>
  </w:style>
  <w:style w:type="paragraph" w:customStyle="1" w:styleId="53">
    <w:name w:val="Body text|1"/>
    <w:basedOn w:val="1"/>
    <w:autoRedefine/>
    <w:qFormat/>
    <w:uiPriority w:val="0"/>
    <w:pPr>
      <w:widowControl w:val="0"/>
      <w:shd w:val="clear" w:color="auto" w:fill="auto"/>
      <w:spacing w:line="360" w:lineRule="auto"/>
      <w:ind w:firstLine="400"/>
    </w:pPr>
    <w:rPr>
      <w:rFonts w:ascii="宋体" w:hAnsi="宋体" w:eastAsia="宋体" w:cs="宋体"/>
      <w:sz w:val="20"/>
      <w:szCs w:val="20"/>
      <w:u w:val="none"/>
      <w:shd w:val="clear" w:color="auto" w:fill="auto"/>
      <w:lang w:val="zh-CN" w:eastAsia="zh-CN" w:bidi="zh-CN"/>
    </w:rPr>
  </w:style>
  <w:style w:type="paragraph" w:customStyle="1" w:styleId="54">
    <w:name w:val="Other|1"/>
    <w:basedOn w:val="1"/>
    <w:autoRedefine/>
    <w:qFormat/>
    <w:uiPriority w:val="0"/>
    <w:pPr>
      <w:spacing w:line="360" w:lineRule="auto"/>
      <w:ind w:firstLine="400"/>
    </w:pPr>
    <w:rPr>
      <w:rFonts w:ascii="宋体" w:hAnsi="宋体" w:eastAsia="宋体" w:cs="宋体"/>
      <w:sz w:val="20"/>
      <w:szCs w:val="20"/>
      <w:lang w:val="zh-CN" w:eastAsia="zh-CN" w:bidi="zh-CN"/>
    </w:rPr>
  </w:style>
  <w:style w:type="paragraph" w:customStyle="1" w:styleId="55">
    <w:name w:val="Body text|2"/>
    <w:basedOn w:val="1"/>
    <w:autoRedefine/>
    <w:qFormat/>
    <w:uiPriority w:val="0"/>
    <w:pPr>
      <w:spacing w:after="30"/>
      <w:ind w:firstLine="420"/>
    </w:pPr>
    <w:rPr>
      <w:sz w:val="20"/>
      <w:szCs w:val="20"/>
    </w:rPr>
  </w:style>
  <w:style w:type="character" w:customStyle="1" w:styleId="56">
    <w:name w:val="正文_3 Char"/>
    <w:link w:val="57"/>
    <w:autoRedefine/>
    <w:qFormat/>
    <w:uiPriority w:val="0"/>
    <w:rPr>
      <w:rFonts w:ascii="Calibri" w:hAnsi="Calibri" w:eastAsia="宋体" w:cs="Times New Roman"/>
      <w:kern w:val="2"/>
      <w:sz w:val="21"/>
      <w:szCs w:val="22"/>
      <w:lang w:val="en-US" w:eastAsia="zh-CN" w:bidi="ar-SA"/>
    </w:rPr>
  </w:style>
  <w:style w:type="paragraph" w:customStyle="1" w:styleId="57">
    <w:name w:val="正文_3"/>
    <w:basedOn w:val="58"/>
    <w:next w:val="59"/>
    <w:link w:val="56"/>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
    <w:name w:val="正文_4"/>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9">
    <w:name w:val="页脚_0"/>
    <w:basedOn w:val="60"/>
    <w:autoRedefine/>
    <w:unhideWhenUsed/>
    <w:qFormat/>
    <w:uiPriority w:val="99"/>
    <w:pPr>
      <w:tabs>
        <w:tab w:val="center" w:pos="4153"/>
        <w:tab w:val="right" w:pos="8306"/>
      </w:tabs>
      <w:snapToGrid w:val="0"/>
      <w:jc w:val="left"/>
    </w:pPr>
    <w:rPr>
      <w:sz w:val="18"/>
      <w:szCs w:val="18"/>
    </w:rPr>
  </w:style>
  <w:style w:type="paragraph" w:customStyle="1" w:styleId="60">
    <w:name w:val="正文_0"/>
    <w:basedOn w:val="61"/>
    <w:next w:val="6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正文_2"/>
    <w:next w:val="62"/>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
    <w:name w:val="正文文本_1"/>
    <w:basedOn w:val="61"/>
    <w:autoRedefine/>
    <w:qFormat/>
    <w:uiPriority w:val="99"/>
    <w:pPr>
      <w:adjustRightInd w:val="0"/>
      <w:spacing w:after="60" w:line="360" w:lineRule="atLeast"/>
      <w:ind w:left="72" w:leftChars="30" w:right="30" w:rightChars="30"/>
      <w:jc w:val="center"/>
      <w:textAlignment w:val="baseline"/>
    </w:pPr>
    <w:rPr>
      <w:rFonts w:ascii="Times New Roman" w:hAnsi="Times New Roman"/>
    </w:rPr>
  </w:style>
  <w:style w:type="paragraph" w:customStyle="1" w:styleId="63">
    <w:name w:val="正文文本_0"/>
    <w:basedOn w:val="60"/>
    <w:next w:val="60"/>
    <w:autoRedefine/>
    <w:qFormat/>
    <w:uiPriority w:val="0"/>
    <w:pPr>
      <w:adjustRightInd w:val="0"/>
      <w:spacing w:after="60" w:line="360" w:lineRule="atLeast"/>
      <w:ind w:leftChars="30" w:rightChars="30"/>
      <w:jc w:val="center"/>
    </w:pPr>
    <w:rPr>
      <w:rFonts w:eastAsia="Times New Roman"/>
      <w:kern w:val="0"/>
      <w:sz w:val="20"/>
      <w:szCs w:val="20"/>
    </w:rPr>
  </w:style>
  <w:style w:type="character" w:customStyle="1" w:styleId="64">
    <w:name w:val="标题 1 Char"/>
    <w:link w:val="3"/>
    <w:autoRedefine/>
    <w:qFormat/>
    <w:uiPriority w:val="0"/>
    <w:rPr>
      <w:rFonts w:ascii="Times New Roman" w:hAnsi="Times New Roman" w:eastAsia="宋体" w:cs="Times New Roman"/>
      <w:b/>
      <w:bCs/>
      <w:kern w:val="44"/>
      <w:sz w:val="44"/>
      <w:szCs w:val="44"/>
      <w:lang w:val="en-US" w:eastAsia="zh-CN" w:bidi="ar-SA"/>
    </w:rPr>
  </w:style>
  <w:style w:type="character" w:customStyle="1" w:styleId="65">
    <w:name w:val="hover1"/>
    <w:basedOn w:val="24"/>
    <w:autoRedefine/>
    <w:qFormat/>
    <w:uiPriority w:val="0"/>
    <w:rPr>
      <w:color w:val="2590EB"/>
    </w:rPr>
  </w:style>
  <w:style w:type="character" w:customStyle="1" w:styleId="66">
    <w:name w:val="hover2"/>
    <w:basedOn w:val="24"/>
    <w:autoRedefine/>
    <w:qFormat/>
    <w:uiPriority w:val="0"/>
    <w:rPr>
      <w:color w:val="2590EB"/>
    </w:rPr>
  </w:style>
  <w:style w:type="character" w:customStyle="1" w:styleId="67">
    <w:name w:val="hover3"/>
    <w:basedOn w:val="24"/>
    <w:autoRedefine/>
    <w:qFormat/>
    <w:uiPriority w:val="0"/>
  </w:style>
  <w:style w:type="character" w:customStyle="1" w:styleId="68">
    <w:name w:val="hover"/>
    <w:basedOn w:val="24"/>
    <w:autoRedefine/>
    <w:qFormat/>
    <w:uiPriority w:val="0"/>
    <w:rPr>
      <w:color w:val="2590EB"/>
    </w:rPr>
  </w:style>
  <w:style w:type="paragraph" w:customStyle="1" w:styleId="69">
    <w:name w:val="正文_2_0"/>
    <w:basedOn w:val="70"/>
    <w:next w:val="71"/>
    <w:autoRedefine/>
    <w:qFormat/>
    <w:uiPriority w:val="0"/>
    <w:pPr>
      <w:widowControl w:val="0"/>
      <w:jc w:val="both"/>
    </w:pPr>
    <w:rPr>
      <w:kern w:val="2"/>
      <w:sz w:val="21"/>
      <w:szCs w:val="22"/>
      <w:lang w:val="en-US" w:eastAsia="zh-CN" w:bidi="ar-SA"/>
    </w:rPr>
  </w:style>
  <w:style w:type="paragraph" w:customStyle="1" w:styleId="70">
    <w:name w:val="正文_2_1"/>
    <w:basedOn w:val="57"/>
    <w:autoRedefine/>
    <w:qFormat/>
    <w:uiPriority w:val="0"/>
    <w:pPr>
      <w:widowControl w:val="0"/>
      <w:jc w:val="both"/>
    </w:pPr>
    <w:rPr>
      <w:rFonts w:ascii="Calibri" w:hAnsi="Calibri"/>
      <w:kern w:val="2"/>
      <w:sz w:val="21"/>
      <w:szCs w:val="22"/>
      <w:lang w:val="en-US" w:eastAsia="zh-CN" w:bidi="ar-SA"/>
    </w:rPr>
  </w:style>
  <w:style w:type="paragraph" w:customStyle="1" w:styleId="71">
    <w:name w:val="正文文本_1_0"/>
    <w:basedOn w:val="69"/>
    <w:autoRedefine/>
    <w:qFormat/>
    <w:uiPriority w:val="99"/>
    <w:pPr>
      <w:adjustRightInd w:val="0"/>
      <w:spacing w:after="60" w:line="360" w:lineRule="atLeast"/>
      <w:ind w:left="72" w:leftChars="30" w:right="30" w:rightChars="30"/>
      <w:jc w:val="center"/>
      <w:textAlignment w:val="baseline"/>
    </w:pPr>
    <w:rPr>
      <w:rFonts w:ascii="Times New Roman" w:hAnsi="Times New Roman"/>
    </w:rPr>
  </w:style>
  <w:style w:type="character" w:customStyle="1" w:styleId="72">
    <w:name w:val="标题 3 Char"/>
    <w:link w:val="5"/>
    <w:autoRedefine/>
    <w:qFormat/>
    <w:uiPriority w:val="0"/>
    <w:rPr>
      <w:b/>
      <w:bCs/>
      <w:kern w:val="0"/>
      <w:sz w:val="32"/>
      <w:szCs w:val="32"/>
    </w:rPr>
  </w:style>
  <w:style w:type="character" w:customStyle="1" w:styleId="73">
    <w:name w:val="标题 4 Char"/>
    <w:link w:val="6"/>
    <w:autoRedefine/>
    <w:qFormat/>
    <w:uiPriority w:val="0"/>
    <w:rPr>
      <w:rFonts w:ascii="Arial" w:hAnsi="Arial" w:eastAsia="黑体"/>
      <w:kern w:val="0"/>
      <w:sz w:val="28"/>
      <w:szCs w:val="20"/>
    </w:rPr>
  </w:style>
  <w:style w:type="paragraph" w:customStyle="1" w:styleId="74">
    <w:name w:val="Char"/>
    <w:basedOn w:val="1"/>
    <w:qFormat/>
    <w:uiPriority w:val="0"/>
    <w:pPr>
      <w:widowControl/>
      <w:adjustRightInd w:val="0"/>
      <w:snapToGrid w:val="0"/>
      <w:spacing w:after="160" w:afterLines="0" w:line="240" w:lineRule="exact"/>
      <w:jc w:val="left"/>
    </w:pPr>
    <w:rPr>
      <w:szCs w:val="20"/>
    </w:rPr>
  </w:style>
  <w:style w:type="table" w:customStyle="1" w:styleId="75">
    <w:name w:val="Table Normal"/>
    <w:unhideWhenUsed/>
    <w:qFormat/>
    <w:uiPriority w:val="0"/>
    <w:tblPr>
      <w:tblCellMar>
        <w:top w:w="0" w:type="dxa"/>
        <w:left w:w="0" w:type="dxa"/>
        <w:bottom w:w="0" w:type="dxa"/>
        <w:right w:w="0" w:type="dxa"/>
      </w:tblCellMar>
    </w:tblPr>
  </w:style>
  <w:style w:type="paragraph" w:customStyle="1" w:styleId="76">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
    <w:name w:val="Table Text"/>
    <w:basedOn w:val="1"/>
    <w:qFormat/>
    <w:uiPriority w:val="0"/>
    <w:rPr>
      <w:rFonts w:ascii="Arial" w:hAnsi="Arial" w:eastAsia="Arial" w:cs="Arial"/>
      <w:szCs w:val="21"/>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wmf"/><Relationship Id="rId14" Type="http://schemas.openxmlformats.org/officeDocument/2006/relationships/oleObject" Target="embeddings/oleObject1.bin"/><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157</Pages>
  <Words>28066</Words>
  <Characters>30246</Characters>
  <Lines>0</Lines>
  <Paragraphs>0</Paragraphs>
  <TotalTime>2</TotalTime>
  <ScaleCrop>false</ScaleCrop>
  <LinksUpToDate>false</LinksUpToDate>
  <CharactersWithSpaces>33757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2021-02-01T03:14:00Z</dcterms:created>
  <dc:creator>Mrs.</dc:creator>
  <cp:lastModifiedBy>   </cp:lastModifiedBy>
  <cp:lastPrinted>2021-10-25T11:15:00Z</cp:lastPrinted>
  <dcterms:modified xsi:type="dcterms:W3CDTF">2026-08-03T10:02:48Z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AA5A787904F348C58335EA9F175B78A4_13</vt:lpwstr>
  </property>
  <property fmtid="{D5CDD505-2E9C-101B-9397-08002B2CF9AE}" pid="4" name="KSOTemplateDocerSaveRecord">
    <vt:lpwstr>eyJoZGlkIjoiYTdiMDYwZmI1MTM1YjJkMGRkM2UxMWUzNTM2ZTU5MTUiLCJ1c2VySWQiOiI2OTc5MDQ2MzMifQ==</vt:lpwstr>
  </property>
</Properties>
</file>