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0"/>
        <w:shd w:val="clear"/>
        <w:rPr>
          <w:rFonts w:hint="eastAsia" w:ascii="宋体" w:hAnsi="宋体" w:eastAsia="宋体" w:cs="宋体"/>
          <w:color w:val="auto"/>
          <w:kern w:val="0"/>
          <w:sz w:val="56"/>
          <w:szCs w:val="24"/>
          <w:highlight w:val="none"/>
        </w:rPr>
      </w:pPr>
    </w:p>
    <w:p w14:paraId="7089D3A6">
      <w:pPr>
        <w:pStyle w:val="30"/>
        <w:shd w:val="clear"/>
        <w:rPr>
          <w:rFonts w:hint="eastAsia" w:ascii="宋体" w:hAnsi="宋体" w:eastAsia="宋体" w:cs="宋体"/>
          <w:color w:val="auto"/>
          <w:kern w:val="0"/>
          <w:sz w:val="56"/>
          <w:szCs w:val="24"/>
          <w:highlight w:val="none"/>
        </w:rPr>
      </w:pPr>
    </w:p>
    <w:p w14:paraId="7D144AA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天等县都康乡降祥村布孟屯种植产业配套项目</w:t>
      </w:r>
    </w:p>
    <w:p w14:paraId="6240ECB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CZZC2026-C2-250043-GXCS</w:t>
      </w:r>
    </w:p>
    <w:p w14:paraId="19DCD503">
      <w:pPr>
        <w:pStyle w:val="30"/>
        <w:shd w:val="clear"/>
        <w:rPr>
          <w:rFonts w:hint="eastAsia" w:ascii="宋体" w:hAnsi="宋体" w:eastAsia="宋体" w:cs="宋体"/>
          <w:color w:val="auto"/>
          <w:highlight w:val="none"/>
        </w:rPr>
      </w:pPr>
    </w:p>
    <w:p w14:paraId="66B32579">
      <w:pPr>
        <w:pStyle w:val="30"/>
        <w:shd w:val="clear"/>
        <w:rPr>
          <w:rFonts w:hint="eastAsia" w:ascii="宋体" w:hAnsi="宋体" w:eastAsia="宋体" w:cs="宋体"/>
          <w:color w:val="auto"/>
          <w:highlight w:val="none"/>
        </w:rPr>
      </w:pPr>
    </w:p>
    <w:p w14:paraId="2F7CC738">
      <w:pPr>
        <w:pStyle w:val="30"/>
        <w:shd w:val="clear"/>
        <w:rPr>
          <w:rFonts w:hint="eastAsia" w:ascii="宋体" w:hAnsi="宋体" w:eastAsia="宋体" w:cs="宋体"/>
          <w:color w:val="auto"/>
          <w:highlight w:val="none"/>
        </w:rPr>
      </w:pPr>
    </w:p>
    <w:p w14:paraId="19CA78E1">
      <w:pPr>
        <w:pStyle w:val="30"/>
        <w:shd w:val="clear"/>
        <w:rPr>
          <w:rFonts w:hint="eastAsia" w:ascii="宋体" w:hAnsi="宋体" w:eastAsia="宋体" w:cs="宋体"/>
          <w:color w:val="auto"/>
          <w:highlight w:val="none"/>
        </w:rPr>
      </w:pPr>
    </w:p>
    <w:p w14:paraId="1B1ABC11">
      <w:pPr>
        <w:pStyle w:val="30"/>
        <w:shd w:val="clear"/>
        <w:rPr>
          <w:rFonts w:hint="eastAsia" w:ascii="宋体" w:hAnsi="宋体" w:eastAsia="宋体" w:cs="宋体"/>
          <w:color w:val="auto"/>
          <w:highlight w:val="none"/>
        </w:rPr>
      </w:pPr>
    </w:p>
    <w:p w14:paraId="4AF2E566">
      <w:pPr>
        <w:pStyle w:val="30"/>
        <w:shd w:val="clear"/>
        <w:rPr>
          <w:rFonts w:hint="eastAsia" w:ascii="宋体" w:hAnsi="宋体" w:eastAsia="宋体" w:cs="宋体"/>
          <w:color w:val="auto"/>
          <w:highlight w:val="none"/>
        </w:rPr>
      </w:pPr>
    </w:p>
    <w:p w14:paraId="5A40AC56">
      <w:pPr>
        <w:pStyle w:val="30"/>
        <w:shd w:val="clear"/>
        <w:rPr>
          <w:rFonts w:hint="eastAsia" w:ascii="宋体" w:hAnsi="宋体" w:eastAsia="宋体" w:cs="宋体"/>
          <w:color w:val="auto"/>
          <w:highlight w:val="none"/>
        </w:rPr>
      </w:pPr>
    </w:p>
    <w:p w14:paraId="1EEE7FB8">
      <w:pPr>
        <w:pStyle w:val="30"/>
        <w:shd w:val="clear"/>
        <w:rPr>
          <w:rFonts w:hint="eastAsia" w:ascii="宋体" w:hAnsi="宋体" w:eastAsia="宋体" w:cs="宋体"/>
          <w:color w:val="auto"/>
          <w:highlight w:val="none"/>
        </w:rPr>
      </w:pPr>
    </w:p>
    <w:p w14:paraId="22837BEF">
      <w:pPr>
        <w:pStyle w:val="30"/>
        <w:shd w:val="clear"/>
        <w:rPr>
          <w:rFonts w:hint="eastAsia" w:ascii="宋体" w:hAnsi="宋体" w:eastAsia="宋体" w:cs="宋体"/>
          <w:color w:val="auto"/>
          <w:highlight w:val="none"/>
        </w:rPr>
      </w:pPr>
    </w:p>
    <w:p w14:paraId="0CEFA26F">
      <w:pPr>
        <w:pStyle w:val="30"/>
        <w:shd w:val="clear"/>
        <w:rPr>
          <w:rFonts w:hint="eastAsia" w:ascii="宋体" w:hAnsi="宋体" w:eastAsia="宋体" w:cs="宋体"/>
          <w:color w:val="auto"/>
          <w:highlight w:val="none"/>
        </w:rPr>
      </w:pPr>
    </w:p>
    <w:p w14:paraId="4DF65FCA">
      <w:pPr>
        <w:pStyle w:val="30"/>
        <w:shd w:val="clear"/>
        <w:rPr>
          <w:rFonts w:hint="eastAsia" w:ascii="宋体" w:hAnsi="宋体" w:eastAsia="宋体" w:cs="宋体"/>
          <w:color w:val="auto"/>
          <w:highlight w:val="none"/>
        </w:rPr>
      </w:pPr>
    </w:p>
    <w:p w14:paraId="45DDFD86">
      <w:pPr>
        <w:pStyle w:val="30"/>
        <w:shd w:val="clear"/>
        <w:rPr>
          <w:rFonts w:hint="eastAsia" w:ascii="宋体" w:hAnsi="宋体" w:eastAsia="宋体" w:cs="宋体"/>
          <w:color w:val="auto"/>
          <w:highlight w:val="none"/>
        </w:rPr>
      </w:pPr>
    </w:p>
    <w:p w14:paraId="124AA72C">
      <w:pPr>
        <w:pStyle w:val="30"/>
        <w:shd w:val="clear"/>
        <w:rPr>
          <w:rFonts w:hint="eastAsia" w:ascii="宋体" w:hAnsi="宋体" w:eastAsia="宋体" w:cs="宋体"/>
          <w:color w:val="auto"/>
          <w:highlight w:val="none"/>
        </w:rPr>
      </w:pPr>
    </w:p>
    <w:p w14:paraId="29075631">
      <w:pPr>
        <w:pStyle w:val="30"/>
        <w:shd w:val="clear"/>
        <w:rPr>
          <w:rFonts w:hint="eastAsia" w:ascii="宋体" w:hAnsi="宋体" w:eastAsia="宋体" w:cs="宋体"/>
          <w:color w:val="auto"/>
          <w:highlight w:val="none"/>
        </w:rPr>
      </w:pPr>
    </w:p>
    <w:p w14:paraId="256F2A28">
      <w:pPr>
        <w:pStyle w:val="30"/>
        <w:shd w:val="clear"/>
        <w:rPr>
          <w:rFonts w:hint="eastAsia" w:ascii="宋体" w:hAnsi="宋体" w:eastAsia="宋体" w:cs="宋体"/>
          <w:color w:val="auto"/>
          <w:highlight w:val="none"/>
        </w:rPr>
      </w:pPr>
    </w:p>
    <w:p w14:paraId="7E1394C3">
      <w:pPr>
        <w:pStyle w:val="30"/>
        <w:shd w:val="clear"/>
        <w:rPr>
          <w:rFonts w:hint="eastAsia" w:ascii="宋体" w:hAnsi="宋体" w:eastAsia="宋体" w:cs="宋体"/>
          <w:color w:val="auto"/>
          <w:highlight w:val="none"/>
        </w:rPr>
      </w:pPr>
    </w:p>
    <w:p w14:paraId="2A8D8356">
      <w:pPr>
        <w:pStyle w:val="30"/>
        <w:shd w:val="clear"/>
        <w:rPr>
          <w:rFonts w:hint="eastAsia" w:ascii="宋体" w:hAnsi="宋体" w:eastAsia="宋体" w:cs="宋体"/>
          <w:color w:val="auto"/>
          <w:highlight w:val="none"/>
        </w:rPr>
      </w:pPr>
    </w:p>
    <w:p w14:paraId="5950464A">
      <w:pPr>
        <w:pStyle w:val="30"/>
        <w:shd w:val="clear"/>
        <w:rPr>
          <w:rFonts w:hint="eastAsia" w:ascii="宋体" w:hAnsi="宋体" w:eastAsia="宋体" w:cs="宋体"/>
          <w:color w:val="auto"/>
          <w:highlight w:val="none"/>
        </w:rPr>
      </w:pPr>
    </w:p>
    <w:p w14:paraId="56419EEC">
      <w:pPr>
        <w:pStyle w:val="30"/>
        <w:shd w:val="clear"/>
        <w:rPr>
          <w:rFonts w:hint="eastAsia" w:ascii="宋体" w:hAnsi="宋体" w:eastAsia="宋体" w:cs="宋体"/>
          <w:color w:val="auto"/>
          <w:kern w:val="0"/>
          <w:sz w:val="36"/>
          <w:szCs w:val="24"/>
          <w:highlight w:val="none"/>
        </w:rPr>
      </w:pPr>
    </w:p>
    <w:p w14:paraId="632DACE9">
      <w:pPr>
        <w:pStyle w:val="30"/>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2026年5月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天等县都康乡降祥村布孟屯种植产业配套项目（项目编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CZZC2026-C2-250043-GXCS）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天等县都康乡降祥村布孟屯种植产业配套项目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2026年5月18日15时00分（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35393629"/>
      <w:bookmarkStart w:id="5" w:name="_Toc28359012"/>
      <w:bookmarkStart w:id="6" w:name="_Toc28359089"/>
      <w:bookmarkStart w:id="7" w:name="_Toc35393798"/>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CZZC2026-C2-250043-GXCS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天等县都康乡降祥村布孟屯种植产业配套项目</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人民币壹佰贰拾陆万壹仟壹佰玖拾肆元陆角捌分（¥1261194.68）</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w:t>
      </w:r>
      <w:r>
        <w:rPr>
          <w:rFonts w:hint="eastAsia" w:ascii="Times New Roman" w:hAnsi="Times New Roman" w:cs="Times New Roman"/>
          <w:bCs w:val="0"/>
          <w:color w:val="auto"/>
          <w:spacing w:val="0"/>
          <w:sz w:val="21"/>
          <w:szCs w:val="21"/>
          <w:highlight w:val="none"/>
          <w:lang w:val="en-US" w:eastAsia="zh-CN" w:bidi="hi-IN"/>
        </w:rPr>
        <w:t>人民币壹佰贰拾陆万壹仟壹佰玖拾肆元陆角捌分（¥1261194.68）。</w:t>
      </w:r>
    </w:p>
    <w:p w14:paraId="7455E040">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olor w:val="auto"/>
          <w:sz w:val="21"/>
          <w:szCs w:val="21"/>
          <w:highlight w:val="none"/>
          <w:lang w:eastAsia="zh-CN"/>
        </w:rPr>
        <w:t>新建C20混凝土灌溉渠道14条，总长2.893公里，配套建设C25人行便桥、排水涵洞11座及渠道加固拉梁等设施；新建产业路总长0.71公里，路面宽3m、厚18cm的C25水泥混凝土面层，下设厚10cm碎石垫层，土路肩；同时增设项目公示牌和竣工牌各1个；具体以工程量清单和施工图上的内容为准</w:t>
      </w:r>
      <w:r>
        <w:rPr>
          <w:rFonts w:hint="eastAsia"/>
          <w:color w:val="auto"/>
          <w:sz w:val="21"/>
          <w:szCs w:val="21"/>
          <w:highlight w:val="none"/>
          <w:lang w:val="en-US" w:eastAsia="zh-CN"/>
        </w:rPr>
        <w:t>。</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150日历天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28359013"/>
      <w:bookmarkStart w:id="9" w:name="_Toc35393799"/>
      <w:bookmarkStart w:id="10" w:name="_Toc28359090"/>
      <w:bookmarkStart w:id="11" w:name="_Toc35393630"/>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800"/>
      <w:bookmarkStart w:id="15" w:name="_Toc35393631"/>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水利水电工程施工总承包三级及以上资质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水利水电工程专业二级及以上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2026年5月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日起至2026年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35393801"/>
      <w:bookmarkStart w:id="17" w:name="_Toc35393632"/>
      <w:bookmarkStart w:id="18" w:name="_Toc28359015"/>
      <w:bookmarkStart w:id="19" w:name="_Toc28359092"/>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2026年5月18日15时00分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28359016"/>
      <w:bookmarkStart w:id="21" w:name="_Toc28359093"/>
      <w:bookmarkStart w:id="22" w:name="_Toc35393633"/>
      <w:bookmarkStart w:id="23" w:name="_Toc35393802"/>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2026年5月18日15时00分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副会场在百色市右江区新兴路体育广场“恒升酒店”19楼</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35393803"/>
      <w:bookmarkStart w:id="25" w:name="_Toc28359017"/>
      <w:bookmarkStart w:id="26" w:name="_Toc28359094"/>
      <w:bookmarkStart w:id="27" w:name="_Toc35393634"/>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635"/>
      <w:bookmarkStart w:id="29" w:name="_Toc35393804"/>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636"/>
      <w:bookmarkStart w:id="31" w:name="_Toc35393805"/>
      <w:bookmarkStart w:id="32" w:name="_Toc28359095"/>
      <w:bookmarkStart w:id="33" w:name="_Toc28359018"/>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BA23830">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天等县</w:t>
      </w:r>
      <w:r>
        <w:rPr>
          <w:rFonts w:hint="eastAsia" w:ascii="宋体" w:hAnsi="宋体" w:cs="宋体"/>
          <w:color w:val="auto"/>
          <w:sz w:val="21"/>
          <w:szCs w:val="21"/>
          <w:highlight w:val="none"/>
          <w:lang w:eastAsia="zh-CN"/>
        </w:rPr>
        <w:t>财政局政府采购监督管理</w:t>
      </w:r>
      <w:r>
        <w:rPr>
          <w:rFonts w:hint="eastAsia" w:hAnsi="宋体" w:cs="宋体"/>
          <w:color w:val="auto"/>
          <w:sz w:val="21"/>
          <w:szCs w:val="21"/>
          <w:highlight w:val="none"/>
          <w:lang w:val="en-US" w:eastAsia="zh-CN"/>
        </w:rPr>
        <w:t>股</w:t>
      </w: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lang w:eastAsia="zh-CN"/>
        </w:rPr>
        <w:t>0771-3530890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920_WPSOffice_Level1"/>
      <w:bookmarkStart w:id="35" w:name="_Toc28812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000000"/>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000000"/>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10"/>
      <w:bookmarkStart w:id="37" w:name="_Toc28359087"/>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日期：2026年5月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w:t>
      </w:r>
    </w:p>
    <w:p w14:paraId="29884ABB">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pPr>
    </w:p>
    <w:p w14:paraId="1D22596E">
      <w:pPr>
        <w:pStyle w:val="33"/>
      </w:pPr>
    </w:p>
    <w:p w14:paraId="06D12C7B">
      <w:pPr>
        <w:pStyle w:val="34"/>
      </w:pPr>
    </w:p>
    <w:p w14:paraId="4089DA79">
      <w:pPr>
        <w:pStyle w:val="33"/>
      </w:pPr>
    </w:p>
    <w:p w14:paraId="1DD3A54C">
      <w:pPr>
        <w:pStyle w:val="34"/>
      </w:pPr>
    </w:p>
    <w:p w14:paraId="20EA8DFA">
      <w:pPr>
        <w:pStyle w:val="34"/>
      </w:pPr>
    </w:p>
    <w:p w14:paraId="35139FF7">
      <w:pPr>
        <w:pStyle w:val="33"/>
      </w:pPr>
    </w:p>
    <w:p w14:paraId="61ED7B63">
      <w:pPr>
        <w:pStyle w:val="34"/>
      </w:pPr>
    </w:p>
    <w:p w14:paraId="12816958">
      <w:pPr>
        <w:pStyle w:val="34"/>
      </w:pPr>
    </w:p>
    <w:p w14:paraId="0FE4319B">
      <w:pPr>
        <w:pStyle w:val="33"/>
      </w:pPr>
    </w:p>
    <w:p w14:paraId="3D410879">
      <w:pPr>
        <w:pStyle w:val="33"/>
        <w:rPr>
          <w:highlight w:val="none"/>
        </w:rPr>
      </w:pPr>
    </w:p>
    <w:p w14:paraId="1D33C113">
      <w:pPr>
        <w:pStyle w:val="33"/>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天等县都康乡降祥村布孟屯种植产业配套项目；</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CZZC2026-C2-250043-GXCS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天等县都康乡降祥村布孟屯</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人民币壹佰贰拾陆万壹仟壹佰玖拾肆元陆角捌分（¥1261194.68）</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新建C20混凝土灌溉渠道14条，总长2.893公里，配套建设C25人行便桥、排水涵洞11座及渠道加固拉梁等设施；新建产业路总长0.71公里，路面宽3m、厚18cm的C25水泥混凝土面层，下设厚10cm碎石垫层，土路肩；同时增设项目公示牌和竣工牌各1个；具体以工程量清单和施工图上的内容为准。</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水利水电工程施工总承包三级及以上资质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水利水电工程专业二级及以上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其中安责险暂估价，材料暂估价，暂列金属于固定报价，否则竞标无效。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▲未传输递交电子响应文件的，竞标无效。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提供相应的备份响应文件，造成项目开评标活动无法进行下去的，竞标无效。</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2026年5月18日15时00分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w:t>
            </w:r>
            <w:r>
              <w:rPr>
                <w:rFonts w:hint="eastAsia" w:cs="Times New Roman"/>
                <w:color w:val="auto"/>
                <w:sz w:val="21"/>
                <w:szCs w:val="21"/>
                <w:highlight w:val="none"/>
                <w:lang w:eastAsia="zh-CN"/>
              </w:rPr>
              <w:t>百色市右江区新兴路体育广场“恒升酒店”19楼</w:t>
            </w:r>
            <w:r>
              <w:rPr>
                <w:rFonts w:hint="eastAsia" w:ascii="Times New Roman" w:hAnsi="Times New Roman" w:eastAsia="宋体" w:cs="Times New Roman"/>
                <w:color w:val="auto"/>
                <w:sz w:val="21"/>
                <w:szCs w:val="21"/>
                <w:highlight w:val="none"/>
                <w:lang w:eastAsia="zh-CN"/>
              </w:rPr>
              <w:t>。</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2026年5月18日15时00分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开标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B7FBA3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w:t>
            </w: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lang w:eastAsia="zh-CN"/>
              </w:rPr>
              <w:t>原发改办价格〔2003〕857号、原发改价格〔2011〕534号按照标准进行收取。由成交供应商在领取成交通知书前，向采购代理机构一次性支付。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default" w:ascii="宋体" w:hAnsi="宋体" w:eastAsia="宋体" w:cs="宋体"/>
                <w:color w:val="0057FF"/>
                <w:sz w:val="21"/>
                <w:szCs w:val="21"/>
              </w:rPr>
              <w:t>https://www.gcy.zfcg.gxzf.gov.cn/</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4"/>
        <w:rPr>
          <w:color w:val="auto"/>
          <w:highlight w:val="none"/>
        </w:rPr>
      </w:pP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37D15C18">
      <w:pPr>
        <w:pStyle w:val="34"/>
        <w:shd w:val="clear"/>
        <w:rPr>
          <w:color w:val="auto"/>
          <w:highlight w:val="none"/>
        </w:rPr>
      </w:pPr>
    </w:p>
    <w:p w14:paraId="5E2BA90B">
      <w:pPr>
        <w:pStyle w:val="33"/>
        <w:shd w:val="clear"/>
        <w:spacing w:line="360" w:lineRule="auto"/>
        <w:rPr>
          <w:rFonts w:ascii="宋体" w:hAnsi="宋体"/>
          <w:color w:val="auto"/>
          <w:szCs w:val="21"/>
          <w:highlight w:val="none"/>
        </w:rPr>
      </w:pPr>
    </w:p>
    <w:p w14:paraId="3CC3A330">
      <w:pPr>
        <w:pStyle w:val="33"/>
        <w:shd w:val="clear"/>
        <w:spacing w:line="360" w:lineRule="auto"/>
        <w:rPr>
          <w:rFonts w:ascii="宋体" w:hAnsi="宋体"/>
          <w:b/>
          <w:color w:val="auto"/>
          <w:sz w:val="32"/>
          <w:szCs w:val="32"/>
          <w:highlight w:val="none"/>
        </w:rPr>
      </w:pPr>
    </w:p>
    <w:p w14:paraId="1A9D3E5E">
      <w:pPr>
        <w:pStyle w:val="33"/>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3"/>
        <w:shd w:val="clear"/>
        <w:spacing w:line="360" w:lineRule="auto"/>
        <w:jc w:val="center"/>
        <w:rPr>
          <w:rFonts w:ascii="宋体" w:hAnsi="宋体"/>
          <w:b/>
          <w:color w:val="auto"/>
          <w:sz w:val="32"/>
          <w:szCs w:val="32"/>
          <w:highlight w:val="none"/>
        </w:rPr>
      </w:pPr>
    </w:p>
    <w:p w14:paraId="7803AC09">
      <w:pPr>
        <w:pStyle w:val="13"/>
        <w:shd w:val="clear"/>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cs="宋体"/>
          <w:color w:val="auto"/>
          <w:kern w:val="0"/>
          <w:sz w:val="22"/>
          <w:highlight w:val="none"/>
          <w:lang w:eastAsia="zh-CN"/>
        </w:rPr>
        <w:t>有关</w:t>
      </w:r>
      <w:r>
        <w:rPr>
          <w:rFonts w:hint="eastAsia" w:ascii="宋体" w:hAnsi="宋体" w:cs="宋体"/>
          <w:color w:val="auto"/>
          <w:sz w:val="22"/>
          <w:szCs w:val="21"/>
          <w:highlight w:val="none"/>
        </w:rPr>
        <w:t>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3"/>
        <w:shd w:val="clear"/>
        <w:spacing w:line="360" w:lineRule="auto"/>
        <w:jc w:val="center"/>
        <w:rPr>
          <w:b/>
          <w:color w:val="auto"/>
          <w:sz w:val="32"/>
          <w:szCs w:val="32"/>
          <w:highlight w:val="none"/>
        </w:rPr>
      </w:pP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3"/>
        <w:shd w:val="clear"/>
        <w:rPr>
          <w:b/>
          <w:color w:val="auto"/>
          <w:sz w:val="32"/>
          <w:szCs w:val="32"/>
          <w:highlight w:val="none"/>
        </w:rPr>
      </w:pPr>
    </w:p>
    <w:p w14:paraId="26C9861B">
      <w:pPr>
        <w:pStyle w:val="34"/>
        <w:shd w:val="clear"/>
        <w:rPr>
          <w:color w:val="auto"/>
          <w:sz w:val="32"/>
          <w:szCs w:val="32"/>
          <w:highlight w:val="none"/>
        </w:rPr>
      </w:pPr>
    </w:p>
    <w:p w14:paraId="46173E44">
      <w:pPr>
        <w:pStyle w:val="33"/>
        <w:shd w:val="clear"/>
        <w:rPr>
          <w:b/>
          <w:color w:val="auto"/>
          <w:sz w:val="32"/>
          <w:szCs w:val="32"/>
          <w:highlight w:val="none"/>
        </w:rPr>
      </w:pPr>
    </w:p>
    <w:p w14:paraId="782D144F">
      <w:pPr>
        <w:pStyle w:val="33"/>
        <w:shd w:val="clear"/>
        <w:rPr>
          <w:b/>
          <w:color w:val="auto"/>
          <w:sz w:val="32"/>
          <w:szCs w:val="32"/>
          <w:highlight w:val="none"/>
        </w:rPr>
      </w:pPr>
    </w:p>
    <w:p w14:paraId="7A7EF969">
      <w:pPr>
        <w:pStyle w:val="34"/>
        <w:shd w:val="clear"/>
        <w:rPr>
          <w:color w:val="auto"/>
          <w:highlight w:val="none"/>
        </w:rPr>
      </w:pPr>
    </w:p>
    <w:p w14:paraId="238D5AF5">
      <w:pPr>
        <w:pStyle w:val="33"/>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255977433"/>
      <w:bookmarkStart w:id="43" w:name="_Toc18079"/>
      <w:bookmarkStart w:id="44" w:name="_Toc29414"/>
      <w:bookmarkStart w:id="45" w:name="_Toc247292436"/>
      <w:bookmarkStart w:id="46" w:name="_Toc243630952"/>
      <w:bookmarkStart w:id="47" w:name="_Toc24704"/>
      <w:bookmarkStart w:id="48" w:name="_Toc28199"/>
      <w:bookmarkStart w:id="49" w:name="_Toc243584342"/>
      <w:bookmarkStart w:id="50" w:name="_Toc247301829"/>
      <w:bookmarkStart w:id="51" w:name="_Toc193089296"/>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lang w:eastAsia="zh-CN"/>
        </w:rPr>
        <w:t>供应商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lang w:eastAsia="zh-CN"/>
        </w:rPr>
        <w:t>供应商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cs="宋体"/>
          <w:color w:val="auto"/>
          <w:kern w:val="0"/>
          <w:sz w:val="24"/>
          <w:szCs w:val="21"/>
          <w:highlight w:val="none"/>
          <w:lang w:eastAsia="zh-CN"/>
        </w:rPr>
        <w:t>供应商</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cs="宋体"/>
          <w:color w:val="auto"/>
          <w:kern w:val="0"/>
          <w:sz w:val="24"/>
          <w:szCs w:val="21"/>
          <w:highlight w:val="none"/>
          <w:lang w:eastAsia="zh-CN"/>
        </w:rPr>
        <w:t>供应商</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工业和信息化部国家统计局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国家发展和改革委员会财政部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24872"/>
      <w:bookmarkStart w:id="56" w:name="_Toc24800"/>
      <w:bookmarkStart w:id="57" w:name="_Toc16635"/>
      <w:bookmarkStart w:id="58" w:name="_Toc255977446"/>
      <w:bookmarkStart w:id="59" w:name="_Toc247301841"/>
      <w:bookmarkStart w:id="60" w:name="_Toc247292448"/>
      <w:bookmarkStart w:id="61" w:name="_Toc243584363"/>
      <w:bookmarkStart w:id="62" w:name="_Toc243630963"/>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11962"/>
      <w:bookmarkStart w:id="64" w:name="_Toc2585"/>
      <w:bookmarkStart w:id="65" w:name="_Toc27920"/>
      <w:bookmarkStart w:id="66" w:name="_Toc27322"/>
      <w:bookmarkStart w:id="67" w:name="_Toc247292449"/>
      <w:bookmarkStart w:id="68" w:name="_Toc247301842"/>
      <w:bookmarkStart w:id="69" w:name="_Toc255977447"/>
      <w:bookmarkStart w:id="70" w:name="_Toc32493"/>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8065"/>
            <w:bookmarkStart w:id="74" w:name="_Toc243584368"/>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4027"/>
            <w:bookmarkStart w:id="76" w:name="_Toc243584369"/>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43584370"/>
            <w:bookmarkStart w:id="78"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lang w:eastAsia="zh-CN"/>
        </w:rPr>
        <w:t>供应商</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                   标准</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单位地址：</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u w:val="single"/>
          <w:lang w:val="en-US" w:eastAsia="zh-CN"/>
        </w:rPr>
        <w:t xml:space="preserve">                   </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传真：</w:t>
      </w:r>
      <w:r>
        <w:rPr>
          <w:rFonts w:hint="eastAsia" w:ascii="宋体" w:hAnsi="宋体" w:cs="宋体"/>
          <w:color w:val="auto"/>
          <w:kern w:val="0"/>
          <w:sz w:val="21"/>
          <w:szCs w:val="22"/>
          <w:highlight w:val="none"/>
          <w:u w:val="single"/>
          <w:lang w:val="en-US" w:eastAsia="zh-CN"/>
        </w:rPr>
        <w:t xml:space="preserve">                   </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r>
        <w:rPr>
          <w:rFonts w:hint="eastAsia" w:ascii="宋体" w:hAnsi="宋体" w:cs="宋体"/>
          <w:color w:val="auto"/>
          <w:kern w:val="0"/>
          <w:sz w:val="21"/>
          <w:szCs w:val="22"/>
          <w:highlight w:val="none"/>
          <w:u w:val="single"/>
          <w:lang w:val="en-US" w:eastAsia="zh-CN"/>
        </w:rPr>
        <w:t xml:space="preserve">                   </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r>
        <w:rPr>
          <w:rFonts w:hint="eastAsia" w:ascii="宋体" w:hAnsi="宋体" w:cs="宋体"/>
          <w:color w:val="auto"/>
          <w:kern w:val="0"/>
          <w:sz w:val="21"/>
          <w:szCs w:val="22"/>
          <w:highlight w:val="none"/>
          <w:u w:val="single"/>
          <w:lang w:val="en-US" w:eastAsia="zh-CN"/>
        </w:rPr>
        <w:t xml:space="preserve">                   </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r>
        <w:rPr>
          <w:rFonts w:hint="eastAsia" w:ascii="宋体" w:hAnsi="宋体" w:cs="宋体"/>
          <w:color w:val="auto"/>
          <w:kern w:val="0"/>
          <w:sz w:val="21"/>
          <w:szCs w:val="22"/>
          <w:highlight w:val="none"/>
          <w:u w:val="single"/>
          <w:lang w:val="en-US" w:eastAsia="zh-CN"/>
        </w:rPr>
        <w:t xml:space="preserve">                   </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79" w:name="_Toc514605589"/>
      <w:bookmarkStart w:id="80" w:name="_Toc1106"/>
      <w:bookmarkStart w:id="81" w:name="_Toc514605322"/>
      <w:bookmarkStart w:id="82" w:name="_Toc31318"/>
      <w:bookmarkStart w:id="83" w:name="_Toc514606977"/>
      <w:bookmarkStart w:id="84" w:name="_Toc514607588"/>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r w14:paraId="30E5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7908DE8">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eastAsia" w:ascii="宋体" w:hAnsi="宋体" w:cs="宋体"/>
                <w:color w:val="auto"/>
                <w:kern w:val="0"/>
                <w:sz w:val="21"/>
                <w:szCs w:val="22"/>
                <w:highlight w:val="none"/>
                <w:lang w:val="en-US" w:eastAsia="zh-CN"/>
              </w:rPr>
            </w:pPr>
          </w:p>
        </w:tc>
        <w:tc>
          <w:tcPr>
            <w:tcW w:w="2145" w:type="dxa"/>
            <w:vAlign w:val="center"/>
          </w:tcPr>
          <w:p w14:paraId="549A094B">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1854" w:type="dxa"/>
            <w:vAlign w:val="center"/>
          </w:tcPr>
          <w:p w14:paraId="0B0B702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00CD9FC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6EF5AA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1FDEE3AF">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ascii="宋体" w:hAnsi="宋体" w:eastAsia="宋体"/>
          <w:color w:val="auto"/>
          <w:sz w:val="21"/>
          <w:szCs w:val="22"/>
          <w:highlight w:val="none"/>
          <w:lang w:eastAsia="zh-CN"/>
        </w:rPr>
      </w:pPr>
      <w:r>
        <w:rPr>
          <w:rFonts w:hint="eastAsia"/>
          <w:color w:val="auto"/>
          <w:sz w:val="21"/>
          <w:szCs w:val="22"/>
          <w:highlight w:val="none"/>
        </w:rPr>
        <w:t>法定代表人</w:t>
      </w:r>
      <w:r>
        <w:rPr>
          <w:rFonts w:hint="eastAsia" w:ascii="宋体" w:hAnsi="宋体" w:eastAsia="宋体"/>
          <w:color w:val="auto"/>
          <w:sz w:val="21"/>
          <w:szCs w:val="22"/>
          <w:highlight w:val="none"/>
        </w:rPr>
        <w:t>(负责人、自然人)或相应的委托代理人签字（</w:t>
      </w:r>
      <w:r>
        <w:rPr>
          <w:rFonts w:hint="eastAsia" w:ascii="宋体" w:hAnsi="宋体" w:eastAsia="宋体"/>
          <w:color w:val="auto"/>
          <w:sz w:val="21"/>
          <w:szCs w:val="22"/>
          <w:highlight w:val="none"/>
          <w:lang w:eastAsia="zh-CN"/>
        </w:rPr>
        <w:t>签字或盖</w:t>
      </w:r>
      <w:r>
        <w:rPr>
          <w:rFonts w:hint="eastAsia" w:ascii="宋体" w:hAnsi="宋体" w:eastAsia="宋体"/>
          <w:color w:val="auto"/>
          <w:sz w:val="21"/>
          <w:szCs w:val="22"/>
          <w:highlight w:val="none"/>
        </w:rPr>
        <w:t>章）:</w:t>
      </w:r>
    </w:p>
    <w:p w14:paraId="45D5CBA8">
      <w:pPr>
        <w:pStyle w:val="13"/>
        <w:shd w:val="clear"/>
        <w:spacing w:line="360" w:lineRule="auto"/>
        <w:rPr>
          <w:color w:val="auto"/>
          <w:sz w:val="21"/>
          <w:szCs w:val="22"/>
          <w:highlight w:val="none"/>
        </w:rPr>
      </w:pPr>
      <w:r>
        <w:rPr>
          <w:rFonts w:hint="eastAsia" w:ascii="宋体" w:hAnsi="宋体" w:eastAsia="宋体"/>
          <w:color w:val="auto"/>
          <w:sz w:val="21"/>
          <w:szCs w:val="22"/>
          <w:highlight w:val="none"/>
          <w:lang w:val="en-US" w:eastAsia="zh-CN"/>
        </w:rPr>
        <w:t>供应商</w:t>
      </w:r>
      <w:r>
        <w:rPr>
          <w:rFonts w:hint="eastAsia" w:ascii="宋体" w:hAnsi="宋体" w:eastAsia="宋体"/>
          <w:color w:val="auto"/>
          <w:sz w:val="21"/>
          <w:szCs w:val="22"/>
          <w:highlight w:val="none"/>
        </w:rPr>
        <w:t>（</w:t>
      </w:r>
      <w:r>
        <w:rPr>
          <w:rFonts w:hint="eastAsia" w:ascii="宋体" w:hAnsi="宋体" w:eastAsia="宋体"/>
          <w:color w:val="auto"/>
          <w:sz w:val="21"/>
          <w:szCs w:val="22"/>
          <w:highlight w:val="none"/>
          <w:lang w:eastAsia="zh-CN"/>
        </w:rPr>
        <w:t>盖</w:t>
      </w:r>
      <w:r>
        <w:rPr>
          <w:rFonts w:hint="eastAsia" w:ascii="宋体" w:hAnsi="宋体" w:eastAsia="宋体"/>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5" w:name="_Toc32185"/>
      <w:bookmarkStart w:id="86" w:name="_Toc514605323"/>
      <w:bookmarkStart w:id="87" w:name="_Toc514606978"/>
      <w:bookmarkStart w:id="88" w:name="_Toc514605590"/>
      <w:bookmarkStart w:id="89" w:name="_Toc435"/>
      <w:bookmarkStart w:id="90" w:name="_Toc514607589"/>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lang w:eastAsia="zh-CN"/>
        </w:rPr>
        <w:t>供应商</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502737803"/>
      <w:bookmarkEnd w:id="91"/>
      <w:bookmarkStart w:id="92" w:name="_Toc392941016"/>
      <w:bookmarkEnd w:id="92"/>
      <w:bookmarkStart w:id="93" w:name="_Toc458689680"/>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16105"/>
      <w:bookmarkStart w:id="95" w:name="_Toc22137"/>
      <w:bookmarkStart w:id="96" w:name="_Toc2349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9540"/>
      <w:bookmarkStart w:id="98" w:name="_Toc13855"/>
      <w:bookmarkStart w:id="99" w:name="_Toc9157"/>
      <w:r>
        <w:rPr>
          <w:rFonts w:hint="eastAsia" w:ascii="宋体" w:hAnsi="宋体" w:eastAsia="宋体" w:cs="宋体"/>
          <w:color w:val="auto"/>
          <w:kern w:val="0"/>
          <w:highlight w:val="none"/>
        </w:rPr>
        <w:t>封面格式</w:t>
      </w:r>
      <w:bookmarkEnd w:id="97"/>
      <w:bookmarkEnd w:id="98"/>
      <w:bookmarkEnd w:id="99"/>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rPr>
              <w:t>：</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lang w:eastAsia="zh-CN"/>
        </w:rPr>
        <w:t>供应商</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）供应商</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lang w:eastAsia="zh-CN"/>
        </w:rPr>
        <w:t>供应商</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lang w:eastAsia="zh-CN"/>
        </w:rPr>
        <w:t>供应商</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5" w:name="_Toc172364025"/>
      <w:bookmarkStart w:id="106" w:name="_Toc251052184"/>
      <w:bookmarkStart w:id="107" w:name="_Toc153274947"/>
      <w:bookmarkStart w:id="108" w:name="_Toc173579005"/>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2" w:name="_Toc172364026"/>
      <w:bookmarkStart w:id="123" w:name="_Toc389065364"/>
      <w:bookmarkStart w:id="124" w:name="_Toc153274948"/>
      <w:bookmarkStart w:id="125" w:name="_Toc173579006"/>
      <w:bookmarkStart w:id="126" w:name="_Toc7001"/>
      <w:bookmarkStart w:id="127" w:name="_Toc251052200"/>
      <w:r>
        <w:rPr>
          <w:b/>
          <w:color w:val="auto"/>
          <w:sz w:val="24"/>
          <w:highlight w:val="none"/>
        </w:rPr>
        <w:t>2、项目经理（注册建造师）简历表</w:t>
      </w:r>
      <w:bookmarkEnd w:id="122"/>
      <w:bookmarkEnd w:id="123"/>
      <w:bookmarkEnd w:id="124"/>
      <w:bookmarkEnd w:id="125"/>
      <w:bookmarkEnd w:id="126"/>
      <w:bookmarkEnd w:id="127"/>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28" w:name="_Toc172364027"/>
      <w:bookmarkStart w:id="129" w:name="_Toc173579007"/>
      <w:bookmarkStart w:id="130" w:name="_Toc153274949"/>
      <w:bookmarkStart w:id="131" w:name="_Toc389065365"/>
      <w:bookmarkStart w:id="132" w:name="_Toc8504"/>
      <w:bookmarkStart w:id="133" w:name="_Toc251052219"/>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3182" w:hangingChars="800"/>
        <w:jc w:val="center"/>
        <w:rPr>
          <w:rFonts w:hint="eastAsia" w:ascii="宋体" w:hAnsi="宋体" w:eastAsia="宋体" w:cs="宋体"/>
          <w:b/>
          <w:bCs/>
          <w:color w:val="auto"/>
          <w:spacing w:val="6"/>
          <w:w w:val="100"/>
          <w:sz w:val="44"/>
          <w:szCs w:val="44"/>
          <w:u w:val="none"/>
          <w14:textOutline w14:w="8988" w14:cap="sq" w14:cmpd="sng">
            <w14:solidFill>
              <w14:srgbClr w14:val="000000"/>
            </w14:solidFill>
            <w14:prstDash w14:val="solid"/>
            <w14:bevel/>
          </w14:textOutline>
        </w:rPr>
      </w:pPr>
      <w:r>
        <w:rPr>
          <w:rFonts w:hint="eastAsia" w:ascii="宋体" w:hAnsi="宋体" w:cs="宋体"/>
          <w:b/>
          <w:bCs/>
          <w:color w:val="auto"/>
          <w:w w:val="90"/>
          <w:sz w:val="44"/>
          <w:szCs w:val="44"/>
          <w:u w:val="none"/>
          <w:lang w:eastAsia="zh-CN"/>
        </w:rPr>
        <w:t>天等县都康乡降祥村布孟屯种植产业配套项目</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eastAsia" w:ascii="宋体" w:hAnsi="宋体" w:eastAsia="宋体" w:cs="宋体"/>
          <w:b/>
          <w:bCs/>
          <w:color w:val="auto"/>
          <w:spacing w:val="-8"/>
          <w:w w:val="100"/>
          <w:sz w:val="28"/>
          <w:szCs w:val="28"/>
          <w:u w:val="single" w:color="auto"/>
          <w:lang w:val="en-US" w:eastAsia="zh-CN"/>
        </w:rPr>
      </w:pPr>
      <w:r>
        <w:rPr>
          <w:rFonts w:hint="eastAsia" w:ascii="宋体" w:hAnsi="宋体" w:eastAsia="宋体" w:cs="宋体"/>
          <w:b/>
          <w:bCs/>
          <w:color w:val="auto"/>
          <w:spacing w:val="6"/>
          <w:w w:val="100"/>
          <w:sz w:val="28"/>
          <w:szCs w:val="28"/>
        </w:rPr>
        <w:t>项目名称：</w:t>
      </w:r>
      <w:r>
        <w:rPr>
          <w:rFonts w:hint="eastAsia" w:ascii="宋体" w:hAnsi="宋体" w:cs="宋体"/>
          <w:b/>
          <w:bCs/>
          <w:color w:val="auto"/>
          <w:spacing w:val="-8"/>
          <w:sz w:val="28"/>
          <w:szCs w:val="28"/>
          <w:u w:val="single" w:color="auto"/>
          <w:lang w:val="en-US" w:eastAsia="zh-CN"/>
        </w:rPr>
        <w:t>天等县都康乡降祥村布孟屯种植产业配套项目</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w:t>
      </w:r>
      <w:r>
        <w:rPr>
          <w:rFonts w:hint="eastAsia" w:ascii="宋体" w:hAnsi="宋体" w:cs="宋体"/>
          <w:color w:val="auto"/>
          <w:spacing w:val="6"/>
          <w:w w:val="100"/>
          <w:sz w:val="21"/>
          <w:szCs w:val="21"/>
          <w:lang w:eastAsia="zh-CN"/>
        </w:rPr>
        <w:t>地</w:t>
      </w:r>
      <w:r>
        <w:rPr>
          <w:rFonts w:hint="eastAsia" w:ascii="宋体" w:hAnsi="宋体" w:eastAsia="宋体" w:cs="宋体"/>
          <w:color w:val="auto"/>
          <w:spacing w:val="6"/>
          <w:w w:val="100"/>
          <w:sz w:val="21"/>
          <w:szCs w:val="21"/>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u w:val="single"/>
          <w:lang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eastAsia="zh-CN"/>
        </w:rPr>
        <w:t>天等县都康乡降祥村布孟屯种植产业配套项目</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天等县都康乡降祥村布孟屯</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新建C20混凝土灌溉渠道14条，总长2.893公里，配套建设C25人行便桥、排水涵洞11座及渠道加固拉梁等设施；新建产业路总长0.71公里，路面宽3m、厚18cm的C25水泥混凝土面层，下设厚10cm碎石垫层，土路肩；同时增设项目公示牌和竣工牌各1个；具体以工程量清单和施工图上的内容为准</w:t>
      </w:r>
      <w:r>
        <w:rPr>
          <w:rFonts w:hint="eastAsia" w:ascii="宋体" w:hAnsi="宋体" w:eastAsia="宋体" w:cs="宋体"/>
          <w:color w:val="auto"/>
          <w:spacing w:val="6"/>
          <w:sz w:val="21"/>
          <w:szCs w:val="21"/>
          <w:u w:val="single"/>
          <w:lang w:val="en-US" w:eastAsia="zh-CN" w:bidi="hi-IN"/>
        </w:rPr>
        <w:t>。</w:t>
      </w:r>
    </w:p>
    <w:p w14:paraId="74208FD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11431F2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6288036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1FF0AC2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0593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1F0148D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357AA70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施工技术组织管理报告（另册）；</w:t>
      </w:r>
    </w:p>
    <w:p w14:paraId="08C4778F">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27537F83">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010F0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0B81144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w w:val="100"/>
          <w:kern w:val="0"/>
          <w:sz w:val="21"/>
          <w:szCs w:val="21"/>
          <w:lang w:eastAsia="zh-CN"/>
        </w:rPr>
        <w:t>工程款支付均以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67B48C94">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6DBF428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754D5C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35A4C70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150日历天（实际以监理公司或甲方发出书面通知确定开工之日起计算****日历天）</w:t>
      </w:r>
      <w:r>
        <w:rPr>
          <w:rFonts w:hint="eastAsia" w:ascii="宋体" w:hAnsi="宋体" w:eastAsia="宋体" w:cs="宋体"/>
          <w:color w:val="auto"/>
          <w:spacing w:val="6"/>
          <w:w w:val="100"/>
          <w:sz w:val="21"/>
          <w:szCs w:val="21"/>
        </w:rPr>
        <w:t>。</w:t>
      </w:r>
    </w:p>
    <w:p w14:paraId="486F04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09DB2F32">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96BA3D5">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3BD9F6E">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3BE6EA4">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2582D3E0">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A67033D">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6B6A36F6">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967B67D">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3E602CAD">
      <w:pPr>
        <w:pStyle w:val="47"/>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30A488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40EA0EB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08A8183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AFA93C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55F447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1C7CF0C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6294C58B">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6319539B">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6323B5E0">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77C899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4A74D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32E8D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5684A98C">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15FFEBDD">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59462D97">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74C50BA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132C0A7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14828925">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241A652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3BAADB48">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0281416C">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投标文件、国务院令712号文件、《建设工程工程量清单计价规范》（GB50500-2013）、《建设工程施工合同（示范文本）GF-2017-0201》、国家最新规范、规定、标准执行或另行签订补充协议。补充协议是合同的组成部分。</w:t>
      </w:r>
    </w:p>
    <w:p w14:paraId="6C85AC04">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5" w:name="_Toc516566872"/>
      <w:bookmarkStart w:id="136" w:name="_Toc459738629"/>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5"/>
      <w:bookmarkEnd w:id="136"/>
      <w:r>
        <w:rPr>
          <w:rFonts w:hint="eastAsia" w:ascii="宋体" w:hAnsi="宋体" w:eastAsia="宋体" w:cs="宋体"/>
          <w:b w:val="0"/>
          <w:bCs/>
          <w:color w:val="auto"/>
          <w:w w:val="100"/>
          <w:kern w:val="0"/>
          <w:sz w:val="22"/>
          <w:szCs w:val="22"/>
        </w:rPr>
        <w:t>及附件</w:t>
      </w:r>
    </w:p>
    <w:p w14:paraId="28022BB6">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月</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日</w:t>
      </w:r>
    </w:p>
    <w:p w14:paraId="46FD41E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4ECAD6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38217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5759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C9AE2A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33F31D7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183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05E9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DAB9E4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12AE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CEA57D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2CD9B55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5CA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0CBA04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77644C7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2F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FD2A0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0AE8AD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D4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9E809A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00AAF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280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94A9B3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54B555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B2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8EB94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0A94742">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6F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AC0A8B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2DE32FB0">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629B40EB">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AA3DBE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30E4C8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66CECF1">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3557FB4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1CC6EFC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天等县都康乡降祥村布孟屯种植产业配套项目</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3FDB25B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17FA218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44C1EE1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工程质量保修范围包括以及双方约定的其他项目工程。具体保修的内容，双方约定如下：</w:t>
      </w:r>
      <w:r>
        <w:rPr>
          <w:rFonts w:hint="eastAsia" w:ascii="宋体" w:hAnsi="宋体" w:eastAsia="宋体" w:cs="宋体"/>
          <w:color w:val="auto"/>
          <w:spacing w:val="6"/>
          <w:w w:val="100"/>
          <w:position w:val="19"/>
          <w:sz w:val="21"/>
          <w:szCs w:val="21"/>
          <w:u w:val="single"/>
        </w:rPr>
        <w:t>按有关规范、环境保护设施及设备、规定执行</w:t>
      </w:r>
      <w:r>
        <w:rPr>
          <w:rFonts w:hint="eastAsia" w:ascii="宋体" w:hAnsi="宋体" w:eastAsia="宋体" w:cs="宋体"/>
          <w:color w:val="auto"/>
          <w:spacing w:val="6"/>
          <w:w w:val="100"/>
          <w:position w:val="19"/>
          <w:sz w:val="21"/>
          <w:szCs w:val="21"/>
        </w:rPr>
        <w:t>。</w:t>
      </w:r>
    </w:p>
    <w:p w14:paraId="31BC97D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7B6DEE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7704BB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44A32B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3956138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764E8E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5181B5F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976791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0672D91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46A3BA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54BA4CE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5D8C420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2C3734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41A3B04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2C596F7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7CBF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69" w:type="dxa"/>
          </w:tcPr>
          <w:p w14:paraId="353703ED">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594E5BF3">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34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5AB0C6A0">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70D578B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85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2BE9DDE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092C4875">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6145F3D4">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5F34B836">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40163FE7">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365CE49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15D3365F">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85AE44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u w:val="single"/>
        </w:rPr>
        <w:t>（以下简称“甲方”）</w:t>
      </w:r>
    </w:p>
    <w:p w14:paraId="69F9548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rPr>
        <w:t>：</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（以下简称“乙方”）</w:t>
      </w:r>
    </w:p>
    <w:p w14:paraId="7EEFDBC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694BDB41">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17DE9352">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413E369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天等县都康乡降祥村布孟屯种植产业配套项目</w:t>
      </w:r>
      <w:r>
        <w:rPr>
          <w:rFonts w:hint="eastAsia" w:ascii="宋体" w:hAnsi="宋体" w:eastAsia="宋体" w:cs="宋体"/>
          <w:color w:val="auto"/>
          <w:spacing w:val="6"/>
          <w:w w:val="100"/>
          <w:sz w:val="21"/>
          <w:szCs w:val="21"/>
        </w:rPr>
        <w:t>合同标段合同文件，自觉按合同办事。</w:t>
      </w:r>
    </w:p>
    <w:p w14:paraId="15D006BA">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09F49FD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689668A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095CF331">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35C8850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30E3D62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3F42304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32C46EE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4DD821C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0A088D1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D0E1A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C1C6CD2">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1837320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7E3EEA3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227C35E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04F08EBA">
      <w:pPr>
        <w:ind w:firstLine="444" w:firstLineChars="200"/>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1BF2AA4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3F066131">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05B0C190">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0D49A79">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19E2F70A">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59CFED19">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A4860AF">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4215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0F106DB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39C8DD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754DA7A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6A4C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018630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37210F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BC7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4166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57EAA05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03C8A5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6FCE3CE">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01D8B8F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379DD687">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3837EC5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u w:val="singl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u w:val="single"/>
        </w:rPr>
        <w:t>（以下简称“</w:t>
      </w:r>
      <w:r>
        <w:rPr>
          <w:rFonts w:hint="eastAsia" w:ascii="宋体" w:hAnsi="宋体" w:eastAsia="宋体" w:cs="宋体"/>
          <w:color w:val="auto"/>
          <w:spacing w:val="6"/>
          <w:w w:val="100"/>
          <w:sz w:val="21"/>
          <w:szCs w:val="21"/>
          <w:u w:val="single"/>
          <w:lang w:eastAsia="zh-CN"/>
        </w:rPr>
        <w:t>甲方</w:t>
      </w:r>
      <w:r>
        <w:rPr>
          <w:rFonts w:hint="eastAsia" w:ascii="宋体" w:hAnsi="宋体" w:eastAsia="宋体" w:cs="宋体"/>
          <w:color w:val="auto"/>
          <w:spacing w:val="6"/>
          <w:w w:val="100"/>
          <w:sz w:val="21"/>
          <w:szCs w:val="21"/>
          <w:u w:val="single"/>
        </w:rPr>
        <w:t>”）</w:t>
      </w:r>
    </w:p>
    <w:p w14:paraId="6FE5A832">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u w:val="single"/>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（以下简称“</w:t>
      </w:r>
      <w:r>
        <w:rPr>
          <w:rFonts w:hint="eastAsia" w:ascii="宋体" w:hAnsi="宋体" w:eastAsia="宋体" w:cs="宋体"/>
          <w:color w:val="auto"/>
          <w:spacing w:val="6"/>
          <w:w w:val="100"/>
          <w:sz w:val="21"/>
          <w:szCs w:val="21"/>
          <w:u w:val="single"/>
          <w:lang w:eastAsia="zh-CN"/>
        </w:rPr>
        <w:t>乙方</w:t>
      </w:r>
      <w:r>
        <w:rPr>
          <w:rFonts w:hint="eastAsia" w:ascii="宋体" w:hAnsi="宋体" w:eastAsia="宋体" w:cs="宋体"/>
          <w:color w:val="auto"/>
          <w:spacing w:val="6"/>
          <w:w w:val="100"/>
          <w:sz w:val="21"/>
          <w:szCs w:val="21"/>
          <w:u w:val="single"/>
        </w:rPr>
        <w:t>”）</w:t>
      </w:r>
    </w:p>
    <w:p w14:paraId="3F548BC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天等县都康乡降祥村布孟屯种植产业配套项目</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151C48A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4886338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4A5FC29B">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77B7A50">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0A89BE4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7BBE423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7A53190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07E5285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696C77D3">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2B232C">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86838A">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2D8A00C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EBF5A2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41EA5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38F01B81">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1123F3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43DCE57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989894B">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18F99B0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DF371A9">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326C5C1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53B4B921">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7583C4B8">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5C8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1C03361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0CCA05C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6D6FE97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252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7AA126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7372AF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3F0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025DAB9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0E0AB0C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E45994C">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014F498">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9826BBC">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E975382">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6CFE687">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7CC55D4">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9C7C83E">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8D63A5">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15C7B8DB">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46467CB3">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6AD9CE0">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7B9FD376">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01F00D4E">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6691F71A">
      <w:pPr>
        <w:pageBreakBefore w:val="0"/>
        <w:wordWrap/>
        <w:overflowPunct/>
        <w:topLinePunct w:val="0"/>
        <w:bidi w:val="0"/>
        <w:ind w:left="0" w:leftChars="0" w:right="0"/>
        <w:jc w:val="center"/>
        <w:outlineLvl w:val="0"/>
        <w:rPr>
          <w:rFonts w:hint="eastAsia"/>
          <w:color w:val="auto"/>
        </w:rPr>
      </w:pPr>
    </w:p>
    <w:p w14:paraId="3EE2A3C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4201D7DC">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7" w:name="bookmark6"/>
      <w:bookmarkEnd w:id="137"/>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2C2E82E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p>
    <w:p w14:paraId="6CC74DED">
      <w:pPr>
        <w:pStyle w:val="33"/>
        <w:shd w:val="clear"/>
        <w:spacing w:line="360" w:lineRule="auto"/>
        <w:jc w:val="center"/>
        <w:outlineLvl w:val="0"/>
        <w:rPr>
          <w:rFonts w:ascii="宋体" w:hAnsi="宋体"/>
          <w:b/>
          <w:color w:val="auto"/>
          <w:sz w:val="32"/>
          <w:szCs w:val="32"/>
          <w:highlight w:val="none"/>
        </w:rPr>
      </w:pPr>
      <w:bookmarkStart w:id="138" w:name="_Toc14935"/>
    </w:p>
    <w:p w14:paraId="767472C6">
      <w:pPr>
        <w:pStyle w:val="33"/>
        <w:shd w:val="clear"/>
        <w:spacing w:line="360" w:lineRule="auto"/>
        <w:jc w:val="center"/>
        <w:outlineLvl w:val="0"/>
        <w:rPr>
          <w:rFonts w:ascii="宋体" w:hAnsi="宋体"/>
          <w:b/>
          <w:color w:val="auto"/>
          <w:sz w:val="32"/>
          <w:szCs w:val="32"/>
          <w:highlight w:val="none"/>
        </w:rPr>
      </w:pPr>
    </w:p>
    <w:p w14:paraId="09127C1F">
      <w:pPr>
        <w:pStyle w:val="33"/>
        <w:shd w:val="clear"/>
        <w:spacing w:line="360" w:lineRule="auto"/>
        <w:jc w:val="center"/>
        <w:outlineLvl w:val="0"/>
        <w:rPr>
          <w:rFonts w:ascii="宋体" w:hAnsi="宋体"/>
          <w:b/>
          <w:color w:val="auto"/>
          <w:sz w:val="32"/>
          <w:szCs w:val="32"/>
          <w:highlight w:val="none"/>
        </w:rPr>
      </w:pPr>
    </w:p>
    <w:p w14:paraId="54A398EE">
      <w:pPr>
        <w:pStyle w:val="33"/>
        <w:shd w:val="clear"/>
        <w:spacing w:line="360" w:lineRule="auto"/>
        <w:jc w:val="center"/>
        <w:outlineLvl w:val="0"/>
        <w:rPr>
          <w:rFonts w:ascii="宋体" w:hAnsi="宋体"/>
          <w:b/>
          <w:color w:val="auto"/>
          <w:sz w:val="32"/>
          <w:szCs w:val="32"/>
          <w:highlight w:val="none"/>
        </w:rPr>
      </w:pPr>
    </w:p>
    <w:p w14:paraId="21432B14">
      <w:pPr>
        <w:pStyle w:val="33"/>
        <w:shd w:val="clear"/>
        <w:spacing w:line="360" w:lineRule="auto"/>
        <w:jc w:val="center"/>
        <w:outlineLvl w:val="0"/>
        <w:rPr>
          <w:rFonts w:ascii="宋体" w:hAnsi="宋体"/>
          <w:b/>
          <w:color w:val="auto"/>
          <w:sz w:val="32"/>
          <w:szCs w:val="32"/>
          <w:highlight w:val="none"/>
        </w:rPr>
      </w:pPr>
    </w:p>
    <w:p w14:paraId="6509D1D7">
      <w:pPr>
        <w:pStyle w:val="33"/>
        <w:shd w:val="clear"/>
        <w:spacing w:line="360" w:lineRule="auto"/>
        <w:jc w:val="center"/>
        <w:outlineLvl w:val="0"/>
        <w:rPr>
          <w:rFonts w:ascii="宋体" w:hAnsi="宋体"/>
          <w:b/>
          <w:color w:val="auto"/>
          <w:sz w:val="32"/>
          <w:szCs w:val="32"/>
          <w:highlight w:val="none"/>
        </w:rPr>
      </w:pPr>
    </w:p>
    <w:p w14:paraId="08843542">
      <w:pPr>
        <w:pStyle w:val="33"/>
        <w:shd w:val="clear"/>
        <w:spacing w:line="360" w:lineRule="auto"/>
        <w:jc w:val="center"/>
        <w:outlineLvl w:val="0"/>
        <w:rPr>
          <w:rFonts w:ascii="宋体" w:hAnsi="宋体"/>
          <w:b/>
          <w:color w:val="auto"/>
          <w:sz w:val="32"/>
          <w:szCs w:val="32"/>
          <w:highlight w:val="none"/>
        </w:rPr>
      </w:pPr>
    </w:p>
    <w:p w14:paraId="513FC923">
      <w:pPr>
        <w:pStyle w:val="33"/>
        <w:shd w:val="clear"/>
        <w:spacing w:line="360" w:lineRule="auto"/>
        <w:jc w:val="center"/>
        <w:outlineLvl w:val="0"/>
        <w:rPr>
          <w:rFonts w:ascii="宋体" w:hAnsi="宋体"/>
          <w:b/>
          <w:color w:val="auto"/>
          <w:sz w:val="32"/>
          <w:szCs w:val="32"/>
          <w:highlight w:val="none"/>
        </w:rPr>
      </w:pPr>
    </w:p>
    <w:p w14:paraId="786F2622">
      <w:pPr>
        <w:pStyle w:val="33"/>
        <w:shd w:val="clear"/>
        <w:spacing w:line="360" w:lineRule="auto"/>
        <w:jc w:val="center"/>
        <w:outlineLvl w:val="0"/>
        <w:rPr>
          <w:rFonts w:ascii="宋体" w:hAnsi="宋体"/>
          <w:b/>
          <w:color w:val="auto"/>
          <w:sz w:val="32"/>
          <w:szCs w:val="32"/>
          <w:highlight w:val="none"/>
        </w:rPr>
      </w:pPr>
    </w:p>
    <w:p w14:paraId="10035A1B">
      <w:pPr>
        <w:pStyle w:val="33"/>
        <w:shd w:val="clear"/>
        <w:spacing w:line="360" w:lineRule="auto"/>
        <w:jc w:val="center"/>
        <w:outlineLvl w:val="0"/>
        <w:rPr>
          <w:rFonts w:ascii="宋体" w:hAnsi="宋体"/>
          <w:b/>
          <w:color w:val="auto"/>
          <w:sz w:val="32"/>
          <w:szCs w:val="32"/>
          <w:highlight w:val="none"/>
        </w:rPr>
      </w:pPr>
    </w:p>
    <w:p w14:paraId="3FEA479C">
      <w:pPr>
        <w:pStyle w:val="33"/>
        <w:shd w:val="clear"/>
        <w:spacing w:line="360" w:lineRule="auto"/>
        <w:jc w:val="center"/>
        <w:outlineLvl w:val="0"/>
        <w:rPr>
          <w:rFonts w:ascii="宋体" w:hAnsi="宋体"/>
          <w:b/>
          <w:color w:val="auto"/>
          <w:sz w:val="32"/>
          <w:szCs w:val="32"/>
          <w:highlight w:val="none"/>
        </w:rPr>
      </w:pPr>
    </w:p>
    <w:p w14:paraId="0869CCB9">
      <w:pPr>
        <w:pStyle w:val="33"/>
        <w:shd w:val="clear"/>
        <w:spacing w:line="360" w:lineRule="auto"/>
        <w:jc w:val="center"/>
        <w:outlineLvl w:val="0"/>
        <w:rPr>
          <w:rFonts w:ascii="宋体" w:hAnsi="宋体"/>
          <w:b/>
          <w:color w:val="auto"/>
          <w:sz w:val="32"/>
          <w:szCs w:val="32"/>
          <w:highlight w:val="none"/>
        </w:rPr>
      </w:pPr>
    </w:p>
    <w:p w14:paraId="6C6A1FC3">
      <w:pPr>
        <w:pStyle w:val="33"/>
        <w:shd w:val="clear"/>
        <w:spacing w:line="360" w:lineRule="auto"/>
        <w:jc w:val="center"/>
        <w:outlineLvl w:val="0"/>
        <w:rPr>
          <w:rFonts w:ascii="宋体" w:hAnsi="宋体"/>
          <w:b/>
          <w:color w:val="auto"/>
          <w:sz w:val="32"/>
          <w:szCs w:val="32"/>
          <w:highlight w:val="none"/>
        </w:rPr>
      </w:pPr>
    </w:p>
    <w:p w14:paraId="79D7F04F">
      <w:pPr>
        <w:pStyle w:val="33"/>
        <w:shd w:val="clear"/>
        <w:spacing w:line="360" w:lineRule="auto"/>
        <w:jc w:val="center"/>
        <w:outlineLvl w:val="0"/>
        <w:rPr>
          <w:rFonts w:ascii="宋体" w:hAnsi="宋体"/>
          <w:b/>
          <w:color w:val="auto"/>
          <w:sz w:val="32"/>
          <w:szCs w:val="32"/>
          <w:highlight w:val="none"/>
        </w:rPr>
      </w:pPr>
    </w:p>
    <w:p w14:paraId="06EC29FE">
      <w:pPr>
        <w:pStyle w:val="33"/>
        <w:shd w:val="clear"/>
        <w:spacing w:line="360" w:lineRule="auto"/>
        <w:jc w:val="center"/>
        <w:outlineLvl w:val="0"/>
        <w:rPr>
          <w:rFonts w:ascii="宋体" w:hAnsi="宋体"/>
          <w:b/>
          <w:color w:val="auto"/>
          <w:sz w:val="32"/>
          <w:szCs w:val="32"/>
          <w:highlight w:val="none"/>
        </w:rPr>
      </w:pPr>
    </w:p>
    <w:p w14:paraId="24D12D67">
      <w:pPr>
        <w:pStyle w:val="33"/>
        <w:shd w:val="clear"/>
        <w:spacing w:line="360" w:lineRule="auto"/>
        <w:jc w:val="center"/>
        <w:outlineLvl w:val="0"/>
        <w:rPr>
          <w:rFonts w:ascii="宋体" w:hAnsi="宋体"/>
          <w:b/>
          <w:color w:val="auto"/>
          <w:sz w:val="32"/>
          <w:szCs w:val="32"/>
          <w:highlight w:val="none"/>
        </w:rPr>
      </w:pPr>
    </w:p>
    <w:p w14:paraId="2F9AB843">
      <w:pPr>
        <w:pStyle w:val="33"/>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（1）响应报价低于全部通过符合性审查供应商响应报价平均值50%；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（2）响应报价低于通过符合性审查的次低报价供应商响应报价50%；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（3）响应报价低于采购项目最高限价45%；</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1"/>
          <w:szCs w:val="21"/>
          <w:shd w:val="clear" w:fill="FFFFFF"/>
        </w:rPr>
        <w:t>审查程序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sz w:val="21"/>
          <w:szCs w:val="21"/>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：磋商小组根据供应商提交的最终版响应文件（含技术文件和最终报价）进行独立打分。</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5D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37" w:type="dxa"/>
            <w:vAlign w:val="center"/>
          </w:tcPr>
          <w:p w14:paraId="1BB26E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1773" w:type="dxa"/>
            <w:vAlign w:val="center"/>
          </w:tcPr>
          <w:p w14:paraId="337A9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5640" w:type="dxa"/>
            <w:vAlign w:val="top"/>
          </w:tcPr>
          <w:p w14:paraId="2A45D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r>
      <w:tr w14:paraId="51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92EB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eastAsia="宋体" w:cs="宋体"/>
                <w:b w:val="0"/>
                <w:bCs w:val="0"/>
                <w:color w:val="auto"/>
                <w:sz w:val="21"/>
                <w:szCs w:val="21"/>
                <w:highlight w:val="none"/>
                <w:lang w:val="en-US" w:eastAsia="zh-CN"/>
              </w:rPr>
              <w:t>70分</w:t>
            </w:r>
            <w:r>
              <w:rPr>
                <w:rFonts w:hint="eastAsia" w:ascii="宋体" w:hAnsi="宋体" w:eastAsia="宋体" w:cs="宋体"/>
                <w:b w:val="0"/>
                <w:bCs w:val="0"/>
                <w:color w:val="auto"/>
                <w:sz w:val="21"/>
                <w:szCs w:val="21"/>
                <w:highlight w:val="none"/>
                <w:lang w:eastAsia="zh-CN"/>
              </w:rPr>
              <w:t>）</w:t>
            </w:r>
          </w:p>
        </w:tc>
      </w:tr>
      <w:tr w14:paraId="0F0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798E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7413" w:type="dxa"/>
            <w:gridSpan w:val="2"/>
            <w:vAlign w:val="center"/>
          </w:tcPr>
          <w:p w14:paraId="576D2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504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BBD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主要施工方法（</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6EB39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评审内容：</w:t>
            </w:r>
            <w:r>
              <w:rPr>
                <w:rFonts w:hint="eastAsia" w:ascii="宋体" w:hAnsi="宋体" w:eastAsia="宋体" w:cs="宋体"/>
                <w:b w:val="0"/>
                <w:bCs w:val="0"/>
                <w:color w:val="000000"/>
                <w:kern w:val="0"/>
                <w:sz w:val="21"/>
                <w:szCs w:val="21"/>
                <w:lang w:val="en-US" w:eastAsia="zh-CN" w:bidi="ar"/>
              </w:rPr>
              <w:t>①渠道测量放线、土方开挖、基底处理、垫层施工方案；②C20 混凝土渠道现浇、支模、振捣、成型、养护方案；③C25 混凝土人行便桥、排水涵洞结构施工方案；④渠道伸缩缝、沉降缝、加固拉梁施工方案；⑤产业路路基整平、压实、10cm 碎石垫层施工方案；⑥产业路 18cm 厚 C25 水泥混凝土面层浇筑、切缝、养护方案；⑦施工排水、防汛、现场临时用水用电方案。</w:t>
            </w:r>
          </w:p>
          <w:p w14:paraId="2D8FC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br w:type="textWrapping"/>
            </w:r>
            <w:r>
              <w:rPr>
                <w:rFonts w:hint="default" w:ascii="宋体" w:hAnsi="宋体" w:eastAsia="宋体" w:cs="宋体"/>
                <w:b w:val="0"/>
                <w:bCs w:val="0"/>
                <w:color w:val="000000"/>
                <w:kern w:val="0"/>
                <w:sz w:val="21"/>
                <w:szCs w:val="21"/>
                <w:lang w:val="en-US" w:eastAsia="zh-CN" w:bidi="ar"/>
              </w:rPr>
              <w:t>评分标准：</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优（10分）：对以上</w:t>
            </w:r>
            <w:r>
              <w:rPr>
                <w:rFonts w:hint="eastAsia" w:ascii="宋体" w:hAnsi="宋体" w:cs="宋体"/>
                <w:b w:val="0"/>
                <w:bCs w:val="0"/>
                <w:color w:val="000000"/>
                <w:kern w:val="0"/>
                <w:sz w:val="21"/>
                <w:szCs w:val="21"/>
                <w:lang w:val="en-US" w:eastAsia="zh-CN" w:bidi="ar"/>
              </w:rPr>
              <w:t>7</w:t>
            </w:r>
            <w:r>
              <w:rPr>
                <w:rFonts w:hint="default" w:ascii="宋体" w:hAnsi="宋体" w:eastAsia="宋体" w:cs="宋体"/>
                <w:b w:val="0"/>
                <w:bCs w:val="0"/>
                <w:color w:val="000000"/>
                <w:kern w:val="0"/>
                <w:sz w:val="21"/>
                <w:szCs w:val="21"/>
                <w:lang w:val="en-US" w:eastAsia="zh-CN" w:bidi="ar"/>
              </w:rPr>
              <w:t>项工序均有详细、可操作且高度贴合本项目的施工方法描述。内容完整、逻辑清晰，能够结合本工程及乡村施工条件提出针对性措施。各项方法均能体现关键工艺要点（如沟槽人工清底防超挖、模板防漏浆、混凝土分层振捣、伸缩缝垂直固定、涵管接口密封、便桥钢筋保护层控制、混凝土湿养不少于规定天数、施工排水有备用设备等），可有效指导施工。</w:t>
            </w:r>
          </w:p>
          <w:p w14:paraId="3C40C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良（8分）：7项工序均有完整的施工方法描述，覆盖本工程全部主要工艺，内容合理可行。但部分方法较为原则性，未能充分结合本工程断面尺寸或乡村条件提出针对性措施，或对某项关键工艺（如模板防漏浆、涵管接口处理、养护具体方法）的细节描述不够深入。整体上能指导施工。</w:t>
            </w:r>
          </w:p>
          <w:p w14:paraId="693E5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中（5分）：施工方法基本符合要求，但内容较为笼统。例如仅按常规罗列“测量放线”“支模浇筑”“设置伸缩缝”等，未结合本工程特点，对防漏浆、振捣密实、接口密封等细节缺乏具体措施，但无重大错误或关键工序缺失。</w:t>
            </w:r>
          </w:p>
          <w:p w14:paraId="4D02C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差（2分）：施工方法与项目实际需求严重脱节。例如仍采用“浆砌片石”“M10抹面”等错误工艺，或关键工序缺失（无模板安装方法、无涵管安装方法），或方法明显不合理（如沟槽无放坡、混凝土无养护）</w:t>
            </w:r>
            <w:r>
              <w:rPr>
                <w:rFonts w:hint="eastAsia" w:ascii="宋体" w:hAnsi="宋体" w:eastAsia="宋体" w:cs="宋体"/>
                <w:b w:val="0"/>
                <w:bCs w:val="0"/>
                <w:color w:val="000000"/>
                <w:kern w:val="0"/>
                <w:sz w:val="21"/>
                <w:szCs w:val="21"/>
                <w:lang w:val="en-US" w:eastAsia="zh-CN" w:bidi="ar"/>
              </w:rPr>
              <w:t>难以</w:t>
            </w:r>
            <w:r>
              <w:rPr>
                <w:rFonts w:hint="default" w:ascii="宋体" w:hAnsi="宋体" w:eastAsia="宋体" w:cs="宋体"/>
                <w:b w:val="0"/>
                <w:bCs w:val="0"/>
                <w:color w:val="000000"/>
                <w:kern w:val="0"/>
                <w:sz w:val="21"/>
                <w:szCs w:val="21"/>
                <w:lang w:val="en-US" w:eastAsia="zh-CN" w:bidi="ar"/>
              </w:rPr>
              <w:t>指导施工。</w:t>
            </w:r>
          </w:p>
        </w:tc>
      </w:tr>
      <w:tr w14:paraId="1EB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9CB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拟投入的主要物资计划（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2FCAA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包括水泥、砂、碎石、钢筋、模板、涵管、沥青木板、公示牌 / 竣工牌等物资的采购、进场、验收、保管、防雨防潮措施。</w:t>
            </w:r>
          </w:p>
          <w:p w14:paraId="2053B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评分标准：</w:t>
            </w:r>
          </w:p>
          <w:p w14:paraId="342A2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优（8分）</w:t>
            </w:r>
            <w:r>
              <w:rPr>
                <w:rFonts w:hint="default" w:ascii="宋体" w:hAnsi="宋体" w:eastAsia="宋体" w:cs="宋体"/>
                <w:b w:val="0"/>
                <w:bCs w:val="0"/>
                <w:color w:val="000000"/>
                <w:kern w:val="0"/>
                <w:sz w:val="21"/>
                <w:szCs w:val="21"/>
                <w:lang w:val="en-US" w:eastAsia="zh-CN" w:bidi="ar"/>
              </w:rPr>
              <w:t>：提供清晰的核心物资进场时间节点及数量概算，明确验收方法和责任人。针对乡村场地潮湿特点提出具体的防潮、防雨、防损措施，物资进场与施工段进度精准匹配。</w:t>
            </w:r>
          </w:p>
          <w:p w14:paraId="1EA73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良（6分）：物资计划覆盖全部核心品类，进场时间与施工进度合理匹配，有明确的保管要求和验收措施，无缺项，但防潮防雨措施较笼统。</w:t>
            </w:r>
          </w:p>
          <w:p w14:paraId="5691A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中（4分）：物资计划基本完整，但缺乏对专用材料（模板、涵管）的验收细节，或保管措施仅简单提及。</w:t>
            </w:r>
          </w:p>
          <w:p w14:paraId="7552D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差（1分）：物资计划严重缺失，核心品类不全，数量与施工需求明显不匹配，无质量验收及保管措施。</w:t>
            </w:r>
          </w:p>
        </w:tc>
      </w:tr>
      <w:tr w14:paraId="30B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BB7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拟投入的主要施工机械、设备计划（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1E79A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含挖掘机、夯实机具、混凝土搅拌 / 振捣设备、钢筋加工机械、水泵、测量仪器等配置、进退场、维护及备用方案。</w:t>
            </w:r>
            <w:r>
              <w:rPr>
                <w:rFonts w:hint="default" w:ascii="宋体" w:hAnsi="宋体" w:eastAsia="宋体" w:cs="宋体"/>
                <w:b w:val="0"/>
                <w:bCs w:val="0"/>
                <w:color w:val="000000"/>
                <w:kern w:val="0"/>
                <w:sz w:val="21"/>
                <w:szCs w:val="21"/>
                <w:lang w:val="en-US" w:eastAsia="zh-CN" w:bidi="ar"/>
              </w:rPr>
              <w:br w:type="textWrapping"/>
            </w:r>
            <w:r>
              <w:rPr>
                <w:rFonts w:hint="default" w:ascii="宋体" w:hAnsi="宋体" w:eastAsia="宋体" w:cs="宋体"/>
                <w:b w:val="0"/>
                <w:bCs w:val="0"/>
                <w:color w:val="000000"/>
                <w:kern w:val="0"/>
                <w:sz w:val="21"/>
                <w:szCs w:val="21"/>
                <w:lang w:val="en-US" w:eastAsia="zh-CN" w:bidi="ar"/>
              </w:rPr>
              <w:t>评分标准：</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优（8分）</w:t>
            </w:r>
            <w:r>
              <w:rPr>
                <w:rFonts w:hint="default" w:ascii="宋体" w:hAnsi="宋体" w:eastAsia="宋体" w:cs="宋体"/>
                <w:b w:val="0"/>
                <w:bCs w:val="0"/>
                <w:color w:val="000000"/>
                <w:kern w:val="0"/>
                <w:sz w:val="21"/>
                <w:szCs w:val="21"/>
                <w:lang w:val="en-US" w:eastAsia="zh-CN" w:bidi="ar"/>
              </w:rPr>
              <w:t>：提供适配本项目的机械设备配置表，明确型号、数量、进退场时间。选型充分考虑乡村道路限宽限重条件，有维修保养计划及关键设备备用或快速调配方案。</w:t>
            </w:r>
          </w:p>
          <w:p w14:paraId="0B59B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良（6分）：设备计划覆盖全部核心品类，型号适宜，数量满足施工需求，进退场安排合理，有基本维护计划。</w:t>
            </w:r>
          </w:p>
          <w:p w14:paraId="2F00B4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中（4分）：设备计划基本完整，但部分设备型号描述不清或数量偏少，进退场计划较笼统。</w:t>
            </w:r>
          </w:p>
          <w:p w14:paraId="5B691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差（1分）：设备计划与项目不符（如选用无法进村的超宽设备），或核心设备缺失（无振捣器、无搅拌机），无维护及应急保障措施。</w:t>
            </w:r>
          </w:p>
        </w:tc>
      </w:tr>
      <w:tr w14:paraId="59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AB9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确保工程质量的技术组织措施（满分10分）</w:t>
            </w:r>
          </w:p>
        </w:tc>
        <w:tc>
          <w:tcPr>
            <w:tcW w:w="7413" w:type="dxa"/>
            <w:gridSpan w:val="2"/>
            <w:vAlign w:val="center"/>
          </w:tcPr>
          <w:p w14:paraId="0A983E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default"/>
                <w:color w:val="000000"/>
                <w:sz w:val="24"/>
                <w:szCs w:val="24"/>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①质量管理体系、“三检制”、专职质检人员落实；②渠道线型、纵坡、断面尺寸、平整度控制；③混凝土配合比、坍落度、试件留置、振捣密实控制；④防渗、防漏、沉降 / 伸缩缝密封处理；⑤产业路路基压实度、垫层厚度、面层厚度与平整度控制；⑥通水试验 / 闭水试验、竣工验收程序。</w:t>
            </w:r>
          </w:p>
          <w:p w14:paraId="07C6B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评分标准：</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优（10分）：质量管理体系健全，专职质检员明确到人，“三检制”流程清晰。对以下质量关键点均有详细、闭环的控制措施：沟槽开挖、回填、压实控制；模板安装稳固及防漏浆；混凝土配合比、坍落度、振捣密实控制；渠道线型、断面尺寸、纵坡控制；便桥钢筋保护层及结构尺寸；混凝土养护及伸缩缝控制；验收标准及通病专项防治方案，明确预防措施、检查频率及责任人。</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良（8分）：组织机构和措施完整，对上述核心质量环节均有明确控制要求，能有效预防常见问题，验收流程清晰，但部分措施未细化到“检查方法”或“责任人”。</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中（5分）：有基本质量控制内容，但措施较为笼统，未针对浆砌片石防渗、纵坡控制、便桥保护层等提出专门防治要求。</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差（2分）：质量保证措施不可行或严重脱离实际，未针对渠道渗漏、沉降、便桥结构安全等核心风险设置防控措施，或未提及验收标准。</w:t>
            </w:r>
          </w:p>
        </w:tc>
      </w:tr>
      <w:tr w14:paraId="31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693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确保安全生产的技术组织措施（满分8分）</w:t>
            </w:r>
          </w:p>
        </w:tc>
        <w:tc>
          <w:tcPr>
            <w:tcW w:w="7413" w:type="dxa"/>
            <w:gridSpan w:val="2"/>
            <w:vAlign w:val="center"/>
          </w:tcPr>
          <w:p w14:paraId="4AD9B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18"/>
                <w:szCs w:val="18"/>
                <w:lang w:val="en-US" w:eastAsia="zh-CN" w:bidi="ar"/>
              </w:rPr>
              <w:t>：</w:t>
            </w:r>
            <w:r>
              <w:rPr>
                <w:rFonts w:hint="eastAsia" w:ascii="Times New Roman" w:hAnsi="Times New Roman" w:eastAsia="宋体" w:cs="Times New Roman"/>
                <w:color w:val="000000"/>
                <w:sz w:val="21"/>
                <w:szCs w:val="21"/>
                <w:lang w:val="en-US" w:eastAsia="zh-CN" w:bidi="hi-IN"/>
              </w:rPr>
              <w:t>①</w:t>
            </w:r>
            <w:r>
              <w:rPr>
                <w:rFonts w:hint="default"/>
                <w:color w:val="000000"/>
                <w:sz w:val="21"/>
                <w:szCs w:val="21"/>
              </w:rPr>
              <w:t>安全责任制、专职安全员配置；</w:t>
            </w:r>
            <w:r>
              <w:rPr>
                <w:rFonts w:hint="eastAsia" w:ascii="Times New Roman" w:hAnsi="Times New Roman" w:eastAsia="宋体" w:cs="Times New Roman"/>
                <w:color w:val="000000"/>
                <w:sz w:val="21"/>
                <w:szCs w:val="21"/>
                <w:lang w:val="en-US" w:eastAsia="zh-CN" w:bidi="hi-IN"/>
              </w:rPr>
              <w:t>②</w:t>
            </w:r>
            <w:r>
              <w:rPr>
                <w:rFonts w:hint="default"/>
                <w:color w:val="000000"/>
                <w:sz w:val="21"/>
                <w:szCs w:val="21"/>
              </w:rPr>
              <w:t>基坑、临边、临水作业防护；</w:t>
            </w:r>
            <w:r>
              <w:rPr>
                <w:rFonts w:hint="eastAsia" w:ascii="Times New Roman" w:hAnsi="Times New Roman" w:eastAsia="宋体" w:cs="Times New Roman"/>
                <w:color w:val="000000"/>
                <w:sz w:val="21"/>
                <w:szCs w:val="21"/>
                <w:lang w:val="en-US" w:eastAsia="zh-CN" w:bidi="hi-IN"/>
              </w:rPr>
              <w:t>③</w:t>
            </w:r>
            <w:r>
              <w:rPr>
                <w:rFonts w:hint="default"/>
                <w:color w:val="000000"/>
                <w:sz w:val="21"/>
                <w:szCs w:val="21"/>
              </w:rPr>
              <w:t>施工机械、临时用电安全；</w:t>
            </w:r>
            <w:r>
              <w:rPr>
                <w:rFonts w:hint="eastAsia" w:ascii="Times New Roman" w:hAnsi="Times New Roman" w:eastAsia="宋体" w:cs="Times New Roman"/>
                <w:color w:val="000000"/>
                <w:sz w:val="21"/>
                <w:szCs w:val="21"/>
                <w:lang w:val="en-US" w:eastAsia="zh-CN" w:bidi="hi-IN"/>
              </w:rPr>
              <w:t>④</w:t>
            </w:r>
            <w:r>
              <w:rPr>
                <w:rFonts w:hint="default"/>
                <w:color w:val="000000"/>
                <w:sz w:val="21"/>
                <w:szCs w:val="21"/>
              </w:rPr>
              <w:t>汛期排水、防汛、防淹措施；</w:t>
            </w:r>
            <w:r>
              <w:rPr>
                <w:rFonts w:hint="eastAsia" w:ascii="Times New Roman" w:hAnsi="Times New Roman" w:eastAsia="宋体" w:cs="Times New Roman"/>
                <w:color w:val="000000"/>
                <w:sz w:val="21"/>
                <w:szCs w:val="21"/>
                <w:lang w:val="en-US" w:eastAsia="zh-CN" w:bidi="hi-IN"/>
              </w:rPr>
              <w:t>⑤</w:t>
            </w:r>
            <w:r>
              <w:rPr>
                <w:rFonts w:hint="default"/>
                <w:color w:val="000000"/>
                <w:sz w:val="21"/>
                <w:szCs w:val="21"/>
              </w:rPr>
              <w:t>现场警示、村民通行疏导、应急救援。</w:t>
            </w:r>
          </w:p>
          <w:p w14:paraId="5C1A2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评分标准：</w:t>
            </w:r>
          </w:p>
          <w:p w14:paraId="6DFB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优（8分）：安全责任体系健全，专职安全员证书承诺明确。专项措施覆盖：①临水作业（配备救生衣/救生圈、作业平台防滑、水深超0.5m设安全网）；②基坑边坡（按土质放坡或支护，临边设防护栏杆）；③临时用电（三级配电二级漏保、电缆架空）；④汛期防汛（导流沟、备用泵、撤离路线）。重点：提供乡村交通疏导平面示意图，明确施工道口警示牌、夜间警示灯、村民通行引导措施；与村委会建立沟通机制并公示投诉电话。</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良（6分）：按要求配置安全员，各项安全技术措施齐全，应急救援覆盖主要风险，对村民通行有基本疏导安排（如设警示牌），但未提供平面图或未明确沟通机制。</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中（4分）：有基本安全制度及专职安全员，但未针对临水作业、汛期防汛、乡村交通等提出专项措施；应急预案较笼统。</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差（1分）：未针对核心安全风险（临水、基坑、汛期、交通）制定专项措施，无针对性应急预案，或安全员配置不满足要求。</w:t>
            </w:r>
          </w:p>
        </w:tc>
      </w:tr>
      <w:tr w14:paraId="6D0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4E0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劳动力安排计划（满分6分）</w:t>
            </w:r>
          </w:p>
        </w:tc>
        <w:tc>
          <w:tcPr>
            <w:tcW w:w="7413" w:type="dxa"/>
            <w:gridSpan w:val="2"/>
            <w:vAlign w:val="center"/>
          </w:tcPr>
          <w:p w14:paraId="20D9F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评审内容：按施工阶段配置模板工、混凝土工、钢筋工、普工、测量工、机械工等；特殊工种持证上岗；农忙期劳动力保障。</w:t>
            </w:r>
          </w:p>
          <w:p w14:paraId="59A98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评分标准：</w:t>
            </w:r>
          </w:p>
          <w:p w14:paraId="7D662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优（6分）：提供按施工阶段划分的劳动力计划表，明确各阶段核心工种数量及起止时间。关键岗位有同类工程经验承诺。农忙期保障方案具体（提高报酬、应急招聘、轮休）。特殊工种持证承诺明确。</w:t>
            </w:r>
          </w:p>
          <w:p w14:paraId="3C17D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良（4分）：劳动力计划完整，核心工种配置齐全，农忙期有基本保障措施，但未量化。</w:t>
            </w:r>
          </w:p>
          <w:p w14:paraId="4C235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中（2分）：劳动力计划基本完整，但未分阶段或工种描述不足，农忙期保障措施简单。</w:t>
            </w:r>
          </w:p>
          <w:p w14:paraId="5250C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000000"/>
                <w:kern w:val="0"/>
                <w:sz w:val="21"/>
                <w:szCs w:val="21"/>
                <w:lang w:val="en-US" w:eastAsia="zh-CN" w:bidi="ar"/>
              </w:rPr>
              <w:t>差（1分）：劳动力计划严重缺失，核心工种缺失，无阶段划分、无人数、无农忙保障措施。</w:t>
            </w:r>
          </w:p>
        </w:tc>
      </w:tr>
      <w:tr w14:paraId="113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1B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确保工期的技术组织措施（满分5分）</w:t>
            </w:r>
          </w:p>
        </w:tc>
        <w:tc>
          <w:tcPr>
            <w:tcW w:w="7413" w:type="dxa"/>
            <w:gridSpan w:val="2"/>
            <w:vAlign w:val="center"/>
          </w:tcPr>
          <w:p w14:paraId="19487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cs="宋体"/>
                <w:b w:val="0"/>
                <w:bCs w:val="0"/>
                <w:color w:val="auto"/>
                <w:spacing w:val="-10"/>
                <w:sz w:val="21"/>
                <w:szCs w:val="21"/>
                <w:highlight w:val="none"/>
                <w:lang w:val="en-US" w:eastAsia="zh-CN" w:bidi="zh-CN"/>
              </w:rPr>
              <w:t>评</w:t>
            </w:r>
            <w:r>
              <w:rPr>
                <w:rFonts w:hint="eastAsia" w:ascii="宋体" w:hAnsi="宋体" w:eastAsia="宋体" w:cs="宋体"/>
                <w:b w:val="0"/>
                <w:bCs w:val="0"/>
                <w:color w:val="auto"/>
                <w:spacing w:val="-10"/>
                <w:sz w:val="21"/>
                <w:szCs w:val="21"/>
                <w:highlight w:val="none"/>
                <w:lang w:val="en-US" w:eastAsia="zh-CN" w:bidi="zh-CN"/>
              </w:rPr>
              <w:t>审内容：施工进度计划（横道图）、关键线路、分段流水作业、交叉施工衔接、雨季 / 汛期施工、进度滞后纠偏、成品养护周期安排。</w:t>
            </w:r>
          </w:p>
          <w:p w14:paraId="458FA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5717E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b w:val="0"/>
                <w:bCs w:val="0"/>
                <w:color w:val="auto"/>
                <w:spacing w:val="-10"/>
                <w:sz w:val="21"/>
                <w:szCs w:val="21"/>
                <w:highlight w:val="none"/>
                <w:lang w:val="en-US" w:eastAsia="zh-CN" w:bidi="zh-CN"/>
              </w:rPr>
              <w:t>：提交规范横道图，关键线路清晰（明确从测量放线→渠道开挖→垫层→混凝土浇筑→养护→便桥 / 涵洞→产业路→验收的依赖关系）；合理划分施工段（</w:t>
            </w:r>
            <w:r>
              <w:rPr>
                <w:rFonts w:hint="eastAsia" w:ascii="宋体" w:hAnsi="宋体" w:eastAsia="宋体" w:cs="宋体"/>
                <w:b w:val="0"/>
                <w:bCs w:val="0"/>
                <w:color w:val="auto"/>
                <w:spacing w:val="-10"/>
                <w:sz w:val="21"/>
                <w:szCs w:val="21"/>
                <w:highlight w:val="none"/>
                <w:lang w:val="en-US" w:eastAsia="zh-CN" w:bidi="zh-CN"/>
              </w:rPr>
              <w:t>比</w:t>
            </w:r>
            <w:r>
              <w:rPr>
                <w:rFonts w:hint="default" w:ascii="宋体" w:hAnsi="宋体" w:eastAsia="宋体" w:cs="宋体"/>
                <w:b w:val="0"/>
                <w:bCs w:val="0"/>
                <w:color w:val="auto"/>
                <w:spacing w:val="-10"/>
                <w:sz w:val="21"/>
                <w:szCs w:val="21"/>
                <w:highlight w:val="none"/>
                <w:lang w:val="en-US" w:eastAsia="zh-CN" w:bidi="zh-CN"/>
              </w:rPr>
              <w:t>如每200-300m一段），组织流水作业，明确段间启动间隔≤3天；充分考虑砂浆/混凝土养护周期（</w:t>
            </w:r>
            <w:r>
              <w:rPr>
                <w:rFonts w:hint="eastAsia" w:ascii="宋体" w:hAnsi="宋体" w:eastAsia="宋体" w:cs="宋体"/>
                <w:b w:val="0"/>
                <w:bCs w:val="0"/>
                <w:color w:val="auto"/>
                <w:spacing w:val="-10"/>
                <w:sz w:val="21"/>
                <w:szCs w:val="21"/>
                <w:highlight w:val="none"/>
                <w:lang w:val="en-US" w:eastAsia="zh-CN" w:bidi="zh-CN"/>
              </w:rPr>
              <w:t>比</w:t>
            </w:r>
            <w:r>
              <w:rPr>
                <w:rFonts w:hint="default" w:ascii="宋体" w:hAnsi="宋体" w:eastAsia="宋体" w:cs="宋体"/>
                <w:b w:val="0"/>
                <w:bCs w:val="0"/>
                <w:color w:val="auto"/>
                <w:spacing w:val="-10"/>
                <w:sz w:val="21"/>
                <w:szCs w:val="21"/>
                <w:highlight w:val="none"/>
                <w:lang w:val="en-US" w:eastAsia="zh-CN" w:bidi="zh-CN"/>
              </w:rPr>
              <w:t>如墙身养护7天，抹面养护7天）并体现在计划中；针对汛期、雨季、农忙期均有详细抢工预案（如搭设防雨棚、增加班组倒班）；滞后纠偏措施具体可量化（</w:t>
            </w:r>
            <w:r>
              <w:rPr>
                <w:rFonts w:hint="eastAsia" w:ascii="宋体" w:hAnsi="宋体" w:eastAsia="宋体" w:cs="宋体"/>
                <w:b w:val="0"/>
                <w:bCs w:val="0"/>
                <w:color w:val="auto"/>
                <w:spacing w:val="-10"/>
                <w:sz w:val="21"/>
                <w:szCs w:val="21"/>
                <w:highlight w:val="none"/>
                <w:lang w:val="en-US" w:eastAsia="zh-CN" w:bidi="zh-CN"/>
              </w:rPr>
              <w:t>比</w:t>
            </w:r>
            <w:r>
              <w:rPr>
                <w:rFonts w:hint="default" w:ascii="宋体" w:hAnsi="宋体" w:eastAsia="宋体" w:cs="宋体"/>
                <w:b w:val="0"/>
                <w:bCs w:val="0"/>
                <w:color w:val="auto"/>
                <w:spacing w:val="-10"/>
                <w:sz w:val="21"/>
                <w:szCs w:val="21"/>
                <w:highlight w:val="none"/>
                <w:lang w:val="en-US" w:eastAsia="zh-CN" w:bidi="zh-CN"/>
              </w:rPr>
              <w:t>如滞后1天则延长作业2小时/天）。</w:t>
            </w:r>
          </w:p>
          <w:p w14:paraId="3781A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良（4分）：进度计划编制规范，工序逻辑合理，关键节点明确，对主要工期风险有应对措施，纠偏机制清晰，但未充分体现养护周期或分段流水细节。</w:t>
            </w:r>
          </w:p>
          <w:p w14:paraId="76D76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中（2分）：有基本进度计划但未识别关键线路，未明确分段衔接时间；风险应对仅针对通用情况（如“雨天停工”），纠偏措施不明确。</w:t>
            </w:r>
          </w:p>
          <w:p w14:paraId="20783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差（1分）：进度计划严重不合理，未区分施工顺序，无关键线路，无核心风险应对措施，无法保障工期。</w:t>
            </w:r>
          </w:p>
        </w:tc>
      </w:tr>
      <w:tr w14:paraId="718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A15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确保文明施工的技术组织措施（满分5分）</w:t>
            </w:r>
          </w:p>
        </w:tc>
        <w:tc>
          <w:tcPr>
            <w:tcW w:w="7413" w:type="dxa"/>
            <w:gridSpan w:val="2"/>
            <w:vAlign w:val="center"/>
          </w:tcPr>
          <w:p w14:paraId="302F6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：现场围挡、警示标识；扬尘、噪声、废水、弃土管控；农田与植被保护；村民通行；竣工清场与场地恢复</w:t>
            </w:r>
            <w:r>
              <w:rPr>
                <w:rFonts w:hint="eastAsia" w:ascii="宋体" w:hAnsi="宋体" w:eastAsia="宋体" w:cs="宋体"/>
                <w:b w:val="0"/>
                <w:bCs w:val="0"/>
                <w:color w:val="auto"/>
                <w:spacing w:val="-10"/>
                <w:sz w:val="21"/>
                <w:szCs w:val="21"/>
                <w:highlight w:val="none"/>
                <w:lang w:val="en-US" w:eastAsia="zh-CN" w:bidi="zh-CN"/>
              </w:rPr>
              <w:t>。</w:t>
            </w:r>
          </w:p>
          <w:p w14:paraId="38735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0B076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b w:val="0"/>
                <w:bCs w:val="0"/>
                <w:color w:val="auto"/>
                <w:spacing w:val="-10"/>
                <w:sz w:val="21"/>
                <w:szCs w:val="21"/>
                <w:highlight w:val="none"/>
                <w:lang w:val="en-US" w:eastAsia="zh-CN" w:bidi="zh-CN"/>
              </w:rPr>
              <w:t>：文明施工措施全面且针对乡村环境细致入微。具体包括：①明确施工红线图，严禁越界施工；临时占地（堆料场、便道）编制复垦计划（恢复耕土层厚度≥30cm）；②设立项目告示牌及村民投诉处理流程（承诺24h内响应）；③扬尘控制（洒水车或人工洒水，每天2次）；弃土覆盖；④废水沉淀后排放；⑤竣工清场标准（拆除所有临时设施，清理石块、废料，土地平整）。</w:t>
            </w:r>
          </w:p>
          <w:p w14:paraId="56893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良（4分）：文明施工及环保措施齐全，包含农田保护、村民疏导、场地恢复等内容，但未提供红线图或投诉处理时限承诺。</w:t>
            </w:r>
          </w:p>
          <w:p w14:paraId="4AC46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中（2分）：有基本文明施工要求，但内容笼统，对农田保护、村民沟通、弃土处置等细节措施缺失。</w:t>
            </w:r>
          </w:p>
          <w:p w14:paraId="2D8B0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差（1分）：未制定扬尘、噪声、弃土、环保等控制措施，无农田保护及村民疏导内容，无清场恢复要求。</w:t>
            </w:r>
          </w:p>
        </w:tc>
      </w:tr>
      <w:tr w14:paraId="0CF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77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工程施工的重点和难点及保证措施（满分5分）</w:t>
            </w:r>
          </w:p>
        </w:tc>
        <w:tc>
          <w:tcPr>
            <w:tcW w:w="7413" w:type="dxa"/>
            <w:gridSpan w:val="2"/>
            <w:vAlign w:val="center"/>
          </w:tcPr>
          <w:p w14:paraId="41FAB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eastAsia" w:ascii="宋体" w:hAnsi="宋体" w:eastAsia="宋体" w:cs="宋体"/>
                <w:b w:val="0"/>
                <w:bCs w:val="0"/>
                <w:color w:val="auto"/>
                <w:spacing w:val="-10"/>
                <w:sz w:val="21"/>
                <w:szCs w:val="21"/>
                <w:highlight w:val="none"/>
                <w:lang w:val="en-US" w:eastAsia="zh-CN" w:bidi="zh-CN"/>
              </w:rPr>
              <w:t>①</w:t>
            </w:r>
            <w:r>
              <w:rPr>
                <w:rFonts w:hint="default" w:ascii="宋体" w:hAnsi="宋体" w:eastAsia="宋体" w:cs="宋体"/>
                <w:b w:val="0"/>
                <w:bCs w:val="0"/>
                <w:color w:val="auto"/>
                <w:spacing w:val="-10"/>
                <w:sz w:val="21"/>
                <w:szCs w:val="21"/>
                <w:highlight w:val="none"/>
                <w:lang w:val="en-US" w:eastAsia="zh-CN" w:bidi="zh-CN"/>
              </w:rPr>
              <w:t>渠道软基处理与不均匀沉降控制；</w:t>
            </w:r>
            <w:r>
              <w:rPr>
                <w:rFonts w:hint="eastAsia" w:ascii="宋体" w:hAnsi="宋体" w:eastAsia="宋体" w:cs="宋体"/>
                <w:b w:val="0"/>
                <w:bCs w:val="0"/>
                <w:color w:val="auto"/>
                <w:spacing w:val="-10"/>
                <w:sz w:val="21"/>
                <w:szCs w:val="21"/>
                <w:highlight w:val="none"/>
                <w:lang w:val="en-US" w:eastAsia="zh-CN" w:bidi="zh-CN"/>
              </w:rPr>
              <w:t>②</w:t>
            </w:r>
            <w:r>
              <w:rPr>
                <w:rFonts w:hint="default" w:ascii="宋体" w:hAnsi="宋体" w:eastAsia="宋体" w:cs="宋体"/>
                <w:b w:val="0"/>
                <w:bCs w:val="0"/>
                <w:color w:val="auto"/>
                <w:spacing w:val="-10"/>
                <w:sz w:val="21"/>
                <w:szCs w:val="21"/>
                <w:highlight w:val="none"/>
                <w:lang w:val="en-US" w:eastAsia="zh-CN" w:bidi="zh-CN"/>
              </w:rPr>
              <w:t>混凝土防渗、防裂、外观质量控制；</w:t>
            </w:r>
            <w:r>
              <w:rPr>
                <w:rFonts w:hint="eastAsia" w:ascii="宋体" w:hAnsi="宋体" w:eastAsia="宋体" w:cs="宋体"/>
                <w:b w:val="0"/>
                <w:bCs w:val="0"/>
                <w:color w:val="auto"/>
                <w:spacing w:val="-10"/>
                <w:sz w:val="21"/>
                <w:szCs w:val="21"/>
                <w:highlight w:val="none"/>
                <w:lang w:val="en-US" w:eastAsia="zh-CN" w:bidi="zh-CN"/>
              </w:rPr>
              <w:t>③</w:t>
            </w:r>
            <w:r>
              <w:rPr>
                <w:rFonts w:hint="default" w:ascii="宋体" w:hAnsi="宋体" w:eastAsia="宋体" w:cs="宋体"/>
                <w:b w:val="0"/>
                <w:bCs w:val="0"/>
                <w:color w:val="auto"/>
                <w:spacing w:val="-10"/>
                <w:sz w:val="21"/>
                <w:szCs w:val="21"/>
                <w:highlight w:val="none"/>
                <w:lang w:val="en-US" w:eastAsia="zh-CN" w:bidi="zh-CN"/>
              </w:rPr>
              <w:t>渠道纵坡与线型精准控制；</w:t>
            </w:r>
            <w:r>
              <w:rPr>
                <w:rFonts w:hint="eastAsia" w:ascii="宋体" w:hAnsi="宋体" w:eastAsia="宋体" w:cs="宋体"/>
                <w:b w:val="0"/>
                <w:bCs w:val="0"/>
                <w:color w:val="auto"/>
                <w:spacing w:val="-10"/>
                <w:sz w:val="21"/>
                <w:szCs w:val="21"/>
                <w:highlight w:val="none"/>
                <w:lang w:val="en-US" w:eastAsia="zh-CN" w:bidi="zh-CN"/>
              </w:rPr>
              <w:t>④</w:t>
            </w:r>
            <w:r>
              <w:rPr>
                <w:rFonts w:hint="default" w:ascii="宋体" w:hAnsi="宋体" w:eastAsia="宋体" w:cs="宋体"/>
                <w:b w:val="0"/>
                <w:bCs w:val="0"/>
                <w:color w:val="auto"/>
                <w:spacing w:val="-10"/>
                <w:sz w:val="21"/>
                <w:szCs w:val="21"/>
                <w:highlight w:val="none"/>
                <w:lang w:val="en-US" w:eastAsia="zh-CN" w:bidi="zh-CN"/>
              </w:rPr>
              <w:t>产业路路基压实与路面平整度控制；</w:t>
            </w:r>
            <w:r>
              <w:rPr>
                <w:rFonts w:hint="eastAsia" w:ascii="宋体" w:hAnsi="宋体" w:eastAsia="宋体" w:cs="宋体"/>
                <w:b w:val="0"/>
                <w:bCs w:val="0"/>
                <w:color w:val="auto"/>
                <w:spacing w:val="-10"/>
                <w:sz w:val="21"/>
                <w:szCs w:val="21"/>
                <w:highlight w:val="none"/>
                <w:lang w:val="en-US" w:eastAsia="zh-CN" w:bidi="zh-CN"/>
              </w:rPr>
              <w:t>⑤</w:t>
            </w:r>
            <w:r>
              <w:rPr>
                <w:rFonts w:hint="default" w:ascii="宋体" w:hAnsi="宋体" w:eastAsia="宋体" w:cs="宋体"/>
                <w:b w:val="0"/>
                <w:bCs w:val="0"/>
                <w:color w:val="auto"/>
                <w:spacing w:val="-10"/>
                <w:sz w:val="21"/>
                <w:szCs w:val="21"/>
                <w:highlight w:val="none"/>
                <w:lang w:val="en-US" w:eastAsia="zh-CN" w:bidi="zh-CN"/>
              </w:rPr>
              <w:t>汛期排水与已完工程成品保护。</w:t>
            </w:r>
          </w:p>
          <w:p w14:paraId="5650A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15A044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优（5 分）：准确识别全部 5 项重点难点，每项均有针对性、可量化、可落地的保证措施，完全贴合本项目水利灌溉渠道、产业路施工及乡村现场条件，逻辑清晰、措施闭环、可直接指导施工。</w:t>
            </w:r>
          </w:p>
          <w:p w14:paraId="2AEC1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 分）：全面识别重点难点，保证措施科学合理、可行有效，基本满足项目要求，个别条款细节不够具体。</w:t>
            </w:r>
          </w:p>
          <w:p w14:paraId="05411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 分）：识别不少于 3 项重点难点，保证措施基本可行，但针对性、细化程度不足，缺少关键控制方法。</w:t>
            </w:r>
          </w:p>
          <w:p w14:paraId="73118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 分）：重点难点识别不全或错误，措施笼统、与本项目无关，无实际指导意义。</w:t>
            </w:r>
          </w:p>
        </w:tc>
      </w:tr>
      <w:tr w14:paraId="36E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329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施工总平面布置图（满分5分）</w:t>
            </w:r>
          </w:p>
        </w:tc>
        <w:tc>
          <w:tcPr>
            <w:tcW w:w="7413" w:type="dxa"/>
            <w:gridSpan w:val="2"/>
            <w:vAlign w:val="center"/>
          </w:tcPr>
          <w:p w14:paraId="6579C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评审内容</w:t>
            </w:r>
          </w:p>
          <w:p w14:paraId="09FCD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沿渠道分段布置、混凝土供应点及运输路线、模板加工区、钢筋加工区、材料堆放区（砂石水泥分区、防雨棚）、机械停放区、弃土（渣）场、临时排水、安全防护、与乡村道路及农田的衔接。</w:t>
            </w:r>
          </w:p>
          <w:p w14:paraId="6E06C2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评分标准</w:t>
            </w:r>
          </w:p>
          <w:p w14:paraId="158AF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优（5 分）：提供沿渠道分段或典型断面施工平面布置图（至少包含起点、终点及一个中间段），图例规范、比例适当、标注清晰。图中明确标注：临时便道（宽度、走向）、材料堆放区（砂石、水泥、钢筋分区堆放并设置防雨棚）、混凝土搅拌 / 供应点（位置、沉淀池）、机械停放区、弃土区（拦挡及覆盖）、临时排水沟（走向与渠道纵坡一致）、安全警示牌位置，以及与农田、乡村道路的边界线。文字说明承诺施工布置不占用农田（或占用后严格复垦），不阻断村民正常通行。</w:t>
            </w:r>
          </w:p>
          <w:p w14:paraId="2E0B1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 分）：施工总平面布置合理，功能区齐全，满足施工、交通、排水、安全防护要求，但未提供分段 / 断面图，或缺少临时排水、防雨棚等部分细节标注。</w:t>
            </w:r>
          </w:p>
          <w:p w14:paraId="19242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 分）：功能基本满足施工，部分区域布置不够合理，缺少部分安全或环保标注，或未体现临时排水系统。</w:t>
            </w:r>
          </w:p>
          <w:p w14:paraId="5BC4E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 分）：布置混乱、功能缺失（如无弃土区、无排水沟），与现场实际不符，无规范图例与标注，无法指导施工。</w:t>
            </w:r>
          </w:p>
        </w:tc>
      </w:tr>
      <w:tr w14:paraId="5E0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BCB8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7413" w:type="dxa"/>
            <w:gridSpan w:val="2"/>
            <w:vAlign w:val="top"/>
          </w:tcPr>
          <w:p w14:paraId="4E698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2C2C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b w:val="0"/>
          <w:bCs w:val="0"/>
          <w:i w:val="0"/>
          <w:iCs w:val="0"/>
          <w:caps w:val="0"/>
          <w:color w:val="0F1115"/>
          <w:spacing w:val="0"/>
          <w:sz w:val="21"/>
          <w:szCs w:val="21"/>
          <w:shd w:val="clear" w:fill="FFFFFF"/>
        </w:rPr>
        <w:t>磋商小组将各供应商的</w:t>
      </w:r>
      <w:r>
        <w:rPr>
          <w:rStyle w:val="26"/>
          <w:rFonts w:hint="default" w:ascii="Segoe UI" w:hAnsi="Segoe UI" w:eastAsia="Segoe UI" w:cs="Segoe UI"/>
          <w:b w:val="0"/>
          <w:bCs w:val="0"/>
          <w:i w:val="0"/>
          <w:iCs w:val="0"/>
          <w:caps w:val="0"/>
          <w:color w:val="0F1115"/>
          <w:spacing w:val="0"/>
          <w:sz w:val="21"/>
          <w:szCs w:val="21"/>
          <w:shd w:val="clear" w:fill="FFFFFF"/>
        </w:rPr>
        <w:t>技术得分</w:t>
      </w:r>
      <w:r>
        <w:rPr>
          <w:rFonts w:hint="default" w:ascii="Segoe UI" w:hAnsi="Segoe UI" w:eastAsia="Segoe UI" w:cs="Segoe UI"/>
          <w:b w:val="0"/>
          <w:bCs w:val="0"/>
          <w:i w:val="0"/>
          <w:iCs w:val="0"/>
          <w:caps w:val="0"/>
          <w:color w:val="0F1115"/>
          <w:spacing w:val="0"/>
          <w:sz w:val="21"/>
          <w:szCs w:val="21"/>
          <w:shd w:val="clear" w:fill="FFFFFF"/>
        </w:rPr>
        <w:t>与</w:t>
      </w:r>
      <w:r>
        <w:rPr>
          <w:rStyle w:val="26"/>
          <w:rFonts w:hint="default" w:ascii="Segoe UI" w:hAnsi="Segoe UI" w:eastAsia="Segoe UI" w:cs="Segoe UI"/>
          <w:b w:val="0"/>
          <w:bCs w:val="0"/>
          <w:i w:val="0"/>
          <w:iCs w:val="0"/>
          <w:caps w:val="0"/>
          <w:color w:val="0F1115"/>
          <w:spacing w:val="0"/>
          <w:sz w:val="21"/>
          <w:szCs w:val="21"/>
          <w:shd w:val="clear" w:fill="FFFFFF"/>
        </w:rPr>
        <w:t>价格得分</w:t>
      </w:r>
      <w:r>
        <w:rPr>
          <w:rFonts w:hint="default" w:ascii="Segoe UI" w:hAnsi="Segoe UI" w:eastAsia="Segoe UI" w:cs="Segoe UI"/>
          <w:b w:val="0"/>
          <w:bCs w:val="0"/>
          <w:i w:val="0"/>
          <w:iCs w:val="0"/>
          <w:caps w:val="0"/>
          <w:color w:val="0F1115"/>
          <w:spacing w:val="0"/>
          <w:sz w:val="21"/>
          <w:szCs w:val="21"/>
          <w:shd w:val="clear" w:fill="FFFFFF"/>
        </w:rPr>
        <w:t>相加，得出</w:t>
      </w:r>
      <w:r>
        <w:rPr>
          <w:rStyle w:val="26"/>
          <w:rFonts w:hint="default" w:ascii="Segoe UI" w:hAnsi="Segoe UI" w:eastAsia="Segoe UI" w:cs="Segoe UI"/>
          <w:b w:val="0"/>
          <w:bCs w:val="0"/>
          <w:i w:val="0"/>
          <w:iCs w:val="0"/>
          <w:caps w:val="0"/>
          <w:color w:val="0F1115"/>
          <w:spacing w:val="0"/>
          <w:sz w:val="21"/>
          <w:szCs w:val="21"/>
          <w:shd w:val="clear" w:fill="FFFFFF"/>
        </w:rPr>
        <w:t>综合总得分</w:t>
      </w:r>
      <w:r>
        <w:rPr>
          <w:rFonts w:hint="default" w:ascii="Segoe UI" w:hAnsi="Segoe UI" w:eastAsia="Segoe UI" w:cs="Segoe UI"/>
          <w:b w:val="0"/>
          <w:bCs w:val="0"/>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205936"/>
      <w:bookmarkStart w:id="140" w:name="_Toc80886940"/>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42CC49DE">
      <w:pPr>
        <w:pStyle w:val="34"/>
        <w:rPr>
          <w:rFonts w:hint="eastAsia"/>
          <w:color w:val="auto"/>
          <w:highlight w:val="none"/>
        </w:rPr>
      </w:pPr>
    </w:p>
    <w:p w14:paraId="4558E667">
      <w:pPr>
        <w:pStyle w:val="33"/>
        <w:rPr>
          <w:rFonts w:hint="eastAsia"/>
          <w:color w:val="auto"/>
          <w:highlight w:val="none"/>
        </w:rPr>
      </w:pPr>
    </w:p>
    <w:p w14:paraId="38281087">
      <w:pPr>
        <w:pStyle w:val="34"/>
        <w:rPr>
          <w:rFonts w:hint="eastAsia"/>
          <w:color w:val="auto"/>
          <w:highlight w:val="none"/>
        </w:rPr>
      </w:pPr>
    </w:p>
    <w:p w14:paraId="710FD41C">
      <w:pPr>
        <w:pStyle w:val="33"/>
        <w:rPr>
          <w:rFonts w:hint="eastAsia"/>
          <w:color w:val="auto"/>
          <w:highlight w:val="none"/>
        </w:rPr>
      </w:pPr>
    </w:p>
    <w:p w14:paraId="4DF2C2EC">
      <w:pPr>
        <w:pStyle w:val="34"/>
        <w:rPr>
          <w:rFonts w:hint="eastAsia"/>
          <w:color w:val="auto"/>
          <w:highlight w:val="none"/>
        </w:rPr>
      </w:pPr>
    </w:p>
    <w:p w14:paraId="5E15E9C7">
      <w:pPr>
        <w:pStyle w:val="33"/>
        <w:rPr>
          <w:rFonts w:hint="eastAsia"/>
          <w:color w:val="auto"/>
          <w:highlight w:val="none"/>
        </w:rPr>
      </w:pPr>
    </w:p>
    <w:p w14:paraId="5CFA76ED">
      <w:pPr>
        <w:pStyle w:val="34"/>
        <w:rPr>
          <w:rFonts w:hint="eastAsia"/>
          <w:color w:val="auto"/>
          <w:highlight w:val="none"/>
        </w:rPr>
      </w:pPr>
    </w:p>
    <w:p w14:paraId="4DDC3575">
      <w:pPr>
        <w:pStyle w:val="33"/>
        <w:rPr>
          <w:rFonts w:hint="eastAsia"/>
          <w:color w:val="auto"/>
          <w:highlight w:val="none"/>
        </w:rPr>
      </w:pPr>
    </w:p>
    <w:p w14:paraId="38AE6F97">
      <w:pPr>
        <w:pStyle w:val="34"/>
        <w:rPr>
          <w:rFonts w:hint="eastAsia"/>
          <w:color w:val="auto"/>
          <w:highlight w:val="none"/>
        </w:rPr>
      </w:pPr>
    </w:p>
    <w:p w14:paraId="607B8AD7">
      <w:pPr>
        <w:pStyle w:val="33"/>
        <w:rPr>
          <w:rFonts w:hint="eastAsia"/>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4"/>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8A96BC-A1F7-446F-904D-951120F12E1C}"/>
  </w:font>
  <w:font w:name="黑体">
    <w:panose1 w:val="02010609060101010101"/>
    <w:charset w:val="86"/>
    <w:family w:val="auto"/>
    <w:pitch w:val="default"/>
    <w:sig w:usb0="800002BF" w:usb1="38CF7CFA" w:usb2="00000016" w:usb3="00000000" w:csb0="00040001" w:csb1="00000000"/>
    <w:embedRegular r:id="rId2" w:fontKey="{02A21702-01EE-4C46-B9C5-D6CF32D137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37FE7E6-D6CD-43F5-8D6A-8873CA52040B}"/>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B966E4C2-E055-48FE-B714-7FC193FDA436}"/>
  </w:font>
  <w:font w:name="仿宋_GB2312">
    <w:panose1 w:val="02010609030101010101"/>
    <w:charset w:val="86"/>
    <w:family w:val="modern"/>
    <w:pitch w:val="default"/>
    <w:sig w:usb0="00000001" w:usb1="080E0000" w:usb2="00000000" w:usb3="00000000" w:csb0="00040000" w:csb1="00000000"/>
    <w:embedRegular r:id="rId5" w:fontKey="{616657A3-BB1D-4680-ABF3-E07B1CB8CCFF}"/>
  </w:font>
  <w:font w:name="方正隶书简体">
    <w:altName w:val="宋体"/>
    <w:panose1 w:val="00000000000000000000"/>
    <w:charset w:val="86"/>
    <w:family w:val="roman"/>
    <w:pitch w:val="default"/>
    <w:sig w:usb0="00000000" w:usb1="00000000" w:usb2="00000000" w:usb3="00000000" w:csb0="00040001" w:csb1="00000000"/>
    <w:embedRegular r:id="rId6" w:fontKey="{1B701578-0CFC-4B8A-A740-DC012282C652}"/>
  </w:font>
  <w:font w:name="楷体_GB2312">
    <w:panose1 w:val="02010609030101010101"/>
    <w:charset w:val="86"/>
    <w:family w:val="modern"/>
    <w:pitch w:val="default"/>
    <w:sig w:usb0="00000001" w:usb1="080E0000" w:usb2="00000000" w:usb3="00000000" w:csb0="00040000" w:csb1="00000000"/>
    <w:embedRegular r:id="rId7" w:fontKey="{F2E0F43C-36BE-47F6-B02C-FD13A542723A}"/>
  </w:font>
  <w:font w:name="Segoe UI">
    <w:panose1 w:val="020B0502040204020203"/>
    <w:charset w:val="00"/>
    <w:family w:val="auto"/>
    <w:pitch w:val="default"/>
    <w:sig w:usb0="E4002EFF" w:usb1="C000E47F" w:usb2="00000009" w:usb3="00000000" w:csb0="200001FF" w:csb1="00000000"/>
    <w:embedRegular r:id="rId8" w:fontKey="{4A19C865-F094-4D86-B4B7-55FD21E25F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759">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D2B99">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D2B99">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2F467BDA">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FCD">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5EE">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5EE">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40">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68BF0">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568BF0">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61ED">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D7A">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EB6">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36D5AC9B"/>
    <w:multiLevelType w:val="singleLevel"/>
    <w:tmpl w:val="36D5AC9B"/>
    <w:lvl w:ilvl="0" w:tentative="0">
      <w:start w:val="1"/>
      <w:numFmt w:val="decimal"/>
      <w:lvlText w:val="(%1)"/>
      <w:lvlJc w:val="left"/>
      <w:pPr>
        <w:ind w:left="425" w:hanging="425"/>
      </w:pPr>
      <w:rPr>
        <w:rFonts w:hint="default"/>
      </w:rPr>
    </w:lvl>
  </w:abstractNum>
  <w:abstractNum w:abstractNumId="4">
    <w:nsid w:val="38278932"/>
    <w:multiLevelType w:val="singleLevel"/>
    <w:tmpl w:val="38278932"/>
    <w:lvl w:ilvl="0" w:tentative="0">
      <w:start w:val="1"/>
      <w:numFmt w:val="decimal"/>
      <w:lvlText w:val="(%1)"/>
      <w:lvlJc w:val="left"/>
      <w:pPr>
        <w:ind w:left="425" w:hanging="425"/>
      </w:pPr>
      <w:rPr>
        <w:rFonts w:hint="default"/>
      </w:rPr>
    </w:lvl>
  </w:abstractNum>
  <w:abstractNum w:abstractNumId="5">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6">
    <w:nsid w:val="58781EE7"/>
    <w:multiLevelType w:val="singleLevel"/>
    <w:tmpl w:val="58781EE7"/>
    <w:lvl w:ilvl="0" w:tentative="0">
      <w:start w:val="1"/>
      <w:numFmt w:val="decimal"/>
      <w:suff w:val="nothing"/>
      <w:lvlText w:val="（%1）"/>
      <w:lvlJc w:val="left"/>
    </w:lvl>
  </w:abstractNum>
  <w:abstractNum w:abstractNumId="7">
    <w:nsid w:val="697E4BDF"/>
    <w:multiLevelType w:val="singleLevel"/>
    <w:tmpl w:val="697E4BDF"/>
    <w:lvl w:ilvl="0" w:tentative="0">
      <w:start w:val="5"/>
      <w:numFmt w:val="decimal"/>
      <w:suff w:val="nothing"/>
      <w:lvlText w:val="%1、"/>
      <w:lvlJc w:val="left"/>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lNIMgj6pNwZjTOJejlf8m/aO/yg=" w:salt="0psoW3mLAiv7aCy/xybxpg=="/>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1138F7"/>
    <w:rsid w:val="02E01C47"/>
    <w:rsid w:val="030C4C45"/>
    <w:rsid w:val="030C546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F3206"/>
    <w:rsid w:val="0AD457D5"/>
    <w:rsid w:val="0B005F5D"/>
    <w:rsid w:val="0BB02781"/>
    <w:rsid w:val="0BB50C28"/>
    <w:rsid w:val="0BFB2792"/>
    <w:rsid w:val="0C3A0683"/>
    <w:rsid w:val="0C536B2D"/>
    <w:rsid w:val="0CC92D62"/>
    <w:rsid w:val="0D6D3FE9"/>
    <w:rsid w:val="0D867784"/>
    <w:rsid w:val="0E3D4936"/>
    <w:rsid w:val="0E6049DB"/>
    <w:rsid w:val="0E8A0CB9"/>
    <w:rsid w:val="0EBA514E"/>
    <w:rsid w:val="0F293C18"/>
    <w:rsid w:val="0FF27563"/>
    <w:rsid w:val="101A7939"/>
    <w:rsid w:val="1050630F"/>
    <w:rsid w:val="109F51B3"/>
    <w:rsid w:val="10BA3678"/>
    <w:rsid w:val="10D25C88"/>
    <w:rsid w:val="11440B1A"/>
    <w:rsid w:val="117429AC"/>
    <w:rsid w:val="11C11B68"/>
    <w:rsid w:val="12081C36"/>
    <w:rsid w:val="12123139"/>
    <w:rsid w:val="12165F7C"/>
    <w:rsid w:val="128424D9"/>
    <w:rsid w:val="128D4776"/>
    <w:rsid w:val="12B9274D"/>
    <w:rsid w:val="12F35C08"/>
    <w:rsid w:val="131D034D"/>
    <w:rsid w:val="1324110B"/>
    <w:rsid w:val="13500F2D"/>
    <w:rsid w:val="13561AB1"/>
    <w:rsid w:val="14142CE9"/>
    <w:rsid w:val="14A40C86"/>
    <w:rsid w:val="14FA380C"/>
    <w:rsid w:val="150D70B6"/>
    <w:rsid w:val="157F49CF"/>
    <w:rsid w:val="15E40F64"/>
    <w:rsid w:val="16006E83"/>
    <w:rsid w:val="16024CD6"/>
    <w:rsid w:val="162271F9"/>
    <w:rsid w:val="162440F1"/>
    <w:rsid w:val="16592588"/>
    <w:rsid w:val="167223F0"/>
    <w:rsid w:val="16AF2082"/>
    <w:rsid w:val="16B965DF"/>
    <w:rsid w:val="16E8540C"/>
    <w:rsid w:val="17215D19"/>
    <w:rsid w:val="173A448D"/>
    <w:rsid w:val="17716417"/>
    <w:rsid w:val="182030CC"/>
    <w:rsid w:val="19373E49"/>
    <w:rsid w:val="19A1391A"/>
    <w:rsid w:val="19B56C9A"/>
    <w:rsid w:val="1A2455D2"/>
    <w:rsid w:val="1A5C28A9"/>
    <w:rsid w:val="1A907950"/>
    <w:rsid w:val="1A9C7618"/>
    <w:rsid w:val="1ADA0506"/>
    <w:rsid w:val="1B8914A7"/>
    <w:rsid w:val="1B9B51B5"/>
    <w:rsid w:val="1BE53D58"/>
    <w:rsid w:val="1C7E55CF"/>
    <w:rsid w:val="1CF00444"/>
    <w:rsid w:val="1D020B93"/>
    <w:rsid w:val="1D9864DE"/>
    <w:rsid w:val="1E3173A3"/>
    <w:rsid w:val="1E641C9C"/>
    <w:rsid w:val="1E867EE3"/>
    <w:rsid w:val="1FE77392"/>
    <w:rsid w:val="20CF3CE7"/>
    <w:rsid w:val="20DD2CF7"/>
    <w:rsid w:val="21EB5A51"/>
    <w:rsid w:val="22385AFF"/>
    <w:rsid w:val="223B0A51"/>
    <w:rsid w:val="225D7B60"/>
    <w:rsid w:val="22FA02FF"/>
    <w:rsid w:val="238021F7"/>
    <w:rsid w:val="23C3584E"/>
    <w:rsid w:val="24284DA4"/>
    <w:rsid w:val="243005EF"/>
    <w:rsid w:val="246470A7"/>
    <w:rsid w:val="24DB3944"/>
    <w:rsid w:val="24FA112D"/>
    <w:rsid w:val="25170E91"/>
    <w:rsid w:val="253D2794"/>
    <w:rsid w:val="256C6F12"/>
    <w:rsid w:val="257E3626"/>
    <w:rsid w:val="261A1516"/>
    <w:rsid w:val="2628728A"/>
    <w:rsid w:val="26612BE0"/>
    <w:rsid w:val="284D6D68"/>
    <w:rsid w:val="29593C3B"/>
    <w:rsid w:val="29D05CC2"/>
    <w:rsid w:val="29DD1C30"/>
    <w:rsid w:val="2A272532"/>
    <w:rsid w:val="2A28618B"/>
    <w:rsid w:val="2A297180"/>
    <w:rsid w:val="2A37190A"/>
    <w:rsid w:val="2AA77BC3"/>
    <w:rsid w:val="2ABC734E"/>
    <w:rsid w:val="2B465B0F"/>
    <w:rsid w:val="2B88422F"/>
    <w:rsid w:val="2B952D9C"/>
    <w:rsid w:val="2CCC0D34"/>
    <w:rsid w:val="2D1934DC"/>
    <w:rsid w:val="2D67115C"/>
    <w:rsid w:val="2D683E6D"/>
    <w:rsid w:val="2DA955AB"/>
    <w:rsid w:val="2DD4186B"/>
    <w:rsid w:val="2F1D6D82"/>
    <w:rsid w:val="2F333B4D"/>
    <w:rsid w:val="2F494D9F"/>
    <w:rsid w:val="2FF73BA9"/>
    <w:rsid w:val="30D0400A"/>
    <w:rsid w:val="310E70CF"/>
    <w:rsid w:val="311F0661"/>
    <w:rsid w:val="32500B82"/>
    <w:rsid w:val="32D71062"/>
    <w:rsid w:val="32E9695B"/>
    <w:rsid w:val="331650FE"/>
    <w:rsid w:val="3342616B"/>
    <w:rsid w:val="33B67FF6"/>
    <w:rsid w:val="35482620"/>
    <w:rsid w:val="3550491B"/>
    <w:rsid w:val="355D19BD"/>
    <w:rsid w:val="35B83119"/>
    <w:rsid w:val="363634B7"/>
    <w:rsid w:val="36B22128"/>
    <w:rsid w:val="36EC0DEF"/>
    <w:rsid w:val="378676A1"/>
    <w:rsid w:val="37E8011B"/>
    <w:rsid w:val="38282C21"/>
    <w:rsid w:val="38BE13A1"/>
    <w:rsid w:val="39467D8B"/>
    <w:rsid w:val="39494261"/>
    <w:rsid w:val="395169EF"/>
    <w:rsid w:val="39BF6F5A"/>
    <w:rsid w:val="3A033549"/>
    <w:rsid w:val="3A477BE0"/>
    <w:rsid w:val="3A701685"/>
    <w:rsid w:val="3A9657FF"/>
    <w:rsid w:val="3AF345E7"/>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4E2750"/>
    <w:rsid w:val="3F530122"/>
    <w:rsid w:val="3F9D6704"/>
    <w:rsid w:val="3FDD4AC1"/>
    <w:rsid w:val="3FDF1755"/>
    <w:rsid w:val="3FEF5E51"/>
    <w:rsid w:val="401069C0"/>
    <w:rsid w:val="4064002A"/>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FA0B37"/>
    <w:rsid w:val="45350C77"/>
    <w:rsid w:val="459E6943"/>
    <w:rsid w:val="45CC5F5C"/>
    <w:rsid w:val="46291052"/>
    <w:rsid w:val="463D5B3F"/>
    <w:rsid w:val="46571466"/>
    <w:rsid w:val="468530D4"/>
    <w:rsid w:val="46A165C4"/>
    <w:rsid w:val="46A40FA9"/>
    <w:rsid w:val="46E37CCC"/>
    <w:rsid w:val="471368FC"/>
    <w:rsid w:val="47202054"/>
    <w:rsid w:val="47212364"/>
    <w:rsid w:val="47A21449"/>
    <w:rsid w:val="483A6747"/>
    <w:rsid w:val="487E1A6D"/>
    <w:rsid w:val="489C2ECF"/>
    <w:rsid w:val="497C4C55"/>
    <w:rsid w:val="49B542D6"/>
    <w:rsid w:val="49D27F33"/>
    <w:rsid w:val="4A1009F7"/>
    <w:rsid w:val="4A3F3133"/>
    <w:rsid w:val="4AA2290B"/>
    <w:rsid w:val="4ABF5578"/>
    <w:rsid w:val="4B447E66"/>
    <w:rsid w:val="4B650E36"/>
    <w:rsid w:val="4BF47E47"/>
    <w:rsid w:val="4BFE2ECA"/>
    <w:rsid w:val="4C0A4957"/>
    <w:rsid w:val="4CED5189"/>
    <w:rsid w:val="4CF65AB9"/>
    <w:rsid w:val="4D3B2BA3"/>
    <w:rsid w:val="4DE5001D"/>
    <w:rsid w:val="4F070E72"/>
    <w:rsid w:val="4F165675"/>
    <w:rsid w:val="4F422A08"/>
    <w:rsid w:val="4F52428A"/>
    <w:rsid w:val="4F5469EE"/>
    <w:rsid w:val="4F5F78A0"/>
    <w:rsid w:val="4FB5642B"/>
    <w:rsid w:val="4FD96636"/>
    <w:rsid w:val="506E408B"/>
    <w:rsid w:val="50B548F3"/>
    <w:rsid w:val="50EA2026"/>
    <w:rsid w:val="513A0FE9"/>
    <w:rsid w:val="514A4455"/>
    <w:rsid w:val="5155508B"/>
    <w:rsid w:val="517D2C22"/>
    <w:rsid w:val="51885E41"/>
    <w:rsid w:val="51BA49DD"/>
    <w:rsid w:val="51C21AE4"/>
    <w:rsid w:val="52CC5B4A"/>
    <w:rsid w:val="52FC4970"/>
    <w:rsid w:val="53243F8D"/>
    <w:rsid w:val="538E0D55"/>
    <w:rsid w:val="539F5BD0"/>
    <w:rsid w:val="53E76A21"/>
    <w:rsid w:val="54236053"/>
    <w:rsid w:val="54342B51"/>
    <w:rsid w:val="54396EBA"/>
    <w:rsid w:val="54493109"/>
    <w:rsid w:val="54A7497D"/>
    <w:rsid w:val="54F246F3"/>
    <w:rsid w:val="552D4E0B"/>
    <w:rsid w:val="55604FD5"/>
    <w:rsid w:val="5618081B"/>
    <w:rsid w:val="56C5399A"/>
    <w:rsid w:val="571D70FC"/>
    <w:rsid w:val="57511389"/>
    <w:rsid w:val="57B819BF"/>
    <w:rsid w:val="57CF589D"/>
    <w:rsid w:val="585A65D3"/>
    <w:rsid w:val="586E19AF"/>
    <w:rsid w:val="591C5F7E"/>
    <w:rsid w:val="592B7501"/>
    <w:rsid w:val="59B60656"/>
    <w:rsid w:val="5A232B92"/>
    <w:rsid w:val="5A3F1DEC"/>
    <w:rsid w:val="5A4D2FA3"/>
    <w:rsid w:val="5AC10559"/>
    <w:rsid w:val="5AFE55D9"/>
    <w:rsid w:val="5B334B73"/>
    <w:rsid w:val="5B823F90"/>
    <w:rsid w:val="5C4031EC"/>
    <w:rsid w:val="5C55629B"/>
    <w:rsid w:val="5CA31DF4"/>
    <w:rsid w:val="5CE63DA4"/>
    <w:rsid w:val="5CFC3B7E"/>
    <w:rsid w:val="5D480DFC"/>
    <w:rsid w:val="5DDA108E"/>
    <w:rsid w:val="5EA44A4C"/>
    <w:rsid w:val="5EBA0F8E"/>
    <w:rsid w:val="5EC734CA"/>
    <w:rsid w:val="5F011BCF"/>
    <w:rsid w:val="5F720729"/>
    <w:rsid w:val="5FC046E2"/>
    <w:rsid w:val="5FC71D2A"/>
    <w:rsid w:val="602E0357"/>
    <w:rsid w:val="60D77618"/>
    <w:rsid w:val="61280E76"/>
    <w:rsid w:val="61775F83"/>
    <w:rsid w:val="620A1069"/>
    <w:rsid w:val="622C7BD9"/>
    <w:rsid w:val="629B6165"/>
    <w:rsid w:val="62AD632D"/>
    <w:rsid w:val="631468A0"/>
    <w:rsid w:val="63772175"/>
    <w:rsid w:val="63B82D47"/>
    <w:rsid w:val="644B4AAF"/>
    <w:rsid w:val="64555026"/>
    <w:rsid w:val="6464571A"/>
    <w:rsid w:val="64A930CD"/>
    <w:rsid w:val="652229C3"/>
    <w:rsid w:val="65887133"/>
    <w:rsid w:val="65B35CAB"/>
    <w:rsid w:val="65BF7472"/>
    <w:rsid w:val="65C538FA"/>
    <w:rsid w:val="65CD5006"/>
    <w:rsid w:val="66197962"/>
    <w:rsid w:val="662352EF"/>
    <w:rsid w:val="663544CE"/>
    <w:rsid w:val="673063C4"/>
    <w:rsid w:val="67320328"/>
    <w:rsid w:val="67FA7F10"/>
    <w:rsid w:val="68920B0B"/>
    <w:rsid w:val="68B97345"/>
    <w:rsid w:val="68BC0BE4"/>
    <w:rsid w:val="68C760A4"/>
    <w:rsid w:val="691557A5"/>
    <w:rsid w:val="691D3B46"/>
    <w:rsid w:val="69C82B4D"/>
    <w:rsid w:val="69D84234"/>
    <w:rsid w:val="69EB0AAC"/>
    <w:rsid w:val="6A2776DE"/>
    <w:rsid w:val="6A2829D5"/>
    <w:rsid w:val="6AAD3374"/>
    <w:rsid w:val="6AF528AA"/>
    <w:rsid w:val="6AFB5BA3"/>
    <w:rsid w:val="6AFB6ED0"/>
    <w:rsid w:val="6BCD74C3"/>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81C4C"/>
    <w:rsid w:val="727644F9"/>
    <w:rsid w:val="72AA0252"/>
    <w:rsid w:val="72C46C87"/>
    <w:rsid w:val="72F943F2"/>
    <w:rsid w:val="731352DC"/>
    <w:rsid w:val="739E64DC"/>
    <w:rsid w:val="73C03FFE"/>
    <w:rsid w:val="73FE7A11"/>
    <w:rsid w:val="741D4694"/>
    <w:rsid w:val="74377176"/>
    <w:rsid w:val="745F621A"/>
    <w:rsid w:val="74736BDD"/>
    <w:rsid w:val="74CB70BF"/>
    <w:rsid w:val="75660855"/>
    <w:rsid w:val="7599649C"/>
    <w:rsid w:val="76735D63"/>
    <w:rsid w:val="768B4D49"/>
    <w:rsid w:val="768C3D6E"/>
    <w:rsid w:val="76CD6AFD"/>
    <w:rsid w:val="7727635A"/>
    <w:rsid w:val="77DF12DF"/>
    <w:rsid w:val="77E17995"/>
    <w:rsid w:val="7855384B"/>
    <w:rsid w:val="7943435E"/>
    <w:rsid w:val="79501600"/>
    <w:rsid w:val="795443BD"/>
    <w:rsid w:val="797E22F7"/>
    <w:rsid w:val="79CF730C"/>
    <w:rsid w:val="7A160FF1"/>
    <w:rsid w:val="7A4D7EA7"/>
    <w:rsid w:val="7A7A02E6"/>
    <w:rsid w:val="7AB85890"/>
    <w:rsid w:val="7ADC3C75"/>
    <w:rsid w:val="7AE91634"/>
    <w:rsid w:val="7B061F90"/>
    <w:rsid w:val="7B6F1D5A"/>
    <w:rsid w:val="7BA619AB"/>
    <w:rsid w:val="7C374CF9"/>
    <w:rsid w:val="7C7B2E38"/>
    <w:rsid w:val="7CA51C63"/>
    <w:rsid w:val="7CCB2423"/>
    <w:rsid w:val="7D9F041B"/>
    <w:rsid w:val="7DE42296"/>
    <w:rsid w:val="7E024E93"/>
    <w:rsid w:val="7E3E210E"/>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e2a0995e-473f-4799-990b-2ea037e2d965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4ACC02C9</paraID>
      <start>68</start>
      <end>69</end>
      <status>modified</status>
      <modifiedWord>地</modifiedWord>
      <trackRevisions>false</trackRevisions>
    </reviewItem>
    <reviewItem>
      <errorID>0ae8102d-61ac-4947-b40e-25040e25d607</errorID>
      <errorWord>包括了</errorWord>
      <group>L1_Word</group>
      <groupName>字词问题</groupName>
      <ability>L2_Typo</ability>
      <abilityName>字词错误</abilityName>
      <candidateList>
        <item>包括</item>
      </candidateList>
      <explain/>
      <paraID> B811448</paraID>
      <start>52</start>
      <end>54</end>
      <status>modified</status>
      <modifiedWord>包括</modifiedWord>
      <trackRevisions>false</trackRevisions>
    </reviewItem>
    <reviewItem>
      <errorID>c260505f-5b79-46b2-8986-f9d1be3c9a4c</errorID>
      <errorWord>未</errorWord>
      <group>L1_Word</group>
      <groupName>字词问题</groupName>
      <ability>L2_Typo</ability>
      <abilityName>字词错误</abilityName>
      <candidateList>
        <item>未支</item>
      </candidateList>
      <explain/>
      <paraID> 8A8183F</paraID>
      <start>148</start>
      <end>150</end>
      <status>modified</status>
      <modifiedWord>未支</modifiedWord>
      <trackRevisions>false</trackRevisions>
    </reviewItem>
    <reviewItem>
      <errorID>9b823f28-049e-4c9e-b8d6-db48a728d545</errorID>
      <errorWord>：/</errorWord>
      <group>L1_Punc</group>
      <groupName>标点问题</groupName>
      <ability>L2_Punc</ability>
      <abilityName>标点符号检查</abilityName>
      <candidateList>
        <item>：</item>
      </candidateList>
      <explain/>
      <paraID>29E809AC</paraID>
      <start>2</start>
      <end>3</end>
      <status>modified</status>
      <modifiedWord>：</modifiedWord>
      <trackRevisions>false</trackRevisions>
    </reviewItem>
    <reviewItem>
      <errorID>63fb5dd6-373a-4686-965a-c8ed668beeca</errorID>
      <errorWord>：/</errorWord>
      <group>L1_Punc</group>
      <groupName>标点问题</groupName>
      <ability>L2_Punc</ability>
      <abilityName>标点符号检查</abilityName>
      <candidateList>
        <item>：</item>
      </candidateList>
      <explain/>
      <paraID>  AAFE45</paraID>
      <start>2</start>
      <end>3</end>
      <status>modified</status>
      <modifiedWord>：</modifiedWord>
      <trackRevisions>false</trackRevisions>
    </reviewItem>
    <reviewItem>
      <errorID>8c5ebd05-5946-4560-beb1-dbedfe0e9748</errorID>
      <errorWord>法</errorWord>
      <group>L1_Word</group>
      <groupName>字词问题</groupName>
      <ability>L2_Typo</ability>
      <abilityName>字词错误</abilityName>
      <candidateList>
        <item>法等</item>
      </candidateList>
      <explain/>
      <paraID>47B6DEE6</paraID>
      <start>82</start>
      <end>84</end>
      <status>modified</status>
      <modifiedWord>法等</modifiedWord>
      <trackRevisions>false</trackRevisions>
    </reviewItem>
    <reviewItem>
      <errorID>57619e3a-f9de-4189-8928-541e93f3ad82</errorID>
      <errorWord>扣出</errorWord>
      <group>L1_Word</group>
      <groupName>字词问题</groupName>
      <ability>L2_Typo</ability>
      <abilityName>字词错误</abilityName>
      <candidateList>
        <item>扣除</item>
      </candidateList>
      <explain/>
      <paraID>5D8C4204</paraID>
      <start>7</start>
      <end>9</end>
      <status>modified</status>
      <modifiedWord>扣除</modifiedWord>
      <trackRevisions>false</trackRevisions>
    </reviewItem>
    <reviewItem>
      <errorID>bdff6d48-0f5e-49d6-9b0e-ffb936e46214</errorID>
      <errorWord>二天</errorWord>
      <group>L1_Word</group>
      <groupName>字词问题</groupName>
      <ability>L2_Typo</ability>
      <abilityName>字词错误</abilityName>
      <candidateList>
        <item>两天</item>
      </candidateList>
      <explain/>
      <paraID>5D8C4204</paraID>
      <start>109</start>
      <end>111</end>
      <status>modified</status>
      <modifiedWord>两天</modifiedWord>
      <trackRevisions>false</trackRevisions>
    </reviewItem>
    <reviewItem>
      <errorID>e847ecb5-6636-4d5b-8a1a-715a845999cf</errorID>
      <errorWord>扣出</errorWord>
      <group>L1_Word</group>
      <groupName>字词问题</groupName>
      <ability>L2_Typo</ability>
      <abilityName>字词错误</abilityName>
      <candidateList>
        <item>扣除</item>
      </candidateList>
      <explain>存在发音相同字词的误用。</explain>
      <paraID>5D8C4204</paraID>
      <start>167</start>
      <end>169</end>
      <status>modified</status>
      <modifiedWord>扣除</modifiedWord>
      <trackRevisions>false</trackRevisions>
    </reviewItem>
    <reviewItem>
      <errorID>0a64e984-97c4-47c4-a88c-6f9357a5ed61</errorID>
      <errorWord>纪检机关</errorWord>
      <group>L1_Word</group>
      <groupName>字词问题</groupName>
      <ability>L2_Typo</ability>
      <abilityName>字词错误</abilityName>
      <candidateList>
        <item>纪检监察机关</item>
      </candidateList>
      <explain/>
      <paraID>60D49A79</paraID>
      <start>20</start>
      <end>26</end>
      <status>modified</status>
      <modifiedWord>纪检监察机关</modifiedWord>
      <trackRevisions>false</trackRevisions>
    </reviewItem>
    <reviewItem>
      <errorID>346fd3b8-12e1-455e-b9ba-3a21f49d67e0</errorID>
      <errorWord>纪检机关</errorWord>
      <group>L1_Word</group>
      <groupName>字词问题</groupName>
      <ability>L2_Typo</ability>
      <abilityName>字词错误</abilityName>
      <candidateList>
        <item>纪检监察机关</item>
      </candidateList>
      <explain/>
      <paraID>60D49A79</paraID>
      <start>61</start>
      <end>67</end>
      <status>modified</status>
      <modifiedWord>纪检监察机关</modifiedWord>
      <trackRevisions>false</trackRevisions>
    </reviewItem>
    <reviewItem>
      <errorID>24483c83-b942-4e2e-8879-60845f2c81bb</errorID>
      <errorWord>的</errorWord>
      <group>L1_Word</group>
      <groupName>字词问题</groupName>
      <ability>L2_Typo</ability>
      <abilityName>字词错误</abilityName>
      <candidateList>
        <item>的农</item>
      </candidateList>
      <explain/>
      <paraID>2B2B232C</paraID>
      <start>38</start>
      <end>40</end>
      <status>modified</status>
      <modifiedWord>的农</modifiedWord>
      <trackRevisions>false</trackRevisions>
    </reviewItem>
    <reviewItem>
      <errorID>2ae0be27-ffea-4e2f-bb6d-ca6f298a1c6a</errorID>
      <errorWord>位</errorWord>
      <group>L1_Word</group>
      <groupName>字词问题</groupName>
      <ability>L2_Typo</ability>
      <abilityName>字词错误</abilityName>
      <candidateList>
        <item>位公</item>
      </candidateList>
      <explain/>
      <paraID>53B4B921</paraID>
      <start>19</start>
      <end>21</end>
      <status>modified</status>
      <modifiedWord>位公</modifiedWord>
      <trackRevisions>false</trackRevisions>
    </reviewItem>
    <reviewItem>
      <errorID>8f4bad96-c919-437b-bb72-b8a32c461d91</errorID>
      <errorWord>安全标注</errorWord>
      <group>L1_Word</group>
      <groupName>字词问题</groupName>
      <ability>L2_Typo</ability>
      <abilityName>字词错误</abilityName>
      <candidateList>
        <item>安全标准</item>
      </candidateList>
      <explain/>
      <paraID>5BC4E005</paraID>
      <start>523</start>
      <end>527</end>
      <status>modified</status>
      <modifiedWord>安全标准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5d424-1d76-42d1-9092-f97626f5c6e4}">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4357</Words>
  <Characters>4877</Characters>
  <Lines>1</Lines>
  <Paragraphs>1</Paragraphs>
  <TotalTime>43</TotalTime>
  <ScaleCrop>false</ScaleCrop>
  <LinksUpToDate>false</LinksUpToDate>
  <CharactersWithSpaces>4911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2026-05-07T02:59:26Z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eyJoZGlkIjoiOTBmMjdiOTExOTZiZGQxYWM0Y2ZlNWFjZmEyZTRjYTUiLCJ1c2VySWQiOiIxMTMwNTMyMTQ1In0=</vt:lpwstr>
  </property>
</Properties>
</file>